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DC9D0E">
      <w:pPr>
        <w:wordWrap w:val="0"/>
        <w:spacing w:line="360" w:lineRule="auto"/>
        <w:ind w:firstLine="1040"/>
        <w:jc w:val="center"/>
        <w:rPr>
          <w:rFonts w:hint="eastAsia" w:ascii="宋体" w:hAnsi="宋体" w:cs="宋体"/>
          <w:color w:val="auto"/>
          <w:sz w:val="52"/>
          <w:szCs w:val="52"/>
          <w:highlight w:val="none"/>
        </w:rPr>
      </w:pPr>
    </w:p>
    <w:p w14:paraId="6B596495">
      <w:pPr>
        <w:wordWrap w:val="0"/>
        <w:spacing w:line="360" w:lineRule="auto"/>
        <w:ind w:firstLine="1040"/>
        <w:jc w:val="center"/>
        <w:rPr>
          <w:rFonts w:hint="eastAsia" w:ascii="宋体" w:hAnsi="宋体" w:cs="宋体"/>
          <w:color w:val="auto"/>
          <w:sz w:val="52"/>
          <w:szCs w:val="52"/>
          <w:highlight w:val="none"/>
        </w:rPr>
      </w:pPr>
      <w:r>
        <w:rPr>
          <w:rFonts w:hint="eastAsia" w:ascii="宋体" w:hAnsi="宋体" w:cs="宋体"/>
          <w:color w:val="auto"/>
          <w:sz w:val="52"/>
          <w:szCs w:val="52"/>
          <w:highlight w:val="none"/>
        </w:rPr>
        <w:t>南宁市政府采购</w:t>
      </w:r>
    </w:p>
    <w:p w14:paraId="66F0D837">
      <w:pPr>
        <w:wordWrap w:val="0"/>
        <w:spacing w:line="360" w:lineRule="auto"/>
        <w:ind w:firstLine="1040"/>
        <w:jc w:val="center"/>
        <w:rPr>
          <w:rFonts w:hint="eastAsia" w:ascii="宋体" w:hAnsi="宋体" w:cs="宋体"/>
          <w:color w:val="auto"/>
          <w:sz w:val="52"/>
          <w:szCs w:val="52"/>
          <w:highlight w:val="none"/>
        </w:rPr>
      </w:pPr>
      <w:r>
        <w:rPr>
          <w:rFonts w:hint="eastAsia" w:ascii="宋体" w:hAnsi="宋体" w:cs="宋体"/>
          <w:color w:val="auto"/>
          <w:sz w:val="52"/>
          <w:szCs w:val="52"/>
          <w:highlight w:val="none"/>
        </w:rPr>
        <w:t>公开招标文件（服务类）</w:t>
      </w:r>
    </w:p>
    <w:p w14:paraId="2DB56A2A">
      <w:pPr>
        <w:wordWrap w:val="0"/>
        <w:spacing w:line="360" w:lineRule="auto"/>
        <w:ind w:firstLine="964"/>
        <w:jc w:val="center"/>
        <w:rPr>
          <w:rFonts w:hint="eastAsia" w:ascii="宋体" w:hAnsi="宋体" w:cs="宋体"/>
          <w:b/>
          <w:color w:val="auto"/>
          <w:sz w:val="48"/>
          <w:szCs w:val="48"/>
          <w:highlight w:val="none"/>
        </w:rPr>
      </w:pPr>
    </w:p>
    <w:p w14:paraId="46A64DC2">
      <w:pPr>
        <w:wordWrap w:val="0"/>
        <w:spacing w:line="360" w:lineRule="auto"/>
        <w:ind w:firstLine="964"/>
        <w:jc w:val="center"/>
        <w:rPr>
          <w:rFonts w:hint="eastAsia" w:ascii="宋体" w:hAnsi="宋体" w:cs="宋体"/>
          <w:b/>
          <w:color w:val="auto"/>
          <w:sz w:val="48"/>
          <w:szCs w:val="48"/>
          <w:highlight w:val="none"/>
        </w:rPr>
      </w:pPr>
    </w:p>
    <w:p w14:paraId="45F37941">
      <w:pPr>
        <w:tabs>
          <w:tab w:val="left" w:pos="2225"/>
          <w:tab w:val="center" w:pos="5653"/>
        </w:tabs>
        <w:wordWrap w:val="0"/>
        <w:snapToGrid w:val="0"/>
        <w:spacing w:line="360" w:lineRule="auto"/>
        <w:ind w:firstLine="1440"/>
        <w:jc w:val="left"/>
        <w:rPr>
          <w:rFonts w:hint="eastAsia" w:ascii="宋体" w:hAnsi="宋体" w:cs="宋体"/>
          <w:color w:val="auto"/>
          <w:sz w:val="72"/>
          <w:szCs w:val="72"/>
          <w:highlight w:val="none"/>
        </w:rPr>
      </w:pPr>
      <w:r>
        <w:rPr>
          <w:rFonts w:hint="eastAsia" w:ascii="宋体" w:hAnsi="宋体" w:cs="宋体"/>
          <w:color w:val="auto"/>
          <w:sz w:val="72"/>
          <w:szCs w:val="72"/>
          <w:highlight w:val="none"/>
          <w:lang w:eastAsia="zh-CN"/>
        </w:rPr>
        <w:tab/>
      </w:r>
      <w:r>
        <w:rPr>
          <w:rFonts w:hint="eastAsia" w:ascii="宋体" w:hAnsi="宋体" w:cs="宋体"/>
          <w:color w:val="auto"/>
          <w:sz w:val="72"/>
          <w:szCs w:val="72"/>
          <w:highlight w:val="none"/>
          <w:lang w:eastAsia="zh-CN"/>
        </w:rPr>
        <w:tab/>
      </w:r>
      <w:r>
        <w:rPr>
          <w:rFonts w:hint="eastAsia" w:ascii="宋体" w:hAnsi="宋体" w:cs="宋体"/>
          <w:color w:val="auto"/>
          <w:sz w:val="72"/>
          <w:szCs w:val="72"/>
          <w:highlight w:val="none"/>
        </w:rPr>
        <w:t>招 标 文 件</w:t>
      </w:r>
    </w:p>
    <w:p w14:paraId="2F93C5E0">
      <w:pPr>
        <w:wordWrap w:val="0"/>
        <w:snapToGrid w:val="0"/>
        <w:spacing w:line="360" w:lineRule="auto"/>
        <w:ind w:firstLine="600"/>
        <w:jc w:val="center"/>
        <w:rPr>
          <w:rFonts w:hint="eastAsia" w:ascii="宋体" w:hAnsi="宋体" w:cs="宋体"/>
          <w:color w:val="auto"/>
          <w:sz w:val="30"/>
          <w:szCs w:val="72"/>
          <w:highlight w:val="none"/>
        </w:rPr>
      </w:pPr>
      <w:r>
        <w:rPr>
          <w:rFonts w:hint="eastAsia" w:ascii="宋体" w:hAnsi="宋体" w:cs="宋体"/>
          <w:color w:val="auto"/>
          <w:sz w:val="30"/>
          <w:szCs w:val="72"/>
          <w:highlight w:val="none"/>
        </w:rPr>
        <w:t>（全流程电子化评标）</w:t>
      </w:r>
    </w:p>
    <w:p w14:paraId="4F839E8E">
      <w:pPr>
        <w:widowControl/>
        <w:kinsoku w:val="0"/>
        <w:autoSpaceDE w:val="0"/>
        <w:autoSpaceDN w:val="0"/>
        <w:adjustRightInd w:val="0"/>
        <w:snapToGrid w:val="0"/>
        <w:spacing w:line="360" w:lineRule="auto"/>
        <w:ind w:left="1221" w:firstLine="420" w:firstLineChars="200"/>
        <w:textAlignment w:val="baseline"/>
        <w:rPr>
          <w:rFonts w:hint="eastAsia" w:ascii="仿宋" w:hAnsi="仿宋" w:eastAsia="仿宋" w:cs="仿宋"/>
          <w:color w:val="auto"/>
          <w:spacing w:val="-11"/>
          <w:position w:val="23"/>
          <w:sz w:val="30"/>
          <w:szCs w:val="30"/>
          <w:highlight w:val="none"/>
          <w14:textOutline w14:w="6350" w14:cap="flat" w14:cmpd="sng" w14:algn="ctr">
            <w14:solidFill>
              <w14:srgbClr w14:val="000000"/>
            </w14:solidFill>
            <w14:prstDash w14:val="solid"/>
            <w14:miter w14:val="0"/>
          </w14:textOutline>
        </w:rPr>
      </w:pPr>
      <w:r>
        <w:drawing>
          <wp:anchor distT="0" distB="0" distL="114300" distR="114300" simplePos="0" relativeHeight="251663360" behindDoc="0" locked="0" layoutInCell="1" allowOverlap="1">
            <wp:simplePos x="0" y="0"/>
            <wp:positionH relativeFrom="column">
              <wp:posOffset>280035</wp:posOffset>
            </wp:positionH>
            <wp:positionV relativeFrom="paragraph">
              <wp:posOffset>400050</wp:posOffset>
            </wp:positionV>
            <wp:extent cx="6186170" cy="3506470"/>
            <wp:effectExtent l="0" t="0" r="5080" b="1778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stretch>
                      <a:fillRect/>
                    </a:stretch>
                  </pic:blipFill>
                  <pic:spPr>
                    <a:xfrm>
                      <a:off x="0" y="0"/>
                      <a:ext cx="6186170" cy="3506470"/>
                    </a:xfrm>
                    <a:prstGeom prst="rect">
                      <a:avLst/>
                    </a:prstGeom>
                    <a:noFill/>
                    <a:ln>
                      <a:noFill/>
                    </a:ln>
                  </pic:spPr>
                </pic:pic>
              </a:graphicData>
            </a:graphic>
          </wp:anchor>
        </w:drawing>
      </w:r>
    </w:p>
    <w:p w14:paraId="5F156F7E">
      <w:pPr>
        <w:widowControl/>
        <w:kinsoku w:val="0"/>
        <w:autoSpaceDE w:val="0"/>
        <w:autoSpaceDN w:val="0"/>
        <w:adjustRightInd w:val="0"/>
        <w:snapToGrid w:val="0"/>
        <w:spacing w:line="360" w:lineRule="auto"/>
        <w:ind w:firstLine="1390" w:firstLineChars="500"/>
        <w:jc w:val="left"/>
        <w:textAlignment w:val="baseline"/>
        <w:rPr>
          <w:rFonts w:hint="eastAsia" w:asciiTheme="minorEastAsia" w:hAnsiTheme="minorEastAsia" w:eastAsiaTheme="minorEastAsia" w:cstheme="minorEastAsia"/>
          <w:color w:val="auto"/>
          <w:spacing w:val="-11"/>
          <w:position w:val="23"/>
          <w:sz w:val="30"/>
          <w:szCs w:val="30"/>
          <w:highlight w:val="none"/>
          <w14:textOutline w14:w="6350"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color w:val="auto"/>
          <w:spacing w:val="-11"/>
          <w:position w:val="23"/>
          <w:sz w:val="30"/>
          <w:szCs w:val="30"/>
          <w:highlight w:val="none"/>
          <w14:textOutline w14:w="6350" w14:cap="flat" w14:cmpd="sng" w14:algn="ctr">
            <w14:solidFill>
              <w14:srgbClr w14:val="000000"/>
            </w14:solidFill>
            <w14:prstDash w14:val="solid"/>
            <w14:miter w14:val="0"/>
          </w14:textOutline>
        </w:rPr>
        <w:t>项目名称：</w:t>
      </w:r>
      <w:r>
        <w:rPr>
          <w:rFonts w:hint="eastAsia" w:asciiTheme="minorEastAsia" w:hAnsiTheme="minorEastAsia" w:eastAsiaTheme="minorEastAsia" w:cstheme="minorEastAsia"/>
          <w:color w:val="auto"/>
          <w:spacing w:val="-11"/>
          <w:position w:val="23"/>
          <w:sz w:val="30"/>
          <w:szCs w:val="30"/>
          <w:highlight w:val="none"/>
          <w14:textOutline w14:w="6350" w14:cap="flat" w14:cmpd="sng" w14:algn="ctr">
            <w14:solidFill>
              <w14:srgbClr w14:val="000000"/>
            </w14:solidFill>
            <w14:prstDash w14:val="solid"/>
            <w14:miter w14:val="0"/>
          </w14:textOutline>
        </w:rPr>
        <w:fldChar w:fldCharType="begin"/>
      </w:r>
      <w:r>
        <w:rPr>
          <w:rFonts w:hint="eastAsia" w:asciiTheme="minorEastAsia" w:hAnsiTheme="minorEastAsia" w:eastAsiaTheme="minorEastAsia" w:cstheme="minorEastAsia"/>
          <w:color w:val="auto"/>
          <w:spacing w:val="-11"/>
          <w:position w:val="23"/>
          <w:sz w:val="30"/>
          <w:szCs w:val="30"/>
          <w:highlight w:val="none"/>
          <w14:textOutline w14:w="6350" w14:cap="flat" w14:cmpd="sng" w14:algn="ctr">
            <w14:solidFill>
              <w14:srgbClr w14:val="000000"/>
            </w14:solidFill>
            <w14:prstDash w14:val="solid"/>
            <w14:miter w14:val="0"/>
          </w14:textOutline>
        </w:rPr>
        <w:instrText xml:space="preserve"> HYPERLINK "https://pay.gcy.zfcg.gxzf.gov.cn/purchaseplan_front/" \l "/plan/list/_blank" \t "https://pay.gcy.zfcg.gxzf.gov.cn/purchaseplan_front/" </w:instrText>
      </w:r>
      <w:r>
        <w:rPr>
          <w:rFonts w:hint="eastAsia" w:asciiTheme="minorEastAsia" w:hAnsiTheme="minorEastAsia" w:eastAsiaTheme="minorEastAsia" w:cstheme="minorEastAsia"/>
          <w:color w:val="auto"/>
          <w:spacing w:val="-11"/>
          <w:position w:val="23"/>
          <w:sz w:val="30"/>
          <w:szCs w:val="30"/>
          <w:highlight w:val="none"/>
          <w14:textOutline w14:w="6350" w14:cap="flat" w14:cmpd="sng" w14:algn="ctr">
            <w14:solidFill>
              <w14:srgbClr w14:val="000000"/>
            </w14:solidFill>
            <w14:prstDash w14:val="solid"/>
            <w14:miter w14:val="0"/>
          </w14:textOutline>
        </w:rPr>
        <w:fldChar w:fldCharType="separate"/>
      </w:r>
      <w:r>
        <w:rPr>
          <w:rFonts w:hint="eastAsia" w:asciiTheme="minorEastAsia" w:hAnsiTheme="minorEastAsia" w:eastAsiaTheme="minorEastAsia" w:cstheme="minorEastAsia"/>
          <w:color w:val="auto"/>
          <w:spacing w:val="-11"/>
          <w:position w:val="23"/>
          <w:sz w:val="30"/>
          <w:szCs w:val="30"/>
          <w:highlight w:val="none"/>
          <w:lang w:eastAsia="zh-CN"/>
          <w14:textOutline w14:w="6350" w14:cap="flat" w14:cmpd="sng" w14:algn="ctr">
            <w14:solidFill>
              <w14:srgbClr w14:val="000000"/>
            </w14:solidFill>
            <w14:prstDash w14:val="solid"/>
            <w14:miter w14:val="0"/>
          </w14:textOutline>
        </w:rPr>
        <w:t>南宁市电子政务云平台（二期）运维服务项目</w:t>
      </w:r>
      <w:r>
        <w:rPr>
          <w:rFonts w:hint="eastAsia" w:asciiTheme="minorEastAsia" w:hAnsiTheme="minorEastAsia" w:eastAsiaTheme="minorEastAsia" w:cstheme="minorEastAsia"/>
          <w:color w:val="auto"/>
          <w:spacing w:val="-11"/>
          <w:position w:val="23"/>
          <w:sz w:val="30"/>
          <w:szCs w:val="30"/>
          <w:highlight w:val="none"/>
          <w14:textOutline w14:w="6350" w14:cap="flat" w14:cmpd="sng" w14:algn="ctr">
            <w14:solidFill>
              <w14:srgbClr w14:val="000000"/>
            </w14:solidFill>
            <w14:prstDash w14:val="solid"/>
            <w14:miter w14:val="0"/>
          </w14:textOutline>
        </w:rPr>
        <w:fldChar w:fldCharType="end"/>
      </w:r>
    </w:p>
    <w:p w14:paraId="54632BFC">
      <w:pPr>
        <w:widowControl/>
        <w:kinsoku w:val="0"/>
        <w:autoSpaceDE w:val="0"/>
        <w:autoSpaceDN w:val="0"/>
        <w:adjustRightInd w:val="0"/>
        <w:snapToGrid w:val="0"/>
        <w:spacing w:line="360" w:lineRule="auto"/>
        <w:ind w:firstLine="1390" w:firstLineChars="500"/>
        <w:jc w:val="left"/>
        <w:textAlignment w:val="baseline"/>
        <w:rPr>
          <w:rFonts w:hint="eastAsia" w:asciiTheme="minorEastAsia" w:hAnsiTheme="minorEastAsia" w:eastAsiaTheme="minorEastAsia" w:cstheme="minorEastAsia"/>
          <w:color w:val="auto"/>
          <w:spacing w:val="-11"/>
          <w:position w:val="23"/>
          <w:sz w:val="30"/>
          <w:szCs w:val="30"/>
          <w:highlight w:val="none"/>
          <w:lang w:eastAsia="zh-CN"/>
          <w14:textOutline w14:w="6350"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color w:val="auto"/>
          <w:spacing w:val="-11"/>
          <w:position w:val="23"/>
          <w:sz w:val="30"/>
          <w:szCs w:val="30"/>
          <w:highlight w:val="none"/>
          <w14:textOutline w14:w="6350" w14:cap="flat" w14:cmpd="sng" w14:algn="ctr">
            <w14:solidFill>
              <w14:srgbClr w14:val="000000"/>
            </w14:solidFill>
            <w14:prstDash w14:val="solid"/>
            <w14:miter w14:val="0"/>
          </w14:textOutline>
        </w:rPr>
        <w:t>项目编号：</w:t>
      </w:r>
      <w:r>
        <w:rPr>
          <w:rFonts w:hint="eastAsia" w:asciiTheme="minorEastAsia" w:hAnsiTheme="minorEastAsia" w:eastAsiaTheme="minorEastAsia" w:cstheme="minorEastAsia"/>
          <w:color w:val="auto"/>
          <w:spacing w:val="-11"/>
          <w:position w:val="23"/>
          <w:sz w:val="30"/>
          <w:szCs w:val="30"/>
          <w:highlight w:val="none"/>
          <w:lang w:eastAsia="zh-CN"/>
          <w14:textOutline w14:w="6350" w14:cap="flat" w14:cmpd="sng" w14:algn="ctr">
            <w14:solidFill>
              <w14:srgbClr w14:val="000000"/>
            </w14:solidFill>
            <w14:prstDash w14:val="solid"/>
            <w14:miter w14:val="0"/>
          </w14:textOutline>
        </w:rPr>
        <w:t>NNZC2025-G3-991381-GXYZ</w:t>
      </w:r>
    </w:p>
    <w:p w14:paraId="7B9B5303">
      <w:pPr>
        <w:widowControl/>
        <w:kinsoku w:val="0"/>
        <w:autoSpaceDE w:val="0"/>
        <w:autoSpaceDN w:val="0"/>
        <w:adjustRightInd w:val="0"/>
        <w:snapToGrid w:val="0"/>
        <w:spacing w:line="360" w:lineRule="auto"/>
        <w:ind w:firstLine="1390" w:firstLineChars="500"/>
        <w:jc w:val="left"/>
        <w:textAlignment w:val="baseline"/>
        <w:rPr>
          <w:rFonts w:hint="eastAsia" w:asciiTheme="minorEastAsia" w:hAnsiTheme="minorEastAsia" w:eastAsiaTheme="minorEastAsia" w:cstheme="minorEastAsia"/>
          <w:color w:val="auto"/>
          <w:spacing w:val="-11"/>
          <w:position w:val="23"/>
          <w:sz w:val="30"/>
          <w:szCs w:val="30"/>
          <w:highlight w:val="none"/>
          <w14:textOutline w14:w="6350"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color w:val="auto"/>
          <w:spacing w:val="-11"/>
          <w:position w:val="23"/>
          <w:sz w:val="30"/>
          <w:szCs w:val="30"/>
          <w:highlight w:val="none"/>
          <w14:textOutline w14:w="6350" w14:cap="flat" w14:cmpd="sng" w14:algn="ctr">
            <w14:solidFill>
              <w14:srgbClr w14:val="000000"/>
            </w14:solidFill>
            <w14:prstDash w14:val="solid"/>
            <w14:miter w14:val="0"/>
          </w14:textOutline>
        </w:rPr>
        <w:t>项目所属区划：南宁市本级</w:t>
      </w:r>
    </w:p>
    <w:p w14:paraId="10CC8C95">
      <w:pPr>
        <w:widowControl/>
        <w:kinsoku w:val="0"/>
        <w:autoSpaceDE w:val="0"/>
        <w:autoSpaceDN w:val="0"/>
        <w:adjustRightInd w:val="0"/>
        <w:snapToGrid w:val="0"/>
        <w:spacing w:line="360" w:lineRule="auto"/>
        <w:ind w:firstLine="1390" w:firstLineChars="500"/>
        <w:jc w:val="left"/>
        <w:textAlignment w:val="baseline"/>
        <w:rPr>
          <w:rFonts w:hint="eastAsia" w:asciiTheme="minorEastAsia" w:hAnsiTheme="minorEastAsia" w:eastAsiaTheme="minorEastAsia" w:cstheme="minorEastAsia"/>
          <w:color w:val="auto"/>
          <w:spacing w:val="-11"/>
          <w:position w:val="23"/>
          <w:sz w:val="30"/>
          <w:szCs w:val="30"/>
          <w:highlight w:val="none"/>
          <w:lang w:eastAsia="zh-CN"/>
          <w14:textOutline w14:w="6350"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color w:val="auto"/>
          <w:spacing w:val="-11"/>
          <w:position w:val="23"/>
          <w:sz w:val="30"/>
          <w:szCs w:val="30"/>
          <w:highlight w:val="none"/>
          <w14:textOutline w14:w="6350" w14:cap="flat" w14:cmpd="sng" w14:algn="ctr">
            <w14:solidFill>
              <w14:srgbClr w14:val="000000"/>
            </w14:solidFill>
            <w14:prstDash w14:val="solid"/>
            <w14:miter w14:val="0"/>
          </w14:textOutline>
        </w:rPr>
        <w:t>采</w:t>
      </w:r>
      <w:r>
        <w:rPr>
          <w:rFonts w:hint="eastAsia" w:asciiTheme="minorEastAsia" w:hAnsiTheme="minorEastAsia" w:eastAsiaTheme="minorEastAsia" w:cstheme="minorEastAsia"/>
          <w:color w:val="auto"/>
          <w:spacing w:val="-11"/>
          <w:position w:val="23"/>
          <w:sz w:val="30"/>
          <w:szCs w:val="30"/>
          <w:highlight w:val="none"/>
          <w:lang w:val="en-US" w:eastAsia="zh-CN"/>
          <w14:textOutline w14:w="6350" w14:cap="flat" w14:cmpd="sng" w14:algn="ctr">
            <w14:solidFill>
              <w14:srgbClr w14:val="000000"/>
            </w14:solidFill>
            <w14:prstDash w14:val="solid"/>
            <w14:miter w14:val="0"/>
          </w14:textOutline>
        </w:rPr>
        <w:t xml:space="preserve"> </w:t>
      </w:r>
      <w:r>
        <w:rPr>
          <w:rFonts w:hint="eastAsia" w:asciiTheme="minorEastAsia" w:hAnsiTheme="minorEastAsia" w:eastAsiaTheme="minorEastAsia" w:cstheme="minorEastAsia"/>
          <w:color w:val="auto"/>
          <w:spacing w:val="-11"/>
          <w:position w:val="23"/>
          <w:sz w:val="30"/>
          <w:szCs w:val="30"/>
          <w:highlight w:val="none"/>
          <w14:textOutline w14:w="6350" w14:cap="flat" w14:cmpd="sng" w14:algn="ctr">
            <w14:solidFill>
              <w14:srgbClr w14:val="000000"/>
            </w14:solidFill>
            <w14:prstDash w14:val="solid"/>
            <w14:miter w14:val="0"/>
          </w14:textOutline>
        </w:rPr>
        <w:t>购</w:t>
      </w:r>
      <w:r>
        <w:rPr>
          <w:rFonts w:hint="eastAsia" w:asciiTheme="minorEastAsia" w:hAnsiTheme="minorEastAsia" w:eastAsiaTheme="minorEastAsia" w:cstheme="minorEastAsia"/>
          <w:color w:val="auto"/>
          <w:spacing w:val="-11"/>
          <w:position w:val="23"/>
          <w:sz w:val="30"/>
          <w:szCs w:val="30"/>
          <w:highlight w:val="none"/>
          <w:lang w:val="en-US" w:eastAsia="zh-CN"/>
          <w14:textOutline w14:w="6350" w14:cap="flat" w14:cmpd="sng" w14:algn="ctr">
            <w14:solidFill>
              <w14:srgbClr w14:val="000000"/>
            </w14:solidFill>
            <w14:prstDash w14:val="solid"/>
            <w14:miter w14:val="0"/>
          </w14:textOutline>
        </w:rPr>
        <w:t xml:space="preserve"> </w:t>
      </w:r>
      <w:r>
        <w:rPr>
          <w:rFonts w:hint="eastAsia" w:asciiTheme="minorEastAsia" w:hAnsiTheme="minorEastAsia" w:eastAsiaTheme="minorEastAsia" w:cstheme="minorEastAsia"/>
          <w:color w:val="auto"/>
          <w:spacing w:val="-11"/>
          <w:position w:val="23"/>
          <w:sz w:val="30"/>
          <w:szCs w:val="30"/>
          <w:highlight w:val="none"/>
          <w14:textOutline w14:w="6350" w14:cap="flat" w14:cmpd="sng" w14:algn="ctr">
            <w14:solidFill>
              <w14:srgbClr w14:val="000000"/>
            </w14:solidFill>
            <w14:prstDash w14:val="solid"/>
            <w14:miter w14:val="0"/>
          </w14:textOutline>
        </w:rPr>
        <w:t>人：</w:t>
      </w:r>
      <w:r>
        <w:rPr>
          <w:rFonts w:hint="eastAsia" w:asciiTheme="minorEastAsia" w:hAnsiTheme="minorEastAsia" w:eastAsiaTheme="minorEastAsia" w:cstheme="minorEastAsia"/>
          <w:color w:val="auto"/>
          <w:spacing w:val="-11"/>
          <w:position w:val="23"/>
          <w:sz w:val="30"/>
          <w:szCs w:val="30"/>
          <w:highlight w:val="none"/>
          <w:lang w:eastAsia="zh-CN"/>
          <w14:textOutline w14:w="6350" w14:cap="flat" w14:cmpd="sng" w14:algn="ctr">
            <w14:solidFill>
              <w14:srgbClr w14:val="000000"/>
            </w14:solidFill>
            <w14:prstDash w14:val="solid"/>
            <w14:miter w14:val="0"/>
          </w14:textOutline>
        </w:rPr>
        <w:t>南宁市信息网络管理中心</w:t>
      </w:r>
    </w:p>
    <w:p w14:paraId="1239F896">
      <w:pPr>
        <w:widowControl/>
        <w:kinsoku w:val="0"/>
        <w:autoSpaceDE w:val="0"/>
        <w:autoSpaceDN w:val="0"/>
        <w:adjustRightInd w:val="0"/>
        <w:snapToGrid w:val="0"/>
        <w:spacing w:line="360" w:lineRule="auto"/>
        <w:ind w:firstLine="1390" w:firstLineChars="500"/>
        <w:jc w:val="left"/>
        <w:textAlignment w:val="baseline"/>
        <w:rPr>
          <w:rFonts w:hint="eastAsia" w:asciiTheme="minorEastAsia" w:hAnsiTheme="minorEastAsia" w:eastAsiaTheme="minorEastAsia" w:cstheme="minorEastAsia"/>
          <w:color w:val="auto"/>
          <w:spacing w:val="-11"/>
          <w:position w:val="23"/>
          <w:sz w:val="30"/>
          <w:szCs w:val="30"/>
          <w:highlight w:val="none"/>
          <w14:textOutline w14:w="6350"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color w:val="auto"/>
          <w:spacing w:val="-11"/>
          <w:position w:val="23"/>
          <w:sz w:val="30"/>
          <w:szCs w:val="30"/>
          <w:highlight w:val="none"/>
          <w14:textOutline w14:w="6350" w14:cap="flat" w14:cmpd="sng" w14:algn="ctr">
            <w14:solidFill>
              <w14:srgbClr w14:val="000000"/>
            </w14:solidFill>
            <w14:prstDash w14:val="solid"/>
            <w14:miter w14:val="0"/>
          </w14:textOutline>
        </w:rPr>
        <w:t>采购代理机构：广西邕政采购代理有限公司</w:t>
      </w:r>
    </w:p>
    <w:p w14:paraId="63587E66">
      <w:pPr>
        <w:widowControl/>
        <w:kinsoku w:val="0"/>
        <w:autoSpaceDE w:val="0"/>
        <w:autoSpaceDN w:val="0"/>
        <w:adjustRightInd w:val="0"/>
        <w:snapToGrid w:val="0"/>
        <w:spacing w:line="360" w:lineRule="auto"/>
        <w:textAlignment w:val="baseline"/>
        <w:rPr>
          <w:rFonts w:ascii="Arial"/>
          <w:color w:val="auto"/>
          <w:highlight w:val="none"/>
        </w:rPr>
      </w:pPr>
    </w:p>
    <w:p w14:paraId="14358A17">
      <w:pPr>
        <w:spacing w:line="360" w:lineRule="auto"/>
        <w:ind w:firstLine="3696" w:firstLineChars="1100"/>
        <w:rPr>
          <w:rFonts w:ascii="仿宋" w:hAnsi="仿宋" w:eastAsia="仿宋" w:cs="仿宋"/>
          <w:color w:val="auto"/>
          <w:spacing w:val="8"/>
          <w:sz w:val="32"/>
          <w:szCs w:val="32"/>
          <w:highlight w:val="none"/>
          <w14:textOutline w14:w="6769" w14:cap="flat" w14:cmpd="sng" w14:algn="ctr">
            <w14:solidFill>
              <w14:srgbClr w14:val="000000"/>
            </w14:solidFill>
            <w14:prstDash w14:val="solid"/>
            <w14:miter w14:val="0"/>
          </w14:textOutline>
        </w:rPr>
      </w:pPr>
      <w:r>
        <w:rPr>
          <w:rFonts w:hint="eastAsia" w:ascii="仿宋" w:hAnsi="仿宋" w:eastAsia="仿宋" w:cs="仿宋"/>
          <w:color w:val="auto"/>
          <w:spacing w:val="8"/>
          <w:sz w:val="32"/>
          <w:szCs w:val="32"/>
          <w:highlight w:val="none"/>
          <w14:textOutline w14:w="6769" w14:cap="flat" w14:cmpd="sng" w14:algn="ctr">
            <w14:solidFill>
              <w14:srgbClr w14:val="000000"/>
            </w14:solidFill>
            <w14:prstDash w14:val="solid"/>
            <w14:miter w14:val="0"/>
          </w14:textOutline>
        </w:rPr>
        <w:t>202</w:t>
      </w:r>
      <w:r>
        <w:rPr>
          <w:rFonts w:hint="eastAsia" w:ascii="仿宋" w:hAnsi="仿宋" w:eastAsia="仿宋" w:cs="仿宋"/>
          <w:color w:val="auto"/>
          <w:spacing w:val="8"/>
          <w:sz w:val="32"/>
          <w:szCs w:val="32"/>
          <w:highlight w:val="none"/>
          <w:lang w:val="en-US" w:eastAsia="zh-CN"/>
          <w14:textOutline w14:w="6769" w14:cap="flat" w14:cmpd="sng" w14:algn="ctr">
            <w14:solidFill>
              <w14:srgbClr w14:val="000000"/>
            </w14:solidFill>
            <w14:prstDash w14:val="solid"/>
            <w14:miter w14:val="0"/>
          </w14:textOutline>
        </w:rPr>
        <w:t>5</w:t>
      </w:r>
      <w:r>
        <w:rPr>
          <w:rFonts w:ascii="仿宋" w:hAnsi="仿宋" w:eastAsia="仿宋" w:cs="仿宋"/>
          <w:color w:val="auto"/>
          <w:spacing w:val="8"/>
          <w:sz w:val="32"/>
          <w:szCs w:val="32"/>
          <w:highlight w:val="none"/>
          <w14:textOutline w14:w="6769" w14:cap="flat" w14:cmpd="sng" w14:algn="ctr">
            <w14:solidFill>
              <w14:srgbClr w14:val="000000"/>
            </w14:solidFill>
            <w14:prstDash w14:val="solid"/>
            <w14:miter w14:val="0"/>
          </w14:textOutline>
        </w:rPr>
        <w:t>年</w:t>
      </w:r>
      <w:r>
        <w:rPr>
          <w:rFonts w:hint="eastAsia" w:ascii="仿宋" w:hAnsi="仿宋" w:eastAsia="仿宋" w:cs="仿宋"/>
          <w:color w:val="auto"/>
          <w:spacing w:val="8"/>
          <w:sz w:val="32"/>
          <w:szCs w:val="32"/>
          <w:highlight w:val="none"/>
          <w:lang w:val="en-US" w:eastAsia="zh-CN"/>
          <w14:textOutline w14:w="6769" w14:cap="flat" w14:cmpd="sng" w14:algn="ctr">
            <w14:solidFill>
              <w14:srgbClr w14:val="000000"/>
            </w14:solidFill>
            <w14:prstDash w14:val="solid"/>
            <w14:miter w14:val="0"/>
          </w14:textOutline>
        </w:rPr>
        <w:t>12</w:t>
      </w:r>
      <w:r>
        <w:rPr>
          <w:rFonts w:ascii="仿宋" w:hAnsi="仿宋" w:eastAsia="仿宋" w:cs="仿宋"/>
          <w:color w:val="auto"/>
          <w:spacing w:val="8"/>
          <w:sz w:val="32"/>
          <w:szCs w:val="32"/>
          <w:highlight w:val="none"/>
          <w14:textOutline w14:w="6769" w14:cap="flat" w14:cmpd="sng" w14:algn="ctr">
            <w14:solidFill>
              <w14:srgbClr w14:val="000000"/>
            </w14:solidFill>
            <w14:prstDash w14:val="solid"/>
            <w14:miter w14:val="0"/>
          </w14:textOutline>
        </w:rPr>
        <w:t>月</w:t>
      </w:r>
    </w:p>
    <w:p w14:paraId="2940C7E6">
      <w:pPr>
        <w:spacing w:line="360" w:lineRule="auto"/>
        <w:rPr>
          <w:rFonts w:hint="eastAsia" w:ascii="仿宋" w:hAnsi="仿宋" w:eastAsia="仿宋" w:cs="仿宋"/>
          <w:color w:val="auto"/>
          <w:spacing w:val="8"/>
          <w:sz w:val="32"/>
          <w:szCs w:val="32"/>
          <w:highlight w:val="none"/>
          <w14:textOutline w14:w="6769" w14:cap="flat" w14:cmpd="sng" w14:algn="ctr">
            <w14:solidFill>
              <w14:srgbClr w14:val="000000"/>
            </w14:solidFill>
            <w14:prstDash w14:val="solid"/>
            <w14:miter w14:val="0"/>
          </w14:textOutline>
        </w:rPr>
      </w:pPr>
    </w:p>
    <w:p w14:paraId="1CDC9D5C">
      <w:pPr>
        <w:rPr>
          <w:rFonts w:hint="eastAsia" w:ascii="仿宋" w:hAnsi="仿宋" w:eastAsia="仿宋" w:cs="仿宋"/>
          <w:color w:val="auto"/>
          <w:spacing w:val="8"/>
          <w:sz w:val="32"/>
          <w:szCs w:val="32"/>
          <w:highlight w:val="none"/>
          <w14:textOutline w14:w="6769" w14:cap="flat" w14:cmpd="sng" w14:algn="ctr">
            <w14:solidFill>
              <w14:srgbClr w14:val="000000"/>
            </w14:solidFill>
            <w14:prstDash w14:val="solid"/>
            <w14:miter w14:val="0"/>
          </w14:textOutline>
        </w:rPr>
      </w:pPr>
      <w:r>
        <w:rPr>
          <w:rFonts w:ascii="仿宋" w:hAnsi="仿宋" w:eastAsia="仿宋" w:cs="仿宋"/>
          <w:color w:val="auto"/>
          <w:spacing w:val="8"/>
          <w:sz w:val="32"/>
          <w:szCs w:val="32"/>
          <w:highlight w:val="none"/>
          <w14:textOutline w14:w="6769" w14:cap="flat" w14:cmpd="sng" w14:algn="ctr">
            <w14:solidFill>
              <w14:srgbClr w14:val="000000"/>
            </w14:solidFill>
            <w14:prstDash w14:val="solid"/>
            <w14:miter w14:val="0"/>
          </w14:textOutline>
        </w:rPr>
        <w:br w:type="page"/>
      </w:r>
    </w:p>
    <w:p w14:paraId="179ECBED">
      <w:pPr>
        <w:pStyle w:val="11"/>
        <w:rPr>
          <w:color w:val="auto"/>
          <w:highlight w:val="none"/>
        </w:rPr>
      </w:pPr>
    </w:p>
    <w:p w14:paraId="363ED77B">
      <w:pPr>
        <w:pStyle w:val="14"/>
        <w:wordWrap w:val="0"/>
        <w:spacing w:line="360" w:lineRule="auto"/>
        <w:ind w:firstLine="964"/>
        <w:jc w:val="center"/>
        <w:rPr>
          <w:rFonts w:hint="eastAsia" w:hAnsi="宋体" w:cs="宋体"/>
          <w:b/>
          <w:color w:val="auto"/>
          <w:sz w:val="48"/>
          <w:szCs w:val="48"/>
          <w:highlight w:val="none"/>
        </w:rPr>
      </w:pPr>
      <w:r>
        <w:rPr>
          <w:rFonts w:hint="eastAsia" w:hAnsi="宋体" w:cs="宋体"/>
          <w:b/>
          <w:color w:val="auto"/>
          <w:sz w:val="48"/>
          <w:szCs w:val="48"/>
          <w:highlight w:val="none"/>
        </w:rPr>
        <w:t>目     录</w:t>
      </w:r>
    </w:p>
    <w:p w14:paraId="0E3873B2">
      <w:pPr>
        <w:pStyle w:val="18"/>
        <w:tabs>
          <w:tab w:val="right" w:leader="dot" w:pos="9746"/>
        </w:tabs>
        <w:spacing w:before="0" w:after="0" w:line="360" w:lineRule="auto"/>
        <w:rPr>
          <w:rFonts w:hint="eastAsia" w:asciiTheme="minorEastAsia" w:hAnsiTheme="minorEastAsia" w:eastAsiaTheme="minorEastAsia" w:cstheme="minorEastAsia"/>
          <w:color w:val="auto"/>
          <w:sz w:val="24"/>
          <w:szCs w:val="24"/>
          <w:highlight w:val="none"/>
        </w:rPr>
      </w:pPr>
      <w:r>
        <w:rPr>
          <w:rFonts w:hint="eastAsia" w:ascii="宋体" w:hAnsi="宋体" w:cs="宋体"/>
          <w:b w:val="0"/>
          <w:bCs w:val="0"/>
          <w:caps w:val="0"/>
          <w:color w:val="auto"/>
          <w:sz w:val="32"/>
          <w:szCs w:val="32"/>
          <w:highlight w:val="none"/>
        </w:rPr>
        <w:fldChar w:fldCharType="begin"/>
      </w:r>
      <w:r>
        <w:rPr>
          <w:rFonts w:hint="eastAsia" w:ascii="宋体" w:hAnsi="宋体" w:cs="宋体"/>
          <w:b w:val="0"/>
          <w:bCs w:val="0"/>
          <w:caps w:val="0"/>
          <w:color w:val="auto"/>
          <w:sz w:val="32"/>
          <w:szCs w:val="32"/>
          <w:highlight w:val="none"/>
        </w:rPr>
        <w:instrText xml:space="preserve"> TOC \o "1-3" \h \z \u </w:instrText>
      </w:r>
      <w:r>
        <w:rPr>
          <w:rFonts w:hint="eastAsia" w:ascii="宋体" w:hAnsi="宋体" w:cs="宋体"/>
          <w:b w:val="0"/>
          <w:bCs w:val="0"/>
          <w:caps w:val="0"/>
          <w:color w:val="auto"/>
          <w:sz w:val="32"/>
          <w:szCs w:val="32"/>
          <w:highlight w:val="none"/>
        </w:rPr>
        <w:fldChar w:fldCharType="separate"/>
      </w: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HYPERLINK \l "_Toc12415"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第一章  招标公告</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PAGEREF _Toc12415 \h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fldChar w:fldCharType="end"/>
      </w:r>
    </w:p>
    <w:p w14:paraId="3C07F3A7">
      <w:pPr>
        <w:pStyle w:val="18"/>
        <w:tabs>
          <w:tab w:val="right" w:leader="dot" w:pos="9746"/>
        </w:tabs>
        <w:spacing w:before="0" w:after="0"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HYPERLINK \l "_Toc2043"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第二章  采购需求</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PAGEREF _Toc2043 \h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6</w: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fldChar w:fldCharType="end"/>
      </w:r>
    </w:p>
    <w:p w14:paraId="03F04480">
      <w:pPr>
        <w:pStyle w:val="18"/>
        <w:tabs>
          <w:tab w:val="right" w:leader="dot" w:pos="9746"/>
        </w:tabs>
        <w:spacing w:before="0" w:after="0"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HYPERLINK \l "_Toc29457"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第三章  投标人须知</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PAGEREF _Toc29457 \h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30</w: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fldChar w:fldCharType="end"/>
      </w:r>
    </w:p>
    <w:p w14:paraId="2DBD1F8F">
      <w:pPr>
        <w:pStyle w:val="20"/>
        <w:tabs>
          <w:tab w:val="right" w:leader="dot" w:pos="9746"/>
        </w:tabs>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HYPERLINK \l "_Toc26080"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第一节 投标人须知前附表</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PAGEREF _Toc26080 \h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42</w: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fldChar w:fldCharType="end"/>
      </w:r>
    </w:p>
    <w:p w14:paraId="2108CC98">
      <w:pPr>
        <w:pStyle w:val="20"/>
        <w:tabs>
          <w:tab w:val="right" w:leader="dot" w:pos="9746"/>
        </w:tabs>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HYPERLINK \l "_Toc5937"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第二节 投标人须知正文</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PAGEREF _Toc5937 \h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50</w: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fldChar w:fldCharType="end"/>
      </w:r>
    </w:p>
    <w:p w14:paraId="58FD9820">
      <w:pPr>
        <w:pStyle w:val="13"/>
        <w:tabs>
          <w:tab w:val="right" w:leader="dot" w:pos="9746"/>
        </w:tabs>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HYPERLINK \l "_Toc13364"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一、总  则</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PAGEREF _Toc13364 \h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50</w: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fldChar w:fldCharType="end"/>
      </w:r>
    </w:p>
    <w:p w14:paraId="2659D7EC">
      <w:pPr>
        <w:pStyle w:val="13"/>
        <w:tabs>
          <w:tab w:val="right" w:leader="dot" w:pos="9746"/>
        </w:tabs>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HYPERLINK \l "_Toc8119"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二、招标文件</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PAGEREF _Toc8119 \h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53</w: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fldChar w:fldCharType="end"/>
      </w:r>
    </w:p>
    <w:p w14:paraId="5FE679F6">
      <w:pPr>
        <w:pStyle w:val="13"/>
        <w:tabs>
          <w:tab w:val="right" w:leader="dot" w:pos="9746"/>
        </w:tabs>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HYPERLINK \l "_Toc21817"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三、投标文件的编制</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PAGEREF _Toc21817 \h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54</w: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fldChar w:fldCharType="end"/>
      </w:r>
    </w:p>
    <w:p w14:paraId="4DD2DC8B">
      <w:pPr>
        <w:pStyle w:val="13"/>
        <w:tabs>
          <w:tab w:val="right" w:leader="dot" w:pos="9746"/>
        </w:tabs>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HYPERLINK \l "_Toc19841"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四、开    标</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PAGEREF _Toc19841 \h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57</w: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fldChar w:fldCharType="end"/>
      </w:r>
    </w:p>
    <w:p w14:paraId="10405956">
      <w:pPr>
        <w:pStyle w:val="13"/>
        <w:tabs>
          <w:tab w:val="right" w:leader="dot" w:pos="9746"/>
        </w:tabs>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HYPERLINK \l "_Toc22384"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五、资格审查</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PAGEREF _Toc22384 \h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58</w: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fldChar w:fldCharType="end"/>
      </w:r>
    </w:p>
    <w:p w14:paraId="2C71331C">
      <w:pPr>
        <w:pStyle w:val="13"/>
        <w:tabs>
          <w:tab w:val="right" w:leader="dot" w:pos="9746"/>
        </w:tabs>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HYPERLINK \l "_Toc27068"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六、评   标</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PAGEREF _Toc27068 \h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59</w: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fldChar w:fldCharType="end"/>
      </w:r>
    </w:p>
    <w:p w14:paraId="075F4CF0">
      <w:pPr>
        <w:pStyle w:val="13"/>
        <w:tabs>
          <w:tab w:val="right" w:leader="dot" w:pos="9746"/>
        </w:tabs>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HYPERLINK \l "_Toc18748"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七、中标和合同</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PAGEREF _Toc18748 \h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60</w: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fldChar w:fldCharType="end"/>
      </w:r>
    </w:p>
    <w:p w14:paraId="584EE7A4">
      <w:pPr>
        <w:pStyle w:val="13"/>
        <w:tabs>
          <w:tab w:val="right" w:leader="dot" w:pos="9746"/>
        </w:tabs>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HYPERLINK \l "_Toc13189"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bCs/>
          <w:color w:val="auto"/>
          <w:sz w:val="24"/>
          <w:szCs w:val="24"/>
          <w:highlight w:val="none"/>
        </w:rPr>
        <w:t>八、验收</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PAGEREF _Toc13189 \h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66</w: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fldChar w:fldCharType="end"/>
      </w:r>
    </w:p>
    <w:p w14:paraId="11ADA103">
      <w:pPr>
        <w:pStyle w:val="13"/>
        <w:tabs>
          <w:tab w:val="right" w:leader="dot" w:pos="9746"/>
        </w:tabs>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HYPERLINK \l "_Toc13950"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九、其他事项</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PAGEREF _Toc13950 \h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66</w: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fldChar w:fldCharType="end"/>
      </w:r>
    </w:p>
    <w:p w14:paraId="20C42E1F">
      <w:pPr>
        <w:pStyle w:val="18"/>
        <w:tabs>
          <w:tab w:val="right" w:leader="dot" w:pos="9746"/>
        </w:tabs>
        <w:spacing w:before="0" w:after="0"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HYPERLINK \l "_Toc4997"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第四章  评标方法及评分标准</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PAGEREF _Toc4997 \h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68</w: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fldChar w:fldCharType="end"/>
      </w:r>
    </w:p>
    <w:p w14:paraId="7DE0193F">
      <w:pPr>
        <w:pStyle w:val="20"/>
        <w:tabs>
          <w:tab w:val="right" w:leader="dot" w:pos="9746"/>
        </w:tabs>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HYPERLINK \l "_Toc2118"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第一节 评标方法</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PAGEREF _Toc2118 \h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68</w: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fldChar w:fldCharType="end"/>
      </w:r>
    </w:p>
    <w:p w14:paraId="58B30780">
      <w:pPr>
        <w:pStyle w:val="20"/>
        <w:tabs>
          <w:tab w:val="right" w:leader="dot" w:pos="9746"/>
        </w:tabs>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HYPERLINK \l "_Toc3444"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第二节 评标程序</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PAGEREF _Toc3444 \h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68</w: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fldChar w:fldCharType="end"/>
      </w:r>
    </w:p>
    <w:p w14:paraId="70F1BD12">
      <w:pPr>
        <w:pStyle w:val="20"/>
        <w:tabs>
          <w:tab w:val="right" w:leader="dot" w:pos="9746"/>
        </w:tabs>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HYPERLINK \l "_Toc32456"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第三节 评分标准</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PAGEREF _Toc32456 \h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72</w: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fldChar w:fldCharType="end"/>
      </w:r>
    </w:p>
    <w:p w14:paraId="59DE2EDA">
      <w:pPr>
        <w:pStyle w:val="20"/>
        <w:tabs>
          <w:tab w:val="right" w:leader="dot" w:pos="9746"/>
        </w:tabs>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HYPERLINK \l "_Toc26276"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第四节 中标候选人推荐原则</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PAGEREF _Toc26276 \h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77</w: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fldChar w:fldCharType="end"/>
      </w:r>
    </w:p>
    <w:p w14:paraId="50DC4351">
      <w:pPr>
        <w:pStyle w:val="20"/>
        <w:tabs>
          <w:tab w:val="right" w:leader="dot" w:pos="9746"/>
        </w:tabs>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HYPERLINK \l "_Toc52"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第五节 评标报告</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PAGEREF _Toc52 \h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77</w: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fldChar w:fldCharType="end"/>
      </w:r>
    </w:p>
    <w:p w14:paraId="53A63FD4">
      <w:pPr>
        <w:pStyle w:val="18"/>
        <w:tabs>
          <w:tab w:val="right" w:leader="dot" w:pos="9746"/>
        </w:tabs>
        <w:spacing w:before="0" w:after="0"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HYPERLINK \l "_Toc29194"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第五章 拟签订的合同文本</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PAGEREF _Toc29194 \h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78</w: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fldChar w:fldCharType="end"/>
      </w:r>
    </w:p>
    <w:p w14:paraId="15008590">
      <w:pPr>
        <w:pStyle w:val="18"/>
        <w:tabs>
          <w:tab w:val="right" w:leader="dot" w:pos="9746"/>
        </w:tabs>
        <w:spacing w:before="0" w:after="0"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HYPERLINK \l "_Toc2856"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第六章 投标文件格式</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PAGEREF _Toc2856 \h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93</w: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fldChar w:fldCharType="end"/>
      </w:r>
    </w:p>
    <w:p w14:paraId="491F7FBF">
      <w:pPr>
        <w:pStyle w:val="20"/>
        <w:tabs>
          <w:tab w:val="right" w:leader="dot" w:pos="9746"/>
        </w:tabs>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HYPERLINK \l "_Toc13658"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第一节 投标文件外层包装封面</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PAGEREF _Toc13658 \h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94</w: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fldChar w:fldCharType="end"/>
      </w:r>
    </w:p>
    <w:p w14:paraId="3E09BA2B">
      <w:pPr>
        <w:pStyle w:val="20"/>
        <w:tabs>
          <w:tab w:val="right" w:leader="dot" w:pos="9746"/>
        </w:tabs>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HYPERLINK \l "_Toc20946"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第二节 资格证明文件格式</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PAGEREF _Toc20946 \h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95</w: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fldChar w:fldCharType="end"/>
      </w:r>
    </w:p>
    <w:p w14:paraId="3E242820">
      <w:pPr>
        <w:pStyle w:val="20"/>
        <w:tabs>
          <w:tab w:val="right" w:leader="dot" w:pos="9746"/>
        </w:tabs>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HYPERLINK \l "_Toc30766"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第三节 商务文件格式</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PAGEREF _Toc30766 \h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101</w: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fldChar w:fldCharType="end"/>
      </w:r>
    </w:p>
    <w:p w14:paraId="18211182">
      <w:pPr>
        <w:pStyle w:val="20"/>
        <w:tabs>
          <w:tab w:val="right" w:leader="dot" w:pos="9746"/>
        </w:tabs>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HYPERLINK \l "_Toc27389"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第四节 技术文件格式</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PAGEREF _Toc27389 \h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115</w: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fldChar w:fldCharType="end"/>
      </w:r>
    </w:p>
    <w:p w14:paraId="0B42D32C">
      <w:pPr>
        <w:pStyle w:val="20"/>
        <w:tabs>
          <w:tab w:val="right" w:leader="dot" w:pos="9746"/>
        </w:tabs>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HYPERLINK \l "_Toc5466"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第五节 报价文件格式</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PAGEREF _Toc5466 \h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123</w: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fldChar w:fldCharType="end"/>
      </w:r>
    </w:p>
    <w:p w14:paraId="165A6561">
      <w:pPr>
        <w:pStyle w:val="20"/>
        <w:tabs>
          <w:tab w:val="right" w:leader="dot" w:pos="9746"/>
        </w:tabs>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HYPERLINK \l "_Toc12438"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第六节 其他文书、文件格式</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PAGEREF _Toc12438 \h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129</w: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fldChar w:fldCharType="end"/>
      </w:r>
    </w:p>
    <w:p w14:paraId="41D175FD">
      <w:pPr>
        <w:pStyle w:val="18"/>
        <w:tabs>
          <w:tab w:val="right" w:leader="dot" w:pos="9746"/>
        </w:tabs>
        <w:spacing w:before="0" w:after="0"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HYPERLINK \l "_Toc26579"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第七章 质疑、投诉证明材料格式</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PAGEREF _Toc26579 \h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131</w: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fldChar w:fldCharType="end"/>
      </w:r>
    </w:p>
    <w:p w14:paraId="5B1A29A5">
      <w:pPr>
        <w:pStyle w:val="20"/>
        <w:tabs>
          <w:tab w:val="right" w:leader="dot" w:pos="9746"/>
        </w:tabs>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HYPERLINK \l "_Toc24445"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bCs w:val="0"/>
          <w:color w:val="auto"/>
          <w:sz w:val="24"/>
          <w:szCs w:val="24"/>
          <w:highlight w:val="none"/>
        </w:rPr>
        <w:t>第一节 质疑函（格式）</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PAGEREF _Toc24445 \h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132</w: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fldChar w:fldCharType="end"/>
      </w:r>
    </w:p>
    <w:p w14:paraId="35EB2C9B">
      <w:pPr>
        <w:pStyle w:val="20"/>
        <w:tabs>
          <w:tab w:val="right" w:leader="dot" w:pos="9746"/>
        </w:tabs>
        <w:spacing w:line="360" w:lineRule="auto"/>
        <w:rPr>
          <w:color w:val="auto"/>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HYPERLINK \l "_Toc14288"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bCs w:val="0"/>
          <w:color w:val="auto"/>
          <w:sz w:val="24"/>
          <w:szCs w:val="24"/>
          <w:highlight w:val="none"/>
        </w:rPr>
        <w:t>第二节 投诉书（格式）</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PAGEREF _Toc14288 \h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135</w: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fldChar w:fldCharType="end"/>
      </w:r>
    </w:p>
    <w:p w14:paraId="4E53F7A8">
      <w:pPr>
        <w:pStyle w:val="14"/>
        <w:wordWrap w:val="0"/>
        <w:spacing w:line="360" w:lineRule="auto"/>
        <w:jc w:val="center"/>
        <w:rPr>
          <w:rFonts w:hint="eastAsia" w:hAnsi="宋体" w:cs="宋体"/>
          <w:color w:val="auto"/>
          <w:highlight w:val="none"/>
        </w:rPr>
        <w:sectPr>
          <w:headerReference r:id="rId3" w:type="default"/>
          <w:pgSz w:w="11906" w:h="16838"/>
          <w:pgMar w:top="1440" w:right="1080" w:bottom="1440" w:left="1080" w:header="720" w:footer="720" w:gutter="0"/>
          <w:pgNumType w:start="1"/>
          <w:cols w:space="720" w:num="1"/>
          <w:docGrid w:type="lines" w:linePitch="331" w:charSpace="0"/>
        </w:sectPr>
      </w:pPr>
      <w:r>
        <w:rPr>
          <w:rFonts w:hint="eastAsia" w:hAnsi="宋体" w:cs="宋体"/>
          <w:bCs/>
          <w:caps/>
          <w:color w:val="auto"/>
          <w:szCs w:val="32"/>
          <w:highlight w:val="none"/>
          <w:u w:val="single"/>
        </w:rPr>
        <w:fldChar w:fldCharType="end"/>
      </w:r>
      <w:bookmarkStart w:id="0" w:name="_Toc11954"/>
      <w:r>
        <w:rPr>
          <w:rFonts w:hint="eastAsia" w:hAnsi="宋体" w:cs="宋体"/>
          <w:color w:val="auto"/>
          <w:highlight w:val="none"/>
        </w:rPr>
        <w:tab/>
      </w:r>
      <w:bookmarkEnd w:id="0"/>
      <w:bookmarkStart w:id="1" w:name="_Toc532545041"/>
      <w:r>
        <w:rPr>
          <w:rFonts w:hint="eastAsia" w:hAnsi="宋体" w:cs="宋体"/>
          <w:color w:val="auto"/>
          <w:highlight w:val="none"/>
        </w:rPr>
        <w:t>=</w:t>
      </w:r>
    </w:p>
    <w:bookmarkEnd w:id="1"/>
    <w:p w14:paraId="16660E35">
      <w:pPr>
        <w:pStyle w:val="14"/>
        <w:wordWrap w:val="0"/>
        <w:spacing w:line="360" w:lineRule="auto"/>
        <w:ind w:firstLine="723"/>
        <w:jc w:val="center"/>
        <w:outlineLvl w:val="0"/>
        <w:rPr>
          <w:rFonts w:hint="eastAsia" w:hAnsi="宋体" w:cs="宋体"/>
          <w:b/>
          <w:color w:val="auto"/>
          <w:sz w:val="36"/>
          <w:szCs w:val="36"/>
          <w:highlight w:val="none"/>
        </w:rPr>
      </w:pPr>
      <w:bookmarkStart w:id="2" w:name="_Toc532545042"/>
      <w:r>
        <w:rPr>
          <w:rFonts w:hint="eastAsia" w:hAnsi="宋体" w:cs="宋体"/>
          <w:b/>
          <w:color w:val="auto"/>
          <w:sz w:val="36"/>
          <w:highlight w:val="none"/>
        </w:rPr>
        <w:t xml:space="preserve"> </w:t>
      </w:r>
      <w:bookmarkStart w:id="3" w:name="_Toc12415"/>
      <w:r>
        <w:rPr>
          <w:rFonts w:hint="eastAsia" w:hAnsi="宋体" w:cs="宋体"/>
          <w:b/>
          <w:color w:val="auto"/>
          <w:sz w:val="36"/>
          <w:highlight w:val="none"/>
        </w:rPr>
        <w:t>第一章  招标公告</w:t>
      </w:r>
      <w:bookmarkEnd w:id="3"/>
    </w:p>
    <w:p w14:paraId="06A9E3D7">
      <w:pPr>
        <w:pStyle w:val="14"/>
        <w:wordWrap w:val="0"/>
        <w:spacing w:line="360" w:lineRule="auto"/>
        <w:ind w:firstLine="602"/>
        <w:jc w:val="center"/>
        <w:rPr>
          <w:rFonts w:hint="eastAsia" w:hAnsi="宋体" w:cs="宋体"/>
          <w:b/>
          <w:color w:val="auto"/>
          <w:sz w:val="30"/>
          <w:szCs w:val="30"/>
          <w:highlight w:val="none"/>
        </w:rPr>
      </w:pPr>
      <w:r>
        <w:rPr>
          <w:rFonts w:hint="eastAsia" w:hAnsi="宋体" w:cs="宋体"/>
          <w:b/>
          <w:color w:val="auto"/>
          <w:sz w:val="30"/>
          <w:szCs w:val="30"/>
          <w:highlight w:val="none"/>
        </w:rPr>
        <w:t>公开招标公告</w:t>
      </w:r>
    </w:p>
    <w:p w14:paraId="3F9C1344">
      <w:pPr>
        <w:pBdr>
          <w:top w:val="single" w:color="auto" w:sz="4" w:space="1"/>
          <w:left w:val="single" w:color="auto" w:sz="4" w:space="4"/>
          <w:bottom w:val="single" w:color="auto" w:sz="4" w:space="1"/>
          <w:right w:val="single" w:color="auto" w:sz="4" w:space="4"/>
        </w:pBd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项目概况</w:t>
      </w:r>
    </w:p>
    <w:p w14:paraId="474B6837">
      <w:pPr>
        <w:pBdr>
          <w:top w:val="single" w:color="auto" w:sz="4" w:space="1"/>
          <w:left w:val="single" w:color="auto" w:sz="4" w:space="4"/>
          <w:bottom w:val="single" w:color="auto" w:sz="4" w:space="1"/>
          <w:right w:val="single" w:color="auto" w:sz="4" w:space="4"/>
        </w:pBdr>
        <w:wordWrap w:val="0"/>
        <w:spacing w:line="360" w:lineRule="auto"/>
        <w:ind w:firstLine="525" w:firstLineChars="250"/>
        <w:rPr>
          <w:rFonts w:hint="eastAsia" w:ascii="宋体" w:hAnsi="宋体" w:cs="宋体"/>
          <w:color w:val="auto"/>
          <w:sz w:val="24"/>
          <w:highlight w:val="none"/>
          <w:u w:val="single"/>
        </w:rPr>
      </w:pPr>
      <w:r>
        <w:rPr>
          <w:color w:val="auto"/>
          <w:highlight w:val="none"/>
        </w:rPr>
        <w:fldChar w:fldCharType="begin"/>
      </w:r>
      <w:r>
        <w:rPr>
          <w:color w:val="auto"/>
          <w:highlight w:val="none"/>
        </w:rPr>
        <w:instrText xml:space="preserve"> HYPERLINK "https://pay.gcy.zfcg.gxzf.gov.cn/purchaseplan_front/" \l "/plan/list/_blank" \t "https://pay.gcy.zfcg.gxzf.gov.cn/purchaseplan_front/" </w:instrText>
      </w:r>
      <w:r>
        <w:rPr>
          <w:color w:val="auto"/>
          <w:highlight w:val="none"/>
        </w:rPr>
        <w:fldChar w:fldCharType="separate"/>
      </w:r>
      <w:r>
        <w:rPr>
          <w:rFonts w:hint="eastAsia" w:ascii="宋体" w:hAnsi="宋体" w:cs="宋体"/>
          <w:color w:val="auto"/>
          <w:sz w:val="24"/>
          <w:highlight w:val="none"/>
          <w:u w:val="single"/>
          <w:lang w:eastAsia="zh-CN"/>
        </w:rPr>
        <w:t>南宁市电子政务云平台（二期）运维服务项目</w:t>
      </w:r>
      <w:r>
        <w:rPr>
          <w:rFonts w:hint="eastAsia" w:ascii="宋体" w:hAnsi="宋体" w:cs="宋体"/>
          <w:color w:val="auto"/>
          <w:sz w:val="24"/>
          <w:highlight w:val="none"/>
          <w:u w:val="single"/>
        </w:rPr>
        <w:fldChar w:fldCharType="end"/>
      </w:r>
      <w:r>
        <w:rPr>
          <w:rFonts w:hint="eastAsia" w:ascii="宋体" w:hAnsi="宋体" w:cs="宋体"/>
          <w:color w:val="auto"/>
          <w:sz w:val="24"/>
          <w:highlight w:val="none"/>
        </w:rPr>
        <w:t>招标项目的潜在投标人应在广西政府采购云平台（https://login.gcy.zfcg.gxzf.gov.cn/user-login/#/）获取（下载）招标文件，并于</w:t>
      </w:r>
      <w:r>
        <w:rPr>
          <w:rFonts w:hint="eastAsia" w:ascii="宋体" w:hAnsi="宋体" w:cs="宋体"/>
          <w:color w:val="auto"/>
          <w:sz w:val="24"/>
          <w:highlight w:val="none"/>
          <w:u w:val="single"/>
          <w:lang w:eastAsia="zh-CN"/>
        </w:rPr>
        <w:t>2025年</w:t>
      </w:r>
      <w:r>
        <w:rPr>
          <w:rFonts w:hint="eastAsia" w:ascii="宋体" w:hAnsi="宋体" w:cs="宋体"/>
          <w:color w:val="auto"/>
          <w:sz w:val="24"/>
          <w:highlight w:val="none"/>
          <w:u w:val="single"/>
          <w:lang w:val="en-US" w:eastAsia="zh-CN"/>
        </w:rPr>
        <w:t>12</w:t>
      </w:r>
      <w:r>
        <w:rPr>
          <w:rFonts w:hint="eastAsia" w:ascii="宋体" w:hAnsi="宋体" w:cs="宋体"/>
          <w:color w:val="auto"/>
          <w:sz w:val="24"/>
          <w:highlight w:val="none"/>
          <w:u w:val="single"/>
          <w:lang w:eastAsia="zh-CN"/>
        </w:rPr>
        <w:t>月</w:t>
      </w:r>
      <w:r>
        <w:rPr>
          <w:rFonts w:hint="eastAsia" w:ascii="宋体" w:hAnsi="宋体" w:cs="宋体"/>
          <w:color w:val="auto"/>
          <w:sz w:val="24"/>
          <w:highlight w:val="none"/>
          <w:u w:val="single"/>
          <w:lang w:val="en-US" w:eastAsia="zh-CN"/>
        </w:rPr>
        <w:t>29</w:t>
      </w:r>
      <w:r>
        <w:rPr>
          <w:rFonts w:hint="eastAsia" w:ascii="宋体" w:hAnsi="宋体" w:cs="宋体"/>
          <w:color w:val="auto"/>
          <w:sz w:val="24"/>
          <w:highlight w:val="none"/>
          <w:u w:val="single"/>
          <w:lang w:eastAsia="zh-CN"/>
        </w:rPr>
        <w:t>日</w:t>
      </w:r>
      <w:r>
        <w:rPr>
          <w:rFonts w:hint="eastAsia" w:ascii="宋体" w:hAnsi="宋体" w:cs="宋体"/>
          <w:color w:val="auto"/>
          <w:sz w:val="24"/>
          <w:highlight w:val="none"/>
          <w:u w:val="single"/>
          <w:lang w:val="en-US" w:eastAsia="zh-CN"/>
        </w:rPr>
        <w:t>09</w:t>
      </w:r>
      <w:r>
        <w:rPr>
          <w:rFonts w:hint="eastAsia" w:ascii="宋体" w:hAnsi="宋体" w:cs="宋体"/>
          <w:color w:val="auto"/>
          <w:sz w:val="24"/>
          <w:highlight w:val="none"/>
          <w:u w:val="single"/>
          <w:lang w:eastAsia="zh-CN"/>
        </w:rPr>
        <w:t>时</w:t>
      </w:r>
      <w:r>
        <w:rPr>
          <w:rFonts w:hint="eastAsia" w:ascii="宋体" w:hAnsi="宋体" w:cs="宋体"/>
          <w:color w:val="auto"/>
          <w:sz w:val="24"/>
          <w:highlight w:val="none"/>
          <w:u w:val="single"/>
          <w:lang w:val="en-US" w:eastAsia="zh-CN"/>
        </w:rPr>
        <w:t>30</w:t>
      </w:r>
      <w:r>
        <w:rPr>
          <w:rFonts w:hint="eastAsia" w:ascii="宋体" w:hAnsi="宋体" w:cs="宋体"/>
          <w:color w:val="auto"/>
          <w:sz w:val="24"/>
          <w:highlight w:val="none"/>
          <w:u w:val="single"/>
          <w:lang w:eastAsia="zh-CN"/>
        </w:rPr>
        <w:t>分</w:t>
      </w:r>
      <w:r>
        <w:rPr>
          <w:rFonts w:hint="eastAsia" w:ascii="宋体" w:hAnsi="宋体" w:cs="宋体"/>
          <w:color w:val="auto"/>
          <w:sz w:val="24"/>
          <w:highlight w:val="none"/>
          <w:u w:val="single"/>
        </w:rPr>
        <w:t>00秒</w:t>
      </w:r>
      <w:r>
        <w:rPr>
          <w:rFonts w:hint="eastAsia" w:ascii="宋体" w:hAnsi="宋体" w:cs="宋体"/>
          <w:bCs/>
          <w:color w:val="auto"/>
          <w:sz w:val="24"/>
          <w:highlight w:val="none"/>
        </w:rPr>
        <w:t>（北京时间）前</w:t>
      </w:r>
      <w:r>
        <w:rPr>
          <w:rFonts w:hint="eastAsia" w:ascii="宋体" w:hAnsi="宋体" w:cs="宋体"/>
          <w:color w:val="auto"/>
          <w:sz w:val="24"/>
          <w:highlight w:val="none"/>
        </w:rPr>
        <w:t>递交（上传）投标文件。</w:t>
      </w:r>
    </w:p>
    <w:p w14:paraId="11772DD2">
      <w:pPr>
        <w:wordWrap w:val="0"/>
        <w:spacing w:line="360" w:lineRule="auto"/>
        <w:ind w:firstLine="482"/>
        <w:rPr>
          <w:rFonts w:hint="eastAsia" w:ascii="宋体" w:hAnsi="宋体" w:cs="宋体"/>
          <w:b/>
          <w:bCs/>
          <w:color w:val="auto"/>
          <w:sz w:val="24"/>
          <w:highlight w:val="none"/>
        </w:rPr>
      </w:pPr>
      <w:r>
        <w:rPr>
          <w:rFonts w:hint="eastAsia" w:ascii="宋体" w:hAnsi="宋体" w:cs="宋体"/>
          <w:b/>
          <w:bCs/>
          <w:color w:val="auto"/>
          <w:sz w:val="24"/>
          <w:highlight w:val="none"/>
        </w:rPr>
        <w:t>一、项目基本情况</w:t>
      </w:r>
    </w:p>
    <w:p w14:paraId="2564B8C4">
      <w:pPr>
        <w:wordWrap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项目编号：</w:t>
      </w:r>
      <w:r>
        <w:rPr>
          <w:rFonts w:hint="eastAsia" w:ascii="宋体" w:hAnsi="宋体" w:cs="宋体"/>
          <w:color w:val="auto"/>
          <w:sz w:val="24"/>
          <w:highlight w:val="none"/>
          <w:lang w:eastAsia="zh-CN"/>
        </w:rPr>
        <w:t>NNZC2025-G3-991381-GXYZ</w:t>
      </w:r>
      <w:bookmarkStart w:id="295" w:name="_GoBack"/>
      <w:bookmarkEnd w:id="295"/>
    </w:p>
    <w:p w14:paraId="31697DCD">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采购计划文号：NNZC[2025]8352号-001、NNZC[2025]8352号-002</w:t>
      </w:r>
    </w:p>
    <w:p w14:paraId="127AB8D5">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项目名称：</w:t>
      </w:r>
      <w:r>
        <w:rPr>
          <w:color w:val="auto"/>
          <w:highlight w:val="none"/>
        </w:rPr>
        <w:fldChar w:fldCharType="begin"/>
      </w:r>
      <w:r>
        <w:rPr>
          <w:color w:val="auto"/>
          <w:highlight w:val="none"/>
        </w:rPr>
        <w:instrText xml:space="preserve"> HYPERLINK "https://pay.gcy.zfcg.gxzf.gov.cn/purchaseplan_front/" \l "/plan/list/_blank" \t "https://pay.gcy.zfcg.gxzf.gov.cn/purchaseplan_front/" </w:instrText>
      </w:r>
      <w:r>
        <w:rPr>
          <w:color w:val="auto"/>
          <w:highlight w:val="none"/>
        </w:rPr>
        <w:fldChar w:fldCharType="separate"/>
      </w:r>
      <w:r>
        <w:rPr>
          <w:rFonts w:hint="eastAsia" w:ascii="宋体" w:hAnsi="宋体" w:cs="宋体"/>
          <w:color w:val="auto"/>
          <w:sz w:val="24"/>
          <w:highlight w:val="none"/>
          <w:lang w:eastAsia="zh-CN"/>
        </w:rPr>
        <w:t>南宁市电子政务云平台（二期）运维服务项目</w:t>
      </w:r>
      <w:r>
        <w:rPr>
          <w:rFonts w:hint="eastAsia" w:ascii="宋体" w:hAnsi="宋体" w:cs="宋体"/>
          <w:color w:val="auto"/>
          <w:sz w:val="24"/>
          <w:highlight w:val="none"/>
        </w:rPr>
        <w:fldChar w:fldCharType="end"/>
      </w:r>
    </w:p>
    <w:p w14:paraId="7FBEA924">
      <w:pPr>
        <w:wordWrap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预算金额：</w:t>
      </w:r>
      <w:r>
        <w:rPr>
          <w:rFonts w:hint="eastAsia" w:ascii="宋体" w:hAnsi="宋体" w:cs="宋体"/>
          <w:color w:val="auto"/>
          <w:sz w:val="24"/>
          <w:highlight w:val="none"/>
          <w:lang w:eastAsia="zh-CN"/>
        </w:rPr>
        <w:t>人民币贰佰柒拾玖万元整（¥2790000.00）</w:t>
      </w:r>
    </w:p>
    <w:p w14:paraId="3160FE71">
      <w:pPr>
        <w:wordWrap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最高限价：</w:t>
      </w:r>
      <w:r>
        <w:rPr>
          <w:rFonts w:hint="eastAsia" w:ascii="宋体" w:hAnsi="宋体" w:cs="宋体"/>
          <w:color w:val="auto"/>
          <w:sz w:val="24"/>
          <w:highlight w:val="none"/>
          <w:lang w:eastAsia="zh-CN"/>
        </w:rPr>
        <w:t>人民币贰佰柒拾玖万元整（¥2790000.00）</w:t>
      </w:r>
    </w:p>
    <w:p w14:paraId="0CC7F381">
      <w:pPr>
        <w:wordWrap w:val="0"/>
        <w:spacing w:line="360" w:lineRule="auto"/>
        <w:ind w:firstLine="480" w:firstLineChars="200"/>
        <w:rPr>
          <w:color w:val="auto"/>
          <w:highlight w:val="none"/>
        </w:rPr>
      </w:pPr>
      <w:r>
        <w:rPr>
          <w:rFonts w:hint="eastAsia" w:ascii="宋体" w:hAnsi="宋体" w:cs="宋体"/>
          <w:color w:val="auto"/>
          <w:sz w:val="24"/>
          <w:highlight w:val="none"/>
        </w:rPr>
        <w:t xml:space="preserve">采购需求： </w:t>
      </w:r>
    </w:p>
    <w:tbl>
      <w:tblPr>
        <w:tblStyle w:val="25"/>
        <w:tblW w:w="1017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1"/>
        <w:gridCol w:w="1854"/>
        <w:gridCol w:w="735"/>
        <w:gridCol w:w="870"/>
        <w:gridCol w:w="6043"/>
      </w:tblGrid>
      <w:tr w14:paraId="053646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jc w:val="center"/>
        </w:trPr>
        <w:tc>
          <w:tcPr>
            <w:tcW w:w="671" w:type="dxa"/>
            <w:tcBorders>
              <w:top w:val="single" w:color="auto" w:sz="4" w:space="0"/>
              <w:left w:val="single" w:color="auto" w:sz="4" w:space="0"/>
              <w:bottom w:val="single" w:color="auto" w:sz="4" w:space="0"/>
              <w:right w:val="single" w:color="auto" w:sz="4" w:space="0"/>
            </w:tcBorders>
            <w:vAlign w:val="center"/>
          </w:tcPr>
          <w:p w14:paraId="48D6725A">
            <w:pPr>
              <w:wordWrap w:val="0"/>
              <w:snapToGrid w:val="0"/>
              <w:spacing w:line="360" w:lineRule="auto"/>
              <w:jc w:val="center"/>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t>序号</w:t>
            </w:r>
          </w:p>
        </w:tc>
        <w:tc>
          <w:tcPr>
            <w:tcW w:w="1854" w:type="dxa"/>
            <w:tcBorders>
              <w:top w:val="single" w:color="auto" w:sz="4" w:space="0"/>
              <w:left w:val="single" w:color="auto" w:sz="4" w:space="0"/>
              <w:bottom w:val="single" w:color="auto" w:sz="4" w:space="0"/>
              <w:right w:val="single" w:color="auto" w:sz="4" w:space="0"/>
            </w:tcBorders>
            <w:vAlign w:val="center"/>
          </w:tcPr>
          <w:p w14:paraId="0A2AA608">
            <w:pPr>
              <w:wordWrap w:val="0"/>
              <w:snapToGrid w:val="0"/>
              <w:spacing w:line="360" w:lineRule="auto"/>
              <w:jc w:val="center"/>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t>标的的名称</w:t>
            </w:r>
          </w:p>
        </w:tc>
        <w:tc>
          <w:tcPr>
            <w:tcW w:w="735" w:type="dxa"/>
            <w:tcBorders>
              <w:top w:val="single" w:color="auto" w:sz="4" w:space="0"/>
              <w:left w:val="single" w:color="auto" w:sz="4" w:space="0"/>
              <w:bottom w:val="single" w:color="auto" w:sz="4" w:space="0"/>
              <w:right w:val="single" w:color="auto" w:sz="4" w:space="0"/>
            </w:tcBorders>
            <w:vAlign w:val="center"/>
          </w:tcPr>
          <w:p w14:paraId="185E2ACF">
            <w:pPr>
              <w:wordWrap w:val="0"/>
              <w:snapToGrid w:val="0"/>
              <w:spacing w:line="360" w:lineRule="auto"/>
              <w:jc w:val="center"/>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t>单位</w:t>
            </w:r>
          </w:p>
        </w:tc>
        <w:tc>
          <w:tcPr>
            <w:tcW w:w="870" w:type="dxa"/>
            <w:tcBorders>
              <w:top w:val="single" w:color="auto" w:sz="4" w:space="0"/>
              <w:left w:val="single" w:color="auto" w:sz="4" w:space="0"/>
              <w:bottom w:val="single" w:color="auto" w:sz="4" w:space="0"/>
              <w:right w:val="single" w:color="auto" w:sz="4" w:space="0"/>
            </w:tcBorders>
            <w:vAlign w:val="center"/>
          </w:tcPr>
          <w:p w14:paraId="3C815862">
            <w:pPr>
              <w:wordWrap w:val="0"/>
              <w:snapToGrid w:val="0"/>
              <w:spacing w:line="360" w:lineRule="auto"/>
              <w:jc w:val="center"/>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t>数量</w:t>
            </w:r>
          </w:p>
        </w:tc>
        <w:tc>
          <w:tcPr>
            <w:tcW w:w="6043" w:type="dxa"/>
            <w:tcBorders>
              <w:top w:val="single" w:color="auto" w:sz="4" w:space="0"/>
              <w:left w:val="single" w:color="auto" w:sz="4" w:space="0"/>
              <w:bottom w:val="single" w:color="auto" w:sz="4" w:space="0"/>
              <w:right w:val="single" w:color="auto" w:sz="4" w:space="0"/>
            </w:tcBorders>
            <w:vAlign w:val="center"/>
          </w:tcPr>
          <w:p w14:paraId="3C2A7DBE">
            <w:pPr>
              <w:wordWrap w:val="0"/>
              <w:snapToGrid w:val="0"/>
              <w:spacing w:line="360" w:lineRule="auto"/>
              <w:jc w:val="center"/>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t>简要服务要求或者技术需求</w:t>
            </w:r>
          </w:p>
        </w:tc>
      </w:tr>
      <w:tr w14:paraId="224423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14:paraId="51E143FD">
            <w:pPr>
              <w:keepNext w:val="0"/>
              <w:keepLines w:val="0"/>
              <w:pageBreakBefore w:val="0"/>
              <w:kinsoku/>
              <w:wordWrap w:val="0"/>
              <w:overflowPunct/>
              <w:topLinePunct w:val="0"/>
              <w:bidi w:val="0"/>
              <w:snapToGrid w:val="0"/>
              <w:spacing w:line="500" w:lineRule="exact"/>
              <w:jc w:val="center"/>
              <w:textAlignment w:val="auto"/>
              <w:rPr>
                <w:rFonts w:hint="eastAsia" w:ascii="新宋体" w:hAnsi="新宋体" w:eastAsia="新宋体" w:cs="新宋体"/>
                <w:color w:val="auto"/>
                <w:sz w:val="24"/>
                <w:highlight w:val="none"/>
              </w:rPr>
            </w:pPr>
            <w:r>
              <w:rPr>
                <w:rFonts w:hint="eastAsia" w:asciiTheme="minorEastAsia" w:hAnsiTheme="minorEastAsia" w:eastAsiaTheme="minorEastAsia" w:cstheme="minorEastAsia"/>
                <w:color w:val="auto"/>
                <w:sz w:val="24"/>
                <w:szCs w:val="24"/>
                <w:highlight w:val="none"/>
              </w:rPr>
              <w:t>1</w:t>
            </w:r>
          </w:p>
        </w:tc>
        <w:tc>
          <w:tcPr>
            <w:tcW w:w="1854" w:type="dxa"/>
            <w:tcBorders>
              <w:top w:val="single" w:color="auto" w:sz="4" w:space="0"/>
              <w:left w:val="single" w:color="auto" w:sz="4" w:space="0"/>
              <w:bottom w:val="single" w:color="auto" w:sz="4" w:space="0"/>
              <w:right w:val="single" w:color="auto" w:sz="4" w:space="0"/>
            </w:tcBorders>
            <w:vAlign w:val="center"/>
          </w:tcPr>
          <w:p w14:paraId="6666ACDF">
            <w:pPr>
              <w:keepNext w:val="0"/>
              <w:keepLines w:val="0"/>
              <w:pageBreakBefore w:val="0"/>
              <w:widowControl/>
              <w:kinsoku/>
              <w:overflowPunct/>
              <w:topLinePunct w:val="0"/>
              <w:bidi w:val="0"/>
              <w:spacing w:line="500" w:lineRule="exact"/>
              <w:jc w:val="center"/>
              <w:textAlignment w:val="auto"/>
              <w:rPr>
                <w:rFonts w:hint="eastAsia" w:ascii="新宋体" w:hAnsi="新宋体" w:eastAsia="新宋体" w:cs="新宋体"/>
                <w:color w:val="auto"/>
                <w:sz w:val="24"/>
                <w:highlight w:val="none"/>
              </w:rPr>
            </w:pPr>
            <w:r>
              <w:rPr>
                <w:rFonts w:hint="eastAsia" w:asciiTheme="minorEastAsia" w:hAnsiTheme="minorEastAsia" w:eastAsiaTheme="minorEastAsia" w:cstheme="minorEastAsia"/>
                <w:color w:val="auto"/>
                <w:kern w:val="0"/>
                <w:sz w:val="24"/>
                <w:szCs w:val="24"/>
                <w:highlight w:val="none"/>
              </w:rPr>
              <w:t>南宁市电子政务云平台</w:t>
            </w:r>
            <w:r>
              <w:rPr>
                <w:rFonts w:hint="eastAsia" w:asciiTheme="minorEastAsia" w:hAnsiTheme="minorEastAsia" w:eastAsiaTheme="minorEastAsia" w:cstheme="minorEastAsia"/>
                <w:color w:val="auto"/>
                <w:kern w:val="0"/>
                <w:sz w:val="24"/>
                <w:szCs w:val="24"/>
                <w:highlight w:val="none"/>
                <w:lang w:val="en-US" w:eastAsia="zh-CN"/>
              </w:rPr>
              <w:t>二期</w:t>
            </w:r>
            <w:r>
              <w:rPr>
                <w:rFonts w:hint="eastAsia" w:asciiTheme="minorEastAsia" w:hAnsiTheme="minorEastAsia" w:eastAsiaTheme="minorEastAsia" w:cstheme="minorEastAsia"/>
                <w:color w:val="auto"/>
                <w:kern w:val="0"/>
                <w:sz w:val="24"/>
                <w:szCs w:val="24"/>
                <w:highlight w:val="none"/>
              </w:rPr>
              <w:t>运维服务</w:t>
            </w:r>
          </w:p>
        </w:tc>
        <w:tc>
          <w:tcPr>
            <w:tcW w:w="735" w:type="dxa"/>
            <w:tcBorders>
              <w:top w:val="single" w:color="auto" w:sz="4" w:space="0"/>
              <w:left w:val="single" w:color="auto" w:sz="4" w:space="0"/>
              <w:bottom w:val="single" w:color="auto" w:sz="4" w:space="0"/>
              <w:right w:val="single" w:color="auto" w:sz="4" w:space="0"/>
            </w:tcBorders>
            <w:vAlign w:val="center"/>
          </w:tcPr>
          <w:p w14:paraId="6E92516C">
            <w:pPr>
              <w:keepNext w:val="0"/>
              <w:keepLines w:val="0"/>
              <w:pageBreakBefore w:val="0"/>
              <w:widowControl/>
              <w:kinsoku/>
              <w:overflowPunct/>
              <w:topLinePunct w:val="0"/>
              <w:bidi w:val="0"/>
              <w:spacing w:line="500" w:lineRule="exact"/>
              <w:jc w:val="center"/>
              <w:textAlignment w:val="auto"/>
              <w:rPr>
                <w:rFonts w:hint="eastAsia" w:ascii="新宋体" w:hAnsi="新宋体" w:eastAsia="新宋体" w:cs="新宋体"/>
                <w:color w:val="auto"/>
                <w:sz w:val="24"/>
                <w:highlight w:val="none"/>
              </w:rPr>
            </w:pPr>
            <w:r>
              <w:rPr>
                <w:rFonts w:hint="eastAsia" w:asciiTheme="minorEastAsia" w:hAnsiTheme="minorEastAsia" w:eastAsiaTheme="minorEastAsia" w:cstheme="minorEastAsia"/>
                <w:color w:val="auto"/>
                <w:kern w:val="0"/>
                <w:sz w:val="24"/>
                <w:szCs w:val="24"/>
                <w:highlight w:val="none"/>
              </w:rPr>
              <w:t>项</w:t>
            </w:r>
          </w:p>
        </w:tc>
        <w:tc>
          <w:tcPr>
            <w:tcW w:w="870" w:type="dxa"/>
            <w:tcBorders>
              <w:top w:val="single" w:color="auto" w:sz="4" w:space="0"/>
              <w:left w:val="single" w:color="auto" w:sz="4" w:space="0"/>
              <w:bottom w:val="single" w:color="auto" w:sz="4" w:space="0"/>
              <w:right w:val="single" w:color="auto" w:sz="4" w:space="0"/>
            </w:tcBorders>
            <w:vAlign w:val="center"/>
          </w:tcPr>
          <w:p w14:paraId="3A3D357A">
            <w:pPr>
              <w:keepNext w:val="0"/>
              <w:keepLines w:val="0"/>
              <w:pageBreakBefore w:val="0"/>
              <w:kinsoku/>
              <w:overflowPunct/>
              <w:topLinePunct w:val="0"/>
              <w:bidi w:val="0"/>
              <w:spacing w:line="500" w:lineRule="exact"/>
              <w:jc w:val="center"/>
              <w:textAlignment w:val="auto"/>
              <w:rPr>
                <w:rFonts w:hint="eastAsia" w:ascii="新宋体" w:hAnsi="新宋体" w:eastAsia="新宋体" w:cs="新宋体"/>
                <w:color w:val="auto"/>
                <w:sz w:val="24"/>
                <w:highlight w:val="none"/>
              </w:rPr>
            </w:pPr>
            <w:r>
              <w:rPr>
                <w:rFonts w:hint="eastAsia" w:asciiTheme="minorEastAsia" w:hAnsiTheme="minorEastAsia" w:eastAsiaTheme="minorEastAsia" w:cstheme="minorEastAsia"/>
                <w:color w:val="auto"/>
                <w:kern w:val="0"/>
                <w:sz w:val="24"/>
                <w:szCs w:val="24"/>
                <w:highlight w:val="none"/>
              </w:rPr>
              <w:t>1</w:t>
            </w:r>
          </w:p>
        </w:tc>
        <w:tc>
          <w:tcPr>
            <w:tcW w:w="6043" w:type="dxa"/>
            <w:tcBorders>
              <w:top w:val="single" w:color="auto" w:sz="4" w:space="0"/>
              <w:left w:val="single" w:color="auto" w:sz="4" w:space="0"/>
              <w:bottom w:val="single" w:color="auto" w:sz="4" w:space="0"/>
              <w:right w:val="single" w:color="auto" w:sz="4" w:space="0"/>
            </w:tcBorders>
            <w:vAlign w:val="center"/>
          </w:tcPr>
          <w:p w14:paraId="69B13434">
            <w:pPr>
              <w:keepNext w:val="0"/>
              <w:keepLines w:val="0"/>
              <w:pageBreakBefore w:val="0"/>
              <w:kinsoku/>
              <w:overflowPunct/>
              <w:topLinePunct w:val="0"/>
              <w:autoSpaceDE w:val="0"/>
              <w:autoSpaceDN w:val="0"/>
              <w:bidi w:val="0"/>
              <w:adjustRightInd w:val="0"/>
              <w:spacing w:line="500" w:lineRule="exact"/>
              <w:ind w:firstLine="480" w:firstLineChars="200"/>
              <w:jc w:val="left"/>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b/>
                <w:color w:val="auto"/>
                <w:sz w:val="24"/>
                <w:szCs w:val="24"/>
                <w:highlight w:val="none"/>
              </w:rPr>
              <w:t>一、运维服务总体要求</w:t>
            </w:r>
          </w:p>
          <w:p w14:paraId="3E4216C2">
            <w:pPr>
              <w:keepNext w:val="0"/>
              <w:keepLines w:val="0"/>
              <w:pageBreakBefore w:val="0"/>
              <w:kinsoku/>
              <w:wordWrap w:val="0"/>
              <w:overflowPunct/>
              <w:topLinePunct w:val="0"/>
              <w:bidi w:val="0"/>
              <w:spacing w:line="50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本次招标内容是南宁市电子政务运维服务，确保云平台在服务期内安全、稳定、可靠运行。云平台包括</w:t>
            </w:r>
            <w:r>
              <w:rPr>
                <w:rFonts w:hint="eastAsia" w:asciiTheme="minorEastAsia" w:hAnsiTheme="minorEastAsia" w:eastAsiaTheme="minorEastAsia" w:cstheme="minorEastAsia"/>
                <w:color w:val="auto"/>
                <w:sz w:val="24"/>
                <w:szCs w:val="24"/>
                <w:highlight w:val="none"/>
                <w:lang w:val="en-US" w:eastAsia="zh-CN"/>
              </w:rPr>
              <w:t>南宁电子政务云平台（二期）互联网区、公共网络区、运维管理区。</w:t>
            </w:r>
          </w:p>
          <w:p w14:paraId="6B6CEE1F">
            <w:pPr>
              <w:keepNext w:val="0"/>
              <w:keepLines w:val="0"/>
              <w:pageBreakBefore w:val="0"/>
              <w:kinsoku/>
              <w:wordWrap w:val="0"/>
              <w:overflowPunct/>
              <w:topLinePunct w:val="0"/>
              <w:bidi w:val="0"/>
              <w:spacing w:line="500" w:lineRule="exact"/>
              <w:ind w:firstLine="480" w:firstLineChars="200"/>
              <w:jc w:val="left"/>
              <w:textAlignment w:val="auto"/>
              <w:rPr>
                <w:rFonts w:hint="eastAsia" w:ascii="新宋体" w:hAnsi="新宋体" w:eastAsia="新宋体" w:cs="新宋体"/>
                <w:color w:val="auto"/>
                <w:sz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b/>
                <w:color w:val="auto"/>
                <w:sz w:val="24"/>
                <w:szCs w:val="24"/>
                <w:highlight w:val="none"/>
              </w:rPr>
              <w:t>具体详见公开招标文件“第二章 采购需求”。</w:t>
            </w:r>
          </w:p>
        </w:tc>
      </w:tr>
      <w:tr w14:paraId="5E13AA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3" w:hRule="atLeast"/>
          <w:jc w:val="center"/>
        </w:trPr>
        <w:tc>
          <w:tcPr>
            <w:tcW w:w="671" w:type="dxa"/>
            <w:tcBorders>
              <w:top w:val="single" w:color="auto" w:sz="4" w:space="0"/>
              <w:left w:val="single" w:color="auto" w:sz="4" w:space="0"/>
              <w:bottom w:val="single" w:color="auto" w:sz="4" w:space="0"/>
              <w:right w:val="single" w:color="auto" w:sz="4" w:space="0"/>
            </w:tcBorders>
            <w:vAlign w:val="center"/>
          </w:tcPr>
          <w:p w14:paraId="03411237">
            <w:pPr>
              <w:keepNext w:val="0"/>
              <w:keepLines w:val="0"/>
              <w:pageBreakBefore w:val="0"/>
              <w:kinsoku/>
              <w:overflowPunct/>
              <w:topLinePunct w:val="0"/>
              <w:bidi w:val="0"/>
              <w:spacing w:line="500" w:lineRule="exact"/>
              <w:jc w:val="center"/>
              <w:textAlignment w:val="auto"/>
              <w:rPr>
                <w:rFonts w:hint="eastAsia" w:ascii="新宋体" w:hAnsi="新宋体" w:eastAsia="新宋体" w:cs="新宋体"/>
                <w:color w:val="auto"/>
                <w:sz w:val="24"/>
                <w:highlight w:val="none"/>
              </w:rPr>
            </w:pPr>
            <w:r>
              <w:rPr>
                <w:rFonts w:hint="eastAsia" w:asciiTheme="minorEastAsia" w:hAnsiTheme="minorEastAsia" w:eastAsiaTheme="minorEastAsia" w:cstheme="minorEastAsia"/>
                <w:color w:val="auto"/>
                <w:sz w:val="24"/>
                <w:szCs w:val="24"/>
                <w:highlight w:val="none"/>
                <w:lang w:val="en-US" w:eastAsia="zh-CN"/>
              </w:rPr>
              <w:t>2</w:t>
            </w:r>
          </w:p>
        </w:tc>
        <w:tc>
          <w:tcPr>
            <w:tcW w:w="1854" w:type="dxa"/>
            <w:tcBorders>
              <w:top w:val="single" w:color="auto" w:sz="4" w:space="0"/>
              <w:left w:val="single" w:color="auto" w:sz="4" w:space="0"/>
              <w:bottom w:val="single" w:color="auto" w:sz="4" w:space="0"/>
              <w:right w:val="single" w:color="auto" w:sz="4" w:space="0"/>
            </w:tcBorders>
            <w:vAlign w:val="center"/>
          </w:tcPr>
          <w:p w14:paraId="77779C1B">
            <w:pPr>
              <w:keepNext w:val="0"/>
              <w:keepLines w:val="0"/>
              <w:pageBreakBefore w:val="0"/>
              <w:widowControl/>
              <w:kinsoku/>
              <w:overflowPunct/>
              <w:topLinePunct w:val="0"/>
              <w:bidi w:val="0"/>
              <w:spacing w:line="500" w:lineRule="exact"/>
              <w:jc w:val="center"/>
              <w:textAlignment w:val="auto"/>
              <w:rPr>
                <w:rFonts w:hint="eastAsia" w:ascii="宋体" w:hAnsi="宋体" w:cs="宋体"/>
                <w:color w:val="auto"/>
                <w:sz w:val="24"/>
                <w:highlight w:val="none"/>
              </w:rPr>
            </w:pPr>
            <w:r>
              <w:rPr>
                <w:rFonts w:hint="eastAsia" w:asciiTheme="minorEastAsia" w:hAnsiTheme="minorEastAsia" w:eastAsiaTheme="minorEastAsia" w:cstheme="minorEastAsia"/>
                <w:color w:val="auto"/>
                <w:sz w:val="24"/>
                <w:szCs w:val="24"/>
                <w:highlight w:val="none"/>
              </w:rPr>
              <w:t>南宁市电子政务云云平台多云监管平台运维服务</w:t>
            </w:r>
          </w:p>
        </w:tc>
        <w:tc>
          <w:tcPr>
            <w:tcW w:w="735" w:type="dxa"/>
            <w:tcBorders>
              <w:top w:val="single" w:color="auto" w:sz="4" w:space="0"/>
              <w:left w:val="single" w:color="auto" w:sz="4" w:space="0"/>
              <w:bottom w:val="single" w:color="auto" w:sz="4" w:space="0"/>
              <w:right w:val="single" w:color="auto" w:sz="4" w:space="0"/>
            </w:tcBorders>
            <w:vAlign w:val="center"/>
          </w:tcPr>
          <w:p w14:paraId="47C576DE">
            <w:pPr>
              <w:keepNext w:val="0"/>
              <w:keepLines w:val="0"/>
              <w:pageBreakBefore w:val="0"/>
              <w:widowControl/>
              <w:kinsoku/>
              <w:overflowPunct/>
              <w:topLinePunct w:val="0"/>
              <w:bidi w:val="0"/>
              <w:spacing w:line="500" w:lineRule="exact"/>
              <w:jc w:val="center"/>
              <w:textAlignment w:val="auto"/>
              <w:rPr>
                <w:rFonts w:hint="eastAsia" w:ascii="新宋体" w:hAnsi="新宋体" w:eastAsia="新宋体" w:cs="新宋体"/>
                <w:color w:val="auto"/>
                <w:sz w:val="24"/>
                <w:highlight w:val="none"/>
              </w:rPr>
            </w:pPr>
            <w:r>
              <w:rPr>
                <w:rFonts w:hint="eastAsia" w:asciiTheme="minorEastAsia" w:hAnsiTheme="minorEastAsia" w:eastAsiaTheme="minorEastAsia" w:cstheme="minorEastAsia"/>
                <w:color w:val="auto"/>
                <w:kern w:val="0"/>
                <w:sz w:val="24"/>
                <w:szCs w:val="24"/>
                <w:highlight w:val="none"/>
                <w:lang w:val="en-US" w:eastAsia="zh-CN"/>
              </w:rPr>
              <w:t>项</w:t>
            </w:r>
          </w:p>
        </w:tc>
        <w:tc>
          <w:tcPr>
            <w:tcW w:w="870" w:type="dxa"/>
            <w:tcBorders>
              <w:top w:val="single" w:color="auto" w:sz="4" w:space="0"/>
              <w:left w:val="single" w:color="auto" w:sz="4" w:space="0"/>
              <w:bottom w:val="single" w:color="auto" w:sz="4" w:space="0"/>
              <w:right w:val="single" w:color="auto" w:sz="4" w:space="0"/>
            </w:tcBorders>
            <w:vAlign w:val="center"/>
          </w:tcPr>
          <w:p w14:paraId="1294CB17">
            <w:pPr>
              <w:keepNext w:val="0"/>
              <w:keepLines w:val="0"/>
              <w:pageBreakBefore w:val="0"/>
              <w:kinsoku/>
              <w:overflowPunct/>
              <w:topLinePunct w:val="0"/>
              <w:bidi w:val="0"/>
              <w:spacing w:line="500" w:lineRule="exact"/>
              <w:jc w:val="center"/>
              <w:textAlignment w:val="auto"/>
              <w:rPr>
                <w:rFonts w:hint="eastAsia" w:ascii="新宋体" w:hAnsi="新宋体" w:eastAsia="新宋体" w:cs="新宋体"/>
                <w:bCs/>
                <w:color w:val="auto"/>
                <w:sz w:val="24"/>
                <w:highlight w:val="none"/>
              </w:rPr>
            </w:pPr>
            <w:r>
              <w:rPr>
                <w:rFonts w:hint="eastAsia" w:asciiTheme="minorEastAsia" w:hAnsiTheme="minorEastAsia" w:eastAsiaTheme="minorEastAsia" w:cstheme="minorEastAsia"/>
                <w:color w:val="auto"/>
                <w:kern w:val="0"/>
                <w:sz w:val="24"/>
                <w:szCs w:val="24"/>
                <w:highlight w:val="none"/>
                <w:lang w:val="en-US" w:eastAsia="zh-CN"/>
              </w:rPr>
              <w:t>1</w:t>
            </w:r>
          </w:p>
        </w:tc>
        <w:tc>
          <w:tcPr>
            <w:tcW w:w="6043" w:type="dxa"/>
            <w:tcBorders>
              <w:top w:val="single" w:color="auto" w:sz="4" w:space="0"/>
              <w:left w:val="single" w:color="auto" w:sz="4" w:space="0"/>
              <w:bottom w:val="single" w:color="auto" w:sz="4" w:space="0"/>
              <w:right w:val="single" w:color="auto" w:sz="4" w:space="0"/>
            </w:tcBorders>
            <w:vAlign w:val="center"/>
          </w:tcPr>
          <w:p w14:paraId="7F15C923">
            <w:pPr>
              <w:keepNext w:val="0"/>
              <w:keepLines w:val="0"/>
              <w:pageBreakBefore w:val="0"/>
              <w:numPr>
                <w:ilvl w:val="0"/>
                <w:numId w:val="0"/>
              </w:numPr>
              <w:kinsoku/>
              <w:overflowPunct/>
              <w:topLinePunct w:val="0"/>
              <w:autoSpaceDE/>
              <w:autoSpaceDN/>
              <w:bidi w:val="0"/>
              <w:adjustRightInd/>
              <w:spacing w:line="500" w:lineRule="exact"/>
              <w:ind w:left="0" w:firstLine="482" w:firstLineChars="200"/>
              <w:jc w:val="left"/>
              <w:textAlignment w:val="auto"/>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kern w:val="0"/>
                <w:sz w:val="24"/>
                <w:szCs w:val="24"/>
                <w:highlight w:val="none"/>
                <w:lang w:val="en-US" w:eastAsia="zh-CN"/>
              </w:rPr>
              <w:t>一、</w:t>
            </w:r>
            <w:r>
              <w:rPr>
                <w:rFonts w:hint="eastAsia" w:asciiTheme="minorEastAsia" w:hAnsiTheme="minorEastAsia" w:eastAsiaTheme="minorEastAsia" w:cstheme="minorEastAsia"/>
                <w:b/>
                <w:color w:val="auto"/>
                <w:kern w:val="0"/>
                <w:sz w:val="24"/>
                <w:szCs w:val="24"/>
                <w:highlight w:val="none"/>
              </w:rPr>
              <w:t>项目总体要求</w:t>
            </w:r>
          </w:p>
          <w:p w14:paraId="510294A3">
            <w:pPr>
              <w:keepNext w:val="0"/>
              <w:keepLines w:val="0"/>
              <w:pageBreakBefore w:val="0"/>
              <w:kinsoku/>
              <w:overflowPunct/>
              <w:topLinePunct w:val="0"/>
              <w:bidi w:val="0"/>
              <w:spacing w:line="50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在运维期内系统运行发生故障，</w:t>
            </w:r>
            <w:r>
              <w:rPr>
                <w:rFonts w:hint="eastAsia" w:asciiTheme="minorEastAsia" w:hAnsiTheme="minorEastAsia" w:eastAsiaTheme="minorEastAsia" w:cstheme="minorEastAsia"/>
                <w:color w:val="auto"/>
                <w:sz w:val="24"/>
                <w:szCs w:val="24"/>
                <w:highlight w:val="none"/>
                <w:lang w:val="en-US" w:eastAsia="zh-CN"/>
              </w:rPr>
              <w:t>中标供应商</w:t>
            </w:r>
            <w:r>
              <w:rPr>
                <w:rFonts w:hint="eastAsia" w:asciiTheme="minorEastAsia" w:hAnsiTheme="minorEastAsia" w:eastAsiaTheme="minorEastAsia" w:cstheme="minorEastAsia"/>
                <w:color w:val="auto"/>
                <w:sz w:val="24"/>
                <w:szCs w:val="24"/>
                <w:highlight w:val="none"/>
              </w:rPr>
              <w:t>向采购人提供技术支持及售后运维服务。具体服务要求如下：</w:t>
            </w:r>
          </w:p>
          <w:p w14:paraId="41F75F83">
            <w:pPr>
              <w:keepNext w:val="0"/>
              <w:keepLines w:val="0"/>
              <w:pageBreakBefore w:val="0"/>
              <w:kinsoku/>
              <w:wordWrap w:val="0"/>
              <w:overflowPunct/>
              <w:topLinePunct w:val="0"/>
              <w:bidi w:val="0"/>
              <w:spacing w:line="500" w:lineRule="exact"/>
              <w:ind w:firstLine="482" w:firstLineChars="200"/>
              <w:jc w:val="left"/>
              <w:textAlignment w:val="auto"/>
              <w:rPr>
                <w:rFonts w:hint="eastAsia" w:ascii="新宋体" w:hAnsi="新宋体" w:eastAsia="新宋体" w:cs="新宋体"/>
                <w:color w:val="auto"/>
                <w:sz w:val="24"/>
                <w:highlight w:val="none"/>
              </w:rPr>
            </w:pPr>
            <w:r>
              <w:rPr>
                <w:rFonts w:hint="eastAsia" w:asciiTheme="minorEastAsia" w:hAnsiTheme="minorEastAsia" w:eastAsiaTheme="minorEastAsia" w:cstheme="minorEastAsia"/>
                <w:b/>
                <w:bCs/>
                <w:color w:val="auto"/>
                <w:sz w:val="24"/>
                <w:szCs w:val="24"/>
                <w:highlight w:val="none"/>
              </w:rPr>
              <w:t>……具体详见公开招标文件“第二章 采购需求”。</w:t>
            </w:r>
          </w:p>
        </w:tc>
      </w:tr>
    </w:tbl>
    <w:p w14:paraId="00ADAA04">
      <w:pPr>
        <w:wordWrap w:val="0"/>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合同履行期限：详见公开招标文件。</w:t>
      </w:r>
    </w:p>
    <w:p w14:paraId="774C9A1F">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是否接受联合体投标：本项目不接受联合体。</w:t>
      </w:r>
    </w:p>
    <w:p w14:paraId="00593FC3">
      <w:pPr>
        <w:wordWrap w:val="0"/>
        <w:spacing w:line="360" w:lineRule="auto"/>
        <w:ind w:firstLine="482"/>
        <w:rPr>
          <w:rFonts w:hint="eastAsia" w:ascii="宋体" w:hAnsi="宋体" w:cs="宋体"/>
          <w:b/>
          <w:bCs/>
          <w:color w:val="auto"/>
          <w:sz w:val="24"/>
          <w:highlight w:val="none"/>
        </w:rPr>
      </w:pPr>
      <w:r>
        <w:rPr>
          <w:rFonts w:hint="eastAsia" w:ascii="宋体" w:hAnsi="宋体" w:cs="宋体"/>
          <w:b/>
          <w:bCs/>
          <w:color w:val="auto"/>
          <w:sz w:val="24"/>
          <w:highlight w:val="none"/>
        </w:rPr>
        <w:t>二、投标人的资格要求：</w:t>
      </w:r>
    </w:p>
    <w:p w14:paraId="08A95941">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1.满足《中华人民共和国政府采购法》第二十二条规定；</w:t>
      </w:r>
    </w:p>
    <w:p w14:paraId="21639EC5">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2.落实政府采购政策需满足的资格要求：专门面向中小企业采购的项目（供应商应为中小微企业、监狱企业、残疾人福利性单位)</w:t>
      </w:r>
    </w:p>
    <w:p w14:paraId="7E220730">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3.本项目的特定资格要求：无。</w:t>
      </w:r>
    </w:p>
    <w:p w14:paraId="2F1398D1">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4.本项目的特定条件：无。</w:t>
      </w:r>
    </w:p>
    <w:p w14:paraId="5D1DC547">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 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38BBA602">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 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23E4BD73">
      <w:pPr>
        <w:wordWrap w:val="0"/>
        <w:spacing w:line="360" w:lineRule="auto"/>
        <w:ind w:firstLine="482"/>
        <w:rPr>
          <w:rFonts w:hint="eastAsia" w:ascii="宋体" w:hAnsi="宋体" w:cs="宋体"/>
          <w:b/>
          <w:bCs/>
          <w:color w:val="auto"/>
          <w:sz w:val="24"/>
          <w:highlight w:val="none"/>
        </w:rPr>
      </w:pPr>
      <w:r>
        <w:rPr>
          <w:rFonts w:hint="eastAsia" w:ascii="宋体" w:hAnsi="宋体" w:cs="宋体"/>
          <w:b/>
          <w:bCs/>
          <w:color w:val="auto"/>
          <w:sz w:val="24"/>
          <w:highlight w:val="none"/>
        </w:rPr>
        <w:t>三、获取招标文件</w:t>
      </w:r>
    </w:p>
    <w:p w14:paraId="7D7B0C5A">
      <w:pPr>
        <w:wordWrap w:val="0"/>
        <w:snapToGrid w:val="0"/>
        <w:spacing w:line="360" w:lineRule="auto"/>
        <w:ind w:firstLine="540" w:firstLineChars="225"/>
        <w:rPr>
          <w:rFonts w:hint="eastAsia" w:ascii="宋体" w:hAnsi="宋体" w:cs="宋体"/>
          <w:color w:val="auto"/>
          <w:sz w:val="24"/>
          <w:highlight w:val="none"/>
        </w:rPr>
      </w:pPr>
      <w:r>
        <w:rPr>
          <w:rFonts w:hint="eastAsia" w:ascii="宋体" w:hAnsi="宋体" w:cs="宋体"/>
          <w:color w:val="auto"/>
          <w:sz w:val="24"/>
          <w:highlight w:val="none"/>
        </w:rPr>
        <w:t>时间：自公告发布之日起。</w:t>
      </w:r>
    </w:p>
    <w:p w14:paraId="76087EA4">
      <w:pPr>
        <w:wordWrap w:val="0"/>
        <w:spacing w:line="360" w:lineRule="auto"/>
        <w:ind w:firstLine="480" w:firstLineChars="200"/>
        <w:rPr>
          <w:rFonts w:hint="eastAsia" w:ascii="宋体" w:hAnsi="宋体" w:cs="宋体"/>
          <w:b/>
          <w:bCs/>
          <w:color w:val="auto"/>
          <w:sz w:val="24"/>
          <w:highlight w:val="none"/>
        </w:rPr>
      </w:pPr>
      <w:r>
        <w:rPr>
          <w:rFonts w:hint="eastAsia" w:ascii="宋体" w:hAnsi="宋体" w:cs="宋体"/>
          <w:color w:val="auto"/>
          <w:sz w:val="24"/>
          <w:highlight w:val="none"/>
        </w:rPr>
        <w:t>获取方式:网上下载。本项目不发放纸质文件，供应商可自行在</w:t>
      </w:r>
      <w:r>
        <w:rPr>
          <w:color w:val="auto"/>
          <w:highlight w:val="none"/>
        </w:rPr>
        <w:fldChar w:fldCharType="begin"/>
      </w:r>
      <w:r>
        <w:rPr>
          <w:color w:val="auto"/>
          <w:highlight w:val="none"/>
        </w:rPr>
        <w:instrText xml:space="preserve"> HYPERLINK </w:instrText>
      </w:r>
      <w:r>
        <w:rPr>
          <w:color w:val="auto"/>
          <w:highlight w:val="none"/>
        </w:rPr>
        <w:fldChar w:fldCharType="separate"/>
      </w:r>
      <w:r>
        <w:rPr>
          <w:color w:val="auto"/>
          <w:highlight w:val="none"/>
        </w:rPr>
        <w:fldChar w:fldCharType="end"/>
      </w:r>
      <w:r>
        <w:rPr>
          <w:rFonts w:hint="eastAsia" w:ascii="宋体" w:hAnsi="宋体" w:cs="宋体"/>
          <w:color w:val="auto"/>
          <w:sz w:val="24"/>
          <w:highlight w:val="none"/>
        </w:rPr>
        <w:t>广西政府采购云平台（https://login.gcy.zfcg.gxzf.gov.cn/user-login/#/）下载招标文件（操作路径：登录广西政府采购云平台-项目采购-获取采购文件-找到本项目-点击“申请获取采购文件”），电子投标文件制作需要基于广西政府采购云平台获取的招标文件编制。</w:t>
      </w:r>
    </w:p>
    <w:p w14:paraId="5C5F5D2A">
      <w:pPr>
        <w:wordWrap w:val="0"/>
        <w:snapToGrid w:val="0"/>
        <w:spacing w:line="360" w:lineRule="auto"/>
        <w:ind w:firstLine="540" w:firstLineChars="225"/>
        <w:rPr>
          <w:rFonts w:hint="eastAsia" w:ascii="宋体" w:hAnsi="宋体" w:cs="宋体"/>
          <w:color w:val="auto"/>
          <w:sz w:val="24"/>
          <w:highlight w:val="none"/>
        </w:rPr>
      </w:pPr>
      <w:r>
        <w:rPr>
          <w:rFonts w:hint="eastAsia" w:ascii="宋体" w:hAnsi="宋体" w:cs="宋体"/>
          <w:color w:val="auto"/>
          <w:sz w:val="24"/>
          <w:highlight w:val="none"/>
        </w:rPr>
        <w:t>售价：0元。</w:t>
      </w:r>
    </w:p>
    <w:p w14:paraId="0561B479">
      <w:pPr>
        <w:wordWrap w:val="0"/>
        <w:spacing w:line="360" w:lineRule="auto"/>
        <w:ind w:firstLine="482"/>
        <w:rPr>
          <w:rFonts w:hint="eastAsia" w:ascii="宋体" w:hAnsi="宋体" w:cs="宋体"/>
          <w:b/>
          <w:bCs/>
          <w:color w:val="auto"/>
          <w:sz w:val="24"/>
          <w:highlight w:val="none"/>
        </w:rPr>
      </w:pPr>
      <w:r>
        <w:rPr>
          <w:rFonts w:hint="eastAsia" w:ascii="宋体" w:hAnsi="宋体" w:cs="宋体"/>
          <w:b/>
          <w:bCs/>
          <w:color w:val="auto"/>
          <w:sz w:val="24"/>
          <w:highlight w:val="none"/>
        </w:rPr>
        <w:t>四、提交投标文件截止时间、开标时间和地点</w:t>
      </w:r>
    </w:p>
    <w:p w14:paraId="02E5705E">
      <w:pPr>
        <w:wordWrap w:val="0"/>
        <w:spacing w:line="360" w:lineRule="auto"/>
        <w:ind w:firstLine="480" w:firstLineChars="200"/>
        <w:rPr>
          <w:rFonts w:hint="eastAsia" w:ascii="宋体" w:hAnsi="宋体" w:cs="宋体"/>
          <w:color w:val="auto"/>
          <w:sz w:val="24"/>
          <w:highlight w:val="none"/>
          <w:u w:val="single"/>
        </w:rPr>
      </w:pPr>
      <w:r>
        <w:rPr>
          <w:rFonts w:hint="eastAsia" w:ascii="宋体" w:hAnsi="宋体" w:cs="宋体"/>
          <w:bCs/>
          <w:color w:val="auto"/>
          <w:sz w:val="24"/>
          <w:highlight w:val="none"/>
        </w:rPr>
        <w:t>1、提交投标文件截止时间和开标时间：</w:t>
      </w:r>
      <w:r>
        <w:rPr>
          <w:rFonts w:hint="eastAsia" w:ascii="宋体" w:hAnsi="宋体" w:cs="宋体"/>
          <w:color w:val="auto"/>
          <w:sz w:val="24"/>
          <w:highlight w:val="none"/>
          <w:u w:val="single"/>
          <w:lang w:eastAsia="zh-CN"/>
        </w:rPr>
        <w:t>2025年</w:t>
      </w:r>
      <w:r>
        <w:rPr>
          <w:rFonts w:hint="eastAsia" w:ascii="宋体" w:hAnsi="宋体" w:cs="宋体"/>
          <w:color w:val="auto"/>
          <w:sz w:val="24"/>
          <w:highlight w:val="none"/>
          <w:u w:val="single"/>
          <w:lang w:val="en-US" w:eastAsia="zh-CN"/>
        </w:rPr>
        <w:t>12</w:t>
      </w:r>
      <w:r>
        <w:rPr>
          <w:rFonts w:hint="eastAsia" w:ascii="宋体" w:hAnsi="宋体" w:cs="宋体"/>
          <w:color w:val="auto"/>
          <w:sz w:val="24"/>
          <w:highlight w:val="none"/>
          <w:u w:val="single"/>
          <w:lang w:eastAsia="zh-CN"/>
        </w:rPr>
        <w:t>月</w:t>
      </w:r>
      <w:r>
        <w:rPr>
          <w:rFonts w:hint="eastAsia" w:ascii="宋体" w:hAnsi="宋体" w:cs="宋体"/>
          <w:color w:val="auto"/>
          <w:sz w:val="24"/>
          <w:highlight w:val="none"/>
          <w:u w:val="single"/>
          <w:lang w:val="en-US" w:eastAsia="zh-CN"/>
        </w:rPr>
        <w:t>29</w:t>
      </w:r>
      <w:r>
        <w:rPr>
          <w:rFonts w:hint="eastAsia" w:ascii="宋体" w:hAnsi="宋体" w:cs="宋体"/>
          <w:color w:val="auto"/>
          <w:sz w:val="24"/>
          <w:highlight w:val="none"/>
          <w:u w:val="single"/>
          <w:lang w:eastAsia="zh-CN"/>
        </w:rPr>
        <w:t>日</w:t>
      </w:r>
      <w:r>
        <w:rPr>
          <w:rFonts w:hint="eastAsia" w:ascii="宋体" w:hAnsi="宋体" w:cs="宋体"/>
          <w:color w:val="auto"/>
          <w:sz w:val="24"/>
          <w:highlight w:val="none"/>
          <w:u w:val="single"/>
          <w:lang w:val="en-US" w:eastAsia="zh-CN"/>
        </w:rPr>
        <w:t>09</w:t>
      </w:r>
      <w:r>
        <w:rPr>
          <w:rFonts w:hint="eastAsia" w:ascii="宋体" w:hAnsi="宋体" w:cs="宋体"/>
          <w:color w:val="auto"/>
          <w:sz w:val="24"/>
          <w:highlight w:val="none"/>
          <w:u w:val="single"/>
          <w:lang w:eastAsia="zh-CN"/>
        </w:rPr>
        <w:t>时</w:t>
      </w:r>
      <w:r>
        <w:rPr>
          <w:rFonts w:hint="eastAsia" w:ascii="宋体" w:hAnsi="宋体" w:cs="宋体"/>
          <w:color w:val="auto"/>
          <w:sz w:val="24"/>
          <w:highlight w:val="none"/>
          <w:u w:val="single"/>
          <w:lang w:val="en-US" w:eastAsia="zh-CN"/>
        </w:rPr>
        <w:t>30</w:t>
      </w:r>
      <w:r>
        <w:rPr>
          <w:rFonts w:hint="eastAsia" w:ascii="宋体" w:hAnsi="宋体" w:cs="宋体"/>
          <w:color w:val="auto"/>
          <w:sz w:val="24"/>
          <w:highlight w:val="none"/>
          <w:u w:val="single"/>
          <w:lang w:eastAsia="zh-CN"/>
        </w:rPr>
        <w:t>分</w:t>
      </w:r>
      <w:r>
        <w:rPr>
          <w:rFonts w:hint="eastAsia" w:ascii="宋体" w:hAnsi="宋体" w:cs="宋体"/>
          <w:color w:val="auto"/>
          <w:sz w:val="24"/>
          <w:highlight w:val="none"/>
          <w:u w:val="single"/>
        </w:rPr>
        <w:t>00秒</w:t>
      </w:r>
      <w:r>
        <w:rPr>
          <w:rFonts w:hint="eastAsia" w:ascii="宋体" w:hAnsi="宋体" w:cs="宋体"/>
          <w:bCs/>
          <w:color w:val="auto"/>
          <w:sz w:val="24"/>
          <w:highlight w:val="none"/>
        </w:rPr>
        <w:t>（北京时间）</w:t>
      </w:r>
    </w:p>
    <w:p w14:paraId="5E50B564">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2、投标和开标地点：</w:t>
      </w:r>
    </w:p>
    <w:p w14:paraId="257FA8CD">
      <w:pPr>
        <w:widowControl/>
        <w:wordWrap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投标文件提交方式：本项目为南宁市全流程电子化项目，通过广西政府采购云平台（https://login.gcy.zfcg.gxzf.gov.cn/user-login/#/）实行在线电子投标，供应商应先安装“政采云电子交易客户端”（请自行前往广西政府采购云平台进行下载），并按照本项目招标文件和广西政府采购云平台的要求编制、加密后在投标截止时间前通过网络上传至南宁市广西政府采购云平台，</w:t>
      </w:r>
      <w:r>
        <w:rPr>
          <w:rFonts w:hint="eastAsia" w:ascii="宋体" w:hAnsi="宋体" w:cs="宋体"/>
          <w:b/>
          <w:color w:val="auto"/>
          <w:sz w:val="24"/>
          <w:highlight w:val="none"/>
        </w:rPr>
        <w:t>供应商在广西政府采购云平台提交电子版投标文件时，请填写参加远程开标活动经办人联系方式，</w:t>
      </w:r>
      <w:r>
        <w:rPr>
          <w:rFonts w:hint="eastAsia" w:ascii="宋体" w:hAnsi="宋体" w:cs="宋体"/>
          <w:color w:val="auto"/>
          <w:sz w:val="24"/>
          <w:highlight w:val="none"/>
        </w:rPr>
        <w:t>电子投标具体操作流程详见本公告附件 。</w:t>
      </w:r>
    </w:p>
    <w:p w14:paraId="4699ADA1">
      <w:pPr>
        <w:widowControl/>
        <w:wordWrap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未进行网上注册并办理数字证书（CA认证）的供应商将无法参与本项目政府采购活动，潜在供应商应当在投标截止时间前，完成电子交易平台上的CA数字证书办理（申领流程见本公告附件2）及投标文件的提交。完成CA数字证书办理预计7日左右，投标人只需办理其中一家CA数字证书及签章，建议各投标人抓紧时间办理。</w:t>
      </w:r>
    </w:p>
    <w:p w14:paraId="43D0A1C5">
      <w:pPr>
        <w:widowControl/>
        <w:wordWrap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（3）为确保网上操作合法、有效和安全，请投标人确保在电子投标过程中能够对相关数据电文进行加密和使用电子签章，妥善保管CA数字证书并使用有效的CA数字证书参与整个招标活动。</w:t>
      </w:r>
    </w:p>
    <w:p w14:paraId="2F954271">
      <w:pPr>
        <w:wordWrap w:val="0"/>
        <w:spacing w:line="360" w:lineRule="auto"/>
        <w:ind w:firstLine="480" w:firstLineChars="200"/>
        <w:rPr>
          <w:rFonts w:hint="eastAsia" w:ascii="宋体" w:hAnsi="宋体" w:cs="宋体"/>
          <w:bCs/>
          <w:color w:val="auto"/>
          <w:sz w:val="24"/>
          <w:highlight w:val="none"/>
          <w:u w:val="single"/>
        </w:rPr>
      </w:pPr>
      <w:r>
        <w:rPr>
          <w:rFonts w:hint="eastAsia" w:ascii="宋体" w:hAnsi="宋体" w:cs="宋体"/>
          <w:bCs/>
          <w:color w:val="auto"/>
          <w:sz w:val="24"/>
          <w:highlight w:val="none"/>
          <w:u w:val="single"/>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14:paraId="6C3FAB4F">
      <w:pPr>
        <w:widowControl/>
        <w:wordWrap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（4）开标地点：本次招标将于</w:t>
      </w:r>
      <w:r>
        <w:rPr>
          <w:rFonts w:hint="eastAsia" w:ascii="宋体" w:hAnsi="宋体" w:cs="宋体"/>
          <w:color w:val="auto"/>
          <w:sz w:val="24"/>
          <w:highlight w:val="none"/>
          <w:u w:val="single"/>
          <w:lang w:eastAsia="zh-CN"/>
        </w:rPr>
        <w:t>2025年</w:t>
      </w:r>
      <w:r>
        <w:rPr>
          <w:rFonts w:hint="eastAsia" w:ascii="宋体" w:hAnsi="宋体" w:cs="宋体"/>
          <w:color w:val="auto"/>
          <w:sz w:val="24"/>
          <w:highlight w:val="none"/>
          <w:u w:val="single"/>
          <w:lang w:val="en-US" w:eastAsia="zh-CN"/>
        </w:rPr>
        <w:t>12</w:t>
      </w:r>
      <w:r>
        <w:rPr>
          <w:rFonts w:hint="eastAsia" w:ascii="宋体" w:hAnsi="宋体" w:cs="宋体"/>
          <w:color w:val="auto"/>
          <w:sz w:val="24"/>
          <w:highlight w:val="none"/>
          <w:u w:val="single"/>
          <w:lang w:eastAsia="zh-CN"/>
        </w:rPr>
        <w:t>月</w:t>
      </w:r>
      <w:r>
        <w:rPr>
          <w:rFonts w:hint="eastAsia" w:ascii="宋体" w:hAnsi="宋体" w:cs="宋体"/>
          <w:color w:val="auto"/>
          <w:sz w:val="24"/>
          <w:highlight w:val="none"/>
          <w:u w:val="single"/>
          <w:lang w:val="en-US" w:eastAsia="zh-CN"/>
        </w:rPr>
        <w:t>29</w:t>
      </w:r>
      <w:r>
        <w:rPr>
          <w:rFonts w:hint="eastAsia" w:ascii="宋体" w:hAnsi="宋体" w:cs="宋体"/>
          <w:color w:val="auto"/>
          <w:sz w:val="24"/>
          <w:highlight w:val="none"/>
          <w:u w:val="single"/>
          <w:lang w:eastAsia="zh-CN"/>
        </w:rPr>
        <w:t>日</w:t>
      </w:r>
      <w:r>
        <w:rPr>
          <w:rFonts w:hint="eastAsia" w:ascii="宋体" w:hAnsi="宋体" w:cs="宋体"/>
          <w:color w:val="auto"/>
          <w:sz w:val="24"/>
          <w:highlight w:val="none"/>
          <w:u w:val="single"/>
          <w:lang w:val="en-US" w:eastAsia="zh-CN"/>
        </w:rPr>
        <w:t>09</w:t>
      </w:r>
      <w:r>
        <w:rPr>
          <w:rFonts w:hint="eastAsia" w:ascii="宋体" w:hAnsi="宋体" w:cs="宋体"/>
          <w:color w:val="auto"/>
          <w:sz w:val="24"/>
          <w:highlight w:val="none"/>
          <w:u w:val="single"/>
          <w:lang w:eastAsia="zh-CN"/>
        </w:rPr>
        <w:t>时</w:t>
      </w:r>
      <w:r>
        <w:rPr>
          <w:rFonts w:hint="eastAsia" w:ascii="宋体" w:hAnsi="宋体" w:cs="宋体"/>
          <w:color w:val="auto"/>
          <w:sz w:val="24"/>
          <w:highlight w:val="none"/>
          <w:u w:val="single"/>
          <w:lang w:val="en-US" w:eastAsia="zh-CN"/>
        </w:rPr>
        <w:t>30</w:t>
      </w:r>
      <w:r>
        <w:rPr>
          <w:rFonts w:hint="eastAsia" w:ascii="宋体" w:hAnsi="宋体" w:cs="宋体"/>
          <w:color w:val="auto"/>
          <w:sz w:val="24"/>
          <w:highlight w:val="none"/>
          <w:u w:val="single"/>
          <w:lang w:eastAsia="zh-CN"/>
        </w:rPr>
        <w:t>分</w:t>
      </w:r>
      <w:r>
        <w:rPr>
          <w:rFonts w:hint="eastAsia" w:ascii="宋体" w:hAnsi="宋体" w:cs="宋体"/>
          <w:color w:val="auto"/>
          <w:sz w:val="24"/>
          <w:highlight w:val="none"/>
          <w:u w:val="single"/>
        </w:rPr>
        <w:t>00秒</w:t>
      </w:r>
      <w:r>
        <w:rPr>
          <w:rFonts w:hint="eastAsia" w:ascii="宋体" w:hAnsi="宋体" w:cs="宋体"/>
          <w:color w:val="auto"/>
          <w:sz w:val="24"/>
          <w:highlight w:val="none"/>
        </w:rPr>
        <w:t>在广西政府采购云平台电子开标大厅开标。</w:t>
      </w:r>
    </w:p>
    <w:p w14:paraId="379B3260">
      <w:pPr>
        <w:wordWrap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（5）CA证书在线解密：供应商投标时，需携带制作投标文件时用来加密的有效数字证书（CA认证）登录广西政府采购云平台电子开标大厅现场按规定时间对加密的投标文件进行解密，</w:t>
      </w:r>
      <w:r>
        <w:rPr>
          <w:rFonts w:ascii="宋体" w:hAnsi="宋体" w:cs="宋体"/>
          <w:color w:val="auto"/>
          <w:sz w:val="24"/>
          <w:highlight w:val="none"/>
        </w:rPr>
        <w:t>未能按要求进行解 密的，由此产生的后果由投标人自行承担</w:t>
      </w:r>
      <w:r>
        <w:rPr>
          <w:rFonts w:hint="eastAsia" w:ascii="宋体" w:hAnsi="宋体" w:cs="宋体"/>
          <w:color w:val="auto"/>
          <w:kern w:val="0"/>
          <w:sz w:val="24"/>
          <w:highlight w:val="none"/>
        </w:rPr>
        <w:t>。</w:t>
      </w:r>
    </w:p>
    <w:p w14:paraId="179A7697">
      <w:pPr>
        <w:wordWrap w:val="0"/>
        <w:spacing w:line="360" w:lineRule="auto"/>
        <w:ind w:firstLine="482"/>
        <w:rPr>
          <w:rFonts w:hint="eastAsia" w:ascii="宋体" w:hAnsi="宋体" w:cs="宋体"/>
          <w:b/>
          <w:bCs/>
          <w:color w:val="auto"/>
          <w:sz w:val="24"/>
          <w:highlight w:val="none"/>
        </w:rPr>
      </w:pPr>
      <w:r>
        <w:rPr>
          <w:rFonts w:hint="eastAsia" w:ascii="宋体" w:hAnsi="宋体" w:cs="宋体"/>
          <w:b/>
          <w:bCs/>
          <w:color w:val="auto"/>
          <w:sz w:val="24"/>
          <w:highlight w:val="none"/>
        </w:rPr>
        <w:t>五、公告期限</w:t>
      </w:r>
    </w:p>
    <w:p w14:paraId="5851C96B">
      <w:pPr>
        <w:wordWrap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自本公告发布之日起5个工作日。</w:t>
      </w:r>
    </w:p>
    <w:p w14:paraId="6FA1DFBC">
      <w:pPr>
        <w:wordWrap w:val="0"/>
        <w:spacing w:line="360" w:lineRule="auto"/>
        <w:ind w:firstLine="482"/>
        <w:rPr>
          <w:rFonts w:hint="eastAsia" w:ascii="宋体" w:hAnsi="宋体" w:cs="宋体"/>
          <w:b/>
          <w:bCs/>
          <w:color w:val="auto"/>
          <w:sz w:val="24"/>
          <w:highlight w:val="none"/>
        </w:rPr>
      </w:pPr>
      <w:r>
        <w:rPr>
          <w:rFonts w:hint="eastAsia" w:ascii="宋体" w:hAnsi="宋体" w:cs="宋体"/>
          <w:b/>
          <w:bCs/>
          <w:color w:val="auto"/>
          <w:sz w:val="24"/>
          <w:highlight w:val="none"/>
        </w:rPr>
        <w:t>六、其他补充事宜</w:t>
      </w:r>
    </w:p>
    <w:p w14:paraId="23F02254">
      <w:pPr>
        <w:wordWrap w:val="0"/>
        <w:spacing w:line="360" w:lineRule="auto"/>
        <w:ind w:firstLine="360" w:firstLineChars="150"/>
        <w:rPr>
          <w:rFonts w:hint="eastAsia" w:ascii="宋体" w:hAnsi="宋体" w:cs="宋体"/>
          <w:color w:val="auto"/>
          <w:kern w:val="0"/>
          <w:sz w:val="24"/>
          <w:highlight w:val="none"/>
        </w:rPr>
      </w:pPr>
      <w:r>
        <w:rPr>
          <w:rFonts w:hint="eastAsia" w:ascii="宋体" w:hAnsi="宋体" w:cs="宋体"/>
          <w:color w:val="auto"/>
          <w:kern w:val="0"/>
          <w:sz w:val="24"/>
          <w:highlight w:val="none"/>
        </w:rPr>
        <w:t>1.投标保证金：本项目不收取投标保证金</w:t>
      </w:r>
    </w:p>
    <w:p w14:paraId="3C190175">
      <w:pPr>
        <w:wordWrap w:val="0"/>
        <w:spacing w:line="360" w:lineRule="auto"/>
        <w:ind w:firstLine="360" w:firstLineChars="150"/>
        <w:rPr>
          <w:rFonts w:hint="eastAsia" w:ascii="宋体" w:hAnsi="宋体" w:cs="宋体"/>
          <w:color w:val="auto"/>
          <w:kern w:val="0"/>
          <w:sz w:val="24"/>
          <w:highlight w:val="none"/>
        </w:rPr>
      </w:pPr>
      <w:r>
        <w:rPr>
          <w:rFonts w:hint="eastAsia" w:ascii="宋体" w:hAnsi="宋体" w:cs="宋体"/>
          <w:color w:val="auto"/>
          <w:kern w:val="0"/>
          <w:sz w:val="24"/>
          <w:highlight w:val="none"/>
        </w:rPr>
        <w:t>2.采购意向公开链接：南宁市数据局2025年5月至12月部门预算（集中）政府采购意向https://zfcg.gxzf.gov.cn/luban/detail?parentId=66485&amp;articleId=ann_hngFH5GdUac/dvmC0bK7eND5ndTMr3NGt5TILBJnhQo=&amp;utm=web-micro-app-back-front.6b856c70.cPlanInfo.3.586b16d0ca6b11f0baaf43310e63e997</w:t>
      </w:r>
    </w:p>
    <w:p w14:paraId="6F6BB5B1">
      <w:pPr>
        <w:wordWrap w:val="0"/>
        <w:spacing w:line="360" w:lineRule="auto"/>
        <w:ind w:firstLine="360" w:firstLineChars="150"/>
        <w:rPr>
          <w:rFonts w:hint="eastAsia" w:ascii="宋体" w:hAnsi="宋体" w:cs="宋体"/>
          <w:color w:val="auto"/>
          <w:kern w:val="0"/>
          <w:sz w:val="24"/>
          <w:highlight w:val="none"/>
        </w:rPr>
      </w:pPr>
      <w:r>
        <w:rPr>
          <w:rFonts w:hint="eastAsia" w:ascii="宋体" w:hAnsi="宋体" w:cs="宋体"/>
          <w:color w:val="auto"/>
          <w:kern w:val="0"/>
          <w:sz w:val="24"/>
          <w:highlight w:val="none"/>
        </w:rPr>
        <w:t>3.</w:t>
      </w:r>
      <w:r>
        <w:rPr>
          <w:rFonts w:hint="eastAsia" w:ascii="宋体" w:hAnsi="宋体" w:cs="宋体"/>
          <w:color w:val="auto"/>
          <w:sz w:val="24"/>
          <w:highlight w:val="none"/>
        </w:rPr>
        <w:t xml:space="preserve"> </w:t>
      </w:r>
      <w:r>
        <w:rPr>
          <w:rFonts w:hint="eastAsia" w:ascii="宋体" w:hAnsi="宋体" w:cs="宋体"/>
          <w:color w:val="auto"/>
          <w:kern w:val="0"/>
          <w:sz w:val="24"/>
          <w:highlight w:val="none"/>
        </w:rPr>
        <w:t>网上查询地址</w:t>
      </w:r>
    </w:p>
    <w:p w14:paraId="6748CF5A">
      <w:pPr>
        <w:wordWrap w:val="0"/>
        <w:spacing w:line="360" w:lineRule="auto"/>
        <w:ind w:firstLine="360" w:firstLineChars="150"/>
        <w:rPr>
          <w:rFonts w:hint="eastAsia" w:ascii="宋体" w:hAnsi="宋体" w:cs="宋体"/>
          <w:color w:val="auto"/>
          <w:kern w:val="0"/>
          <w:sz w:val="24"/>
          <w:highlight w:val="none"/>
        </w:rPr>
      </w:pPr>
      <w:r>
        <w:rPr>
          <w:rFonts w:hint="eastAsia" w:ascii="宋体" w:hAnsi="宋体" w:cs="宋体"/>
          <w:color w:val="auto"/>
          <w:kern w:val="0"/>
          <w:sz w:val="24"/>
          <w:highlight w:val="none"/>
        </w:rPr>
        <w:t>中国政府采购网（www.ccgp.gov.cn）、广西壮族自治区政府采购网（http://zfcg.gxzf.gov.cn/）、全国公共资源交易平台（广西·南宁）（http://ggzy.jgswj.gxzf.gov.cn/nnggzy/）；</w:t>
      </w:r>
    </w:p>
    <w:p w14:paraId="5B221430">
      <w:pPr>
        <w:wordWrap w:val="0"/>
        <w:spacing w:line="360" w:lineRule="auto"/>
        <w:ind w:firstLine="240" w:firstLineChars="100"/>
        <w:rPr>
          <w:rFonts w:hint="eastAsia" w:ascii="宋体" w:hAnsi="宋体" w:cs="宋体"/>
          <w:color w:val="auto"/>
          <w:kern w:val="0"/>
          <w:sz w:val="24"/>
          <w:highlight w:val="none"/>
        </w:rPr>
      </w:pPr>
      <w:r>
        <w:rPr>
          <w:rFonts w:hint="eastAsia" w:ascii="宋体" w:hAnsi="宋体" w:cs="宋体"/>
          <w:color w:val="auto"/>
          <w:kern w:val="0"/>
          <w:sz w:val="24"/>
          <w:highlight w:val="none"/>
        </w:rPr>
        <w:t>4.本项目需要落实的政府采购政策：</w:t>
      </w:r>
    </w:p>
    <w:p w14:paraId="45568C31">
      <w:pPr>
        <w:wordWrap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（1）政府采购促进中小企业发展。</w:t>
      </w:r>
    </w:p>
    <w:p w14:paraId="7A26776A">
      <w:pPr>
        <w:wordWrap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（2）政府采购支持采用本国产品的政策。</w:t>
      </w:r>
    </w:p>
    <w:p w14:paraId="233E4242">
      <w:pPr>
        <w:wordWrap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（3）政府采购促进残疾人就业政策。</w:t>
      </w:r>
    </w:p>
    <w:p w14:paraId="42C848FF">
      <w:pPr>
        <w:wordWrap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（4）政府采购支持监狱企业发展。</w:t>
      </w:r>
    </w:p>
    <w:p w14:paraId="757C6448">
      <w:pPr>
        <w:wordWrap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（5）扶持不发达地区和少数民族地区政策。</w:t>
      </w:r>
    </w:p>
    <w:p w14:paraId="10621C7E">
      <w:pPr>
        <w:wordWrap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5.供应商认为采购文件使自己的权益受到损害的，可以在知道或者应知其权益受到损害之日起7个工作日内，以书面形式向采购人、采购代理机构提出质疑。质疑供应商对采购人、采购代理机构的答复不满意或者采购人、采购代理机构未在规定的时间内作出答复的，可以在答复期满后十五个工作日内向同级政府采购监督管理部门投诉。</w:t>
      </w:r>
    </w:p>
    <w:p w14:paraId="095A6D8C">
      <w:pPr>
        <w:wordWrap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6.若对项目采购电子交易系统操作有疑问，可登录广西政府采购云平台（https://login.gcy.zfcg.gxzf.gov.cn/user-login/#/），点击右侧咨询小采，获取采小蜜智能服务管家帮助，或拨打政采云服务热线95763获取热线服务帮助。</w:t>
      </w:r>
    </w:p>
    <w:p w14:paraId="1A12B98A">
      <w:pPr>
        <w:wordWrap w:val="0"/>
        <w:spacing w:line="360" w:lineRule="auto"/>
        <w:ind w:firstLine="482"/>
        <w:rPr>
          <w:rFonts w:hint="eastAsia" w:ascii="宋体" w:hAnsi="宋体" w:cs="宋体"/>
          <w:b/>
          <w:bCs/>
          <w:color w:val="auto"/>
          <w:sz w:val="24"/>
          <w:highlight w:val="none"/>
        </w:rPr>
      </w:pPr>
      <w:r>
        <w:rPr>
          <w:rFonts w:hint="eastAsia" w:ascii="宋体" w:hAnsi="宋体" w:cs="宋体"/>
          <w:b/>
          <w:bCs/>
          <w:color w:val="auto"/>
          <w:sz w:val="24"/>
          <w:highlight w:val="none"/>
        </w:rPr>
        <w:t>七、对本次招标提出询问，请按以下方式联系。</w:t>
      </w:r>
    </w:p>
    <w:p w14:paraId="4060C740">
      <w:pPr>
        <w:wordWrap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　　　1.采购人信息</w:t>
      </w:r>
    </w:p>
    <w:p w14:paraId="0E2AA796">
      <w:pPr>
        <w:wordWrap w:val="0"/>
        <w:spacing w:line="360" w:lineRule="auto"/>
        <w:ind w:left="1079" w:leftChars="371" w:hanging="300" w:hangingChars="125"/>
        <w:jc w:val="left"/>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rPr>
        <w:t>名 称：</w:t>
      </w:r>
      <w:r>
        <w:rPr>
          <w:rFonts w:hint="eastAsia" w:ascii="宋体" w:hAnsi="宋体" w:cs="宋体"/>
          <w:color w:val="auto"/>
          <w:sz w:val="24"/>
          <w:highlight w:val="none"/>
          <w:u w:val="single"/>
          <w:lang w:eastAsia="zh-CN"/>
        </w:rPr>
        <w:t>南宁市信息网络管理中心</w:t>
      </w:r>
    </w:p>
    <w:p w14:paraId="7165851D">
      <w:pPr>
        <w:wordWrap w:val="0"/>
        <w:spacing w:line="360" w:lineRule="auto"/>
        <w:ind w:left="1079" w:leftChars="371" w:hanging="300" w:hangingChars="125"/>
        <w:jc w:val="lef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地址：</w:t>
      </w:r>
      <w:r>
        <w:rPr>
          <w:rFonts w:hint="eastAsia" w:ascii="宋体" w:hAnsi="宋体" w:cs="宋体"/>
          <w:color w:val="auto"/>
          <w:sz w:val="24"/>
          <w:highlight w:val="none"/>
          <w:u w:val="single"/>
          <w:lang w:eastAsia="zh-CN"/>
        </w:rPr>
        <w:t>南宁市桂春路南一里1</w:t>
      </w:r>
      <w:r>
        <w:rPr>
          <w:rFonts w:hint="eastAsia" w:ascii="宋体" w:hAnsi="宋体" w:cs="宋体"/>
          <w:color w:val="auto"/>
          <w:sz w:val="24"/>
          <w:highlight w:val="none"/>
          <w:u w:val="single"/>
          <w:lang w:val="en-US" w:eastAsia="zh-CN"/>
        </w:rPr>
        <w:t>号</w:t>
      </w:r>
    </w:p>
    <w:p w14:paraId="4A40B35C">
      <w:pPr>
        <w:wordWrap w:val="0"/>
        <w:spacing w:line="360" w:lineRule="auto"/>
        <w:ind w:left="1079" w:leftChars="371" w:hanging="300" w:hangingChars="125"/>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项目联系人：</w:t>
      </w:r>
      <w:r>
        <w:rPr>
          <w:rFonts w:hint="eastAsia" w:ascii="宋体" w:hAnsi="宋体" w:cs="宋体"/>
          <w:color w:val="auto"/>
          <w:sz w:val="24"/>
          <w:szCs w:val="24"/>
          <w:highlight w:val="none"/>
          <w:u w:val="single"/>
          <w:lang w:eastAsia="zh-CN"/>
        </w:rPr>
        <w:t>李工</w:t>
      </w:r>
      <w:r>
        <w:rPr>
          <w:rFonts w:hint="eastAsia" w:ascii="宋体" w:hAnsi="宋体" w:eastAsia="宋体" w:cs="宋体"/>
          <w:color w:val="auto"/>
          <w:sz w:val="24"/>
          <w:szCs w:val="24"/>
          <w:highlight w:val="none"/>
          <w:u w:val="single"/>
        </w:rPr>
        <w:t xml:space="preserve"> </w:t>
      </w:r>
    </w:p>
    <w:p w14:paraId="43E291A8">
      <w:pPr>
        <w:wordWrap w:val="0"/>
        <w:spacing w:line="360" w:lineRule="auto"/>
        <w:ind w:left="1079" w:leftChars="371" w:hanging="300" w:hangingChars="125"/>
        <w:jc w:val="left"/>
        <w:rPr>
          <w:rFonts w:hint="default"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rPr>
        <w:t>联系电话：</w:t>
      </w:r>
      <w:r>
        <w:rPr>
          <w:rFonts w:hint="eastAsia" w:ascii="宋体" w:hAnsi="宋体" w:cs="宋体"/>
          <w:color w:val="auto"/>
          <w:sz w:val="24"/>
          <w:szCs w:val="24"/>
          <w:highlight w:val="none"/>
          <w:u w:val="single"/>
          <w:lang w:eastAsia="zh-CN"/>
        </w:rPr>
        <w:t>0771-577</w:t>
      </w:r>
      <w:r>
        <w:rPr>
          <w:rFonts w:hint="eastAsia" w:ascii="宋体" w:hAnsi="宋体" w:cs="宋体"/>
          <w:color w:val="auto"/>
          <w:sz w:val="24"/>
          <w:szCs w:val="24"/>
          <w:highlight w:val="none"/>
          <w:u w:val="single"/>
          <w:lang w:val="en-US" w:eastAsia="zh-CN"/>
        </w:rPr>
        <w:t>2566</w:t>
      </w:r>
    </w:p>
    <w:p w14:paraId="4D98B792">
      <w:pPr>
        <w:wordWrap w:val="0"/>
        <w:spacing w:line="360" w:lineRule="auto"/>
        <w:ind w:left="1079" w:leftChars="371" w:hanging="300" w:hangingChars="125"/>
        <w:jc w:val="left"/>
        <w:rPr>
          <w:rFonts w:hint="eastAsia" w:ascii="宋体" w:hAnsi="宋体" w:cs="宋体"/>
          <w:color w:val="auto"/>
          <w:sz w:val="24"/>
          <w:highlight w:val="none"/>
        </w:rPr>
      </w:pPr>
      <w:r>
        <w:rPr>
          <w:rFonts w:hint="eastAsia" w:ascii="宋体" w:hAnsi="宋体" w:cs="宋体"/>
          <w:color w:val="auto"/>
          <w:sz w:val="24"/>
          <w:highlight w:val="none"/>
        </w:rPr>
        <w:t>2.采购代理机构信息</w:t>
      </w:r>
    </w:p>
    <w:p w14:paraId="6B777591">
      <w:pPr>
        <w:wordWrap w:val="0"/>
        <w:spacing w:line="360" w:lineRule="auto"/>
        <w:ind w:firstLine="840" w:firstLineChars="350"/>
        <w:rPr>
          <w:rFonts w:hint="eastAsia" w:ascii="宋体" w:hAnsi="宋体" w:cs="宋体"/>
          <w:color w:val="auto"/>
          <w:sz w:val="24"/>
          <w:highlight w:val="none"/>
          <w:u w:val="single"/>
        </w:rPr>
      </w:pPr>
      <w:r>
        <w:rPr>
          <w:rFonts w:hint="eastAsia" w:ascii="宋体" w:hAnsi="宋体" w:cs="宋体"/>
          <w:color w:val="auto"/>
          <w:sz w:val="24"/>
          <w:highlight w:val="none"/>
        </w:rPr>
        <w:t>名 称：</w:t>
      </w:r>
      <w:r>
        <w:rPr>
          <w:rFonts w:hint="eastAsia" w:ascii="宋体" w:hAnsi="宋体" w:cs="宋体"/>
          <w:color w:val="auto"/>
          <w:sz w:val="24"/>
          <w:highlight w:val="none"/>
          <w:u w:val="single"/>
        </w:rPr>
        <w:t>广西邕政采购代理有限公司</w:t>
      </w:r>
    </w:p>
    <w:p w14:paraId="64256694">
      <w:pPr>
        <w:wordWrap w:val="0"/>
        <w:spacing w:line="360" w:lineRule="auto"/>
        <w:ind w:firstLine="840" w:firstLineChars="350"/>
        <w:rPr>
          <w:rFonts w:hint="eastAsia"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南宁市青秀区民族大道180号（威壮大厦）22层2210～2217室</w:t>
      </w:r>
    </w:p>
    <w:p w14:paraId="68E257D1">
      <w:pPr>
        <w:wordWrap w:val="0"/>
        <w:spacing w:line="360" w:lineRule="auto"/>
        <w:ind w:firstLine="840" w:firstLineChars="350"/>
        <w:rPr>
          <w:rFonts w:hint="eastAsia"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single"/>
        </w:rPr>
        <w:t>0771-2225338</w:t>
      </w:r>
    </w:p>
    <w:p w14:paraId="4C98D2B4">
      <w:pPr>
        <w:wordWrap w:val="0"/>
        <w:spacing w:line="360" w:lineRule="auto"/>
        <w:ind w:firstLine="840" w:firstLineChars="350"/>
        <w:rPr>
          <w:rFonts w:hint="eastAsia" w:ascii="宋体" w:hAnsi="宋体" w:cs="宋体"/>
          <w:color w:val="auto"/>
          <w:sz w:val="24"/>
          <w:highlight w:val="none"/>
        </w:rPr>
      </w:pPr>
      <w:r>
        <w:rPr>
          <w:rFonts w:hint="eastAsia" w:ascii="宋体" w:hAnsi="宋体" w:cs="宋体"/>
          <w:color w:val="auto"/>
          <w:sz w:val="24"/>
          <w:highlight w:val="none"/>
        </w:rPr>
        <w:t>3.项目联系方式</w:t>
      </w:r>
    </w:p>
    <w:p w14:paraId="69C678C2">
      <w:pPr>
        <w:keepNext w:val="0"/>
        <w:pageBreakBefore w:val="0"/>
        <w:kinsoku/>
        <w:wordWrap w:val="0"/>
        <w:overflowPunct/>
        <w:topLinePunct w:val="0"/>
        <w:bidi w:val="0"/>
        <w:snapToGrid/>
        <w:spacing w:line="480" w:lineRule="exact"/>
        <w:ind w:firstLine="840" w:firstLineChars="35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项目联系人：</w:t>
      </w:r>
      <w:r>
        <w:rPr>
          <w:rFonts w:hint="eastAsia" w:asciiTheme="minorEastAsia" w:hAnsiTheme="minorEastAsia" w:eastAsiaTheme="minorEastAsia" w:cstheme="minorEastAsia"/>
          <w:color w:val="auto"/>
          <w:sz w:val="24"/>
          <w:szCs w:val="24"/>
          <w:highlight w:val="none"/>
          <w:u w:val="single"/>
        </w:rPr>
        <w:t>欧昌梅、</w:t>
      </w:r>
      <w:r>
        <w:rPr>
          <w:rFonts w:hint="eastAsia" w:asciiTheme="minorEastAsia" w:hAnsiTheme="minorEastAsia" w:eastAsiaTheme="minorEastAsia" w:cstheme="minorEastAsia"/>
          <w:color w:val="auto"/>
          <w:sz w:val="24"/>
          <w:szCs w:val="24"/>
          <w:highlight w:val="none"/>
          <w:u w:val="single"/>
          <w:lang w:eastAsia="zh-CN"/>
        </w:rPr>
        <w:t>黄秋梅、罗霞</w:t>
      </w:r>
    </w:p>
    <w:p w14:paraId="3B4BCC7F">
      <w:pPr>
        <w:keepNext w:val="0"/>
        <w:pageBreakBefore w:val="0"/>
        <w:kinsoku/>
        <w:wordWrap w:val="0"/>
        <w:overflowPunct/>
        <w:topLinePunct w:val="0"/>
        <w:bidi w:val="0"/>
        <w:snapToGrid/>
        <w:spacing w:line="480" w:lineRule="exact"/>
        <w:ind w:firstLine="840" w:firstLineChars="3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    话：</w:t>
      </w:r>
      <w:r>
        <w:rPr>
          <w:rFonts w:hint="eastAsia" w:asciiTheme="minorEastAsia" w:hAnsiTheme="minorEastAsia" w:eastAsiaTheme="minorEastAsia" w:cstheme="minorEastAsia"/>
          <w:color w:val="auto"/>
          <w:sz w:val="24"/>
          <w:szCs w:val="24"/>
          <w:highlight w:val="none"/>
          <w:u w:val="single"/>
        </w:rPr>
        <w:t>0771-2225338</w:t>
      </w:r>
    </w:p>
    <w:p w14:paraId="1639D817">
      <w:pPr>
        <w:keepNext w:val="0"/>
        <w:pageBreakBefore w:val="0"/>
        <w:kinsoku/>
        <w:wordWrap w:val="0"/>
        <w:overflowPunct/>
        <w:topLinePunct w:val="0"/>
        <w:bidi w:val="0"/>
        <w:snapToGrid/>
        <w:spacing w:line="480" w:lineRule="exact"/>
        <w:rPr>
          <w:rFonts w:hint="eastAsia" w:asciiTheme="minorEastAsia" w:hAnsiTheme="minorEastAsia" w:eastAsiaTheme="minorEastAsia" w:cstheme="minorEastAsia"/>
          <w:color w:val="auto"/>
          <w:sz w:val="24"/>
          <w:szCs w:val="24"/>
          <w:highlight w:val="none"/>
        </w:rPr>
      </w:pPr>
    </w:p>
    <w:p w14:paraId="53A9A330">
      <w:pPr>
        <w:keepNext w:val="0"/>
        <w:pageBreakBefore w:val="0"/>
        <w:kinsoku/>
        <w:overflowPunct/>
        <w:topLinePunct w:val="0"/>
        <w:bidi w:val="0"/>
        <w:snapToGrid/>
        <w:spacing w:line="480" w:lineRule="exac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u w:val="single"/>
        </w:rPr>
        <w:t xml:space="preserve">附件： 1.CA 证书申请方式及操作指南下载地址（登陆 http://nncz.nanning.gov.cn/（南宁市财政局官 网）-业务专题-政府采购监督管理-资料下载-“广西政采云西部 CA 办理方式”或“南宁市政采云 CA 证 书办理操作指南”） </w:t>
      </w:r>
    </w:p>
    <w:p w14:paraId="00297FD3">
      <w:pPr>
        <w:keepNext w:val="0"/>
        <w:pageBreakBefore w:val="0"/>
        <w:kinsoku/>
        <w:overflowPunct/>
        <w:topLinePunct w:val="0"/>
        <w:bidi w:val="0"/>
        <w:snapToGrid/>
        <w:spacing w:line="480" w:lineRule="exac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u w:val="single"/>
        </w:rPr>
        <w:t>2.电子投标文件制作与投送教程（在此网址下载：http://nncz.nanning.gov.cn/（南宁市财政局官网）- 业务专题-政府采购监督管理-资料下载-南宁市政府采购项目全流程电子化交易操作指南）</w:t>
      </w:r>
    </w:p>
    <w:p w14:paraId="17E6F016">
      <w:pPr>
        <w:keepNext w:val="0"/>
        <w:pageBreakBefore w:val="0"/>
        <w:kinsoku/>
        <w:wordWrap w:val="0"/>
        <w:overflowPunct/>
        <w:topLinePunct w:val="0"/>
        <w:bidi w:val="0"/>
        <w:snapToGrid/>
        <w:spacing w:line="480" w:lineRule="exact"/>
        <w:jc w:val="righ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广西邕政采购代理有限公司</w:t>
      </w:r>
    </w:p>
    <w:p w14:paraId="2B464E12">
      <w:pPr>
        <w:keepNext w:val="0"/>
        <w:pageBreakBefore w:val="0"/>
        <w:kinsoku/>
        <w:wordWrap w:val="0"/>
        <w:overflowPunct/>
        <w:topLinePunct w:val="0"/>
        <w:bidi w:val="0"/>
        <w:snapToGrid/>
        <w:spacing w:line="480" w:lineRule="exact"/>
        <w:ind w:firstLine="240" w:firstLineChars="100"/>
        <w:jc w:val="righ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202</w:t>
      </w:r>
      <w:r>
        <w:rPr>
          <w:rFonts w:hint="eastAsia" w:asciiTheme="minorEastAsia" w:hAnsiTheme="minorEastAsia" w:eastAsiaTheme="minorEastAsia" w:cstheme="minorEastAsia"/>
          <w:color w:val="auto"/>
          <w:sz w:val="24"/>
          <w:szCs w:val="24"/>
          <w:highlight w:val="none"/>
          <w:u w:val="single"/>
          <w:lang w:val="en-US" w:eastAsia="zh-CN"/>
        </w:rPr>
        <w:t>5</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lang w:val="en-US" w:eastAsia="zh-CN"/>
        </w:rPr>
        <w:t>12</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lang w:val="en-US" w:eastAsia="zh-CN"/>
        </w:rPr>
        <w:t>8</w:t>
      </w:r>
      <w:r>
        <w:rPr>
          <w:rFonts w:hint="eastAsia" w:asciiTheme="minorEastAsia" w:hAnsiTheme="minorEastAsia" w:eastAsiaTheme="minorEastAsia" w:cstheme="minorEastAsia"/>
          <w:color w:val="auto"/>
          <w:sz w:val="24"/>
          <w:szCs w:val="24"/>
          <w:highlight w:val="none"/>
        </w:rPr>
        <w:t>日</w:t>
      </w:r>
    </w:p>
    <w:p w14:paraId="6A5A55B5">
      <w:pPr>
        <w:keepNext w:val="0"/>
        <w:pageBreakBefore w:val="0"/>
        <w:kinsoku/>
        <w:wordWrap w:val="0"/>
        <w:overflowPunct/>
        <w:topLinePunct w:val="0"/>
        <w:bidi w:val="0"/>
        <w:snapToGrid/>
        <w:spacing w:line="48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br w:type="page"/>
      </w:r>
    </w:p>
    <w:p w14:paraId="2A32DAD4">
      <w:pPr>
        <w:pStyle w:val="11"/>
        <w:keepNext w:val="0"/>
        <w:pageBreakBefore w:val="0"/>
        <w:kinsoku/>
        <w:wordWrap w:val="0"/>
        <w:overflowPunct/>
        <w:topLinePunct w:val="0"/>
        <w:bidi w:val="0"/>
        <w:snapToGrid/>
        <w:spacing w:after="0" w:line="480" w:lineRule="exact"/>
        <w:rPr>
          <w:rFonts w:hint="eastAsia" w:asciiTheme="minorEastAsia" w:hAnsiTheme="minorEastAsia" w:eastAsiaTheme="minorEastAsia" w:cstheme="minorEastAsia"/>
          <w:color w:val="auto"/>
          <w:sz w:val="24"/>
          <w:szCs w:val="24"/>
          <w:highlight w:val="none"/>
        </w:rPr>
      </w:pPr>
    </w:p>
    <w:p w14:paraId="34BAEFE5">
      <w:pPr>
        <w:pStyle w:val="14"/>
        <w:keepNext w:val="0"/>
        <w:pageBreakBefore w:val="0"/>
        <w:kinsoku/>
        <w:wordWrap w:val="0"/>
        <w:overflowPunct/>
        <w:topLinePunct w:val="0"/>
        <w:bidi w:val="0"/>
        <w:snapToGrid/>
        <w:spacing w:line="480" w:lineRule="exact"/>
        <w:ind w:firstLine="723"/>
        <w:jc w:val="center"/>
        <w:outlineLvl w:val="0"/>
        <w:rPr>
          <w:rFonts w:hint="eastAsia" w:asciiTheme="minorEastAsia" w:hAnsiTheme="minorEastAsia" w:eastAsiaTheme="minorEastAsia" w:cstheme="minorEastAsia"/>
          <w:b/>
          <w:color w:val="auto"/>
          <w:sz w:val="36"/>
          <w:szCs w:val="36"/>
          <w:highlight w:val="none"/>
        </w:rPr>
      </w:pPr>
      <w:bookmarkStart w:id="4" w:name="_Toc2043"/>
      <w:r>
        <w:rPr>
          <w:rFonts w:hint="eastAsia" w:asciiTheme="minorEastAsia" w:hAnsiTheme="minorEastAsia" w:eastAsiaTheme="minorEastAsia" w:cstheme="minorEastAsia"/>
          <w:b/>
          <w:color w:val="auto"/>
          <w:sz w:val="36"/>
          <w:szCs w:val="36"/>
          <w:highlight w:val="none"/>
        </w:rPr>
        <w:t xml:space="preserve">第二章  </w:t>
      </w:r>
      <w:bookmarkEnd w:id="2"/>
      <w:r>
        <w:rPr>
          <w:rFonts w:hint="eastAsia" w:asciiTheme="minorEastAsia" w:hAnsiTheme="minorEastAsia" w:eastAsiaTheme="minorEastAsia" w:cstheme="minorEastAsia"/>
          <w:b/>
          <w:color w:val="auto"/>
          <w:sz w:val="36"/>
          <w:szCs w:val="36"/>
          <w:highlight w:val="none"/>
        </w:rPr>
        <w:t>采购需求</w:t>
      </w:r>
      <w:bookmarkEnd w:id="4"/>
    </w:p>
    <w:p w14:paraId="6EEE0D8B">
      <w:pPr>
        <w:keepNext w:val="0"/>
        <w:pageBreakBefore w:val="0"/>
        <w:kinsoku/>
        <w:wordWrap w:val="0"/>
        <w:overflowPunct/>
        <w:topLinePunct w:val="0"/>
        <w:bidi w:val="0"/>
        <w:adjustRightInd w:val="0"/>
        <w:snapToGrid/>
        <w:spacing w:line="480" w:lineRule="exact"/>
        <w:ind w:firstLine="482"/>
        <w:rPr>
          <w:rFonts w:hint="eastAsia" w:asciiTheme="minorEastAsia" w:hAnsiTheme="minorEastAsia" w:eastAsiaTheme="minorEastAsia" w:cstheme="minorEastAsia"/>
          <w:b/>
          <w:color w:val="auto"/>
          <w:sz w:val="24"/>
          <w:szCs w:val="24"/>
          <w:highlight w:val="none"/>
        </w:rPr>
      </w:pPr>
    </w:p>
    <w:p w14:paraId="75359666">
      <w:pPr>
        <w:keepNext w:val="0"/>
        <w:pageBreakBefore w:val="0"/>
        <w:kinsoku/>
        <w:wordWrap w:val="0"/>
        <w:overflowPunct/>
        <w:topLinePunct w:val="0"/>
        <w:bidi w:val="0"/>
        <w:adjustRightInd w:val="0"/>
        <w:snapToGrid/>
        <w:spacing w:line="480" w:lineRule="exact"/>
        <w:ind w:firstLine="482"/>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说明：</w:t>
      </w:r>
    </w:p>
    <w:p w14:paraId="3FDD7C11">
      <w:pPr>
        <w:keepNext w:val="0"/>
        <w:pageBreakBefore w:val="0"/>
        <w:kinsoku/>
        <w:wordWrap w:val="0"/>
        <w:overflowPunct/>
        <w:topLinePunct w:val="0"/>
        <w:bidi w:val="0"/>
        <w:snapToGrid/>
        <w:spacing w:line="48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 为落实政府采购政策需满足的要求：</w:t>
      </w:r>
    </w:p>
    <w:p w14:paraId="38BB77EE">
      <w:pPr>
        <w:keepNext w:val="0"/>
        <w:pageBreakBefore w:val="0"/>
        <w:kinsoku/>
        <w:wordWrap w:val="0"/>
        <w:overflowPunct/>
        <w:topLinePunct w:val="0"/>
        <w:bidi w:val="0"/>
        <w:snapToGrid/>
        <w:spacing w:line="48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（1）本招标文件所称中小企业必须符合《政府采购促进中小企业发展管理办法》（财库〔2020〕46号）的规定。</w:t>
      </w:r>
    </w:p>
    <w:p w14:paraId="06A601C4">
      <w:pPr>
        <w:keepNext w:val="0"/>
        <w:pageBreakBefore w:val="0"/>
        <w:kinsoku/>
        <w:wordWrap w:val="0"/>
        <w:overflowPunct/>
        <w:topLinePunct w:val="0"/>
        <w:bidi w:val="0"/>
        <w:snapToGrid/>
        <w:spacing w:line="480" w:lineRule="exact"/>
        <w:ind w:firstLine="484" w:firstLineChars="202"/>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（2）服务项目中伴随货物的，根据《财政部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附件</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投标人的投标货物必须使用政府强制采购的节能产品，投标人必须在投标文件中提供所投标产品的节能产品认证证书复印件（加盖投标人电子公章），否则投标文件作无效处理。如本项目包含的货物属于品目清单内非标注“★”的产品时，应优先采购，具体详见“第四章 评标方法和评标标准”。</w:t>
      </w:r>
    </w:p>
    <w:p w14:paraId="76C81458">
      <w:pPr>
        <w:keepNext w:val="0"/>
        <w:pageBreakBefore w:val="0"/>
        <w:kinsoku/>
        <w:wordWrap w:val="0"/>
        <w:overflowPunct/>
        <w:topLinePunct w:val="0"/>
        <w:bidi w:val="0"/>
        <w:snapToGrid/>
        <w:spacing w:line="480" w:lineRule="exact"/>
        <w:ind w:firstLine="484" w:firstLineChars="202"/>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b/>
          <w:color w:val="auto"/>
          <w:sz w:val="24"/>
          <w:szCs w:val="24"/>
          <w:highlight w:val="none"/>
        </w:rPr>
        <w:t>服务项目中伴随的货物包含列入《网络关键设备和网络安全专用产品目录》的网络安全专用产品，应当按照《信息安全技术 网络安全专用产品安全技术要求》等相关国家标准的强制性要求，提供具备资格的机构安全认证合格或者安全检测证明材料（加盖投标人公章），否则投标文件作无效处理。</w:t>
      </w:r>
    </w:p>
    <w:p w14:paraId="4B47461F">
      <w:pPr>
        <w:keepNext w:val="0"/>
        <w:pageBreakBefore w:val="0"/>
        <w:numPr>
          <w:ilvl w:val="0"/>
          <w:numId w:val="2"/>
        </w:numPr>
        <w:kinsoku/>
        <w:wordWrap w:val="0"/>
        <w:overflowPunct/>
        <w:topLinePunct w:val="0"/>
        <w:bidi w:val="0"/>
        <w:snapToGrid/>
        <w:spacing w:line="480" w:lineRule="exact"/>
        <w:ind w:firstLine="484" w:firstLineChars="202"/>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“实质性要求”是指招标文件中已经指明不满足则投标无效的条款，或者不能负偏离的条款，或者采购需求中带“▲”的条款。</w:t>
      </w:r>
    </w:p>
    <w:p w14:paraId="15B9DBD0">
      <w:pPr>
        <w:keepNext w:val="0"/>
        <w:pageBreakBefore w:val="0"/>
        <w:numPr>
          <w:ilvl w:val="0"/>
          <w:numId w:val="2"/>
        </w:numPr>
        <w:kinsoku/>
        <w:wordWrap w:val="0"/>
        <w:overflowPunct/>
        <w:topLinePunct w:val="0"/>
        <w:bidi w:val="0"/>
        <w:snapToGrid/>
        <w:spacing w:line="480" w:lineRule="exact"/>
        <w:ind w:firstLine="484" w:firstLineChars="202"/>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不需要投标人对采购需求响应为具体数值的，此项采购需求前将以◆号标注。</w:t>
      </w:r>
    </w:p>
    <w:p w14:paraId="7F7D8B99">
      <w:pPr>
        <w:keepNext w:val="0"/>
        <w:pageBreakBefore w:val="0"/>
        <w:numPr>
          <w:ilvl w:val="0"/>
          <w:numId w:val="2"/>
        </w:numPr>
        <w:kinsoku/>
        <w:wordWrap w:val="0"/>
        <w:overflowPunct/>
        <w:topLinePunct w:val="0"/>
        <w:bidi w:val="0"/>
        <w:snapToGrid/>
        <w:spacing w:line="480" w:lineRule="exact"/>
        <w:ind w:firstLine="484" w:firstLineChars="202"/>
        <w:jc w:val="left"/>
        <w:rPr>
          <w:rFonts w:hint="eastAsia" w:asciiTheme="minorEastAsia" w:hAnsiTheme="minorEastAsia" w:eastAsiaTheme="minorEastAsia" w:cstheme="minorEastAsia"/>
          <w:color w:val="auto"/>
          <w:sz w:val="24"/>
          <w:szCs w:val="24"/>
          <w:highlight w:val="none"/>
        </w:rPr>
        <w:sectPr>
          <w:footerReference r:id="rId4" w:type="default"/>
          <w:pgSz w:w="11906" w:h="16838"/>
          <w:pgMar w:top="1440" w:right="1080" w:bottom="1440" w:left="1080" w:header="720" w:footer="720" w:gutter="0"/>
          <w:pgNumType w:start="1"/>
          <w:cols w:space="720" w:num="1"/>
          <w:docGrid w:type="lines" w:linePitch="331" w:charSpace="0"/>
        </w:sectPr>
      </w:pPr>
      <w:r>
        <w:rPr>
          <w:rFonts w:hint="eastAsia" w:asciiTheme="minorEastAsia" w:hAnsiTheme="minorEastAsia" w:eastAsiaTheme="minorEastAsia" w:cstheme="minorEastAsia"/>
          <w:color w:val="auto"/>
          <w:sz w:val="24"/>
          <w:szCs w:val="24"/>
          <w:highlight w:val="none"/>
        </w:rPr>
        <w:t>如投标人投标产品存在侵犯他人的知识产权或者专利成果行为的，应承担相应法律责任</w:t>
      </w:r>
      <w:bookmarkStart w:id="5" w:name="PO_TDCUS_ITEM_PB_REQ_TITLE_1"/>
      <w:r>
        <w:rPr>
          <w:rFonts w:hint="eastAsia" w:asciiTheme="minorEastAsia" w:hAnsiTheme="minorEastAsia" w:eastAsiaTheme="minorEastAsia" w:cstheme="minorEastAsia"/>
          <w:color w:val="auto"/>
          <w:sz w:val="24"/>
          <w:szCs w:val="24"/>
          <w:highlight w:val="none"/>
        </w:rPr>
        <w:t>。</w:t>
      </w:r>
    </w:p>
    <w:bookmarkEnd w:id="5"/>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362"/>
        <w:gridCol w:w="1000"/>
        <w:gridCol w:w="683"/>
        <w:gridCol w:w="533"/>
        <w:gridCol w:w="4484"/>
        <w:gridCol w:w="1056"/>
        <w:gridCol w:w="1371"/>
      </w:tblGrid>
      <w:tr w14:paraId="23588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1" w:type="dxa"/>
            <w:gridSpan w:val="8"/>
            <w:vAlign w:val="center"/>
          </w:tcPr>
          <w:p w14:paraId="4F11FC3E">
            <w:pPr>
              <w:keepNext w:val="0"/>
              <w:keepLines/>
              <w:pageBreakBefore w:val="0"/>
              <w:kinsoku/>
              <w:wordWrap w:val="0"/>
              <w:overflowPunct/>
              <w:topLinePunct w:val="0"/>
              <w:bidi w:val="0"/>
              <w:snapToGrid/>
              <w:spacing w:line="480" w:lineRule="exact"/>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服务需求一览表</w:t>
            </w:r>
          </w:p>
        </w:tc>
      </w:tr>
      <w:tr w14:paraId="03213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 w:type="dxa"/>
            <w:vMerge w:val="restart"/>
          </w:tcPr>
          <w:p w14:paraId="1A68FF6F">
            <w:pPr>
              <w:keepNext w:val="0"/>
              <w:keepLines/>
              <w:pageBreakBefore w:val="0"/>
              <w:kinsoku/>
              <w:wordWrap w:val="0"/>
              <w:overflowPunct/>
              <w:topLinePunct w:val="0"/>
              <w:bidi w:val="0"/>
              <w:snapToGrid/>
              <w:spacing w:line="480" w:lineRule="exact"/>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采购清单及服务参数</w:t>
            </w:r>
          </w:p>
        </w:tc>
        <w:tc>
          <w:tcPr>
            <w:tcW w:w="362" w:type="dxa"/>
            <w:tcMar>
              <w:top w:w="0" w:type="dxa"/>
              <w:left w:w="0" w:type="dxa"/>
              <w:bottom w:w="0" w:type="dxa"/>
              <w:right w:w="0" w:type="dxa"/>
            </w:tcMar>
            <w:vAlign w:val="center"/>
          </w:tcPr>
          <w:p w14:paraId="3D62AB99">
            <w:pPr>
              <w:keepNext w:val="0"/>
              <w:keepLines/>
              <w:pageBreakBefore w:val="0"/>
              <w:kinsoku/>
              <w:wordWrap w:val="0"/>
              <w:overflowPunct/>
              <w:topLinePunct w:val="0"/>
              <w:bidi w:val="0"/>
              <w:snapToGrid/>
              <w:spacing w:line="480" w:lineRule="exact"/>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序号</w:t>
            </w:r>
          </w:p>
        </w:tc>
        <w:tc>
          <w:tcPr>
            <w:tcW w:w="1000" w:type="dxa"/>
            <w:vAlign w:val="center"/>
          </w:tcPr>
          <w:p w14:paraId="7C04D960">
            <w:pPr>
              <w:keepNext w:val="0"/>
              <w:keepLines/>
              <w:pageBreakBefore w:val="0"/>
              <w:kinsoku/>
              <w:wordWrap w:val="0"/>
              <w:overflowPunct/>
              <w:topLinePunct w:val="0"/>
              <w:bidi w:val="0"/>
              <w:snapToGrid/>
              <w:spacing w:line="480" w:lineRule="exact"/>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采购服务名称</w:t>
            </w:r>
          </w:p>
        </w:tc>
        <w:tc>
          <w:tcPr>
            <w:tcW w:w="683" w:type="dxa"/>
            <w:vAlign w:val="center"/>
          </w:tcPr>
          <w:p w14:paraId="5945E500">
            <w:pPr>
              <w:keepNext w:val="0"/>
              <w:keepLines/>
              <w:pageBreakBefore w:val="0"/>
              <w:kinsoku/>
              <w:wordWrap w:val="0"/>
              <w:overflowPunct/>
              <w:topLinePunct w:val="0"/>
              <w:bidi w:val="0"/>
              <w:snapToGrid/>
              <w:spacing w:line="480" w:lineRule="exact"/>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单位</w:t>
            </w:r>
          </w:p>
        </w:tc>
        <w:tc>
          <w:tcPr>
            <w:tcW w:w="533" w:type="dxa"/>
            <w:vAlign w:val="center"/>
          </w:tcPr>
          <w:p w14:paraId="7C19BF29">
            <w:pPr>
              <w:keepNext w:val="0"/>
              <w:keepLines/>
              <w:pageBreakBefore w:val="0"/>
              <w:kinsoku/>
              <w:wordWrap w:val="0"/>
              <w:overflowPunct/>
              <w:topLinePunct w:val="0"/>
              <w:bidi w:val="0"/>
              <w:snapToGrid/>
              <w:spacing w:line="480" w:lineRule="exact"/>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数量</w:t>
            </w:r>
          </w:p>
        </w:tc>
        <w:tc>
          <w:tcPr>
            <w:tcW w:w="4484" w:type="dxa"/>
            <w:vAlign w:val="center"/>
          </w:tcPr>
          <w:p w14:paraId="326F1ED3">
            <w:pPr>
              <w:keepNext w:val="0"/>
              <w:keepLines/>
              <w:pageBreakBefore w:val="0"/>
              <w:kinsoku/>
              <w:wordWrap w:val="0"/>
              <w:overflowPunct/>
              <w:topLinePunct w:val="0"/>
              <w:bidi w:val="0"/>
              <w:snapToGrid/>
              <w:spacing w:line="480" w:lineRule="exact"/>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服务参数</w:t>
            </w:r>
          </w:p>
        </w:tc>
        <w:tc>
          <w:tcPr>
            <w:tcW w:w="1056" w:type="dxa"/>
            <w:vAlign w:val="center"/>
          </w:tcPr>
          <w:p w14:paraId="50C68A31">
            <w:pPr>
              <w:keepNext w:val="0"/>
              <w:keepLines/>
              <w:pageBreakBefore w:val="0"/>
              <w:kinsoku/>
              <w:wordWrap w:val="0"/>
              <w:overflowPunct/>
              <w:topLinePunct w:val="0"/>
              <w:bidi w:val="0"/>
              <w:snapToGrid/>
              <w:spacing w:line="480" w:lineRule="exact"/>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分项预算合计（元）</w:t>
            </w:r>
          </w:p>
        </w:tc>
        <w:tc>
          <w:tcPr>
            <w:tcW w:w="1371" w:type="dxa"/>
            <w:vAlign w:val="center"/>
          </w:tcPr>
          <w:p w14:paraId="29C00A51">
            <w:pPr>
              <w:keepNext w:val="0"/>
              <w:keepLines/>
              <w:pageBreakBefore w:val="0"/>
              <w:kinsoku/>
              <w:wordWrap w:val="0"/>
              <w:overflowPunct/>
              <w:topLinePunct w:val="0"/>
              <w:bidi w:val="0"/>
              <w:snapToGrid/>
              <w:spacing w:line="480" w:lineRule="exact"/>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中小企业划分标准所属行业名称（行业名称及划分见本章附件</w:t>
            </w:r>
            <w:r>
              <w:rPr>
                <w:rFonts w:hint="eastAsia" w:asciiTheme="minorEastAsia" w:hAnsiTheme="minorEastAsia" w:eastAsiaTheme="minorEastAsia" w:cstheme="minorEastAsia"/>
                <w:bCs/>
                <w:color w:val="auto"/>
                <w:sz w:val="24"/>
                <w:szCs w:val="24"/>
                <w:highlight w:val="none"/>
                <w:lang w:val="en-US" w:eastAsia="zh-CN"/>
              </w:rPr>
              <w:t>4</w:t>
            </w:r>
            <w:r>
              <w:rPr>
                <w:rFonts w:hint="eastAsia" w:asciiTheme="minorEastAsia" w:hAnsiTheme="minorEastAsia" w:eastAsiaTheme="minorEastAsia" w:cstheme="minorEastAsia"/>
                <w:bCs/>
                <w:color w:val="auto"/>
                <w:sz w:val="24"/>
                <w:szCs w:val="24"/>
                <w:highlight w:val="none"/>
              </w:rPr>
              <w:t>）</w:t>
            </w:r>
          </w:p>
        </w:tc>
      </w:tr>
      <w:tr w14:paraId="70DF8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 w:type="dxa"/>
            <w:vMerge w:val="continue"/>
            <w:vAlign w:val="center"/>
          </w:tcPr>
          <w:p w14:paraId="13A4E0E3">
            <w:pPr>
              <w:keepNext w:val="0"/>
              <w:keepLines/>
              <w:pageBreakBefore w:val="0"/>
              <w:kinsoku/>
              <w:wordWrap w:val="0"/>
              <w:overflowPunct/>
              <w:topLinePunct w:val="0"/>
              <w:bidi w:val="0"/>
              <w:snapToGrid/>
              <w:spacing w:line="480" w:lineRule="exact"/>
              <w:jc w:val="left"/>
              <w:rPr>
                <w:rFonts w:hint="eastAsia" w:asciiTheme="minorEastAsia" w:hAnsiTheme="minorEastAsia" w:eastAsiaTheme="minorEastAsia" w:cstheme="minorEastAsia"/>
                <w:bCs/>
                <w:color w:val="auto"/>
                <w:sz w:val="24"/>
                <w:szCs w:val="24"/>
                <w:highlight w:val="none"/>
              </w:rPr>
            </w:pPr>
          </w:p>
        </w:tc>
        <w:tc>
          <w:tcPr>
            <w:tcW w:w="362" w:type="dxa"/>
            <w:vAlign w:val="center"/>
          </w:tcPr>
          <w:p w14:paraId="546D1E5E">
            <w:pPr>
              <w:keepNext w:val="0"/>
              <w:keepLines/>
              <w:pageBreakBefore w:val="0"/>
              <w:kinsoku/>
              <w:wordWrap w:val="0"/>
              <w:overflowPunct/>
              <w:topLinePunct w:val="0"/>
              <w:bidi w:val="0"/>
              <w:snapToGrid/>
              <w:spacing w:line="480" w:lineRule="exac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w:t>
            </w:r>
          </w:p>
        </w:tc>
        <w:tc>
          <w:tcPr>
            <w:tcW w:w="1000" w:type="dxa"/>
            <w:vAlign w:val="center"/>
          </w:tcPr>
          <w:p w14:paraId="271D0C0F">
            <w:pPr>
              <w:keepNext w:val="0"/>
              <w:keepLines w:val="0"/>
              <w:pageBreakBefore w:val="0"/>
              <w:widowControl/>
              <w:kinsoku/>
              <w:overflowPunct/>
              <w:topLinePunct w:val="0"/>
              <w:bidi w:val="0"/>
              <w:snapToGrid/>
              <w:spacing w:line="480" w:lineRule="exact"/>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南宁市电子政务云平台</w:t>
            </w:r>
            <w:r>
              <w:rPr>
                <w:rFonts w:hint="eastAsia" w:asciiTheme="minorEastAsia" w:hAnsiTheme="minorEastAsia" w:eastAsiaTheme="minorEastAsia" w:cstheme="minorEastAsia"/>
                <w:color w:val="auto"/>
                <w:kern w:val="0"/>
                <w:sz w:val="24"/>
                <w:szCs w:val="24"/>
                <w:highlight w:val="none"/>
                <w:lang w:val="en-US" w:eastAsia="zh-CN"/>
              </w:rPr>
              <w:t>二期</w:t>
            </w:r>
            <w:r>
              <w:rPr>
                <w:rFonts w:hint="eastAsia" w:asciiTheme="minorEastAsia" w:hAnsiTheme="minorEastAsia" w:eastAsiaTheme="minorEastAsia" w:cstheme="minorEastAsia"/>
                <w:color w:val="auto"/>
                <w:kern w:val="0"/>
                <w:sz w:val="24"/>
                <w:szCs w:val="24"/>
                <w:highlight w:val="none"/>
              </w:rPr>
              <w:t>运维服务</w:t>
            </w:r>
          </w:p>
        </w:tc>
        <w:tc>
          <w:tcPr>
            <w:tcW w:w="683" w:type="dxa"/>
            <w:vAlign w:val="center"/>
          </w:tcPr>
          <w:p w14:paraId="5A4E11BF">
            <w:pPr>
              <w:keepNext w:val="0"/>
              <w:keepLines w:val="0"/>
              <w:pageBreakBefore w:val="0"/>
              <w:widowControl/>
              <w:kinsoku/>
              <w:overflowPunct/>
              <w:topLinePunct w:val="0"/>
              <w:bidi w:val="0"/>
              <w:snapToGrid/>
              <w:spacing w:line="480" w:lineRule="exact"/>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项</w:t>
            </w:r>
          </w:p>
        </w:tc>
        <w:tc>
          <w:tcPr>
            <w:tcW w:w="533" w:type="dxa"/>
            <w:vAlign w:val="center"/>
          </w:tcPr>
          <w:p w14:paraId="1D8BCB33">
            <w:pPr>
              <w:keepNext w:val="0"/>
              <w:keepLines w:val="0"/>
              <w:pageBreakBefore w:val="0"/>
              <w:kinsoku/>
              <w:overflowPunct/>
              <w:topLinePunct w:val="0"/>
              <w:bidi w:val="0"/>
              <w:snapToGrid/>
              <w:spacing w:line="480" w:lineRule="exac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1</w:t>
            </w:r>
          </w:p>
        </w:tc>
        <w:tc>
          <w:tcPr>
            <w:tcW w:w="4484" w:type="dxa"/>
            <w:vAlign w:val="center"/>
          </w:tcPr>
          <w:p w14:paraId="18C7AE8C">
            <w:pPr>
              <w:keepNext w:val="0"/>
              <w:keepLines w:val="0"/>
              <w:pageBreakBefore w:val="0"/>
              <w:kinsoku/>
              <w:overflowPunct/>
              <w:topLinePunct w:val="0"/>
              <w:autoSpaceDE w:val="0"/>
              <w:autoSpaceDN w:val="0"/>
              <w:bidi w:val="0"/>
              <w:adjustRightInd w:val="0"/>
              <w:snapToGrid/>
              <w:spacing w:line="480" w:lineRule="exact"/>
              <w:ind w:firstLine="480" w:firstLineChars="200"/>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b/>
                <w:color w:val="auto"/>
                <w:sz w:val="24"/>
                <w:szCs w:val="24"/>
                <w:highlight w:val="none"/>
              </w:rPr>
              <w:t>一、运维服务总体要求</w:t>
            </w:r>
          </w:p>
          <w:p w14:paraId="17949FAA">
            <w:pPr>
              <w:keepNext w:val="0"/>
              <w:keepLines w:val="0"/>
              <w:pageBreakBefore w:val="0"/>
              <w:kinsoku/>
              <w:overflowPunct/>
              <w:topLinePunct w:val="0"/>
              <w:autoSpaceDE w:val="0"/>
              <w:autoSpaceDN w:val="0"/>
              <w:bidi w:val="0"/>
              <w:adjustRightInd w:val="0"/>
              <w:snapToGrid/>
              <w:spacing w:line="48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本次招标内容是南宁市电子政务运维服务，确保云平台在服务期内安全、稳定、可靠运行。云平台包括</w:t>
            </w:r>
            <w:r>
              <w:rPr>
                <w:rFonts w:hint="eastAsia" w:asciiTheme="minorEastAsia" w:hAnsiTheme="minorEastAsia" w:eastAsiaTheme="minorEastAsia" w:cstheme="minorEastAsia"/>
                <w:color w:val="auto"/>
                <w:sz w:val="24"/>
                <w:szCs w:val="24"/>
                <w:highlight w:val="none"/>
                <w:lang w:val="en-US" w:eastAsia="zh-CN"/>
              </w:rPr>
              <w:t>南宁电子政务云平台（二期）互联网区、公共网络区、运维管理区。</w:t>
            </w:r>
          </w:p>
          <w:p w14:paraId="5F56BF49">
            <w:pPr>
              <w:keepNext w:val="0"/>
              <w:keepLines w:val="0"/>
              <w:pageBreakBefore w:val="0"/>
              <w:kinsoku/>
              <w:overflowPunct/>
              <w:topLinePunct w:val="0"/>
              <w:autoSpaceDE w:val="0"/>
              <w:autoSpaceDN w:val="0"/>
              <w:bidi w:val="0"/>
              <w:adjustRightInd w:val="0"/>
              <w:snapToGrid/>
              <w:spacing w:line="480" w:lineRule="exact"/>
              <w:ind w:firstLine="480" w:firstLineChars="200"/>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highlight w:val="none"/>
              </w:rPr>
              <w:t>▲二、</w:t>
            </w:r>
            <w:r>
              <w:rPr>
                <w:rFonts w:hint="eastAsia" w:asciiTheme="minorEastAsia" w:hAnsiTheme="minorEastAsia" w:eastAsiaTheme="minorEastAsia" w:cstheme="minorEastAsia"/>
                <w:b/>
                <w:color w:val="auto"/>
                <w:sz w:val="24"/>
                <w:szCs w:val="24"/>
                <w:highlight w:val="none"/>
              </w:rPr>
              <w:t>运维服务范围</w:t>
            </w:r>
          </w:p>
          <w:p w14:paraId="21605B1E">
            <w:pPr>
              <w:keepNext w:val="0"/>
              <w:keepLines w:val="0"/>
              <w:pageBreakBefore w:val="0"/>
              <w:shd w:val="clear" w:color="auto" w:fill="auto"/>
              <w:kinsoku/>
              <w:overflowPunct/>
              <w:topLinePunct w:val="0"/>
              <w:autoSpaceDE w:val="0"/>
              <w:autoSpaceDN w:val="0"/>
              <w:bidi w:val="0"/>
              <w:adjustRightInd w:val="0"/>
              <w:snapToGrid/>
              <w:spacing w:line="480" w:lineRule="exact"/>
              <w:ind w:firstLine="480" w:firstLineChars="200"/>
              <w:jc w:val="left"/>
              <w:rPr>
                <w:rFonts w:hint="eastAsia" w:asciiTheme="minorEastAsia" w:hAnsiTheme="minorEastAsia" w:eastAsiaTheme="minorEastAsia" w:cstheme="minorEastAsia"/>
                <w:color w:val="auto"/>
                <w:sz w:val="24"/>
                <w:szCs w:val="24"/>
                <w:highlight w:val="none"/>
                <w:shd w:val="clear" w:color="auto" w:fill="FFFF00"/>
              </w:rPr>
            </w:pPr>
            <w:r>
              <w:rPr>
                <w:rFonts w:hint="eastAsia" w:asciiTheme="minorEastAsia" w:hAnsiTheme="minorEastAsia" w:eastAsiaTheme="minorEastAsia" w:cstheme="minorEastAsia"/>
                <w:color w:val="auto"/>
                <w:sz w:val="24"/>
                <w:szCs w:val="24"/>
                <w:highlight w:val="none"/>
              </w:rPr>
              <w:t>涵盖政务云平台</w:t>
            </w:r>
            <w:r>
              <w:rPr>
                <w:rFonts w:hint="eastAsia" w:asciiTheme="minorEastAsia" w:hAnsiTheme="minorEastAsia" w:eastAsiaTheme="minorEastAsia" w:cstheme="minorEastAsia"/>
                <w:color w:val="auto"/>
                <w:sz w:val="24"/>
                <w:szCs w:val="24"/>
                <w:highlight w:val="none"/>
                <w:lang w:val="en-US" w:eastAsia="zh-CN"/>
              </w:rPr>
              <w:t>二期</w:t>
            </w:r>
            <w:r>
              <w:rPr>
                <w:rFonts w:hint="eastAsia" w:asciiTheme="minorEastAsia" w:hAnsiTheme="minorEastAsia" w:eastAsiaTheme="minorEastAsia" w:cstheme="minorEastAsia"/>
                <w:color w:val="auto"/>
                <w:sz w:val="24"/>
                <w:szCs w:val="24"/>
                <w:highlight w:val="none"/>
              </w:rPr>
              <w:t>相关软硬件，详见附件1：《南宁市电子政务云</w:t>
            </w:r>
            <w:r>
              <w:rPr>
                <w:rFonts w:hint="eastAsia" w:asciiTheme="minorEastAsia" w:hAnsiTheme="minorEastAsia" w:eastAsiaTheme="minorEastAsia" w:cstheme="minorEastAsia"/>
                <w:color w:val="auto"/>
                <w:sz w:val="24"/>
                <w:szCs w:val="24"/>
                <w:highlight w:val="none"/>
                <w:lang w:val="en-US" w:eastAsia="zh-CN"/>
              </w:rPr>
              <w:t>平台</w:t>
            </w:r>
            <w:r>
              <w:rPr>
                <w:rFonts w:hint="eastAsia" w:asciiTheme="minorEastAsia" w:hAnsiTheme="minorEastAsia" w:eastAsiaTheme="minorEastAsia" w:cstheme="minorEastAsia"/>
                <w:color w:val="auto"/>
                <w:sz w:val="24"/>
                <w:szCs w:val="24"/>
                <w:highlight w:val="none"/>
              </w:rPr>
              <w:t>二期软硬件清单》</w:t>
            </w:r>
            <w:r>
              <w:rPr>
                <w:rFonts w:hint="eastAsia" w:asciiTheme="minorEastAsia" w:hAnsiTheme="minorEastAsia" w:eastAsiaTheme="minorEastAsia" w:cstheme="minorEastAsia"/>
                <w:color w:val="auto"/>
                <w:sz w:val="24"/>
                <w:szCs w:val="24"/>
                <w:highlight w:val="none"/>
                <w:shd w:val="clear" w:color="auto" w:fill="auto"/>
                <w:lang w:eastAsia="zh-CN"/>
              </w:rPr>
              <w:t>、附件2：《南宁市电子政务云</w:t>
            </w:r>
            <w:r>
              <w:rPr>
                <w:rFonts w:hint="eastAsia" w:asciiTheme="minorEastAsia" w:hAnsiTheme="minorEastAsia" w:eastAsiaTheme="minorEastAsia" w:cstheme="minorEastAsia"/>
                <w:color w:val="auto"/>
                <w:sz w:val="24"/>
                <w:szCs w:val="24"/>
                <w:highlight w:val="none"/>
                <w:shd w:val="clear" w:color="auto" w:fill="auto"/>
                <w:lang w:val="en-US" w:eastAsia="zh-CN"/>
              </w:rPr>
              <w:t>平台</w:t>
            </w:r>
            <w:r>
              <w:rPr>
                <w:rFonts w:hint="eastAsia" w:asciiTheme="minorEastAsia" w:hAnsiTheme="minorEastAsia" w:eastAsiaTheme="minorEastAsia" w:cstheme="minorEastAsia"/>
                <w:color w:val="auto"/>
                <w:sz w:val="24"/>
                <w:szCs w:val="24"/>
                <w:highlight w:val="none"/>
                <w:shd w:val="clear" w:color="auto" w:fill="auto"/>
                <w:lang w:eastAsia="zh-CN"/>
              </w:rPr>
              <w:t>二期其余软硬件清单》</w:t>
            </w:r>
            <w:r>
              <w:rPr>
                <w:rFonts w:hint="eastAsia" w:asciiTheme="minorEastAsia" w:hAnsiTheme="minorEastAsia" w:eastAsiaTheme="minorEastAsia" w:cstheme="minorEastAsia"/>
                <w:color w:val="auto"/>
                <w:sz w:val="24"/>
                <w:szCs w:val="24"/>
                <w:highlight w:val="none"/>
                <w:shd w:val="clear" w:color="auto" w:fill="auto"/>
              </w:rPr>
              <w:t>。</w:t>
            </w:r>
          </w:p>
          <w:p w14:paraId="3B32F4FF">
            <w:pPr>
              <w:keepNext w:val="0"/>
              <w:keepLines w:val="0"/>
              <w:pageBreakBefore w:val="0"/>
              <w:kinsoku/>
              <w:overflowPunct/>
              <w:topLinePunct w:val="0"/>
              <w:autoSpaceDE w:val="0"/>
              <w:autoSpaceDN w:val="0"/>
              <w:bidi w:val="0"/>
              <w:adjustRightInd w:val="0"/>
              <w:snapToGrid/>
              <w:spacing w:line="480" w:lineRule="exact"/>
              <w:ind w:firstLine="480" w:firstLineChars="200"/>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b/>
                <w:color w:val="auto"/>
                <w:sz w:val="24"/>
                <w:szCs w:val="24"/>
                <w:highlight w:val="none"/>
              </w:rPr>
              <w:t>三、运维服务质量要求</w:t>
            </w:r>
          </w:p>
          <w:p w14:paraId="1B7AD0D4">
            <w:pPr>
              <w:keepNext w:val="0"/>
              <w:keepLines w:val="0"/>
              <w:pageBreakBefore w:val="0"/>
              <w:kinsoku/>
              <w:overflowPunct/>
              <w:topLinePunct w:val="0"/>
              <w:autoSpaceDE w:val="0"/>
              <w:autoSpaceDN w:val="0"/>
              <w:bidi w:val="0"/>
              <w:adjustRightInd w:val="0"/>
              <w:snapToGrid/>
              <w:spacing w:line="480" w:lineRule="exact"/>
              <w:ind w:firstLine="480" w:firstLineChars="200"/>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rPr>
              <w:t>做好云租户业务应用运行、维护、管理工作，负责电子政务云平台的故障受理、处理、跟踪、结果汇报等有关工作，确保云平台及其承载应用系统安全、稳定、高效运行。保证云平台全年可用性不低于99.9</w:t>
            </w:r>
            <w:r>
              <w:rPr>
                <w:rFonts w:hint="eastAsia" w:asciiTheme="minorEastAsia" w:hAnsiTheme="minorEastAsia" w:eastAsiaTheme="minorEastAsia" w:cstheme="minorEastAsia"/>
                <w:color w:val="auto"/>
                <w:sz w:val="24"/>
                <w:szCs w:val="24"/>
                <w:highlight w:val="none"/>
                <w:lang w:val="en-US" w:eastAsia="zh-CN"/>
              </w:rPr>
              <w:t>99</w:t>
            </w:r>
            <w:r>
              <w:rPr>
                <w:rFonts w:hint="eastAsia" w:asciiTheme="minorEastAsia" w:hAnsiTheme="minorEastAsia" w:eastAsiaTheme="minorEastAsia" w:cstheme="minorEastAsia"/>
                <w:color w:val="auto"/>
                <w:sz w:val="24"/>
                <w:szCs w:val="24"/>
                <w:highlight w:val="none"/>
              </w:rPr>
              <w:t>%。</w:t>
            </w:r>
          </w:p>
          <w:p w14:paraId="6143627A">
            <w:pPr>
              <w:keepNext w:val="0"/>
              <w:keepLines w:val="0"/>
              <w:pageBreakBefore w:val="0"/>
              <w:kinsoku/>
              <w:overflowPunct/>
              <w:topLinePunct w:val="0"/>
              <w:autoSpaceDE w:val="0"/>
              <w:autoSpaceDN w:val="0"/>
              <w:bidi w:val="0"/>
              <w:adjustRightInd w:val="0"/>
              <w:snapToGrid/>
              <w:spacing w:line="480" w:lineRule="exact"/>
              <w:ind w:firstLine="482" w:firstLineChars="200"/>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四、运维服务团队要求</w:t>
            </w:r>
          </w:p>
          <w:p w14:paraId="1FE4DDDE">
            <w:pPr>
              <w:keepNext w:val="0"/>
              <w:keepLines w:val="0"/>
              <w:pageBreakBefore w:val="0"/>
              <w:kinsoku/>
              <w:overflowPunct/>
              <w:topLinePunct w:val="0"/>
              <w:autoSpaceDE w:val="0"/>
              <w:autoSpaceDN w:val="0"/>
              <w:bidi w:val="0"/>
              <w:adjustRightInd w:val="0"/>
              <w:snapToGrid/>
              <w:spacing w:line="48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rPr>
              <w:t>投标人须提供素质高、专业性强、具备云平台维护经验、稳定的运维团队，团队人员中有至少</w:t>
            </w:r>
            <w:r>
              <w:rPr>
                <w:rFonts w:hint="eastAsia" w:asciiTheme="minorEastAsia" w:hAnsiTheme="minorEastAsia" w:eastAsiaTheme="minorEastAsia" w:cstheme="minorEastAsia"/>
                <w:color w:val="auto"/>
                <w:sz w:val="24"/>
                <w:szCs w:val="24"/>
                <w:highlight w:val="none"/>
                <w:lang w:eastAsia="zh-CN"/>
              </w:rPr>
              <w:t>5</w:t>
            </w:r>
            <w:r>
              <w:rPr>
                <w:rFonts w:hint="eastAsia" w:asciiTheme="minorEastAsia" w:hAnsiTheme="minorEastAsia" w:eastAsiaTheme="minorEastAsia" w:cstheme="minorEastAsia"/>
                <w:color w:val="auto"/>
                <w:sz w:val="24"/>
                <w:szCs w:val="24"/>
                <w:highlight w:val="none"/>
              </w:rPr>
              <w:t>人驻采购人现场提供7*24小时</w:t>
            </w:r>
            <w:r>
              <w:rPr>
                <w:rFonts w:hint="eastAsia" w:asciiTheme="minorEastAsia" w:hAnsiTheme="minorEastAsia" w:eastAsiaTheme="minorEastAsia" w:cstheme="minorEastAsia"/>
                <w:color w:val="auto"/>
                <w:sz w:val="24"/>
                <w:szCs w:val="24"/>
                <w:highlight w:val="none"/>
                <w:lang w:val="en-US" w:eastAsia="zh-CN"/>
              </w:rPr>
              <w:t>运维</w:t>
            </w:r>
            <w:r>
              <w:rPr>
                <w:rFonts w:hint="eastAsia" w:asciiTheme="minorEastAsia" w:hAnsiTheme="minorEastAsia" w:eastAsiaTheme="minorEastAsia" w:cstheme="minorEastAsia"/>
                <w:color w:val="auto"/>
                <w:sz w:val="24"/>
                <w:szCs w:val="24"/>
                <w:highlight w:val="none"/>
              </w:rPr>
              <w:t>服务</w:t>
            </w:r>
            <w:r>
              <w:rPr>
                <w:rFonts w:hint="eastAsia" w:asciiTheme="minorEastAsia" w:hAnsiTheme="minorEastAsia" w:eastAsiaTheme="minorEastAsia" w:cstheme="minorEastAsia"/>
                <w:color w:val="auto"/>
                <w:sz w:val="24"/>
                <w:szCs w:val="24"/>
                <w:highlight w:val="none"/>
                <w:lang w:eastAsia="zh-CN"/>
              </w:rPr>
              <w:t>，驻场人员要求专人专职。为保障在重大活动、节假日及会议期间政务云的正常运行，投标人应在重大活动、节假日及会议时期增派1人进行驻场服务。</w:t>
            </w:r>
          </w:p>
          <w:p w14:paraId="3A4F014D">
            <w:pPr>
              <w:keepNext w:val="0"/>
              <w:keepLines w:val="0"/>
              <w:pageBreakBefore w:val="0"/>
              <w:kinsoku/>
              <w:overflowPunct/>
              <w:topLinePunct w:val="0"/>
              <w:autoSpaceDE w:val="0"/>
              <w:autoSpaceDN w:val="0"/>
              <w:bidi w:val="0"/>
              <w:adjustRightInd w:val="0"/>
              <w:snapToGrid/>
              <w:spacing w:line="480" w:lineRule="exact"/>
              <w:ind w:firstLine="480" w:firstLineChars="200"/>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b/>
                <w:color w:val="auto"/>
                <w:sz w:val="24"/>
                <w:szCs w:val="24"/>
                <w:highlight w:val="none"/>
              </w:rPr>
              <w:t>五、运维服务响应要求</w:t>
            </w:r>
          </w:p>
          <w:p w14:paraId="75F743B8">
            <w:pPr>
              <w:keepNext w:val="0"/>
              <w:keepLines w:val="0"/>
              <w:pageBreakBefore w:val="0"/>
              <w:kinsoku/>
              <w:overflowPunct/>
              <w:topLinePunct w:val="0"/>
              <w:autoSpaceDE w:val="0"/>
              <w:autoSpaceDN w:val="0"/>
              <w:bidi w:val="0"/>
              <w:adjustRightInd w:val="0"/>
              <w:snapToGrid/>
              <w:spacing w:line="48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1.提供7*24不间断服务。</w:t>
            </w:r>
          </w:p>
          <w:p w14:paraId="7B26CFD7">
            <w:pPr>
              <w:keepNext w:val="0"/>
              <w:keepLines w:val="0"/>
              <w:pageBreakBefore w:val="0"/>
              <w:kinsoku/>
              <w:overflowPunct/>
              <w:topLinePunct w:val="0"/>
              <w:autoSpaceDE w:val="0"/>
              <w:autoSpaceDN w:val="0"/>
              <w:bidi w:val="0"/>
              <w:adjustRightInd w:val="0"/>
              <w:snapToGrid/>
              <w:spacing w:line="48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rPr>
              <w:t>2.平台发生故障，</w:t>
            </w:r>
            <w:r>
              <w:rPr>
                <w:rFonts w:hint="eastAsia" w:asciiTheme="minorEastAsia" w:hAnsiTheme="minorEastAsia" w:eastAsiaTheme="minorEastAsia" w:cstheme="minorEastAsia"/>
                <w:color w:val="auto"/>
                <w:sz w:val="24"/>
                <w:szCs w:val="24"/>
                <w:highlight w:val="none"/>
                <w:lang w:val="en-US" w:eastAsia="zh-CN"/>
              </w:rPr>
              <w:t>中标供应商</w:t>
            </w:r>
            <w:r>
              <w:rPr>
                <w:rFonts w:hint="eastAsia" w:asciiTheme="minorEastAsia" w:hAnsiTheme="minorEastAsia" w:eastAsiaTheme="minorEastAsia" w:cstheme="minorEastAsia"/>
                <w:color w:val="auto"/>
                <w:sz w:val="24"/>
                <w:szCs w:val="24"/>
                <w:highlight w:val="none"/>
              </w:rPr>
              <w:t>立即向采购人报告。一般故障（单机或影响范围较小的故障）应在30分钟内排除故障</w:t>
            </w:r>
            <w:r>
              <w:rPr>
                <w:rFonts w:hint="eastAsia" w:asciiTheme="minorEastAsia" w:hAnsiTheme="minorEastAsia" w:eastAsiaTheme="minorEastAsia" w:cstheme="minorEastAsia"/>
                <w:color w:val="auto"/>
                <w:sz w:val="24"/>
                <w:szCs w:val="24"/>
                <w:highlight w:val="none"/>
                <w:lang w:eastAsia="zh-CN"/>
              </w:rPr>
              <w:t>恢复服务</w:t>
            </w:r>
            <w:r>
              <w:rPr>
                <w:rFonts w:hint="eastAsia" w:asciiTheme="minorEastAsia" w:hAnsiTheme="minorEastAsia" w:eastAsiaTheme="minorEastAsia" w:cstheme="minorEastAsia"/>
                <w:color w:val="auto"/>
                <w:sz w:val="24"/>
                <w:szCs w:val="24"/>
                <w:highlight w:val="none"/>
              </w:rPr>
              <w:t>，重大故障（核心设备或影响范围较大的故障）应在60分钟内排除故障</w:t>
            </w:r>
            <w:r>
              <w:rPr>
                <w:rFonts w:hint="eastAsia" w:asciiTheme="minorEastAsia" w:hAnsiTheme="minorEastAsia" w:eastAsiaTheme="minorEastAsia" w:cstheme="minorEastAsia"/>
                <w:color w:val="auto"/>
                <w:sz w:val="24"/>
                <w:szCs w:val="24"/>
                <w:highlight w:val="none"/>
                <w:lang w:eastAsia="zh-CN"/>
              </w:rPr>
              <w:t>恢复服务</w:t>
            </w:r>
            <w:r>
              <w:rPr>
                <w:rFonts w:hint="eastAsia" w:asciiTheme="minorEastAsia" w:hAnsiTheme="minorEastAsia" w:eastAsiaTheme="minorEastAsia" w:cstheme="minorEastAsia"/>
                <w:color w:val="auto"/>
                <w:sz w:val="24"/>
                <w:szCs w:val="24"/>
                <w:highlight w:val="none"/>
              </w:rPr>
              <w:t>。</w:t>
            </w:r>
          </w:p>
          <w:p w14:paraId="3E908AA8">
            <w:pPr>
              <w:keepNext w:val="0"/>
              <w:keepLines w:val="0"/>
              <w:pageBreakBefore w:val="0"/>
              <w:kinsoku/>
              <w:overflowPunct/>
              <w:topLinePunct w:val="0"/>
              <w:autoSpaceDE w:val="0"/>
              <w:autoSpaceDN w:val="0"/>
              <w:bidi w:val="0"/>
              <w:adjustRightInd w:val="0"/>
              <w:snapToGrid/>
              <w:spacing w:line="480" w:lineRule="exact"/>
              <w:ind w:firstLine="482" w:firstLineChars="200"/>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▲六、保密性要求</w:t>
            </w:r>
          </w:p>
          <w:p w14:paraId="33DAD8DD">
            <w:pPr>
              <w:keepNext w:val="0"/>
              <w:keepLines w:val="0"/>
              <w:pageBreakBefore w:val="0"/>
              <w:kinsoku/>
              <w:overflowPunct/>
              <w:topLinePunct w:val="0"/>
              <w:autoSpaceDE w:val="0"/>
              <w:autoSpaceDN w:val="0"/>
              <w:bidi w:val="0"/>
              <w:adjustRightInd w:val="0"/>
              <w:snapToGrid/>
              <w:spacing w:line="48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为确保电子政务云平台和及其承载应用系统信息的安全保密，投标人须分别与采购人以及相关运维人员签署保密协议。</w:t>
            </w:r>
          </w:p>
          <w:p w14:paraId="6C0A2E06">
            <w:pPr>
              <w:keepNext w:val="0"/>
              <w:keepLines w:val="0"/>
              <w:pageBreakBefore w:val="0"/>
              <w:kinsoku/>
              <w:overflowPunct/>
              <w:topLinePunct w:val="0"/>
              <w:autoSpaceDE w:val="0"/>
              <w:autoSpaceDN w:val="0"/>
              <w:bidi w:val="0"/>
              <w:adjustRightInd w:val="0"/>
              <w:snapToGrid/>
              <w:spacing w:line="480" w:lineRule="exact"/>
              <w:ind w:firstLine="482" w:firstLineChars="200"/>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七、运维服务内容</w:t>
            </w:r>
          </w:p>
          <w:p w14:paraId="0E1B698C">
            <w:pPr>
              <w:keepNext w:val="0"/>
              <w:keepLines w:val="0"/>
              <w:pageBreakBefore w:val="0"/>
              <w:kinsoku/>
              <w:overflowPunct/>
              <w:topLinePunct w:val="0"/>
              <w:autoSpaceDE w:val="0"/>
              <w:autoSpaceDN w:val="0"/>
              <w:bidi w:val="0"/>
              <w:adjustRightInd w:val="0"/>
              <w:snapToGrid/>
              <w:spacing w:line="480" w:lineRule="exact"/>
              <w:ind w:firstLine="480" w:firstLineChars="200"/>
              <w:jc w:val="left"/>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w:t>
            </w:r>
            <w:r>
              <w:rPr>
                <w:rFonts w:hint="eastAsia" w:asciiTheme="minorEastAsia" w:hAnsiTheme="minorEastAsia" w:eastAsiaTheme="minorEastAsia" w:cstheme="minorEastAsia"/>
                <w:b/>
                <w:bCs w:val="0"/>
                <w:color w:val="auto"/>
                <w:sz w:val="24"/>
                <w:szCs w:val="24"/>
                <w:highlight w:val="none"/>
              </w:rPr>
              <w:t>1</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val="0"/>
                <w:color w:val="auto"/>
                <w:sz w:val="24"/>
                <w:szCs w:val="24"/>
                <w:highlight w:val="none"/>
              </w:rPr>
              <w:t>应用系统迁移：</w:t>
            </w:r>
            <w:r>
              <w:rPr>
                <w:rFonts w:hint="eastAsia" w:asciiTheme="minorEastAsia" w:hAnsiTheme="minorEastAsia" w:eastAsiaTheme="minorEastAsia" w:cstheme="minorEastAsia"/>
                <w:b w:val="0"/>
                <w:bCs/>
                <w:color w:val="auto"/>
                <w:sz w:val="24"/>
                <w:szCs w:val="24"/>
                <w:highlight w:val="none"/>
              </w:rPr>
              <w:t>协助采购人、应用系统主管单位开展应用系统迁移、资源回收等工作。</w:t>
            </w:r>
          </w:p>
          <w:p w14:paraId="00D3066D">
            <w:pPr>
              <w:keepNext w:val="0"/>
              <w:keepLines w:val="0"/>
              <w:pageBreakBefore w:val="0"/>
              <w:kinsoku/>
              <w:overflowPunct/>
              <w:topLinePunct w:val="0"/>
              <w:autoSpaceDE w:val="0"/>
              <w:autoSpaceDN w:val="0"/>
              <w:bidi w:val="0"/>
              <w:adjustRightInd w:val="0"/>
              <w:snapToGrid/>
              <w:spacing w:line="480" w:lineRule="exact"/>
              <w:ind w:firstLine="480" w:firstLineChars="200"/>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w:t>
            </w:r>
            <w:r>
              <w:rPr>
                <w:rFonts w:hint="eastAsia" w:asciiTheme="minorEastAsia" w:hAnsiTheme="minorEastAsia" w:eastAsiaTheme="minorEastAsia" w:cstheme="minorEastAsia"/>
                <w:b/>
                <w:bCs w:val="0"/>
                <w:color w:val="auto"/>
                <w:sz w:val="24"/>
                <w:szCs w:val="24"/>
                <w:highlight w:val="none"/>
              </w:rPr>
              <w:t>2</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val="0"/>
                <w:color w:val="auto"/>
                <w:sz w:val="24"/>
                <w:szCs w:val="24"/>
                <w:highlight w:val="none"/>
              </w:rPr>
              <w:t>应用系统下线：</w:t>
            </w:r>
            <w:r>
              <w:rPr>
                <w:rFonts w:hint="eastAsia" w:asciiTheme="minorEastAsia" w:hAnsiTheme="minorEastAsia" w:eastAsiaTheme="minorEastAsia" w:cstheme="minorEastAsia"/>
                <w:b w:val="0"/>
                <w:bCs/>
                <w:color w:val="auto"/>
                <w:sz w:val="24"/>
                <w:szCs w:val="24"/>
                <w:highlight w:val="none"/>
              </w:rPr>
              <w:t>协助采购人、应用系统主管单位开展应用系统下线、资源回收等工作。</w:t>
            </w:r>
          </w:p>
          <w:p w14:paraId="6FA3425B">
            <w:pPr>
              <w:keepNext w:val="0"/>
              <w:keepLines w:val="0"/>
              <w:pageBreakBefore w:val="0"/>
              <w:kinsoku/>
              <w:overflowPunct/>
              <w:topLinePunct w:val="0"/>
              <w:autoSpaceDE w:val="0"/>
              <w:autoSpaceDN w:val="0"/>
              <w:bidi w:val="0"/>
              <w:adjustRightInd w:val="0"/>
              <w:snapToGrid/>
              <w:spacing w:line="480" w:lineRule="exact"/>
              <w:ind w:firstLine="482"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szCs w:val="24"/>
                <w:highlight w:val="none"/>
                <w:lang w:val="en-US" w:eastAsia="zh-CN"/>
              </w:rPr>
              <w:t>3</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color w:val="auto"/>
                <w:sz w:val="24"/>
                <w:szCs w:val="24"/>
                <w:highlight w:val="none"/>
              </w:rPr>
              <w:t>云资源管理：</w:t>
            </w:r>
            <w:r>
              <w:rPr>
                <w:rFonts w:hint="eastAsia" w:asciiTheme="minorEastAsia" w:hAnsiTheme="minorEastAsia" w:eastAsiaTheme="minorEastAsia" w:cstheme="minorEastAsia"/>
                <w:color w:val="auto"/>
                <w:sz w:val="24"/>
                <w:szCs w:val="24"/>
                <w:highlight w:val="none"/>
              </w:rPr>
              <w:t>根据采购人和业务单位的需要，对云平台的资源（包括CPU、内存、存储空间）进行分配和调整，对相关资源进行监控管理，每月向采购人提交资源统计报告。</w:t>
            </w:r>
          </w:p>
          <w:p w14:paraId="7BA6420C">
            <w:pPr>
              <w:keepNext w:val="0"/>
              <w:keepLines w:val="0"/>
              <w:pageBreakBefore w:val="0"/>
              <w:kinsoku/>
              <w:overflowPunct/>
              <w:topLinePunct w:val="0"/>
              <w:autoSpaceDE w:val="0"/>
              <w:autoSpaceDN w:val="0"/>
              <w:bidi w:val="0"/>
              <w:adjustRightInd w:val="0"/>
              <w:snapToGrid/>
              <w:spacing w:line="480" w:lineRule="exact"/>
              <w:ind w:firstLine="482"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szCs w:val="24"/>
                <w:highlight w:val="none"/>
                <w:lang w:val="en-US" w:eastAsia="zh-CN"/>
              </w:rPr>
              <w:t>4</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color w:val="auto"/>
                <w:sz w:val="24"/>
                <w:szCs w:val="24"/>
                <w:highlight w:val="none"/>
              </w:rPr>
              <w:t>故障处理：</w:t>
            </w:r>
            <w:r>
              <w:rPr>
                <w:rFonts w:hint="eastAsia" w:asciiTheme="minorEastAsia" w:hAnsiTheme="minorEastAsia" w:eastAsiaTheme="minorEastAsia" w:cstheme="minorEastAsia"/>
                <w:color w:val="auto"/>
                <w:sz w:val="24"/>
                <w:szCs w:val="24"/>
                <w:highlight w:val="none"/>
                <w:lang w:val="en-US" w:eastAsia="zh-CN"/>
              </w:rPr>
              <w:t>投</w:t>
            </w:r>
            <w:r>
              <w:rPr>
                <w:rFonts w:hint="eastAsia" w:asciiTheme="minorEastAsia" w:hAnsiTheme="minorEastAsia" w:eastAsiaTheme="minorEastAsia" w:cstheme="minorEastAsia"/>
                <w:color w:val="auto"/>
                <w:sz w:val="24"/>
                <w:szCs w:val="24"/>
                <w:highlight w:val="none"/>
                <w:lang w:eastAsia="zh-CN"/>
              </w:rPr>
              <w:t>标人</w:t>
            </w:r>
            <w:r>
              <w:rPr>
                <w:rFonts w:hint="eastAsia" w:asciiTheme="minorEastAsia" w:hAnsiTheme="minorEastAsia" w:eastAsiaTheme="minorEastAsia" w:cstheme="minorEastAsia"/>
                <w:color w:val="auto"/>
                <w:sz w:val="24"/>
                <w:szCs w:val="24"/>
                <w:highlight w:val="none"/>
              </w:rPr>
              <w:t>应建立完善的故障管理体系，管理体系涵盖故障处理的故障等级、职责分工和处理界面，每个处理流程保留有电子化记录并在每个处理环节中落实到相应的处理接口人。按照故障等级不同需要有不同的处理时长和故障恢复时限。</w:t>
            </w:r>
          </w:p>
          <w:p w14:paraId="1901C165">
            <w:pPr>
              <w:keepNext w:val="0"/>
              <w:keepLines w:val="0"/>
              <w:pageBreakBefore w:val="0"/>
              <w:kinsoku/>
              <w:overflowPunct/>
              <w:topLinePunct w:val="0"/>
              <w:autoSpaceDE w:val="0"/>
              <w:autoSpaceDN w:val="0"/>
              <w:bidi w:val="0"/>
              <w:adjustRightInd w:val="0"/>
              <w:snapToGrid/>
              <w:spacing w:line="480" w:lineRule="exact"/>
              <w:ind w:firstLine="482"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szCs w:val="24"/>
                <w:highlight w:val="none"/>
                <w:lang w:val="en-US" w:eastAsia="zh-CN"/>
              </w:rPr>
              <w:t>5</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color w:val="auto"/>
                <w:sz w:val="24"/>
                <w:szCs w:val="24"/>
                <w:highlight w:val="none"/>
              </w:rPr>
              <w:t>存储系统维护服务：</w:t>
            </w:r>
            <w:r>
              <w:rPr>
                <w:rFonts w:hint="eastAsia" w:asciiTheme="minorEastAsia" w:hAnsiTheme="minorEastAsia" w:eastAsiaTheme="minorEastAsia" w:cstheme="minorEastAsia"/>
                <w:color w:val="auto"/>
                <w:sz w:val="24"/>
                <w:szCs w:val="24"/>
                <w:highlight w:val="none"/>
              </w:rPr>
              <w:t>提供存储网络日常维护服务，主要包括存储网络的检查、测试、及相关网络的服务器、数据库等存储空间的检查、分配、回收和故障排除等服务。在现有的主机系统架构下，按照用户业务需求制定存储空间使用规划、存储策略和安全策略，根据需要进行存储空间的合理分配、划分、分区建立、授权管理、管理权限配置等。数据的备份定期检查与故障恢复服务。协助采购人对存储系统进行升级、扩容、改造，对采购人新购买的授权（KEY）和安装升级提供技术服务支持。</w:t>
            </w:r>
          </w:p>
          <w:p w14:paraId="6AF3DFEB">
            <w:pPr>
              <w:keepNext w:val="0"/>
              <w:keepLines w:val="0"/>
              <w:pageBreakBefore w:val="0"/>
              <w:kinsoku/>
              <w:overflowPunct/>
              <w:topLinePunct w:val="0"/>
              <w:autoSpaceDE w:val="0"/>
              <w:autoSpaceDN w:val="0"/>
              <w:bidi w:val="0"/>
              <w:adjustRightInd w:val="0"/>
              <w:snapToGrid/>
              <w:spacing w:line="480" w:lineRule="exact"/>
              <w:ind w:firstLine="482"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szCs w:val="24"/>
                <w:highlight w:val="none"/>
                <w:lang w:val="en-US" w:eastAsia="zh-CN"/>
              </w:rPr>
              <w:t>6</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color w:val="auto"/>
                <w:sz w:val="24"/>
                <w:szCs w:val="24"/>
                <w:highlight w:val="none"/>
              </w:rPr>
              <w:t>网络维护：</w:t>
            </w:r>
            <w:r>
              <w:rPr>
                <w:rFonts w:hint="eastAsia" w:asciiTheme="minorEastAsia" w:hAnsiTheme="minorEastAsia" w:eastAsiaTheme="minorEastAsia" w:cstheme="minorEastAsia"/>
                <w:color w:val="auto"/>
                <w:sz w:val="24"/>
                <w:szCs w:val="24"/>
                <w:highlight w:val="none"/>
              </w:rPr>
              <w:t>IP地址规划和管理，网络结构、网络路由的配置和调优。</w:t>
            </w:r>
          </w:p>
          <w:p w14:paraId="35C7336C">
            <w:pPr>
              <w:keepNext w:val="0"/>
              <w:keepLines w:val="0"/>
              <w:pageBreakBefore w:val="0"/>
              <w:kinsoku/>
              <w:overflowPunct/>
              <w:topLinePunct w:val="0"/>
              <w:autoSpaceDE w:val="0"/>
              <w:autoSpaceDN w:val="0"/>
              <w:bidi w:val="0"/>
              <w:adjustRightInd w:val="0"/>
              <w:snapToGrid/>
              <w:spacing w:line="480" w:lineRule="exact"/>
              <w:ind w:firstLine="482"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szCs w:val="24"/>
                <w:highlight w:val="none"/>
                <w:lang w:val="en-US" w:eastAsia="zh-CN"/>
              </w:rPr>
              <w:t>7</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color w:val="auto"/>
                <w:sz w:val="24"/>
                <w:szCs w:val="24"/>
                <w:highlight w:val="none"/>
              </w:rPr>
              <w:t>资产管理：</w:t>
            </w:r>
            <w:r>
              <w:rPr>
                <w:rFonts w:hint="eastAsia" w:asciiTheme="minorEastAsia" w:hAnsiTheme="minorEastAsia" w:eastAsiaTheme="minorEastAsia" w:cstheme="minorEastAsia"/>
                <w:color w:val="auto"/>
                <w:sz w:val="24"/>
                <w:szCs w:val="24"/>
                <w:highlight w:val="none"/>
              </w:rPr>
              <w:t>协助采购人做好云平台软硬件资产管理，每个季度对云平台资产进行一次盘点。</w:t>
            </w:r>
          </w:p>
          <w:p w14:paraId="05E2C969">
            <w:pPr>
              <w:keepNext w:val="0"/>
              <w:keepLines w:val="0"/>
              <w:pageBreakBefore w:val="0"/>
              <w:kinsoku/>
              <w:overflowPunct/>
              <w:topLinePunct w:val="0"/>
              <w:autoSpaceDE w:val="0"/>
              <w:autoSpaceDN w:val="0"/>
              <w:bidi w:val="0"/>
              <w:adjustRightInd w:val="0"/>
              <w:snapToGrid/>
              <w:spacing w:line="480" w:lineRule="exact"/>
              <w:ind w:firstLine="482"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szCs w:val="24"/>
                <w:highlight w:val="none"/>
                <w:lang w:val="en-US" w:eastAsia="zh-CN"/>
              </w:rPr>
              <w:t>8</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color w:val="auto"/>
                <w:sz w:val="24"/>
                <w:szCs w:val="24"/>
                <w:highlight w:val="none"/>
              </w:rPr>
              <w:t>培训：</w:t>
            </w:r>
            <w:r>
              <w:rPr>
                <w:rFonts w:hint="eastAsia" w:asciiTheme="minorEastAsia" w:hAnsiTheme="minorEastAsia" w:eastAsiaTheme="minorEastAsia" w:cstheme="minorEastAsia"/>
                <w:color w:val="auto"/>
                <w:sz w:val="24"/>
                <w:szCs w:val="24"/>
                <w:highlight w:val="none"/>
                <w:lang w:val="en-US" w:eastAsia="zh-CN"/>
              </w:rPr>
              <w:t>中标供应商</w:t>
            </w:r>
            <w:r>
              <w:rPr>
                <w:rFonts w:hint="eastAsia" w:asciiTheme="minorEastAsia" w:hAnsiTheme="minorEastAsia" w:eastAsiaTheme="minorEastAsia" w:cstheme="minorEastAsia"/>
                <w:b w:val="0"/>
                <w:bCs/>
                <w:color w:val="auto"/>
                <w:sz w:val="24"/>
                <w:szCs w:val="24"/>
                <w:highlight w:val="none"/>
                <w:lang w:val="en-US" w:eastAsia="zh-CN"/>
              </w:rPr>
              <w:t>按需针对采购人和业务系统单位的管理人员和运维人员，制定详细的培训计划，组织开展培训，使人员具备日常维护管理的能力；提供所维护设备涉及的服务器环境、存储环境、网络环境等方面的知识培训；网络维护操作、一般故障查询定位、系统运维常见问题解答等</w:t>
            </w:r>
            <w:r>
              <w:rPr>
                <w:rFonts w:hint="eastAsia" w:asciiTheme="minorEastAsia" w:hAnsiTheme="minorEastAsia" w:eastAsiaTheme="minorEastAsia" w:cstheme="minorEastAsia"/>
                <w:color w:val="auto"/>
                <w:sz w:val="24"/>
                <w:szCs w:val="24"/>
                <w:highlight w:val="none"/>
              </w:rPr>
              <w:t>。</w:t>
            </w:r>
          </w:p>
          <w:p w14:paraId="66E8B7BA">
            <w:pPr>
              <w:keepNext w:val="0"/>
              <w:keepLines w:val="0"/>
              <w:pageBreakBefore w:val="0"/>
              <w:kinsoku/>
              <w:overflowPunct/>
              <w:topLinePunct w:val="0"/>
              <w:autoSpaceDE w:val="0"/>
              <w:autoSpaceDN w:val="0"/>
              <w:bidi w:val="0"/>
              <w:adjustRightInd w:val="0"/>
              <w:snapToGrid/>
              <w:spacing w:line="480" w:lineRule="exact"/>
              <w:ind w:firstLine="482" w:firstLineChars="200"/>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szCs w:val="24"/>
                <w:highlight w:val="none"/>
                <w:lang w:val="en-US" w:eastAsia="zh-CN"/>
              </w:rPr>
              <w:t>9</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color w:val="auto"/>
                <w:sz w:val="24"/>
                <w:szCs w:val="24"/>
                <w:highlight w:val="none"/>
              </w:rPr>
              <w:t>安全管理：</w:t>
            </w:r>
          </w:p>
          <w:p w14:paraId="18040989">
            <w:pPr>
              <w:keepNext w:val="0"/>
              <w:keepLines w:val="0"/>
              <w:pageBreakBefore w:val="0"/>
              <w:kinsoku/>
              <w:overflowPunct/>
              <w:topLinePunct w:val="0"/>
              <w:autoSpaceDE w:val="0"/>
              <w:autoSpaceDN w:val="0"/>
              <w:bidi w:val="0"/>
              <w:adjustRightInd w:val="0"/>
              <w:snapToGrid/>
              <w:spacing w:line="48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rPr>
              <w:t>（1）应急演练与应急响应：根据云平台高可用性设计特性和各组件的重要性进行针对性演练，制定应急预案和演练方案，每年组织至少1次应急演练，并提交总结报告；当发生重大应急事件时，按照应急预案进行应急响应处理，并在事后制定重大事件报告。</w:t>
            </w:r>
          </w:p>
          <w:p w14:paraId="35287064">
            <w:pPr>
              <w:keepNext w:val="0"/>
              <w:keepLines w:val="0"/>
              <w:pageBreakBefore w:val="0"/>
              <w:kinsoku/>
              <w:overflowPunct/>
              <w:topLinePunct w:val="0"/>
              <w:autoSpaceDE w:val="0"/>
              <w:autoSpaceDN w:val="0"/>
              <w:bidi w:val="0"/>
              <w:adjustRightInd w:val="0"/>
              <w:snapToGrid/>
              <w:spacing w:line="48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（2）等级保护测评和整改：协助采购人对云平台的网络安全等级保护进行测评，针对测评中发现的问题进行安全整改</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除客观因素</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rPr>
              <w:t>协助应用系统的网络安全等级保护测评和安全整改</w:t>
            </w:r>
            <w:r>
              <w:rPr>
                <w:rFonts w:hint="eastAsia" w:asciiTheme="minorEastAsia" w:hAnsiTheme="minorEastAsia" w:eastAsiaTheme="minorEastAsia" w:cstheme="minorEastAsia"/>
                <w:color w:val="auto"/>
                <w:sz w:val="24"/>
                <w:szCs w:val="24"/>
                <w:highlight w:val="none"/>
              </w:rPr>
              <w:t>。</w:t>
            </w:r>
          </w:p>
          <w:p w14:paraId="4D300CA6">
            <w:pPr>
              <w:keepNext w:val="0"/>
              <w:keepLines w:val="0"/>
              <w:pageBreakBefore w:val="0"/>
              <w:kinsoku/>
              <w:overflowPunct/>
              <w:topLinePunct w:val="0"/>
              <w:autoSpaceDE w:val="0"/>
              <w:autoSpaceDN w:val="0"/>
              <w:bidi w:val="0"/>
              <w:adjustRightInd w:val="0"/>
              <w:snapToGrid/>
              <w:spacing w:line="48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rPr>
              <w:t>（3）应用系统安全管理：每个月至少进行</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次安全漏洞扫描检查，使用漏洞扫描系统对各种系统进行安全检查，发现操作系统、数据库、中间件、网络设备、防火墙等的漏洞，协助应用系统业务单位根据扫描的结果和建议进行整改加固；协助业务单位开展应用系统安全等级保护测评和整改。</w:t>
            </w:r>
          </w:p>
          <w:p w14:paraId="3ED8813C">
            <w:pPr>
              <w:keepNext w:val="0"/>
              <w:keepLines w:val="0"/>
              <w:pageBreakBefore w:val="0"/>
              <w:kinsoku/>
              <w:overflowPunct/>
              <w:topLinePunct w:val="0"/>
              <w:autoSpaceDE w:val="0"/>
              <w:autoSpaceDN w:val="0"/>
              <w:bidi w:val="0"/>
              <w:adjustRightInd w:val="0"/>
              <w:snapToGrid/>
              <w:spacing w:line="48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（4）使用安全管理系统实时监控网络安全动态。</w:t>
            </w:r>
          </w:p>
          <w:p w14:paraId="5284BF3D">
            <w:pPr>
              <w:keepNext w:val="0"/>
              <w:keepLines w:val="0"/>
              <w:pageBreakBefore w:val="0"/>
              <w:kinsoku/>
              <w:overflowPunct/>
              <w:topLinePunct w:val="0"/>
              <w:autoSpaceDE w:val="0"/>
              <w:autoSpaceDN w:val="0"/>
              <w:bidi w:val="0"/>
              <w:adjustRightInd w:val="0"/>
              <w:snapToGrid/>
              <w:spacing w:line="48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（5）对安全管理系统发出的及用户反映的安全报警事件进行处理。</w:t>
            </w:r>
          </w:p>
          <w:p w14:paraId="7C720450">
            <w:pPr>
              <w:keepNext w:val="0"/>
              <w:keepLines w:val="0"/>
              <w:pageBreakBefore w:val="0"/>
              <w:kinsoku/>
              <w:overflowPunct/>
              <w:topLinePunct w:val="0"/>
              <w:autoSpaceDE w:val="0"/>
              <w:autoSpaceDN w:val="0"/>
              <w:bidi w:val="0"/>
              <w:adjustRightInd w:val="0"/>
              <w:snapToGrid/>
              <w:spacing w:line="48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（6）对安全管理系统、防火墙、安全审计系统、入侵防护系统、WEB应用防火墙、入侵检测系统、网站安全监测系统、远程安全评估系统、VPN网关、防病毒系统等安全设备及系统进行运行维护管理。</w:t>
            </w:r>
          </w:p>
          <w:p w14:paraId="558B819B">
            <w:pPr>
              <w:keepNext w:val="0"/>
              <w:keepLines w:val="0"/>
              <w:pageBreakBefore w:val="0"/>
              <w:kinsoku/>
              <w:overflowPunct/>
              <w:topLinePunct w:val="0"/>
              <w:autoSpaceDE w:val="0"/>
              <w:autoSpaceDN w:val="0"/>
              <w:bidi w:val="0"/>
              <w:adjustRightInd w:val="0"/>
              <w:snapToGrid/>
              <w:spacing w:line="48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（7）网络优化升级：安全策略优化；安全软硬件升级；安全漏洞修复；内部服务器安全配置加固；防火墙安全配置加固；定期对服务器口令进行更改。</w:t>
            </w:r>
          </w:p>
          <w:p w14:paraId="45956221">
            <w:pPr>
              <w:keepNext w:val="0"/>
              <w:keepLines w:val="0"/>
              <w:pageBreakBefore w:val="0"/>
              <w:kinsoku/>
              <w:overflowPunct/>
              <w:topLinePunct w:val="0"/>
              <w:autoSpaceDE w:val="0"/>
              <w:autoSpaceDN w:val="0"/>
              <w:bidi w:val="0"/>
              <w:adjustRightInd w:val="0"/>
              <w:snapToGrid/>
              <w:spacing w:line="480" w:lineRule="exact"/>
              <w:ind w:firstLine="482"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szCs w:val="24"/>
                <w:highlight w:val="none"/>
                <w:lang w:val="en-US" w:eastAsia="zh-CN"/>
              </w:rPr>
              <w:t>10</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color w:val="auto"/>
                <w:sz w:val="24"/>
                <w:szCs w:val="24"/>
                <w:highlight w:val="none"/>
              </w:rPr>
              <w:t>数据备份和恢复：</w:t>
            </w:r>
            <w:r>
              <w:rPr>
                <w:rFonts w:hint="eastAsia" w:asciiTheme="minorEastAsia" w:hAnsiTheme="minorEastAsia" w:eastAsiaTheme="minorEastAsia" w:cstheme="minorEastAsia"/>
                <w:color w:val="auto"/>
                <w:sz w:val="24"/>
                <w:szCs w:val="24"/>
                <w:highlight w:val="none"/>
              </w:rPr>
              <w:t>协助采购人对云平台的相关配置和日志数据进行备份和恢复；协助上云的单位利用灾备中心对业务应用系统进行备份和恢复，在进行日常维护过程中，对系统参数或应用进行修改后，及时进行系统备份，保证备份系统与在用系统的一致性。</w:t>
            </w:r>
          </w:p>
          <w:p w14:paraId="45957252">
            <w:pPr>
              <w:keepNext w:val="0"/>
              <w:keepLines w:val="0"/>
              <w:pageBreakBefore w:val="0"/>
              <w:kinsoku/>
              <w:overflowPunct/>
              <w:topLinePunct w:val="0"/>
              <w:autoSpaceDE w:val="0"/>
              <w:autoSpaceDN w:val="0"/>
              <w:bidi w:val="0"/>
              <w:adjustRightInd w:val="0"/>
              <w:snapToGrid/>
              <w:spacing w:line="480" w:lineRule="exact"/>
              <w:ind w:firstLine="482"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▲1</w:t>
            </w:r>
            <w:r>
              <w:rPr>
                <w:rFonts w:hint="eastAsia" w:asciiTheme="minorEastAsia" w:hAnsiTheme="minorEastAsia" w:eastAsiaTheme="minorEastAsia" w:cstheme="minorEastAsia"/>
                <w:b/>
                <w:color w:val="auto"/>
                <w:sz w:val="24"/>
                <w:szCs w:val="24"/>
                <w:highlight w:val="none"/>
                <w:lang w:val="en-US" w:eastAsia="zh-CN"/>
              </w:rPr>
              <w:t>1</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color w:val="auto"/>
                <w:sz w:val="24"/>
                <w:szCs w:val="24"/>
                <w:highlight w:val="none"/>
              </w:rPr>
              <w:t>巡检服务：</w:t>
            </w:r>
            <w:r>
              <w:rPr>
                <w:rFonts w:hint="eastAsia" w:asciiTheme="minorEastAsia" w:hAnsiTheme="minorEastAsia" w:eastAsiaTheme="minorEastAsia" w:cstheme="minorEastAsia"/>
                <w:color w:val="auto"/>
                <w:sz w:val="24"/>
                <w:szCs w:val="24"/>
                <w:highlight w:val="none"/>
              </w:rPr>
              <w:t>值班人员上午、下午、晚上对平台进行日常巡检，发现问题及时处理，并做好巡检记录。</w:t>
            </w:r>
          </w:p>
          <w:p w14:paraId="3C706E71">
            <w:pPr>
              <w:keepNext w:val="0"/>
              <w:keepLines w:val="0"/>
              <w:pageBreakBefore w:val="0"/>
              <w:kinsoku/>
              <w:overflowPunct/>
              <w:topLinePunct w:val="0"/>
              <w:autoSpaceDE w:val="0"/>
              <w:autoSpaceDN w:val="0"/>
              <w:bidi w:val="0"/>
              <w:adjustRightInd w:val="0"/>
              <w:snapToGrid/>
              <w:spacing w:line="48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color w:val="auto"/>
                <w:sz w:val="24"/>
                <w:szCs w:val="24"/>
                <w:highlight w:val="none"/>
              </w:rPr>
              <w:t>全市政府网站IPV6支持率维护服务。对全市64个政府网站的IPV6支持率进行维护，确保单个政府网站支持率达到99.99%以上，符合国家和自治区有关规定。</w:t>
            </w:r>
          </w:p>
          <w:p w14:paraId="6BE45443">
            <w:pPr>
              <w:keepNext w:val="0"/>
              <w:keepLines w:val="0"/>
              <w:pageBreakBefore w:val="0"/>
              <w:kinsoku/>
              <w:overflowPunct/>
              <w:topLinePunct w:val="0"/>
              <w:autoSpaceDE w:val="0"/>
              <w:autoSpaceDN w:val="0"/>
              <w:bidi w:val="0"/>
              <w:adjustRightInd w:val="0"/>
              <w:snapToGrid/>
              <w:spacing w:line="480" w:lineRule="exact"/>
              <w:ind w:firstLine="482" w:firstLineChars="200"/>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w:t>
            </w:r>
            <w:r>
              <w:rPr>
                <w:rFonts w:hint="eastAsia" w:asciiTheme="minorEastAsia" w:hAnsiTheme="minorEastAsia" w:eastAsiaTheme="minorEastAsia" w:cstheme="minorEastAsia"/>
                <w:b/>
                <w:color w:val="auto"/>
                <w:sz w:val="24"/>
                <w:szCs w:val="24"/>
                <w:highlight w:val="none"/>
                <w:lang w:val="en-US" w:eastAsia="zh-CN"/>
              </w:rPr>
              <w:t>3</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color w:val="auto"/>
                <w:sz w:val="24"/>
                <w:szCs w:val="24"/>
                <w:highlight w:val="none"/>
              </w:rPr>
              <w:t>设备的维修及升级等服务</w:t>
            </w:r>
          </w:p>
          <w:p w14:paraId="3EFF7FE7">
            <w:pPr>
              <w:keepNext w:val="0"/>
              <w:keepLines w:val="0"/>
              <w:pageBreakBefore w:val="0"/>
              <w:kinsoku/>
              <w:overflowPunct/>
              <w:topLinePunct w:val="0"/>
              <w:autoSpaceDE w:val="0"/>
              <w:autoSpaceDN w:val="0"/>
              <w:bidi w:val="0"/>
              <w:adjustRightInd w:val="0"/>
              <w:snapToGrid/>
              <w:spacing w:line="48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投</w:t>
            </w:r>
            <w:r>
              <w:rPr>
                <w:rFonts w:hint="eastAsia" w:asciiTheme="minorEastAsia" w:hAnsiTheme="minorEastAsia" w:eastAsiaTheme="minorEastAsia" w:cstheme="minorEastAsia"/>
                <w:color w:val="auto"/>
                <w:sz w:val="24"/>
                <w:szCs w:val="24"/>
                <w:highlight w:val="none"/>
                <w:lang w:eastAsia="zh-CN"/>
              </w:rPr>
              <w:t>标人</w:t>
            </w:r>
            <w:r>
              <w:rPr>
                <w:rFonts w:hint="eastAsia" w:asciiTheme="minorEastAsia" w:hAnsiTheme="minorEastAsia" w:eastAsiaTheme="minorEastAsia" w:cstheme="minorEastAsia"/>
                <w:color w:val="auto"/>
                <w:sz w:val="24"/>
                <w:szCs w:val="24"/>
                <w:highlight w:val="none"/>
              </w:rPr>
              <w:t>应在本地准备充足的备品、备件，保障相关备用设施设备能够按需正常启用。因本次维保服务涉及的重要的数据系统，专业技术针对性比较强，投标人必须具备数据类服务及保障能力。维护范围内设备部件发生故障，根据服务时限要求更换备件（备件为原厂生产）,并负责解决在维护期内发生的、与上述设备相关的支撑软件系统（如：操作系统）的故障。若在规定的时间内不能及时更换，应在现场采取应急措施，确保系统正常运行。</w:t>
            </w:r>
          </w:p>
          <w:p w14:paraId="3235D80C">
            <w:pPr>
              <w:keepNext w:val="0"/>
              <w:keepLines w:val="0"/>
              <w:pageBreakBefore w:val="0"/>
              <w:kinsoku/>
              <w:overflowPunct/>
              <w:topLinePunct w:val="0"/>
              <w:autoSpaceDE w:val="0"/>
              <w:autoSpaceDN w:val="0"/>
              <w:bidi w:val="0"/>
              <w:adjustRightInd w:val="0"/>
              <w:snapToGrid/>
              <w:spacing w:line="480" w:lineRule="exact"/>
              <w:ind w:firstLine="482"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color w:val="auto"/>
                <w:kern w:val="0"/>
                <w:sz w:val="24"/>
                <w:szCs w:val="24"/>
                <w:highlight w:val="none"/>
              </w:rPr>
              <w:t>（1）</w:t>
            </w:r>
            <w:r>
              <w:rPr>
                <w:rFonts w:hint="eastAsia" w:asciiTheme="minorEastAsia" w:hAnsiTheme="minorEastAsia" w:eastAsiaTheme="minorEastAsia" w:cstheme="minorEastAsia"/>
                <w:color w:val="auto"/>
                <w:sz w:val="24"/>
                <w:szCs w:val="24"/>
                <w:highlight w:val="none"/>
              </w:rPr>
              <w:t>政务云</w:t>
            </w:r>
            <w:r>
              <w:rPr>
                <w:rFonts w:hint="eastAsia" w:asciiTheme="minorEastAsia" w:hAnsiTheme="minorEastAsia" w:eastAsiaTheme="minorEastAsia" w:cstheme="minorEastAsia"/>
                <w:color w:val="auto"/>
                <w:sz w:val="24"/>
                <w:szCs w:val="24"/>
                <w:highlight w:val="none"/>
                <w:lang w:val="en-US" w:eastAsia="zh-CN"/>
              </w:rPr>
              <w:t>平台</w:t>
            </w:r>
            <w:r>
              <w:rPr>
                <w:rFonts w:hint="eastAsia" w:asciiTheme="minorEastAsia" w:hAnsiTheme="minorEastAsia" w:eastAsiaTheme="minorEastAsia" w:cstheme="minorEastAsia"/>
                <w:color w:val="auto"/>
                <w:sz w:val="24"/>
                <w:szCs w:val="24"/>
                <w:highlight w:val="none"/>
              </w:rPr>
              <w:t>二期项目内的网络和安全设备、服务器、支撑软件提供技术支持和维护服务，涉及硬件的维修、坏件更换、技术支持升级等</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软硬件清单详见</w:t>
            </w:r>
            <w:r>
              <w:rPr>
                <w:rFonts w:hint="eastAsia" w:asciiTheme="minorEastAsia" w:hAnsiTheme="minorEastAsia" w:eastAsiaTheme="minorEastAsia" w:cstheme="minorEastAsia"/>
                <w:color w:val="auto"/>
                <w:sz w:val="24"/>
                <w:szCs w:val="24"/>
                <w:highlight w:val="none"/>
              </w:rPr>
              <w:t>附件1：《南宁市电子政务云</w:t>
            </w:r>
            <w:r>
              <w:rPr>
                <w:rFonts w:hint="eastAsia" w:asciiTheme="minorEastAsia" w:hAnsiTheme="minorEastAsia" w:eastAsiaTheme="minorEastAsia" w:cstheme="minorEastAsia"/>
                <w:color w:val="auto"/>
                <w:sz w:val="24"/>
                <w:szCs w:val="24"/>
                <w:highlight w:val="none"/>
                <w:lang w:val="en-US" w:eastAsia="zh-CN"/>
              </w:rPr>
              <w:t>平台</w:t>
            </w:r>
            <w:r>
              <w:rPr>
                <w:rFonts w:hint="eastAsia" w:asciiTheme="minorEastAsia" w:hAnsiTheme="minorEastAsia" w:eastAsiaTheme="minorEastAsia" w:cstheme="minorEastAsia"/>
                <w:color w:val="auto"/>
                <w:sz w:val="24"/>
                <w:szCs w:val="24"/>
                <w:highlight w:val="none"/>
              </w:rPr>
              <w:t>二期软硬件清单》；</w:t>
            </w:r>
          </w:p>
          <w:p w14:paraId="6551F6E4">
            <w:pPr>
              <w:keepNext w:val="0"/>
              <w:keepLines w:val="0"/>
              <w:pageBreakBefore w:val="0"/>
              <w:kinsoku/>
              <w:overflowPunct/>
              <w:topLinePunct w:val="0"/>
              <w:autoSpaceDE w:val="0"/>
              <w:autoSpaceDN w:val="0"/>
              <w:bidi w:val="0"/>
              <w:adjustRightInd w:val="0"/>
              <w:snapToGrid/>
              <w:spacing w:line="480" w:lineRule="exact"/>
              <w:ind w:firstLine="482"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lang w:val="en-US" w:eastAsia="zh-CN"/>
              </w:rPr>
              <w:t>2</w:t>
            </w: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sz w:val="24"/>
                <w:szCs w:val="24"/>
                <w:highlight w:val="none"/>
              </w:rPr>
              <w:t>其余</w:t>
            </w:r>
            <w:r>
              <w:rPr>
                <w:rFonts w:hint="eastAsia" w:asciiTheme="minorEastAsia" w:hAnsiTheme="minorEastAsia" w:eastAsiaTheme="minorEastAsia" w:cstheme="minorEastAsia"/>
                <w:color w:val="auto"/>
                <w:sz w:val="24"/>
                <w:szCs w:val="24"/>
                <w:highlight w:val="none"/>
                <w:lang w:val="en-US" w:eastAsia="zh-CN"/>
              </w:rPr>
              <w:t>软硬件</w:t>
            </w:r>
            <w:r>
              <w:rPr>
                <w:rFonts w:hint="eastAsia" w:asciiTheme="minorEastAsia" w:hAnsiTheme="minorEastAsia" w:eastAsiaTheme="minorEastAsia" w:cstheme="minorEastAsia"/>
                <w:color w:val="auto"/>
                <w:sz w:val="24"/>
                <w:szCs w:val="24"/>
                <w:highlight w:val="none"/>
              </w:rPr>
              <w:t>设备采用全包维护方式，含维护期中的维护维修人工（含相应的开支）、</w:t>
            </w:r>
            <w:r>
              <w:rPr>
                <w:rFonts w:hint="eastAsia" w:asciiTheme="minorEastAsia" w:hAnsiTheme="minorEastAsia" w:eastAsiaTheme="minorEastAsia" w:cstheme="minorEastAsia"/>
                <w:color w:val="auto"/>
                <w:sz w:val="24"/>
                <w:szCs w:val="24"/>
                <w:highlight w:val="none"/>
                <w:lang w:val="en-US" w:eastAsia="zh-CN"/>
              </w:rPr>
              <w:t>软件故障处理、</w:t>
            </w:r>
            <w:r>
              <w:rPr>
                <w:rFonts w:hint="eastAsia" w:asciiTheme="minorEastAsia" w:hAnsiTheme="minorEastAsia" w:eastAsiaTheme="minorEastAsia" w:cstheme="minorEastAsia"/>
                <w:color w:val="auto"/>
                <w:sz w:val="24"/>
                <w:szCs w:val="24"/>
                <w:highlight w:val="none"/>
              </w:rPr>
              <w:t>坏件的修复更换及备品备件等一切费用，</w:t>
            </w:r>
            <w:r>
              <w:rPr>
                <w:rFonts w:hint="eastAsia" w:asciiTheme="minorEastAsia" w:hAnsiTheme="minorEastAsia" w:eastAsiaTheme="minorEastAsia" w:cstheme="minorEastAsia"/>
                <w:color w:val="auto"/>
                <w:sz w:val="24"/>
                <w:szCs w:val="24"/>
                <w:highlight w:val="none"/>
                <w:lang w:val="en-US" w:eastAsia="zh-CN"/>
              </w:rPr>
              <w:t>软硬件</w:t>
            </w:r>
            <w:r>
              <w:rPr>
                <w:rFonts w:hint="eastAsia" w:asciiTheme="minorEastAsia" w:hAnsiTheme="minorEastAsia" w:eastAsiaTheme="minorEastAsia" w:cstheme="minorEastAsia"/>
                <w:color w:val="auto"/>
                <w:sz w:val="24"/>
                <w:szCs w:val="24"/>
                <w:highlight w:val="none"/>
              </w:rPr>
              <w:t>设备清单详见附件2：《南宁市电子政务云</w:t>
            </w:r>
            <w:r>
              <w:rPr>
                <w:rFonts w:hint="eastAsia" w:asciiTheme="minorEastAsia" w:hAnsiTheme="minorEastAsia" w:eastAsiaTheme="minorEastAsia" w:cstheme="minorEastAsia"/>
                <w:color w:val="auto"/>
                <w:sz w:val="24"/>
                <w:szCs w:val="24"/>
                <w:highlight w:val="none"/>
                <w:lang w:val="en-US" w:eastAsia="zh-CN"/>
              </w:rPr>
              <w:t>平台</w:t>
            </w:r>
            <w:r>
              <w:rPr>
                <w:rFonts w:hint="eastAsia" w:asciiTheme="minorEastAsia" w:hAnsiTheme="minorEastAsia" w:eastAsiaTheme="minorEastAsia" w:cstheme="minorEastAsia"/>
                <w:color w:val="auto"/>
                <w:sz w:val="24"/>
                <w:szCs w:val="24"/>
                <w:highlight w:val="none"/>
              </w:rPr>
              <w:t>二期其余软硬件清单》。</w:t>
            </w:r>
          </w:p>
          <w:p w14:paraId="3BC9CBF9">
            <w:pPr>
              <w:keepNext w:val="0"/>
              <w:keepLines w:val="0"/>
              <w:pageBreakBefore w:val="0"/>
              <w:kinsoku/>
              <w:overflowPunct/>
              <w:topLinePunct w:val="0"/>
              <w:autoSpaceDE w:val="0"/>
              <w:autoSpaceDN w:val="0"/>
              <w:bidi w:val="0"/>
              <w:adjustRightInd w:val="0"/>
              <w:snapToGrid/>
              <w:spacing w:line="480" w:lineRule="exact"/>
              <w:ind w:firstLine="482" w:firstLineChars="200"/>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w:t>
            </w:r>
            <w:r>
              <w:rPr>
                <w:rFonts w:hint="eastAsia" w:asciiTheme="minorEastAsia" w:hAnsiTheme="minorEastAsia" w:eastAsiaTheme="minorEastAsia" w:cstheme="minorEastAsia"/>
                <w:b/>
                <w:color w:val="auto"/>
                <w:sz w:val="24"/>
                <w:szCs w:val="24"/>
                <w:highlight w:val="none"/>
                <w:lang w:val="en-US" w:eastAsia="zh-CN"/>
              </w:rPr>
              <w:t>4</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color w:val="auto"/>
                <w:sz w:val="24"/>
                <w:szCs w:val="24"/>
                <w:highlight w:val="none"/>
              </w:rPr>
              <w:t>服务方式</w:t>
            </w:r>
          </w:p>
          <w:p w14:paraId="618133C3">
            <w:pPr>
              <w:keepNext w:val="0"/>
              <w:keepLines w:val="0"/>
              <w:pageBreakBefore w:val="0"/>
              <w:kinsoku/>
              <w:overflowPunct/>
              <w:topLinePunct w:val="0"/>
              <w:autoSpaceDE w:val="0"/>
              <w:autoSpaceDN w:val="0"/>
              <w:bidi w:val="0"/>
              <w:adjustRightInd w:val="0"/>
              <w:snapToGrid/>
              <w:spacing w:line="480" w:lineRule="exact"/>
              <w:ind w:firstLine="482"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）当所维护设备出现问题投标人提供的维护人员不能解决时，投标人需申请原厂服务。</w:t>
            </w:r>
          </w:p>
          <w:p w14:paraId="1C1161A3">
            <w:pPr>
              <w:keepNext w:val="0"/>
              <w:keepLines w:val="0"/>
              <w:pageBreakBefore w:val="0"/>
              <w:kinsoku/>
              <w:overflowPunct/>
              <w:topLinePunct w:val="0"/>
              <w:autoSpaceDE w:val="0"/>
              <w:autoSpaceDN w:val="0"/>
              <w:bidi w:val="0"/>
              <w:adjustRightInd w:val="0"/>
              <w:snapToGrid/>
              <w:spacing w:line="480" w:lineRule="exact"/>
              <w:ind w:firstLine="482"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）现场技术支持：包括紧急故障应急、备件更换、软件维护、关键时间点现场值守、重大系统变更现场支持、多厂商多平台故障诊断等。</w:t>
            </w:r>
          </w:p>
          <w:p w14:paraId="3A3C7973">
            <w:pPr>
              <w:keepNext w:val="0"/>
              <w:keepLines w:val="0"/>
              <w:pageBreakBefore w:val="0"/>
              <w:kinsoku/>
              <w:overflowPunct/>
              <w:topLinePunct w:val="0"/>
              <w:autoSpaceDE w:val="0"/>
              <w:autoSpaceDN w:val="0"/>
              <w:bidi w:val="0"/>
              <w:adjustRightInd w:val="0"/>
              <w:snapToGrid/>
              <w:spacing w:line="480" w:lineRule="exact"/>
              <w:ind w:firstLine="482"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）远程技术支持，电话支持，电子邮件支持等服务。</w:t>
            </w:r>
          </w:p>
          <w:p w14:paraId="6060CB49">
            <w:pPr>
              <w:keepNext w:val="0"/>
              <w:keepLines w:val="0"/>
              <w:pageBreakBefore w:val="0"/>
              <w:kinsoku/>
              <w:overflowPunct/>
              <w:topLinePunct w:val="0"/>
              <w:autoSpaceDE w:val="0"/>
              <w:autoSpaceDN w:val="0"/>
              <w:bidi w:val="0"/>
              <w:adjustRightInd w:val="0"/>
              <w:snapToGrid/>
              <w:spacing w:line="480" w:lineRule="exact"/>
              <w:ind w:firstLine="482" w:firstLineChars="200"/>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w:t>
            </w:r>
            <w:r>
              <w:rPr>
                <w:rFonts w:hint="eastAsia" w:asciiTheme="minorEastAsia" w:hAnsiTheme="minorEastAsia" w:eastAsiaTheme="minorEastAsia" w:cstheme="minorEastAsia"/>
                <w:b/>
                <w:color w:val="auto"/>
                <w:sz w:val="24"/>
                <w:szCs w:val="24"/>
                <w:highlight w:val="none"/>
                <w:lang w:val="en-US" w:eastAsia="zh-CN"/>
              </w:rPr>
              <w:t>5</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color w:val="auto"/>
                <w:sz w:val="24"/>
                <w:szCs w:val="24"/>
                <w:highlight w:val="none"/>
              </w:rPr>
              <w:t>运维资料收集整理</w:t>
            </w:r>
          </w:p>
          <w:p w14:paraId="6ED71ED5">
            <w:pPr>
              <w:keepNext w:val="0"/>
              <w:keepLines w:val="0"/>
              <w:pageBreakBefore w:val="0"/>
              <w:kinsoku/>
              <w:overflowPunct/>
              <w:topLinePunct w:val="0"/>
              <w:autoSpaceDE w:val="0"/>
              <w:autoSpaceDN w:val="0"/>
              <w:bidi w:val="0"/>
              <w:adjustRightInd w:val="0"/>
              <w:snapToGrid/>
              <w:spacing w:line="480" w:lineRule="exact"/>
              <w:ind w:firstLine="482"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color w:val="auto"/>
                <w:sz w:val="24"/>
                <w:szCs w:val="24"/>
                <w:highlight w:val="none"/>
              </w:rPr>
              <w:t>（1）网络资料维护：单位接入资料；IP地址表；设备资产登记；故障处理记录；日常网络数据记录等等。</w:t>
            </w:r>
          </w:p>
          <w:p w14:paraId="785DEC2F">
            <w:pPr>
              <w:keepNext w:val="0"/>
              <w:keepLines w:val="0"/>
              <w:pageBreakBefore w:val="0"/>
              <w:kinsoku/>
              <w:overflowPunct/>
              <w:topLinePunct w:val="0"/>
              <w:autoSpaceDE w:val="0"/>
              <w:autoSpaceDN w:val="0"/>
              <w:bidi w:val="0"/>
              <w:adjustRightInd w:val="0"/>
              <w:snapToGrid/>
              <w:spacing w:line="480" w:lineRule="exact"/>
              <w:ind w:firstLine="482"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color w:val="auto"/>
                <w:sz w:val="24"/>
                <w:szCs w:val="24"/>
                <w:highlight w:val="none"/>
              </w:rPr>
              <w:t>（2）应用系统资料维护：业务系统资料维护；存储系统资料维护；备份资料维护；IP资料维护；应用系统设计和实施方案资料维护；应用系统日常监控报告资料维护；应用系统周报和月报资料维护；存储系统每月运行报告资料维护。</w:t>
            </w:r>
          </w:p>
          <w:p w14:paraId="69B94A42">
            <w:pPr>
              <w:keepNext w:val="0"/>
              <w:keepLines w:val="0"/>
              <w:pageBreakBefore w:val="0"/>
              <w:kinsoku/>
              <w:overflowPunct/>
              <w:topLinePunct w:val="0"/>
              <w:autoSpaceDE w:val="0"/>
              <w:autoSpaceDN w:val="0"/>
              <w:bidi w:val="0"/>
              <w:adjustRightInd w:val="0"/>
              <w:snapToGrid/>
              <w:spacing w:line="480" w:lineRule="exact"/>
              <w:ind w:firstLine="482"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color w:val="auto"/>
                <w:sz w:val="24"/>
                <w:szCs w:val="24"/>
                <w:highlight w:val="none"/>
              </w:rPr>
              <w:t>（3）网络安全资料维护：安全日报；安全周报；安全月报。</w:t>
            </w:r>
          </w:p>
          <w:p w14:paraId="2B787D26">
            <w:pPr>
              <w:keepNext w:val="0"/>
              <w:keepLines w:val="0"/>
              <w:pageBreakBefore w:val="0"/>
              <w:kinsoku/>
              <w:overflowPunct/>
              <w:topLinePunct w:val="0"/>
              <w:autoSpaceDE w:val="0"/>
              <w:autoSpaceDN w:val="0"/>
              <w:bidi w:val="0"/>
              <w:adjustRightInd w:val="0"/>
              <w:snapToGrid/>
              <w:spacing w:line="480" w:lineRule="exact"/>
              <w:ind w:firstLine="482"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color w:val="auto"/>
                <w:sz w:val="24"/>
                <w:szCs w:val="24"/>
                <w:highlight w:val="none"/>
              </w:rPr>
              <w:t>（4）每月漏洞扫描报告、配置核查扫描报告、安全自查报告等。</w:t>
            </w:r>
          </w:p>
          <w:p w14:paraId="559BB817">
            <w:pPr>
              <w:keepNext w:val="0"/>
              <w:keepLines w:val="0"/>
              <w:pageBreakBefore w:val="0"/>
              <w:kinsoku/>
              <w:overflowPunct/>
              <w:topLinePunct w:val="0"/>
              <w:autoSpaceDE w:val="0"/>
              <w:autoSpaceDN w:val="0"/>
              <w:bidi w:val="0"/>
              <w:adjustRightInd w:val="0"/>
              <w:snapToGrid/>
              <w:spacing w:line="480" w:lineRule="exact"/>
              <w:ind w:firstLine="482"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color w:val="auto"/>
                <w:sz w:val="24"/>
                <w:szCs w:val="24"/>
                <w:highlight w:val="none"/>
              </w:rPr>
              <w:t>（5）重要节假日安全保障相关报告。</w:t>
            </w:r>
          </w:p>
          <w:p w14:paraId="58BC2367">
            <w:pPr>
              <w:keepNext w:val="0"/>
              <w:keepLines w:val="0"/>
              <w:pageBreakBefore w:val="0"/>
              <w:kinsoku/>
              <w:overflowPunct/>
              <w:topLinePunct w:val="0"/>
              <w:autoSpaceDE w:val="0"/>
              <w:autoSpaceDN w:val="0"/>
              <w:bidi w:val="0"/>
              <w:adjustRightInd w:val="0"/>
              <w:snapToGrid/>
              <w:spacing w:line="480" w:lineRule="exact"/>
              <w:ind w:firstLine="482"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color w:val="auto"/>
                <w:sz w:val="24"/>
                <w:szCs w:val="24"/>
                <w:highlight w:val="none"/>
              </w:rPr>
              <w:t>（6）日常巡检报告。</w:t>
            </w:r>
          </w:p>
          <w:p w14:paraId="5522EF83">
            <w:pPr>
              <w:keepNext w:val="0"/>
              <w:keepLines w:val="0"/>
              <w:pageBreakBefore w:val="0"/>
              <w:kinsoku/>
              <w:overflowPunct/>
              <w:topLinePunct w:val="0"/>
              <w:autoSpaceDE w:val="0"/>
              <w:autoSpaceDN w:val="0"/>
              <w:bidi w:val="0"/>
              <w:adjustRightInd w:val="0"/>
              <w:snapToGrid/>
              <w:spacing w:line="480" w:lineRule="exact"/>
              <w:ind w:firstLine="482"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color w:val="auto"/>
                <w:sz w:val="24"/>
                <w:szCs w:val="24"/>
                <w:highlight w:val="none"/>
              </w:rPr>
              <w:t>（7）应急演练方案及演练成果报告。</w:t>
            </w:r>
          </w:p>
          <w:p w14:paraId="326CAD92">
            <w:pPr>
              <w:keepNext w:val="0"/>
              <w:keepLines w:val="0"/>
              <w:pageBreakBefore w:val="0"/>
              <w:kinsoku/>
              <w:overflowPunct/>
              <w:topLinePunct w:val="0"/>
              <w:autoSpaceDE w:val="0"/>
              <w:autoSpaceDN w:val="0"/>
              <w:bidi w:val="0"/>
              <w:adjustRightInd w:val="0"/>
              <w:snapToGrid/>
              <w:spacing w:line="480" w:lineRule="exact"/>
              <w:ind w:firstLine="482"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color w:val="auto"/>
                <w:sz w:val="24"/>
                <w:szCs w:val="24"/>
                <w:highlight w:val="none"/>
              </w:rPr>
              <w:t>（8）运维过程中产生的其他的文档资料和数据等。</w:t>
            </w:r>
          </w:p>
          <w:p w14:paraId="1FA0E837">
            <w:pPr>
              <w:keepNext w:val="0"/>
              <w:keepLines w:val="0"/>
              <w:pageBreakBefore w:val="0"/>
              <w:kinsoku/>
              <w:overflowPunct/>
              <w:topLinePunct w:val="0"/>
              <w:autoSpaceDE w:val="0"/>
              <w:autoSpaceDN w:val="0"/>
              <w:bidi w:val="0"/>
              <w:adjustRightInd w:val="0"/>
              <w:snapToGrid/>
              <w:spacing w:line="480" w:lineRule="exact"/>
              <w:ind w:firstLine="482" w:firstLineChars="200"/>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w:t>
            </w:r>
            <w:r>
              <w:rPr>
                <w:rFonts w:hint="eastAsia" w:asciiTheme="minorEastAsia" w:hAnsiTheme="minorEastAsia" w:eastAsiaTheme="minorEastAsia" w:cstheme="minorEastAsia"/>
                <w:b/>
                <w:color w:val="auto"/>
                <w:sz w:val="24"/>
                <w:szCs w:val="24"/>
                <w:highlight w:val="none"/>
                <w:lang w:val="en-US" w:eastAsia="zh-CN"/>
              </w:rPr>
              <w:t>6</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color w:val="auto"/>
                <w:sz w:val="24"/>
                <w:szCs w:val="24"/>
                <w:highlight w:val="none"/>
              </w:rPr>
              <w:t>运维报告</w:t>
            </w:r>
          </w:p>
          <w:p w14:paraId="1CFD73F4">
            <w:pPr>
              <w:keepNext w:val="0"/>
              <w:keepLines w:val="0"/>
              <w:pageBreakBefore w:val="0"/>
              <w:kinsoku/>
              <w:overflowPunct/>
              <w:topLinePunct w:val="0"/>
              <w:autoSpaceDE w:val="0"/>
              <w:autoSpaceDN w:val="0"/>
              <w:bidi w:val="0"/>
              <w:adjustRightInd w:val="0"/>
              <w:snapToGrid/>
              <w:spacing w:line="48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对各项运维工作进行记录，形成相应的运维工作记录。且每周生成一份综合运维周报，每月生成一份综合运维月报，</w:t>
            </w:r>
            <w:r>
              <w:rPr>
                <w:rFonts w:hint="eastAsia" w:asciiTheme="minorEastAsia" w:hAnsiTheme="minorEastAsia" w:eastAsiaTheme="minorEastAsia" w:cstheme="minorEastAsia"/>
                <w:color w:val="auto"/>
                <w:sz w:val="24"/>
                <w:szCs w:val="24"/>
                <w:highlight w:val="none"/>
                <w:lang w:val="en-US" w:eastAsia="zh-CN"/>
              </w:rPr>
              <w:t>每半年生成一份半年运维报告，</w:t>
            </w:r>
            <w:r>
              <w:rPr>
                <w:rFonts w:hint="eastAsia" w:asciiTheme="minorEastAsia" w:hAnsiTheme="minorEastAsia" w:eastAsiaTheme="minorEastAsia" w:cstheme="minorEastAsia"/>
                <w:color w:val="auto"/>
                <w:sz w:val="24"/>
                <w:szCs w:val="24"/>
                <w:highlight w:val="none"/>
              </w:rPr>
              <w:t>每年生成一份综合运维年报。</w:t>
            </w:r>
          </w:p>
          <w:p w14:paraId="4D0FDCC3">
            <w:pPr>
              <w:keepNext w:val="0"/>
              <w:keepLines w:val="0"/>
              <w:pageBreakBefore w:val="0"/>
              <w:kinsoku/>
              <w:overflowPunct/>
              <w:topLinePunct w:val="0"/>
              <w:autoSpaceDE w:val="0"/>
              <w:autoSpaceDN w:val="0"/>
              <w:bidi w:val="0"/>
              <w:adjustRightInd w:val="0"/>
              <w:snapToGrid/>
              <w:spacing w:line="480" w:lineRule="exact"/>
              <w:ind w:firstLine="482" w:firstLineChars="200"/>
              <w:jc w:val="left"/>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lang w:val="en-US" w:eastAsia="zh-CN"/>
              </w:rPr>
              <w:t>八</w:t>
            </w:r>
            <w:r>
              <w:rPr>
                <w:rFonts w:hint="eastAsia" w:asciiTheme="minorEastAsia" w:hAnsiTheme="minorEastAsia" w:eastAsiaTheme="minorEastAsia" w:cstheme="minorEastAsia"/>
                <w:b/>
                <w:color w:val="auto"/>
                <w:kern w:val="0"/>
                <w:sz w:val="24"/>
                <w:szCs w:val="24"/>
                <w:highlight w:val="none"/>
              </w:rPr>
              <w:t>、其他要求：</w:t>
            </w:r>
          </w:p>
          <w:p w14:paraId="729F4521">
            <w:pPr>
              <w:keepNext w:val="0"/>
              <w:keepLines w:val="0"/>
              <w:pageBreakBefore w:val="0"/>
              <w:kinsoku/>
              <w:overflowPunct/>
              <w:topLinePunct w:val="0"/>
              <w:autoSpaceDE w:val="0"/>
              <w:autoSpaceDN w:val="0"/>
              <w:bidi w:val="0"/>
              <w:adjustRightInd w:val="0"/>
              <w:snapToGrid/>
              <w:spacing w:line="480" w:lineRule="exact"/>
              <w:ind w:firstLine="482"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kern w:val="0"/>
                <w:sz w:val="24"/>
                <w:szCs w:val="24"/>
                <w:highlight w:val="none"/>
              </w:rPr>
              <w:t>1</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中标供应商</w:t>
            </w:r>
            <w:r>
              <w:rPr>
                <w:rFonts w:hint="eastAsia" w:asciiTheme="minorEastAsia" w:hAnsiTheme="minorEastAsia" w:eastAsiaTheme="minorEastAsia" w:cstheme="minorEastAsia"/>
                <w:color w:val="auto"/>
                <w:sz w:val="24"/>
                <w:szCs w:val="24"/>
                <w:highlight w:val="none"/>
              </w:rPr>
              <w:t>应于服务期开始前5个工作日内，安排人员入场提供项目服务。</w:t>
            </w:r>
          </w:p>
          <w:p w14:paraId="745DD111">
            <w:pPr>
              <w:keepNext w:val="0"/>
              <w:keepLines w:val="0"/>
              <w:pageBreakBefore w:val="0"/>
              <w:kinsoku/>
              <w:overflowPunct/>
              <w:topLinePunct w:val="0"/>
              <w:autoSpaceDE w:val="0"/>
              <w:autoSpaceDN w:val="0"/>
              <w:bidi w:val="0"/>
              <w:adjustRightInd w:val="0"/>
              <w:snapToGrid/>
              <w:spacing w:line="480" w:lineRule="exact"/>
              <w:ind w:firstLine="482"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color w:val="auto"/>
                <w:sz w:val="24"/>
                <w:szCs w:val="24"/>
                <w:highlight w:val="none"/>
              </w:rPr>
              <w:t>首次入场检查服务：入场服务时对维护范围内设备进行全面检查，提交相关检查报告。对检查发现的问题提出合理整改建议，协助采购人对存在问题进行整改并提供技术支持。</w:t>
            </w:r>
          </w:p>
          <w:p w14:paraId="6D844F32">
            <w:pPr>
              <w:keepNext w:val="0"/>
              <w:keepLines w:val="0"/>
              <w:pageBreakBefore w:val="0"/>
              <w:kinsoku/>
              <w:overflowPunct/>
              <w:topLinePunct w:val="0"/>
              <w:autoSpaceDE w:val="0"/>
              <w:autoSpaceDN w:val="0"/>
              <w:bidi w:val="0"/>
              <w:adjustRightInd w:val="0"/>
              <w:snapToGrid/>
              <w:spacing w:line="480" w:lineRule="exact"/>
              <w:ind w:firstLine="482"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color w:val="auto"/>
                <w:sz w:val="24"/>
                <w:szCs w:val="24"/>
                <w:highlight w:val="none"/>
              </w:rPr>
              <w:t>首次服务方案：针对首次提供服务的投标人，入场服务时需制定本项目运维实施方案，针对每项服务提出具体服务计划和服务人员安排，并提交采购人。</w:t>
            </w:r>
          </w:p>
          <w:p w14:paraId="684BD8C2">
            <w:pPr>
              <w:keepNext w:val="0"/>
              <w:keepLines w:val="0"/>
              <w:pageBreakBefore w:val="0"/>
              <w:widowControl/>
              <w:kinsoku/>
              <w:overflowPunct/>
              <w:topLinePunct w:val="0"/>
              <w:autoSpaceDE w:val="0"/>
              <w:autoSpaceDN w:val="0"/>
              <w:bidi w:val="0"/>
              <w:adjustRightInd w:val="0"/>
              <w:snapToGrid/>
              <w:spacing w:line="480" w:lineRule="exact"/>
              <w:ind w:firstLine="480" w:firstLineChars="200"/>
              <w:jc w:val="lef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4</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color w:val="auto"/>
                <w:sz w:val="24"/>
                <w:szCs w:val="24"/>
                <w:highlight w:val="none"/>
                <w:lang w:val="zh-CN"/>
              </w:rPr>
              <w:t>入场需提交固定的维护工程师联系方式，并提交入场检查和服务方案经采购人确认后才可验收，如无以上证明和内容不予验收。</w:t>
            </w:r>
          </w:p>
          <w:p w14:paraId="0AC167A1">
            <w:pPr>
              <w:keepNext w:val="0"/>
              <w:keepLines w:val="0"/>
              <w:pageBreakBefore w:val="0"/>
              <w:widowControl/>
              <w:kinsoku/>
              <w:overflowPunct/>
              <w:topLinePunct w:val="0"/>
              <w:autoSpaceDE w:val="0"/>
              <w:autoSpaceDN w:val="0"/>
              <w:bidi w:val="0"/>
              <w:adjustRightInd w:val="0"/>
              <w:snapToGrid/>
              <w:spacing w:line="480" w:lineRule="exact"/>
              <w:ind w:firstLine="480" w:firstLineChars="200"/>
              <w:jc w:val="lef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5</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color w:val="auto"/>
                <w:sz w:val="24"/>
                <w:szCs w:val="24"/>
                <w:highlight w:val="none"/>
                <w:lang w:val="zh-CN"/>
              </w:rPr>
              <w:t>运维服务过程中，所有使用的耗材及相关消耗品（如网线、光纤等），由投标人负责提供</w:t>
            </w:r>
            <w:r>
              <w:rPr>
                <w:rFonts w:hint="eastAsia" w:asciiTheme="minorEastAsia" w:hAnsiTheme="minorEastAsia" w:eastAsiaTheme="minorEastAsia" w:cstheme="minorEastAsia"/>
                <w:color w:val="auto"/>
                <w:sz w:val="24"/>
                <w:szCs w:val="24"/>
                <w:highlight w:val="none"/>
              </w:rPr>
              <w:t>符合国家及行业相关标准的合格产品</w:t>
            </w:r>
            <w:r>
              <w:rPr>
                <w:rFonts w:hint="eastAsia" w:asciiTheme="minorEastAsia" w:hAnsiTheme="minorEastAsia" w:eastAsiaTheme="minorEastAsia" w:cstheme="minorEastAsia"/>
                <w:color w:val="auto"/>
                <w:sz w:val="24"/>
                <w:szCs w:val="24"/>
                <w:highlight w:val="none"/>
                <w:lang w:val="zh-CN"/>
              </w:rPr>
              <w:t>。采购人不对该部分物品进行额外采购。</w:t>
            </w:r>
          </w:p>
          <w:p w14:paraId="18FEBA22">
            <w:pPr>
              <w:keepNext w:val="0"/>
              <w:keepLines w:val="0"/>
              <w:pageBreakBefore w:val="0"/>
              <w:kinsoku/>
              <w:overflowPunct/>
              <w:topLinePunct w:val="0"/>
              <w:autoSpaceDE w:val="0"/>
              <w:autoSpaceDN w:val="0"/>
              <w:bidi w:val="0"/>
              <w:adjustRightInd w:val="0"/>
              <w:snapToGrid/>
              <w:spacing w:line="480" w:lineRule="exact"/>
              <w:ind w:firstLine="482" w:firstLineChars="200"/>
              <w:jc w:val="left"/>
              <w:rPr>
                <w:rFonts w:hint="eastAsia"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szCs w:val="24"/>
                <w:highlight w:val="none"/>
                <w:lang w:val="en-US" w:eastAsia="zh-CN"/>
              </w:rPr>
              <w:t>九</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szCs w:val="24"/>
                <w:highlight w:val="none"/>
                <w:lang w:val="en-US" w:eastAsia="zh-CN"/>
              </w:rPr>
              <w:t>验收标准规范</w:t>
            </w:r>
          </w:p>
          <w:p w14:paraId="42273CE7">
            <w:pPr>
              <w:keepNext w:val="0"/>
              <w:keepLines w:val="0"/>
              <w:pageBreakBefore w:val="0"/>
              <w:kinsoku/>
              <w:overflowPunct/>
              <w:topLinePunct w:val="0"/>
              <w:autoSpaceDE w:val="0"/>
              <w:autoSpaceDN w:val="0"/>
              <w:bidi w:val="0"/>
              <w:adjustRightInd w:val="0"/>
              <w:snapToGrid/>
              <w:spacing w:line="480" w:lineRule="exact"/>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color w:val="auto"/>
                <w:kern w:val="0"/>
                <w:sz w:val="24"/>
                <w:szCs w:val="24"/>
                <w:highlight w:val="none"/>
              </w:rPr>
              <w:t>验收考核过程中所产生的一切费用均由</w:t>
            </w:r>
            <w:r>
              <w:rPr>
                <w:rFonts w:hint="eastAsia" w:asciiTheme="minorEastAsia" w:hAnsiTheme="minorEastAsia" w:eastAsiaTheme="minorEastAsia" w:cstheme="minorEastAsia"/>
                <w:color w:val="auto"/>
                <w:sz w:val="24"/>
                <w:szCs w:val="24"/>
                <w:highlight w:val="none"/>
                <w:lang w:val="en-US" w:eastAsia="zh-CN"/>
              </w:rPr>
              <w:t>中标供应商</w:t>
            </w:r>
            <w:r>
              <w:rPr>
                <w:rFonts w:hint="eastAsia" w:asciiTheme="minorEastAsia" w:hAnsiTheme="minorEastAsia" w:eastAsiaTheme="minorEastAsia" w:cstheme="minorEastAsia"/>
                <w:color w:val="auto"/>
                <w:kern w:val="0"/>
                <w:sz w:val="24"/>
                <w:szCs w:val="24"/>
                <w:highlight w:val="none"/>
              </w:rPr>
              <w:t>承担。报价时应考虑相关费用。</w:t>
            </w:r>
          </w:p>
          <w:p w14:paraId="4CE3DE26">
            <w:pPr>
              <w:keepNext w:val="0"/>
              <w:keepLines w:val="0"/>
              <w:pageBreakBefore w:val="0"/>
              <w:kinsoku/>
              <w:overflowPunct/>
              <w:topLinePunct w:val="0"/>
              <w:autoSpaceDE w:val="0"/>
              <w:autoSpaceDN w:val="0"/>
              <w:bidi w:val="0"/>
              <w:adjustRightInd w:val="0"/>
              <w:snapToGrid/>
              <w:spacing w:line="48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2</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中标供应商</w:t>
            </w:r>
            <w:r>
              <w:rPr>
                <w:rFonts w:hint="eastAsia" w:asciiTheme="minorEastAsia" w:hAnsiTheme="minorEastAsia" w:eastAsiaTheme="minorEastAsia" w:cstheme="minorEastAsia"/>
                <w:color w:val="auto"/>
                <w:kern w:val="0"/>
                <w:sz w:val="24"/>
                <w:szCs w:val="24"/>
                <w:highlight w:val="none"/>
              </w:rPr>
              <w:t>在服务验收时由采购人对照公开招标文件及投标文件的功能目标及服务指标全面核对检验，如不符合投标文件的服务承诺和其他承诺以及提供虚假承诺的，按相关规定做违约处理，</w:t>
            </w:r>
            <w:r>
              <w:rPr>
                <w:rFonts w:hint="eastAsia" w:asciiTheme="minorEastAsia" w:hAnsiTheme="minorEastAsia" w:eastAsiaTheme="minorEastAsia" w:cstheme="minorEastAsia"/>
                <w:color w:val="auto"/>
                <w:sz w:val="24"/>
                <w:szCs w:val="24"/>
                <w:highlight w:val="none"/>
                <w:lang w:val="en-US" w:eastAsia="zh-CN"/>
              </w:rPr>
              <w:t>中标供应商</w:t>
            </w:r>
            <w:r>
              <w:rPr>
                <w:rFonts w:hint="eastAsia" w:asciiTheme="minorEastAsia" w:hAnsiTheme="minorEastAsia" w:eastAsiaTheme="minorEastAsia" w:cstheme="minorEastAsia"/>
                <w:color w:val="auto"/>
                <w:kern w:val="0"/>
                <w:sz w:val="24"/>
                <w:szCs w:val="24"/>
                <w:highlight w:val="none"/>
              </w:rPr>
              <w:t>承担所有责任和费用，采购人保留进一步追究责任的权利。</w:t>
            </w:r>
          </w:p>
          <w:p w14:paraId="7C9DF8B2">
            <w:pPr>
              <w:keepNext w:val="0"/>
              <w:keepLines w:val="0"/>
              <w:pageBreakBefore w:val="0"/>
              <w:kinsoku/>
              <w:overflowPunct/>
              <w:topLinePunct w:val="0"/>
              <w:autoSpaceDE w:val="0"/>
              <w:autoSpaceDN w:val="0"/>
              <w:bidi w:val="0"/>
              <w:adjustRightInd w:val="0"/>
              <w:snapToGrid/>
              <w:spacing w:line="480" w:lineRule="exact"/>
              <w:ind w:firstLine="482" w:firstLineChars="200"/>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▲十、运维服务考核</w:t>
            </w:r>
          </w:p>
          <w:p w14:paraId="0F69D6BC">
            <w:pPr>
              <w:keepNext w:val="0"/>
              <w:keepLines w:val="0"/>
              <w:pageBreakBefore w:val="0"/>
              <w:kinsoku/>
              <w:overflowPunct/>
              <w:topLinePunct w:val="0"/>
              <w:autoSpaceDE w:val="0"/>
              <w:autoSpaceDN w:val="0"/>
              <w:bidi w:val="0"/>
              <w:adjustRightInd w:val="0"/>
              <w:snapToGrid/>
              <w:spacing w:line="480" w:lineRule="exact"/>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为了保证平台提供的服务具备可靠性、稳定性，降低</w:t>
            </w:r>
            <w:r>
              <w:rPr>
                <w:rFonts w:hint="eastAsia" w:asciiTheme="minorEastAsia" w:hAnsiTheme="minorEastAsia" w:eastAsiaTheme="minorEastAsia" w:cstheme="minorEastAsia"/>
                <w:color w:val="auto"/>
                <w:sz w:val="24"/>
                <w:szCs w:val="24"/>
                <w:highlight w:val="none"/>
                <w:lang w:val="en-US" w:eastAsia="zh-CN"/>
              </w:rPr>
              <w:t>中标供应商</w:t>
            </w:r>
            <w:r>
              <w:rPr>
                <w:rFonts w:hint="eastAsia" w:asciiTheme="minorEastAsia" w:hAnsiTheme="minorEastAsia" w:eastAsiaTheme="minorEastAsia" w:cstheme="minorEastAsia"/>
                <w:color w:val="auto"/>
                <w:kern w:val="0"/>
                <w:sz w:val="24"/>
                <w:szCs w:val="24"/>
                <w:highlight w:val="none"/>
              </w:rPr>
              <w:t>过失行为对平台和各应用系统的影响和风险，对</w:t>
            </w:r>
            <w:r>
              <w:rPr>
                <w:rFonts w:hint="eastAsia" w:asciiTheme="minorEastAsia" w:hAnsiTheme="minorEastAsia" w:eastAsiaTheme="minorEastAsia" w:cstheme="minorEastAsia"/>
                <w:color w:val="auto"/>
                <w:sz w:val="24"/>
                <w:szCs w:val="24"/>
                <w:highlight w:val="none"/>
                <w:lang w:val="en-US" w:eastAsia="zh-CN"/>
              </w:rPr>
              <w:t>中标供应商</w:t>
            </w:r>
            <w:r>
              <w:rPr>
                <w:rFonts w:hint="eastAsia" w:asciiTheme="minorEastAsia" w:hAnsiTheme="minorEastAsia" w:eastAsiaTheme="minorEastAsia" w:cstheme="minorEastAsia"/>
                <w:color w:val="auto"/>
                <w:kern w:val="0"/>
                <w:sz w:val="24"/>
                <w:szCs w:val="24"/>
                <w:highlight w:val="none"/>
              </w:rPr>
              <w:t>的服务进行考核，并根据考核情况进行支付合同款。</w:t>
            </w:r>
          </w:p>
          <w:p w14:paraId="44876B17">
            <w:pPr>
              <w:keepNext w:val="0"/>
              <w:keepLines w:val="0"/>
              <w:pageBreakBefore w:val="0"/>
              <w:kinsoku/>
              <w:overflowPunct/>
              <w:topLinePunct w:val="0"/>
              <w:autoSpaceDE w:val="0"/>
              <w:autoSpaceDN w:val="0"/>
              <w:bidi w:val="0"/>
              <w:adjustRightInd w:val="0"/>
              <w:snapToGrid/>
              <w:spacing w:line="480" w:lineRule="exact"/>
              <w:ind w:firstLine="482" w:firstLineChars="200"/>
              <w:jc w:val="left"/>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（一）服务可用性考核</w:t>
            </w:r>
          </w:p>
          <w:p w14:paraId="4F02AAD1">
            <w:pPr>
              <w:keepNext w:val="0"/>
              <w:keepLines w:val="0"/>
              <w:pageBreakBefore w:val="0"/>
              <w:kinsoku/>
              <w:overflowPunct/>
              <w:topLinePunct w:val="0"/>
              <w:autoSpaceDE w:val="0"/>
              <w:autoSpaceDN w:val="0"/>
              <w:bidi w:val="0"/>
              <w:adjustRightInd w:val="0"/>
              <w:snapToGrid/>
              <w:spacing w:line="480" w:lineRule="exact"/>
              <w:ind w:firstLine="482" w:firstLineChars="200"/>
              <w:jc w:val="left"/>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1</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color w:val="auto"/>
                <w:kern w:val="0"/>
                <w:sz w:val="24"/>
                <w:szCs w:val="24"/>
                <w:highlight w:val="none"/>
              </w:rPr>
              <w:t>指标定义</w:t>
            </w:r>
          </w:p>
          <w:p w14:paraId="29CE0D48">
            <w:pPr>
              <w:keepNext w:val="0"/>
              <w:keepLines w:val="0"/>
              <w:pageBreakBefore w:val="0"/>
              <w:kinsoku/>
              <w:overflowPunct/>
              <w:topLinePunct w:val="0"/>
              <w:autoSpaceDE w:val="0"/>
              <w:autoSpaceDN w:val="0"/>
              <w:bidi w:val="0"/>
              <w:adjustRightInd w:val="0"/>
              <w:snapToGrid/>
              <w:spacing w:line="480" w:lineRule="exact"/>
              <w:ind w:firstLine="482" w:firstLineChars="200"/>
              <w:jc w:val="left"/>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（1）计划内停机时间</w:t>
            </w:r>
          </w:p>
          <w:p w14:paraId="2F4515C0">
            <w:pPr>
              <w:keepNext w:val="0"/>
              <w:keepLines w:val="0"/>
              <w:pageBreakBefore w:val="0"/>
              <w:kinsoku/>
              <w:overflowPunct/>
              <w:topLinePunct w:val="0"/>
              <w:autoSpaceDE w:val="0"/>
              <w:autoSpaceDN w:val="0"/>
              <w:bidi w:val="0"/>
              <w:adjustRightInd w:val="0"/>
              <w:snapToGrid/>
              <w:spacing w:line="480" w:lineRule="exact"/>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中标供应商</w:t>
            </w:r>
            <w:r>
              <w:rPr>
                <w:rFonts w:hint="eastAsia" w:asciiTheme="minorEastAsia" w:hAnsiTheme="minorEastAsia" w:eastAsiaTheme="minorEastAsia" w:cstheme="minorEastAsia"/>
                <w:color w:val="auto"/>
                <w:kern w:val="0"/>
                <w:sz w:val="24"/>
                <w:szCs w:val="24"/>
                <w:highlight w:val="none"/>
              </w:rPr>
              <w:t>提前通知且经采购人认定的，为平台或应用系统正常升级、更新、维护导致的服务停机。</w:t>
            </w:r>
          </w:p>
          <w:p w14:paraId="4D06F4BC">
            <w:pPr>
              <w:keepNext w:val="0"/>
              <w:keepLines w:val="0"/>
              <w:pageBreakBefore w:val="0"/>
              <w:kinsoku/>
              <w:overflowPunct/>
              <w:topLinePunct w:val="0"/>
              <w:autoSpaceDE w:val="0"/>
              <w:autoSpaceDN w:val="0"/>
              <w:bidi w:val="0"/>
              <w:adjustRightInd w:val="0"/>
              <w:snapToGrid/>
              <w:spacing w:line="480" w:lineRule="exact"/>
              <w:ind w:firstLine="482" w:firstLineChars="200"/>
              <w:jc w:val="left"/>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（2）服务失效时间</w:t>
            </w:r>
          </w:p>
          <w:p w14:paraId="7B901F5D">
            <w:pPr>
              <w:keepNext w:val="0"/>
              <w:keepLines w:val="0"/>
              <w:pageBreakBefore w:val="0"/>
              <w:kinsoku/>
              <w:overflowPunct/>
              <w:topLinePunct w:val="0"/>
              <w:autoSpaceDE w:val="0"/>
              <w:autoSpaceDN w:val="0"/>
              <w:bidi w:val="0"/>
              <w:adjustRightInd w:val="0"/>
              <w:snapToGrid/>
              <w:spacing w:line="480" w:lineRule="exact"/>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中标供应商</w:t>
            </w:r>
            <w:r>
              <w:rPr>
                <w:rFonts w:hint="eastAsia" w:asciiTheme="minorEastAsia" w:hAnsiTheme="minorEastAsia" w:eastAsiaTheme="minorEastAsia" w:cstheme="minorEastAsia"/>
                <w:color w:val="auto"/>
                <w:kern w:val="0"/>
                <w:sz w:val="24"/>
                <w:szCs w:val="24"/>
                <w:highlight w:val="none"/>
              </w:rPr>
              <w:t>负责维护的网络、安全、虚拟机、物理机、存储等方面出现的问题引起云平台、单台设备（包括网络设备、安全设备、物理服务器、虚拟服务器等）失效时间，经采购人认定非乙方原因引起的云平台或应用系统失效不包含在内。</w:t>
            </w:r>
          </w:p>
          <w:p w14:paraId="6A290F46">
            <w:pPr>
              <w:keepNext w:val="0"/>
              <w:keepLines w:val="0"/>
              <w:pageBreakBefore w:val="0"/>
              <w:kinsoku/>
              <w:overflowPunct/>
              <w:topLinePunct w:val="0"/>
              <w:autoSpaceDE w:val="0"/>
              <w:autoSpaceDN w:val="0"/>
              <w:bidi w:val="0"/>
              <w:adjustRightInd w:val="0"/>
              <w:snapToGrid/>
              <w:spacing w:line="480" w:lineRule="exact"/>
              <w:ind w:firstLine="482" w:firstLineChars="200"/>
              <w:jc w:val="left"/>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（3）正常服务运行时间</w:t>
            </w:r>
          </w:p>
          <w:p w14:paraId="14CC55F0">
            <w:pPr>
              <w:keepNext w:val="0"/>
              <w:keepLines w:val="0"/>
              <w:pageBreakBefore w:val="0"/>
              <w:kinsoku/>
              <w:overflowPunct/>
              <w:topLinePunct w:val="0"/>
              <w:autoSpaceDE w:val="0"/>
              <w:autoSpaceDN w:val="0"/>
              <w:bidi w:val="0"/>
              <w:adjustRightInd w:val="0"/>
              <w:snapToGrid/>
              <w:spacing w:line="480" w:lineRule="exact"/>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当年总运行时间（按365天计算）减去服务失效时间。</w:t>
            </w:r>
          </w:p>
          <w:p w14:paraId="4D61D190">
            <w:pPr>
              <w:keepNext w:val="0"/>
              <w:keepLines w:val="0"/>
              <w:pageBreakBefore w:val="0"/>
              <w:kinsoku/>
              <w:overflowPunct/>
              <w:topLinePunct w:val="0"/>
              <w:autoSpaceDE w:val="0"/>
              <w:autoSpaceDN w:val="0"/>
              <w:bidi w:val="0"/>
              <w:adjustRightInd w:val="0"/>
              <w:snapToGrid/>
              <w:spacing w:line="480" w:lineRule="exact"/>
              <w:ind w:firstLine="482" w:firstLineChars="200"/>
              <w:jc w:val="left"/>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（4）服务可用性</w:t>
            </w:r>
          </w:p>
          <w:p w14:paraId="30CF6AF8">
            <w:pPr>
              <w:keepNext w:val="0"/>
              <w:keepLines w:val="0"/>
              <w:pageBreakBefore w:val="0"/>
              <w:kinsoku/>
              <w:overflowPunct/>
              <w:topLinePunct w:val="0"/>
              <w:autoSpaceDE w:val="0"/>
              <w:autoSpaceDN w:val="0"/>
              <w:bidi w:val="0"/>
              <w:adjustRightInd w:val="0"/>
              <w:snapToGrid/>
              <w:spacing w:line="480" w:lineRule="exact"/>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正常服务运行时间除以该年总运行时间，即：</w:t>
            </w:r>
          </w:p>
          <w:p w14:paraId="7C2E24CF">
            <w:pPr>
              <w:keepNext w:val="0"/>
              <w:keepLines w:val="0"/>
              <w:pageBreakBefore w:val="0"/>
              <w:kinsoku/>
              <w:overflowPunct/>
              <w:topLinePunct w:val="0"/>
              <w:autoSpaceDE w:val="0"/>
              <w:autoSpaceDN w:val="0"/>
              <w:bidi w:val="0"/>
              <w:adjustRightInd w:val="0"/>
              <w:snapToGrid/>
              <w:spacing w:line="480" w:lineRule="exact"/>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服务可用性=（365×24×60×60秒－失效时间之和（秒））/（365×24×60×60秒）。</w:t>
            </w:r>
          </w:p>
          <w:p w14:paraId="149AB978">
            <w:pPr>
              <w:keepNext w:val="0"/>
              <w:keepLines w:val="0"/>
              <w:pageBreakBefore w:val="0"/>
              <w:kinsoku/>
              <w:overflowPunct/>
              <w:topLinePunct w:val="0"/>
              <w:autoSpaceDE w:val="0"/>
              <w:autoSpaceDN w:val="0"/>
              <w:bidi w:val="0"/>
              <w:adjustRightInd w:val="0"/>
              <w:snapToGrid/>
              <w:spacing w:line="480" w:lineRule="exact"/>
              <w:ind w:firstLine="482" w:firstLineChars="200"/>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2</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color w:val="auto"/>
                <w:sz w:val="24"/>
                <w:szCs w:val="24"/>
                <w:highlight w:val="none"/>
              </w:rPr>
              <w:t>指标要求及测量方法</w:t>
            </w:r>
          </w:p>
          <w:p w14:paraId="52E3A1F5">
            <w:pPr>
              <w:keepNext w:val="0"/>
              <w:keepLines w:val="0"/>
              <w:pageBreakBefore w:val="0"/>
              <w:kinsoku/>
              <w:overflowPunct/>
              <w:topLinePunct w:val="0"/>
              <w:autoSpaceDE w:val="0"/>
              <w:autoSpaceDN w:val="0"/>
              <w:bidi w:val="0"/>
              <w:adjustRightInd w:val="0"/>
              <w:snapToGrid/>
              <w:spacing w:line="480" w:lineRule="exact"/>
              <w:ind w:firstLine="482" w:firstLineChars="200"/>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（1）指标要求</w:t>
            </w:r>
          </w:p>
          <w:p w14:paraId="68DC1ACE">
            <w:pPr>
              <w:keepNext w:val="0"/>
              <w:keepLines w:val="0"/>
              <w:pageBreakBefore w:val="0"/>
              <w:kinsoku/>
              <w:overflowPunct/>
              <w:topLinePunct w:val="0"/>
              <w:autoSpaceDE w:val="0"/>
              <w:autoSpaceDN w:val="0"/>
              <w:bidi w:val="0"/>
              <w:adjustRightInd w:val="0"/>
              <w:snapToGrid/>
              <w:spacing w:line="48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rPr>
              <w:t>政务云平台的服务能力须保证可用性不低于99.99</w:t>
            </w:r>
            <w:r>
              <w:rPr>
                <w:rFonts w:hint="eastAsia" w:asciiTheme="minorEastAsia" w:hAnsiTheme="minorEastAsia" w:eastAsia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rPr>
              <w:t>%，即全年失效时间之和不超过365×24×60×0.000</w:t>
            </w:r>
            <w:r>
              <w:rPr>
                <w:rFonts w:hint="eastAsia" w:asciiTheme="minorEastAsia" w:hAnsiTheme="minorEastAsia" w:eastAsiaTheme="minorEastAsia" w:cstheme="minorEastAsia"/>
                <w:color w:val="auto"/>
                <w:sz w:val="24"/>
                <w:szCs w:val="24"/>
                <w:highlight w:val="none"/>
                <w:lang w:val="en-US" w:eastAsia="zh-CN"/>
              </w:rPr>
              <w:t>01</w:t>
            </w:r>
            <w:r>
              <w:rPr>
                <w:rFonts w:hint="eastAsia" w:asciiTheme="minorEastAsia" w:hAnsiTheme="minorEastAsia" w:eastAsiaTheme="minorEastAsia" w:cstheme="minorEastAsia"/>
                <w:color w:val="auto"/>
                <w:sz w:val="24"/>
                <w:szCs w:val="24"/>
                <w:highlight w:val="none"/>
              </w:rPr>
              <w:t>=5</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256分钟。</w:t>
            </w:r>
          </w:p>
          <w:p w14:paraId="15D7A73A">
            <w:pPr>
              <w:keepNext w:val="0"/>
              <w:keepLines w:val="0"/>
              <w:pageBreakBefore w:val="0"/>
              <w:kinsoku/>
              <w:overflowPunct/>
              <w:topLinePunct w:val="0"/>
              <w:autoSpaceDE w:val="0"/>
              <w:autoSpaceDN w:val="0"/>
              <w:bidi w:val="0"/>
              <w:adjustRightInd w:val="0"/>
              <w:snapToGrid/>
              <w:spacing w:line="480" w:lineRule="exact"/>
              <w:ind w:firstLine="482" w:firstLineChars="200"/>
              <w:jc w:val="lef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（2）服务考核</w:t>
            </w:r>
          </w:p>
          <w:p w14:paraId="040B1699">
            <w:pPr>
              <w:keepNext w:val="0"/>
              <w:keepLines w:val="0"/>
              <w:pageBreakBefore w:val="0"/>
              <w:kinsoku/>
              <w:overflowPunct/>
              <w:topLinePunct w:val="0"/>
              <w:autoSpaceDE w:val="0"/>
              <w:autoSpaceDN w:val="0"/>
              <w:bidi w:val="0"/>
              <w:adjustRightInd w:val="0"/>
              <w:snapToGrid/>
              <w:spacing w:line="48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rPr>
              <w:t>①每发生1次一般故障，且未能按照时限要求恢复的，扣1%的服务分项中标金额；每发生1次重大事故，且未能按照实现要求恢复的，扣3%的服务分项中标金额；由于</w:t>
            </w:r>
            <w:r>
              <w:rPr>
                <w:rFonts w:hint="eastAsia" w:asciiTheme="minorEastAsia" w:hAnsiTheme="minorEastAsia" w:eastAsiaTheme="minorEastAsia" w:cstheme="minorEastAsia"/>
                <w:color w:val="auto"/>
                <w:sz w:val="24"/>
                <w:szCs w:val="24"/>
                <w:highlight w:val="none"/>
                <w:lang w:val="en-US" w:eastAsia="zh-CN"/>
              </w:rPr>
              <w:t>中标供应商</w:t>
            </w:r>
            <w:r>
              <w:rPr>
                <w:rFonts w:hint="eastAsia" w:asciiTheme="minorEastAsia" w:hAnsiTheme="minorEastAsia" w:eastAsiaTheme="minorEastAsia" w:cstheme="minorEastAsia"/>
                <w:color w:val="auto"/>
                <w:sz w:val="24"/>
                <w:szCs w:val="24"/>
                <w:highlight w:val="none"/>
              </w:rPr>
              <w:t>原因造成数据泄漏的，每发生1次，扣1%的服务分项中标金额；平台全年可用性低于99.9</w:t>
            </w:r>
            <w:r>
              <w:rPr>
                <w:rFonts w:hint="eastAsia" w:asciiTheme="minorEastAsia" w:hAnsiTheme="minorEastAsia" w:eastAsia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rPr>
              <w:t>9%，扣2%的服务分项中标金额。</w:t>
            </w:r>
          </w:p>
          <w:p w14:paraId="02C44E01">
            <w:pPr>
              <w:keepNext w:val="0"/>
              <w:keepLines w:val="0"/>
              <w:pageBreakBefore w:val="0"/>
              <w:kinsoku/>
              <w:overflowPunct/>
              <w:topLinePunct w:val="0"/>
              <w:autoSpaceDE w:val="0"/>
              <w:autoSpaceDN w:val="0"/>
              <w:bidi w:val="0"/>
              <w:adjustRightInd w:val="0"/>
              <w:snapToGrid/>
              <w:spacing w:line="480" w:lineRule="exact"/>
              <w:ind w:firstLine="480" w:firstLineChars="200"/>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color w:val="auto"/>
                <w:sz w:val="24"/>
                <w:szCs w:val="24"/>
                <w:highlight w:val="none"/>
              </w:rPr>
              <w:t>②信息安全责任事故是指由</w:t>
            </w:r>
            <w:r>
              <w:rPr>
                <w:rFonts w:hint="eastAsia" w:asciiTheme="minorEastAsia" w:hAnsiTheme="minorEastAsia" w:eastAsiaTheme="minorEastAsia" w:cstheme="minorEastAsia"/>
                <w:color w:val="auto"/>
                <w:sz w:val="24"/>
                <w:szCs w:val="24"/>
                <w:highlight w:val="none"/>
                <w:lang w:val="en-US" w:eastAsia="zh-CN"/>
              </w:rPr>
              <w:t>中标供应商</w:t>
            </w:r>
            <w:r>
              <w:rPr>
                <w:rFonts w:hint="eastAsia" w:asciiTheme="minorEastAsia" w:hAnsiTheme="minorEastAsia" w:eastAsiaTheme="minorEastAsia" w:cstheme="minorEastAsia"/>
                <w:color w:val="auto"/>
                <w:sz w:val="24"/>
                <w:szCs w:val="24"/>
                <w:highlight w:val="none"/>
              </w:rPr>
              <w:t>提供的网络、安全、虚拟机、物理机、存储、运维等方面出现问题引起的信息安全责任事故。对云平台或所承载的应用系统造严重的影响或破坏的，或被国家、自治区有关部门通报的每发生1起扣除1%的服务分项中标金额；被市委网信办、市公安局网安支队等有关部门通报，每发生1起扣除0.5%的服务分项中标金额；并追究相应法律责任。</w:t>
            </w:r>
          </w:p>
        </w:tc>
        <w:tc>
          <w:tcPr>
            <w:tcW w:w="1056" w:type="dxa"/>
            <w:vAlign w:val="center"/>
          </w:tcPr>
          <w:p w14:paraId="6913893C">
            <w:pPr>
              <w:keepNext w:val="0"/>
              <w:keepLines/>
              <w:pageBreakBefore w:val="0"/>
              <w:kinsoku/>
              <w:wordWrap w:val="0"/>
              <w:overflowPunct/>
              <w:topLinePunct w:val="0"/>
              <w:bidi w:val="0"/>
              <w:snapToGrid/>
              <w:spacing w:line="480" w:lineRule="exact"/>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2600000.00</w:t>
            </w:r>
          </w:p>
        </w:tc>
        <w:tc>
          <w:tcPr>
            <w:tcW w:w="1371" w:type="dxa"/>
            <w:vAlign w:val="center"/>
          </w:tcPr>
          <w:p w14:paraId="47F6F0DC">
            <w:pPr>
              <w:keepNext w:val="0"/>
              <w:keepLines/>
              <w:pageBreakBefore w:val="0"/>
              <w:kinsoku/>
              <w:wordWrap w:val="0"/>
              <w:overflowPunct/>
              <w:topLinePunct w:val="0"/>
              <w:bidi w:val="0"/>
              <w:snapToGrid/>
              <w:spacing w:line="480" w:lineRule="exact"/>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软件和信息技术服务业</w:t>
            </w:r>
          </w:p>
        </w:tc>
      </w:tr>
      <w:tr w14:paraId="63BF1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0" w:hRule="atLeast"/>
          <w:jc w:val="center"/>
        </w:trPr>
        <w:tc>
          <w:tcPr>
            <w:tcW w:w="532" w:type="dxa"/>
            <w:vMerge w:val="continue"/>
            <w:vAlign w:val="center"/>
          </w:tcPr>
          <w:p w14:paraId="41B2C91A">
            <w:pPr>
              <w:keepNext w:val="0"/>
              <w:keepLines/>
              <w:pageBreakBefore w:val="0"/>
              <w:kinsoku/>
              <w:wordWrap w:val="0"/>
              <w:overflowPunct/>
              <w:topLinePunct w:val="0"/>
              <w:bidi w:val="0"/>
              <w:snapToGrid/>
              <w:spacing w:line="480" w:lineRule="exact"/>
              <w:jc w:val="left"/>
              <w:rPr>
                <w:rFonts w:hint="eastAsia" w:asciiTheme="minorEastAsia" w:hAnsiTheme="minorEastAsia" w:eastAsiaTheme="minorEastAsia" w:cstheme="minorEastAsia"/>
                <w:bCs/>
                <w:color w:val="auto"/>
                <w:sz w:val="24"/>
                <w:szCs w:val="24"/>
                <w:highlight w:val="none"/>
              </w:rPr>
            </w:pPr>
          </w:p>
        </w:tc>
        <w:tc>
          <w:tcPr>
            <w:tcW w:w="362" w:type="dxa"/>
            <w:vAlign w:val="center"/>
          </w:tcPr>
          <w:p w14:paraId="5EB11494">
            <w:pPr>
              <w:keepNext w:val="0"/>
              <w:keepLines/>
              <w:pageBreakBefore w:val="0"/>
              <w:kinsoku/>
              <w:wordWrap w:val="0"/>
              <w:overflowPunct/>
              <w:topLinePunct w:val="0"/>
              <w:bidi w:val="0"/>
              <w:snapToGrid/>
              <w:spacing w:line="480" w:lineRule="exac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2</w:t>
            </w:r>
          </w:p>
        </w:tc>
        <w:tc>
          <w:tcPr>
            <w:tcW w:w="1000" w:type="dxa"/>
            <w:vAlign w:val="center"/>
          </w:tcPr>
          <w:p w14:paraId="0C0A96FC">
            <w:pPr>
              <w:keepNext w:val="0"/>
              <w:keepLines w:val="0"/>
              <w:pageBreakBefore w:val="0"/>
              <w:widowControl/>
              <w:kinsoku/>
              <w:overflowPunct/>
              <w:topLinePunct w:val="0"/>
              <w:bidi w:val="0"/>
              <w:snapToGrid/>
              <w:spacing w:line="480" w:lineRule="exact"/>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color w:val="auto"/>
                <w:sz w:val="24"/>
                <w:szCs w:val="24"/>
                <w:highlight w:val="none"/>
              </w:rPr>
              <w:t>南宁市电子政务云云平台多云监管平台运维服务</w:t>
            </w:r>
          </w:p>
        </w:tc>
        <w:tc>
          <w:tcPr>
            <w:tcW w:w="683" w:type="dxa"/>
            <w:vAlign w:val="center"/>
          </w:tcPr>
          <w:p w14:paraId="12BD0D9B">
            <w:pPr>
              <w:keepNext w:val="0"/>
              <w:keepLines w:val="0"/>
              <w:pageBreakBefore w:val="0"/>
              <w:widowControl/>
              <w:kinsoku/>
              <w:overflowPunct/>
              <w:topLinePunct w:val="0"/>
              <w:bidi w:val="0"/>
              <w:snapToGrid/>
              <w:spacing w:line="480" w:lineRule="exact"/>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项</w:t>
            </w:r>
          </w:p>
        </w:tc>
        <w:tc>
          <w:tcPr>
            <w:tcW w:w="533" w:type="dxa"/>
            <w:vAlign w:val="center"/>
          </w:tcPr>
          <w:p w14:paraId="440C53B9">
            <w:pPr>
              <w:keepNext w:val="0"/>
              <w:keepLines w:val="0"/>
              <w:pageBreakBefore w:val="0"/>
              <w:kinsoku/>
              <w:overflowPunct/>
              <w:topLinePunct w:val="0"/>
              <w:bidi w:val="0"/>
              <w:snapToGrid/>
              <w:spacing w:line="480" w:lineRule="exac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1</w:t>
            </w:r>
          </w:p>
        </w:tc>
        <w:tc>
          <w:tcPr>
            <w:tcW w:w="4484" w:type="dxa"/>
            <w:vAlign w:val="center"/>
          </w:tcPr>
          <w:p w14:paraId="56F1A1BA">
            <w:pPr>
              <w:keepNext w:val="0"/>
              <w:keepLines w:val="0"/>
              <w:pageBreakBefore w:val="0"/>
              <w:numPr>
                <w:ilvl w:val="0"/>
                <w:numId w:val="0"/>
              </w:numPr>
              <w:kinsoku/>
              <w:overflowPunct/>
              <w:topLinePunct w:val="0"/>
              <w:autoSpaceDE/>
              <w:autoSpaceDN/>
              <w:bidi w:val="0"/>
              <w:adjustRightInd/>
              <w:snapToGrid/>
              <w:spacing w:line="480" w:lineRule="exact"/>
              <w:ind w:left="0" w:firstLine="482" w:firstLineChars="200"/>
              <w:jc w:val="left"/>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kern w:val="0"/>
                <w:sz w:val="24"/>
                <w:szCs w:val="24"/>
                <w:highlight w:val="none"/>
                <w:lang w:val="en-US" w:eastAsia="zh-CN"/>
              </w:rPr>
              <w:t>一、</w:t>
            </w:r>
            <w:r>
              <w:rPr>
                <w:rFonts w:hint="eastAsia" w:asciiTheme="minorEastAsia" w:hAnsiTheme="minorEastAsia" w:eastAsiaTheme="minorEastAsia" w:cstheme="minorEastAsia"/>
                <w:b/>
                <w:color w:val="auto"/>
                <w:kern w:val="0"/>
                <w:sz w:val="24"/>
                <w:szCs w:val="24"/>
                <w:highlight w:val="none"/>
              </w:rPr>
              <w:t>项目总体要求</w:t>
            </w:r>
          </w:p>
          <w:p w14:paraId="0463E861">
            <w:pPr>
              <w:keepNext w:val="0"/>
              <w:keepLines w:val="0"/>
              <w:pageBreakBefore w:val="0"/>
              <w:kinsoku/>
              <w:overflowPunct/>
              <w:topLinePunct w:val="0"/>
              <w:bidi w:val="0"/>
              <w:snapToGrid/>
              <w:spacing w:line="48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在运维期内系统运行发生故障，</w:t>
            </w:r>
            <w:r>
              <w:rPr>
                <w:rFonts w:hint="eastAsia" w:asciiTheme="minorEastAsia" w:hAnsiTheme="minorEastAsia" w:eastAsiaTheme="minorEastAsia" w:cstheme="minorEastAsia"/>
                <w:color w:val="auto"/>
                <w:sz w:val="24"/>
                <w:szCs w:val="24"/>
                <w:highlight w:val="none"/>
                <w:lang w:val="en-US" w:eastAsia="zh-CN"/>
              </w:rPr>
              <w:t>中标供应商</w:t>
            </w:r>
            <w:r>
              <w:rPr>
                <w:rFonts w:hint="eastAsia" w:asciiTheme="minorEastAsia" w:hAnsiTheme="minorEastAsia" w:eastAsiaTheme="minorEastAsia" w:cstheme="minorEastAsia"/>
                <w:color w:val="auto"/>
                <w:sz w:val="24"/>
                <w:szCs w:val="24"/>
                <w:highlight w:val="none"/>
              </w:rPr>
              <w:t>向采购人提供技术支持及售后运维服务。具体服务要求如下：</w:t>
            </w:r>
          </w:p>
          <w:p w14:paraId="372BAB4F">
            <w:pPr>
              <w:keepNext w:val="0"/>
              <w:keepLines w:val="0"/>
              <w:pageBreakBefore w:val="0"/>
              <w:numPr>
                <w:ilvl w:val="0"/>
                <w:numId w:val="0"/>
              </w:numPr>
              <w:kinsoku/>
              <w:overflowPunct/>
              <w:topLinePunct w:val="0"/>
              <w:bidi w:val="0"/>
              <w:snapToGrid/>
              <w:spacing w:line="480" w:lineRule="exact"/>
              <w:ind w:left="0" w:firstLine="482" w:firstLineChars="200"/>
              <w:jc w:val="lef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1</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sz w:val="24"/>
                <w:szCs w:val="24"/>
                <w:highlight w:val="none"/>
              </w:rPr>
              <w:t>驻场人员要求</w:t>
            </w:r>
          </w:p>
          <w:p w14:paraId="352B04DA">
            <w:pPr>
              <w:keepNext w:val="0"/>
              <w:keepLines w:val="0"/>
              <w:pageBreakBefore w:val="0"/>
              <w:kinsoku/>
              <w:overflowPunct/>
              <w:topLinePunct w:val="0"/>
              <w:bidi w:val="0"/>
              <w:snapToGrid/>
              <w:spacing w:line="48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中标供应商</w:t>
            </w:r>
            <w:r>
              <w:rPr>
                <w:rFonts w:hint="eastAsia" w:asciiTheme="minorEastAsia" w:hAnsiTheme="minorEastAsia" w:eastAsiaTheme="minorEastAsia" w:cstheme="minorEastAsia"/>
                <w:color w:val="auto"/>
                <w:sz w:val="24"/>
                <w:szCs w:val="24"/>
                <w:highlight w:val="none"/>
              </w:rPr>
              <w:t>派驻1名驻场人员提供</w:t>
            </w:r>
            <w:r>
              <w:rPr>
                <w:rFonts w:hint="eastAsia" w:asciiTheme="minorEastAsia" w:hAnsiTheme="minorEastAsia" w:eastAsiaTheme="minorEastAsia" w:cstheme="minorEastAsia"/>
                <w:color w:val="auto"/>
                <w:spacing w:val="0"/>
                <w:sz w:val="24"/>
                <w:szCs w:val="24"/>
                <w:highlight w:val="none"/>
              </w:rPr>
              <w:t xml:space="preserve">5 </w:t>
            </w:r>
            <w:r>
              <w:rPr>
                <w:rFonts w:hint="eastAsia" w:asciiTheme="minorEastAsia" w:hAnsiTheme="minorEastAsia" w:eastAsiaTheme="minorEastAsia" w:cstheme="minorEastAsia"/>
                <w:color w:val="auto"/>
                <w:sz w:val="24"/>
                <w:szCs w:val="24"/>
                <w:highlight w:val="none"/>
              </w:rPr>
              <w:t>×8小时驻点服</w:t>
            </w:r>
            <w:r>
              <w:rPr>
                <w:rFonts w:hint="eastAsia" w:asciiTheme="minorEastAsia" w:hAnsiTheme="minorEastAsia" w:eastAsiaTheme="minorEastAsia" w:cstheme="minorEastAsia"/>
                <w:color w:val="auto"/>
                <w:spacing w:val="0"/>
                <w:sz w:val="24"/>
                <w:szCs w:val="24"/>
                <w:highlight w:val="none"/>
              </w:rPr>
              <w:t>务。</w:t>
            </w:r>
          </w:p>
          <w:p w14:paraId="67D9C505">
            <w:pPr>
              <w:keepNext w:val="0"/>
              <w:keepLines w:val="0"/>
              <w:pageBreakBefore w:val="0"/>
              <w:numPr>
                <w:ilvl w:val="0"/>
                <w:numId w:val="0"/>
              </w:numPr>
              <w:kinsoku/>
              <w:overflowPunct/>
              <w:topLinePunct w:val="0"/>
              <w:bidi w:val="0"/>
              <w:snapToGrid/>
              <w:spacing w:line="480" w:lineRule="exact"/>
              <w:ind w:left="0" w:firstLine="482" w:firstLineChars="200"/>
              <w:jc w:val="lef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2</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sz w:val="24"/>
                <w:szCs w:val="24"/>
                <w:highlight w:val="none"/>
              </w:rPr>
              <w:t>远程技术支持要求</w:t>
            </w:r>
          </w:p>
          <w:p w14:paraId="0339E86E">
            <w:pPr>
              <w:keepNext w:val="0"/>
              <w:keepLines w:val="0"/>
              <w:pageBreakBefore w:val="0"/>
              <w:kinsoku/>
              <w:overflowPunct/>
              <w:topLinePunct w:val="0"/>
              <w:bidi w:val="0"/>
              <w:snapToGrid/>
              <w:spacing w:line="48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中标供应商</w:t>
            </w:r>
            <w:r>
              <w:rPr>
                <w:rFonts w:hint="eastAsia" w:asciiTheme="minorEastAsia" w:hAnsiTheme="minorEastAsia" w:eastAsiaTheme="minorEastAsia" w:cstheme="minorEastAsia"/>
                <w:color w:val="auto"/>
                <w:sz w:val="24"/>
                <w:szCs w:val="24"/>
                <w:highlight w:val="none"/>
              </w:rPr>
              <w:t>须提供远程技术支持人员5×8小时为采购人提供远程服务，内容包括但不限于运维服务及技术咨询、解决产品故障、运行优化和日常运维，培训采购人技术人员熟练操作产品及相关系统的管理、运维及应用等。</w:t>
            </w:r>
          </w:p>
          <w:p w14:paraId="38D1D258">
            <w:pPr>
              <w:keepNext w:val="0"/>
              <w:keepLines w:val="0"/>
              <w:pageBreakBefore w:val="0"/>
              <w:numPr>
                <w:ilvl w:val="0"/>
                <w:numId w:val="0"/>
              </w:numPr>
              <w:kinsoku/>
              <w:overflowPunct/>
              <w:topLinePunct w:val="0"/>
              <w:bidi w:val="0"/>
              <w:snapToGrid/>
              <w:spacing w:line="480" w:lineRule="exact"/>
              <w:ind w:left="0" w:firstLine="482" w:firstLineChars="200"/>
              <w:jc w:val="lef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3</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sz w:val="24"/>
                <w:szCs w:val="24"/>
                <w:highlight w:val="none"/>
              </w:rPr>
              <w:t>故障处理服务</w:t>
            </w:r>
          </w:p>
          <w:p w14:paraId="172478A5">
            <w:pPr>
              <w:keepNext w:val="0"/>
              <w:keepLines w:val="0"/>
              <w:pageBreakBefore w:val="0"/>
              <w:kinsoku/>
              <w:overflowPunct/>
              <w:topLinePunct w:val="0"/>
              <w:bidi w:val="0"/>
              <w:snapToGrid/>
              <w:spacing w:line="48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rPr>
              <w:t>若平台发生故障</w:t>
            </w:r>
            <w:r>
              <w:rPr>
                <w:rFonts w:hint="eastAsia" w:asciiTheme="minorEastAsia" w:hAnsiTheme="minorEastAsia" w:eastAsiaTheme="minorEastAsia" w:cstheme="minorEastAsia"/>
                <w:color w:val="auto"/>
                <w:sz w:val="24"/>
                <w:szCs w:val="24"/>
                <w:highlight w:val="none"/>
                <w:lang w:val="en-US" w:eastAsia="zh-CN"/>
              </w:rPr>
              <w:t>中标供应商</w:t>
            </w:r>
            <w:r>
              <w:rPr>
                <w:rFonts w:hint="eastAsia" w:asciiTheme="minorEastAsia" w:hAnsiTheme="minorEastAsia" w:eastAsiaTheme="minorEastAsia" w:cstheme="minorEastAsia"/>
                <w:color w:val="auto"/>
                <w:sz w:val="24"/>
                <w:szCs w:val="24"/>
                <w:highlight w:val="none"/>
              </w:rPr>
              <w:t>应立即向采购人报告，并按照以下时限处理故障：一般故障（影响范围较小的故障）在4小时内排除故障</w:t>
            </w:r>
            <w:r>
              <w:rPr>
                <w:rFonts w:hint="eastAsia" w:asciiTheme="minorEastAsia" w:hAnsiTheme="minorEastAsia" w:eastAsiaTheme="minorEastAsia" w:cstheme="minorEastAsia"/>
                <w:color w:val="auto"/>
                <w:sz w:val="24"/>
                <w:szCs w:val="24"/>
                <w:highlight w:val="none"/>
                <w:lang w:eastAsia="zh-CN"/>
              </w:rPr>
              <w:t>恢复服务</w:t>
            </w:r>
            <w:r>
              <w:rPr>
                <w:rFonts w:hint="eastAsia" w:asciiTheme="minorEastAsia" w:hAnsiTheme="minorEastAsia" w:eastAsiaTheme="minorEastAsia" w:cstheme="minorEastAsia"/>
                <w:color w:val="auto"/>
                <w:sz w:val="24"/>
                <w:szCs w:val="24"/>
                <w:highlight w:val="none"/>
              </w:rPr>
              <w:t>，超过4小时解决不了的则视为重大故障，重大故障（影响范围较大的故障）在8小时内排除故障</w:t>
            </w:r>
            <w:r>
              <w:rPr>
                <w:rFonts w:hint="eastAsia" w:asciiTheme="minorEastAsia" w:hAnsiTheme="minorEastAsia" w:eastAsiaTheme="minorEastAsia" w:cstheme="minorEastAsia"/>
                <w:color w:val="auto"/>
                <w:sz w:val="24"/>
                <w:szCs w:val="24"/>
                <w:highlight w:val="none"/>
                <w:lang w:eastAsia="zh-CN"/>
              </w:rPr>
              <w:t>恢复服务</w:t>
            </w:r>
            <w:r>
              <w:rPr>
                <w:rFonts w:hint="eastAsia" w:asciiTheme="minorEastAsia" w:hAnsiTheme="minorEastAsia" w:eastAsiaTheme="minorEastAsia" w:cstheme="minorEastAsia"/>
                <w:color w:val="auto"/>
                <w:sz w:val="24"/>
                <w:szCs w:val="24"/>
                <w:highlight w:val="none"/>
              </w:rPr>
              <w:t>。出现重大故障必须在故障解决后出具故障问题报告以及处理过程报告。</w:t>
            </w:r>
          </w:p>
          <w:p w14:paraId="42CFF232">
            <w:pPr>
              <w:keepNext w:val="0"/>
              <w:keepLines w:val="0"/>
              <w:pageBreakBefore w:val="0"/>
              <w:kinsoku/>
              <w:overflowPunct/>
              <w:topLinePunct w:val="0"/>
              <w:bidi w:val="0"/>
              <w:snapToGrid/>
              <w:spacing w:line="48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rPr>
              <w:t>如发生重大故障，</w:t>
            </w:r>
            <w:r>
              <w:rPr>
                <w:rFonts w:hint="eastAsia" w:asciiTheme="minorEastAsia" w:hAnsiTheme="minorEastAsia" w:eastAsiaTheme="minorEastAsia" w:cstheme="minorEastAsia"/>
                <w:color w:val="auto"/>
                <w:sz w:val="24"/>
                <w:szCs w:val="24"/>
                <w:highlight w:val="none"/>
                <w:lang w:val="en-US" w:eastAsia="zh-CN"/>
              </w:rPr>
              <w:t>中标供应商</w:t>
            </w:r>
            <w:r>
              <w:rPr>
                <w:rFonts w:hint="eastAsia" w:asciiTheme="minorEastAsia" w:hAnsiTheme="minorEastAsia" w:eastAsiaTheme="minorEastAsia" w:cstheme="minorEastAsia"/>
                <w:color w:val="auto"/>
                <w:sz w:val="24"/>
                <w:szCs w:val="24"/>
                <w:highlight w:val="none"/>
              </w:rPr>
              <w:t>须承诺在故障解决后24小时内，向采购人提交故障处理报告。报告中必须说明故障种类、故障原因、故障处理方法等，以及如何避免再次发生类似故障的措施。</w:t>
            </w:r>
          </w:p>
          <w:p w14:paraId="6C876195">
            <w:pPr>
              <w:keepNext w:val="0"/>
              <w:keepLines w:val="0"/>
              <w:pageBreakBefore w:val="0"/>
              <w:kinsoku/>
              <w:overflowPunct/>
              <w:topLinePunct w:val="0"/>
              <w:bidi w:val="0"/>
              <w:snapToGrid/>
              <w:spacing w:line="480" w:lineRule="exact"/>
              <w:ind w:firstLine="482" w:firstLineChars="200"/>
              <w:jc w:val="lef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4</w:t>
            </w:r>
            <w:r>
              <w:rPr>
                <w:rFonts w:hint="eastAsia" w:asciiTheme="minorEastAsia" w:hAnsiTheme="minorEastAsia" w:eastAsiaTheme="minorEastAsia" w:cstheme="minorEastAsia"/>
                <w:b/>
                <w:bCs/>
                <w:color w:val="auto"/>
                <w:sz w:val="24"/>
                <w:szCs w:val="24"/>
                <w:highlight w:val="none"/>
              </w:rPr>
              <w:t>.运维报告</w:t>
            </w:r>
          </w:p>
          <w:p w14:paraId="7C98B915">
            <w:pPr>
              <w:keepNext w:val="0"/>
              <w:keepLines w:val="0"/>
              <w:pageBreakBefore w:val="0"/>
              <w:kinsoku/>
              <w:overflowPunct/>
              <w:topLinePunct w:val="0"/>
              <w:bidi w:val="0"/>
              <w:snapToGrid/>
              <w:spacing w:line="48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对各项运维工作进行记录，形成相应的运维工作记录。且每周生成一份综合运维周报，每月生成一份综合运维月报，</w:t>
            </w:r>
            <w:r>
              <w:rPr>
                <w:rFonts w:hint="eastAsia" w:asciiTheme="minorEastAsia" w:hAnsiTheme="minorEastAsia" w:eastAsiaTheme="minorEastAsia" w:cstheme="minorEastAsia"/>
                <w:color w:val="auto"/>
                <w:sz w:val="24"/>
                <w:szCs w:val="24"/>
                <w:highlight w:val="none"/>
                <w:lang w:val="en-US" w:eastAsia="zh-CN"/>
              </w:rPr>
              <w:t>每半年生成一份半年运维报告，</w:t>
            </w:r>
            <w:r>
              <w:rPr>
                <w:rFonts w:hint="eastAsia" w:asciiTheme="minorEastAsia" w:hAnsiTheme="minorEastAsia" w:eastAsiaTheme="minorEastAsia" w:cstheme="minorEastAsia"/>
                <w:color w:val="auto"/>
                <w:sz w:val="24"/>
                <w:szCs w:val="24"/>
                <w:highlight w:val="none"/>
              </w:rPr>
              <w:t>每年生成一份综合运维年报。</w:t>
            </w:r>
          </w:p>
          <w:p w14:paraId="69A9045C">
            <w:pPr>
              <w:keepNext w:val="0"/>
              <w:keepLines w:val="0"/>
              <w:pageBreakBefore w:val="0"/>
              <w:numPr>
                <w:ilvl w:val="0"/>
                <w:numId w:val="0"/>
              </w:numPr>
              <w:kinsoku/>
              <w:overflowPunct/>
              <w:topLinePunct w:val="0"/>
              <w:autoSpaceDE/>
              <w:autoSpaceDN/>
              <w:bidi w:val="0"/>
              <w:adjustRightInd/>
              <w:snapToGrid/>
              <w:spacing w:line="480" w:lineRule="exact"/>
              <w:ind w:left="0" w:firstLine="482" w:firstLineChars="200"/>
              <w:jc w:val="left"/>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kern w:val="0"/>
                <w:sz w:val="24"/>
                <w:szCs w:val="24"/>
                <w:highlight w:val="none"/>
                <w:lang w:val="en-US" w:eastAsia="zh-CN"/>
              </w:rPr>
              <w:t>二、</w:t>
            </w:r>
            <w:r>
              <w:rPr>
                <w:rFonts w:hint="eastAsia" w:asciiTheme="minorEastAsia" w:hAnsiTheme="minorEastAsia" w:eastAsiaTheme="minorEastAsia" w:cstheme="minorEastAsia"/>
                <w:b/>
                <w:color w:val="auto"/>
                <w:kern w:val="0"/>
                <w:sz w:val="24"/>
                <w:szCs w:val="24"/>
                <w:highlight w:val="none"/>
              </w:rPr>
              <w:t>云业务服务</w:t>
            </w:r>
          </w:p>
          <w:p w14:paraId="53098825">
            <w:pPr>
              <w:keepNext w:val="0"/>
              <w:keepLines w:val="0"/>
              <w:pageBreakBefore w:val="0"/>
              <w:numPr>
                <w:ilvl w:val="0"/>
                <w:numId w:val="0"/>
              </w:numPr>
              <w:kinsoku/>
              <w:overflowPunct/>
              <w:topLinePunct w:val="0"/>
              <w:bidi w:val="0"/>
              <w:snapToGrid/>
              <w:spacing w:line="480" w:lineRule="exact"/>
              <w:ind w:left="0" w:firstLine="482" w:firstLineChars="200"/>
              <w:jc w:val="lef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1</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sz w:val="24"/>
                <w:szCs w:val="24"/>
                <w:highlight w:val="none"/>
              </w:rPr>
              <w:t>业务咨询</w:t>
            </w:r>
          </w:p>
          <w:p w14:paraId="11A3FBAA">
            <w:pPr>
              <w:keepNext w:val="0"/>
              <w:keepLines w:val="0"/>
              <w:pageBreakBefore w:val="0"/>
              <w:kinsoku/>
              <w:overflowPunct/>
              <w:topLinePunct w:val="0"/>
              <w:bidi w:val="0"/>
              <w:snapToGrid/>
              <w:spacing w:line="48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业务咨询涉及为各委办局、区县等单位提供平台业务上云、资源申请流程的咨询和指导。协助各委办局和区县等单位了解业务上云、资源申请、业务系统上线等平台流程，提供专业的咨询和平台指导服务；帮助用户理解相关的上云政策和规定，确保业务上云符合政策要求，同时提供必要的线上支持。</w:t>
            </w:r>
          </w:p>
          <w:p w14:paraId="744B09BA">
            <w:pPr>
              <w:keepNext w:val="0"/>
              <w:keepLines w:val="0"/>
              <w:pageBreakBefore w:val="0"/>
              <w:numPr>
                <w:ilvl w:val="0"/>
                <w:numId w:val="0"/>
              </w:numPr>
              <w:kinsoku/>
              <w:overflowPunct/>
              <w:topLinePunct w:val="0"/>
              <w:bidi w:val="0"/>
              <w:snapToGrid/>
              <w:spacing w:line="480" w:lineRule="exact"/>
              <w:ind w:left="0" w:firstLine="482" w:firstLineChars="200"/>
              <w:jc w:val="lef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2</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sz w:val="24"/>
                <w:szCs w:val="24"/>
                <w:highlight w:val="none"/>
              </w:rPr>
              <w:t>业务开通</w:t>
            </w:r>
          </w:p>
          <w:p w14:paraId="30106766">
            <w:pPr>
              <w:keepNext w:val="0"/>
              <w:keepLines w:val="0"/>
              <w:pageBreakBefore w:val="0"/>
              <w:kinsoku/>
              <w:overflowPunct/>
              <w:topLinePunct w:val="0"/>
              <w:bidi w:val="0"/>
              <w:snapToGrid/>
              <w:spacing w:line="48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业务开通涉及平台账号管理、密码重置等操作，确保用户能够顺利通过平台发起相关业务申请。协助用户开通平台账号，确保账号的合理分配和使用；为用户提供平台密码重置服务，保障账户安全；处理用户在使用平台过程中遇到的问题。</w:t>
            </w:r>
          </w:p>
          <w:p w14:paraId="624D4BBC">
            <w:pPr>
              <w:keepNext w:val="0"/>
              <w:keepLines w:val="0"/>
              <w:pageBreakBefore w:val="0"/>
              <w:numPr>
                <w:ilvl w:val="0"/>
                <w:numId w:val="0"/>
              </w:numPr>
              <w:kinsoku/>
              <w:overflowPunct/>
              <w:topLinePunct w:val="0"/>
              <w:bidi w:val="0"/>
              <w:snapToGrid/>
              <w:spacing w:line="480" w:lineRule="exact"/>
              <w:ind w:left="0" w:firstLine="482" w:firstLineChars="200"/>
              <w:jc w:val="lef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3</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sz w:val="24"/>
                <w:szCs w:val="24"/>
                <w:highlight w:val="none"/>
              </w:rPr>
              <w:t>数据统计</w:t>
            </w:r>
          </w:p>
          <w:p w14:paraId="7C9E007B">
            <w:pPr>
              <w:keepNext w:val="0"/>
              <w:keepLines w:val="0"/>
              <w:pageBreakBefore w:val="0"/>
              <w:kinsoku/>
              <w:overflowPunct/>
              <w:topLinePunct w:val="0"/>
              <w:bidi w:val="0"/>
              <w:snapToGrid/>
              <w:spacing w:line="48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数据统计涉及平台数据的整理、核对处理和优化建议。对平台监测到的低负载数据进行统计和整理，确保数据的准确性，协助各云服务商核对处理平台业务系统和云服务资源的相关信息差异性，确保数据的准确性及一致性，同时根据统计结果，提出资源优化建议。</w:t>
            </w:r>
          </w:p>
          <w:p w14:paraId="4B41901E">
            <w:pPr>
              <w:keepNext w:val="0"/>
              <w:keepLines w:val="0"/>
              <w:pageBreakBefore w:val="0"/>
              <w:numPr>
                <w:ilvl w:val="0"/>
                <w:numId w:val="0"/>
              </w:numPr>
              <w:kinsoku/>
              <w:overflowPunct/>
              <w:topLinePunct w:val="0"/>
              <w:bidi w:val="0"/>
              <w:snapToGrid/>
              <w:spacing w:line="480" w:lineRule="exact"/>
              <w:ind w:left="0" w:firstLine="482" w:firstLineChars="200"/>
              <w:jc w:val="lef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4</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sz w:val="24"/>
                <w:szCs w:val="24"/>
                <w:highlight w:val="none"/>
              </w:rPr>
              <w:t>业务调整</w:t>
            </w:r>
          </w:p>
          <w:p w14:paraId="29CA2B56">
            <w:pPr>
              <w:keepNext w:val="0"/>
              <w:keepLines w:val="0"/>
              <w:pageBreakBefore w:val="0"/>
              <w:kinsoku/>
              <w:overflowPunct/>
              <w:topLinePunct w:val="0"/>
              <w:bidi w:val="0"/>
              <w:snapToGrid/>
              <w:spacing w:line="48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在业务调整方面，运维服务需要基于现有的功能和结合实际业务场景，灵活调整平台业务流程。与业主、云服务商等需求方进行沟通，收集和确认业务流程的需求，确保需求的准确性和可行性，基于现有平台功能，调整更新平台业务流程。</w:t>
            </w:r>
          </w:p>
          <w:p w14:paraId="7E171815">
            <w:pPr>
              <w:keepNext w:val="0"/>
              <w:keepLines w:val="0"/>
              <w:pageBreakBefore w:val="0"/>
              <w:numPr>
                <w:ilvl w:val="0"/>
                <w:numId w:val="0"/>
              </w:numPr>
              <w:kinsoku/>
              <w:overflowPunct/>
              <w:topLinePunct w:val="0"/>
              <w:bidi w:val="0"/>
              <w:snapToGrid/>
              <w:spacing w:line="480" w:lineRule="exact"/>
              <w:ind w:left="0" w:firstLine="482" w:firstLineChars="200"/>
              <w:jc w:val="lef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5</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sz w:val="24"/>
                <w:szCs w:val="24"/>
                <w:highlight w:val="none"/>
              </w:rPr>
              <w:t>系统维护服务</w:t>
            </w:r>
          </w:p>
          <w:p w14:paraId="630EBD27">
            <w:pPr>
              <w:keepNext w:val="0"/>
              <w:keepLines w:val="0"/>
              <w:pageBreakBefore w:val="0"/>
              <w:kinsoku/>
              <w:overflowPunct/>
              <w:topLinePunct w:val="0"/>
              <w:bidi w:val="0"/>
              <w:snapToGrid/>
              <w:spacing w:line="48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中标供应商</w:t>
            </w:r>
            <w:r>
              <w:rPr>
                <w:rFonts w:hint="eastAsia" w:asciiTheme="minorEastAsia" w:hAnsiTheme="minorEastAsia" w:eastAsiaTheme="minorEastAsia" w:cstheme="minorEastAsia"/>
                <w:color w:val="auto"/>
                <w:sz w:val="24"/>
                <w:szCs w:val="24"/>
                <w:highlight w:val="none"/>
              </w:rPr>
              <w:t>应全程提供多云监管平台服务保障，提供故障处理服务、应急响应、巡检巡查服务、软件支持服务、安全服务保障、运维文档管理、重大事件保障服务、系统技术支持服务、系统性能评估服务等服务。</w:t>
            </w:r>
          </w:p>
          <w:p w14:paraId="7F1F5806">
            <w:pPr>
              <w:keepNext w:val="0"/>
              <w:keepLines w:val="0"/>
              <w:pageBreakBefore w:val="0"/>
              <w:numPr>
                <w:ilvl w:val="0"/>
                <w:numId w:val="0"/>
              </w:numPr>
              <w:kinsoku/>
              <w:overflowPunct/>
              <w:topLinePunct w:val="0"/>
              <w:autoSpaceDE/>
              <w:autoSpaceDN/>
              <w:bidi w:val="0"/>
              <w:adjustRightInd/>
              <w:snapToGrid/>
              <w:spacing w:line="480" w:lineRule="exact"/>
              <w:ind w:left="0" w:firstLine="482" w:firstLineChars="200"/>
              <w:jc w:val="left"/>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kern w:val="0"/>
                <w:sz w:val="24"/>
                <w:szCs w:val="24"/>
                <w:highlight w:val="none"/>
                <w:lang w:val="en-US" w:eastAsia="zh-CN"/>
              </w:rPr>
              <w:t>三、</w:t>
            </w:r>
            <w:r>
              <w:rPr>
                <w:rFonts w:hint="eastAsia" w:asciiTheme="minorEastAsia" w:hAnsiTheme="minorEastAsia" w:eastAsiaTheme="minorEastAsia" w:cstheme="minorEastAsia"/>
                <w:b/>
                <w:color w:val="auto"/>
                <w:kern w:val="0"/>
                <w:sz w:val="24"/>
                <w:szCs w:val="24"/>
                <w:highlight w:val="none"/>
              </w:rPr>
              <w:t>故障处理服务</w:t>
            </w:r>
          </w:p>
          <w:p w14:paraId="38F614E0">
            <w:pPr>
              <w:keepNext w:val="0"/>
              <w:keepLines w:val="0"/>
              <w:pageBreakBefore w:val="0"/>
              <w:numPr>
                <w:ilvl w:val="0"/>
                <w:numId w:val="0"/>
              </w:numPr>
              <w:kinsoku/>
              <w:overflowPunct/>
              <w:topLinePunct w:val="0"/>
              <w:bidi w:val="0"/>
              <w:snapToGrid/>
              <w:spacing w:line="480" w:lineRule="exact"/>
              <w:ind w:left="0" w:firstLine="482" w:firstLineChars="200"/>
              <w:jc w:val="lef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1</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sz w:val="24"/>
                <w:szCs w:val="24"/>
                <w:highlight w:val="none"/>
              </w:rPr>
              <w:t>系统出现故障处置</w:t>
            </w:r>
          </w:p>
          <w:p w14:paraId="5387A62E">
            <w:pPr>
              <w:keepNext w:val="0"/>
              <w:keepLines w:val="0"/>
              <w:pageBreakBefore w:val="0"/>
              <w:kinsoku/>
              <w:overflowPunct/>
              <w:topLinePunct w:val="0"/>
              <w:bidi w:val="0"/>
              <w:snapToGrid/>
              <w:spacing w:line="48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系统出现运行异常、功能失效等自身故障后，</w:t>
            </w:r>
            <w:r>
              <w:rPr>
                <w:rFonts w:hint="eastAsia" w:asciiTheme="minorEastAsia" w:hAnsiTheme="minorEastAsia" w:eastAsiaTheme="minorEastAsia" w:cstheme="minorEastAsia"/>
                <w:color w:val="auto"/>
                <w:sz w:val="24"/>
                <w:szCs w:val="24"/>
                <w:highlight w:val="none"/>
              </w:rPr>
              <w:t>中标</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须在 30 分钟内响应</w:t>
            </w:r>
            <w:r>
              <w:rPr>
                <w:rFonts w:hint="eastAsia" w:asciiTheme="minorEastAsia" w:hAnsiTheme="minorEastAsia" w:eastAsiaTheme="minorEastAsia" w:cstheme="minorEastAsia"/>
                <w:color w:val="auto"/>
                <w:sz w:val="24"/>
                <w:szCs w:val="24"/>
                <w:highlight w:val="none"/>
                <w:lang w:eastAsia="zh-CN"/>
              </w:rPr>
              <w:t>采购人</w:t>
            </w:r>
            <w:r>
              <w:rPr>
                <w:rFonts w:hint="eastAsia" w:asciiTheme="minorEastAsia" w:hAnsiTheme="minorEastAsia" w:eastAsiaTheme="minorEastAsia" w:cstheme="minorEastAsia"/>
                <w:color w:val="auto"/>
                <w:sz w:val="24"/>
                <w:szCs w:val="24"/>
                <w:highlight w:val="none"/>
              </w:rPr>
              <w:t>需求，配合调取系统运行日志、错误日志及相关操作记录，快速定位故障根源。针对硬件故障、软件 Bug 等不同类型问题，即时制定可落地的解决方案，组织技术人员现场或远程实施修复，全力消除故障。若现场人员无法第一时间解决，需在 1 小时内书面（含电子形式）向采购人及相关管理部门汇报故障等级、影响范围及预计解决时限，并增派资深技术团队支援，确保故障处置全程可追溯，直至系统恢复正常运行，同时形成故障处理报告存档。</w:t>
            </w:r>
          </w:p>
          <w:p w14:paraId="03E3B551">
            <w:pPr>
              <w:keepNext w:val="0"/>
              <w:keepLines w:val="0"/>
              <w:pageBreakBefore w:val="0"/>
              <w:numPr>
                <w:ilvl w:val="0"/>
                <w:numId w:val="0"/>
              </w:numPr>
              <w:kinsoku/>
              <w:overflowPunct/>
              <w:topLinePunct w:val="0"/>
              <w:bidi w:val="0"/>
              <w:snapToGrid/>
              <w:spacing w:line="480" w:lineRule="exact"/>
              <w:ind w:left="0" w:firstLine="482" w:firstLineChars="200"/>
              <w:jc w:val="lef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2</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sz w:val="24"/>
                <w:szCs w:val="24"/>
                <w:highlight w:val="none"/>
              </w:rPr>
              <w:t>系统遭受攻击处置</w:t>
            </w:r>
          </w:p>
          <w:p w14:paraId="5607BB40">
            <w:pPr>
              <w:keepNext w:val="0"/>
              <w:keepLines w:val="0"/>
              <w:pageBreakBefore w:val="0"/>
              <w:kinsoku/>
              <w:overflowPunct/>
              <w:topLinePunct w:val="0"/>
              <w:bidi w:val="0"/>
              <w:snapToGrid/>
              <w:spacing w:line="48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中标</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需常态化落实安全防范措施，对重要软件系统建立备份机制，</w:t>
            </w:r>
            <w:r>
              <w:rPr>
                <w:rFonts w:hint="eastAsia" w:asciiTheme="minorEastAsia" w:hAnsiTheme="minorEastAsia" w:eastAsiaTheme="minorEastAsia" w:cstheme="minorEastAsia"/>
                <w:color w:val="auto"/>
                <w:sz w:val="24"/>
                <w:szCs w:val="24"/>
                <w:highlight w:val="none"/>
                <w:lang w:val="en-US" w:eastAsia="zh-CN"/>
              </w:rPr>
              <w:t>落实备份工作</w:t>
            </w:r>
            <w:r>
              <w:rPr>
                <w:rFonts w:hint="eastAsia" w:asciiTheme="minorEastAsia" w:hAnsiTheme="minorEastAsia" w:eastAsiaTheme="minorEastAsia" w:cstheme="minorEastAsia"/>
                <w:color w:val="auto"/>
                <w:sz w:val="24"/>
                <w:szCs w:val="24"/>
                <w:highlight w:val="none"/>
              </w:rPr>
              <w:t>。若系统遭遇恶意攻击（如 SQL 注入、DDoS 攻击等），需立即启动应急响应预案，第一时间隔离受攻击模块、切断攻击链路，避免攻击扩散。同步开展攻击溯源分析，评估数据泄露及系统受损情况，利用备份数据优先恢复核心业务功能，24 小时内完成系统安全加固，并向采购人提交攻击处置及安全优化报告，后续跟踪监测 72 小时，确保无二次攻击风险。</w:t>
            </w:r>
          </w:p>
          <w:p w14:paraId="454ED1F9">
            <w:pPr>
              <w:keepNext w:val="0"/>
              <w:keepLines w:val="0"/>
              <w:pageBreakBefore w:val="0"/>
              <w:numPr>
                <w:ilvl w:val="0"/>
                <w:numId w:val="0"/>
              </w:numPr>
              <w:kinsoku/>
              <w:overflowPunct/>
              <w:topLinePunct w:val="0"/>
              <w:bidi w:val="0"/>
              <w:snapToGrid/>
              <w:spacing w:line="480" w:lineRule="exact"/>
              <w:ind w:left="0" w:firstLine="482" w:firstLineChars="200"/>
              <w:jc w:val="lef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3</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sz w:val="24"/>
                <w:szCs w:val="24"/>
                <w:highlight w:val="none"/>
              </w:rPr>
              <w:t>病毒安全紧急处置</w:t>
            </w:r>
          </w:p>
          <w:p w14:paraId="1987EDE9">
            <w:pPr>
              <w:keepNext w:val="0"/>
              <w:keepLines w:val="0"/>
              <w:pageBreakBefore w:val="0"/>
              <w:kinsoku/>
              <w:overflowPunct/>
              <w:topLinePunct w:val="0"/>
              <w:bidi w:val="0"/>
              <w:snapToGrid/>
              <w:spacing w:line="48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系统运行中发现病毒感染（如勒索病毒、蠕虫病毒等）迹象后，中标</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须立即隔离受感染设备，阻断病毒传播路径，2 小时内完成病毒查杀及样本分析。针对病毒类型更新系统杀毒软件病毒库，修复系统漏洞及安全隐患，利用合规备份数据恢复受影响文件及功能。处置完成后，对全系统开展病毒扫描排查，确认无残留风险，并向采购人报备处置过程及结果。同时优化病毒防护策略，定期推送病毒库更新提醒，协助业主开展安全防护培训，提升主动防御能力。</w:t>
            </w:r>
          </w:p>
          <w:p w14:paraId="14942DCE">
            <w:pPr>
              <w:keepNext w:val="0"/>
              <w:keepLines w:val="0"/>
              <w:pageBreakBefore w:val="0"/>
              <w:numPr>
                <w:ilvl w:val="0"/>
                <w:numId w:val="0"/>
              </w:numPr>
              <w:kinsoku/>
              <w:overflowPunct/>
              <w:topLinePunct w:val="0"/>
              <w:bidi w:val="0"/>
              <w:snapToGrid/>
              <w:spacing w:line="480" w:lineRule="exact"/>
              <w:ind w:left="0" w:firstLine="482" w:firstLineChars="200"/>
              <w:jc w:val="lef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4</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sz w:val="24"/>
                <w:szCs w:val="24"/>
                <w:highlight w:val="none"/>
              </w:rPr>
              <w:t>其它安全处置</w:t>
            </w:r>
          </w:p>
          <w:p w14:paraId="64A35255">
            <w:pPr>
              <w:keepNext w:val="0"/>
              <w:keepLines w:val="0"/>
              <w:pageBreakBefore w:val="0"/>
              <w:kinsoku/>
              <w:overflowPunct/>
              <w:topLinePunct w:val="0"/>
              <w:bidi w:val="0"/>
              <w:snapToGrid/>
              <w:spacing w:line="48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针对系统网络故障、电源中断、自然灾害等突发情况，</w:t>
            </w:r>
            <w:r>
              <w:rPr>
                <w:rFonts w:hint="eastAsia" w:asciiTheme="minorEastAsia" w:hAnsiTheme="minorEastAsia" w:eastAsiaTheme="minorEastAsia" w:cstheme="minorEastAsia"/>
                <w:color w:val="auto"/>
                <w:sz w:val="24"/>
                <w:szCs w:val="24"/>
                <w:highlight w:val="none"/>
              </w:rPr>
              <w:t>中标</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需即时响应：网络故障快速排查链路、修复通信问题；电源中断协助切换备用电源，保障核心设备不间断运行；自然灾害发生时，按预案关停设备、做好数据保护，灾后优先开展设备检修与系统恢复。此类故障处置需</w:t>
            </w:r>
            <w:r>
              <w:rPr>
                <w:rFonts w:hint="eastAsia" w:asciiTheme="minorEastAsia" w:hAnsiTheme="minorEastAsia" w:eastAsiaTheme="minorEastAsia" w:cstheme="minorEastAsia"/>
                <w:color w:val="auto"/>
                <w:sz w:val="24"/>
                <w:szCs w:val="24"/>
                <w:highlight w:val="none"/>
                <w:lang w:val="en-US" w:eastAsia="zh-CN"/>
              </w:rPr>
              <w:t>按照</w:t>
            </w:r>
            <w:r>
              <w:rPr>
                <w:rFonts w:hint="eastAsia" w:asciiTheme="minorEastAsia" w:hAnsiTheme="minorEastAsia" w:eastAsiaTheme="minorEastAsia" w:cstheme="minorEastAsia"/>
                <w:color w:val="auto"/>
                <w:sz w:val="24"/>
                <w:szCs w:val="24"/>
                <w:highlight w:val="none"/>
              </w:rPr>
              <w:t>流程执行，确保 2 小时内启动应急措施，尽快恢复系统正常运行，事后同步提交处置报告。</w:t>
            </w:r>
          </w:p>
          <w:p w14:paraId="1C50C6E2">
            <w:pPr>
              <w:keepNext w:val="0"/>
              <w:keepLines w:val="0"/>
              <w:pageBreakBefore w:val="0"/>
              <w:numPr>
                <w:ilvl w:val="0"/>
                <w:numId w:val="0"/>
              </w:numPr>
              <w:kinsoku/>
              <w:overflowPunct/>
              <w:topLinePunct w:val="0"/>
              <w:autoSpaceDE/>
              <w:autoSpaceDN/>
              <w:bidi w:val="0"/>
              <w:adjustRightInd/>
              <w:snapToGrid/>
              <w:spacing w:line="480" w:lineRule="exact"/>
              <w:ind w:left="0" w:firstLine="482" w:firstLineChars="200"/>
              <w:jc w:val="left"/>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kern w:val="0"/>
                <w:sz w:val="24"/>
                <w:szCs w:val="24"/>
                <w:highlight w:val="none"/>
                <w:lang w:val="en-US" w:eastAsia="zh-CN"/>
              </w:rPr>
              <w:t>四、</w:t>
            </w:r>
            <w:r>
              <w:rPr>
                <w:rFonts w:hint="eastAsia" w:asciiTheme="minorEastAsia" w:hAnsiTheme="minorEastAsia" w:eastAsiaTheme="minorEastAsia" w:cstheme="minorEastAsia"/>
                <w:b/>
                <w:color w:val="auto"/>
                <w:kern w:val="0"/>
                <w:sz w:val="24"/>
                <w:szCs w:val="24"/>
                <w:highlight w:val="none"/>
              </w:rPr>
              <w:t>巡查巡检服务</w:t>
            </w:r>
          </w:p>
          <w:p w14:paraId="0AC0D696">
            <w:pPr>
              <w:keepNext w:val="0"/>
              <w:keepLines w:val="0"/>
              <w:pageBreakBefore w:val="0"/>
              <w:kinsoku/>
              <w:overflowPunct/>
              <w:topLinePunct w:val="0"/>
              <w:bidi w:val="0"/>
              <w:snapToGrid/>
              <w:spacing w:line="48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中标</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应定期组织技术团队，开展每周、每月常规巡检，每季度对系统软硬件进行全面巡检，并在重大保障节点前提供专项巡检。每次巡检均提交采购人。巡检内容包括（不限于）：</w:t>
            </w:r>
          </w:p>
          <w:p w14:paraId="66C2F0E5">
            <w:pPr>
              <w:keepNext w:val="0"/>
              <w:keepLines w:val="0"/>
              <w:pageBreakBefore w:val="0"/>
              <w:numPr>
                <w:ilvl w:val="0"/>
                <w:numId w:val="0"/>
              </w:numPr>
              <w:kinsoku/>
              <w:overflowPunct/>
              <w:topLinePunct w:val="0"/>
              <w:bidi w:val="0"/>
              <w:snapToGrid/>
              <w:spacing w:line="480" w:lineRule="exact"/>
              <w:ind w:left="0" w:firstLine="480" w:firstLineChars="200"/>
              <w:jc w:val="left"/>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1</w:t>
            </w:r>
            <w:r>
              <w:rPr>
                <w:rFonts w:hint="eastAsia" w:asciiTheme="minorEastAsia" w:hAnsiTheme="minorEastAsia" w:eastAsiaTheme="minorEastAsia" w:cstheme="minorEastAsia"/>
                <w:b w:val="0"/>
                <w:bCs w:val="0"/>
                <w:color w:val="auto"/>
                <w:sz w:val="24"/>
                <w:szCs w:val="24"/>
                <w:highlight w:val="none"/>
              </w:rPr>
              <w:t>.</w:t>
            </w:r>
            <w:r>
              <w:rPr>
                <w:rFonts w:hint="eastAsia" w:asciiTheme="minorEastAsia" w:hAnsiTheme="minorEastAsia" w:eastAsiaTheme="minorEastAsia" w:cstheme="minorEastAsia"/>
                <w:b w:val="0"/>
                <w:bCs w:val="0"/>
                <w:color w:val="auto"/>
                <w:sz w:val="24"/>
                <w:szCs w:val="24"/>
                <w:highlight w:val="none"/>
              </w:rPr>
              <w:t>软件检查；</w:t>
            </w:r>
          </w:p>
          <w:p w14:paraId="59ACE930">
            <w:pPr>
              <w:keepNext w:val="0"/>
              <w:keepLines w:val="0"/>
              <w:pageBreakBefore w:val="0"/>
              <w:numPr>
                <w:ilvl w:val="0"/>
                <w:numId w:val="0"/>
              </w:numPr>
              <w:kinsoku/>
              <w:overflowPunct/>
              <w:topLinePunct w:val="0"/>
              <w:bidi w:val="0"/>
              <w:snapToGrid/>
              <w:spacing w:line="480" w:lineRule="exact"/>
              <w:ind w:left="0" w:firstLine="480" w:firstLineChars="200"/>
              <w:jc w:val="left"/>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2</w:t>
            </w:r>
            <w:r>
              <w:rPr>
                <w:rFonts w:hint="eastAsia" w:asciiTheme="minorEastAsia" w:hAnsiTheme="minorEastAsia" w:eastAsiaTheme="minorEastAsia" w:cstheme="minorEastAsia"/>
                <w:b w:val="0"/>
                <w:bCs w:val="0"/>
                <w:color w:val="auto"/>
                <w:sz w:val="24"/>
                <w:szCs w:val="24"/>
                <w:highlight w:val="none"/>
              </w:rPr>
              <w:t>.</w:t>
            </w:r>
            <w:r>
              <w:rPr>
                <w:rFonts w:hint="eastAsia" w:asciiTheme="minorEastAsia" w:hAnsiTheme="minorEastAsia" w:eastAsiaTheme="minorEastAsia" w:cstheme="minorEastAsia"/>
                <w:b w:val="0"/>
                <w:bCs w:val="0"/>
                <w:color w:val="auto"/>
                <w:sz w:val="24"/>
                <w:szCs w:val="24"/>
                <w:highlight w:val="none"/>
              </w:rPr>
              <w:t>系统运行状态检查；</w:t>
            </w:r>
          </w:p>
          <w:p w14:paraId="07BD9B57">
            <w:pPr>
              <w:keepNext w:val="0"/>
              <w:keepLines w:val="0"/>
              <w:pageBreakBefore w:val="0"/>
              <w:numPr>
                <w:ilvl w:val="0"/>
                <w:numId w:val="0"/>
              </w:numPr>
              <w:kinsoku/>
              <w:overflowPunct/>
              <w:topLinePunct w:val="0"/>
              <w:bidi w:val="0"/>
              <w:snapToGrid/>
              <w:spacing w:line="480" w:lineRule="exact"/>
              <w:ind w:left="0" w:firstLine="480" w:firstLineChars="200"/>
              <w:jc w:val="left"/>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3</w:t>
            </w:r>
            <w:r>
              <w:rPr>
                <w:rFonts w:hint="eastAsia" w:asciiTheme="minorEastAsia" w:hAnsiTheme="minorEastAsia" w:eastAsiaTheme="minorEastAsia" w:cstheme="minorEastAsia"/>
                <w:b w:val="0"/>
                <w:bCs w:val="0"/>
                <w:color w:val="auto"/>
                <w:sz w:val="24"/>
                <w:szCs w:val="24"/>
                <w:highlight w:val="none"/>
              </w:rPr>
              <w:t>.</w:t>
            </w:r>
            <w:r>
              <w:rPr>
                <w:rFonts w:hint="eastAsia" w:asciiTheme="minorEastAsia" w:hAnsiTheme="minorEastAsia" w:eastAsiaTheme="minorEastAsia" w:cstheme="minorEastAsia"/>
                <w:b w:val="0"/>
                <w:bCs w:val="0"/>
                <w:color w:val="auto"/>
                <w:sz w:val="24"/>
                <w:szCs w:val="24"/>
                <w:highlight w:val="none"/>
              </w:rPr>
              <w:t>日志检查；</w:t>
            </w:r>
          </w:p>
          <w:p w14:paraId="30884375">
            <w:pPr>
              <w:keepNext w:val="0"/>
              <w:keepLines w:val="0"/>
              <w:pageBreakBefore w:val="0"/>
              <w:numPr>
                <w:ilvl w:val="0"/>
                <w:numId w:val="0"/>
              </w:numPr>
              <w:kinsoku/>
              <w:overflowPunct/>
              <w:topLinePunct w:val="0"/>
              <w:bidi w:val="0"/>
              <w:snapToGrid/>
              <w:spacing w:line="480" w:lineRule="exact"/>
              <w:ind w:left="0" w:firstLine="480" w:firstLineChars="200"/>
              <w:jc w:val="left"/>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4</w:t>
            </w:r>
            <w:r>
              <w:rPr>
                <w:rFonts w:hint="eastAsia" w:asciiTheme="minorEastAsia" w:hAnsiTheme="minorEastAsia" w:eastAsiaTheme="minorEastAsia" w:cstheme="minorEastAsia"/>
                <w:b w:val="0"/>
                <w:bCs w:val="0"/>
                <w:color w:val="auto"/>
                <w:sz w:val="24"/>
                <w:szCs w:val="24"/>
                <w:highlight w:val="none"/>
              </w:rPr>
              <w:t>.</w:t>
            </w:r>
            <w:r>
              <w:rPr>
                <w:rFonts w:hint="eastAsia" w:asciiTheme="minorEastAsia" w:hAnsiTheme="minorEastAsia" w:eastAsiaTheme="minorEastAsia" w:cstheme="minorEastAsia"/>
                <w:b w:val="0"/>
                <w:bCs w:val="0"/>
                <w:color w:val="auto"/>
                <w:sz w:val="24"/>
                <w:szCs w:val="24"/>
                <w:highlight w:val="none"/>
              </w:rPr>
              <w:t>系统配置检查；</w:t>
            </w:r>
          </w:p>
          <w:p w14:paraId="5125D1B5">
            <w:pPr>
              <w:keepNext w:val="0"/>
              <w:keepLines w:val="0"/>
              <w:pageBreakBefore w:val="0"/>
              <w:numPr>
                <w:ilvl w:val="0"/>
                <w:numId w:val="0"/>
              </w:numPr>
              <w:kinsoku/>
              <w:overflowPunct/>
              <w:topLinePunct w:val="0"/>
              <w:bidi w:val="0"/>
              <w:snapToGrid/>
              <w:spacing w:line="480" w:lineRule="exact"/>
              <w:ind w:left="0" w:firstLine="480" w:firstLineChars="200"/>
              <w:jc w:val="left"/>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5</w:t>
            </w:r>
            <w:r>
              <w:rPr>
                <w:rFonts w:hint="eastAsia" w:asciiTheme="minorEastAsia" w:hAnsiTheme="minorEastAsia" w:eastAsiaTheme="minorEastAsia" w:cstheme="minorEastAsia"/>
                <w:b w:val="0"/>
                <w:bCs w:val="0"/>
                <w:color w:val="auto"/>
                <w:sz w:val="24"/>
                <w:szCs w:val="24"/>
                <w:highlight w:val="none"/>
              </w:rPr>
              <w:t>.</w:t>
            </w:r>
            <w:r>
              <w:rPr>
                <w:rFonts w:hint="eastAsia" w:asciiTheme="minorEastAsia" w:hAnsiTheme="minorEastAsia" w:eastAsiaTheme="minorEastAsia" w:cstheme="minorEastAsia"/>
                <w:b w:val="0"/>
                <w:bCs w:val="0"/>
                <w:color w:val="auto"/>
                <w:sz w:val="24"/>
                <w:szCs w:val="24"/>
                <w:highlight w:val="none"/>
              </w:rPr>
              <w:t>系统备份检查；</w:t>
            </w:r>
          </w:p>
          <w:p w14:paraId="149B82DC">
            <w:pPr>
              <w:keepNext w:val="0"/>
              <w:keepLines w:val="0"/>
              <w:pageBreakBefore w:val="0"/>
              <w:numPr>
                <w:ilvl w:val="0"/>
                <w:numId w:val="0"/>
              </w:numPr>
              <w:kinsoku/>
              <w:overflowPunct/>
              <w:topLinePunct w:val="0"/>
              <w:bidi w:val="0"/>
              <w:snapToGrid/>
              <w:spacing w:line="480" w:lineRule="exact"/>
              <w:ind w:left="0" w:firstLine="480" w:firstLineChars="200"/>
              <w:jc w:val="left"/>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6</w:t>
            </w:r>
            <w:r>
              <w:rPr>
                <w:rFonts w:hint="eastAsia" w:asciiTheme="minorEastAsia" w:hAnsiTheme="minorEastAsia" w:eastAsiaTheme="minorEastAsia" w:cstheme="minorEastAsia"/>
                <w:b w:val="0"/>
                <w:bCs w:val="0"/>
                <w:color w:val="auto"/>
                <w:sz w:val="24"/>
                <w:szCs w:val="24"/>
                <w:highlight w:val="none"/>
              </w:rPr>
              <w:t>.</w:t>
            </w:r>
            <w:r>
              <w:rPr>
                <w:rFonts w:hint="eastAsia" w:asciiTheme="minorEastAsia" w:hAnsiTheme="minorEastAsia" w:eastAsiaTheme="minorEastAsia" w:cstheme="minorEastAsia"/>
                <w:b w:val="0"/>
                <w:bCs w:val="0"/>
                <w:color w:val="auto"/>
                <w:sz w:val="24"/>
                <w:szCs w:val="24"/>
                <w:highlight w:val="none"/>
              </w:rPr>
              <w:t>系统总体性能评估；</w:t>
            </w:r>
          </w:p>
          <w:p w14:paraId="6A3635F8">
            <w:pPr>
              <w:keepNext w:val="0"/>
              <w:keepLines w:val="0"/>
              <w:pageBreakBefore w:val="0"/>
              <w:numPr>
                <w:ilvl w:val="0"/>
                <w:numId w:val="0"/>
              </w:numPr>
              <w:kinsoku/>
              <w:overflowPunct/>
              <w:topLinePunct w:val="0"/>
              <w:bidi w:val="0"/>
              <w:snapToGrid/>
              <w:spacing w:line="480" w:lineRule="exact"/>
              <w:ind w:left="0" w:firstLine="480" w:firstLineChars="200"/>
              <w:jc w:val="left"/>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7</w:t>
            </w:r>
            <w:r>
              <w:rPr>
                <w:rFonts w:hint="eastAsia" w:asciiTheme="minorEastAsia" w:hAnsiTheme="minorEastAsia" w:eastAsiaTheme="minorEastAsia" w:cstheme="minorEastAsia"/>
                <w:b w:val="0"/>
                <w:bCs w:val="0"/>
                <w:color w:val="auto"/>
                <w:sz w:val="24"/>
                <w:szCs w:val="24"/>
                <w:highlight w:val="none"/>
              </w:rPr>
              <w:t>.</w:t>
            </w:r>
            <w:r>
              <w:rPr>
                <w:rFonts w:hint="eastAsia" w:asciiTheme="minorEastAsia" w:hAnsiTheme="minorEastAsia" w:eastAsiaTheme="minorEastAsia" w:cstheme="minorEastAsia"/>
                <w:b w:val="0"/>
                <w:bCs w:val="0"/>
                <w:color w:val="auto"/>
                <w:sz w:val="24"/>
                <w:szCs w:val="24"/>
                <w:highlight w:val="none"/>
              </w:rPr>
              <w:t>预防性维护的总结及建议；</w:t>
            </w:r>
          </w:p>
          <w:p w14:paraId="6875F820">
            <w:pPr>
              <w:keepNext w:val="0"/>
              <w:keepLines w:val="0"/>
              <w:pageBreakBefore w:val="0"/>
              <w:numPr>
                <w:ilvl w:val="0"/>
                <w:numId w:val="0"/>
              </w:numPr>
              <w:kinsoku/>
              <w:overflowPunct/>
              <w:topLinePunct w:val="0"/>
              <w:autoSpaceDE/>
              <w:autoSpaceDN/>
              <w:bidi w:val="0"/>
              <w:adjustRightInd/>
              <w:snapToGrid/>
              <w:spacing w:line="480" w:lineRule="exact"/>
              <w:ind w:left="0" w:firstLine="482" w:firstLineChars="200"/>
              <w:jc w:val="left"/>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kern w:val="0"/>
                <w:sz w:val="24"/>
                <w:szCs w:val="24"/>
                <w:highlight w:val="none"/>
                <w:lang w:val="en-US" w:eastAsia="zh-CN"/>
              </w:rPr>
              <w:t>五、</w:t>
            </w:r>
            <w:r>
              <w:rPr>
                <w:rFonts w:hint="eastAsia" w:asciiTheme="minorEastAsia" w:hAnsiTheme="minorEastAsia" w:eastAsiaTheme="minorEastAsia" w:cstheme="minorEastAsia"/>
                <w:b/>
                <w:color w:val="auto"/>
                <w:kern w:val="0"/>
                <w:sz w:val="24"/>
                <w:szCs w:val="24"/>
                <w:highlight w:val="none"/>
              </w:rPr>
              <w:t>软件支持服务</w:t>
            </w:r>
          </w:p>
          <w:p w14:paraId="38761840">
            <w:pPr>
              <w:keepNext w:val="0"/>
              <w:keepLines w:val="0"/>
              <w:pageBreakBefore w:val="0"/>
              <w:kinsoku/>
              <w:overflowPunct/>
              <w:topLinePunct w:val="0"/>
              <w:bidi w:val="0"/>
              <w:snapToGrid/>
              <w:spacing w:line="48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为保证多云监管平台系统安全、高效地运行，</w:t>
            </w:r>
            <w:r>
              <w:rPr>
                <w:rFonts w:hint="eastAsia" w:asciiTheme="minorEastAsia" w:hAnsiTheme="minorEastAsia" w:eastAsiaTheme="minorEastAsia" w:cstheme="minorEastAsia"/>
                <w:color w:val="auto"/>
                <w:sz w:val="24"/>
                <w:szCs w:val="24"/>
                <w:highlight w:val="none"/>
              </w:rPr>
              <w:t>中标</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应</w:t>
            </w:r>
            <w:r>
              <w:rPr>
                <w:rFonts w:hint="eastAsia" w:asciiTheme="minorEastAsia" w:hAnsiTheme="minorEastAsia" w:eastAsiaTheme="minorEastAsia" w:cstheme="minorEastAsia"/>
                <w:color w:val="auto"/>
                <w:sz w:val="24"/>
                <w:szCs w:val="24"/>
                <w:highlight w:val="none"/>
                <w:lang w:eastAsia="zh-CN"/>
              </w:rPr>
              <w:t>做好多云监管平台的代码、技术</w:t>
            </w:r>
            <w:r>
              <w:rPr>
                <w:rFonts w:hint="eastAsia" w:asciiTheme="minorEastAsia" w:hAnsiTheme="minorEastAsia" w:eastAsiaTheme="minorEastAsia" w:cstheme="minorEastAsia"/>
                <w:color w:val="auto"/>
                <w:sz w:val="24"/>
                <w:szCs w:val="24"/>
                <w:highlight w:val="none"/>
                <w:lang w:val="en-US" w:eastAsia="zh-CN"/>
              </w:rPr>
              <w:t>文档交接工作，</w:t>
            </w:r>
            <w:r>
              <w:rPr>
                <w:rFonts w:hint="eastAsia" w:asciiTheme="minorEastAsia" w:hAnsiTheme="minorEastAsia" w:eastAsiaTheme="minorEastAsia" w:cstheme="minorEastAsia"/>
                <w:color w:val="auto"/>
                <w:sz w:val="24"/>
                <w:szCs w:val="24"/>
                <w:highlight w:val="none"/>
              </w:rPr>
              <w:t>提供软件支持服务，包括服务保障体系和服务保障相关内容，针对系统软件如何进行运维和安全保障，保证系统的稳定性、可用性和安全性。</w:t>
            </w:r>
          </w:p>
          <w:p w14:paraId="4F9157BE">
            <w:pPr>
              <w:keepNext w:val="0"/>
              <w:keepLines w:val="0"/>
              <w:pageBreakBefore w:val="0"/>
              <w:numPr>
                <w:ilvl w:val="0"/>
                <w:numId w:val="0"/>
              </w:numPr>
              <w:kinsoku/>
              <w:overflowPunct/>
              <w:topLinePunct w:val="0"/>
              <w:autoSpaceDE/>
              <w:autoSpaceDN/>
              <w:bidi w:val="0"/>
              <w:adjustRightInd/>
              <w:snapToGrid/>
              <w:spacing w:line="480" w:lineRule="exact"/>
              <w:ind w:left="0" w:firstLine="482" w:firstLineChars="200"/>
              <w:jc w:val="left"/>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lang w:val="en-US" w:eastAsia="zh-CN"/>
              </w:rPr>
              <w:t>六、</w:t>
            </w:r>
            <w:r>
              <w:rPr>
                <w:rFonts w:hint="eastAsia" w:asciiTheme="minorEastAsia" w:hAnsiTheme="minorEastAsia" w:eastAsiaTheme="minorEastAsia" w:cstheme="minorEastAsia"/>
                <w:b/>
                <w:color w:val="auto"/>
                <w:kern w:val="0"/>
                <w:sz w:val="24"/>
                <w:szCs w:val="24"/>
                <w:highlight w:val="none"/>
              </w:rPr>
              <w:t>性能调优</w:t>
            </w:r>
          </w:p>
          <w:p w14:paraId="406D2A0A">
            <w:pPr>
              <w:keepNext w:val="0"/>
              <w:keepLines w:val="0"/>
              <w:pageBreakBefore w:val="0"/>
              <w:kinsoku/>
              <w:overflowPunct/>
              <w:topLinePunct w:val="0"/>
              <w:bidi w:val="0"/>
              <w:snapToGrid/>
              <w:spacing w:line="48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多云监管平台升级之后，针对其进行安全可靠环境下性能优化，运行维护系统主要配合内容包括：</w:t>
            </w:r>
          </w:p>
          <w:p w14:paraId="6F8F2931">
            <w:pPr>
              <w:keepNext w:val="0"/>
              <w:keepLines w:val="0"/>
              <w:pageBreakBefore w:val="0"/>
              <w:kinsoku/>
              <w:overflowPunct/>
              <w:topLinePunct w:val="0"/>
              <w:bidi w:val="0"/>
              <w:snapToGrid/>
              <w:spacing w:line="48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对系统进行性能监控，根据监控结果中发现的性能问题分析；</w:t>
            </w:r>
          </w:p>
          <w:p w14:paraId="3D7FB10C">
            <w:pPr>
              <w:keepNext w:val="0"/>
              <w:keepLines w:val="0"/>
              <w:pageBreakBefore w:val="0"/>
              <w:kinsoku/>
              <w:overflowPunct/>
              <w:topLinePunct w:val="0"/>
              <w:bidi w:val="0"/>
              <w:snapToGrid/>
              <w:spacing w:line="48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对各个系统功能模块的运行效率、性能进行分析；根据分析结果进行程序优化、参数调整；</w:t>
            </w:r>
          </w:p>
          <w:p w14:paraId="3846C7F4">
            <w:pPr>
              <w:keepNext w:val="0"/>
              <w:keepLines w:val="0"/>
              <w:pageBreakBefore w:val="0"/>
              <w:kinsoku/>
              <w:overflowPunct/>
              <w:topLinePunct w:val="0"/>
              <w:bidi w:val="0"/>
              <w:snapToGrid/>
              <w:spacing w:line="48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增加用户、增加路由，管理平台的监控配合。</w:t>
            </w:r>
          </w:p>
          <w:p w14:paraId="6E23108A">
            <w:pPr>
              <w:keepNext w:val="0"/>
              <w:keepLines w:val="0"/>
              <w:pageBreakBefore w:val="0"/>
              <w:numPr>
                <w:ilvl w:val="0"/>
                <w:numId w:val="0"/>
              </w:numPr>
              <w:kinsoku/>
              <w:overflowPunct/>
              <w:topLinePunct w:val="0"/>
              <w:autoSpaceDE/>
              <w:autoSpaceDN/>
              <w:bidi w:val="0"/>
              <w:adjustRightInd/>
              <w:snapToGrid/>
              <w:spacing w:line="480" w:lineRule="exact"/>
              <w:ind w:left="0" w:firstLine="482" w:firstLineChars="200"/>
              <w:jc w:val="left"/>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kern w:val="0"/>
                <w:sz w:val="24"/>
                <w:szCs w:val="24"/>
                <w:highlight w:val="none"/>
                <w:lang w:val="en-US" w:eastAsia="zh-CN"/>
              </w:rPr>
              <w:t>七、</w:t>
            </w:r>
            <w:r>
              <w:rPr>
                <w:rFonts w:hint="eastAsia" w:asciiTheme="minorEastAsia" w:hAnsiTheme="minorEastAsia" w:eastAsiaTheme="minorEastAsia" w:cstheme="minorEastAsia"/>
                <w:b/>
                <w:color w:val="auto"/>
                <w:kern w:val="0"/>
                <w:sz w:val="24"/>
                <w:szCs w:val="24"/>
                <w:highlight w:val="none"/>
              </w:rPr>
              <w:t>技术咨询服务</w:t>
            </w:r>
          </w:p>
          <w:p w14:paraId="6D22D845">
            <w:pPr>
              <w:keepNext w:val="0"/>
              <w:keepLines w:val="0"/>
              <w:pageBreakBefore w:val="0"/>
              <w:kinsoku/>
              <w:overflowPunct/>
              <w:topLinePunct w:val="0"/>
              <w:bidi w:val="0"/>
              <w:snapToGrid/>
              <w:spacing w:line="48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中标</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应根据实际情况提供现场技术咨询、电话技术咨询和网络技术咨询等多种技术咨询服务方式，内容涵盖系统使用、系统服务保障、管理办法和前沿技术多个技术范畴的咨询服务。</w:t>
            </w:r>
          </w:p>
          <w:p w14:paraId="63251B96">
            <w:pPr>
              <w:keepNext w:val="0"/>
              <w:keepLines w:val="0"/>
              <w:pageBreakBefore w:val="0"/>
              <w:numPr>
                <w:ilvl w:val="0"/>
                <w:numId w:val="0"/>
              </w:numPr>
              <w:kinsoku/>
              <w:overflowPunct/>
              <w:topLinePunct w:val="0"/>
              <w:autoSpaceDE/>
              <w:autoSpaceDN/>
              <w:bidi w:val="0"/>
              <w:adjustRightInd/>
              <w:snapToGrid/>
              <w:spacing w:line="480" w:lineRule="exact"/>
              <w:ind w:left="0" w:firstLine="482" w:firstLineChars="200"/>
              <w:jc w:val="left"/>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kern w:val="0"/>
                <w:sz w:val="24"/>
                <w:szCs w:val="24"/>
                <w:highlight w:val="none"/>
                <w:lang w:val="en-US" w:eastAsia="zh-CN"/>
              </w:rPr>
              <w:t>八、</w:t>
            </w:r>
            <w:r>
              <w:rPr>
                <w:rFonts w:hint="eastAsia" w:asciiTheme="minorEastAsia" w:hAnsiTheme="minorEastAsia" w:eastAsiaTheme="minorEastAsia" w:cstheme="minorEastAsia"/>
                <w:b/>
                <w:color w:val="auto"/>
                <w:kern w:val="0"/>
                <w:sz w:val="24"/>
                <w:szCs w:val="24"/>
                <w:highlight w:val="none"/>
              </w:rPr>
              <w:t>预防性维护服务</w:t>
            </w:r>
          </w:p>
          <w:p w14:paraId="071E6FA5">
            <w:pPr>
              <w:keepNext w:val="0"/>
              <w:keepLines w:val="0"/>
              <w:pageBreakBefore w:val="0"/>
              <w:kinsoku/>
              <w:overflowPunct/>
              <w:topLinePunct w:val="0"/>
              <w:bidi w:val="0"/>
              <w:snapToGrid/>
              <w:spacing w:line="48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中标</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应定期对系统和新设备进行巡检，提出有关系统调整、优化、故障预防等建议，及时发现潜在的问题，提高系统的运行效率。</w:t>
            </w:r>
          </w:p>
          <w:p w14:paraId="6677E84C">
            <w:pPr>
              <w:keepNext w:val="0"/>
              <w:keepLines w:val="0"/>
              <w:pageBreakBefore w:val="0"/>
              <w:numPr>
                <w:ilvl w:val="0"/>
                <w:numId w:val="0"/>
              </w:numPr>
              <w:kinsoku/>
              <w:overflowPunct/>
              <w:topLinePunct w:val="0"/>
              <w:autoSpaceDE/>
              <w:autoSpaceDN/>
              <w:bidi w:val="0"/>
              <w:adjustRightInd/>
              <w:snapToGrid/>
              <w:spacing w:line="480" w:lineRule="exact"/>
              <w:ind w:left="0" w:firstLine="482" w:firstLineChars="200"/>
              <w:jc w:val="left"/>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kern w:val="0"/>
                <w:sz w:val="24"/>
                <w:szCs w:val="24"/>
                <w:highlight w:val="none"/>
                <w:lang w:val="en-US" w:eastAsia="zh-CN"/>
              </w:rPr>
              <w:t>九、</w:t>
            </w:r>
            <w:r>
              <w:rPr>
                <w:rFonts w:hint="eastAsia" w:asciiTheme="minorEastAsia" w:hAnsiTheme="minorEastAsia" w:eastAsiaTheme="minorEastAsia" w:cstheme="minorEastAsia"/>
                <w:b/>
                <w:color w:val="auto"/>
                <w:kern w:val="0"/>
                <w:sz w:val="24"/>
                <w:szCs w:val="24"/>
                <w:highlight w:val="none"/>
              </w:rPr>
              <w:t>改正性维护</w:t>
            </w:r>
          </w:p>
          <w:p w14:paraId="3CE61A81">
            <w:pPr>
              <w:keepNext w:val="0"/>
              <w:keepLines w:val="0"/>
              <w:pageBreakBefore w:val="0"/>
              <w:kinsoku/>
              <w:overflowPunct/>
              <w:topLinePunct w:val="0"/>
              <w:bidi w:val="0"/>
              <w:snapToGrid/>
              <w:spacing w:line="48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用户在使用系统时，发现了潜在的bug应详细记录发生该bug时的运行情况和环境特性并报告给软件开发组，软件开发组将</w:t>
            </w:r>
            <w:r>
              <w:rPr>
                <w:rFonts w:hint="eastAsia" w:asciiTheme="minorEastAsia" w:hAnsiTheme="minorEastAsia" w:eastAsiaTheme="minorEastAsia" w:cstheme="minorEastAsia"/>
                <w:color w:val="auto"/>
                <w:sz w:val="24"/>
                <w:szCs w:val="24"/>
                <w:highlight w:val="none"/>
                <w:lang w:val="en-US" w:eastAsia="zh-CN"/>
              </w:rPr>
              <w:t>提供</w:t>
            </w:r>
            <w:r>
              <w:rPr>
                <w:rFonts w:hint="eastAsia" w:asciiTheme="minorEastAsia" w:hAnsiTheme="minorEastAsia" w:eastAsiaTheme="minorEastAsia" w:cstheme="minorEastAsia"/>
                <w:color w:val="auto"/>
                <w:sz w:val="24"/>
                <w:szCs w:val="24"/>
                <w:highlight w:val="none"/>
              </w:rPr>
              <w:t>服务并解决用户提出的问题。</w:t>
            </w:r>
          </w:p>
          <w:p w14:paraId="6A4CEB7D">
            <w:pPr>
              <w:keepNext w:val="0"/>
              <w:keepLines w:val="0"/>
              <w:pageBreakBefore w:val="0"/>
              <w:numPr>
                <w:ilvl w:val="0"/>
                <w:numId w:val="0"/>
              </w:numPr>
              <w:kinsoku/>
              <w:overflowPunct/>
              <w:topLinePunct w:val="0"/>
              <w:autoSpaceDE/>
              <w:autoSpaceDN/>
              <w:bidi w:val="0"/>
              <w:adjustRightInd/>
              <w:snapToGrid/>
              <w:spacing w:line="480" w:lineRule="exact"/>
              <w:ind w:left="0" w:firstLine="482" w:firstLineChars="200"/>
              <w:jc w:val="left"/>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kern w:val="0"/>
                <w:sz w:val="24"/>
                <w:szCs w:val="24"/>
                <w:highlight w:val="none"/>
                <w:lang w:val="en-US" w:eastAsia="zh-CN"/>
              </w:rPr>
              <w:t>十、</w:t>
            </w:r>
            <w:r>
              <w:rPr>
                <w:rFonts w:hint="eastAsia" w:asciiTheme="minorEastAsia" w:hAnsiTheme="minorEastAsia" w:eastAsiaTheme="minorEastAsia" w:cstheme="minorEastAsia"/>
                <w:b/>
                <w:color w:val="auto"/>
                <w:kern w:val="0"/>
                <w:sz w:val="24"/>
                <w:szCs w:val="24"/>
                <w:highlight w:val="none"/>
              </w:rPr>
              <w:t>维修性维护服务</w:t>
            </w:r>
          </w:p>
          <w:p w14:paraId="354DB2D9">
            <w:pPr>
              <w:keepNext w:val="0"/>
              <w:keepLines w:val="0"/>
              <w:pageBreakBefore w:val="0"/>
              <w:kinsoku/>
              <w:overflowPunct/>
              <w:topLinePunct w:val="0"/>
              <w:bidi w:val="0"/>
              <w:snapToGrid/>
              <w:spacing w:line="48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当一些不可预知的情况时，当系统的设备、系统软件、应用软件等发生了故障，</w:t>
            </w:r>
            <w:r>
              <w:rPr>
                <w:rFonts w:hint="eastAsia" w:asciiTheme="minorEastAsia" w:hAnsiTheme="minorEastAsia" w:eastAsiaTheme="minorEastAsia" w:cstheme="minorEastAsia"/>
                <w:color w:val="auto"/>
                <w:sz w:val="24"/>
                <w:szCs w:val="24"/>
                <w:highlight w:val="none"/>
                <w:lang w:eastAsia="zh-CN"/>
              </w:rPr>
              <w:t>中标</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须</w:t>
            </w:r>
            <w:r>
              <w:rPr>
                <w:rFonts w:hint="eastAsia" w:asciiTheme="minorEastAsia" w:hAnsiTheme="minorEastAsia" w:eastAsiaTheme="minorEastAsia" w:cstheme="minorEastAsia"/>
                <w:color w:val="auto"/>
                <w:sz w:val="24"/>
                <w:szCs w:val="24"/>
                <w:highlight w:val="none"/>
                <w:lang w:val="en-US" w:eastAsia="zh-CN"/>
              </w:rPr>
              <w:t>尽快</w:t>
            </w:r>
            <w:r>
              <w:rPr>
                <w:rFonts w:hint="eastAsia" w:asciiTheme="minorEastAsia" w:hAnsiTheme="minorEastAsia" w:eastAsiaTheme="minorEastAsia" w:cstheme="minorEastAsia"/>
                <w:color w:val="auto"/>
                <w:sz w:val="24"/>
                <w:szCs w:val="24"/>
                <w:highlight w:val="none"/>
              </w:rPr>
              <w:t>使系统恢复正常运行。</w:t>
            </w:r>
          </w:p>
          <w:p w14:paraId="35968477">
            <w:pPr>
              <w:keepNext w:val="0"/>
              <w:keepLines w:val="0"/>
              <w:pageBreakBefore w:val="0"/>
              <w:numPr>
                <w:ilvl w:val="0"/>
                <w:numId w:val="0"/>
              </w:numPr>
              <w:kinsoku/>
              <w:overflowPunct/>
              <w:topLinePunct w:val="0"/>
              <w:autoSpaceDE/>
              <w:autoSpaceDN/>
              <w:bidi w:val="0"/>
              <w:adjustRightInd/>
              <w:snapToGrid/>
              <w:spacing w:line="480" w:lineRule="exact"/>
              <w:ind w:left="0" w:firstLine="482" w:firstLineChars="200"/>
              <w:jc w:val="left"/>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kern w:val="0"/>
                <w:sz w:val="24"/>
                <w:szCs w:val="24"/>
                <w:highlight w:val="none"/>
                <w:lang w:val="en-US" w:eastAsia="zh-CN"/>
              </w:rPr>
              <w:t>十一、</w:t>
            </w:r>
            <w:r>
              <w:rPr>
                <w:rFonts w:hint="eastAsia" w:asciiTheme="minorEastAsia" w:hAnsiTheme="minorEastAsia" w:eastAsiaTheme="minorEastAsia" w:cstheme="minorEastAsia"/>
                <w:b/>
                <w:color w:val="auto"/>
                <w:kern w:val="0"/>
                <w:sz w:val="24"/>
                <w:szCs w:val="24"/>
                <w:highlight w:val="none"/>
              </w:rPr>
              <w:t>重大事件保障服务</w:t>
            </w:r>
          </w:p>
          <w:p w14:paraId="6257E6D4">
            <w:pPr>
              <w:keepNext w:val="0"/>
              <w:keepLines w:val="0"/>
              <w:pageBreakBefore w:val="0"/>
              <w:kinsoku/>
              <w:overflowPunct/>
              <w:topLinePunct w:val="0"/>
              <w:bidi w:val="0"/>
              <w:snapToGrid/>
              <w:spacing w:line="48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为了保障重大事件（重大节日、重大活动及应急事件）时期用户系统的稳定运行，保障采购人日常工作的顺利进行，应付</w:t>
            </w:r>
            <w:r>
              <w:rPr>
                <w:rFonts w:hint="eastAsia" w:asciiTheme="minorEastAsia" w:hAnsiTheme="minorEastAsia" w:eastAsiaTheme="minorEastAsia" w:cstheme="minorEastAsia"/>
                <w:color w:val="auto"/>
                <w:sz w:val="24"/>
                <w:szCs w:val="24"/>
                <w:highlight w:val="none"/>
              </w:rPr>
              <w:t>中标</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应提供重大事件保障及重点时段保障服务。</w:t>
            </w:r>
          </w:p>
          <w:p w14:paraId="7AFD7CAE">
            <w:pPr>
              <w:keepNext w:val="0"/>
              <w:keepLines w:val="0"/>
              <w:pageBreakBefore w:val="0"/>
              <w:kinsoku/>
              <w:overflowPunct/>
              <w:topLinePunct w:val="0"/>
              <w:bidi w:val="0"/>
              <w:snapToGrid/>
              <w:spacing w:line="48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重大节日是指当年国务院公布的公共假日。</w:t>
            </w:r>
          </w:p>
          <w:p w14:paraId="5A37C5A5">
            <w:pPr>
              <w:keepNext w:val="0"/>
              <w:keepLines w:val="0"/>
              <w:pageBreakBefore w:val="0"/>
              <w:kinsoku/>
              <w:overflowPunct/>
              <w:topLinePunct w:val="0"/>
              <w:bidi w:val="0"/>
              <w:snapToGrid/>
              <w:spacing w:line="48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重大活动是指用户会议和当年非特定的重要活动或事件（设备或线路大修等）。</w:t>
            </w:r>
          </w:p>
          <w:p w14:paraId="3B8B3D98">
            <w:pPr>
              <w:keepNext w:val="0"/>
              <w:keepLines w:val="0"/>
              <w:pageBreakBefore w:val="0"/>
              <w:kinsoku/>
              <w:overflowPunct/>
              <w:topLinePunct w:val="0"/>
              <w:bidi w:val="0"/>
              <w:snapToGrid/>
              <w:spacing w:line="48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应急事件是指机房环境和用户使用现场等区域的应急状态。重大事件保障服务的主要工作内容包括但不限于以下内容：</w:t>
            </w:r>
          </w:p>
          <w:p w14:paraId="0568D399">
            <w:pPr>
              <w:keepNext w:val="0"/>
              <w:keepLines w:val="0"/>
              <w:pageBreakBefore w:val="0"/>
              <w:kinsoku/>
              <w:overflowPunct/>
              <w:topLinePunct w:val="0"/>
              <w:bidi w:val="0"/>
              <w:snapToGrid/>
              <w:spacing w:line="48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在重大节日和重大政治活动及事件前，对设备及系统进行全面深度巡检，并提交巡检报告，对发现的问题进行解决。</w:t>
            </w:r>
          </w:p>
          <w:p w14:paraId="750935C4">
            <w:pPr>
              <w:keepNext w:val="0"/>
              <w:keepLines w:val="0"/>
              <w:pageBreakBefore w:val="0"/>
              <w:kinsoku/>
              <w:overflowPunct/>
              <w:topLinePunct w:val="0"/>
              <w:bidi w:val="0"/>
              <w:snapToGrid/>
              <w:spacing w:line="48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在重大节日和重大政治活动及事件期间，安排人员提供现场值守服务，提高系统巡检频次，对系统和设备提供维护和保障。</w:t>
            </w:r>
          </w:p>
          <w:p w14:paraId="2C043CDC">
            <w:pPr>
              <w:keepNext w:val="0"/>
              <w:keepLines w:val="0"/>
              <w:pageBreakBefore w:val="0"/>
              <w:kinsoku/>
              <w:overflowPunct/>
              <w:topLinePunct w:val="0"/>
              <w:bidi w:val="0"/>
              <w:snapToGrid/>
              <w:spacing w:line="48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对服务范围内的设备及系统搬迁、割接提供实施方案并提供必要的现场配合工作。</w:t>
            </w:r>
          </w:p>
          <w:p w14:paraId="501236B5">
            <w:pPr>
              <w:keepNext w:val="0"/>
              <w:keepLines w:val="0"/>
              <w:pageBreakBefore w:val="0"/>
              <w:kinsoku/>
              <w:overflowPunct/>
              <w:topLinePunct w:val="0"/>
              <w:bidi w:val="0"/>
              <w:snapToGrid/>
              <w:spacing w:line="48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对服务范围内的新技术提供技术咨询服务。</w:t>
            </w:r>
          </w:p>
          <w:p w14:paraId="3C9C38CF">
            <w:pPr>
              <w:keepNext w:val="0"/>
              <w:keepLines w:val="0"/>
              <w:pageBreakBefore w:val="0"/>
              <w:kinsoku/>
              <w:overflowPunct/>
              <w:topLinePunct w:val="0"/>
              <w:bidi w:val="0"/>
              <w:snapToGrid/>
              <w:spacing w:line="48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重大节日和重大政治活动及事件期间，提供7*24小时</w:t>
            </w:r>
            <w:r>
              <w:rPr>
                <w:rFonts w:hint="eastAsia" w:asciiTheme="minorEastAsia" w:hAnsiTheme="minorEastAsia" w:eastAsiaTheme="minorEastAsia" w:cstheme="minorEastAsia"/>
                <w:color w:val="auto"/>
                <w:sz w:val="24"/>
                <w:szCs w:val="24"/>
                <w:highlight w:val="none"/>
                <w:lang w:val="en-US" w:eastAsia="zh-CN"/>
              </w:rPr>
              <w:t>在线</w:t>
            </w:r>
            <w:r>
              <w:rPr>
                <w:rFonts w:hint="eastAsia" w:asciiTheme="minorEastAsia" w:hAnsiTheme="minorEastAsia" w:eastAsiaTheme="minorEastAsia" w:cstheme="minorEastAsia"/>
                <w:color w:val="auto"/>
                <w:sz w:val="24"/>
                <w:szCs w:val="24"/>
                <w:highlight w:val="none"/>
              </w:rPr>
              <w:t>服务。</w:t>
            </w:r>
          </w:p>
          <w:p w14:paraId="6CD056EC">
            <w:pPr>
              <w:keepNext w:val="0"/>
              <w:keepLines w:val="0"/>
              <w:pageBreakBefore w:val="0"/>
              <w:numPr>
                <w:ilvl w:val="0"/>
                <w:numId w:val="0"/>
              </w:numPr>
              <w:kinsoku/>
              <w:overflowPunct/>
              <w:topLinePunct w:val="0"/>
              <w:autoSpaceDE/>
              <w:autoSpaceDN/>
              <w:bidi w:val="0"/>
              <w:adjustRightInd/>
              <w:snapToGrid/>
              <w:spacing w:line="480" w:lineRule="exact"/>
              <w:ind w:left="0" w:firstLine="482" w:firstLineChars="200"/>
              <w:jc w:val="left"/>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lang w:val="en-US" w:eastAsia="zh-CN"/>
              </w:rPr>
              <w:t>十二、</w:t>
            </w:r>
            <w:r>
              <w:rPr>
                <w:rFonts w:hint="eastAsia" w:asciiTheme="minorEastAsia" w:hAnsiTheme="minorEastAsia" w:eastAsiaTheme="minorEastAsia" w:cstheme="minorEastAsia"/>
                <w:b/>
                <w:color w:val="auto"/>
                <w:kern w:val="0"/>
                <w:sz w:val="24"/>
                <w:szCs w:val="24"/>
                <w:highlight w:val="none"/>
              </w:rPr>
              <w:t>系统性能评估服务</w:t>
            </w:r>
          </w:p>
          <w:p w14:paraId="436C30CE">
            <w:pPr>
              <w:keepNext w:val="0"/>
              <w:keepLines w:val="0"/>
              <w:pageBreakBefore w:val="0"/>
              <w:kinsoku/>
              <w:overflowPunct/>
              <w:topLinePunct w:val="0"/>
              <w:bidi w:val="0"/>
              <w:snapToGrid/>
              <w:spacing w:line="48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中标</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应定期为采购人提供系统性能分析优化服务，在系统出现性能问题或业务繁忙导致性能出现瓶颈时，为采购人提供整体性能评估服务，评估范围包括系统、软件、网络带宽等，根据诊断得出的性能问题，编制可执行的性能调优方案。</w:t>
            </w:r>
          </w:p>
          <w:p w14:paraId="2606F79D">
            <w:pPr>
              <w:keepNext w:val="0"/>
              <w:keepLines w:val="0"/>
              <w:pageBreakBefore w:val="0"/>
              <w:numPr>
                <w:ilvl w:val="0"/>
                <w:numId w:val="0"/>
              </w:numPr>
              <w:kinsoku/>
              <w:overflowPunct/>
              <w:topLinePunct w:val="0"/>
              <w:autoSpaceDE/>
              <w:autoSpaceDN/>
              <w:bidi w:val="0"/>
              <w:adjustRightInd/>
              <w:snapToGrid/>
              <w:spacing w:line="480" w:lineRule="exact"/>
              <w:ind w:firstLine="482" w:firstLineChars="200"/>
              <w:jc w:val="left"/>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kern w:val="0"/>
                <w:sz w:val="24"/>
                <w:szCs w:val="24"/>
                <w:highlight w:val="none"/>
                <w:lang w:val="en-US" w:eastAsia="zh-CN"/>
              </w:rPr>
              <w:t>十三</w:t>
            </w:r>
            <w:r>
              <w:rPr>
                <w:rFonts w:hint="eastAsia" w:asciiTheme="minorEastAsia" w:hAnsiTheme="minorEastAsia" w:eastAsiaTheme="minorEastAsia" w:cstheme="minorEastAsia"/>
                <w:b/>
                <w:color w:val="auto"/>
                <w:kern w:val="0"/>
                <w:sz w:val="24"/>
                <w:szCs w:val="24"/>
                <w:highlight w:val="none"/>
              </w:rPr>
              <w:t>、运维服务考核</w:t>
            </w:r>
          </w:p>
          <w:p w14:paraId="64BD84F3">
            <w:pPr>
              <w:keepNext w:val="0"/>
              <w:keepLines w:val="0"/>
              <w:pageBreakBefore w:val="0"/>
              <w:kinsoku/>
              <w:overflowPunct/>
              <w:topLinePunct w:val="0"/>
              <w:bidi w:val="0"/>
              <w:snapToGrid/>
              <w:spacing w:line="48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为了保证</w:t>
            </w:r>
            <w:r>
              <w:rPr>
                <w:rFonts w:hint="eastAsia" w:asciiTheme="minorEastAsia" w:hAnsiTheme="minorEastAsia" w:eastAsiaTheme="minorEastAsia" w:cstheme="minorEastAsia"/>
                <w:color w:val="auto"/>
                <w:sz w:val="24"/>
                <w:szCs w:val="24"/>
                <w:highlight w:val="none"/>
                <w:lang w:eastAsia="zh-CN"/>
              </w:rPr>
              <w:t>系统</w:t>
            </w:r>
            <w:r>
              <w:rPr>
                <w:rFonts w:hint="eastAsia" w:asciiTheme="minorEastAsia" w:hAnsiTheme="minorEastAsia" w:eastAsiaTheme="minorEastAsia" w:cstheme="minorEastAsia"/>
                <w:color w:val="auto"/>
                <w:sz w:val="24"/>
                <w:szCs w:val="24"/>
                <w:highlight w:val="none"/>
              </w:rPr>
              <w:t>平台提供的服务具备可靠性、稳定性，降低</w:t>
            </w:r>
            <w:r>
              <w:rPr>
                <w:rFonts w:hint="eastAsia" w:asciiTheme="minorEastAsia" w:hAnsiTheme="minorEastAsia" w:eastAsiaTheme="minorEastAsia" w:cstheme="minorEastAsia"/>
                <w:color w:val="auto"/>
                <w:sz w:val="24"/>
                <w:szCs w:val="24"/>
                <w:highlight w:val="none"/>
              </w:rPr>
              <w:t>中标</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过失行为对</w:t>
            </w:r>
            <w:r>
              <w:rPr>
                <w:rFonts w:hint="eastAsia" w:asciiTheme="minorEastAsia" w:hAnsiTheme="minorEastAsia" w:eastAsiaTheme="minorEastAsia" w:cstheme="minorEastAsia"/>
                <w:color w:val="auto"/>
                <w:sz w:val="24"/>
                <w:szCs w:val="24"/>
                <w:highlight w:val="none"/>
                <w:lang w:eastAsia="zh-CN"/>
              </w:rPr>
              <w:t>多云监管平台</w:t>
            </w:r>
            <w:r>
              <w:rPr>
                <w:rFonts w:hint="eastAsia" w:asciiTheme="minorEastAsia" w:hAnsiTheme="minorEastAsia" w:eastAsiaTheme="minorEastAsia" w:cstheme="minorEastAsia"/>
                <w:color w:val="auto"/>
                <w:sz w:val="24"/>
                <w:szCs w:val="24"/>
                <w:highlight w:val="none"/>
              </w:rPr>
              <w:t>的影响和风险，对</w:t>
            </w:r>
            <w:r>
              <w:rPr>
                <w:rFonts w:hint="eastAsia" w:asciiTheme="minorEastAsia" w:hAnsiTheme="minorEastAsia" w:eastAsiaTheme="minorEastAsia" w:cstheme="minorEastAsia"/>
                <w:color w:val="auto"/>
                <w:sz w:val="24"/>
                <w:szCs w:val="24"/>
                <w:highlight w:val="none"/>
              </w:rPr>
              <w:t>中标</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的服务进行考核，并根据考核情况进行支付合同款。</w:t>
            </w:r>
          </w:p>
          <w:p w14:paraId="453EB817">
            <w:pPr>
              <w:keepNext w:val="0"/>
              <w:keepLines w:val="0"/>
              <w:pageBreakBefore w:val="0"/>
              <w:kinsoku/>
              <w:overflowPunct/>
              <w:topLinePunct w:val="0"/>
              <w:bidi w:val="0"/>
              <w:snapToGrid/>
              <w:spacing w:line="480" w:lineRule="exact"/>
              <w:ind w:firstLine="482" w:firstLineChars="200"/>
              <w:jc w:val="lef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1、指标定义</w:t>
            </w:r>
          </w:p>
          <w:p w14:paraId="0B1A2D7A">
            <w:pPr>
              <w:keepNext w:val="0"/>
              <w:keepLines w:val="0"/>
              <w:pageBreakBefore w:val="0"/>
              <w:kinsoku/>
              <w:overflowPunct/>
              <w:topLinePunct w:val="0"/>
              <w:bidi w:val="0"/>
              <w:snapToGrid/>
              <w:spacing w:line="48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（1）计划内停机时间</w:t>
            </w:r>
          </w:p>
          <w:p w14:paraId="0E061F47">
            <w:pPr>
              <w:keepNext w:val="0"/>
              <w:keepLines w:val="0"/>
              <w:pageBreakBefore w:val="0"/>
              <w:kinsoku/>
              <w:overflowPunct/>
              <w:topLinePunct w:val="0"/>
              <w:bidi w:val="0"/>
              <w:snapToGrid/>
              <w:spacing w:line="48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中标</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提前通知且经采购人认定的，为</w:t>
            </w:r>
            <w:r>
              <w:rPr>
                <w:rFonts w:hint="eastAsia" w:asciiTheme="minorEastAsia" w:hAnsiTheme="minorEastAsia" w:eastAsiaTheme="minorEastAsia" w:cstheme="minorEastAsia"/>
                <w:color w:val="auto"/>
                <w:sz w:val="24"/>
                <w:szCs w:val="24"/>
                <w:highlight w:val="none"/>
                <w:lang w:eastAsia="zh-CN"/>
              </w:rPr>
              <w:t>多云监管</w:t>
            </w:r>
            <w:r>
              <w:rPr>
                <w:rFonts w:hint="eastAsia" w:asciiTheme="minorEastAsia" w:hAnsiTheme="minorEastAsia" w:eastAsiaTheme="minorEastAsia" w:cstheme="minorEastAsia"/>
                <w:color w:val="auto"/>
                <w:sz w:val="24"/>
                <w:szCs w:val="24"/>
                <w:highlight w:val="none"/>
              </w:rPr>
              <w:t>平台正常升级、更新、维护导致的服务停机。</w:t>
            </w:r>
          </w:p>
          <w:p w14:paraId="50882A58">
            <w:pPr>
              <w:keepNext w:val="0"/>
              <w:keepLines w:val="0"/>
              <w:pageBreakBefore w:val="0"/>
              <w:kinsoku/>
              <w:overflowPunct/>
              <w:topLinePunct w:val="0"/>
              <w:bidi w:val="0"/>
              <w:snapToGrid/>
              <w:spacing w:line="48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（2）服务失效时间</w:t>
            </w:r>
          </w:p>
          <w:p w14:paraId="31EDA94C">
            <w:pPr>
              <w:keepNext w:val="0"/>
              <w:keepLines w:val="0"/>
              <w:pageBreakBefore w:val="0"/>
              <w:kinsoku/>
              <w:overflowPunct/>
              <w:topLinePunct w:val="0"/>
              <w:bidi w:val="0"/>
              <w:snapToGrid/>
              <w:spacing w:line="48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中标</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负责维护的</w:t>
            </w:r>
            <w:r>
              <w:rPr>
                <w:rFonts w:hint="eastAsia" w:asciiTheme="minorEastAsia" w:hAnsiTheme="minorEastAsia" w:eastAsiaTheme="minorEastAsia" w:cstheme="minorEastAsia"/>
                <w:color w:val="auto"/>
                <w:sz w:val="24"/>
                <w:szCs w:val="24"/>
                <w:highlight w:val="none"/>
                <w:lang w:eastAsia="zh-CN"/>
              </w:rPr>
              <w:t>多云监管平台相关的</w:t>
            </w:r>
            <w:r>
              <w:rPr>
                <w:rFonts w:hint="eastAsia" w:asciiTheme="minorEastAsia" w:hAnsiTheme="minorEastAsia" w:eastAsiaTheme="minorEastAsia" w:cstheme="minorEastAsia"/>
                <w:color w:val="auto"/>
                <w:sz w:val="24"/>
                <w:szCs w:val="24"/>
                <w:highlight w:val="none"/>
              </w:rPr>
              <w:t>网络、安全、虚拟机、存储等方面出现的问题引起</w:t>
            </w:r>
            <w:r>
              <w:rPr>
                <w:rFonts w:hint="eastAsia" w:asciiTheme="minorEastAsia" w:hAnsiTheme="minorEastAsia" w:eastAsiaTheme="minorEastAsia" w:cstheme="minorEastAsia"/>
                <w:color w:val="auto"/>
                <w:sz w:val="24"/>
                <w:szCs w:val="24"/>
                <w:highlight w:val="none"/>
                <w:lang w:eastAsia="zh-CN"/>
              </w:rPr>
              <w:t>系统</w:t>
            </w:r>
            <w:r>
              <w:rPr>
                <w:rFonts w:hint="eastAsia" w:asciiTheme="minorEastAsia" w:hAnsiTheme="minorEastAsia" w:eastAsiaTheme="minorEastAsia" w:cstheme="minorEastAsia"/>
                <w:color w:val="auto"/>
                <w:sz w:val="24"/>
                <w:szCs w:val="24"/>
                <w:highlight w:val="none"/>
              </w:rPr>
              <w:t>失效时间，经采购人认定非乙方原因引起的</w:t>
            </w:r>
            <w:r>
              <w:rPr>
                <w:rFonts w:hint="eastAsia" w:asciiTheme="minorEastAsia" w:hAnsiTheme="minorEastAsia" w:eastAsiaTheme="minorEastAsia" w:cstheme="minorEastAsia"/>
                <w:color w:val="auto"/>
                <w:sz w:val="24"/>
                <w:szCs w:val="24"/>
                <w:highlight w:val="none"/>
                <w:lang w:eastAsia="zh-CN"/>
              </w:rPr>
              <w:t>多云监管平台</w:t>
            </w:r>
            <w:r>
              <w:rPr>
                <w:rFonts w:hint="eastAsia" w:asciiTheme="minorEastAsia" w:hAnsiTheme="minorEastAsia" w:eastAsiaTheme="minorEastAsia" w:cstheme="minorEastAsia"/>
                <w:color w:val="auto"/>
                <w:sz w:val="24"/>
                <w:szCs w:val="24"/>
                <w:highlight w:val="none"/>
              </w:rPr>
              <w:t>失效不包含在内。</w:t>
            </w:r>
          </w:p>
          <w:p w14:paraId="557445FD">
            <w:pPr>
              <w:keepNext w:val="0"/>
              <w:keepLines w:val="0"/>
              <w:pageBreakBefore w:val="0"/>
              <w:kinsoku/>
              <w:overflowPunct/>
              <w:topLinePunct w:val="0"/>
              <w:bidi w:val="0"/>
              <w:snapToGrid/>
              <w:spacing w:line="48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（3）正常服务运行时间</w:t>
            </w:r>
          </w:p>
          <w:p w14:paraId="19CE8D27">
            <w:pPr>
              <w:keepNext w:val="0"/>
              <w:keepLines w:val="0"/>
              <w:pageBreakBefore w:val="0"/>
              <w:kinsoku/>
              <w:overflowPunct/>
              <w:topLinePunct w:val="0"/>
              <w:bidi w:val="0"/>
              <w:snapToGrid/>
              <w:spacing w:line="48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当年总运行时间（按365天计算）减去服务失效时间。</w:t>
            </w:r>
          </w:p>
          <w:p w14:paraId="4E66BCD3">
            <w:pPr>
              <w:keepNext w:val="0"/>
              <w:keepLines w:val="0"/>
              <w:pageBreakBefore w:val="0"/>
              <w:kinsoku/>
              <w:overflowPunct/>
              <w:topLinePunct w:val="0"/>
              <w:bidi w:val="0"/>
              <w:snapToGrid/>
              <w:spacing w:line="48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（4）服务可用性</w:t>
            </w:r>
          </w:p>
          <w:p w14:paraId="15A739F8">
            <w:pPr>
              <w:keepNext w:val="0"/>
              <w:keepLines w:val="0"/>
              <w:pageBreakBefore w:val="0"/>
              <w:kinsoku/>
              <w:overflowPunct/>
              <w:topLinePunct w:val="0"/>
              <w:bidi w:val="0"/>
              <w:snapToGrid/>
              <w:spacing w:line="48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正常服务运行时间除以该年总运行时间，即：</w:t>
            </w:r>
          </w:p>
          <w:p w14:paraId="248CE719">
            <w:pPr>
              <w:keepNext w:val="0"/>
              <w:keepLines w:val="0"/>
              <w:pageBreakBefore w:val="0"/>
              <w:kinsoku/>
              <w:overflowPunct/>
              <w:topLinePunct w:val="0"/>
              <w:bidi w:val="0"/>
              <w:snapToGrid/>
              <w:spacing w:line="48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服务可用性=（365×24×60×60秒－失效时间之和（秒））/（365×24×60×60秒）。</w:t>
            </w:r>
          </w:p>
          <w:p w14:paraId="5929DD0E">
            <w:pPr>
              <w:keepNext w:val="0"/>
              <w:keepLines w:val="0"/>
              <w:pageBreakBefore w:val="0"/>
              <w:kinsoku/>
              <w:overflowPunct/>
              <w:topLinePunct w:val="0"/>
              <w:bidi w:val="0"/>
              <w:snapToGrid/>
              <w:spacing w:line="480" w:lineRule="exact"/>
              <w:ind w:firstLine="482" w:firstLineChars="200"/>
              <w:jc w:val="lef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2、指标要求及测量方法</w:t>
            </w:r>
          </w:p>
          <w:p w14:paraId="0A9C84D8">
            <w:pPr>
              <w:keepNext w:val="0"/>
              <w:keepLines w:val="0"/>
              <w:pageBreakBefore w:val="0"/>
              <w:kinsoku/>
              <w:overflowPunct/>
              <w:topLinePunct w:val="0"/>
              <w:bidi w:val="0"/>
              <w:snapToGrid/>
              <w:spacing w:line="48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（1）指标要求</w:t>
            </w:r>
          </w:p>
          <w:p w14:paraId="3085E19B">
            <w:pPr>
              <w:keepNext w:val="0"/>
              <w:keepLines w:val="0"/>
              <w:pageBreakBefore w:val="0"/>
              <w:kinsoku/>
              <w:overflowPunct/>
              <w:topLinePunct w:val="0"/>
              <w:bidi w:val="0"/>
              <w:snapToGrid/>
              <w:spacing w:line="48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rPr>
              <w:t>多云监管平台的服务能力须保证可用性不低于99.99%，即全年失效时间之和不超过365×24×60×0.0001=52</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56分钟。</w:t>
            </w:r>
          </w:p>
          <w:p w14:paraId="5E47C234">
            <w:pPr>
              <w:keepNext w:val="0"/>
              <w:keepLines w:val="0"/>
              <w:pageBreakBefore w:val="0"/>
              <w:kinsoku/>
              <w:overflowPunct/>
              <w:topLinePunct w:val="0"/>
              <w:bidi w:val="0"/>
              <w:snapToGrid/>
              <w:spacing w:line="48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（2）服务考核</w:t>
            </w:r>
          </w:p>
          <w:p w14:paraId="54DB8414">
            <w:pPr>
              <w:keepNext w:val="0"/>
              <w:keepLines w:val="0"/>
              <w:pageBreakBefore w:val="0"/>
              <w:kinsoku/>
              <w:overflowPunct/>
              <w:topLinePunct w:val="0"/>
              <w:bidi w:val="0"/>
              <w:snapToGrid/>
              <w:spacing w:line="48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①每发生1次一般故障，且未能按照时限要求恢复的，扣1%的服务分项中标金额；每发生1次重大事故，且未能按照实现要求恢复的，扣3%的服务分项中标金额；由于</w:t>
            </w:r>
            <w:r>
              <w:rPr>
                <w:rFonts w:hint="eastAsia" w:asciiTheme="minorEastAsia" w:hAnsiTheme="minorEastAsia" w:eastAsiaTheme="minorEastAsia" w:cstheme="minorEastAsia"/>
                <w:color w:val="auto"/>
                <w:sz w:val="24"/>
                <w:szCs w:val="24"/>
                <w:highlight w:val="none"/>
              </w:rPr>
              <w:t>中标</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原因造成数据泄漏的，每发生1次，扣1%的服务分项中标金额；多云监管平台全年可用性低于99.99%，扣2%的服务分项中标金额。</w:t>
            </w:r>
          </w:p>
          <w:p w14:paraId="4FF1ECB0">
            <w:pPr>
              <w:keepNext w:val="0"/>
              <w:keepLines w:val="0"/>
              <w:pageBreakBefore w:val="0"/>
              <w:kinsoku/>
              <w:overflowPunct/>
              <w:topLinePunct w:val="0"/>
              <w:bidi w:val="0"/>
              <w:snapToGrid/>
              <w:spacing w:line="480" w:lineRule="exact"/>
              <w:ind w:firstLine="480" w:firstLineChars="200"/>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color w:val="auto"/>
                <w:sz w:val="24"/>
                <w:szCs w:val="24"/>
                <w:highlight w:val="none"/>
              </w:rPr>
              <w:t>②信息安全责任事故是指由</w:t>
            </w:r>
            <w:r>
              <w:rPr>
                <w:rFonts w:hint="eastAsia" w:asciiTheme="minorEastAsia" w:hAnsiTheme="minorEastAsia" w:eastAsiaTheme="minorEastAsia" w:cstheme="minorEastAsia"/>
                <w:color w:val="auto"/>
                <w:sz w:val="24"/>
                <w:szCs w:val="24"/>
                <w:highlight w:val="none"/>
                <w:lang w:eastAsia="zh-CN"/>
              </w:rPr>
              <w:t>中标</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提供的网络、安全、虚拟机存储、运维等方面出现问题引起的信息安全责任事故</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多云监管平台被国家、自治区有关部门通报的每发生1起扣除1%的服务分项中标金额；被市委网信办、市公安局网安支队等有关部门通报，每发生1起扣除0.5%的服务分项中标金额；并追究相应法律责任。</w:t>
            </w:r>
          </w:p>
        </w:tc>
        <w:tc>
          <w:tcPr>
            <w:tcW w:w="1056" w:type="dxa"/>
            <w:vAlign w:val="center"/>
          </w:tcPr>
          <w:p w14:paraId="2AEB7413">
            <w:pPr>
              <w:keepNext w:val="0"/>
              <w:keepLines/>
              <w:pageBreakBefore w:val="0"/>
              <w:kinsoku/>
              <w:wordWrap w:val="0"/>
              <w:overflowPunct/>
              <w:topLinePunct w:val="0"/>
              <w:bidi w:val="0"/>
              <w:snapToGrid/>
              <w:spacing w:line="480" w:lineRule="exact"/>
              <w:jc w:val="center"/>
              <w:textAlignment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190000</w:t>
            </w:r>
            <w:r>
              <w:rPr>
                <w:rFonts w:hint="eastAsia" w:asciiTheme="minorEastAsia" w:hAnsiTheme="minorEastAsia" w:eastAsiaTheme="minorEastAsia" w:cstheme="minorEastAsia"/>
                <w:color w:val="auto"/>
                <w:sz w:val="24"/>
                <w:szCs w:val="24"/>
                <w:highlight w:val="none"/>
              </w:rPr>
              <w:t>.00</w:t>
            </w:r>
          </w:p>
        </w:tc>
        <w:tc>
          <w:tcPr>
            <w:tcW w:w="1371" w:type="dxa"/>
            <w:vAlign w:val="center"/>
          </w:tcPr>
          <w:p w14:paraId="56C1405B">
            <w:pPr>
              <w:keepNext w:val="0"/>
              <w:keepLines/>
              <w:pageBreakBefore w:val="0"/>
              <w:kinsoku/>
              <w:wordWrap w:val="0"/>
              <w:overflowPunct/>
              <w:topLinePunct w:val="0"/>
              <w:bidi w:val="0"/>
              <w:snapToGrid/>
              <w:spacing w:line="480" w:lineRule="exact"/>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软件和信息技术服务业</w:t>
            </w:r>
          </w:p>
        </w:tc>
      </w:tr>
      <w:tr w14:paraId="06680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 w:type="dxa"/>
            <w:vAlign w:val="center"/>
          </w:tcPr>
          <w:p w14:paraId="767742A9">
            <w:pPr>
              <w:keepNext w:val="0"/>
              <w:keepLines/>
              <w:pageBreakBefore w:val="0"/>
              <w:kinsoku/>
              <w:wordWrap w:val="0"/>
              <w:overflowPunct/>
              <w:topLinePunct w:val="0"/>
              <w:bidi w:val="0"/>
              <w:snapToGrid/>
              <w:spacing w:line="480" w:lineRule="exac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商务条款</w:t>
            </w:r>
          </w:p>
        </w:tc>
        <w:tc>
          <w:tcPr>
            <w:tcW w:w="9489" w:type="dxa"/>
            <w:gridSpan w:val="7"/>
            <w:vAlign w:val="center"/>
          </w:tcPr>
          <w:p w14:paraId="40AF3E71">
            <w:pPr>
              <w:keepNext w:val="0"/>
              <w:keepLines w:val="0"/>
              <w:pageBreakBefore w:val="0"/>
              <w:numPr>
                <w:ilvl w:val="0"/>
                <w:numId w:val="0"/>
              </w:numPr>
              <w:kinsoku/>
              <w:overflowPunct/>
              <w:topLinePunct w:val="0"/>
              <w:autoSpaceDE/>
              <w:autoSpaceDN/>
              <w:bidi w:val="0"/>
              <w:adjustRightInd/>
              <w:snapToGrid/>
              <w:spacing w:line="480" w:lineRule="exact"/>
              <w:ind w:left="0" w:leftChars="0"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▲一、合同签订期：自中标通知书发出之日起 25 日内。</w:t>
            </w:r>
          </w:p>
          <w:p w14:paraId="1035E13D">
            <w:pPr>
              <w:keepNext w:val="0"/>
              <w:keepLines w:val="0"/>
              <w:pageBreakBefore w:val="0"/>
              <w:numPr>
                <w:ilvl w:val="0"/>
                <w:numId w:val="0"/>
              </w:numPr>
              <w:kinsoku/>
              <w:overflowPunct/>
              <w:topLinePunct w:val="0"/>
              <w:autoSpaceDE/>
              <w:autoSpaceDN/>
              <w:bidi w:val="0"/>
              <w:adjustRightInd/>
              <w:snapToGrid/>
              <w:spacing w:line="480" w:lineRule="exact"/>
              <w:ind w:left="0" w:leftChars="0"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二、</w:t>
            </w:r>
            <w:r>
              <w:rPr>
                <w:rFonts w:hint="eastAsia" w:asciiTheme="minorEastAsia" w:hAnsiTheme="minorEastAsia" w:eastAsiaTheme="minorEastAsia" w:cstheme="minorEastAsia"/>
                <w:color w:val="auto"/>
                <w:sz w:val="24"/>
                <w:szCs w:val="24"/>
                <w:highlight w:val="none"/>
                <w:lang w:eastAsia="zh-CN"/>
              </w:rPr>
              <w:t>服务期限：</w:t>
            </w:r>
          </w:p>
          <w:p w14:paraId="53AD5780">
            <w:pPr>
              <w:keepNext w:val="0"/>
              <w:keepLines w:val="0"/>
              <w:pageBreakBefore w:val="0"/>
              <w:numPr>
                <w:ilvl w:val="0"/>
                <w:numId w:val="0"/>
              </w:numPr>
              <w:kinsoku/>
              <w:overflowPunct/>
              <w:topLinePunct w:val="0"/>
              <w:autoSpaceDE/>
              <w:autoSpaceDN/>
              <w:bidi w:val="0"/>
              <w:adjustRightInd/>
              <w:snapToGrid/>
              <w:spacing w:line="480" w:lineRule="exact"/>
              <w:ind w:left="0" w:leftChars="0"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南宁市电子政务云平台</w:t>
            </w:r>
            <w:r>
              <w:rPr>
                <w:rFonts w:hint="eastAsia" w:asciiTheme="minorEastAsia" w:hAnsiTheme="minorEastAsia" w:eastAsiaTheme="minorEastAsia" w:cstheme="minorEastAsia"/>
                <w:color w:val="auto"/>
                <w:sz w:val="24"/>
                <w:szCs w:val="24"/>
                <w:highlight w:val="none"/>
                <w:lang w:val="en-US" w:eastAsia="zh-CN"/>
              </w:rPr>
              <w:t>二期</w:t>
            </w:r>
            <w:r>
              <w:rPr>
                <w:rFonts w:hint="eastAsia" w:asciiTheme="minorEastAsia" w:hAnsiTheme="minorEastAsia" w:eastAsiaTheme="minorEastAsia" w:cstheme="minorEastAsia"/>
                <w:color w:val="auto"/>
                <w:sz w:val="24"/>
                <w:szCs w:val="24"/>
                <w:highlight w:val="none"/>
                <w:lang w:eastAsia="zh-CN"/>
              </w:rPr>
              <w:t>运维服务期：</w:t>
            </w:r>
            <w:r>
              <w:rPr>
                <w:rFonts w:hint="eastAsia" w:asciiTheme="minorEastAsia" w:hAnsiTheme="minorEastAsia" w:eastAsiaTheme="minorEastAsia" w:cstheme="minorEastAsia"/>
                <w:color w:val="auto"/>
                <w:sz w:val="24"/>
                <w:szCs w:val="24"/>
                <w:highlight w:val="none"/>
                <w:lang w:val="en-US" w:eastAsia="zh-CN"/>
              </w:rPr>
              <w:t>签订合同并生效之日起1年</w:t>
            </w:r>
            <w:r>
              <w:rPr>
                <w:rFonts w:hint="eastAsia" w:asciiTheme="minorEastAsia" w:hAnsiTheme="minorEastAsia" w:eastAsiaTheme="minorEastAsia" w:cstheme="minorEastAsia"/>
                <w:color w:val="auto"/>
                <w:sz w:val="24"/>
                <w:szCs w:val="24"/>
                <w:highlight w:val="none"/>
                <w:lang w:eastAsia="zh-CN"/>
              </w:rPr>
              <w:t>。</w:t>
            </w:r>
          </w:p>
          <w:p w14:paraId="4DD3E646">
            <w:pPr>
              <w:keepNext w:val="0"/>
              <w:keepLines w:val="0"/>
              <w:pageBreakBefore w:val="0"/>
              <w:numPr>
                <w:ilvl w:val="0"/>
                <w:numId w:val="0"/>
              </w:numPr>
              <w:kinsoku/>
              <w:overflowPunct/>
              <w:topLinePunct w:val="0"/>
              <w:autoSpaceDE/>
              <w:autoSpaceDN/>
              <w:bidi w:val="0"/>
              <w:adjustRightInd/>
              <w:snapToGrid/>
              <w:spacing w:line="480" w:lineRule="exact"/>
              <w:ind w:left="0" w:leftChars="0"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三、服务地点：采购人指定地点。</w:t>
            </w:r>
          </w:p>
          <w:p w14:paraId="7DBF9844">
            <w:pPr>
              <w:keepNext w:val="0"/>
              <w:keepLines w:val="0"/>
              <w:pageBreakBefore w:val="0"/>
              <w:numPr>
                <w:ilvl w:val="0"/>
                <w:numId w:val="0"/>
              </w:numPr>
              <w:kinsoku/>
              <w:overflowPunct/>
              <w:topLinePunct w:val="0"/>
              <w:autoSpaceDE/>
              <w:autoSpaceDN/>
              <w:bidi w:val="0"/>
              <w:adjustRightInd/>
              <w:snapToGrid/>
              <w:spacing w:line="480" w:lineRule="exact"/>
              <w:ind w:left="0" w:leftChars="0"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四、验收标准、规范：</w:t>
            </w:r>
          </w:p>
          <w:p w14:paraId="098F9F4B">
            <w:pPr>
              <w:keepNext w:val="0"/>
              <w:keepLines w:val="0"/>
              <w:pageBreakBefore w:val="0"/>
              <w:numPr>
                <w:ilvl w:val="0"/>
                <w:numId w:val="0"/>
              </w:numPr>
              <w:kinsoku/>
              <w:overflowPunct/>
              <w:topLinePunct w:val="0"/>
              <w:autoSpaceDE/>
              <w:autoSpaceDN/>
              <w:bidi w:val="0"/>
              <w:adjustRightInd/>
              <w:snapToGrid/>
              <w:spacing w:line="480" w:lineRule="exact"/>
              <w:ind w:left="0" w:leftChars="0"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eastAsia="zh-CN"/>
              </w:rPr>
              <w:t>验收考核过程中所产生的一切费用均由中标</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lang w:eastAsia="zh-CN"/>
              </w:rPr>
              <w:t>承担。报价时应考虑相关费用。</w:t>
            </w:r>
          </w:p>
          <w:p w14:paraId="17ADDDAA">
            <w:pPr>
              <w:keepNext w:val="0"/>
              <w:keepLines w:val="0"/>
              <w:pageBreakBefore w:val="0"/>
              <w:numPr>
                <w:ilvl w:val="0"/>
                <w:numId w:val="0"/>
              </w:numPr>
              <w:kinsoku/>
              <w:overflowPunct/>
              <w:topLinePunct w:val="0"/>
              <w:autoSpaceDE/>
              <w:autoSpaceDN/>
              <w:bidi w:val="0"/>
              <w:adjustRightInd/>
              <w:snapToGrid/>
              <w:spacing w:line="480" w:lineRule="exact"/>
              <w:ind w:left="0" w:leftChars="0"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eastAsia="zh-CN"/>
              </w:rPr>
              <w:t>中标</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lang w:eastAsia="zh-CN"/>
              </w:rPr>
              <w:t>在服务验收时由采购人对照公开招标文件及投标文件的功能目标及服务指标全面核对检验，如不符合投标文件的服务承诺和其他承诺以及提供虚假承诺的，按招标文件规定及合同约定处理，中标</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lang w:eastAsia="zh-CN"/>
              </w:rPr>
              <w:t>承担所有责任和费用，采购人保留进一步追究责任的权利。</w:t>
            </w:r>
          </w:p>
          <w:p w14:paraId="54DF9229">
            <w:pPr>
              <w:keepNext w:val="0"/>
              <w:keepLines w:val="0"/>
              <w:pageBreakBefore w:val="0"/>
              <w:numPr>
                <w:ilvl w:val="0"/>
                <w:numId w:val="0"/>
              </w:numPr>
              <w:kinsoku/>
              <w:overflowPunct/>
              <w:topLinePunct w:val="0"/>
              <w:autoSpaceDE/>
              <w:autoSpaceDN/>
              <w:bidi w:val="0"/>
              <w:adjustRightInd/>
              <w:snapToGrid/>
              <w:spacing w:line="480" w:lineRule="exact"/>
              <w:ind w:left="0" w:leftChars="0"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五、付款方式：</w:t>
            </w:r>
          </w:p>
          <w:p w14:paraId="6B0B87E6">
            <w:pPr>
              <w:keepNext w:val="0"/>
              <w:keepLines w:val="0"/>
              <w:pageBreakBefore w:val="0"/>
              <w:numPr>
                <w:ilvl w:val="0"/>
                <w:numId w:val="0"/>
              </w:numPr>
              <w:kinsoku/>
              <w:overflowPunct/>
              <w:topLinePunct w:val="0"/>
              <w:autoSpaceDE/>
              <w:autoSpaceDN/>
              <w:bidi w:val="0"/>
              <w:adjustRightInd/>
              <w:snapToGrid/>
              <w:spacing w:line="480" w:lineRule="exact"/>
              <w:ind w:left="0" w:leftChars="0"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kern w:val="2"/>
                <w:sz w:val="24"/>
                <w:szCs w:val="24"/>
                <w:highlight w:val="none"/>
                <w:lang w:val="en-US" w:eastAsia="zh-CN" w:bidi="ar-SA"/>
              </w:rPr>
              <w:t>1.</w:t>
            </w:r>
            <w:r>
              <w:rPr>
                <w:rFonts w:hint="eastAsia" w:asciiTheme="minorEastAsia" w:hAnsiTheme="minorEastAsia" w:eastAsiaTheme="minorEastAsia" w:cstheme="minorEastAsia"/>
                <w:color w:val="auto"/>
                <w:sz w:val="24"/>
                <w:szCs w:val="24"/>
                <w:highlight w:val="none"/>
                <w:lang w:eastAsia="zh-CN"/>
              </w:rPr>
              <w:t>双方签订合同后，</w:t>
            </w:r>
            <w:r>
              <w:rPr>
                <w:rFonts w:hint="eastAsia" w:asciiTheme="minorEastAsia" w:hAnsiTheme="minorEastAsia" w:eastAsiaTheme="minorEastAsia" w:cstheme="minorEastAsia"/>
                <w:color w:val="auto"/>
                <w:sz w:val="24"/>
                <w:szCs w:val="24"/>
                <w:highlight w:val="none"/>
              </w:rPr>
              <w:t>中标</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lang w:eastAsia="zh-CN"/>
              </w:rPr>
              <w:t>安排人员入场服务或提交运维服务方案，采购人支付 50% 合同款；服务实施半年后，</w:t>
            </w:r>
            <w:r>
              <w:rPr>
                <w:rFonts w:hint="eastAsia" w:asciiTheme="minorEastAsia" w:hAnsiTheme="minorEastAsia" w:eastAsiaTheme="minorEastAsia" w:cstheme="minorEastAsia"/>
                <w:color w:val="auto"/>
                <w:sz w:val="24"/>
                <w:szCs w:val="24"/>
                <w:highlight w:val="none"/>
              </w:rPr>
              <w:t>中标</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lang w:eastAsia="zh-CN"/>
              </w:rPr>
              <w:t xml:space="preserve">提交半年运维工作报告并经审核通过后，采购人支付 </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lang w:eastAsia="zh-CN"/>
              </w:rPr>
              <w:t xml:space="preserve">0% 合同款；剩余 </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eastAsia="zh-CN"/>
              </w:rPr>
              <w:t>0% 合同款待服务期结束后，采购人提交全套运维文件通过验收后并结合考核情况结算支付；</w:t>
            </w:r>
          </w:p>
          <w:p w14:paraId="73C9E686">
            <w:pPr>
              <w:keepNext w:val="0"/>
              <w:keepLines w:val="0"/>
              <w:pageBreakBefore w:val="0"/>
              <w:numPr>
                <w:ilvl w:val="0"/>
                <w:numId w:val="0"/>
              </w:numPr>
              <w:kinsoku/>
              <w:overflowPunct/>
              <w:topLinePunct w:val="0"/>
              <w:autoSpaceDE/>
              <w:autoSpaceDN/>
              <w:bidi w:val="0"/>
              <w:adjustRightInd/>
              <w:snapToGrid/>
              <w:spacing w:line="480" w:lineRule="exact"/>
              <w:ind w:left="0" w:leftChars="0"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kern w:val="2"/>
                <w:sz w:val="24"/>
                <w:szCs w:val="24"/>
                <w:highlight w:val="none"/>
                <w:lang w:val="en-US" w:eastAsia="zh-CN" w:bidi="ar-SA"/>
              </w:rPr>
              <w:t>2.</w:t>
            </w:r>
            <w:r>
              <w:rPr>
                <w:rFonts w:hint="eastAsia" w:asciiTheme="minorEastAsia" w:hAnsiTheme="minorEastAsia" w:eastAsiaTheme="minorEastAsia" w:cstheme="minorEastAsia"/>
                <w:color w:val="auto"/>
                <w:sz w:val="24"/>
                <w:szCs w:val="24"/>
                <w:highlight w:val="none"/>
              </w:rPr>
              <w:t>中标</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lang w:eastAsia="zh-CN"/>
              </w:rPr>
              <w:t>收到对应款项后 5 个工作日内，向采购人开具等额合法发票。</w:t>
            </w:r>
          </w:p>
          <w:p w14:paraId="16F453B8">
            <w:pPr>
              <w:keepNext w:val="0"/>
              <w:keepLines w:val="0"/>
              <w:pageBreakBefore w:val="0"/>
              <w:numPr>
                <w:ilvl w:val="0"/>
                <w:numId w:val="0"/>
              </w:numPr>
              <w:kinsoku/>
              <w:overflowPunct/>
              <w:topLinePunct w:val="0"/>
              <w:autoSpaceDE/>
              <w:autoSpaceDN/>
              <w:bidi w:val="0"/>
              <w:adjustRightInd/>
              <w:snapToGrid/>
              <w:spacing w:line="480" w:lineRule="exact"/>
              <w:ind w:left="0" w:leftChars="0"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lang w:eastAsia="zh-CN"/>
              </w:rPr>
              <w:t>因财政拨款或成交供应商原因导致的延迟支付，不视为采购人</w:t>
            </w:r>
            <w:r>
              <w:rPr>
                <w:rFonts w:hint="eastAsia" w:asciiTheme="minorEastAsia" w:hAnsiTheme="minorEastAsia" w:eastAsiaTheme="minorEastAsia" w:cstheme="minorEastAsia"/>
                <w:color w:val="auto"/>
                <w:sz w:val="24"/>
                <w:szCs w:val="24"/>
                <w:highlight w:val="none"/>
                <w:lang w:val="en-US" w:eastAsia="zh-CN"/>
              </w:rPr>
              <w:t>违约，成交供应商仍应按合同约定履行义务。</w:t>
            </w:r>
          </w:p>
          <w:p w14:paraId="7C1AAC8B">
            <w:pPr>
              <w:keepNext w:val="0"/>
              <w:keepLines w:val="0"/>
              <w:pageBreakBefore w:val="0"/>
              <w:kinsoku/>
              <w:overflowPunct/>
              <w:topLinePunct w:val="0"/>
              <w:autoSpaceDE/>
              <w:autoSpaceDN/>
              <w:bidi w:val="0"/>
              <w:adjustRightInd/>
              <w:snapToGrid/>
              <w:spacing w:line="480" w:lineRule="exact"/>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六</w:t>
            </w:r>
            <w:r>
              <w:rPr>
                <w:rFonts w:hint="eastAsia" w:asciiTheme="minorEastAsia" w:hAnsiTheme="minorEastAsia" w:eastAsiaTheme="minorEastAsia" w:cstheme="minorEastAsia"/>
                <w:color w:val="auto"/>
                <w:sz w:val="24"/>
                <w:szCs w:val="24"/>
                <w:highlight w:val="none"/>
              </w:rPr>
              <w:t>、其他要求：</w:t>
            </w:r>
          </w:p>
          <w:p w14:paraId="696652B5">
            <w:pPr>
              <w:keepNext w:val="0"/>
              <w:keepLines w:val="0"/>
              <w:pageBreakBefore w:val="0"/>
              <w:kinsoku/>
              <w:overflowPunct/>
              <w:topLinePunct w:val="0"/>
              <w:autoSpaceDE/>
              <w:autoSpaceDN/>
              <w:bidi w:val="0"/>
              <w:adjustRightInd/>
              <w:snapToGrid/>
              <w:spacing w:line="480" w:lineRule="exact"/>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报价必须含以下部分，包括：</w:t>
            </w:r>
          </w:p>
          <w:p w14:paraId="251D6757">
            <w:pPr>
              <w:keepNext w:val="0"/>
              <w:keepLines w:val="0"/>
              <w:pageBreakBefore w:val="0"/>
              <w:kinsoku/>
              <w:overflowPunct/>
              <w:topLinePunct w:val="0"/>
              <w:autoSpaceDE/>
              <w:autoSpaceDN/>
              <w:bidi w:val="0"/>
              <w:adjustRightInd/>
              <w:snapToGrid/>
              <w:spacing w:line="480" w:lineRule="exact"/>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①本项目所有服务的价格；</w:t>
            </w:r>
          </w:p>
          <w:p w14:paraId="3B05E6C8">
            <w:pPr>
              <w:keepNext w:val="0"/>
              <w:keepLines w:val="0"/>
              <w:pageBreakBefore w:val="0"/>
              <w:kinsoku/>
              <w:overflowPunct/>
              <w:topLinePunct w:val="0"/>
              <w:autoSpaceDE/>
              <w:autoSpaceDN/>
              <w:bidi w:val="0"/>
              <w:adjustRightInd/>
              <w:snapToGrid/>
              <w:spacing w:line="480" w:lineRule="exact"/>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②必要的保险费用和各项税金；</w:t>
            </w:r>
          </w:p>
          <w:p w14:paraId="5D7FA01E">
            <w:pPr>
              <w:keepNext w:val="0"/>
              <w:keepLines w:val="0"/>
              <w:pageBreakBefore w:val="0"/>
              <w:kinsoku/>
              <w:overflowPunct/>
              <w:topLinePunct w:val="0"/>
              <w:autoSpaceDE/>
              <w:autoSpaceDN/>
              <w:bidi w:val="0"/>
              <w:adjustRightInd/>
              <w:snapToGrid/>
              <w:spacing w:line="480" w:lineRule="exact"/>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③其他（如货物运输费、装卸、设备的维护保养、调试、培训、技术支持、售后服务、驻场人员差旅费、人员工资等与完成本项目所必须的费用）。</w:t>
            </w:r>
          </w:p>
          <w:p w14:paraId="58545D0E">
            <w:pPr>
              <w:keepNext w:val="0"/>
              <w:keepLines w:val="0"/>
              <w:pageBreakBefore w:val="0"/>
              <w:kinsoku/>
              <w:overflowPunct/>
              <w:topLinePunct w:val="0"/>
              <w:autoSpaceDE/>
              <w:autoSpaceDN/>
              <w:bidi w:val="0"/>
              <w:adjustRightInd/>
              <w:snapToGrid/>
              <w:spacing w:line="480" w:lineRule="exact"/>
              <w:ind w:left="0" w:firstLine="482"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中标</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投标文件中承诺拟投入本项目的</w:t>
            </w:r>
            <w:r>
              <w:rPr>
                <w:rFonts w:hint="eastAsia" w:asciiTheme="minorEastAsia" w:hAnsiTheme="minorEastAsia" w:eastAsiaTheme="minorEastAsia" w:cstheme="minorEastAsia"/>
                <w:color w:val="auto"/>
                <w:sz w:val="24"/>
                <w:szCs w:val="24"/>
                <w:highlight w:val="none"/>
                <w:lang w:eastAsia="zh-CN"/>
              </w:rPr>
              <w:t>驻场</w:t>
            </w:r>
            <w:r>
              <w:rPr>
                <w:rFonts w:hint="eastAsia" w:asciiTheme="minorEastAsia" w:hAnsiTheme="minorEastAsia" w:eastAsiaTheme="minorEastAsia" w:cstheme="minorEastAsia"/>
                <w:color w:val="auto"/>
                <w:sz w:val="24"/>
                <w:szCs w:val="24"/>
                <w:highlight w:val="none"/>
              </w:rPr>
              <w:t>人员原则上不允许更换。如果</w:t>
            </w:r>
            <w:r>
              <w:rPr>
                <w:rFonts w:hint="eastAsia" w:asciiTheme="minorEastAsia" w:hAnsiTheme="minorEastAsia" w:eastAsiaTheme="minorEastAsia" w:cstheme="minorEastAsia"/>
                <w:color w:val="auto"/>
                <w:sz w:val="24"/>
                <w:szCs w:val="24"/>
                <w:highlight w:val="none"/>
              </w:rPr>
              <w:t>中标</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确因不可抗力必须更换拟投入</w:t>
            </w:r>
            <w:r>
              <w:rPr>
                <w:rFonts w:hint="eastAsia" w:asciiTheme="minorEastAsia" w:hAnsiTheme="minorEastAsia" w:eastAsiaTheme="minorEastAsia" w:cstheme="minorEastAsia"/>
                <w:color w:val="auto"/>
                <w:sz w:val="24"/>
                <w:szCs w:val="24"/>
                <w:highlight w:val="none"/>
                <w:lang w:eastAsia="zh-CN"/>
              </w:rPr>
              <w:t>驻场</w:t>
            </w:r>
            <w:r>
              <w:rPr>
                <w:rFonts w:hint="eastAsia" w:asciiTheme="minorEastAsia" w:hAnsiTheme="minorEastAsia" w:eastAsiaTheme="minorEastAsia" w:cstheme="minorEastAsia"/>
                <w:color w:val="auto"/>
                <w:sz w:val="24"/>
                <w:szCs w:val="24"/>
                <w:highlight w:val="none"/>
              </w:rPr>
              <w:t>人员时，必须向采购人提交书面申请并提供证明材料，经同意后，方可更换一名具有同等或更高资历、熟悉相关业务的人员替换该职位。</w:t>
            </w:r>
            <w:r>
              <w:rPr>
                <w:rFonts w:hint="eastAsia" w:asciiTheme="minorEastAsia" w:hAnsiTheme="minorEastAsia" w:eastAsiaTheme="minorEastAsia" w:cstheme="minorEastAsia"/>
                <w:color w:val="auto"/>
                <w:sz w:val="24"/>
                <w:szCs w:val="24"/>
                <w:highlight w:val="none"/>
              </w:rPr>
              <w:t>中标</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无正当理由更换相关人员的，按合同违约处理，</w:t>
            </w:r>
            <w:r>
              <w:rPr>
                <w:rFonts w:hint="eastAsia" w:asciiTheme="minorEastAsia" w:hAnsiTheme="minorEastAsia" w:eastAsiaTheme="minorEastAsia" w:cstheme="minorEastAsia"/>
                <w:color w:val="auto"/>
                <w:sz w:val="24"/>
                <w:szCs w:val="24"/>
                <w:highlight w:val="none"/>
              </w:rPr>
              <w:t>中标</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每出现一名人员无故更换情况的，须向</w:t>
            </w:r>
            <w:r>
              <w:rPr>
                <w:rFonts w:hint="eastAsia" w:asciiTheme="minorEastAsia" w:hAnsiTheme="minorEastAsia" w:eastAsiaTheme="minorEastAsia" w:cstheme="minorEastAsia"/>
                <w:color w:val="auto"/>
                <w:sz w:val="24"/>
                <w:szCs w:val="24"/>
                <w:highlight w:val="none"/>
                <w:lang w:val="en-US" w:eastAsia="zh-CN"/>
              </w:rPr>
              <w:t>采购人</w:t>
            </w:r>
            <w:r>
              <w:rPr>
                <w:rFonts w:hint="eastAsia" w:asciiTheme="minorEastAsia" w:hAnsiTheme="minorEastAsia" w:eastAsiaTheme="minorEastAsia" w:cstheme="minorEastAsia"/>
                <w:color w:val="auto"/>
                <w:sz w:val="24"/>
                <w:szCs w:val="24"/>
                <w:highlight w:val="none"/>
              </w:rPr>
              <w:t>支付违约金额5000.00元。</w:t>
            </w:r>
          </w:p>
          <w:p w14:paraId="30A3F1DA">
            <w:pPr>
              <w:keepNext w:val="0"/>
              <w:keepLines w:val="0"/>
              <w:pageBreakBefore w:val="0"/>
              <w:kinsoku/>
              <w:overflowPunct/>
              <w:topLinePunct w:val="0"/>
              <w:autoSpaceDE/>
              <w:autoSpaceDN/>
              <w:bidi w:val="0"/>
              <w:adjustRightInd/>
              <w:snapToGrid/>
              <w:spacing w:line="480" w:lineRule="exact"/>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对合同条款的调整（如对验收、违约责任等有特殊要求的）</w:t>
            </w:r>
          </w:p>
          <w:p w14:paraId="17959523">
            <w:pPr>
              <w:keepNext w:val="0"/>
              <w:keepLines w:val="0"/>
              <w:pageBreakBefore w:val="0"/>
              <w:kinsoku/>
              <w:wordWrap w:val="0"/>
              <w:overflowPunct/>
              <w:topLinePunct w:val="0"/>
              <w:autoSpaceDE/>
              <w:autoSpaceDN/>
              <w:bidi w:val="0"/>
              <w:adjustRightInd/>
              <w:snapToGrid/>
              <w:spacing w:line="480" w:lineRule="exact"/>
              <w:ind w:left="0" w:leftChars="0"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中标</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应严格遵守国家有关保密法律法规，不得泄露与本项目有关的秘密，不得将其用于履行本项目之外的其他用途，造成泄密的，将依法追究有关人员的法律责任。</w:t>
            </w:r>
          </w:p>
        </w:tc>
      </w:tr>
      <w:tr w14:paraId="4AC83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 w:type="dxa"/>
            <w:vAlign w:val="center"/>
          </w:tcPr>
          <w:p w14:paraId="1ACD4EE0">
            <w:pPr>
              <w:keepNext w:val="0"/>
              <w:keepLines/>
              <w:pageBreakBefore w:val="0"/>
              <w:kinsoku/>
              <w:wordWrap w:val="0"/>
              <w:overflowPunct/>
              <w:topLinePunct w:val="0"/>
              <w:bidi w:val="0"/>
              <w:snapToGrid/>
              <w:spacing w:line="480" w:lineRule="exact"/>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其他说明</w:t>
            </w:r>
          </w:p>
        </w:tc>
        <w:tc>
          <w:tcPr>
            <w:tcW w:w="9489" w:type="dxa"/>
            <w:gridSpan w:val="7"/>
            <w:vAlign w:val="top"/>
          </w:tcPr>
          <w:p w14:paraId="7427AB58">
            <w:pPr>
              <w:keepNext w:val="0"/>
              <w:keepLines w:val="0"/>
              <w:pageBreakBefore w:val="0"/>
              <w:kinsoku/>
              <w:wordWrap w:val="0"/>
              <w:overflowPunct/>
              <w:topLinePunct w:val="0"/>
              <w:autoSpaceDE/>
              <w:autoSpaceDN/>
              <w:bidi w:val="0"/>
              <w:adjustRightInd/>
              <w:snapToGrid/>
              <w:spacing w:line="480" w:lineRule="exact"/>
              <w:ind w:left="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1、本项目采购标的的需执行的国家相关标准、行业标准、地方标准或其他强制性标准、规范等要求：按国家相关标准、中标供应商承诺进行验收。</w:t>
            </w:r>
          </w:p>
          <w:p w14:paraId="0B67F26D">
            <w:pPr>
              <w:keepNext w:val="0"/>
              <w:keepLines w:val="0"/>
              <w:pageBreakBefore w:val="0"/>
              <w:kinsoku/>
              <w:wordWrap w:val="0"/>
              <w:overflowPunct/>
              <w:topLinePunct w:val="0"/>
              <w:autoSpaceDE/>
              <w:autoSpaceDN/>
              <w:bidi w:val="0"/>
              <w:adjustRightInd/>
              <w:snapToGrid/>
              <w:spacing w:line="480" w:lineRule="exact"/>
              <w:ind w:left="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2、合同延续年限、条件和方式：本项目合同到期后不续签。</w:t>
            </w:r>
          </w:p>
          <w:p w14:paraId="668E1D14">
            <w:pPr>
              <w:keepNext w:val="0"/>
              <w:keepLines w:val="0"/>
              <w:pageBreakBefore w:val="0"/>
              <w:kinsoku/>
              <w:wordWrap w:val="0"/>
              <w:overflowPunct/>
              <w:topLinePunct w:val="0"/>
              <w:autoSpaceDE/>
              <w:autoSpaceDN/>
              <w:bidi w:val="0"/>
              <w:adjustRightInd/>
              <w:snapToGrid/>
              <w:spacing w:line="480" w:lineRule="exact"/>
              <w:ind w:left="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是否进行演示：否</w:t>
            </w:r>
          </w:p>
          <w:p w14:paraId="3F628958">
            <w:pPr>
              <w:keepNext w:val="0"/>
              <w:keepLines w:val="0"/>
              <w:pageBreakBefore w:val="0"/>
              <w:kinsoku/>
              <w:wordWrap w:val="0"/>
              <w:overflowPunct/>
              <w:topLinePunct w:val="0"/>
              <w:autoSpaceDE/>
              <w:autoSpaceDN/>
              <w:bidi w:val="0"/>
              <w:adjustRightInd/>
              <w:snapToGrid/>
              <w:spacing w:line="480" w:lineRule="exact"/>
              <w:ind w:left="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是否要求提供样品：否</w:t>
            </w:r>
          </w:p>
          <w:p w14:paraId="000E4763">
            <w:pPr>
              <w:keepNext w:val="0"/>
              <w:keepLines w:val="0"/>
              <w:pageBreakBefore w:val="0"/>
              <w:kinsoku/>
              <w:wordWrap w:val="0"/>
              <w:overflowPunct/>
              <w:topLinePunct w:val="0"/>
              <w:autoSpaceDE/>
              <w:autoSpaceDN/>
              <w:bidi w:val="0"/>
              <w:adjustRightInd/>
              <w:snapToGrid/>
              <w:spacing w:line="480" w:lineRule="exact"/>
              <w:ind w:left="0" w:leftChars="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5、投标人认为需要了解现场情况及其他影响投标情况的，可自行前往现场勘查，踏勘地址：南宁市桂春路南一里1号，联系人：李工，联系电话：0771-5772566。投标人自行承担现场勘查所发生的自身费用并承担现场勘查的责任和风险。</w:t>
            </w:r>
          </w:p>
        </w:tc>
      </w:tr>
    </w:tbl>
    <w:p w14:paraId="5F54F0CE">
      <w:pPr>
        <w:pStyle w:val="11"/>
        <w:keepNext w:val="0"/>
        <w:pageBreakBefore w:val="0"/>
        <w:kinsoku/>
        <w:overflowPunct/>
        <w:topLinePunct w:val="0"/>
        <w:bidi w:val="0"/>
        <w:snapToGrid/>
        <w:spacing w:after="0" w:line="480" w:lineRule="exact"/>
        <w:rPr>
          <w:rFonts w:hint="eastAsia" w:asciiTheme="minorEastAsia" w:hAnsiTheme="minorEastAsia" w:eastAsiaTheme="minorEastAsia" w:cstheme="minorEastAsia"/>
          <w:color w:val="auto"/>
          <w:sz w:val="24"/>
          <w:szCs w:val="24"/>
          <w:highlight w:val="none"/>
        </w:rPr>
        <w:sectPr>
          <w:pgSz w:w="12240" w:h="15840"/>
          <w:pgMar w:top="1440" w:right="1080" w:bottom="1440" w:left="1080" w:header="720" w:footer="720" w:gutter="0"/>
          <w:cols w:space="720" w:num="1"/>
        </w:sectPr>
      </w:pPr>
    </w:p>
    <w:p w14:paraId="1655F1DA">
      <w:pPr>
        <w:keepNext w:val="0"/>
        <w:keepLines w:val="0"/>
        <w:pageBreakBefore w:val="0"/>
        <w:kinsoku/>
        <w:overflowPunct/>
        <w:topLinePunct w:val="0"/>
        <w:autoSpaceDE/>
        <w:autoSpaceDN/>
        <w:bidi w:val="0"/>
        <w:adjustRightInd/>
        <w:snapToGrid/>
        <w:spacing w:line="500" w:lineRule="exact"/>
        <w:ind w:left="0"/>
        <w:rPr>
          <w:rFonts w:hint="eastAsia" w:ascii="Arial Unicode MS" w:hAnsi="Arial Unicode MS" w:eastAsia="Arial Unicode MS" w:cs="Arial Unicode MS"/>
          <w:color w:val="auto"/>
          <w:sz w:val="32"/>
          <w:szCs w:val="32"/>
          <w:highlight w:val="none"/>
        </w:rPr>
      </w:pPr>
      <w:bookmarkStart w:id="6" w:name="_Toc26129"/>
      <w:bookmarkStart w:id="7" w:name="_Toc18561"/>
      <w:bookmarkStart w:id="8" w:name="_Toc7384"/>
      <w:bookmarkStart w:id="9" w:name="_Toc29457"/>
      <w:bookmarkStart w:id="10" w:name="_Toc532545044"/>
      <w:r>
        <w:rPr>
          <w:rFonts w:hint="eastAsia" w:ascii="Arial Unicode MS" w:hAnsi="Arial Unicode MS" w:eastAsia="Arial Unicode MS" w:cs="Arial Unicode MS"/>
          <w:color w:val="auto"/>
          <w:sz w:val="32"/>
          <w:szCs w:val="32"/>
          <w:highlight w:val="none"/>
        </w:rPr>
        <w:t>附件</w:t>
      </w:r>
      <w:bookmarkEnd w:id="6"/>
      <w:bookmarkEnd w:id="7"/>
      <w:bookmarkEnd w:id="8"/>
      <w:r>
        <w:rPr>
          <w:rFonts w:hint="eastAsia" w:ascii="Arial Unicode MS" w:hAnsi="Arial Unicode MS" w:eastAsia="Arial Unicode MS" w:cs="Arial Unicode MS"/>
          <w:color w:val="auto"/>
          <w:sz w:val="32"/>
          <w:szCs w:val="32"/>
          <w:highlight w:val="none"/>
          <w:lang w:val="en-US" w:eastAsia="zh-CN"/>
        </w:rPr>
        <w:t>1：</w:t>
      </w:r>
      <w:r>
        <w:rPr>
          <w:rFonts w:hint="eastAsia" w:ascii="Arial Unicode MS" w:hAnsi="Arial Unicode MS" w:eastAsia="Arial Unicode MS" w:cs="Arial Unicode MS"/>
          <w:color w:val="auto"/>
          <w:sz w:val="32"/>
          <w:szCs w:val="32"/>
          <w:highlight w:val="none"/>
        </w:rPr>
        <w:t>《南宁市电子政务云平台二期软硬件清单》</w:t>
      </w:r>
    </w:p>
    <w:tbl>
      <w:tblPr>
        <w:tblStyle w:val="25"/>
        <w:tblpPr w:leftFromText="180" w:rightFromText="180" w:vertAnchor="text" w:horzAnchor="page" w:tblpX="1192" w:tblpY="467"/>
        <w:tblOverlap w:val="never"/>
        <w:tblW w:w="965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20"/>
        <w:gridCol w:w="2322"/>
        <w:gridCol w:w="1132"/>
        <w:gridCol w:w="2505"/>
        <w:gridCol w:w="750"/>
        <w:gridCol w:w="990"/>
        <w:gridCol w:w="1435"/>
      </w:tblGrid>
      <w:tr w14:paraId="3A64C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20" w:type="dxa"/>
            <w:tcBorders>
              <w:top w:val="single" w:color="000000" w:sz="4" w:space="0"/>
              <w:left w:val="single" w:color="000000" w:sz="4" w:space="0"/>
              <w:bottom w:val="single" w:color="000000" w:sz="4" w:space="0"/>
              <w:right w:val="single" w:color="000000" w:sz="4" w:space="0"/>
            </w:tcBorders>
            <w:noWrap/>
            <w:vAlign w:val="center"/>
          </w:tcPr>
          <w:p w14:paraId="4BD3CC8A">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序号</w:t>
            </w:r>
          </w:p>
        </w:tc>
        <w:tc>
          <w:tcPr>
            <w:tcW w:w="2322" w:type="dxa"/>
            <w:tcBorders>
              <w:top w:val="single" w:color="000000" w:sz="4" w:space="0"/>
              <w:left w:val="single" w:color="000000" w:sz="4" w:space="0"/>
              <w:bottom w:val="single" w:color="000000" w:sz="4" w:space="0"/>
              <w:right w:val="single" w:color="000000" w:sz="4" w:space="0"/>
            </w:tcBorders>
            <w:noWrap w:val="0"/>
            <w:vAlign w:val="center"/>
          </w:tcPr>
          <w:p w14:paraId="0010A283">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软硬件名称</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70C1B2C">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品牌</w:t>
            </w:r>
          </w:p>
        </w:tc>
        <w:tc>
          <w:tcPr>
            <w:tcW w:w="2505" w:type="dxa"/>
            <w:tcBorders>
              <w:top w:val="single" w:color="000000" w:sz="4" w:space="0"/>
              <w:left w:val="single" w:color="000000" w:sz="4" w:space="0"/>
              <w:bottom w:val="single" w:color="000000" w:sz="4" w:space="0"/>
              <w:right w:val="single" w:color="000000" w:sz="4" w:space="0"/>
            </w:tcBorders>
            <w:noWrap w:val="0"/>
            <w:vAlign w:val="center"/>
          </w:tcPr>
          <w:p w14:paraId="7F037912">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型号/（内容）</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4DCA7D10">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单位</w:t>
            </w: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3D05DBC3">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数量</w:t>
            </w:r>
          </w:p>
        </w:tc>
        <w:tc>
          <w:tcPr>
            <w:tcW w:w="1435" w:type="dxa"/>
            <w:tcBorders>
              <w:top w:val="single" w:color="000000" w:sz="4" w:space="0"/>
              <w:left w:val="single" w:color="000000" w:sz="4" w:space="0"/>
              <w:bottom w:val="single" w:color="000000" w:sz="4" w:space="0"/>
              <w:right w:val="single" w:color="000000" w:sz="4" w:space="0"/>
            </w:tcBorders>
            <w:noWrap/>
            <w:vAlign w:val="center"/>
          </w:tcPr>
          <w:p w14:paraId="20E90EEA">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区域</w:t>
            </w:r>
          </w:p>
        </w:tc>
      </w:tr>
      <w:tr w14:paraId="6C27B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20" w:type="dxa"/>
            <w:tcBorders>
              <w:top w:val="single" w:color="000000" w:sz="4" w:space="0"/>
              <w:left w:val="single" w:color="000000" w:sz="4" w:space="0"/>
              <w:bottom w:val="single" w:color="000000" w:sz="4" w:space="0"/>
              <w:right w:val="single" w:color="000000" w:sz="4" w:space="0"/>
            </w:tcBorders>
            <w:noWrap/>
            <w:vAlign w:val="center"/>
          </w:tcPr>
          <w:p w14:paraId="79A19F02">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2322" w:type="dxa"/>
            <w:tcBorders>
              <w:top w:val="single" w:color="000000" w:sz="4" w:space="0"/>
              <w:left w:val="single" w:color="000000" w:sz="4" w:space="0"/>
              <w:bottom w:val="single" w:color="000000" w:sz="4" w:space="0"/>
              <w:right w:val="single" w:color="000000" w:sz="4" w:space="0"/>
            </w:tcBorders>
            <w:noWrap w:val="0"/>
            <w:vAlign w:val="center"/>
          </w:tcPr>
          <w:p w14:paraId="4E75DBB2">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互联网边界IPS</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7F103565">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绿盟</w:t>
            </w:r>
          </w:p>
        </w:tc>
        <w:tc>
          <w:tcPr>
            <w:tcW w:w="2505" w:type="dxa"/>
            <w:tcBorders>
              <w:top w:val="single" w:color="000000" w:sz="4" w:space="0"/>
              <w:left w:val="single" w:color="000000" w:sz="4" w:space="0"/>
              <w:bottom w:val="single" w:color="000000" w:sz="4" w:space="0"/>
              <w:right w:val="single" w:color="000000" w:sz="4" w:space="0"/>
            </w:tcBorders>
            <w:noWrap w:val="0"/>
            <w:vAlign w:val="center"/>
          </w:tcPr>
          <w:p w14:paraId="522A14D5">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绿盟NIPSNX5-CH6350</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689D81E1">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台</w:t>
            </w: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35A3741C">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1435" w:type="dxa"/>
            <w:tcBorders>
              <w:top w:val="single" w:color="000000" w:sz="4" w:space="0"/>
              <w:left w:val="single" w:color="000000" w:sz="4" w:space="0"/>
              <w:bottom w:val="single" w:color="000000" w:sz="4" w:space="0"/>
              <w:right w:val="single" w:color="000000" w:sz="4" w:space="0"/>
            </w:tcBorders>
            <w:noWrap/>
            <w:vAlign w:val="center"/>
          </w:tcPr>
          <w:p w14:paraId="71849DAD">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互联网区</w:t>
            </w:r>
          </w:p>
        </w:tc>
      </w:tr>
      <w:tr w14:paraId="37D51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20" w:type="dxa"/>
            <w:tcBorders>
              <w:top w:val="single" w:color="000000" w:sz="4" w:space="0"/>
              <w:left w:val="single" w:color="000000" w:sz="4" w:space="0"/>
              <w:bottom w:val="single" w:color="000000" w:sz="4" w:space="0"/>
              <w:right w:val="single" w:color="000000" w:sz="4" w:space="0"/>
            </w:tcBorders>
            <w:noWrap/>
            <w:vAlign w:val="center"/>
          </w:tcPr>
          <w:p w14:paraId="2C144426">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2322" w:type="dxa"/>
            <w:tcBorders>
              <w:top w:val="single" w:color="000000" w:sz="4" w:space="0"/>
              <w:left w:val="single" w:color="000000" w:sz="4" w:space="0"/>
              <w:bottom w:val="single" w:color="000000" w:sz="4" w:space="0"/>
              <w:right w:val="single" w:color="000000" w:sz="4" w:space="0"/>
            </w:tcBorders>
            <w:noWrap w:val="0"/>
            <w:vAlign w:val="center"/>
          </w:tcPr>
          <w:p w14:paraId="34C4B896">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SDN控制器软件</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E4410EE">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华为</w:t>
            </w:r>
          </w:p>
        </w:tc>
        <w:tc>
          <w:tcPr>
            <w:tcW w:w="2505" w:type="dxa"/>
            <w:tcBorders>
              <w:top w:val="single" w:color="000000" w:sz="4" w:space="0"/>
              <w:left w:val="single" w:color="000000" w:sz="4" w:space="0"/>
              <w:bottom w:val="single" w:color="000000" w:sz="4" w:space="0"/>
              <w:right w:val="single" w:color="000000" w:sz="4" w:space="0"/>
            </w:tcBorders>
            <w:noWrap w:val="0"/>
            <w:vAlign w:val="center"/>
          </w:tcPr>
          <w:p w14:paraId="44529FF4">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Managone、esight</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0228DDA5">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套</w:t>
            </w: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2CE0A6A2">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1435" w:type="dxa"/>
            <w:tcBorders>
              <w:top w:val="single" w:color="000000" w:sz="4" w:space="0"/>
              <w:left w:val="single" w:color="000000" w:sz="4" w:space="0"/>
              <w:bottom w:val="single" w:color="000000" w:sz="4" w:space="0"/>
              <w:right w:val="single" w:color="000000" w:sz="4" w:space="0"/>
            </w:tcBorders>
            <w:noWrap/>
            <w:vAlign w:val="center"/>
          </w:tcPr>
          <w:p w14:paraId="57BE724E">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互联网区</w:t>
            </w:r>
          </w:p>
        </w:tc>
      </w:tr>
      <w:tr w14:paraId="6F599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520" w:type="dxa"/>
            <w:tcBorders>
              <w:top w:val="single" w:color="000000" w:sz="4" w:space="0"/>
              <w:left w:val="single" w:color="000000" w:sz="4" w:space="0"/>
              <w:bottom w:val="single" w:color="000000" w:sz="4" w:space="0"/>
              <w:right w:val="single" w:color="000000" w:sz="4" w:space="0"/>
            </w:tcBorders>
            <w:noWrap/>
            <w:vAlign w:val="center"/>
          </w:tcPr>
          <w:p w14:paraId="1B9ACBD7">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w:t>
            </w:r>
          </w:p>
        </w:tc>
        <w:tc>
          <w:tcPr>
            <w:tcW w:w="2322" w:type="dxa"/>
            <w:tcBorders>
              <w:top w:val="single" w:color="000000" w:sz="4" w:space="0"/>
              <w:left w:val="single" w:color="000000" w:sz="4" w:space="0"/>
              <w:bottom w:val="single" w:color="000000" w:sz="4" w:space="0"/>
              <w:right w:val="single" w:color="000000" w:sz="4" w:space="0"/>
            </w:tcBorders>
            <w:noWrap w:val="0"/>
            <w:vAlign w:val="center"/>
          </w:tcPr>
          <w:p w14:paraId="2BD1EFB5">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云平台业务存储</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F2D788E">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华为</w:t>
            </w:r>
          </w:p>
        </w:tc>
        <w:tc>
          <w:tcPr>
            <w:tcW w:w="2505" w:type="dxa"/>
            <w:tcBorders>
              <w:top w:val="single" w:color="000000" w:sz="4" w:space="0"/>
              <w:left w:val="single" w:color="000000" w:sz="4" w:space="0"/>
              <w:bottom w:val="single" w:color="000000" w:sz="4" w:space="0"/>
              <w:right w:val="single" w:color="000000" w:sz="4" w:space="0"/>
            </w:tcBorders>
            <w:noWrap w:val="0"/>
            <w:vAlign w:val="center"/>
          </w:tcPr>
          <w:p w14:paraId="396289AF">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华为FusionStorage 8.0</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66B9FBF5">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套</w:t>
            </w: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12899C3F">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1435" w:type="dxa"/>
            <w:tcBorders>
              <w:top w:val="single" w:color="000000" w:sz="4" w:space="0"/>
              <w:left w:val="single" w:color="000000" w:sz="4" w:space="0"/>
              <w:bottom w:val="single" w:color="000000" w:sz="4" w:space="0"/>
              <w:right w:val="single" w:color="000000" w:sz="4" w:space="0"/>
            </w:tcBorders>
            <w:noWrap/>
            <w:vAlign w:val="center"/>
          </w:tcPr>
          <w:p w14:paraId="5D0BF7EF">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互联网区</w:t>
            </w:r>
          </w:p>
        </w:tc>
      </w:tr>
      <w:tr w14:paraId="1EC33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520" w:type="dxa"/>
            <w:tcBorders>
              <w:top w:val="single" w:color="000000" w:sz="4" w:space="0"/>
              <w:left w:val="single" w:color="000000" w:sz="4" w:space="0"/>
              <w:bottom w:val="single" w:color="000000" w:sz="4" w:space="0"/>
              <w:right w:val="single" w:color="000000" w:sz="4" w:space="0"/>
            </w:tcBorders>
            <w:noWrap/>
            <w:vAlign w:val="center"/>
          </w:tcPr>
          <w:p w14:paraId="58832A88">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w:t>
            </w:r>
          </w:p>
        </w:tc>
        <w:tc>
          <w:tcPr>
            <w:tcW w:w="2322" w:type="dxa"/>
            <w:tcBorders>
              <w:top w:val="single" w:color="000000" w:sz="4" w:space="0"/>
              <w:left w:val="single" w:color="000000" w:sz="4" w:space="0"/>
              <w:bottom w:val="single" w:color="000000" w:sz="4" w:space="0"/>
              <w:right w:val="single" w:color="000000" w:sz="4" w:space="0"/>
            </w:tcBorders>
            <w:noWrap w:val="0"/>
            <w:vAlign w:val="center"/>
          </w:tcPr>
          <w:p w14:paraId="642AE64C">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云数据中心软件</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B1377BF">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华为</w:t>
            </w:r>
          </w:p>
        </w:tc>
        <w:tc>
          <w:tcPr>
            <w:tcW w:w="2505" w:type="dxa"/>
            <w:tcBorders>
              <w:top w:val="single" w:color="000000" w:sz="4" w:space="0"/>
              <w:left w:val="single" w:color="000000" w:sz="4" w:space="0"/>
              <w:bottom w:val="single" w:color="000000" w:sz="4" w:space="0"/>
              <w:right w:val="single" w:color="000000" w:sz="4" w:space="0"/>
            </w:tcBorders>
            <w:noWrap w:val="0"/>
            <w:vAlign w:val="center"/>
          </w:tcPr>
          <w:p w14:paraId="783FD193">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华为Fusionsphere 6.5软件</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570C1659">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套</w:t>
            </w: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25482327">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1435" w:type="dxa"/>
            <w:tcBorders>
              <w:top w:val="single" w:color="000000" w:sz="4" w:space="0"/>
              <w:left w:val="single" w:color="000000" w:sz="4" w:space="0"/>
              <w:bottom w:val="single" w:color="000000" w:sz="4" w:space="0"/>
              <w:right w:val="single" w:color="000000" w:sz="4" w:space="0"/>
            </w:tcBorders>
            <w:noWrap/>
            <w:vAlign w:val="center"/>
          </w:tcPr>
          <w:p w14:paraId="7F3058D9">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互联网区</w:t>
            </w:r>
          </w:p>
        </w:tc>
      </w:tr>
      <w:tr w14:paraId="0B987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520" w:type="dxa"/>
            <w:tcBorders>
              <w:top w:val="single" w:color="000000" w:sz="4" w:space="0"/>
              <w:left w:val="single" w:color="000000" w:sz="4" w:space="0"/>
              <w:bottom w:val="single" w:color="000000" w:sz="4" w:space="0"/>
              <w:right w:val="single" w:color="000000" w:sz="4" w:space="0"/>
            </w:tcBorders>
            <w:noWrap/>
            <w:vAlign w:val="center"/>
          </w:tcPr>
          <w:p w14:paraId="220B38F4">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w:t>
            </w:r>
          </w:p>
        </w:tc>
        <w:tc>
          <w:tcPr>
            <w:tcW w:w="2322" w:type="dxa"/>
            <w:tcBorders>
              <w:top w:val="single" w:color="000000" w:sz="4" w:space="0"/>
              <w:left w:val="single" w:color="000000" w:sz="4" w:space="0"/>
              <w:bottom w:val="single" w:color="000000" w:sz="4" w:space="0"/>
              <w:right w:val="single" w:color="000000" w:sz="4" w:space="0"/>
            </w:tcBorders>
            <w:noWrap w:val="0"/>
            <w:vAlign w:val="center"/>
          </w:tcPr>
          <w:p w14:paraId="7AF4F0B9">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互联网出口网神防火墙</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F722969">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奇安信</w:t>
            </w:r>
          </w:p>
        </w:tc>
        <w:tc>
          <w:tcPr>
            <w:tcW w:w="2505" w:type="dxa"/>
            <w:tcBorders>
              <w:top w:val="single" w:color="000000" w:sz="4" w:space="0"/>
              <w:left w:val="single" w:color="000000" w:sz="4" w:space="0"/>
              <w:bottom w:val="single" w:color="000000" w:sz="4" w:space="0"/>
              <w:right w:val="single" w:color="000000" w:sz="4" w:space="0"/>
            </w:tcBorders>
            <w:noWrap w:val="0"/>
            <w:vAlign w:val="center"/>
          </w:tcPr>
          <w:p w14:paraId="6C9C59C2">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NSG7000-TX65M-Q</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61DCD45F">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套</w:t>
            </w: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117C0781">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w:t>
            </w:r>
          </w:p>
        </w:tc>
        <w:tc>
          <w:tcPr>
            <w:tcW w:w="1435" w:type="dxa"/>
            <w:tcBorders>
              <w:top w:val="single" w:color="000000" w:sz="4" w:space="0"/>
              <w:left w:val="single" w:color="000000" w:sz="4" w:space="0"/>
              <w:bottom w:val="single" w:color="000000" w:sz="4" w:space="0"/>
              <w:right w:val="single" w:color="000000" w:sz="4" w:space="0"/>
            </w:tcBorders>
            <w:noWrap/>
            <w:vAlign w:val="center"/>
          </w:tcPr>
          <w:p w14:paraId="59DE7D15">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公共网络区</w:t>
            </w:r>
          </w:p>
        </w:tc>
      </w:tr>
      <w:tr w14:paraId="5ABB1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20" w:type="dxa"/>
            <w:tcBorders>
              <w:top w:val="single" w:color="000000" w:sz="4" w:space="0"/>
              <w:left w:val="single" w:color="000000" w:sz="4" w:space="0"/>
              <w:bottom w:val="single" w:color="000000" w:sz="4" w:space="0"/>
              <w:right w:val="single" w:color="000000" w:sz="4" w:space="0"/>
            </w:tcBorders>
            <w:noWrap/>
            <w:vAlign w:val="center"/>
          </w:tcPr>
          <w:p w14:paraId="4A284661">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w:t>
            </w:r>
          </w:p>
        </w:tc>
        <w:tc>
          <w:tcPr>
            <w:tcW w:w="2322" w:type="dxa"/>
            <w:tcBorders>
              <w:top w:val="single" w:color="000000" w:sz="4" w:space="0"/>
              <w:left w:val="single" w:color="000000" w:sz="4" w:space="0"/>
              <w:bottom w:val="single" w:color="000000" w:sz="4" w:space="0"/>
              <w:right w:val="single" w:color="000000" w:sz="4" w:space="0"/>
            </w:tcBorders>
            <w:noWrap w:val="0"/>
            <w:vAlign w:val="center"/>
          </w:tcPr>
          <w:p w14:paraId="32DB1887">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政务外网边界IPS</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840F72F">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绿盟</w:t>
            </w:r>
          </w:p>
        </w:tc>
        <w:tc>
          <w:tcPr>
            <w:tcW w:w="2505" w:type="dxa"/>
            <w:tcBorders>
              <w:top w:val="single" w:color="000000" w:sz="4" w:space="0"/>
              <w:left w:val="single" w:color="000000" w:sz="4" w:space="0"/>
              <w:bottom w:val="single" w:color="000000" w:sz="4" w:space="0"/>
              <w:right w:val="single" w:color="000000" w:sz="4" w:space="0"/>
            </w:tcBorders>
            <w:noWrap w:val="0"/>
            <w:vAlign w:val="center"/>
          </w:tcPr>
          <w:p w14:paraId="6AD9F9B7">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NIPSNX5-CH6350</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1B9E389F">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套</w:t>
            </w: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70A7C2CB">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1435" w:type="dxa"/>
            <w:tcBorders>
              <w:top w:val="single" w:color="000000" w:sz="4" w:space="0"/>
              <w:left w:val="single" w:color="000000" w:sz="4" w:space="0"/>
              <w:bottom w:val="single" w:color="000000" w:sz="4" w:space="0"/>
              <w:right w:val="single" w:color="000000" w:sz="4" w:space="0"/>
            </w:tcBorders>
            <w:noWrap/>
            <w:vAlign w:val="center"/>
          </w:tcPr>
          <w:p w14:paraId="1877978B">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公共网络区</w:t>
            </w:r>
          </w:p>
        </w:tc>
      </w:tr>
      <w:tr w14:paraId="738B2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20" w:type="dxa"/>
            <w:tcBorders>
              <w:top w:val="single" w:color="000000" w:sz="4" w:space="0"/>
              <w:left w:val="single" w:color="000000" w:sz="4" w:space="0"/>
              <w:bottom w:val="single" w:color="000000" w:sz="4" w:space="0"/>
              <w:right w:val="single" w:color="000000" w:sz="4" w:space="0"/>
            </w:tcBorders>
            <w:noWrap/>
            <w:vAlign w:val="center"/>
          </w:tcPr>
          <w:p w14:paraId="6942B2AB">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7</w:t>
            </w:r>
          </w:p>
        </w:tc>
        <w:tc>
          <w:tcPr>
            <w:tcW w:w="2322" w:type="dxa"/>
            <w:tcBorders>
              <w:top w:val="single" w:color="000000" w:sz="4" w:space="0"/>
              <w:left w:val="single" w:color="000000" w:sz="4" w:space="0"/>
              <w:bottom w:val="single" w:color="000000" w:sz="4" w:space="0"/>
              <w:right w:val="single" w:color="000000" w:sz="4" w:space="0"/>
            </w:tcBorders>
            <w:noWrap w:val="0"/>
            <w:vAlign w:val="center"/>
          </w:tcPr>
          <w:p w14:paraId="528D9483">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WAF</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39AA0A9">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绿盟</w:t>
            </w:r>
          </w:p>
        </w:tc>
        <w:tc>
          <w:tcPr>
            <w:tcW w:w="2505" w:type="dxa"/>
            <w:tcBorders>
              <w:top w:val="single" w:color="000000" w:sz="4" w:space="0"/>
              <w:left w:val="single" w:color="000000" w:sz="4" w:space="0"/>
              <w:bottom w:val="single" w:color="000000" w:sz="4" w:space="0"/>
              <w:right w:val="single" w:color="000000" w:sz="4" w:space="0"/>
            </w:tcBorders>
            <w:noWrap w:val="0"/>
            <w:vAlign w:val="center"/>
          </w:tcPr>
          <w:p w14:paraId="49AC8B90">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WAFNX5-CH5630</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7258DC71">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套</w:t>
            </w: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0694931E">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1435" w:type="dxa"/>
            <w:tcBorders>
              <w:top w:val="single" w:color="000000" w:sz="4" w:space="0"/>
              <w:left w:val="single" w:color="000000" w:sz="4" w:space="0"/>
              <w:bottom w:val="single" w:color="000000" w:sz="4" w:space="0"/>
              <w:right w:val="single" w:color="000000" w:sz="4" w:space="0"/>
            </w:tcBorders>
            <w:noWrap/>
            <w:vAlign w:val="center"/>
          </w:tcPr>
          <w:p w14:paraId="7E7DCEA4">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公共网络区</w:t>
            </w:r>
          </w:p>
        </w:tc>
      </w:tr>
      <w:tr w14:paraId="7EBC6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20" w:type="dxa"/>
            <w:tcBorders>
              <w:top w:val="single" w:color="000000" w:sz="4" w:space="0"/>
              <w:left w:val="single" w:color="000000" w:sz="4" w:space="0"/>
              <w:bottom w:val="single" w:color="000000" w:sz="4" w:space="0"/>
              <w:right w:val="single" w:color="000000" w:sz="4" w:space="0"/>
            </w:tcBorders>
            <w:noWrap/>
            <w:vAlign w:val="center"/>
          </w:tcPr>
          <w:p w14:paraId="3F1E0E61">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w:t>
            </w:r>
          </w:p>
        </w:tc>
        <w:tc>
          <w:tcPr>
            <w:tcW w:w="2322" w:type="dxa"/>
            <w:tcBorders>
              <w:top w:val="single" w:color="000000" w:sz="4" w:space="0"/>
              <w:left w:val="single" w:color="000000" w:sz="4" w:space="0"/>
              <w:bottom w:val="single" w:color="000000" w:sz="4" w:space="0"/>
              <w:right w:val="single" w:color="000000" w:sz="4" w:space="0"/>
            </w:tcBorders>
            <w:noWrap w:val="0"/>
            <w:vAlign w:val="center"/>
          </w:tcPr>
          <w:p w14:paraId="735DFA73">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漏洞扫描系统</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15AFDD3">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绿盟</w:t>
            </w:r>
          </w:p>
        </w:tc>
        <w:tc>
          <w:tcPr>
            <w:tcW w:w="2505" w:type="dxa"/>
            <w:tcBorders>
              <w:top w:val="single" w:color="000000" w:sz="4" w:space="0"/>
              <w:left w:val="single" w:color="000000" w:sz="4" w:space="0"/>
              <w:bottom w:val="single" w:color="000000" w:sz="4" w:space="0"/>
              <w:right w:val="single" w:color="000000" w:sz="4" w:space="0"/>
            </w:tcBorders>
            <w:noWrap w:val="0"/>
            <w:vAlign w:val="center"/>
          </w:tcPr>
          <w:p w14:paraId="1E2A3D5C">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RSASNX3-E</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135691F8">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套</w:t>
            </w: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0B6BE98A">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1435" w:type="dxa"/>
            <w:tcBorders>
              <w:top w:val="single" w:color="000000" w:sz="4" w:space="0"/>
              <w:left w:val="single" w:color="000000" w:sz="4" w:space="0"/>
              <w:bottom w:val="single" w:color="000000" w:sz="4" w:space="0"/>
              <w:right w:val="single" w:color="000000" w:sz="4" w:space="0"/>
            </w:tcBorders>
            <w:noWrap/>
            <w:vAlign w:val="center"/>
          </w:tcPr>
          <w:p w14:paraId="0CD8E72A">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公共网络区</w:t>
            </w:r>
          </w:p>
        </w:tc>
      </w:tr>
      <w:tr w14:paraId="04F5F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20" w:type="dxa"/>
            <w:tcBorders>
              <w:top w:val="single" w:color="000000" w:sz="4" w:space="0"/>
              <w:left w:val="single" w:color="000000" w:sz="4" w:space="0"/>
              <w:bottom w:val="single" w:color="000000" w:sz="4" w:space="0"/>
              <w:right w:val="single" w:color="000000" w:sz="4" w:space="0"/>
            </w:tcBorders>
            <w:noWrap/>
            <w:vAlign w:val="center"/>
          </w:tcPr>
          <w:p w14:paraId="120D3986">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9</w:t>
            </w:r>
          </w:p>
        </w:tc>
        <w:tc>
          <w:tcPr>
            <w:tcW w:w="2322" w:type="dxa"/>
            <w:tcBorders>
              <w:top w:val="single" w:color="000000" w:sz="4" w:space="0"/>
              <w:left w:val="single" w:color="000000" w:sz="4" w:space="0"/>
              <w:bottom w:val="single" w:color="000000" w:sz="4" w:space="0"/>
              <w:right w:val="single" w:color="000000" w:sz="4" w:space="0"/>
            </w:tcBorders>
            <w:noWrap w:val="0"/>
            <w:vAlign w:val="center"/>
          </w:tcPr>
          <w:p w14:paraId="236B432C">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日志审计</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32C02A2F">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启明星辰</w:t>
            </w:r>
          </w:p>
        </w:tc>
        <w:tc>
          <w:tcPr>
            <w:tcW w:w="2505" w:type="dxa"/>
            <w:tcBorders>
              <w:top w:val="single" w:color="000000" w:sz="4" w:space="0"/>
              <w:left w:val="single" w:color="000000" w:sz="4" w:space="0"/>
              <w:bottom w:val="single" w:color="000000" w:sz="4" w:space="0"/>
              <w:right w:val="single" w:color="000000" w:sz="4" w:space="0"/>
            </w:tcBorders>
            <w:noWrap w:val="0"/>
            <w:vAlign w:val="center"/>
          </w:tcPr>
          <w:p w14:paraId="30FF2D05">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TSOC-SA-CDB</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11823C99">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套</w:t>
            </w: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641778F4">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1435" w:type="dxa"/>
            <w:tcBorders>
              <w:top w:val="single" w:color="000000" w:sz="4" w:space="0"/>
              <w:left w:val="single" w:color="000000" w:sz="4" w:space="0"/>
              <w:bottom w:val="single" w:color="000000" w:sz="4" w:space="0"/>
              <w:right w:val="single" w:color="000000" w:sz="4" w:space="0"/>
            </w:tcBorders>
            <w:noWrap/>
            <w:vAlign w:val="center"/>
          </w:tcPr>
          <w:p w14:paraId="4D8C765B">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公共网络区</w:t>
            </w:r>
          </w:p>
        </w:tc>
      </w:tr>
      <w:tr w14:paraId="55E35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0" w:type="dxa"/>
            <w:tcBorders>
              <w:top w:val="single" w:color="000000" w:sz="4" w:space="0"/>
              <w:left w:val="single" w:color="000000" w:sz="4" w:space="0"/>
              <w:bottom w:val="single" w:color="000000" w:sz="4" w:space="0"/>
              <w:right w:val="single" w:color="000000" w:sz="4" w:space="0"/>
            </w:tcBorders>
            <w:noWrap/>
            <w:vAlign w:val="center"/>
          </w:tcPr>
          <w:p w14:paraId="6E89F61D">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10</w:t>
            </w:r>
          </w:p>
        </w:tc>
        <w:tc>
          <w:tcPr>
            <w:tcW w:w="2322" w:type="dxa"/>
            <w:tcBorders>
              <w:top w:val="single" w:color="000000" w:sz="4" w:space="0"/>
              <w:left w:val="single" w:color="000000" w:sz="4" w:space="0"/>
              <w:bottom w:val="single" w:color="000000" w:sz="4" w:space="0"/>
              <w:right w:val="single" w:color="000000" w:sz="4" w:space="0"/>
            </w:tcBorders>
            <w:noWrap w:val="0"/>
            <w:vAlign w:val="center"/>
          </w:tcPr>
          <w:p w14:paraId="506C3D58">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SDN控制器软件</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1F913B5A">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华为</w:t>
            </w:r>
          </w:p>
        </w:tc>
        <w:tc>
          <w:tcPr>
            <w:tcW w:w="2505" w:type="dxa"/>
            <w:tcBorders>
              <w:top w:val="single" w:color="000000" w:sz="4" w:space="0"/>
              <w:left w:val="single" w:color="000000" w:sz="4" w:space="0"/>
              <w:bottom w:val="single" w:color="000000" w:sz="4" w:space="0"/>
              <w:right w:val="single" w:color="000000" w:sz="4" w:space="0"/>
            </w:tcBorders>
            <w:noWrap w:val="0"/>
            <w:vAlign w:val="center"/>
          </w:tcPr>
          <w:p w14:paraId="2C98CF12">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Managone、esight</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5600E93F">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套</w:t>
            </w: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4104F300">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1435" w:type="dxa"/>
            <w:tcBorders>
              <w:top w:val="single" w:color="000000" w:sz="4" w:space="0"/>
              <w:left w:val="single" w:color="000000" w:sz="4" w:space="0"/>
              <w:bottom w:val="single" w:color="000000" w:sz="4" w:space="0"/>
              <w:right w:val="single" w:color="000000" w:sz="4" w:space="0"/>
            </w:tcBorders>
            <w:noWrap/>
            <w:vAlign w:val="center"/>
          </w:tcPr>
          <w:p w14:paraId="610D5959">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公共网络区</w:t>
            </w:r>
          </w:p>
        </w:tc>
      </w:tr>
      <w:tr w14:paraId="1D1E1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520" w:type="dxa"/>
            <w:tcBorders>
              <w:top w:val="single" w:color="000000" w:sz="4" w:space="0"/>
              <w:left w:val="single" w:color="000000" w:sz="4" w:space="0"/>
              <w:bottom w:val="single" w:color="000000" w:sz="4" w:space="0"/>
              <w:right w:val="single" w:color="000000" w:sz="4" w:space="0"/>
            </w:tcBorders>
            <w:noWrap/>
            <w:vAlign w:val="center"/>
          </w:tcPr>
          <w:p w14:paraId="47E520A2">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11</w:t>
            </w:r>
          </w:p>
        </w:tc>
        <w:tc>
          <w:tcPr>
            <w:tcW w:w="2322" w:type="dxa"/>
            <w:tcBorders>
              <w:top w:val="single" w:color="000000" w:sz="4" w:space="0"/>
              <w:left w:val="single" w:color="000000" w:sz="4" w:space="0"/>
              <w:bottom w:val="single" w:color="000000" w:sz="4" w:space="0"/>
              <w:right w:val="single" w:color="000000" w:sz="4" w:space="0"/>
            </w:tcBorders>
            <w:noWrap w:val="0"/>
            <w:vAlign w:val="center"/>
          </w:tcPr>
          <w:p w14:paraId="763A0951">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全闪存分布式SAN存储</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4418B665">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华为</w:t>
            </w:r>
          </w:p>
        </w:tc>
        <w:tc>
          <w:tcPr>
            <w:tcW w:w="2505" w:type="dxa"/>
            <w:tcBorders>
              <w:top w:val="single" w:color="000000" w:sz="4" w:space="0"/>
              <w:left w:val="single" w:color="000000" w:sz="4" w:space="0"/>
              <w:bottom w:val="single" w:color="000000" w:sz="4" w:space="0"/>
              <w:right w:val="single" w:color="000000" w:sz="4" w:space="0"/>
            </w:tcBorders>
            <w:noWrap w:val="0"/>
            <w:vAlign w:val="center"/>
          </w:tcPr>
          <w:p w14:paraId="676541C2">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FusionStorage RA 8</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5F5676D7">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台</w:t>
            </w: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445D3010">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w:t>
            </w:r>
          </w:p>
        </w:tc>
        <w:tc>
          <w:tcPr>
            <w:tcW w:w="1435" w:type="dxa"/>
            <w:tcBorders>
              <w:top w:val="single" w:color="000000" w:sz="4" w:space="0"/>
              <w:left w:val="single" w:color="000000" w:sz="4" w:space="0"/>
              <w:bottom w:val="single" w:color="000000" w:sz="4" w:space="0"/>
              <w:right w:val="single" w:color="000000" w:sz="4" w:space="0"/>
            </w:tcBorders>
            <w:noWrap/>
            <w:vAlign w:val="center"/>
          </w:tcPr>
          <w:p w14:paraId="56F5CC56">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公共网络区</w:t>
            </w:r>
          </w:p>
        </w:tc>
      </w:tr>
      <w:tr w14:paraId="49405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20" w:type="dxa"/>
            <w:tcBorders>
              <w:top w:val="single" w:color="000000" w:sz="4" w:space="0"/>
              <w:left w:val="single" w:color="000000" w:sz="4" w:space="0"/>
              <w:bottom w:val="single" w:color="000000" w:sz="4" w:space="0"/>
              <w:right w:val="single" w:color="000000" w:sz="4" w:space="0"/>
            </w:tcBorders>
            <w:noWrap/>
            <w:vAlign w:val="center"/>
          </w:tcPr>
          <w:p w14:paraId="2F72C320">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12</w:t>
            </w:r>
          </w:p>
        </w:tc>
        <w:tc>
          <w:tcPr>
            <w:tcW w:w="2322" w:type="dxa"/>
            <w:tcBorders>
              <w:top w:val="single" w:color="000000" w:sz="4" w:space="0"/>
              <w:left w:val="single" w:color="000000" w:sz="4" w:space="0"/>
              <w:bottom w:val="single" w:color="000000" w:sz="4" w:space="0"/>
              <w:right w:val="single" w:color="000000" w:sz="4" w:space="0"/>
            </w:tcBorders>
            <w:noWrap w:val="0"/>
            <w:vAlign w:val="center"/>
          </w:tcPr>
          <w:p w14:paraId="06FD6FF4">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云数据中心软件</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2629388C">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华为</w:t>
            </w:r>
          </w:p>
        </w:tc>
        <w:tc>
          <w:tcPr>
            <w:tcW w:w="2505" w:type="dxa"/>
            <w:tcBorders>
              <w:top w:val="single" w:color="000000" w:sz="4" w:space="0"/>
              <w:left w:val="single" w:color="000000" w:sz="4" w:space="0"/>
              <w:bottom w:val="single" w:color="000000" w:sz="4" w:space="0"/>
              <w:right w:val="single" w:color="000000" w:sz="4" w:space="0"/>
            </w:tcBorders>
            <w:noWrap w:val="0"/>
            <w:vAlign w:val="center"/>
          </w:tcPr>
          <w:p w14:paraId="13D4CB99">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FusionSphere云套件</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469EFFF5">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套</w:t>
            </w: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1107B717">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1435" w:type="dxa"/>
            <w:tcBorders>
              <w:top w:val="single" w:color="000000" w:sz="4" w:space="0"/>
              <w:left w:val="single" w:color="000000" w:sz="4" w:space="0"/>
              <w:bottom w:val="single" w:color="000000" w:sz="4" w:space="0"/>
              <w:right w:val="single" w:color="000000" w:sz="4" w:space="0"/>
            </w:tcBorders>
            <w:noWrap/>
            <w:vAlign w:val="center"/>
          </w:tcPr>
          <w:p w14:paraId="17B25D74">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公共网络区</w:t>
            </w:r>
          </w:p>
        </w:tc>
      </w:tr>
      <w:tr w14:paraId="4F842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20" w:type="dxa"/>
            <w:tcBorders>
              <w:top w:val="single" w:color="000000" w:sz="4" w:space="0"/>
              <w:left w:val="single" w:color="000000" w:sz="4" w:space="0"/>
              <w:bottom w:val="single" w:color="000000" w:sz="4" w:space="0"/>
              <w:right w:val="single" w:color="000000" w:sz="4" w:space="0"/>
            </w:tcBorders>
            <w:noWrap/>
            <w:vAlign w:val="center"/>
          </w:tcPr>
          <w:p w14:paraId="78DBF063">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w:t>
            </w:r>
          </w:p>
        </w:tc>
        <w:tc>
          <w:tcPr>
            <w:tcW w:w="2322" w:type="dxa"/>
            <w:tcBorders>
              <w:top w:val="single" w:color="000000" w:sz="4" w:space="0"/>
              <w:left w:val="single" w:color="000000" w:sz="4" w:space="0"/>
              <w:bottom w:val="single" w:color="000000" w:sz="4" w:space="0"/>
              <w:right w:val="single" w:color="000000" w:sz="4" w:space="0"/>
            </w:tcBorders>
            <w:noWrap w:val="0"/>
            <w:vAlign w:val="center"/>
          </w:tcPr>
          <w:p w14:paraId="548A9D66">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应用交付系统</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ACCEC58">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深信服</w:t>
            </w:r>
          </w:p>
        </w:tc>
        <w:tc>
          <w:tcPr>
            <w:tcW w:w="2505" w:type="dxa"/>
            <w:tcBorders>
              <w:top w:val="single" w:color="000000" w:sz="4" w:space="0"/>
              <w:left w:val="single" w:color="000000" w:sz="4" w:space="0"/>
              <w:bottom w:val="single" w:color="000000" w:sz="4" w:space="0"/>
              <w:right w:val="single" w:color="000000" w:sz="4" w:space="0"/>
            </w:tcBorders>
            <w:noWrap w:val="0"/>
            <w:vAlign w:val="center"/>
          </w:tcPr>
          <w:p w14:paraId="792A0666">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深信服AD-1000-I482</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1B706013">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台</w:t>
            </w: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043326E0">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1435" w:type="dxa"/>
            <w:tcBorders>
              <w:top w:val="single" w:color="000000" w:sz="4" w:space="0"/>
              <w:left w:val="single" w:color="000000" w:sz="4" w:space="0"/>
              <w:bottom w:val="single" w:color="000000" w:sz="4" w:space="0"/>
              <w:right w:val="single" w:color="000000" w:sz="4" w:space="0"/>
            </w:tcBorders>
            <w:noWrap/>
            <w:vAlign w:val="center"/>
          </w:tcPr>
          <w:p w14:paraId="014FF7A8">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互联网区</w:t>
            </w:r>
          </w:p>
        </w:tc>
      </w:tr>
      <w:tr w14:paraId="5DBD9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20" w:type="dxa"/>
            <w:tcBorders>
              <w:top w:val="single" w:color="000000" w:sz="4" w:space="0"/>
              <w:left w:val="single" w:color="000000" w:sz="4" w:space="0"/>
              <w:bottom w:val="single" w:color="000000" w:sz="4" w:space="0"/>
              <w:right w:val="single" w:color="000000" w:sz="4" w:space="0"/>
            </w:tcBorders>
            <w:noWrap/>
            <w:vAlign w:val="center"/>
          </w:tcPr>
          <w:p w14:paraId="280834F9">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14</w:t>
            </w:r>
          </w:p>
        </w:tc>
        <w:tc>
          <w:tcPr>
            <w:tcW w:w="2322" w:type="dxa"/>
            <w:tcBorders>
              <w:top w:val="single" w:color="000000" w:sz="4" w:space="0"/>
              <w:left w:val="single" w:color="000000" w:sz="4" w:space="0"/>
              <w:bottom w:val="single" w:color="000000" w:sz="4" w:space="0"/>
              <w:right w:val="single" w:color="000000" w:sz="4" w:space="0"/>
            </w:tcBorders>
            <w:noWrap w:val="0"/>
            <w:vAlign w:val="center"/>
          </w:tcPr>
          <w:p w14:paraId="186286A5">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WAF</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6A9322E8">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绿盟</w:t>
            </w:r>
          </w:p>
        </w:tc>
        <w:tc>
          <w:tcPr>
            <w:tcW w:w="2505" w:type="dxa"/>
            <w:tcBorders>
              <w:top w:val="single" w:color="000000" w:sz="4" w:space="0"/>
              <w:left w:val="single" w:color="000000" w:sz="4" w:space="0"/>
              <w:bottom w:val="single" w:color="000000" w:sz="4" w:space="0"/>
              <w:right w:val="single" w:color="000000" w:sz="4" w:space="0"/>
            </w:tcBorders>
            <w:noWrap w:val="0"/>
            <w:vAlign w:val="center"/>
          </w:tcPr>
          <w:p w14:paraId="03FCABC6">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绿盟WAFNX5-CH5630</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1186AA6B">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台</w:t>
            </w: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5B5775C6">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1435" w:type="dxa"/>
            <w:tcBorders>
              <w:top w:val="single" w:color="000000" w:sz="4" w:space="0"/>
              <w:left w:val="single" w:color="000000" w:sz="4" w:space="0"/>
              <w:bottom w:val="single" w:color="000000" w:sz="4" w:space="0"/>
              <w:right w:val="single" w:color="000000" w:sz="4" w:space="0"/>
            </w:tcBorders>
            <w:noWrap/>
            <w:vAlign w:val="center"/>
          </w:tcPr>
          <w:p w14:paraId="4E02DA39">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互联网区</w:t>
            </w:r>
          </w:p>
        </w:tc>
      </w:tr>
      <w:tr w14:paraId="4D8E1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0" w:type="dxa"/>
            <w:tcBorders>
              <w:top w:val="single" w:color="000000" w:sz="4" w:space="0"/>
              <w:left w:val="single" w:color="000000" w:sz="4" w:space="0"/>
              <w:bottom w:val="single" w:color="000000" w:sz="4" w:space="0"/>
              <w:right w:val="single" w:color="000000" w:sz="4" w:space="0"/>
            </w:tcBorders>
            <w:noWrap/>
            <w:vAlign w:val="center"/>
          </w:tcPr>
          <w:p w14:paraId="3A7C22A2">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15</w:t>
            </w:r>
          </w:p>
        </w:tc>
        <w:tc>
          <w:tcPr>
            <w:tcW w:w="2322" w:type="dxa"/>
            <w:tcBorders>
              <w:top w:val="single" w:color="000000" w:sz="4" w:space="0"/>
              <w:left w:val="single" w:color="000000" w:sz="4" w:space="0"/>
              <w:bottom w:val="single" w:color="000000" w:sz="4" w:space="0"/>
              <w:right w:val="single" w:color="000000" w:sz="4" w:space="0"/>
            </w:tcBorders>
            <w:noWrap w:val="0"/>
            <w:vAlign w:val="center"/>
          </w:tcPr>
          <w:p w14:paraId="0B68F364">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政务外网边界防毒墙</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14:paraId="0958EDDE">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网神</w:t>
            </w:r>
          </w:p>
        </w:tc>
        <w:tc>
          <w:tcPr>
            <w:tcW w:w="2505" w:type="dxa"/>
            <w:tcBorders>
              <w:top w:val="single" w:color="000000" w:sz="4" w:space="0"/>
              <w:left w:val="single" w:color="000000" w:sz="4" w:space="0"/>
              <w:bottom w:val="single" w:color="000000" w:sz="4" w:space="0"/>
              <w:right w:val="single" w:color="000000" w:sz="4" w:space="0"/>
            </w:tcBorders>
            <w:noWrap w:val="0"/>
            <w:vAlign w:val="center"/>
          </w:tcPr>
          <w:p w14:paraId="1CD4CD63">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NSG7000-TX65M-AV01</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0F42E61B">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套</w:t>
            </w: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3E875989">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1435" w:type="dxa"/>
            <w:tcBorders>
              <w:top w:val="single" w:color="000000" w:sz="4" w:space="0"/>
              <w:left w:val="single" w:color="000000" w:sz="4" w:space="0"/>
              <w:bottom w:val="single" w:color="000000" w:sz="4" w:space="0"/>
              <w:right w:val="single" w:color="000000" w:sz="4" w:space="0"/>
            </w:tcBorders>
            <w:noWrap/>
            <w:vAlign w:val="center"/>
          </w:tcPr>
          <w:p w14:paraId="1FB8CEE9">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公共网络区</w:t>
            </w:r>
          </w:p>
        </w:tc>
      </w:tr>
    </w:tbl>
    <w:p w14:paraId="0D4B42D3">
      <w:pPr>
        <w:keepNext w:val="0"/>
        <w:keepLines w:val="0"/>
        <w:pageBreakBefore w:val="0"/>
        <w:kinsoku/>
        <w:overflowPunct/>
        <w:topLinePunct w:val="0"/>
        <w:autoSpaceDE/>
        <w:autoSpaceDN/>
        <w:bidi w:val="0"/>
        <w:adjustRightInd/>
        <w:snapToGrid/>
        <w:spacing w:line="480" w:lineRule="exact"/>
        <w:ind w:left="0"/>
        <w:outlineLvl w:val="9"/>
        <w:rPr>
          <w:rFonts w:hint="eastAsia" w:asciiTheme="minorEastAsia" w:hAnsiTheme="minorEastAsia" w:eastAsiaTheme="minorEastAsia" w:cstheme="minorEastAsia"/>
          <w:b w:val="0"/>
          <w:bCs w:val="0"/>
          <w:color w:val="auto"/>
          <w:kern w:val="2"/>
          <w:sz w:val="21"/>
          <w:szCs w:val="21"/>
          <w:highlight w:val="none"/>
        </w:rPr>
      </w:pPr>
    </w:p>
    <w:p w14:paraId="154331BB">
      <w:pPr>
        <w:keepNext w:val="0"/>
        <w:pageBreakBefore w:val="0"/>
        <w:kinsoku/>
        <w:overflowPunct/>
        <w:topLinePunct w:val="0"/>
        <w:bidi w:val="0"/>
        <w:snapToGrid/>
        <w:spacing w:line="480" w:lineRule="exac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br w:type="page"/>
      </w:r>
    </w:p>
    <w:p w14:paraId="052076FE">
      <w:pPr>
        <w:keepNext w:val="0"/>
        <w:keepLines w:val="0"/>
        <w:pageBreakBefore w:val="0"/>
        <w:kinsoku/>
        <w:overflowPunct/>
        <w:topLinePunct w:val="0"/>
        <w:autoSpaceDE/>
        <w:autoSpaceDN/>
        <w:bidi w:val="0"/>
        <w:adjustRightInd/>
        <w:snapToGrid/>
        <w:spacing w:line="500" w:lineRule="exact"/>
        <w:ind w:left="0"/>
        <w:rPr>
          <w:rFonts w:hint="eastAsia" w:ascii="Arial Unicode MS" w:hAnsi="Arial Unicode MS" w:eastAsia="Arial Unicode MS" w:cs="Arial Unicode MS"/>
          <w:color w:val="auto"/>
          <w:sz w:val="32"/>
          <w:szCs w:val="32"/>
          <w:highlight w:val="none"/>
        </w:rPr>
      </w:pPr>
      <w:r>
        <w:rPr>
          <w:rFonts w:hint="eastAsia" w:ascii="Arial Unicode MS" w:hAnsi="Arial Unicode MS" w:eastAsia="Arial Unicode MS" w:cs="Arial Unicode MS"/>
          <w:color w:val="auto"/>
          <w:sz w:val="32"/>
          <w:szCs w:val="32"/>
          <w:highlight w:val="none"/>
        </w:rPr>
        <w:t>附件</w:t>
      </w:r>
      <w:r>
        <w:rPr>
          <w:rFonts w:hint="eastAsia" w:ascii="Arial Unicode MS" w:hAnsi="Arial Unicode MS" w:eastAsia="Arial Unicode MS" w:cs="Arial Unicode MS"/>
          <w:color w:val="auto"/>
          <w:sz w:val="32"/>
          <w:szCs w:val="32"/>
          <w:highlight w:val="none"/>
          <w:lang w:val="en-US" w:eastAsia="zh-CN"/>
        </w:rPr>
        <w:t>2</w:t>
      </w:r>
      <w:r>
        <w:rPr>
          <w:rFonts w:hint="eastAsia" w:ascii="Arial Unicode MS" w:hAnsi="Arial Unicode MS" w:eastAsia="Arial Unicode MS" w:cs="Arial Unicode MS"/>
          <w:color w:val="auto"/>
          <w:sz w:val="32"/>
          <w:szCs w:val="32"/>
          <w:highlight w:val="none"/>
        </w:rPr>
        <w:t>：《南宁市电子政务云平台二期其余软硬件清单》</w:t>
      </w:r>
    </w:p>
    <w:p w14:paraId="5618664C">
      <w:pPr>
        <w:keepNext w:val="0"/>
        <w:keepLines w:val="0"/>
        <w:pageBreakBefore w:val="0"/>
        <w:kinsoku/>
        <w:overflowPunct/>
        <w:topLinePunct w:val="0"/>
        <w:autoSpaceDE/>
        <w:autoSpaceDN/>
        <w:bidi w:val="0"/>
        <w:adjustRightInd/>
        <w:snapToGrid/>
        <w:spacing w:line="480" w:lineRule="exact"/>
        <w:ind w:left="0"/>
        <w:rPr>
          <w:rFonts w:hint="eastAsia" w:asciiTheme="minorEastAsia" w:hAnsiTheme="minorEastAsia" w:eastAsiaTheme="minorEastAsia" w:cstheme="minorEastAsia"/>
          <w:color w:val="auto"/>
          <w:sz w:val="21"/>
          <w:szCs w:val="21"/>
          <w:highlight w:val="none"/>
        </w:rPr>
      </w:pPr>
    </w:p>
    <w:tbl>
      <w:tblPr>
        <w:tblStyle w:val="25"/>
        <w:tblW w:w="971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40"/>
        <w:gridCol w:w="2839"/>
        <w:gridCol w:w="885"/>
        <w:gridCol w:w="2073"/>
        <w:gridCol w:w="968"/>
        <w:gridCol w:w="849"/>
        <w:gridCol w:w="1560"/>
      </w:tblGrid>
      <w:tr w14:paraId="53652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7EDA097F">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2839" w:type="dxa"/>
            <w:tcBorders>
              <w:top w:val="single" w:color="000000" w:sz="4" w:space="0"/>
              <w:left w:val="single" w:color="000000" w:sz="4" w:space="0"/>
              <w:bottom w:val="single" w:color="000000" w:sz="4" w:space="0"/>
              <w:right w:val="single" w:color="000000" w:sz="4" w:space="0"/>
            </w:tcBorders>
            <w:noWrap w:val="0"/>
            <w:vAlign w:val="center"/>
          </w:tcPr>
          <w:p w14:paraId="196C87C7">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软硬件名称</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BD326EE">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品牌</w:t>
            </w:r>
          </w:p>
        </w:tc>
        <w:tc>
          <w:tcPr>
            <w:tcW w:w="2073" w:type="dxa"/>
            <w:tcBorders>
              <w:top w:val="single" w:color="000000" w:sz="4" w:space="0"/>
              <w:left w:val="single" w:color="000000" w:sz="4" w:space="0"/>
              <w:bottom w:val="single" w:color="000000" w:sz="4" w:space="0"/>
              <w:right w:val="single" w:color="000000" w:sz="4" w:space="0"/>
            </w:tcBorders>
            <w:noWrap w:val="0"/>
            <w:vAlign w:val="center"/>
          </w:tcPr>
          <w:p w14:paraId="080DC346">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型号/（内容）</w:t>
            </w:r>
          </w:p>
        </w:tc>
        <w:tc>
          <w:tcPr>
            <w:tcW w:w="968" w:type="dxa"/>
            <w:tcBorders>
              <w:top w:val="single" w:color="000000" w:sz="4" w:space="0"/>
              <w:left w:val="single" w:color="000000" w:sz="4" w:space="0"/>
              <w:bottom w:val="single" w:color="000000" w:sz="4" w:space="0"/>
              <w:right w:val="single" w:color="000000" w:sz="4" w:space="0"/>
            </w:tcBorders>
            <w:noWrap/>
            <w:vAlign w:val="center"/>
          </w:tcPr>
          <w:p w14:paraId="45032C4E">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单位</w:t>
            </w: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16238328">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数量</w:t>
            </w:r>
          </w:p>
        </w:tc>
        <w:tc>
          <w:tcPr>
            <w:tcW w:w="1560" w:type="dxa"/>
            <w:tcBorders>
              <w:top w:val="single" w:color="000000" w:sz="4" w:space="0"/>
              <w:left w:val="single" w:color="000000" w:sz="4" w:space="0"/>
              <w:bottom w:val="single" w:color="000000" w:sz="4" w:space="0"/>
              <w:right w:val="single" w:color="000000" w:sz="4" w:space="0"/>
            </w:tcBorders>
            <w:noWrap/>
            <w:vAlign w:val="center"/>
          </w:tcPr>
          <w:p w14:paraId="156B0D7E">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区域</w:t>
            </w:r>
          </w:p>
        </w:tc>
      </w:tr>
      <w:tr w14:paraId="3A64B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2A9D2ACE">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839" w:type="dxa"/>
            <w:tcBorders>
              <w:top w:val="single" w:color="000000" w:sz="4" w:space="0"/>
              <w:left w:val="single" w:color="000000" w:sz="4" w:space="0"/>
              <w:bottom w:val="single" w:color="000000" w:sz="4" w:space="0"/>
              <w:right w:val="single" w:color="000000" w:sz="4" w:space="0"/>
            </w:tcBorders>
            <w:noWrap w:val="0"/>
            <w:vAlign w:val="center"/>
          </w:tcPr>
          <w:p w14:paraId="31122C45">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互联网边界接入路由器</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4E56A0A6">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华为</w:t>
            </w:r>
          </w:p>
        </w:tc>
        <w:tc>
          <w:tcPr>
            <w:tcW w:w="2073" w:type="dxa"/>
            <w:tcBorders>
              <w:top w:val="single" w:color="000000" w:sz="4" w:space="0"/>
              <w:left w:val="single" w:color="000000" w:sz="4" w:space="0"/>
              <w:bottom w:val="single" w:color="000000" w:sz="4" w:space="0"/>
              <w:right w:val="single" w:color="000000" w:sz="4" w:space="0"/>
            </w:tcBorders>
            <w:noWrap w:val="0"/>
            <w:vAlign w:val="center"/>
          </w:tcPr>
          <w:p w14:paraId="3D54FF05">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CE12808</w:t>
            </w:r>
          </w:p>
        </w:tc>
        <w:tc>
          <w:tcPr>
            <w:tcW w:w="968" w:type="dxa"/>
            <w:tcBorders>
              <w:top w:val="single" w:color="000000" w:sz="4" w:space="0"/>
              <w:left w:val="single" w:color="000000" w:sz="4" w:space="0"/>
              <w:bottom w:val="single" w:color="000000" w:sz="4" w:space="0"/>
              <w:right w:val="single" w:color="000000" w:sz="4" w:space="0"/>
            </w:tcBorders>
            <w:noWrap/>
            <w:vAlign w:val="center"/>
          </w:tcPr>
          <w:p w14:paraId="34E6F430">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5D048847">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560" w:type="dxa"/>
            <w:tcBorders>
              <w:top w:val="single" w:color="000000" w:sz="4" w:space="0"/>
              <w:left w:val="single" w:color="000000" w:sz="4" w:space="0"/>
              <w:bottom w:val="single" w:color="000000" w:sz="4" w:space="0"/>
              <w:right w:val="single" w:color="000000" w:sz="4" w:space="0"/>
            </w:tcBorders>
            <w:noWrap/>
            <w:vAlign w:val="center"/>
          </w:tcPr>
          <w:p w14:paraId="604A3832">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互联网区</w:t>
            </w:r>
          </w:p>
        </w:tc>
      </w:tr>
      <w:tr w14:paraId="2AE4C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694905FD">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2839" w:type="dxa"/>
            <w:tcBorders>
              <w:top w:val="single" w:color="000000" w:sz="4" w:space="0"/>
              <w:left w:val="single" w:color="000000" w:sz="4" w:space="0"/>
              <w:bottom w:val="single" w:color="000000" w:sz="4" w:space="0"/>
              <w:right w:val="single" w:color="000000" w:sz="4" w:space="0"/>
            </w:tcBorders>
            <w:noWrap w:val="0"/>
            <w:vAlign w:val="center"/>
          </w:tcPr>
          <w:p w14:paraId="680EC75E">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互联网边界TAP</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302F279">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华为</w:t>
            </w:r>
          </w:p>
        </w:tc>
        <w:tc>
          <w:tcPr>
            <w:tcW w:w="2073" w:type="dxa"/>
            <w:tcBorders>
              <w:top w:val="single" w:color="000000" w:sz="4" w:space="0"/>
              <w:left w:val="single" w:color="000000" w:sz="4" w:space="0"/>
              <w:bottom w:val="single" w:color="000000" w:sz="4" w:space="0"/>
              <w:right w:val="single" w:color="000000" w:sz="4" w:space="0"/>
            </w:tcBorders>
            <w:noWrap w:val="0"/>
            <w:vAlign w:val="center"/>
          </w:tcPr>
          <w:p w14:paraId="1B48F766">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CloudEngine S6730-H48X6C</w:t>
            </w:r>
          </w:p>
        </w:tc>
        <w:tc>
          <w:tcPr>
            <w:tcW w:w="968" w:type="dxa"/>
            <w:tcBorders>
              <w:top w:val="single" w:color="000000" w:sz="4" w:space="0"/>
              <w:left w:val="single" w:color="000000" w:sz="4" w:space="0"/>
              <w:bottom w:val="single" w:color="000000" w:sz="4" w:space="0"/>
              <w:right w:val="single" w:color="000000" w:sz="4" w:space="0"/>
            </w:tcBorders>
            <w:noWrap/>
            <w:vAlign w:val="center"/>
          </w:tcPr>
          <w:p w14:paraId="11F2F9D4">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377CD98D">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noWrap/>
            <w:vAlign w:val="center"/>
          </w:tcPr>
          <w:p w14:paraId="513C87EA">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互联网区</w:t>
            </w:r>
          </w:p>
        </w:tc>
      </w:tr>
      <w:tr w14:paraId="79F5C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4E6C3647">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2839" w:type="dxa"/>
            <w:tcBorders>
              <w:top w:val="single" w:color="000000" w:sz="4" w:space="0"/>
              <w:left w:val="single" w:color="000000" w:sz="4" w:space="0"/>
              <w:bottom w:val="single" w:color="000000" w:sz="4" w:space="0"/>
              <w:right w:val="single" w:color="000000" w:sz="4" w:space="0"/>
            </w:tcBorders>
            <w:noWrap w:val="0"/>
            <w:vAlign w:val="center"/>
          </w:tcPr>
          <w:p w14:paraId="60ECC6A5">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互联网区多云汇聚路由器</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2104AC07">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华为</w:t>
            </w:r>
          </w:p>
        </w:tc>
        <w:tc>
          <w:tcPr>
            <w:tcW w:w="2073" w:type="dxa"/>
            <w:tcBorders>
              <w:top w:val="single" w:color="000000" w:sz="4" w:space="0"/>
              <w:left w:val="single" w:color="000000" w:sz="4" w:space="0"/>
              <w:bottom w:val="single" w:color="000000" w:sz="4" w:space="0"/>
              <w:right w:val="single" w:color="000000" w:sz="4" w:space="0"/>
            </w:tcBorders>
            <w:noWrap w:val="0"/>
            <w:vAlign w:val="center"/>
          </w:tcPr>
          <w:p w14:paraId="4905CE36">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CE12808</w:t>
            </w:r>
          </w:p>
        </w:tc>
        <w:tc>
          <w:tcPr>
            <w:tcW w:w="968" w:type="dxa"/>
            <w:tcBorders>
              <w:top w:val="single" w:color="000000" w:sz="4" w:space="0"/>
              <w:left w:val="single" w:color="000000" w:sz="4" w:space="0"/>
              <w:bottom w:val="single" w:color="000000" w:sz="4" w:space="0"/>
              <w:right w:val="single" w:color="000000" w:sz="4" w:space="0"/>
            </w:tcBorders>
            <w:noWrap/>
            <w:vAlign w:val="center"/>
          </w:tcPr>
          <w:p w14:paraId="150B074B">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33A6EE33">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560" w:type="dxa"/>
            <w:tcBorders>
              <w:top w:val="single" w:color="000000" w:sz="4" w:space="0"/>
              <w:left w:val="single" w:color="000000" w:sz="4" w:space="0"/>
              <w:bottom w:val="single" w:color="000000" w:sz="4" w:space="0"/>
              <w:right w:val="single" w:color="000000" w:sz="4" w:space="0"/>
            </w:tcBorders>
            <w:noWrap/>
            <w:vAlign w:val="center"/>
          </w:tcPr>
          <w:p w14:paraId="3CEA7611">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互联网区</w:t>
            </w:r>
          </w:p>
        </w:tc>
      </w:tr>
      <w:tr w14:paraId="505D2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1FF2E466">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2839" w:type="dxa"/>
            <w:tcBorders>
              <w:top w:val="single" w:color="000000" w:sz="4" w:space="0"/>
              <w:left w:val="single" w:color="000000" w:sz="4" w:space="0"/>
              <w:bottom w:val="single" w:color="000000" w:sz="4" w:space="0"/>
              <w:right w:val="single" w:color="000000" w:sz="4" w:space="0"/>
            </w:tcBorders>
            <w:noWrap w:val="0"/>
            <w:vAlign w:val="center"/>
          </w:tcPr>
          <w:p w14:paraId="1B5C5BA5">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虚拟化计算资源服务器</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AE90DE7">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华为</w:t>
            </w:r>
          </w:p>
        </w:tc>
        <w:tc>
          <w:tcPr>
            <w:tcW w:w="2073" w:type="dxa"/>
            <w:tcBorders>
              <w:top w:val="single" w:color="000000" w:sz="4" w:space="0"/>
              <w:left w:val="single" w:color="000000" w:sz="4" w:space="0"/>
              <w:bottom w:val="single" w:color="000000" w:sz="4" w:space="0"/>
              <w:right w:val="single" w:color="000000" w:sz="4" w:space="0"/>
            </w:tcBorders>
            <w:noWrap w:val="0"/>
            <w:vAlign w:val="center"/>
          </w:tcPr>
          <w:p w14:paraId="65A7322B">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2488 V5</w:t>
            </w:r>
          </w:p>
        </w:tc>
        <w:tc>
          <w:tcPr>
            <w:tcW w:w="968" w:type="dxa"/>
            <w:tcBorders>
              <w:top w:val="single" w:color="000000" w:sz="4" w:space="0"/>
              <w:left w:val="single" w:color="000000" w:sz="4" w:space="0"/>
              <w:bottom w:val="single" w:color="000000" w:sz="4" w:space="0"/>
              <w:right w:val="single" w:color="000000" w:sz="4" w:space="0"/>
            </w:tcBorders>
            <w:noWrap/>
            <w:vAlign w:val="center"/>
          </w:tcPr>
          <w:p w14:paraId="47C42390">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722EA8D4">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w:t>
            </w:r>
          </w:p>
        </w:tc>
        <w:tc>
          <w:tcPr>
            <w:tcW w:w="1560" w:type="dxa"/>
            <w:tcBorders>
              <w:top w:val="single" w:color="000000" w:sz="4" w:space="0"/>
              <w:left w:val="single" w:color="000000" w:sz="4" w:space="0"/>
              <w:bottom w:val="single" w:color="000000" w:sz="4" w:space="0"/>
              <w:right w:val="single" w:color="000000" w:sz="4" w:space="0"/>
            </w:tcBorders>
            <w:noWrap/>
            <w:vAlign w:val="center"/>
          </w:tcPr>
          <w:p w14:paraId="5C0C85BC">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互联网区</w:t>
            </w:r>
          </w:p>
        </w:tc>
      </w:tr>
      <w:tr w14:paraId="64D57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6FD5F23C">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2839" w:type="dxa"/>
            <w:tcBorders>
              <w:top w:val="single" w:color="000000" w:sz="4" w:space="0"/>
              <w:left w:val="single" w:color="000000" w:sz="4" w:space="0"/>
              <w:bottom w:val="single" w:color="000000" w:sz="4" w:space="0"/>
              <w:right w:val="single" w:color="000000" w:sz="4" w:space="0"/>
            </w:tcBorders>
            <w:noWrap w:val="0"/>
            <w:vAlign w:val="center"/>
          </w:tcPr>
          <w:p w14:paraId="554E8757">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四路数据库服务器</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189675F1">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华为</w:t>
            </w:r>
          </w:p>
        </w:tc>
        <w:tc>
          <w:tcPr>
            <w:tcW w:w="2073" w:type="dxa"/>
            <w:tcBorders>
              <w:top w:val="single" w:color="000000" w:sz="4" w:space="0"/>
              <w:left w:val="single" w:color="000000" w:sz="4" w:space="0"/>
              <w:bottom w:val="single" w:color="000000" w:sz="4" w:space="0"/>
              <w:right w:val="single" w:color="000000" w:sz="4" w:space="0"/>
            </w:tcBorders>
            <w:noWrap w:val="0"/>
            <w:vAlign w:val="center"/>
          </w:tcPr>
          <w:p w14:paraId="3E8B3051">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2488H V5</w:t>
            </w:r>
          </w:p>
        </w:tc>
        <w:tc>
          <w:tcPr>
            <w:tcW w:w="968" w:type="dxa"/>
            <w:tcBorders>
              <w:top w:val="single" w:color="000000" w:sz="4" w:space="0"/>
              <w:left w:val="single" w:color="000000" w:sz="4" w:space="0"/>
              <w:bottom w:val="single" w:color="000000" w:sz="4" w:space="0"/>
              <w:right w:val="single" w:color="000000" w:sz="4" w:space="0"/>
            </w:tcBorders>
            <w:noWrap/>
            <w:vAlign w:val="center"/>
          </w:tcPr>
          <w:p w14:paraId="24FE9C58">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0DD27142">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1560" w:type="dxa"/>
            <w:tcBorders>
              <w:top w:val="single" w:color="000000" w:sz="4" w:space="0"/>
              <w:left w:val="single" w:color="000000" w:sz="4" w:space="0"/>
              <w:bottom w:val="single" w:color="000000" w:sz="4" w:space="0"/>
              <w:right w:val="single" w:color="000000" w:sz="4" w:space="0"/>
            </w:tcBorders>
            <w:noWrap/>
            <w:vAlign w:val="center"/>
          </w:tcPr>
          <w:p w14:paraId="20F9945E">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互联网区</w:t>
            </w:r>
          </w:p>
        </w:tc>
      </w:tr>
      <w:tr w14:paraId="37316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7A628787">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2839" w:type="dxa"/>
            <w:tcBorders>
              <w:top w:val="single" w:color="000000" w:sz="4" w:space="0"/>
              <w:left w:val="single" w:color="000000" w:sz="4" w:space="0"/>
              <w:bottom w:val="single" w:color="000000" w:sz="4" w:space="0"/>
              <w:right w:val="single" w:color="000000" w:sz="4" w:space="0"/>
            </w:tcBorders>
            <w:noWrap w:val="0"/>
            <w:vAlign w:val="center"/>
          </w:tcPr>
          <w:p w14:paraId="5BC31CBA">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二路数据库服务器</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2E12FF5C">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华为</w:t>
            </w:r>
          </w:p>
        </w:tc>
        <w:tc>
          <w:tcPr>
            <w:tcW w:w="2073" w:type="dxa"/>
            <w:tcBorders>
              <w:top w:val="single" w:color="000000" w:sz="4" w:space="0"/>
              <w:left w:val="single" w:color="000000" w:sz="4" w:space="0"/>
              <w:bottom w:val="single" w:color="000000" w:sz="4" w:space="0"/>
              <w:right w:val="single" w:color="000000" w:sz="4" w:space="0"/>
            </w:tcBorders>
            <w:noWrap w:val="0"/>
            <w:vAlign w:val="center"/>
          </w:tcPr>
          <w:p w14:paraId="0EA7596F">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2288H V5</w:t>
            </w:r>
          </w:p>
        </w:tc>
        <w:tc>
          <w:tcPr>
            <w:tcW w:w="968" w:type="dxa"/>
            <w:tcBorders>
              <w:top w:val="single" w:color="000000" w:sz="4" w:space="0"/>
              <w:left w:val="single" w:color="000000" w:sz="4" w:space="0"/>
              <w:bottom w:val="single" w:color="000000" w:sz="4" w:space="0"/>
              <w:right w:val="single" w:color="000000" w:sz="4" w:space="0"/>
            </w:tcBorders>
            <w:noWrap/>
            <w:vAlign w:val="center"/>
          </w:tcPr>
          <w:p w14:paraId="6FEFCCCE">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2FD6B824">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1560" w:type="dxa"/>
            <w:tcBorders>
              <w:top w:val="single" w:color="000000" w:sz="4" w:space="0"/>
              <w:left w:val="single" w:color="000000" w:sz="4" w:space="0"/>
              <w:bottom w:val="single" w:color="000000" w:sz="4" w:space="0"/>
              <w:right w:val="single" w:color="000000" w:sz="4" w:space="0"/>
            </w:tcBorders>
            <w:noWrap/>
            <w:vAlign w:val="center"/>
          </w:tcPr>
          <w:p w14:paraId="72452F11">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互联网区</w:t>
            </w:r>
          </w:p>
        </w:tc>
      </w:tr>
      <w:tr w14:paraId="65CC2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00C8B631">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2839" w:type="dxa"/>
            <w:tcBorders>
              <w:top w:val="single" w:color="000000" w:sz="4" w:space="0"/>
              <w:left w:val="single" w:color="000000" w:sz="4" w:space="0"/>
              <w:bottom w:val="single" w:color="000000" w:sz="4" w:space="0"/>
              <w:right w:val="single" w:color="000000" w:sz="4" w:space="0"/>
            </w:tcBorders>
            <w:noWrap w:val="0"/>
            <w:vAlign w:val="center"/>
          </w:tcPr>
          <w:p w14:paraId="4E129C18">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管理服务器</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4915B0D">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华为</w:t>
            </w:r>
          </w:p>
        </w:tc>
        <w:tc>
          <w:tcPr>
            <w:tcW w:w="2073" w:type="dxa"/>
            <w:tcBorders>
              <w:top w:val="single" w:color="000000" w:sz="4" w:space="0"/>
              <w:left w:val="single" w:color="000000" w:sz="4" w:space="0"/>
              <w:bottom w:val="single" w:color="000000" w:sz="4" w:space="0"/>
              <w:right w:val="single" w:color="000000" w:sz="4" w:space="0"/>
            </w:tcBorders>
            <w:noWrap w:val="0"/>
            <w:vAlign w:val="center"/>
          </w:tcPr>
          <w:p w14:paraId="1D232CCC">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TaiShan 200 (Model 2280)</w:t>
            </w:r>
          </w:p>
        </w:tc>
        <w:tc>
          <w:tcPr>
            <w:tcW w:w="968" w:type="dxa"/>
            <w:tcBorders>
              <w:top w:val="single" w:color="000000" w:sz="4" w:space="0"/>
              <w:left w:val="single" w:color="000000" w:sz="4" w:space="0"/>
              <w:bottom w:val="single" w:color="000000" w:sz="4" w:space="0"/>
              <w:right w:val="single" w:color="000000" w:sz="4" w:space="0"/>
            </w:tcBorders>
            <w:noWrap/>
            <w:vAlign w:val="center"/>
          </w:tcPr>
          <w:p w14:paraId="12AFD9C4">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2C3E7864">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1560" w:type="dxa"/>
            <w:tcBorders>
              <w:top w:val="single" w:color="000000" w:sz="4" w:space="0"/>
              <w:left w:val="single" w:color="000000" w:sz="4" w:space="0"/>
              <w:bottom w:val="single" w:color="000000" w:sz="4" w:space="0"/>
              <w:right w:val="single" w:color="000000" w:sz="4" w:space="0"/>
            </w:tcBorders>
            <w:noWrap/>
            <w:vAlign w:val="center"/>
          </w:tcPr>
          <w:p w14:paraId="6782E110">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互联网区</w:t>
            </w:r>
          </w:p>
        </w:tc>
      </w:tr>
      <w:tr w14:paraId="59652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358058FE">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2839" w:type="dxa"/>
            <w:tcBorders>
              <w:top w:val="single" w:color="000000" w:sz="4" w:space="0"/>
              <w:left w:val="single" w:color="000000" w:sz="4" w:space="0"/>
              <w:bottom w:val="single" w:color="000000" w:sz="4" w:space="0"/>
              <w:right w:val="single" w:color="000000" w:sz="4" w:space="0"/>
            </w:tcBorders>
            <w:noWrap w:val="0"/>
            <w:vAlign w:val="center"/>
          </w:tcPr>
          <w:p w14:paraId="1C3BB756">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服务器DDR4内存</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74F2BB9">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华为</w:t>
            </w:r>
          </w:p>
        </w:tc>
        <w:tc>
          <w:tcPr>
            <w:tcW w:w="2073" w:type="dxa"/>
            <w:tcBorders>
              <w:top w:val="single" w:color="000000" w:sz="4" w:space="0"/>
              <w:left w:val="single" w:color="000000" w:sz="4" w:space="0"/>
              <w:bottom w:val="single" w:color="000000" w:sz="4" w:space="0"/>
              <w:right w:val="single" w:color="000000" w:sz="4" w:space="0"/>
            </w:tcBorders>
            <w:noWrap w:val="0"/>
            <w:vAlign w:val="center"/>
          </w:tcPr>
          <w:p w14:paraId="2A4E8BB9">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BC61M32G</w:t>
            </w:r>
          </w:p>
        </w:tc>
        <w:tc>
          <w:tcPr>
            <w:tcW w:w="968" w:type="dxa"/>
            <w:tcBorders>
              <w:top w:val="single" w:color="000000" w:sz="4" w:space="0"/>
              <w:left w:val="single" w:color="000000" w:sz="4" w:space="0"/>
              <w:bottom w:val="single" w:color="000000" w:sz="4" w:space="0"/>
              <w:right w:val="single" w:color="000000" w:sz="4" w:space="0"/>
            </w:tcBorders>
            <w:noWrap/>
            <w:vAlign w:val="center"/>
          </w:tcPr>
          <w:p w14:paraId="606904E6">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1B94AC1E">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28</w:t>
            </w:r>
          </w:p>
        </w:tc>
        <w:tc>
          <w:tcPr>
            <w:tcW w:w="1560" w:type="dxa"/>
            <w:tcBorders>
              <w:top w:val="single" w:color="000000" w:sz="4" w:space="0"/>
              <w:left w:val="single" w:color="000000" w:sz="4" w:space="0"/>
              <w:bottom w:val="single" w:color="000000" w:sz="4" w:space="0"/>
              <w:right w:val="single" w:color="000000" w:sz="4" w:space="0"/>
            </w:tcBorders>
            <w:noWrap/>
            <w:vAlign w:val="center"/>
          </w:tcPr>
          <w:p w14:paraId="34523B06">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互联网区</w:t>
            </w:r>
          </w:p>
        </w:tc>
      </w:tr>
      <w:tr w14:paraId="40C9D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7B188621">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w:t>
            </w:r>
          </w:p>
        </w:tc>
        <w:tc>
          <w:tcPr>
            <w:tcW w:w="2839" w:type="dxa"/>
            <w:tcBorders>
              <w:top w:val="single" w:color="000000" w:sz="4" w:space="0"/>
              <w:left w:val="single" w:color="000000" w:sz="4" w:space="0"/>
              <w:bottom w:val="single" w:color="000000" w:sz="4" w:space="0"/>
              <w:right w:val="single" w:color="000000" w:sz="4" w:space="0"/>
            </w:tcBorders>
            <w:noWrap w:val="0"/>
            <w:vAlign w:val="center"/>
          </w:tcPr>
          <w:p w14:paraId="1DCF3D69">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服务器硬盘/带拉手条</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999E557">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华为</w:t>
            </w:r>
          </w:p>
        </w:tc>
        <w:tc>
          <w:tcPr>
            <w:tcW w:w="2073" w:type="dxa"/>
            <w:tcBorders>
              <w:top w:val="single" w:color="000000" w:sz="4" w:space="0"/>
              <w:left w:val="single" w:color="000000" w:sz="4" w:space="0"/>
              <w:bottom w:val="single" w:color="000000" w:sz="4" w:space="0"/>
              <w:right w:val="single" w:color="000000" w:sz="4" w:space="0"/>
            </w:tcBorders>
            <w:noWrap w:val="0"/>
            <w:vAlign w:val="center"/>
          </w:tcPr>
          <w:p w14:paraId="3007DF99">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N2400S1210W4</w:t>
            </w:r>
          </w:p>
        </w:tc>
        <w:tc>
          <w:tcPr>
            <w:tcW w:w="968" w:type="dxa"/>
            <w:tcBorders>
              <w:top w:val="single" w:color="000000" w:sz="4" w:space="0"/>
              <w:left w:val="single" w:color="000000" w:sz="4" w:space="0"/>
              <w:bottom w:val="single" w:color="000000" w:sz="4" w:space="0"/>
              <w:right w:val="single" w:color="000000" w:sz="4" w:space="0"/>
            </w:tcBorders>
            <w:noWrap/>
            <w:vAlign w:val="center"/>
          </w:tcPr>
          <w:p w14:paraId="70BAFEF7">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块</w:t>
            </w: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2BD2E63E">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84</w:t>
            </w:r>
          </w:p>
        </w:tc>
        <w:tc>
          <w:tcPr>
            <w:tcW w:w="1560" w:type="dxa"/>
            <w:tcBorders>
              <w:top w:val="single" w:color="000000" w:sz="4" w:space="0"/>
              <w:left w:val="single" w:color="000000" w:sz="4" w:space="0"/>
              <w:bottom w:val="single" w:color="000000" w:sz="4" w:space="0"/>
              <w:right w:val="single" w:color="000000" w:sz="4" w:space="0"/>
            </w:tcBorders>
            <w:noWrap/>
            <w:vAlign w:val="center"/>
          </w:tcPr>
          <w:p w14:paraId="18A4939F">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互联网区</w:t>
            </w:r>
          </w:p>
        </w:tc>
      </w:tr>
      <w:tr w14:paraId="4A2B9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081231A9">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2839" w:type="dxa"/>
            <w:tcBorders>
              <w:top w:val="single" w:color="000000" w:sz="4" w:space="0"/>
              <w:left w:val="single" w:color="000000" w:sz="4" w:space="0"/>
              <w:bottom w:val="single" w:color="000000" w:sz="4" w:space="0"/>
              <w:right w:val="single" w:color="000000" w:sz="4" w:space="0"/>
            </w:tcBorders>
            <w:noWrap w:val="0"/>
            <w:vAlign w:val="center"/>
          </w:tcPr>
          <w:p w14:paraId="3ECE7006">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服务器PCIe卡</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84EE89B">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华为</w:t>
            </w:r>
          </w:p>
        </w:tc>
        <w:tc>
          <w:tcPr>
            <w:tcW w:w="2073" w:type="dxa"/>
            <w:tcBorders>
              <w:top w:val="single" w:color="000000" w:sz="4" w:space="0"/>
              <w:left w:val="single" w:color="000000" w:sz="4" w:space="0"/>
              <w:bottom w:val="single" w:color="000000" w:sz="4" w:space="0"/>
              <w:right w:val="single" w:color="000000" w:sz="4" w:space="0"/>
            </w:tcBorders>
            <w:noWrap w:val="0"/>
            <w:vAlign w:val="center"/>
          </w:tcPr>
          <w:p w14:paraId="052D090E">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CN2ITGAA20</w:t>
            </w:r>
          </w:p>
        </w:tc>
        <w:tc>
          <w:tcPr>
            <w:tcW w:w="968" w:type="dxa"/>
            <w:tcBorders>
              <w:top w:val="single" w:color="000000" w:sz="4" w:space="0"/>
              <w:left w:val="single" w:color="000000" w:sz="4" w:space="0"/>
              <w:bottom w:val="single" w:color="000000" w:sz="4" w:space="0"/>
              <w:right w:val="single" w:color="000000" w:sz="4" w:space="0"/>
            </w:tcBorders>
            <w:noWrap/>
            <w:vAlign w:val="center"/>
          </w:tcPr>
          <w:p w14:paraId="131F0D9A">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块</w:t>
            </w: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6C22603A">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1560" w:type="dxa"/>
            <w:tcBorders>
              <w:top w:val="single" w:color="000000" w:sz="4" w:space="0"/>
              <w:left w:val="single" w:color="000000" w:sz="4" w:space="0"/>
              <w:bottom w:val="single" w:color="000000" w:sz="4" w:space="0"/>
              <w:right w:val="single" w:color="000000" w:sz="4" w:space="0"/>
            </w:tcBorders>
            <w:noWrap/>
            <w:vAlign w:val="center"/>
          </w:tcPr>
          <w:p w14:paraId="70DE0B59">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互联网区</w:t>
            </w:r>
          </w:p>
        </w:tc>
      </w:tr>
      <w:tr w14:paraId="15CEE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0A66EC42">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w:t>
            </w:r>
          </w:p>
        </w:tc>
        <w:tc>
          <w:tcPr>
            <w:tcW w:w="2839" w:type="dxa"/>
            <w:tcBorders>
              <w:top w:val="single" w:color="000000" w:sz="4" w:space="0"/>
              <w:left w:val="single" w:color="000000" w:sz="4" w:space="0"/>
              <w:bottom w:val="single" w:color="000000" w:sz="4" w:space="0"/>
              <w:right w:val="single" w:color="000000" w:sz="4" w:space="0"/>
            </w:tcBorders>
            <w:noWrap w:val="0"/>
            <w:vAlign w:val="center"/>
          </w:tcPr>
          <w:p w14:paraId="3C77301C">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服务器</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F8A0373">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华为</w:t>
            </w:r>
          </w:p>
        </w:tc>
        <w:tc>
          <w:tcPr>
            <w:tcW w:w="2073" w:type="dxa"/>
            <w:tcBorders>
              <w:top w:val="single" w:color="000000" w:sz="4" w:space="0"/>
              <w:left w:val="single" w:color="000000" w:sz="4" w:space="0"/>
              <w:bottom w:val="single" w:color="000000" w:sz="4" w:space="0"/>
              <w:right w:val="single" w:color="000000" w:sz="4" w:space="0"/>
            </w:tcBorders>
            <w:noWrap w:val="0"/>
            <w:vAlign w:val="center"/>
          </w:tcPr>
          <w:p w14:paraId="510E754B">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2488H V5</w:t>
            </w:r>
          </w:p>
        </w:tc>
        <w:tc>
          <w:tcPr>
            <w:tcW w:w="968" w:type="dxa"/>
            <w:tcBorders>
              <w:top w:val="single" w:color="000000" w:sz="4" w:space="0"/>
              <w:left w:val="single" w:color="000000" w:sz="4" w:space="0"/>
              <w:bottom w:val="single" w:color="000000" w:sz="4" w:space="0"/>
              <w:right w:val="single" w:color="000000" w:sz="4" w:space="0"/>
            </w:tcBorders>
            <w:noWrap/>
            <w:vAlign w:val="center"/>
          </w:tcPr>
          <w:p w14:paraId="19F0A469">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0AEE1466">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560" w:type="dxa"/>
            <w:tcBorders>
              <w:top w:val="single" w:color="000000" w:sz="4" w:space="0"/>
              <w:left w:val="single" w:color="000000" w:sz="4" w:space="0"/>
              <w:bottom w:val="single" w:color="000000" w:sz="4" w:space="0"/>
              <w:right w:val="single" w:color="000000" w:sz="4" w:space="0"/>
            </w:tcBorders>
            <w:noWrap/>
            <w:vAlign w:val="center"/>
          </w:tcPr>
          <w:p w14:paraId="3DD075E0">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互联网区</w:t>
            </w:r>
          </w:p>
        </w:tc>
      </w:tr>
      <w:tr w14:paraId="5ABB2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71C8DC81">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p>
        </w:tc>
        <w:tc>
          <w:tcPr>
            <w:tcW w:w="2839" w:type="dxa"/>
            <w:tcBorders>
              <w:top w:val="single" w:color="000000" w:sz="4" w:space="0"/>
              <w:left w:val="single" w:color="000000" w:sz="4" w:space="0"/>
              <w:bottom w:val="single" w:color="000000" w:sz="4" w:space="0"/>
              <w:right w:val="single" w:color="000000" w:sz="4" w:space="0"/>
            </w:tcBorders>
            <w:noWrap w:val="0"/>
            <w:vAlign w:val="center"/>
          </w:tcPr>
          <w:p w14:paraId="3B9F3308">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数据核心交换机-板卡</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220A4A1E">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华为</w:t>
            </w:r>
          </w:p>
        </w:tc>
        <w:tc>
          <w:tcPr>
            <w:tcW w:w="2073" w:type="dxa"/>
            <w:tcBorders>
              <w:top w:val="single" w:color="000000" w:sz="4" w:space="0"/>
              <w:left w:val="single" w:color="000000" w:sz="4" w:space="0"/>
              <w:bottom w:val="single" w:color="000000" w:sz="4" w:space="0"/>
              <w:right w:val="single" w:color="000000" w:sz="4" w:space="0"/>
            </w:tcBorders>
            <w:noWrap w:val="0"/>
            <w:vAlign w:val="center"/>
          </w:tcPr>
          <w:p w14:paraId="35C801EE">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数据核心交换机板卡（CE-L24LQ-FD，CE-L48XS-FD，QSFP-40G-eSR4，OMXD30000，SFP-1000BaseT）</w:t>
            </w:r>
          </w:p>
        </w:tc>
        <w:tc>
          <w:tcPr>
            <w:tcW w:w="968" w:type="dxa"/>
            <w:tcBorders>
              <w:top w:val="single" w:color="000000" w:sz="4" w:space="0"/>
              <w:left w:val="single" w:color="000000" w:sz="4" w:space="0"/>
              <w:bottom w:val="single" w:color="000000" w:sz="4" w:space="0"/>
              <w:right w:val="single" w:color="000000" w:sz="4" w:space="0"/>
            </w:tcBorders>
            <w:noWrap/>
            <w:vAlign w:val="center"/>
          </w:tcPr>
          <w:p w14:paraId="62EDB935">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1736E141">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560" w:type="dxa"/>
            <w:tcBorders>
              <w:top w:val="single" w:color="000000" w:sz="4" w:space="0"/>
              <w:left w:val="single" w:color="000000" w:sz="4" w:space="0"/>
              <w:bottom w:val="single" w:color="000000" w:sz="4" w:space="0"/>
              <w:right w:val="single" w:color="000000" w:sz="4" w:space="0"/>
            </w:tcBorders>
            <w:noWrap/>
            <w:vAlign w:val="center"/>
          </w:tcPr>
          <w:p w14:paraId="5BBDA029">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互联网区</w:t>
            </w:r>
          </w:p>
        </w:tc>
      </w:tr>
      <w:tr w14:paraId="1E34F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66E5E703">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w:t>
            </w:r>
          </w:p>
        </w:tc>
        <w:tc>
          <w:tcPr>
            <w:tcW w:w="2839" w:type="dxa"/>
            <w:tcBorders>
              <w:top w:val="single" w:color="000000" w:sz="4" w:space="0"/>
              <w:left w:val="single" w:color="000000" w:sz="4" w:space="0"/>
              <w:bottom w:val="single" w:color="000000" w:sz="4" w:space="0"/>
              <w:right w:val="single" w:color="000000" w:sz="4" w:space="0"/>
            </w:tcBorders>
            <w:noWrap w:val="0"/>
            <w:vAlign w:val="center"/>
          </w:tcPr>
          <w:p w14:paraId="56719FDB">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业务万兆接入交换机</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458E2EC4">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华为</w:t>
            </w:r>
          </w:p>
        </w:tc>
        <w:tc>
          <w:tcPr>
            <w:tcW w:w="2073" w:type="dxa"/>
            <w:tcBorders>
              <w:top w:val="single" w:color="000000" w:sz="4" w:space="0"/>
              <w:left w:val="single" w:color="000000" w:sz="4" w:space="0"/>
              <w:bottom w:val="single" w:color="000000" w:sz="4" w:space="0"/>
              <w:right w:val="single" w:color="000000" w:sz="4" w:space="0"/>
            </w:tcBorders>
            <w:noWrap w:val="0"/>
            <w:vAlign w:val="center"/>
          </w:tcPr>
          <w:p w14:paraId="0B000C8C">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CloudEngine 6857-48S6CQ-EI</w:t>
            </w:r>
          </w:p>
        </w:tc>
        <w:tc>
          <w:tcPr>
            <w:tcW w:w="968" w:type="dxa"/>
            <w:tcBorders>
              <w:top w:val="single" w:color="000000" w:sz="4" w:space="0"/>
              <w:left w:val="single" w:color="000000" w:sz="4" w:space="0"/>
              <w:bottom w:val="single" w:color="000000" w:sz="4" w:space="0"/>
              <w:right w:val="single" w:color="000000" w:sz="4" w:space="0"/>
            </w:tcBorders>
            <w:noWrap/>
            <w:vAlign w:val="center"/>
          </w:tcPr>
          <w:p w14:paraId="0F19AEFB">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1CDE1113">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1560" w:type="dxa"/>
            <w:tcBorders>
              <w:top w:val="single" w:color="000000" w:sz="4" w:space="0"/>
              <w:left w:val="single" w:color="000000" w:sz="4" w:space="0"/>
              <w:bottom w:val="single" w:color="000000" w:sz="4" w:space="0"/>
              <w:right w:val="single" w:color="000000" w:sz="4" w:space="0"/>
            </w:tcBorders>
            <w:noWrap/>
            <w:vAlign w:val="center"/>
          </w:tcPr>
          <w:p w14:paraId="35FC2F5A">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互联网区</w:t>
            </w:r>
          </w:p>
        </w:tc>
      </w:tr>
      <w:tr w14:paraId="29A84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0F67A730">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w:t>
            </w:r>
          </w:p>
        </w:tc>
        <w:tc>
          <w:tcPr>
            <w:tcW w:w="2839" w:type="dxa"/>
            <w:tcBorders>
              <w:top w:val="single" w:color="000000" w:sz="4" w:space="0"/>
              <w:left w:val="single" w:color="000000" w:sz="4" w:space="0"/>
              <w:bottom w:val="single" w:color="000000" w:sz="4" w:space="0"/>
              <w:right w:val="single" w:color="000000" w:sz="4" w:space="0"/>
            </w:tcBorders>
            <w:noWrap w:val="0"/>
            <w:vAlign w:val="center"/>
          </w:tcPr>
          <w:p w14:paraId="092B5C83">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万兆接入交换机</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3F66490B">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华为</w:t>
            </w:r>
          </w:p>
        </w:tc>
        <w:tc>
          <w:tcPr>
            <w:tcW w:w="2073" w:type="dxa"/>
            <w:tcBorders>
              <w:top w:val="single" w:color="000000" w:sz="4" w:space="0"/>
              <w:left w:val="single" w:color="000000" w:sz="4" w:space="0"/>
              <w:bottom w:val="single" w:color="000000" w:sz="4" w:space="0"/>
              <w:right w:val="single" w:color="000000" w:sz="4" w:space="0"/>
            </w:tcBorders>
            <w:noWrap w:val="0"/>
            <w:vAlign w:val="center"/>
          </w:tcPr>
          <w:p w14:paraId="51F5405D">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CloudEngine 6857-48S6CQ-EI</w:t>
            </w:r>
          </w:p>
        </w:tc>
        <w:tc>
          <w:tcPr>
            <w:tcW w:w="968" w:type="dxa"/>
            <w:tcBorders>
              <w:top w:val="single" w:color="000000" w:sz="4" w:space="0"/>
              <w:left w:val="single" w:color="000000" w:sz="4" w:space="0"/>
              <w:bottom w:val="single" w:color="000000" w:sz="4" w:space="0"/>
              <w:right w:val="single" w:color="000000" w:sz="4" w:space="0"/>
            </w:tcBorders>
            <w:noWrap/>
            <w:vAlign w:val="center"/>
          </w:tcPr>
          <w:p w14:paraId="18B3AE48">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77C301FC">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w:t>
            </w:r>
          </w:p>
        </w:tc>
        <w:tc>
          <w:tcPr>
            <w:tcW w:w="1560" w:type="dxa"/>
            <w:tcBorders>
              <w:top w:val="single" w:color="000000" w:sz="4" w:space="0"/>
              <w:left w:val="single" w:color="000000" w:sz="4" w:space="0"/>
              <w:bottom w:val="single" w:color="000000" w:sz="4" w:space="0"/>
              <w:right w:val="single" w:color="000000" w:sz="4" w:space="0"/>
            </w:tcBorders>
            <w:noWrap/>
            <w:vAlign w:val="center"/>
          </w:tcPr>
          <w:p w14:paraId="0C2E8EE6">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互联网区</w:t>
            </w:r>
          </w:p>
        </w:tc>
      </w:tr>
      <w:tr w14:paraId="6A080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4BDFE1DE">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w:t>
            </w:r>
          </w:p>
        </w:tc>
        <w:tc>
          <w:tcPr>
            <w:tcW w:w="2839" w:type="dxa"/>
            <w:tcBorders>
              <w:top w:val="single" w:color="000000" w:sz="4" w:space="0"/>
              <w:left w:val="single" w:color="000000" w:sz="4" w:space="0"/>
              <w:bottom w:val="single" w:color="000000" w:sz="4" w:space="0"/>
              <w:right w:val="single" w:color="000000" w:sz="4" w:space="0"/>
            </w:tcBorders>
            <w:noWrap w:val="0"/>
            <w:vAlign w:val="center"/>
          </w:tcPr>
          <w:p w14:paraId="03108031">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服务器万兆接入交换机-光模块</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2124784">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华为</w:t>
            </w:r>
          </w:p>
        </w:tc>
        <w:tc>
          <w:tcPr>
            <w:tcW w:w="2073" w:type="dxa"/>
            <w:tcBorders>
              <w:top w:val="single" w:color="000000" w:sz="4" w:space="0"/>
              <w:left w:val="single" w:color="000000" w:sz="4" w:space="0"/>
              <w:bottom w:val="single" w:color="000000" w:sz="4" w:space="0"/>
              <w:right w:val="single" w:color="000000" w:sz="4" w:space="0"/>
            </w:tcBorders>
            <w:noWrap w:val="0"/>
            <w:vAlign w:val="center"/>
          </w:tcPr>
          <w:p w14:paraId="13AC83C7">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CN2ITGAA20</w:t>
            </w:r>
          </w:p>
        </w:tc>
        <w:tc>
          <w:tcPr>
            <w:tcW w:w="968" w:type="dxa"/>
            <w:tcBorders>
              <w:top w:val="single" w:color="000000" w:sz="4" w:space="0"/>
              <w:left w:val="single" w:color="000000" w:sz="4" w:space="0"/>
              <w:bottom w:val="single" w:color="000000" w:sz="4" w:space="0"/>
              <w:right w:val="single" w:color="000000" w:sz="4" w:space="0"/>
            </w:tcBorders>
            <w:noWrap/>
            <w:vAlign w:val="center"/>
          </w:tcPr>
          <w:p w14:paraId="27376DD1">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7AC5F515">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130</w:t>
            </w:r>
          </w:p>
        </w:tc>
        <w:tc>
          <w:tcPr>
            <w:tcW w:w="1560" w:type="dxa"/>
            <w:tcBorders>
              <w:top w:val="single" w:color="000000" w:sz="4" w:space="0"/>
              <w:left w:val="single" w:color="000000" w:sz="4" w:space="0"/>
              <w:bottom w:val="single" w:color="000000" w:sz="4" w:space="0"/>
              <w:right w:val="single" w:color="000000" w:sz="4" w:space="0"/>
            </w:tcBorders>
            <w:noWrap/>
            <w:vAlign w:val="center"/>
          </w:tcPr>
          <w:p w14:paraId="79FB6908">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互联网区</w:t>
            </w:r>
          </w:p>
        </w:tc>
      </w:tr>
      <w:tr w14:paraId="6CCAE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74985E31">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w:t>
            </w:r>
          </w:p>
        </w:tc>
        <w:tc>
          <w:tcPr>
            <w:tcW w:w="2839" w:type="dxa"/>
            <w:tcBorders>
              <w:top w:val="single" w:color="000000" w:sz="4" w:space="0"/>
              <w:left w:val="single" w:color="000000" w:sz="4" w:space="0"/>
              <w:bottom w:val="single" w:color="000000" w:sz="4" w:space="0"/>
              <w:right w:val="single" w:color="000000" w:sz="4" w:space="0"/>
            </w:tcBorders>
            <w:noWrap w:val="0"/>
            <w:vAlign w:val="center"/>
          </w:tcPr>
          <w:p w14:paraId="3B9A801F">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SDN控制器服务器</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3700D213">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华为</w:t>
            </w:r>
          </w:p>
        </w:tc>
        <w:tc>
          <w:tcPr>
            <w:tcW w:w="2073" w:type="dxa"/>
            <w:tcBorders>
              <w:top w:val="single" w:color="000000" w:sz="4" w:space="0"/>
              <w:left w:val="single" w:color="000000" w:sz="4" w:space="0"/>
              <w:bottom w:val="single" w:color="000000" w:sz="4" w:space="0"/>
              <w:right w:val="single" w:color="000000" w:sz="4" w:space="0"/>
            </w:tcBorders>
            <w:noWrap w:val="0"/>
            <w:vAlign w:val="center"/>
          </w:tcPr>
          <w:p w14:paraId="3931086F">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TaiShan 200 (Model 2280)</w:t>
            </w:r>
          </w:p>
        </w:tc>
        <w:tc>
          <w:tcPr>
            <w:tcW w:w="968" w:type="dxa"/>
            <w:tcBorders>
              <w:top w:val="single" w:color="000000" w:sz="4" w:space="0"/>
              <w:left w:val="single" w:color="000000" w:sz="4" w:space="0"/>
              <w:bottom w:val="single" w:color="000000" w:sz="4" w:space="0"/>
              <w:right w:val="single" w:color="000000" w:sz="4" w:space="0"/>
            </w:tcBorders>
            <w:noWrap/>
            <w:vAlign w:val="center"/>
          </w:tcPr>
          <w:p w14:paraId="4F363F98">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2415E87C">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560" w:type="dxa"/>
            <w:tcBorders>
              <w:top w:val="single" w:color="000000" w:sz="4" w:space="0"/>
              <w:left w:val="single" w:color="000000" w:sz="4" w:space="0"/>
              <w:bottom w:val="single" w:color="000000" w:sz="4" w:space="0"/>
              <w:right w:val="single" w:color="000000" w:sz="4" w:space="0"/>
            </w:tcBorders>
            <w:noWrap/>
            <w:vAlign w:val="center"/>
          </w:tcPr>
          <w:p w14:paraId="38AAD6EE">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互联网区</w:t>
            </w:r>
          </w:p>
        </w:tc>
      </w:tr>
      <w:tr w14:paraId="5E224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429E47D0">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17</w:t>
            </w:r>
          </w:p>
        </w:tc>
        <w:tc>
          <w:tcPr>
            <w:tcW w:w="2839" w:type="dxa"/>
            <w:tcBorders>
              <w:top w:val="single" w:color="000000" w:sz="4" w:space="0"/>
              <w:left w:val="single" w:color="000000" w:sz="4" w:space="0"/>
              <w:bottom w:val="single" w:color="000000" w:sz="4" w:space="0"/>
              <w:right w:val="single" w:color="000000" w:sz="4" w:space="0"/>
            </w:tcBorders>
            <w:noWrap w:val="0"/>
            <w:vAlign w:val="center"/>
          </w:tcPr>
          <w:p w14:paraId="4834BE4B">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FC光纤交换机</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33080C92">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HPE</w:t>
            </w:r>
          </w:p>
        </w:tc>
        <w:tc>
          <w:tcPr>
            <w:tcW w:w="2073" w:type="dxa"/>
            <w:tcBorders>
              <w:top w:val="single" w:color="000000" w:sz="4" w:space="0"/>
              <w:left w:val="single" w:color="000000" w:sz="4" w:space="0"/>
              <w:bottom w:val="single" w:color="000000" w:sz="4" w:space="0"/>
              <w:right w:val="single" w:color="000000" w:sz="4" w:space="0"/>
            </w:tcBorders>
            <w:noWrap w:val="0"/>
            <w:vAlign w:val="center"/>
          </w:tcPr>
          <w:p w14:paraId="6869B994">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HPE SN6000B</w:t>
            </w:r>
          </w:p>
        </w:tc>
        <w:tc>
          <w:tcPr>
            <w:tcW w:w="968" w:type="dxa"/>
            <w:tcBorders>
              <w:top w:val="single" w:color="000000" w:sz="4" w:space="0"/>
              <w:left w:val="single" w:color="000000" w:sz="4" w:space="0"/>
              <w:bottom w:val="single" w:color="000000" w:sz="4" w:space="0"/>
              <w:right w:val="single" w:color="000000" w:sz="4" w:space="0"/>
            </w:tcBorders>
            <w:noWrap/>
            <w:vAlign w:val="center"/>
          </w:tcPr>
          <w:p w14:paraId="7FEB4F76">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6A071ACC">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560" w:type="dxa"/>
            <w:tcBorders>
              <w:top w:val="single" w:color="000000" w:sz="4" w:space="0"/>
              <w:left w:val="single" w:color="000000" w:sz="4" w:space="0"/>
              <w:bottom w:val="single" w:color="000000" w:sz="4" w:space="0"/>
              <w:right w:val="single" w:color="000000" w:sz="4" w:space="0"/>
            </w:tcBorders>
            <w:noWrap/>
            <w:vAlign w:val="center"/>
          </w:tcPr>
          <w:p w14:paraId="5BEB9203">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互联网区</w:t>
            </w:r>
          </w:p>
        </w:tc>
      </w:tr>
      <w:tr w14:paraId="50FF2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118B9CD0">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w:t>
            </w:r>
          </w:p>
        </w:tc>
        <w:tc>
          <w:tcPr>
            <w:tcW w:w="2839" w:type="dxa"/>
            <w:tcBorders>
              <w:top w:val="single" w:color="000000" w:sz="4" w:space="0"/>
              <w:left w:val="single" w:color="000000" w:sz="4" w:space="0"/>
              <w:bottom w:val="single" w:color="000000" w:sz="4" w:space="0"/>
              <w:right w:val="single" w:color="000000" w:sz="4" w:space="0"/>
            </w:tcBorders>
            <w:noWrap w:val="0"/>
            <w:vAlign w:val="center"/>
          </w:tcPr>
          <w:p w14:paraId="4B63CE67">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主存储</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DB33731">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宏杉</w:t>
            </w:r>
          </w:p>
        </w:tc>
        <w:tc>
          <w:tcPr>
            <w:tcW w:w="2073" w:type="dxa"/>
            <w:tcBorders>
              <w:top w:val="single" w:color="000000" w:sz="4" w:space="0"/>
              <w:left w:val="single" w:color="000000" w:sz="4" w:space="0"/>
              <w:bottom w:val="single" w:color="000000" w:sz="4" w:space="0"/>
              <w:right w:val="single" w:color="000000" w:sz="4" w:space="0"/>
            </w:tcBorders>
            <w:noWrap w:val="0"/>
            <w:vAlign w:val="center"/>
          </w:tcPr>
          <w:p w14:paraId="19C3008F">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DSU2625，DSU2624</w:t>
            </w:r>
          </w:p>
        </w:tc>
        <w:tc>
          <w:tcPr>
            <w:tcW w:w="968" w:type="dxa"/>
            <w:tcBorders>
              <w:top w:val="single" w:color="000000" w:sz="4" w:space="0"/>
              <w:left w:val="single" w:color="000000" w:sz="4" w:space="0"/>
              <w:bottom w:val="single" w:color="000000" w:sz="4" w:space="0"/>
              <w:right w:val="single" w:color="000000" w:sz="4" w:space="0"/>
            </w:tcBorders>
            <w:noWrap/>
            <w:vAlign w:val="center"/>
          </w:tcPr>
          <w:p w14:paraId="0559228F">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1ADC2D36">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noWrap/>
            <w:vAlign w:val="center"/>
          </w:tcPr>
          <w:p w14:paraId="528309C8">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互联网区</w:t>
            </w:r>
          </w:p>
        </w:tc>
      </w:tr>
      <w:tr w14:paraId="77EE8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0D85B7D2">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19</w:t>
            </w:r>
          </w:p>
        </w:tc>
        <w:tc>
          <w:tcPr>
            <w:tcW w:w="2839" w:type="dxa"/>
            <w:tcBorders>
              <w:top w:val="single" w:color="000000" w:sz="4" w:space="0"/>
              <w:left w:val="single" w:color="000000" w:sz="4" w:space="0"/>
              <w:bottom w:val="single" w:color="000000" w:sz="4" w:space="0"/>
              <w:right w:val="single" w:color="000000" w:sz="4" w:space="0"/>
            </w:tcBorders>
            <w:noWrap w:val="0"/>
            <w:vAlign w:val="center"/>
          </w:tcPr>
          <w:p w14:paraId="0BDDB69C">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双活存储</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034E891">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宏杉</w:t>
            </w:r>
          </w:p>
        </w:tc>
        <w:tc>
          <w:tcPr>
            <w:tcW w:w="2073" w:type="dxa"/>
            <w:tcBorders>
              <w:top w:val="single" w:color="000000" w:sz="4" w:space="0"/>
              <w:left w:val="single" w:color="000000" w:sz="4" w:space="0"/>
              <w:bottom w:val="single" w:color="000000" w:sz="4" w:space="0"/>
              <w:right w:val="single" w:color="000000" w:sz="4" w:space="0"/>
            </w:tcBorders>
            <w:noWrap w:val="0"/>
            <w:vAlign w:val="center"/>
          </w:tcPr>
          <w:p w14:paraId="43A54D62">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MS7010</w:t>
            </w:r>
          </w:p>
        </w:tc>
        <w:tc>
          <w:tcPr>
            <w:tcW w:w="968" w:type="dxa"/>
            <w:tcBorders>
              <w:top w:val="single" w:color="000000" w:sz="4" w:space="0"/>
              <w:left w:val="single" w:color="000000" w:sz="4" w:space="0"/>
              <w:bottom w:val="single" w:color="000000" w:sz="4" w:space="0"/>
              <w:right w:val="single" w:color="000000" w:sz="4" w:space="0"/>
            </w:tcBorders>
            <w:noWrap/>
            <w:vAlign w:val="center"/>
          </w:tcPr>
          <w:p w14:paraId="48C74D08">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6976D89F">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noWrap/>
            <w:vAlign w:val="center"/>
          </w:tcPr>
          <w:p w14:paraId="1010798A">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互联网区</w:t>
            </w:r>
          </w:p>
        </w:tc>
      </w:tr>
      <w:tr w14:paraId="1A7D1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2EB9CC4A">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c>
          <w:tcPr>
            <w:tcW w:w="2839" w:type="dxa"/>
            <w:tcBorders>
              <w:top w:val="single" w:color="000000" w:sz="4" w:space="0"/>
              <w:left w:val="single" w:color="000000" w:sz="4" w:space="0"/>
              <w:bottom w:val="single" w:color="000000" w:sz="4" w:space="0"/>
              <w:right w:val="single" w:color="000000" w:sz="4" w:space="0"/>
            </w:tcBorders>
            <w:noWrap w:val="0"/>
            <w:vAlign w:val="center"/>
          </w:tcPr>
          <w:p w14:paraId="136E5ABE">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业务防火墙</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1417916B">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华为</w:t>
            </w:r>
          </w:p>
        </w:tc>
        <w:tc>
          <w:tcPr>
            <w:tcW w:w="2073" w:type="dxa"/>
            <w:tcBorders>
              <w:top w:val="single" w:color="000000" w:sz="4" w:space="0"/>
              <w:left w:val="single" w:color="000000" w:sz="4" w:space="0"/>
              <w:bottom w:val="single" w:color="000000" w:sz="4" w:space="0"/>
              <w:right w:val="single" w:color="000000" w:sz="4" w:space="0"/>
            </w:tcBorders>
            <w:noWrap w:val="0"/>
            <w:vAlign w:val="center"/>
          </w:tcPr>
          <w:p w14:paraId="23C01A55">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USG9560</w:t>
            </w:r>
          </w:p>
        </w:tc>
        <w:tc>
          <w:tcPr>
            <w:tcW w:w="968" w:type="dxa"/>
            <w:tcBorders>
              <w:top w:val="single" w:color="000000" w:sz="4" w:space="0"/>
              <w:left w:val="single" w:color="000000" w:sz="4" w:space="0"/>
              <w:bottom w:val="single" w:color="000000" w:sz="4" w:space="0"/>
              <w:right w:val="single" w:color="000000" w:sz="4" w:space="0"/>
            </w:tcBorders>
            <w:noWrap/>
            <w:vAlign w:val="center"/>
          </w:tcPr>
          <w:p w14:paraId="1C05337F">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0AE614CA">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560" w:type="dxa"/>
            <w:tcBorders>
              <w:top w:val="single" w:color="000000" w:sz="4" w:space="0"/>
              <w:left w:val="single" w:color="000000" w:sz="4" w:space="0"/>
              <w:bottom w:val="single" w:color="000000" w:sz="4" w:space="0"/>
              <w:right w:val="single" w:color="000000" w:sz="4" w:space="0"/>
            </w:tcBorders>
            <w:noWrap/>
            <w:vAlign w:val="center"/>
          </w:tcPr>
          <w:p w14:paraId="6C3D70A2">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互联网区</w:t>
            </w:r>
          </w:p>
        </w:tc>
      </w:tr>
      <w:tr w14:paraId="578D8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137AC892">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21</w:t>
            </w:r>
          </w:p>
        </w:tc>
        <w:tc>
          <w:tcPr>
            <w:tcW w:w="2839" w:type="dxa"/>
            <w:tcBorders>
              <w:top w:val="single" w:color="000000" w:sz="4" w:space="0"/>
              <w:left w:val="single" w:color="000000" w:sz="4" w:space="0"/>
              <w:bottom w:val="single" w:color="000000" w:sz="4" w:space="0"/>
              <w:right w:val="single" w:color="000000" w:sz="4" w:space="0"/>
            </w:tcBorders>
            <w:noWrap w:val="0"/>
            <w:vAlign w:val="center"/>
          </w:tcPr>
          <w:p w14:paraId="0F24E28D">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操作系统 SuSE Linux</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C123FBE">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Suse</w:t>
            </w:r>
          </w:p>
        </w:tc>
        <w:tc>
          <w:tcPr>
            <w:tcW w:w="2073" w:type="dxa"/>
            <w:tcBorders>
              <w:top w:val="single" w:color="000000" w:sz="4" w:space="0"/>
              <w:left w:val="single" w:color="000000" w:sz="4" w:space="0"/>
              <w:bottom w:val="single" w:color="000000" w:sz="4" w:space="0"/>
              <w:right w:val="single" w:color="000000" w:sz="4" w:space="0"/>
            </w:tcBorders>
            <w:noWrap w:val="0"/>
            <w:vAlign w:val="center"/>
          </w:tcPr>
          <w:p w14:paraId="75BB437C">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Suse Linux 企业版2CPU</w:t>
            </w:r>
          </w:p>
        </w:tc>
        <w:tc>
          <w:tcPr>
            <w:tcW w:w="968" w:type="dxa"/>
            <w:tcBorders>
              <w:top w:val="single" w:color="000000" w:sz="4" w:space="0"/>
              <w:left w:val="single" w:color="000000" w:sz="4" w:space="0"/>
              <w:bottom w:val="single" w:color="000000" w:sz="4" w:space="0"/>
              <w:right w:val="single" w:color="000000" w:sz="4" w:space="0"/>
            </w:tcBorders>
            <w:noWrap/>
            <w:vAlign w:val="center"/>
          </w:tcPr>
          <w:p w14:paraId="527D6BF3">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792715CB">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560" w:type="dxa"/>
            <w:tcBorders>
              <w:top w:val="single" w:color="000000" w:sz="4" w:space="0"/>
              <w:left w:val="single" w:color="000000" w:sz="4" w:space="0"/>
              <w:bottom w:val="single" w:color="000000" w:sz="4" w:space="0"/>
              <w:right w:val="single" w:color="000000" w:sz="4" w:space="0"/>
            </w:tcBorders>
            <w:noWrap/>
            <w:vAlign w:val="center"/>
          </w:tcPr>
          <w:p w14:paraId="32014290">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互联网区</w:t>
            </w:r>
          </w:p>
        </w:tc>
      </w:tr>
      <w:tr w14:paraId="74DBC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15CD0E75">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w:t>
            </w:r>
          </w:p>
        </w:tc>
        <w:tc>
          <w:tcPr>
            <w:tcW w:w="2839" w:type="dxa"/>
            <w:tcBorders>
              <w:top w:val="single" w:color="000000" w:sz="4" w:space="0"/>
              <w:left w:val="single" w:color="000000" w:sz="4" w:space="0"/>
              <w:bottom w:val="single" w:color="000000" w:sz="4" w:space="0"/>
              <w:right w:val="single" w:color="000000" w:sz="4" w:space="0"/>
            </w:tcBorders>
            <w:noWrap w:val="0"/>
            <w:vAlign w:val="center"/>
          </w:tcPr>
          <w:p w14:paraId="619333CD">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操作系统 RedHat Linux</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BB3CE08">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Redhat</w:t>
            </w:r>
          </w:p>
        </w:tc>
        <w:tc>
          <w:tcPr>
            <w:tcW w:w="2073" w:type="dxa"/>
            <w:tcBorders>
              <w:top w:val="single" w:color="000000" w:sz="4" w:space="0"/>
              <w:left w:val="single" w:color="000000" w:sz="4" w:space="0"/>
              <w:bottom w:val="single" w:color="000000" w:sz="4" w:space="0"/>
              <w:right w:val="single" w:color="000000" w:sz="4" w:space="0"/>
            </w:tcBorders>
            <w:noWrap w:val="0"/>
            <w:vAlign w:val="center"/>
          </w:tcPr>
          <w:p w14:paraId="3525AAC6">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Redhat Linux 企业版2CPU</w:t>
            </w:r>
          </w:p>
        </w:tc>
        <w:tc>
          <w:tcPr>
            <w:tcW w:w="968" w:type="dxa"/>
            <w:tcBorders>
              <w:top w:val="single" w:color="000000" w:sz="4" w:space="0"/>
              <w:left w:val="single" w:color="000000" w:sz="4" w:space="0"/>
              <w:bottom w:val="single" w:color="000000" w:sz="4" w:space="0"/>
              <w:right w:val="single" w:color="000000" w:sz="4" w:space="0"/>
            </w:tcBorders>
            <w:noWrap/>
            <w:vAlign w:val="center"/>
          </w:tcPr>
          <w:p w14:paraId="089CB90B">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4A76BBF0">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560" w:type="dxa"/>
            <w:tcBorders>
              <w:top w:val="single" w:color="000000" w:sz="4" w:space="0"/>
              <w:left w:val="single" w:color="000000" w:sz="4" w:space="0"/>
              <w:bottom w:val="single" w:color="000000" w:sz="4" w:space="0"/>
              <w:right w:val="single" w:color="000000" w:sz="4" w:space="0"/>
            </w:tcBorders>
            <w:noWrap/>
            <w:vAlign w:val="center"/>
          </w:tcPr>
          <w:p w14:paraId="03D04825">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互联网区</w:t>
            </w:r>
          </w:p>
        </w:tc>
      </w:tr>
      <w:tr w14:paraId="26E32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5F14928B">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23</w:t>
            </w:r>
          </w:p>
        </w:tc>
        <w:tc>
          <w:tcPr>
            <w:tcW w:w="2839" w:type="dxa"/>
            <w:tcBorders>
              <w:top w:val="single" w:color="000000" w:sz="4" w:space="0"/>
              <w:left w:val="single" w:color="000000" w:sz="4" w:space="0"/>
              <w:bottom w:val="single" w:color="000000" w:sz="4" w:space="0"/>
              <w:right w:val="single" w:color="000000" w:sz="4" w:space="0"/>
            </w:tcBorders>
            <w:noWrap w:val="0"/>
            <w:vAlign w:val="center"/>
          </w:tcPr>
          <w:p w14:paraId="160ACD3F">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Ubuntu 操作系统</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0DDF05A">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Ubuntu</w:t>
            </w:r>
          </w:p>
        </w:tc>
        <w:tc>
          <w:tcPr>
            <w:tcW w:w="2073" w:type="dxa"/>
            <w:tcBorders>
              <w:top w:val="single" w:color="000000" w:sz="4" w:space="0"/>
              <w:left w:val="single" w:color="000000" w:sz="4" w:space="0"/>
              <w:bottom w:val="single" w:color="000000" w:sz="4" w:space="0"/>
              <w:right w:val="single" w:color="000000" w:sz="4" w:space="0"/>
            </w:tcBorders>
            <w:noWrap w:val="0"/>
            <w:vAlign w:val="center"/>
          </w:tcPr>
          <w:p w14:paraId="3A3719D0">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Ubuntu高级服务器版（16.04 LTS）</w:t>
            </w:r>
          </w:p>
        </w:tc>
        <w:tc>
          <w:tcPr>
            <w:tcW w:w="968" w:type="dxa"/>
            <w:tcBorders>
              <w:top w:val="single" w:color="000000" w:sz="4" w:space="0"/>
              <w:left w:val="single" w:color="000000" w:sz="4" w:space="0"/>
              <w:bottom w:val="single" w:color="000000" w:sz="4" w:space="0"/>
              <w:right w:val="single" w:color="000000" w:sz="4" w:space="0"/>
            </w:tcBorders>
            <w:noWrap/>
            <w:vAlign w:val="center"/>
          </w:tcPr>
          <w:p w14:paraId="747B4510">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15CD8B6C">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noWrap/>
            <w:vAlign w:val="center"/>
          </w:tcPr>
          <w:p w14:paraId="1CE16ABF">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互联网区</w:t>
            </w:r>
          </w:p>
        </w:tc>
      </w:tr>
      <w:tr w14:paraId="204FE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0BA17132">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w:t>
            </w:r>
          </w:p>
        </w:tc>
        <w:tc>
          <w:tcPr>
            <w:tcW w:w="2839" w:type="dxa"/>
            <w:tcBorders>
              <w:top w:val="single" w:color="000000" w:sz="4" w:space="0"/>
              <w:left w:val="single" w:color="000000" w:sz="4" w:space="0"/>
              <w:bottom w:val="single" w:color="000000" w:sz="4" w:space="0"/>
              <w:right w:val="single" w:color="000000" w:sz="4" w:space="0"/>
            </w:tcBorders>
            <w:noWrap w:val="0"/>
            <w:vAlign w:val="center"/>
          </w:tcPr>
          <w:p w14:paraId="41F38691">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Centos 操作系统</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C2850D7">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Centos</w:t>
            </w:r>
          </w:p>
        </w:tc>
        <w:tc>
          <w:tcPr>
            <w:tcW w:w="2073" w:type="dxa"/>
            <w:tcBorders>
              <w:top w:val="single" w:color="000000" w:sz="4" w:space="0"/>
              <w:left w:val="single" w:color="000000" w:sz="4" w:space="0"/>
              <w:bottom w:val="single" w:color="000000" w:sz="4" w:space="0"/>
              <w:right w:val="single" w:color="000000" w:sz="4" w:space="0"/>
            </w:tcBorders>
            <w:noWrap w:val="0"/>
            <w:vAlign w:val="center"/>
          </w:tcPr>
          <w:p w14:paraId="0C1CC31F">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Centos增强版（版本7.0）</w:t>
            </w:r>
          </w:p>
        </w:tc>
        <w:tc>
          <w:tcPr>
            <w:tcW w:w="968" w:type="dxa"/>
            <w:tcBorders>
              <w:top w:val="single" w:color="000000" w:sz="4" w:space="0"/>
              <w:left w:val="single" w:color="000000" w:sz="4" w:space="0"/>
              <w:bottom w:val="single" w:color="000000" w:sz="4" w:space="0"/>
              <w:right w:val="single" w:color="000000" w:sz="4" w:space="0"/>
            </w:tcBorders>
            <w:noWrap/>
            <w:vAlign w:val="center"/>
          </w:tcPr>
          <w:p w14:paraId="7FB3C23B">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647B7674">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noWrap/>
            <w:vAlign w:val="center"/>
          </w:tcPr>
          <w:p w14:paraId="39FE7E76">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互联网区</w:t>
            </w:r>
          </w:p>
        </w:tc>
      </w:tr>
      <w:tr w14:paraId="4DA57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4D3BBBFA">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w:t>
            </w:r>
          </w:p>
        </w:tc>
        <w:tc>
          <w:tcPr>
            <w:tcW w:w="2839" w:type="dxa"/>
            <w:tcBorders>
              <w:top w:val="single" w:color="000000" w:sz="4" w:space="0"/>
              <w:left w:val="single" w:color="000000" w:sz="4" w:space="0"/>
              <w:bottom w:val="single" w:color="000000" w:sz="4" w:space="0"/>
              <w:right w:val="single" w:color="000000" w:sz="4" w:space="0"/>
            </w:tcBorders>
            <w:noWrap w:val="0"/>
            <w:vAlign w:val="center"/>
          </w:tcPr>
          <w:p w14:paraId="27E3FDB4">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托管区接入交换机</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008F7B8">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华为</w:t>
            </w:r>
          </w:p>
        </w:tc>
        <w:tc>
          <w:tcPr>
            <w:tcW w:w="2073" w:type="dxa"/>
            <w:tcBorders>
              <w:top w:val="single" w:color="000000" w:sz="4" w:space="0"/>
              <w:left w:val="single" w:color="000000" w:sz="4" w:space="0"/>
              <w:bottom w:val="single" w:color="000000" w:sz="4" w:space="0"/>
              <w:right w:val="single" w:color="000000" w:sz="4" w:space="0"/>
            </w:tcBorders>
            <w:noWrap w:val="0"/>
            <w:vAlign w:val="center"/>
          </w:tcPr>
          <w:p w14:paraId="380549A2">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CloudEngine 6857-48S6CQ-EI</w:t>
            </w:r>
          </w:p>
        </w:tc>
        <w:tc>
          <w:tcPr>
            <w:tcW w:w="968" w:type="dxa"/>
            <w:tcBorders>
              <w:top w:val="single" w:color="000000" w:sz="4" w:space="0"/>
              <w:left w:val="single" w:color="000000" w:sz="4" w:space="0"/>
              <w:bottom w:val="single" w:color="000000" w:sz="4" w:space="0"/>
              <w:right w:val="single" w:color="000000" w:sz="4" w:space="0"/>
            </w:tcBorders>
            <w:noWrap/>
            <w:vAlign w:val="center"/>
          </w:tcPr>
          <w:p w14:paraId="1EF3BF2E">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15A65E5F">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noWrap/>
            <w:vAlign w:val="center"/>
          </w:tcPr>
          <w:p w14:paraId="673111A3">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互联网区</w:t>
            </w:r>
          </w:p>
        </w:tc>
      </w:tr>
      <w:tr w14:paraId="08320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26BBD4D8">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26</w:t>
            </w:r>
          </w:p>
        </w:tc>
        <w:tc>
          <w:tcPr>
            <w:tcW w:w="2839" w:type="dxa"/>
            <w:tcBorders>
              <w:top w:val="single" w:color="000000" w:sz="4" w:space="0"/>
              <w:left w:val="single" w:color="000000" w:sz="4" w:space="0"/>
              <w:bottom w:val="single" w:color="000000" w:sz="4" w:space="0"/>
              <w:right w:val="single" w:color="000000" w:sz="4" w:space="0"/>
            </w:tcBorders>
            <w:noWrap w:val="0"/>
            <w:vAlign w:val="center"/>
          </w:tcPr>
          <w:p w14:paraId="6644B530">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核心交换机（运维管理区）</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670C8B31">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华为</w:t>
            </w:r>
          </w:p>
        </w:tc>
        <w:tc>
          <w:tcPr>
            <w:tcW w:w="2073" w:type="dxa"/>
            <w:tcBorders>
              <w:top w:val="single" w:color="000000" w:sz="4" w:space="0"/>
              <w:left w:val="single" w:color="000000" w:sz="4" w:space="0"/>
              <w:bottom w:val="single" w:color="000000" w:sz="4" w:space="0"/>
              <w:right w:val="single" w:color="000000" w:sz="4" w:space="0"/>
            </w:tcBorders>
            <w:noWrap w:val="0"/>
            <w:vAlign w:val="center"/>
          </w:tcPr>
          <w:p w14:paraId="1815ACBA">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S12700E-8</w:t>
            </w:r>
          </w:p>
        </w:tc>
        <w:tc>
          <w:tcPr>
            <w:tcW w:w="968" w:type="dxa"/>
            <w:tcBorders>
              <w:top w:val="single" w:color="000000" w:sz="4" w:space="0"/>
              <w:left w:val="single" w:color="000000" w:sz="4" w:space="0"/>
              <w:bottom w:val="single" w:color="000000" w:sz="4" w:space="0"/>
              <w:right w:val="single" w:color="000000" w:sz="4" w:space="0"/>
            </w:tcBorders>
            <w:noWrap/>
            <w:vAlign w:val="center"/>
          </w:tcPr>
          <w:p w14:paraId="28408B4A">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4DF64A2E">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560" w:type="dxa"/>
            <w:tcBorders>
              <w:top w:val="single" w:color="000000" w:sz="4" w:space="0"/>
              <w:left w:val="single" w:color="000000" w:sz="4" w:space="0"/>
              <w:bottom w:val="single" w:color="000000" w:sz="4" w:space="0"/>
              <w:right w:val="single" w:color="000000" w:sz="4" w:space="0"/>
            </w:tcBorders>
            <w:noWrap/>
            <w:vAlign w:val="center"/>
          </w:tcPr>
          <w:p w14:paraId="570782E7">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互联网区</w:t>
            </w:r>
          </w:p>
        </w:tc>
      </w:tr>
      <w:tr w14:paraId="7911D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3BE6DB5E">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27</w:t>
            </w:r>
          </w:p>
        </w:tc>
        <w:tc>
          <w:tcPr>
            <w:tcW w:w="2839" w:type="dxa"/>
            <w:tcBorders>
              <w:top w:val="single" w:color="000000" w:sz="4" w:space="0"/>
              <w:left w:val="single" w:color="000000" w:sz="4" w:space="0"/>
              <w:bottom w:val="single" w:color="000000" w:sz="4" w:space="0"/>
              <w:right w:val="single" w:color="000000" w:sz="4" w:space="0"/>
            </w:tcBorders>
            <w:noWrap w:val="0"/>
            <w:vAlign w:val="center"/>
          </w:tcPr>
          <w:p w14:paraId="783FCA82">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政府专网区日志审计</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2D1E3000">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启明星辰</w:t>
            </w:r>
          </w:p>
        </w:tc>
        <w:tc>
          <w:tcPr>
            <w:tcW w:w="2073" w:type="dxa"/>
            <w:tcBorders>
              <w:top w:val="single" w:color="000000" w:sz="4" w:space="0"/>
              <w:left w:val="single" w:color="000000" w:sz="4" w:space="0"/>
              <w:bottom w:val="single" w:color="000000" w:sz="4" w:space="0"/>
              <w:right w:val="single" w:color="000000" w:sz="4" w:space="0"/>
            </w:tcBorders>
            <w:noWrap w:val="0"/>
            <w:vAlign w:val="center"/>
          </w:tcPr>
          <w:p w14:paraId="5365854E">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TSOC-SA-CDB</w:t>
            </w:r>
          </w:p>
        </w:tc>
        <w:tc>
          <w:tcPr>
            <w:tcW w:w="968" w:type="dxa"/>
            <w:tcBorders>
              <w:top w:val="single" w:color="000000" w:sz="4" w:space="0"/>
              <w:left w:val="single" w:color="000000" w:sz="4" w:space="0"/>
              <w:bottom w:val="single" w:color="000000" w:sz="4" w:space="0"/>
              <w:right w:val="single" w:color="000000" w:sz="4" w:space="0"/>
            </w:tcBorders>
            <w:noWrap/>
            <w:vAlign w:val="center"/>
          </w:tcPr>
          <w:p w14:paraId="0D155AE0">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224FC98B">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noWrap/>
            <w:vAlign w:val="center"/>
          </w:tcPr>
          <w:p w14:paraId="277C78D1">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互联网区</w:t>
            </w:r>
          </w:p>
        </w:tc>
      </w:tr>
      <w:tr w14:paraId="3AE55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5ED98649">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28</w:t>
            </w:r>
          </w:p>
        </w:tc>
        <w:tc>
          <w:tcPr>
            <w:tcW w:w="2839" w:type="dxa"/>
            <w:tcBorders>
              <w:top w:val="single" w:color="000000" w:sz="4" w:space="0"/>
              <w:left w:val="single" w:color="000000" w:sz="4" w:space="0"/>
              <w:bottom w:val="single" w:color="000000" w:sz="4" w:space="0"/>
              <w:right w:val="single" w:color="000000" w:sz="4" w:space="0"/>
            </w:tcBorders>
            <w:noWrap w:val="0"/>
            <w:vAlign w:val="center"/>
          </w:tcPr>
          <w:p w14:paraId="26018FDB">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互联网边界VPN网关</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4B621890">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深信服</w:t>
            </w:r>
          </w:p>
        </w:tc>
        <w:tc>
          <w:tcPr>
            <w:tcW w:w="2073" w:type="dxa"/>
            <w:tcBorders>
              <w:top w:val="single" w:color="000000" w:sz="4" w:space="0"/>
              <w:left w:val="single" w:color="000000" w:sz="4" w:space="0"/>
              <w:bottom w:val="single" w:color="000000" w:sz="4" w:space="0"/>
              <w:right w:val="single" w:color="000000" w:sz="4" w:space="0"/>
            </w:tcBorders>
            <w:noWrap w:val="0"/>
            <w:vAlign w:val="center"/>
          </w:tcPr>
          <w:p w14:paraId="47BB51F4">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深信服SJJ-1517-A40</w:t>
            </w:r>
          </w:p>
        </w:tc>
        <w:tc>
          <w:tcPr>
            <w:tcW w:w="968" w:type="dxa"/>
            <w:tcBorders>
              <w:top w:val="single" w:color="000000" w:sz="4" w:space="0"/>
              <w:left w:val="single" w:color="000000" w:sz="4" w:space="0"/>
              <w:bottom w:val="single" w:color="000000" w:sz="4" w:space="0"/>
              <w:right w:val="single" w:color="000000" w:sz="4" w:space="0"/>
            </w:tcBorders>
            <w:noWrap/>
            <w:vAlign w:val="center"/>
          </w:tcPr>
          <w:p w14:paraId="0F2D7EA3">
            <w:pPr>
              <w:keepNext w:val="0"/>
              <w:keepLines w:val="0"/>
              <w:pageBreakBefore w:val="0"/>
              <w:kinsoku/>
              <w:overflowPunct/>
              <w:topLinePunct w:val="0"/>
              <w:autoSpaceDE/>
              <w:autoSpaceDN/>
              <w:bidi w:val="0"/>
              <w:adjustRightInd/>
              <w:snapToGrid/>
              <w:spacing w:line="480" w:lineRule="exact"/>
              <w:ind w:left="0"/>
              <w:jc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台</w:t>
            </w: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4856D64E">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560" w:type="dxa"/>
            <w:tcBorders>
              <w:top w:val="single" w:color="000000" w:sz="4" w:space="0"/>
              <w:left w:val="single" w:color="000000" w:sz="4" w:space="0"/>
              <w:bottom w:val="single" w:color="000000" w:sz="4" w:space="0"/>
              <w:right w:val="single" w:color="000000" w:sz="4" w:space="0"/>
            </w:tcBorders>
            <w:noWrap/>
            <w:vAlign w:val="center"/>
          </w:tcPr>
          <w:p w14:paraId="53213073">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互联网区</w:t>
            </w:r>
          </w:p>
        </w:tc>
      </w:tr>
      <w:tr w14:paraId="74D52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026A904F">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2839" w:type="dxa"/>
            <w:tcBorders>
              <w:top w:val="single" w:color="000000" w:sz="4" w:space="0"/>
              <w:left w:val="single" w:color="000000" w:sz="4" w:space="0"/>
              <w:bottom w:val="single" w:color="000000" w:sz="4" w:space="0"/>
              <w:right w:val="single" w:color="000000" w:sz="4" w:space="0"/>
            </w:tcBorders>
            <w:noWrap w:val="0"/>
            <w:vAlign w:val="center"/>
          </w:tcPr>
          <w:p w14:paraId="143A2772">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互联网区应用负载均衡</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31ADEEDC">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深信服</w:t>
            </w:r>
          </w:p>
        </w:tc>
        <w:tc>
          <w:tcPr>
            <w:tcW w:w="2073" w:type="dxa"/>
            <w:tcBorders>
              <w:top w:val="single" w:color="000000" w:sz="4" w:space="0"/>
              <w:left w:val="single" w:color="000000" w:sz="4" w:space="0"/>
              <w:bottom w:val="single" w:color="000000" w:sz="4" w:space="0"/>
              <w:right w:val="single" w:color="000000" w:sz="4" w:space="0"/>
            </w:tcBorders>
            <w:noWrap w:val="0"/>
            <w:vAlign w:val="center"/>
          </w:tcPr>
          <w:p w14:paraId="0B563236">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深信服AD-1000-I482</w:t>
            </w:r>
          </w:p>
        </w:tc>
        <w:tc>
          <w:tcPr>
            <w:tcW w:w="968" w:type="dxa"/>
            <w:tcBorders>
              <w:top w:val="single" w:color="000000" w:sz="4" w:space="0"/>
              <w:left w:val="single" w:color="000000" w:sz="4" w:space="0"/>
              <w:bottom w:val="single" w:color="000000" w:sz="4" w:space="0"/>
              <w:right w:val="single" w:color="000000" w:sz="4" w:space="0"/>
            </w:tcBorders>
            <w:noWrap/>
            <w:vAlign w:val="center"/>
          </w:tcPr>
          <w:p w14:paraId="79B4EA5D">
            <w:pPr>
              <w:keepNext w:val="0"/>
              <w:keepLines w:val="0"/>
              <w:pageBreakBefore w:val="0"/>
              <w:kinsoku/>
              <w:overflowPunct/>
              <w:topLinePunct w:val="0"/>
              <w:autoSpaceDE/>
              <w:autoSpaceDN/>
              <w:bidi w:val="0"/>
              <w:adjustRightInd/>
              <w:snapToGrid/>
              <w:spacing w:line="480" w:lineRule="exact"/>
              <w:ind w:left="0"/>
              <w:jc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台</w:t>
            </w: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3626345F">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560" w:type="dxa"/>
            <w:tcBorders>
              <w:top w:val="single" w:color="000000" w:sz="4" w:space="0"/>
              <w:left w:val="single" w:color="000000" w:sz="4" w:space="0"/>
              <w:bottom w:val="single" w:color="000000" w:sz="4" w:space="0"/>
              <w:right w:val="single" w:color="000000" w:sz="4" w:space="0"/>
            </w:tcBorders>
            <w:noWrap/>
            <w:vAlign w:val="center"/>
          </w:tcPr>
          <w:p w14:paraId="550B8B91">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互联网区</w:t>
            </w:r>
          </w:p>
        </w:tc>
      </w:tr>
      <w:tr w14:paraId="2EF6F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7000FDF5">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2839" w:type="dxa"/>
            <w:tcBorders>
              <w:top w:val="single" w:color="000000" w:sz="4" w:space="0"/>
              <w:left w:val="single" w:color="000000" w:sz="4" w:space="0"/>
              <w:bottom w:val="single" w:color="000000" w:sz="4" w:space="0"/>
              <w:right w:val="single" w:color="000000" w:sz="4" w:space="0"/>
            </w:tcBorders>
            <w:noWrap w:val="0"/>
            <w:vAlign w:val="center"/>
          </w:tcPr>
          <w:p w14:paraId="3FA68618">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应用负载</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247DA455">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深信服</w:t>
            </w:r>
          </w:p>
        </w:tc>
        <w:tc>
          <w:tcPr>
            <w:tcW w:w="2073" w:type="dxa"/>
            <w:tcBorders>
              <w:top w:val="single" w:color="000000" w:sz="4" w:space="0"/>
              <w:left w:val="single" w:color="000000" w:sz="4" w:space="0"/>
              <w:bottom w:val="single" w:color="000000" w:sz="4" w:space="0"/>
              <w:right w:val="single" w:color="000000" w:sz="4" w:space="0"/>
            </w:tcBorders>
            <w:noWrap w:val="0"/>
            <w:vAlign w:val="center"/>
          </w:tcPr>
          <w:p w14:paraId="0FEF5EBE">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AD-1000-I482</w:t>
            </w:r>
          </w:p>
        </w:tc>
        <w:tc>
          <w:tcPr>
            <w:tcW w:w="968" w:type="dxa"/>
            <w:tcBorders>
              <w:top w:val="single" w:color="000000" w:sz="4" w:space="0"/>
              <w:left w:val="single" w:color="000000" w:sz="4" w:space="0"/>
              <w:bottom w:val="single" w:color="000000" w:sz="4" w:space="0"/>
              <w:right w:val="single" w:color="000000" w:sz="4" w:space="0"/>
            </w:tcBorders>
            <w:noWrap/>
            <w:vAlign w:val="center"/>
          </w:tcPr>
          <w:p w14:paraId="419CEE34">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1D9251C0">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560" w:type="dxa"/>
            <w:tcBorders>
              <w:top w:val="single" w:color="000000" w:sz="4" w:space="0"/>
              <w:left w:val="single" w:color="000000" w:sz="4" w:space="0"/>
              <w:bottom w:val="single" w:color="000000" w:sz="4" w:space="0"/>
              <w:right w:val="single" w:color="000000" w:sz="4" w:space="0"/>
            </w:tcBorders>
            <w:noWrap/>
            <w:vAlign w:val="center"/>
          </w:tcPr>
          <w:p w14:paraId="756D2309">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公共网络区</w:t>
            </w:r>
          </w:p>
        </w:tc>
      </w:tr>
      <w:tr w14:paraId="32DF5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52E23A96">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31</w:t>
            </w:r>
          </w:p>
        </w:tc>
        <w:tc>
          <w:tcPr>
            <w:tcW w:w="2839" w:type="dxa"/>
            <w:tcBorders>
              <w:top w:val="single" w:color="000000" w:sz="4" w:space="0"/>
              <w:left w:val="single" w:color="000000" w:sz="4" w:space="0"/>
              <w:bottom w:val="single" w:color="000000" w:sz="4" w:space="0"/>
              <w:right w:val="single" w:color="000000" w:sz="4" w:space="0"/>
            </w:tcBorders>
            <w:noWrap w:val="0"/>
            <w:vAlign w:val="center"/>
          </w:tcPr>
          <w:p w14:paraId="4049D007">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数据库一体机</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260BEB37">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神州数码</w:t>
            </w:r>
          </w:p>
        </w:tc>
        <w:tc>
          <w:tcPr>
            <w:tcW w:w="2073" w:type="dxa"/>
            <w:tcBorders>
              <w:top w:val="single" w:color="000000" w:sz="4" w:space="0"/>
              <w:left w:val="single" w:color="000000" w:sz="4" w:space="0"/>
              <w:bottom w:val="single" w:color="000000" w:sz="4" w:space="0"/>
              <w:right w:val="single" w:color="000000" w:sz="4" w:space="0"/>
            </w:tcBorders>
            <w:noWrap w:val="0"/>
            <w:vAlign w:val="center"/>
          </w:tcPr>
          <w:p w14:paraId="09AC9683">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登云数据库一体机 1/8配A款</w:t>
            </w:r>
          </w:p>
        </w:tc>
        <w:tc>
          <w:tcPr>
            <w:tcW w:w="968" w:type="dxa"/>
            <w:tcBorders>
              <w:top w:val="single" w:color="000000" w:sz="4" w:space="0"/>
              <w:left w:val="single" w:color="000000" w:sz="4" w:space="0"/>
              <w:bottom w:val="single" w:color="000000" w:sz="4" w:space="0"/>
              <w:right w:val="single" w:color="000000" w:sz="4" w:space="0"/>
            </w:tcBorders>
            <w:noWrap/>
            <w:vAlign w:val="center"/>
          </w:tcPr>
          <w:p w14:paraId="6F2348B9">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57E674A1">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560" w:type="dxa"/>
            <w:tcBorders>
              <w:top w:val="single" w:color="000000" w:sz="4" w:space="0"/>
              <w:left w:val="single" w:color="000000" w:sz="4" w:space="0"/>
              <w:bottom w:val="single" w:color="000000" w:sz="4" w:space="0"/>
              <w:right w:val="single" w:color="000000" w:sz="4" w:space="0"/>
            </w:tcBorders>
            <w:noWrap/>
            <w:vAlign w:val="center"/>
          </w:tcPr>
          <w:p w14:paraId="7979F6C0">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公共网络区</w:t>
            </w:r>
          </w:p>
        </w:tc>
      </w:tr>
      <w:tr w14:paraId="4C64C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4C8A1687">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32</w:t>
            </w:r>
          </w:p>
        </w:tc>
        <w:tc>
          <w:tcPr>
            <w:tcW w:w="2839" w:type="dxa"/>
            <w:tcBorders>
              <w:top w:val="single" w:color="000000" w:sz="4" w:space="0"/>
              <w:left w:val="single" w:color="000000" w:sz="4" w:space="0"/>
              <w:bottom w:val="single" w:color="000000" w:sz="4" w:space="0"/>
              <w:right w:val="single" w:color="000000" w:sz="4" w:space="0"/>
            </w:tcBorders>
            <w:noWrap w:val="0"/>
            <w:vAlign w:val="center"/>
          </w:tcPr>
          <w:p w14:paraId="7BAEC733">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安全隔离与交换系统</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29F57C05">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科博</w:t>
            </w:r>
          </w:p>
        </w:tc>
        <w:tc>
          <w:tcPr>
            <w:tcW w:w="2073" w:type="dxa"/>
            <w:tcBorders>
              <w:top w:val="single" w:color="000000" w:sz="4" w:space="0"/>
              <w:left w:val="single" w:color="000000" w:sz="4" w:space="0"/>
              <w:bottom w:val="single" w:color="000000" w:sz="4" w:space="0"/>
              <w:right w:val="single" w:color="000000" w:sz="4" w:space="0"/>
            </w:tcBorders>
            <w:noWrap w:val="0"/>
            <w:vAlign w:val="center"/>
          </w:tcPr>
          <w:p w14:paraId="57040C7D">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CopSDP V2.0</w:t>
            </w:r>
          </w:p>
        </w:tc>
        <w:tc>
          <w:tcPr>
            <w:tcW w:w="968" w:type="dxa"/>
            <w:tcBorders>
              <w:top w:val="single" w:color="000000" w:sz="4" w:space="0"/>
              <w:left w:val="single" w:color="000000" w:sz="4" w:space="0"/>
              <w:bottom w:val="single" w:color="000000" w:sz="4" w:space="0"/>
              <w:right w:val="single" w:color="000000" w:sz="4" w:space="0"/>
            </w:tcBorders>
            <w:noWrap/>
            <w:vAlign w:val="center"/>
          </w:tcPr>
          <w:p w14:paraId="2549C3CA">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786F8D78">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1560" w:type="dxa"/>
            <w:tcBorders>
              <w:top w:val="single" w:color="000000" w:sz="4" w:space="0"/>
              <w:left w:val="single" w:color="000000" w:sz="4" w:space="0"/>
              <w:bottom w:val="single" w:color="000000" w:sz="4" w:space="0"/>
              <w:right w:val="single" w:color="000000" w:sz="4" w:space="0"/>
            </w:tcBorders>
            <w:noWrap/>
            <w:vAlign w:val="center"/>
          </w:tcPr>
          <w:p w14:paraId="0AEA5C93">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公共网络区</w:t>
            </w:r>
          </w:p>
        </w:tc>
      </w:tr>
      <w:tr w14:paraId="7A808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679BCB5C">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33</w:t>
            </w:r>
          </w:p>
        </w:tc>
        <w:tc>
          <w:tcPr>
            <w:tcW w:w="2839" w:type="dxa"/>
            <w:tcBorders>
              <w:top w:val="single" w:color="000000" w:sz="4" w:space="0"/>
              <w:left w:val="single" w:color="000000" w:sz="4" w:space="0"/>
              <w:bottom w:val="single" w:color="000000" w:sz="4" w:space="0"/>
              <w:right w:val="single" w:color="000000" w:sz="4" w:space="0"/>
            </w:tcBorders>
            <w:noWrap w:val="0"/>
            <w:vAlign w:val="center"/>
          </w:tcPr>
          <w:p w14:paraId="4C89EFD9">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日志存储设备</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AAF33DC">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宏杉</w:t>
            </w:r>
          </w:p>
        </w:tc>
        <w:tc>
          <w:tcPr>
            <w:tcW w:w="2073" w:type="dxa"/>
            <w:tcBorders>
              <w:top w:val="single" w:color="000000" w:sz="4" w:space="0"/>
              <w:left w:val="single" w:color="000000" w:sz="4" w:space="0"/>
              <w:bottom w:val="single" w:color="000000" w:sz="4" w:space="0"/>
              <w:right w:val="single" w:color="000000" w:sz="4" w:space="0"/>
            </w:tcBorders>
            <w:noWrap w:val="0"/>
            <w:vAlign w:val="center"/>
          </w:tcPr>
          <w:p w14:paraId="3A497A61">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DSU1616</w:t>
            </w:r>
          </w:p>
        </w:tc>
        <w:tc>
          <w:tcPr>
            <w:tcW w:w="968" w:type="dxa"/>
            <w:tcBorders>
              <w:top w:val="single" w:color="000000" w:sz="4" w:space="0"/>
              <w:left w:val="single" w:color="000000" w:sz="4" w:space="0"/>
              <w:bottom w:val="single" w:color="000000" w:sz="4" w:space="0"/>
              <w:right w:val="single" w:color="000000" w:sz="4" w:space="0"/>
            </w:tcBorders>
            <w:noWrap/>
            <w:vAlign w:val="center"/>
          </w:tcPr>
          <w:p w14:paraId="2DEDABB1">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1C747863">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560" w:type="dxa"/>
            <w:tcBorders>
              <w:top w:val="single" w:color="000000" w:sz="4" w:space="0"/>
              <w:left w:val="single" w:color="000000" w:sz="4" w:space="0"/>
              <w:bottom w:val="single" w:color="000000" w:sz="4" w:space="0"/>
              <w:right w:val="single" w:color="000000" w:sz="4" w:space="0"/>
            </w:tcBorders>
            <w:noWrap/>
            <w:vAlign w:val="center"/>
          </w:tcPr>
          <w:p w14:paraId="5D9683F1">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公共网络区</w:t>
            </w:r>
          </w:p>
        </w:tc>
      </w:tr>
      <w:tr w14:paraId="5809C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6EC7FDAB">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34</w:t>
            </w:r>
          </w:p>
        </w:tc>
        <w:tc>
          <w:tcPr>
            <w:tcW w:w="2839" w:type="dxa"/>
            <w:tcBorders>
              <w:top w:val="single" w:color="000000" w:sz="4" w:space="0"/>
              <w:left w:val="single" w:color="000000" w:sz="4" w:space="0"/>
              <w:bottom w:val="single" w:color="000000" w:sz="4" w:space="0"/>
              <w:right w:val="single" w:color="000000" w:sz="4" w:space="0"/>
            </w:tcBorders>
            <w:noWrap w:val="0"/>
            <w:vAlign w:val="center"/>
          </w:tcPr>
          <w:p w14:paraId="43C1B4CC">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网页防篡改软件</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69E0032E">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天存</w:t>
            </w:r>
          </w:p>
        </w:tc>
        <w:tc>
          <w:tcPr>
            <w:tcW w:w="2073" w:type="dxa"/>
            <w:tcBorders>
              <w:top w:val="single" w:color="000000" w:sz="4" w:space="0"/>
              <w:left w:val="single" w:color="000000" w:sz="4" w:space="0"/>
              <w:bottom w:val="single" w:color="000000" w:sz="4" w:space="0"/>
              <w:right w:val="single" w:color="000000" w:sz="4" w:space="0"/>
            </w:tcBorders>
            <w:noWrap w:val="0"/>
            <w:vAlign w:val="center"/>
          </w:tcPr>
          <w:p w14:paraId="1CD4E2A3">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iGuard5.0标准版</w:t>
            </w:r>
          </w:p>
        </w:tc>
        <w:tc>
          <w:tcPr>
            <w:tcW w:w="968" w:type="dxa"/>
            <w:tcBorders>
              <w:top w:val="single" w:color="000000" w:sz="4" w:space="0"/>
              <w:left w:val="single" w:color="000000" w:sz="4" w:space="0"/>
              <w:bottom w:val="single" w:color="000000" w:sz="4" w:space="0"/>
              <w:right w:val="single" w:color="000000" w:sz="4" w:space="0"/>
            </w:tcBorders>
            <w:noWrap/>
            <w:vAlign w:val="center"/>
          </w:tcPr>
          <w:p w14:paraId="5744B493">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strike/>
                <w:color w:val="auto"/>
                <w:sz w:val="24"/>
                <w:szCs w:val="24"/>
                <w:highlight w:val="none"/>
              </w:rPr>
            </w:pPr>
            <w:r>
              <w:rPr>
                <w:rFonts w:hint="eastAsia" w:ascii="宋体" w:hAnsi="宋体" w:eastAsia="宋体" w:cs="宋体"/>
                <w:i w:val="0"/>
                <w:iCs w:val="0"/>
                <w:strike w:val="0"/>
                <w:dstrike w:val="0"/>
                <w:color w:val="auto"/>
                <w:kern w:val="0"/>
                <w:sz w:val="24"/>
                <w:szCs w:val="24"/>
                <w:highlight w:val="none"/>
                <w:lang w:val="en-US" w:eastAsia="zh-CN" w:bidi="ar"/>
              </w:rPr>
              <w:t>套</w:t>
            </w: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35A13A15">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noWrap/>
            <w:vAlign w:val="center"/>
          </w:tcPr>
          <w:p w14:paraId="3243F1CF">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公共网络区</w:t>
            </w:r>
          </w:p>
        </w:tc>
      </w:tr>
      <w:tr w14:paraId="0B505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60E2FEC9">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35</w:t>
            </w:r>
          </w:p>
        </w:tc>
        <w:tc>
          <w:tcPr>
            <w:tcW w:w="2839" w:type="dxa"/>
            <w:tcBorders>
              <w:top w:val="single" w:color="000000" w:sz="4" w:space="0"/>
              <w:left w:val="single" w:color="000000" w:sz="4" w:space="0"/>
              <w:bottom w:val="single" w:color="000000" w:sz="4" w:space="0"/>
              <w:right w:val="single" w:color="000000" w:sz="4" w:space="0"/>
            </w:tcBorders>
            <w:noWrap w:val="0"/>
            <w:vAlign w:val="center"/>
          </w:tcPr>
          <w:p w14:paraId="01607A41">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TAP</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D8098C4">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华为</w:t>
            </w:r>
          </w:p>
        </w:tc>
        <w:tc>
          <w:tcPr>
            <w:tcW w:w="2073" w:type="dxa"/>
            <w:tcBorders>
              <w:top w:val="single" w:color="000000" w:sz="4" w:space="0"/>
              <w:left w:val="single" w:color="000000" w:sz="4" w:space="0"/>
              <w:bottom w:val="single" w:color="000000" w:sz="4" w:space="0"/>
              <w:right w:val="single" w:color="000000" w:sz="4" w:space="0"/>
            </w:tcBorders>
            <w:noWrap w:val="0"/>
            <w:vAlign w:val="center"/>
          </w:tcPr>
          <w:p w14:paraId="0863D73F">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CloudEngine S6730-H48X6C</w:t>
            </w:r>
          </w:p>
        </w:tc>
        <w:tc>
          <w:tcPr>
            <w:tcW w:w="968" w:type="dxa"/>
            <w:tcBorders>
              <w:top w:val="single" w:color="000000" w:sz="4" w:space="0"/>
              <w:left w:val="single" w:color="000000" w:sz="4" w:space="0"/>
              <w:bottom w:val="single" w:color="000000" w:sz="4" w:space="0"/>
              <w:right w:val="single" w:color="000000" w:sz="4" w:space="0"/>
            </w:tcBorders>
            <w:noWrap/>
            <w:vAlign w:val="center"/>
          </w:tcPr>
          <w:p w14:paraId="132CBB39">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2DFCE300">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noWrap/>
            <w:vAlign w:val="center"/>
          </w:tcPr>
          <w:p w14:paraId="16322734">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公共网络区</w:t>
            </w:r>
          </w:p>
        </w:tc>
      </w:tr>
      <w:tr w14:paraId="523FF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18CE938F">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w:t>
            </w:r>
          </w:p>
        </w:tc>
        <w:tc>
          <w:tcPr>
            <w:tcW w:w="2839" w:type="dxa"/>
            <w:tcBorders>
              <w:top w:val="single" w:color="000000" w:sz="4" w:space="0"/>
              <w:left w:val="single" w:color="000000" w:sz="4" w:space="0"/>
              <w:bottom w:val="single" w:color="000000" w:sz="4" w:space="0"/>
              <w:right w:val="single" w:color="000000" w:sz="4" w:space="0"/>
            </w:tcBorders>
            <w:noWrap w:val="0"/>
            <w:vAlign w:val="center"/>
          </w:tcPr>
          <w:p w14:paraId="5DACB039">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公共网络区数据中心核心交换机</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6248E18">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华为</w:t>
            </w:r>
          </w:p>
        </w:tc>
        <w:tc>
          <w:tcPr>
            <w:tcW w:w="2073" w:type="dxa"/>
            <w:tcBorders>
              <w:top w:val="single" w:color="000000" w:sz="4" w:space="0"/>
              <w:left w:val="single" w:color="000000" w:sz="4" w:space="0"/>
              <w:bottom w:val="single" w:color="000000" w:sz="4" w:space="0"/>
              <w:right w:val="single" w:color="000000" w:sz="4" w:space="0"/>
            </w:tcBorders>
            <w:noWrap w:val="0"/>
            <w:vAlign w:val="center"/>
          </w:tcPr>
          <w:p w14:paraId="241533E1">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CE12808</w:t>
            </w:r>
          </w:p>
        </w:tc>
        <w:tc>
          <w:tcPr>
            <w:tcW w:w="968" w:type="dxa"/>
            <w:tcBorders>
              <w:top w:val="single" w:color="000000" w:sz="4" w:space="0"/>
              <w:left w:val="single" w:color="000000" w:sz="4" w:space="0"/>
              <w:bottom w:val="single" w:color="000000" w:sz="4" w:space="0"/>
              <w:right w:val="single" w:color="000000" w:sz="4" w:space="0"/>
            </w:tcBorders>
            <w:noWrap/>
            <w:vAlign w:val="center"/>
          </w:tcPr>
          <w:p w14:paraId="286A02C8">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096A8D95">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560" w:type="dxa"/>
            <w:tcBorders>
              <w:top w:val="single" w:color="000000" w:sz="4" w:space="0"/>
              <w:left w:val="single" w:color="000000" w:sz="4" w:space="0"/>
              <w:bottom w:val="single" w:color="000000" w:sz="4" w:space="0"/>
              <w:right w:val="single" w:color="000000" w:sz="4" w:space="0"/>
            </w:tcBorders>
            <w:noWrap/>
            <w:vAlign w:val="center"/>
          </w:tcPr>
          <w:p w14:paraId="40AD0872">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公共网络区</w:t>
            </w:r>
          </w:p>
        </w:tc>
      </w:tr>
      <w:tr w14:paraId="4AE7B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0BE7F05B">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37</w:t>
            </w:r>
          </w:p>
        </w:tc>
        <w:tc>
          <w:tcPr>
            <w:tcW w:w="2839" w:type="dxa"/>
            <w:tcBorders>
              <w:top w:val="single" w:color="000000" w:sz="4" w:space="0"/>
              <w:left w:val="single" w:color="000000" w:sz="4" w:space="0"/>
              <w:bottom w:val="single" w:color="000000" w:sz="4" w:space="0"/>
              <w:right w:val="single" w:color="000000" w:sz="4" w:space="0"/>
            </w:tcBorders>
            <w:noWrap w:val="0"/>
            <w:vAlign w:val="center"/>
          </w:tcPr>
          <w:p w14:paraId="3AFAF6F7">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外网接入交换机</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3FD3436">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华为</w:t>
            </w:r>
          </w:p>
        </w:tc>
        <w:tc>
          <w:tcPr>
            <w:tcW w:w="2073" w:type="dxa"/>
            <w:tcBorders>
              <w:top w:val="single" w:color="000000" w:sz="4" w:space="0"/>
              <w:left w:val="single" w:color="000000" w:sz="4" w:space="0"/>
              <w:bottom w:val="single" w:color="000000" w:sz="4" w:space="0"/>
              <w:right w:val="single" w:color="000000" w:sz="4" w:space="0"/>
            </w:tcBorders>
            <w:noWrap w:val="0"/>
            <w:vAlign w:val="center"/>
          </w:tcPr>
          <w:p w14:paraId="4EC47771">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S5720-56C-EI-AC</w:t>
            </w:r>
          </w:p>
        </w:tc>
        <w:tc>
          <w:tcPr>
            <w:tcW w:w="968" w:type="dxa"/>
            <w:tcBorders>
              <w:top w:val="single" w:color="000000" w:sz="4" w:space="0"/>
              <w:left w:val="single" w:color="000000" w:sz="4" w:space="0"/>
              <w:bottom w:val="single" w:color="000000" w:sz="4" w:space="0"/>
              <w:right w:val="single" w:color="000000" w:sz="4" w:space="0"/>
            </w:tcBorders>
            <w:noWrap/>
            <w:vAlign w:val="center"/>
          </w:tcPr>
          <w:p w14:paraId="4EEC03C1">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4141B39B">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1560" w:type="dxa"/>
            <w:tcBorders>
              <w:top w:val="single" w:color="000000" w:sz="4" w:space="0"/>
              <w:left w:val="single" w:color="000000" w:sz="4" w:space="0"/>
              <w:bottom w:val="single" w:color="000000" w:sz="4" w:space="0"/>
              <w:right w:val="single" w:color="000000" w:sz="4" w:space="0"/>
            </w:tcBorders>
            <w:noWrap/>
            <w:vAlign w:val="center"/>
          </w:tcPr>
          <w:p w14:paraId="299C1D30">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公共网络区</w:t>
            </w:r>
          </w:p>
        </w:tc>
      </w:tr>
      <w:tr w14:paraId="17D96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73DA0E31">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38</w:t>
            </w:r>
          </w:p>
        </w:tc>
        <w:tc>
          <w:tcPr>
            <w:tcW w:w="2839" w:type="dxa"/>
            <w:tcBorders>
              <w:top w:val="single" w:color="000000" w:sz="4" w:space="0"/>
              <w:left w:val="single" w:color="000000" w:sz="4" w:space="0"/>
              <w:bottom w:val="single" w:color="000000" w:sz="4" w:space="0"/>
              <w:right w:val="single" w:color="000000" w:sz="4" w:space="0"/>
            </w:tcBorders>
            <w:noWrap w:val="0"/>
            <w:vAlign w:val="center"/>
          </w:tcPr>
          <w:p w14:paraId="58E12E81">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虚拟化计算资源服务器</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1248275B">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华为</w:t>
            </w:r>
          </w:p>
        </w:tc>
        <w:tc>
          <w:tcPr>
            <w:tcW w:w="2073" w:type="dxa"/>
            <w:tcBorders>
              <w:top w:val="single" w:color="000000" w:sz="4" w:space="0"/>
              <w:left w:val="single" w:color="000000" w:sz="4" w:space="0"/>
              <w:bottom w:val="single" w:color="000000" w:sz="4" w:space="0"/>
              <w:right w:val="single" w:color="000000" w:sz="4" w:space="0"/>
            </w:tcBorders>
            <w:noWrap w:val="0"/>
            <w:vAlign w:val="center"/>
          </w:tcPr>
          <w:p w14:paraId="1570E348">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2488 V5</w:t>
            </w:r>
          </w:p>
        </w:tc>
        <w:tc>
          <w:tcPr>
            <w:tcW w:w="968" w:type="dxa"/>
            <w:tcBorders>
              <w:top w:val="single" w:color="000000" w:sz="4" w:space="0"/>
              <w:left w:val="single" w:color="000000" w:sz="4" w:space="0"/>
              <w:bottom w:val="single" w:color="000000" w:sz="4" w:space="0"/>
              <w:right w:val="single" w:color="000000" w:sz="4" w:space="0"/>
            </w:tcBorders>
            <w:noWrap/>
            <w:vAlign w:val="center"/>
          </w:tcPr>
          <w:p w14:paraId="3FE73F5D">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40DA970E">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1560" w:type="dxa"/>
            <w:tcBorders>
              <w:top w:val="single" w:color="000000" w:sz="4" w:space="0"/>
              <w:left w:val="single" w:color="000000" w:sz="4" w:space="0"/>
              <w:bottom w:val="single" w:color="000000" w:sz="4" w:space="0"/>
              <w:right w:val="single" w:color="000000" w:sz="4" w:space="0"/>
            </w:tcBorders>
            <w:noWrap/>
            <w:vAlign w:val="center"/>
          </w:tcPr>
          <w:p w14:paraId="782688FD">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公共网络区</w:t>
            </w:r>
          </w:p>
        </w:tc>
      </w:tr>
      <w:tr w14:paraId="54C3A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222F2CF1">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39</w:t>
            </w:r>
          </w:p>
        </w:tc>
        <w:tc>
          <w:tcPr>
            <w:tcW w:w="2839" w:type="dxa"/>
            <w:tcBorders>
              <w:top w:val="single" w:color="000000" w:sz="4" w:space="0"/>
              <w:left w:val="single" w:color="000000" w:sz="4" w:space="0"/>
              <w:bottom w:val="single" w:color="000000" w:sz="4" w:space="0"/>
              <w:right w:val="single" w:color="000000" w:sz="4" w:space="0"/>
            </w:tcBorders>
            <w:noWrap w:val="0"/>
            <w:vAlign w:val="center"/>
          </w:tcPr>
          <w:p w14:paraId="0B049A5B">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华为裸金属节点</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008B6B7">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华为</w:t>
            </w:r>
          </w:p>
        </w:tc>
        <w:tc>
          <w:tcPr>
            <w:tcW w:w="2073" w:type="dxa"/>
            <w:tcBorders>
              <w:top w:val="single" w:color="000000" w:sz="4" w:space="0"/>
              <w:left w:val="single" w:color="000000" w:sz="4" w:space="0"/>
              <w:bottom w:val="single" w:color="000000" w:sz="4" w:space="0"/>
              <w:right w:val="single" w:color="000000" w:sz="4" w:space="0"/>
            </w:tcBorders>
            <w:noWrap w:val="0"/>
            <w:vAlign w:val="center"/>
          </w:tcPr>
          <w:p w14:paraId="3E56DD91">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2488H V5</w:t>
            </w:r>
          </w:p>
        </w:tc>
        <w:tc>
          <w:tcPr>
            <w:tcW w:w="968" w:type="dxa"/>
            <w:tcBorders>
              <w:top w:val="single" w:color="000000" w:sz="4" w:space="0"/>
              <w:left w:val="single" w:color="000000" w:sz="4" w:space="0"/>
              <w:bottom w:val="single" w:color="000000" w:sz="4" w:space="0"/>
              <w:right w:val="single" w:color="000000" w:sz="4" w:space="0"/>
            </w:tcBorders>
            <w:noWrap/>
            <w:vAlign w:val="center"/>
          </w:tcPr>
          <w:p w14:paraId="40B8F3D3">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2EF25CBE">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560" w:type="dxa"/>
            <w:tcBorders>
              <w:top w:val="single" w:color="000000" w:sz="4" w:space="0"/>
              <w:left w:val="single" w:color="000000" w:sz="4" w:space="0"/>
              <w:bottom w:val="single" w:color="000000" w:sz="4" w:space="0"/>
              <w:right w:val="single" w:color="000000" w:sz="4" w:space="0"/>
            </w:tcBorders>
            <w:noWrap/>
            <w:vAlign w:val="center"/>
          </w:tcPr>
          <w:p w14:paraId="072ACA5D">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公共网络区</w:t>
            </w:r>
          </w:p>
        </w:tc>
      </w:tr>
      <w:tr w14:paraId="5D147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0AC59BE5">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40</w:t>
            </w:r>
          </w:p>
        </w:tc>
        <w:tc>
          <w:tcPr>
            <w:tcW w:w="2839" w:type="dxa"/>
            <w:tcBorders>
              <w:top w:val="single" w:color="000000" w:sz="4" w:space="0"/>
              <w:left w:val="single" w:color="000000" w:sz="4" w:space="0"/>
              <w:bottom w:val="single" w:color="000000" w:sz="4" w:space="0"/>
              <w:right w:val="single" w:color="000000" w:sz="4" w:space="0"/>
            </w:tcBorders>
            <w:noWrap w:val="0"/>
            <w:vAlign w:val="center"/>
          </w:tcPr>
          <w:p w14:paraId="1853D8DF">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管理服务器</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C6D215F">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华为</w:t>
            </w:r>
          </w:p>
        </w:tc>
        <w:tc>
          <w:tcPr>
            <w:tcW w:w="2073" w:type="dxa"/>
            <w:tcBorders>
              <w:top w:val="single" w:color="000000" w:sz="4" w:space="0"/>
              <w:left w:val="single" w:color="000000" w:sz="4" w:space="0"/>
              <w:bottom w:val="single" w:color="000000" w:sz="4" w:space="0"/>
              <w:right w:val="single" w:color="000000" w:sz="4" w:space="0"/>
            </w:tcBorders>
            <w:noWrap w:val="0"/>
            <w:vAlign w:val="center"/>
          </w:tcPr>
          <w:p w14:paraId="3F89D388">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TaiShan 200 (Model 2280)</w:t>
            </w:r>
          </w:p>
        </w:tc>
        <w:tc>
          <w:tcPr>
            <w:tcW w:w="968" w:type="dxa"/>
            <w:tcBorders>
              <w:top w:val="single" w:color="000000" w:sz="4" w:space="0"/>
              <w:left w:val="single" w:color="000000" w:sz="4" w:space="0"/>
              <w:bottom w:val="single" w:color="000000" w:sz="4" w:space="0"/>
              <w:right w:val="single" w:color="000000" w:sz="4" w:space="0"/>
            </w:tcBorders>
            <w:noWrap/>
            <w:vAlign w:val="center"/>
          </w:tcPr>
          <w:p w14:paraId="4F16E995">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01234483">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560" w:type="dxa"/>
            <w:tcBorders>
              <w:top w:val="single" w:color="000000" w:sz="4" w:space="0"/>
              <w:left w:val="single" w:color="000000" w:sz="4" w:space="0"/>
              <w:bottom w:val="single" w:color="000000" w:sz="4" w:space="0"/>
              <w:right w:val="single" w:color="000000" w:sz="4" w:space="0"/>
            </w:tcBorders>
            <w:noWrap/>
            <w:vAlign w:val="center"/>
          </w:tcPr>
          <w:p w14:paraId="5D59200E">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公共网络区</w:t>
            </w:r>
          </w:p>
        </w:tc>
      </w:tr>
      <w:tr w14:paraId="761D8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6AF866B5">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41</w:t>
            </w:r>
          </w:p>
        </w:tc>
        <w:tc>
          <w:tcPr>
            <w:tcW w:w="2839" w:type="dxa"/>
            <w:tcBorders>
              <w:top w:val="single" w:color="000000" w:sz="4" w:space="0"/>
              <w:left w:val="single" w:color="000000" w:sz="4" w:space="0"/>
              <w:bottom w:val="single" w:color="000000" w:sz="4" w:space="0"/>
              <w:right w:val="single" w:color="000000" w:sz="4" w:space="0"/>
            </w:tcBorders>
            <w:noWrap w:val="0"/>
            <w:vAlign w:val="center"/>
          </w:tcPr>
          <w:p w14:paraId="17D8EF12">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业务万兆接入交换机</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4C27E313">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华为</w:t>
            </w:r>
          </w:p>
        </w:tc>
        <w:tc>
          <w:tcPr>
            <w:tcW w:w="2073" w:type="dxa"/>
            <w:tcBorders>
              <w:top w:val="single" w:color="000000" w:sz="4" w:space="0"/>
              <w:left w:val="single" w:color="000000" w:sz="4" w:space="0"/>
              <w:bottom w:val="single" w:color="000000" w:sz="4" w:space="0"/>
              <w:right w:val="single" w:color="000000" w:sz="4" w:space="0"/>
            </w:tcBorders>
            <w:noWrap w:val="0"/>
            <w:vAlign w:val="center"/>
          </w:tcPr>
          <w:p w14:paraId="7C3B32F0">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CE 6857-48S6CQ-EI</w:t>
            </w:r>
          </w:p>
        </w:tc>
        <w:tc>
          <w:tcPr>
            <w:tcW w:w="968" w:type="dxa"/>
            <w:tcBorders>
              <w:top w:val="single" w:color="000000" w:sz="4" w:space="0"/>
              <w:left w:val="single" w:color="000000" w:sz="4" w:space="0"/>
              <w:bottom w:val="single" w:color="000000" w:sz="4" w:space="0"/>
              <w:right w:val="single" w:color="000000" w:sz="4" w:space="0"/>
            </w:tcBorders>
            <w:noWrap/>
            <w:vAlign w:val="center"/>
          </w:tcPr>
          <w:p w14:paraId="2C2A94FE">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61C63F6E">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560" w:type="dxa"/>
            <w:tcBorders>
              <w:top w:val="single" w:color="000000" w:sz="4" w:space="0"/>
              <w:left w:val="single" w:color="000000" w:sz="4" w:space="0"/>
              <w:bottom w:val="single" w:color="000000" w:sz="4" w:space="0"/>
              <w:right w:val="single" w:color="000000" w:sz="4" w:space="0"/>
            </w:tcBorders>
            <w:noWrap/>
            <w:vAlign w:val="center"/>
          </w:tcPr>
          <w:p w14:paraId="4B0830D9">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公共网络区</w:t>
            </w:r>
          </w:p>
        </w:tc>
      </w:tr>
      <w:tr w14:paraId="5F82B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0251AB0F">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42</w:t>
            </w:r>
          </w:p>
        </w:tc>
        <w:tc>
          <w:tcPr>
            <w:tcW w:w="2839" w:type="dxa"/>
            <w:tcBorders>
              <w:top w:val="single" w:color="000000" w:sz="4" w:space="0"/>
              <w:left w:val="single" w:color="000000" w:sz="4" w:space="0"/>
              <w:bottom w:val="single" w:color="000000" w:sz="4" w:space="0"/>
              <w:right w:val="single" w:color="000000" w:sz="4" w:space="0"/>
            </w:tcBorders>
            <w:noWrap w:val="0"/>
            <w:vAlign w:val="center"/>
          </w:tcPr>
          <w:p w14:paraId="7E07BF4A">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SDN控制器服务器</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42E0EB2D">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华为</w:t>
            </w:r>
          </w:p>
        </w:tc>
        <w:tc>
          <w:tcPr>
            <w:tcW w:w="2073" w:type="dxa"/>
            <w:tcBorders>
              <w:top w:val="single" w:color="000000" w:sz="4" w:space="0"/>
              <w:left w:val="single" w:color="000000" w:sz="4" w:space="0"/>
              <w:bottom w:val="single" w:color="000000" w:sz="4" w:space="0"/>
              <w:right w:val="single" w:color="000000" w:sz="4" w:space="0"/>
            </w:tcBorders>
            <w:noWrap w:val="0"/>
            <w:vAlign w:val="center"/>
          </w:tcPr>
          <w:p w14:paraId="7C49924B">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TaiShan 200 (Model 2280)</w:t>
            </w:r>
          </w:p>
        </w:tc>
        <w:tc>
          <w:tcPr>
            <w:tcW w:w="968" w:type="dxa"/>
            <w:tcBorders>
              <w:top w:val="single" w:color="000000" w:sz="4" w:space="0"/>
              <w:left w:val="single" w:color="000000" w:sz="4" w:space="0"/>
              <w:bottom w:val="single" w:color="000000" w:sz="4" w:space="0"/>
              <w:right w:val="single" w:color="000000" w:sz="4" w:space="0"/>
            </w:tcBorders>
            <w:noWrap/>
            <w:vAlign w:val="center"/>
          </w:tcPr>
          <w:p w14:paraId="676D6410">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127F0841">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560" w:type="dxa"/>
            <w:tcBorders>
              <w:top w:val="single" w:color="000000" w:sz="4" w:space="0"/>
              <w:left w:val="single" w:color="000000" w:sz="4" w:space="0"/>
              <w:bottom w:val="single" w:color="000000" w:sz="4" w:space="0"/>
              <w:right w:val="single" w:color="000000" w:sz="4" w:space="0"/>
            </w:tcBorders>
            <w:noWrap/>
            <w:vAlign w:val="center"/>
          </w:tcPr>
          <w:p w14:paraId="7C2143E9">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公共网络区</w:t>
            </w:r>
          </w:p>
        </w:tc>
      </w:tr>
      <w:tr w14:paraId="73A78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5F81001F">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43</w:t>
            </w:r>
          </w:p>
        </w:tc>
        <w:tc>
          <w:tcPr>
            <w:tcW w:w="2839" w:type="dxa"/>
            <w:tcBorders>
              <w:top w:val="single" w:color="000000" w:sz="4" w:space="0"/>
              <w:left w:val="single" w:color="000000" w:sz="4" w:space="0"/>
              <w:bottom w:val="single" w:color="000000" w:sz="4" w:space="0"/>
              <w:right w:val="single" w:color="000000" w:sz="4" w:space="0"/>
            </w:tcBorders>
            <w:noWrap w:val="0"/>
            <w:vAlign w:val="center"/>
          </w:tcPr>
          <w:p w14:paraId="21AB4557">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业务防火墙</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15ECA87D">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华为</w:t>
            </w:r>
          </w:p>
        </w:tc>
        <w:tc>
          <w:tcPr>
            <w:tcW w:w="2073" w:type="dxa"/>
            <w:tcBorders>
              <w:top w:val="single" w:color="000000" w:sz="4" w:space="0"/>
              <w:left w:val="single" w:color="000000" w:sz="4" w:space="0"/>
              <w:bottom w:val="single" w:color="000000" w:sz="4" w:space="0"/>
              <w:right w:val="single" w:color="000000" w:sz="4" w:space="0"/>
            </w:tcBorders>
            <w:noWrap w:val="0"/>
            <w:vAlign w:val="center"/>
          </w:tcPr>
          <w:p w14:paraId="4EFE6607">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USG9560</w:t>
            </w:r>
          </w:p>
        </w:tc>
        <w:tc>
          <w:tcPr>
            <w:tcW w:w="968" w:type="dxa"/>
            <w:tcBorders>
              <w:top w:val="single" w:color="000000" w:sz="4" w:space="0"/>
              <w:left w:val="single" w:color="000000" w:sz="4" w:space="0"/>
              <w:bottom w:val="single" w:color="000000" w:sz="4" w:space="0"/>
              <w:right w:val="single" w:color="000000" w:sz="4" w:space="0"/>
            </w:tcBorders>
            <w:noWrap/>
            <w:vAlign w:val="center"/>
          </w:tcPr>
          <w:p w14:paraId="50EE2230">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5AF15145">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560" w:type="dxa"/>
            <w:tcBorders>
              <w:top w:val="single" w:color="000000" w:sz="4" w:space="0"/>
              <w:left w:val="single" w:color="000000" w:sz="4" w:space="0"/>
              <w:bottom w:val="single" w:color="000000" w:sz="4" w:space="0"/>
              <w:right w:val="single" w:color="000000" w:sz="4" w:space="0"/>
            </w:tcBorders>
            <w:noWrap/>
            <w:vAlign w:val="center"/>
          </w:tcPr>
          <w:p w14:paraId="24827B2F">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公共网络区</w:t>
            </w:r>
          </w:p>
        </w:tc>
      </w:tr>
      <w:tr w14:paraId="6654C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415CA22B">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44</w:t>
            </w:r>
          </w:p>
        </w:tc>
        <w:tc>
          <w:tcPr>
            <w:tcW w:w="2839" w:type="dxa"/>
            <w:tcBorders>
              <w:top w:val="single" w:color="000000" w:sz="4" w:space="0"/>
              <w:left w:val="single" w:color="000000" w:sz="4" w:space="0"/>
              <w:bottom w:val="single" w:color="000000" w:sz="4" w:space="0"/>
              <w:right w:val="single" w:color="000000" w:sz="4" w:space="0"/>
            </w:tcBorders>
            <w:noWrap w:val="0"/>
            <w:vAlign w:val="center"/>
          </w:tcPr>
          <w:p w14:paraId="19EC05E5">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日志分析-管理节点服务器</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426EAC2F">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华为</w:t>
            </w:r>
          </w:p>
        </w:tc>
        <w:tc>
          <w:tcPr>
            <w:tcW w:w="2073" w:type="dxa"/>
            <w:tcBorders>
              <w:top w:val="single" w:color="000000" w:sz="4" w:space="0"/>
              <w:left w:val="single" w:color="000000" w:sz="4" w:space="0"/>
              <w:bottom w:val="single" w:color="000000" w:sz="4" w:space="0"/>
              <w:right w:val="single" w:color="000000" w:sz="4" w:space="0"/>
            </w:tcBorders>
            <w:noWrap w:val="0"/>
            <w:vAlign w:val="center"/>
          </w:tcPr>
          <w:p w14:paraId="2A902084">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2288H V5</w:t>
            </w:r>
          </w:p>
        </w:tc>
        <w:tc>
          <w:tcPr>
            <w:tcW w:w="968" w:type="dxa"/>
            <w:tcBorders>
              <w:top w:val="single" w:color="000000" w:sz="4" w:space="0"/>
              <w:left w:val="single" w:color="000000" w:sz="4" w:space="0"/>
              <w:bottom w:val="single" w:color="000000" w:sz="4" w:space="0"/>
              <w:right w:val="single" w:color="000000" w:sz="4" w:space="0"/>
            </w:tcBorders>
            <w:noWrap/>
            <w:vAlign w:val="center"/>
          </w:tcPr>
          <w:p w14:paraId="2E090D3F">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63404736">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noWrap/>
            <w:vAlign w:val="center"/>
          </w:tcPr>
          <w:p w14:paraId="7A970D12">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公共网络区</w:t>
            </w:r>
          </w:p>
        </w:tc>
      </w:tr>
      <w:tr w14:paraId="44C84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37AA0801">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45</w:t>
            </w:r>
          </w:p>
        </w:tc>
        <w:tc>
          <w:tcPr>
            <w:tcW w:w="2839" w:type="dxa"/>
            <w:tcBorders>
              <w:top w:val="single" w:color="000000" w:sz="4" w:space="0"/>
              <w:left w:val="single" w:color="000000" w:sz="4" w:space="0"/>
              <w:bottom w:val="single" w:color="000000" w:sz="4" w:space="0"/>
              <w:right w:val="single" w:color="000000" w:sz="4" w:space="0"/>
            </w:tcBorders>
            <w:noWrap w:val="0"/>
            <w:vAlign w:val="center"/>
          </w:tcPr>
          <w:p w14:paraId="671DEEF2">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日志分析-存储节点服务器</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9687A97">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华为</w:t>
            </w:r>
          </w:p>
        </w:tc>
        <w:tc>
          <w:tcPr>
            <w:tcW w:w="2073" w:type="dxa"/>
            <w:tcBorders>
              <w:top w:val="single" w:color="000000" w:sz="4" w:space="0"/>
              <w:left w:val="single" w:color="000000" w:sz="4" w:space="0"/>
              <w:bottom w:val="single" w:color="000000" w:sz="4" w:space="0"/>
              <w:right w:val="single" w:color="000000" w:sz="4" w:space="0"/>
            </w:tcBorders>
            <w:noWrap w:val="0"/>
            <w:vAlign w:val="center"/>
          </w:tcPr>
          <w:p w14:paraId="388404CE">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2288H V5</w:t>
            </w:r>
          </w:p>
        </w:tc>
        <w:tc>
          <w:tcPr>
            <w:tcW w:w="968" w:type="dxa"/>
            <w:tcBorders>
              <w:top w:val="single" w:color="000000" w:sz="4" w:space="0"/>
              <w:left w:val="single" w:color="000000" w:sz="4" w:space="0"/>
              <w:bottom w:val="single" w:color="000000" w:sz="4" w:space="0"/>
              <w:right w:val="single" w:color="000000" w:sz="4" w:space="0"/>
            </w:tcBorders>
            <w:noWrap/>
            <w:vAlign w:val="center"/>
          </w:tcPr>
          <w:p w14:paraId="1CA9DF3C">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53A1534C">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noWrap/>
            <w:vAlign w:val="center"/>
          </w:tcPr>
          <w:p w14:paraId="296D463C">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公共网络区</w:t>
            </w:r>
          </w:p>
        </w:tc>
      </w:tr>
      <w:tr w14:paraId="6842A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39367CD1">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46</w:t>
            </w:r>
          </w:p>
        </w:tc>
        <w:tc>
          <w:tcPr>
            <w:tcW w:w="2839" w:type="dxa"/>
            <w:tcBorders>
              <w:top w:val="single" w:color="000000" w:sz="4" w:space="0"/>
              <w:left w:val="single" w:color="000000" w:sz="4" w:space="0"/>
              <w:bottom w:val="single" w:color="000000" w:sz="4" w:space="0"/>
              <w:right w:val="single" w:color="000000" w:sz="4" w:space="0"/>
            </w:tcBorders>
            <w:noWrap w:val="0"/>
            <w:vAlign w:val="center"/>
          </w:tcPr>
          <w:p w14:paraId="7E737D02">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云监管门户服务器/采集接口服务器</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115B2D25">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华为</w:t>
            </w:r>
          </w:p>
        </w:tc>
        <w:tc>
          <w:tcPr>
            <w:tcW w:w="2073" w:type="dxa"/>
            <w:tcBorders>
              <w:top w:val="single" w:color="000000" w:sz="4" w:space="0"/>
              <w:left w:val="single" w:color="000000" w:sz="4" w:space="0"/>
              <w:bottom w:val="single" w:color="000000" w:sz="4" w:space="0"/>
              <w:right w:val="single" w:color="000000" w:sz="4" w:space="0"/>
            </w:tcBorders>
            <w:noWrap w:val="0"/>
            <w:vAlign w:val="center"/>
          </w:tcPr>
          <w:p w14:paraId="00E7561F">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2288H V5</w:t>
            </w:r>
          </w:p>
        </w:tc>
        <w:tc>
          <w:tcPr>
            <w:tcW w:w="968" w:type="dxa"/>
            <w:tcBorders>
              <w:top w:val="single" w:color="000000" w:sz="4" w:space="0"/>
              <w:left w:val="single" w:color="000000" w:sz="4" w:space="0"/>
              <w:bottom w:val="single" w:color="000000" w:sz="4" w:space="0"/>
              <w:right w:val="single" w:color="000000" w:sz="4" w:space="0"/>
            </w:tcBorders>
            <w:noWrap/>
            <w:vAlign w:val="center"/>
          </w:tcPr>
          <w:p w14:paraId="1FC32355">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45D036EB">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noWrap/>
            <w:vAlign w:val="center"/>
          </w:tcPr>
          <w:p w14:paraId="3DA9C907">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公共网络区</w:t>
            </w:r>
          </w:p>
        </w:tc>
      </w:tr>
      <w:tr w14:paraId="21A64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567CB1D5">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47</w:t>
            </w:r>
          </w:p>
        </w:tc>
        <w:tc>
          <w:tcPr>
            <w:tcW w:w="2839" w:type="dxa"/>
            <w:tcBorders>
              <w:top w:val="single" w:color="000000" w:sz="4" w:space="0"/>
              <w:left w:val="single" w:color="000000" w:sz="4" w:space="0"/>
              <w:bottom w:val="single" w:color="000000" w:sz="4" w:space="0"/>
              <w:right w:val="single" w:color="000000" w:sz="4" w:space="0"/>
            </w:tcBorders>
            <w:noWrap w:val="0"/>
            <w:vAlign w:val="center"/>
          </w:tcPr>
          <w:p w14:paraId="65B3A462">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监管业务数据库服务器</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2CAD3E56">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华为</w:t>
            </w:r>
          </w:p>
        </w:tc>
        <w:tc>
          <w:tcPr>
            <w:tcW w:w="2073" w:type="dxa"/>
            <w:tcBorders>
              <w:top w:val="single" w:color="000000" w:sz="4" w:space="0"/>
              <w:left w:val="single" w:color="000000" w:sz="4" w:space="0"/>
              <w:bottom w:val="single" w:color="000000" w:sz="4" w:space="0"/>
              <w:right w:val="single" w:color="000000" w:sz="4" w:space="0"/>
            </w:tcBorders>
            <w:noWrap w:val="0"/>
            <w:vAlign w:val="center"/>
          </w:tcPr>
          <w:p w14:paraId="5A01E2F4">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2288H V5</w:t>
            </w:r>
          </w:p>
        </w:tc>
        <w:tc>
          <w:tcPr>
            <w:tcW w:w="968" w:type="dxa"/>
            <w:tcBorders>
              <w:top w:val="single" w:color="000000" w:sz="4" w:space="0"/>
              <w:left w:val="single" w:color="000000" w:sz="4" w:space="0"/>
              <w:bottom w:val="single" w:color="000000" w:sz="4" w:space="0"/>
              <w:right w:val="single" w:color="000000" w:sz="4" w:space="0"/>
            </w:tcBorders>
            <w:noWrap/>
            <w:vAlign w:val="center"/>
          </w:tcPr>
          <w:p w14:paraId="697A8BDE">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33990450">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noWrap/>
            <w:vAlign w:val="center"/>
          </w:tcPr>
          <w:p w14:paraId="1A541607">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公共网络区</w:t>
            </w:r>
          </w:p>
        </w:tc>
      </w:tr>
      <w:tr w14:paraId="62CFA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5CB522D5">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48</w:t>
            </w:r>
          </w:p>
        </w:tc>
        <w:tc>
          <w:tcPr>
            <w:tcW w:w="2839" w:type="dxa"/>
            <w:tcBorders>
              <w:top w:val="single" w:color="000000" w:sz="4" w:space="0"/>
              <w:left w:val="single" w:color="000000" w:sz="4" w:space="0"/>
              <w:bottom w:val="single" w:color="000000" w:sz="4" w:space="0"/>
              <w:right w:val="single" w:color="000000" w:sz="4" w:space="0"/>
            </w:tcBorders>
            <w:noWrap w:val="0"/>
            <w:vAlign w:val="center"/>
          </w:tcPr>
          <w:p w14:paraId="228B6672">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监管服务器</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3867A642">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华为</w:t>
            </w:r>
          </w:p>
        </w:tc>
        <w:tc>
          <w:tcPr>
            <w:tcW w:w="2073" w:type="dxa"/>
            <w:tcBorders>
              <w:top w:val="single" w:color="000000" w:sz="4" w:space="0"/>
              <w:left w:val="single" w:color="000000" w:sz="4" w:space="0"/>
              <w:bottom w:val="single" w:color="000000" w:sz="4" w:space="0"/>
              <w:right w:val="single" w:color="000000" w:sz="4" w:space="0"/>
            </w:tcBorders>
            <w:noWrap w:val="0"/>
            <w:vAlign w:val="center"/>
          </w:tcPr>
          <w:p w14:paraId="593CC9A9">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2288H V5</w:t>
            </w:r>
          </w:p>
        </w:tc>
        <w:tc>
          <w:tcPr>
            <w:tcW w:w="968" w:type="dxa"/>
            <w:tcBorders>
              <w:top w:val="single" w:color="000000" w:sz="4" w:space="0"/>
              <w:left w:val="single" w:color="000000" w:sz="4" w:space="0"/>
              <w:bottom w:val="single" w:color="000000" w:sz="4" w:space="0"/>
              <w:right w:val="single" w:color="000000" w:sz="4" w:space="0"/>
            </w:tcBorders>
            <w:noWrap/>
            <w:vAlign w:val="center"/>
          </w:tcPr>
          <w:p w14:paraId="1C1D7363">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66E2118B">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560" w:type="dxa"/>
            <w:tcBorders>
              <w:top w:val="single" w:color="000000" w:sz="4" w:space="0"/>
              <w:left w:val="single" w:color="000000" w:sz="4" w:space="0"/>
              <w:bottom w:val="single" w:color="000000" w:sz="4" w:space="0"/>
              <w:right w:val="single" w:color="000000" w:sz="4" w:space="0"/>
            </w:tcBorders>
            <w:noWrap/>
            <w:vAlign w:val="center"/>
          </w:tcPr>
          <w:p w14:paraId="7BCB44CA">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公共网络区</w:t>
            </w:r>
          </w:p>
        </w:tc>
      </w:tr>
      <w:tr w14:paraId="73D60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540" w:type="dxa"/>
            <w:tcBorders>
              <w:top w:val="single" w:color="000000" w:sz="4" w:space="0"/>
              <w:left w:val="single" w:color="000000" w:sz="4" w:space="0"/>
              <w:bottom w:val="single" w:color="000000" w:sz="4" w:space="0"/>
              <w:right w:val="single" w:color="000000" w:sz="4" w:space="0"/>
            </w:tcBorders>
            <w:noWrap/>
            <w:vAlign w:val="center"/>
          </w:tcPr>
          <w:p w14:paraId="52EF7FA1">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49</w:t>
            </w:r>
          </w:p>
        </w:tc>
        <w:tc>
          <w:tcPr>
            <w:tcW w:w="2839" w:type="dxa"/>
            <w:tcBorders>
              <w:top w:val="single" w:color="000000" w:sz="4" w:space="0"/>
              <w:left w:val="single" w:color="000000" w:sz="4" w:space="0"/>
              <w:bottom w:val="single" w:color="000000" w:sz="4" w:space="0"/>
              <w:right w:val="single" w:color="000000" w:sz="4" w:space="0"/>
            </w:tcBorders>
            <w:noWrap w:val="0"/>
            <w:vAlign w:val="center"/>
          </w:tcPr>
          <w:p w14:paraId="3CE2B3A7">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公共网络区多云汇聚路由器</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700C381">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华为</w:t>
            </w:r>
          </w:p>
        </w:tc>
        <w:tc>
          <w:tcPr>
            <w:tcW w:w="2073" w:type="dxa"/>
            <w:tcBorders>
              <w:top w:val="single" w:color="000000" w:sz="4" w:space="0"/>
              <w:left w:val="single" w:color="000000" w:sz="4" w:space="0"/>
              <w:bottom w:val="single" w:color="000000" w:sz="4" w:space="0"/>
              <w:right w:val="single" w:color="000000" w:sz="4" w:space="0"/>
            </w:tcBorders>
            <w:noWrap w:val="0"/>
            <w:vAlign w:val="center"/>
          </w:tcPr>
          <w:p w14:paraId="7D635C5A">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CE12808</w:t>
            </w:r>
          </w:p>
        </w:tc>
        <w:tc>
          <w:tcPr>
            <w:tcW w:w="968" w:type="dxa"/>
            <w:tcBorders>
              <w:top w:val="single" w:color="000000" w:sz="4" w:space="0"/>
              <w:left w:val="single" w:color="000000" w:sz="4" w:space="0"/>
              <w:bottom w:val="single" w:color="000000" w:sz="4" w:space="0"/>
              <w:right w:val="single" w:color="000000" w:sz="4" w:space="0"/>
            </w:tcBorders>
            <w:noWrap/>
            <w:vAlign w:val="center"/>
          </w:tcPr>
          <w:p w14:paraId="7939AA17">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849" w:type="dxa"/>
            <w:tcBorders>
              <w:top w:val="single" w:color="000000" w:sz="4" w:space="0"/>
              <w:left w:val="single" w:color="000000" w:sz="4" w:space="0"/>
              <w:bottom w:val="single" w:color="000000" w:sz="4" w:space="0"/>
              <w:right w:val="single" w:color="000000" w:sz="4" w:space="0"/>
            </w:tcBorders>
            <w:noWrap/>
            <w:vAlign w:val="center"/>
          </w:tcPr>
          <w:p w14:paraId="2B597C5F">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560" w:type="dxa"/>
            <w:tcBorders>
              <w:top w:val="single" w:color="000000" w:sz="4" w:space="0"/>
              <w:left w:val="single" w:color="000000" w:sz="4" w:space="0"/>
              <w:bottom w:val="single" w:color="000000" w:sz="4" w:space="0"/>
              <w:right w:val="single" w:color="000000" w:sz="4" w:space="0"/>
            </w:tcBorders>
            <w:noWrap/>
            <w:vAlign w:val="center"/>
          </w:tcPr>
          <w:p w14:paraId="53C50468">
            <w:pPr>
              <w:keepNext w:val="0"/>
              <w:keepLines w:val="0"/>
              <w:pageBreakBefore w:val="0"/>
              <w:widowControl/>
              <w:suppressLineNumbers w:val="0"/>
              <w:kinsoku/>
              <w:overflowPunct/>
              <w:topLinePunct w:val="0"/>
              <w:autoSpaceDE/>
              <w:autoSpaceDN/>
              <w:bidi w:val="0"/>
              <w:adjustRightInd/>
              <w:snapToGrid/>
              <w:spacing w:line="480" w:lineRule="exact"/>
              <w:ind w:lef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公共网络区</w:t>
            </w:r>
          </w:p>
        </w:tc>
      </w:tr>
    </w:tbl>
    <w:p w14:paraId="79FD738E">
      <w:pPr>
        <w:keepNext w:val="0"/>
        <w:keepLines w:val="0"/>
        <w:pageBreakBefore w:val="0"/>
        <w:kinsoku/>
        <w:overflowPunct/>
        <w:topLinePunct w:val="0"/>
        <w:autoSpaceDE/>
        <w:autoSpaceDN/>
        <w:bidi w:val="0"/>
        <w:adjustRightInd/>
        <w:snapToGrid/>
        <w:spacing w:line="480" w:lineRule="exact"/>
        <w:ind w:left="0"/>
        <w:rPr>
          <w:rFonts w:hint="eastAsia" w:asciiTheme="minorEastAsia" w:hAnsiTheme="minorEastAsia" w:eastAsiaTheme="minorEastAsia" w:cstheme="minorEastAsia"/>
          <w:color w:val="auto"/>
          <w:sz w:val="24"/>
          <w:szCs w:val="24"/>
          <w:highlight w:val="none"/>
        </w:rPr>
      </w:pPr>
    </w:p>
    <w:p w14:paraId="7F22FFBD">
      <w:pPr>
        <w:keepNext w:val="0"/>
        <w:keepLines w:val="0"/>
        <w:pageBreakBefore w:val="0"/>
        <w:kinsoku/>
        <w:overflowPunct/>
        <w:topLinePunct w:val="0"/>
        <w:autoSpaceDE/>
        <w:autoSpaceDN/>
        <w:bidi w:val="0"/>
        <w:adjustRightInd/>
        <w:snapToGrid/>
        <w:spacing w:line="480" w:lineRule="exact"/>
        <w:ind w:left="0"/>
        <w:rPr>
          <w:rFonts w:hint="eastAsia" w:asciiTheme="minorEastAsia" w:hAnsiTheme="minorEastAsia" w:eastAsiaTheme="minorEastAsia" w:cstheme="minorEastAsia"/>
          <w:color w:val="auto"/>
          <w:sz w:val="24"/>
          <w:szCs w:val="24"/>
          <w:highlight w:val="none"/>
        </w:rPr>
      </w:pPr>
    </w:p>
    <w:p w14:paraId="6BF9F123">
      <w:pPr>
        <w:keepNext w:val="0"/>
        <w:keepLines w:val="0"/>
        <w:pageBreakBefore w:val="0"/>
        <w:kinsoku/>
        <w:overflowPunct/>
        <w:topLinePunct w:val="0"/>
        <w:autoSpaceDE/>
        <w:autoSpaceDN/>
        <w:bidi w:val="0"/>
        <w:adjustRightInd/>
        <w:snapToGrid/>
        <w:spacing w:line="480" w:lineRule="exact"/>
        <w:ind w:left="0"/>
        <w:rPr>
          <w:rFonts w:hint="eastAsia" w:asciiTheme="minorEastAsia" w:hAnsiTheme="minorEastAsia" w:eastAsiaTheme="minorEastAsia" w:cstheme="minorEastAsia"/>
          <w:color w:val="auto"/>
          <w:sz w:val="24"/>
          <w:szCs w:val="24"/>
          <w:highlight w:val="none"/>
        </w:rPr>
      </w:pPr>
    </w:p>
    <w:p w14:paraId="063D103C">
      <w:pPr>
        <w:keepNext w:val="0"/>
        <w:keepLines w:val="0"/>
        <w:pageBreakBefore w:val="0"/>
        <w:kinsoku/>
        <w:overflowPunct/>
        <w:topLinePunct w:val="0"/>
        <w:autoSpaceDE/>
        <w:autoSpaceDN/>
        <w:bidi w:val="0"/>
        <w:adjustRightInd/>
        <w:snapToGrid/>
        <w:spacing w:line="480" w:lineRule="exact"/>
        <w:ind w:left="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br w:type="page"/>
      </w:r>
    </w:p>
    <w:p w14:paraId="5321008A">
      <w:pPr>
        <w:keepNext w:val="0"/>
        <w:keepLines w:val="0"/>
        <w:pageBreakBefore w:val="0"/>
        <w:kinsoku/>
        <w:overflowPunct/>
        <w:topLinePunct w:val="0"/>
        <w:autoSpaceDE/>
        <w:autoSpaceDN/>
        <w:bidi w:val="0"/>
        <w:adjustRightInd/>
        <w:snapToGrid/>
        <w:spacing w:line="500" w:lineRule="exact"/>
        <w:ind w:left="0"/>
        <w:rPr>
          <w:rFonts w:ascii="Arial Unicode MS" w:hAnsi="Arial Unicode MS" w:eastAsia="Arial Unicode MS" w:cs="Arial Unicode MS"/>
          <w:color w:val="auto"/>
          <w:sz w:val="32"/>
          <w:szCs w:val="32"/>
          <w:highlight w:val="none"/>
        </w:rPr>
      </w:pPr>
      <w:r>
        <w:rPr>
          <w:rFonts w:hint="eastAsia" w:ascii="Arial Unicode MS" w:hAnsi="Arial Unicode MS" w:eastAsia="Arial Unicode MS" w:cs="Arial Unicode MS"/>
          <w:color w:val="auto"/>
          <w:sz w:val="32"/>
          <w:szCs w:val="32"/>
          <w:highlight w:val="none"/>
        </w:rPr>
        <w:t>附件</w:t>
      </w:r>
      <w:r>
        <w:rPr>
          <w:rFonts w:hint="eastAsia" w:ascii="Arial Unicode MS" w:hAnsi="Arial Unicode MS" w:eastAsia="宋体" w:cs="Arial Unicode MS"/>
          <w:color w:val="auto"/>
          <w:sz w:val="32"/>
          <w:szCs w:val="32"/>
          <w:highlight w:val="none"/>
          <w:lang w:val="en-US" w:eastAsia="zh-CN"/>
        </w:rPr>
        <w:t>3</w:t>
      </w:r>
      <w:r>
        <w:rPr>
          <w:rFonts w:hint="eastAsia" w:ascii="Arial Unicode MS" w:hAnsi="Arial Unicode MS" w:eastAsia="Arial Unicode MS" w:cs="Arial Unicode MS"/>
          <w:color w:val="auto"/>
          <w:sz w:val="32"/>
          <w:szCs w:val="32"/>
          <w:highlight w:val="none"/>
        </w:rPr>
        <w:t>：节能产品政府采购品目清单</w:t>
      </w:r>
    </w:p>
    <w:p w14:paraId="19D3461E">
      <w:pPr>
        <w:keepNext w:val="0"/>
        <w:keepLines w:val="0"/>
        <w:pageBreakBefore w:val="0"/>
        <w:kinsoku/>
        <w:wordWrap w:val="0"/>
        <w:overflowPunct/>
        <w:topLinePunct w:val="0"/>
        <w:autoSpaceDE/>
        <w:autoSpaceDN/>
        <w:bidi w:val="0"/>
        <w:adjustRightInd/>
        <w:snapToGrid/>
        <w:spacing w:line="500" w:lineRule="exact"/>
        <w:ind w:left="0"/>
        <w:rPr>
          <w:rFonts w:ascii="宋体" w:hAnsi="宋体" w:cs="宋体"/>
          <w:color w:val="auto"/>
          <w:sz w:val="17"/>
          <w:szCs w:val="17"/>
          <w:highlight w:val="none"/>
        </w:rPr>
      </w:pPr>
    </w:p>
    <w:p w14:paraId="6323ECD7">
      <w:pPr>
        <w:keepNext w:val="0"/>
        <w:keepLines w:val="0"/>
        <w:pageBreakBefore w:val="0"/>
        <w:kinsoku/>
        <w:wordWrap w:val="0"/>
        <w:overflowPunct/>
        <w:topLinePunct w:val="0"/>
        <w:autoSpaceDE/>
        <w:autoSpaceDN/>
        <w:bidi w:val="0"/>
        <w:adjustRightInd/>
        <w:snapToGrid/>
        <w:spacing w:line="500" w:lineRule="exact"/>
        <w:ind w:left="0" w:firstLine="800"/>
        <w:rPr>
          <w:rFonts w:ascii="宋体" w:hAnsi="宋体" w:cs="宋体"/>
          <w:color w:val="auto"/>
          <w:sz w:val="40"/>
          <w:szCs w:val="40"/>
          <w:highlight w:val="none"/>
        </w:rPr>
      </w:pPr>
      <w:r>
        <w:rPr>
          <w:rFonts w:hint="eastAsia" w:ascii="宋体" w:hAnsi="宋体" w:cs="宋体"/>
          <w:color w:val="auto"/>
          <w:sz w:val="40"/>
          <w:szCs w:val="40"/>
          <w:highlight w:val="none"/>
        </w:rPr>
        <w:t>节能产品政府采购品目清单</w:t>
      </w:r>
    </w:p>
    <w:tbl>
      <w:tblPr>
        <w:tblStyle w:val="25"/>
        <w:tblW w:w="9603" w:type="dxa"/>
        <w:tblInd w:w="93" w:type="dxa"/>
        <w:tblLayout w:type="fixed"/>
        <w:tblCellMar>
          <w:top w:w="0" w:type="dxa"/>
          <w:left w:w="108" w:type="dxa"/>
          <w:bottom w:w="0" w:type="dxa"/>
          <w:right w:w="108" w:type="dxa"/>
        </w:tblCellMar>
      </w:tblPr>
      <w:tblGrid>
        <w:gridCol w:w="660"/>
        <w:gridCol w:w="1080"/>
        <w:gridCol w:w="1320"/>
        <w:gridCol w:w="1620"/>
        <w:gridCol w:w="4923"/>
      </w:tblGrid>
      <w:tr w14:paraId="71CB6E72">
        <w:tblPrEx>
          <w:tblCellMar>
            <w:top w:w="0" w:type="dxa"/>
            <w:left w:w="108" w:type="dxa"/>
            <w:bottom w:w="0" w:type="dxa"/>
            <w:right w:w="108" w:type="dxa"/>
          </w:tblCellMar>
        </w:tblPrEx>
        <w:trPr>
          <w:trHeight w:val="555" w:hRule="atLeast"/>
        </w:trPr>
        <w:tc>
          <w:tcPr>
            <w:tcW w:w="660" w:type="dxa"/>
            <w:tcBorders>
              <w:top w:val="single" w:color="000000" w:sz="8" w:space="0"/>
              <w:left w:val="single" w:color="000000" w:sz="8" w:space="0"/>
              <w:bottom w:val="single" w:color="000000" w:sz="8" w:space="0"/>
              <w:right w:val="single" w:color="000000" w:sz="8" w:space="0"/>
            </w:tcBorders>
          </w:tcPr>
          <w:p w14:paraId="39FF18DD">
            <w:pPr>
              <w:keepNext w:val="0"/>
              <w:keepLines w:val="0"/>
              <w:pageBreakBefore w:val="0"/>
              <w:widowControl/>
              <w:kinsoku/>
              <w:wordWrap w:val="0"/>
              <w:overflowPunct/>
              <w:topLinePunct w:val="0"/>
              <w:autoSpaceDE/>
              <w:autoSpaceDN/>
              <w:bidi w:val="0"/>
              <w:adjustRightInd/>
              <w:snapToGrid/>
              <w:spacing w:line="500" w:lineRule="exact"/>
              <w:ind w:left="0"/>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品目序号</w:t>
            </w:r>
          </w:p>
        </w:tc>
        <w:tc>
          <w:tcPr>
            <w:tcW w:w="4020" w:type="dxa"/>
            <w:gridSpan w:val="3"/>
            <w:tcBorders>
              <w:top w:val="single" w:color="000000" w:sz="8" w:space="0"/>
              <w:left w:val="nil"/>
              <w:bottom w:val="single" w:color="000000" w:sz="8" w:space="0"/>
              <w:right w:val="single" w:color="000000" w:sz="8" w:space="0"/>
            </w:tcBorders>
            <w:vAlign w:val="center"/>
          </w:tcPr>
          <w:p w14:paraId="6D98E69B">
            <w:pPr>
              <w:keepNext w:val="0"/>
              <w:keepLines w:val="0"/>
              <w:pageBreakBefore w:val="0"/>
              <w:widowControl/>
              <w:kinsoku/>
              <w:wordWrap w:val="0"/>
              <w:overflowPunct/>
              <w:topLinePunct w:val="0"/>
              <w:autoSpaceDE/>
              <w:autoSpaceDN/>
              <w:bidi w:val="0"/>
              <w:adjustRightInd/>
              <w:snapToGrid/>
              <w:spacing w:line="500" w:lineRule="exact"/>
              <w:ind w:left="0" w:firstLine="442"/>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名称</w:t>
            </w:r>
          </w:p>
        </w:tc>
        <w:tc>
          <w:tcPr>
            <w:tcW w:w="4923" w:type="dxa"/>
            <w:tcBorders>
              <w:top w:val="single" w:color="000000" w:sz="8" w:space="0"/>
              <w:left w:val="nil"/>
              <w:bottom w:val="single" w:color="000000" w:sz="8" w:space="0"/>
              <w:right w:val="single" w:color="000000" w:sz="8" w:space="0"/>
            </w:tcBorders>
            <w:vAlign w:val="center"/>
          </w:tcPr>
          <w:p w14:paraId="47659D0B">
            <w:pPr>
              <w:keepNext w:val="0"/>
              <w:keepLines w:val="0"/>
              <w:pageBreakBefore w:val="0"/>
              <w:widowControl/>
              <w:kinsoku/>
              <w:wordWrap w:val="0"/>
              <w:overflowPunct/>
              <w:topLinePunct w:val="0"/>
              <w:autoSpaceDE/>
              <w:autoSpaceDN/>
              <w:bidi w:val="0"/>
              <w:adjustRightInd/>
              <w:snapToGrid/>
              <w:spacing w:line="500" w:lineRule="exact"/>
              <w:ind w:left="0" w:firstLine="442"/>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依据的标准</w:t>
            </w:r>
          </w:p>
        </w:tc>
      </w:tr>
      <w:tr w14:paraId="7C53ACDD">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vAlign w:val="center"/>
          </w:tcPr>
          <w:p w14:paraId="061DD8C2">
            <w:pPr>
              <w:keepNext w:val="0"/>
              <w:keepLines w:val="0"/>
              <w:pageBreakBefore w:val="0"/>
              <w:widowControl/>
              <w:kinsoku/>
              <w:wordWrap w:val="0"/>
              <w:overflowPunct/>
              <w:topLinePunct w:val="0"/>
              <w:autoSpaceDE/>
              <w:autoSpaceDN/>
              <w:bidi w:val="0"/>
              <w:adjustRightInd/>
              <w:snapToGrid/>
              <w:spacing w:line="500" w:lineRule="exact"/>
              <w:ind w:left="0"/>
              <w:rPr>
                <w:rFonts w:ascii="宋体" w:hAnsi="宋体" w:cs="宋体"/>
                <w:color w:val="auto"/>
                <w:kern w:val="0"/>
                <w:sz w:val="20"/>
                <w:szCs w:val="20"/>
                <w:highlight w:val="none"/>
              </w:rPr>
            </w:pPr>
            <w:r>
              <w:rPr>
                <w:rFonts w:hint="eastAsia" w:ascii="宋体" w:hAnsi="宋体" w:cs="宋体"/>
                <w:color w:val="auto"/>
                <w:kern w:val="0"/>
                <w:sz w:val="20"/>
                <w:szCs w:val="20"/>
                <w:highlight w:val="none"/>
              </w:rPr>
              <w:t>1</w:t>
            </w:r>
          </w:p>
        </w:tc>
        <w:tc>
          <w:tcPr>
            <w:tcW w:w="1080" w:type="dxa"/>
            <w:vMerge w:val="restart"/>
            <w:tcBorders>
              <w:top w:val="nil"/>
              <w:left w:val="single" w:color="000000" w:sz="8" w:space="0"/>
              <w:bottom w:val="single" w:color="000000" w:sz="8" w:space="0"/>
              <w:right w:val="single" w:color="000000" w:sz="8" w:space="0"/>
            </w:tcBorders>
            <w:vAlign w:val="center"/>
          </w:tcPr>
          <w:p w14:paraId="2575EAF3">
            <w:pPr>
              <w:keepNext w:val="0"/>
              <w:keepLines w:val="0"/>
              <w:pageBreakBefore w:val="0"/>
              <w:widowControl/>
              <w:kinsoku/>
              <w:wordWrap w:val="0"/>
              <w:overflowPunct/>
              <w:topLinePunct w:val="0"/>
              <w:autoSpaceDE/>
              <w:autoSpaceDN/>
              <w:bidi w:val="0"/>
              <w:adjustRightInd/>
              <w:snapToGrid/>
              <w:spacing w:line="500" w:lineRule="exact"/>
              <w:ind w:left="0"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A020101计算机设备</w:t>
            </w:r>
          </w:p>
        </w:tc>
        <w:tc>
          <w:tcPr>
            <w:tcW w:w="1320" w:type="dxa"/>
            <w:tcBorders>
              <w:top w:val="nil"/>
              <w:left w:val="nil"/>
              <w:bottom w:val="single" w:color="000000" w:sz="8" w:space="0"/>
              <w:right w:val="single" w:color="000000" w:sz="8" w:space="0"/>
            </w:tcBorders>
            <w:vAlign w:val="center"/>
          </w:tcPr>
          <w:p w14:paraId="50A773CD">
            <w:pPr>
              <w:keepNext w:val="0"/>
              <w:keepLines w:val="0"/>
              <w:pageBreakBefore w:val="0"/>
              <w:widowControl/>
              <w:kinsoku/>
              <w:wordWrap w:val="0"/>
              <w:overflowPunct/>
              <w:topLinePunct w:val="0"/>
              <w:autoSpaceDE/>
              <w:autoSpaceDN/>
              <w:bidi w:val="0"/>
              <w:adjustRightInd/>
              <w:snapToGrid/>
              <w:spacing w:line="500" w:lineRule="exact"/>
              <w:ind w:left="0"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★A02010104台式计算机</w:t>
            </w:r>
          </w:p>
        </w:tc>
        <w:tc>
          <w:tcPr>
            <w:tcW w:w="1620" w:type="dxa"/>
            <w:tcBorders>
              <w:top w:val="nil"/>
              <w:left w:val="nil"/>
              <w:bottom w:val="single" w:color="000000" w:sz="8" w:space="0"/>
              <w:right w:val="single" w:color="000000" w:sz="8" w:space="0"/>
            </w:tcBorders>
            <w:vAlign w:val="center"/>
          </w:tcPr>
          <w:p w14:paraId="4F6C784B">
            <w:pPr>
              <w:keepNext w:val="0"/>
              <w:keepLines w:val="0"/>
              <w:pageBreakBefore w:val="0"/>
              <w:widowControl/>
              <w:kinsoku/>
              <w:wordWrap w:val="0"/>
              <w:overflowPunct/>
              <w:topLinePunct w:val="0"/>
              <w:autoSpaceDE/>
              <w:autoSpaceDN/>
              <w:bidi w:val="0"/>
              <w:adjustRightInd/>
              <w:snapToGrid/>
              <w:spacing w:line="500" w:lineRule="exact"/>
              <w:ind w:left="0"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923" w:type="dxa"/>
            <w:tcBorders>
              <w:top w:val="nil"/>
              <w:left w:val="nil"/>
              <w:bottom w:val="single" w:color="000000" w:sz="8" w:space="0"/>
              <w:right w:val="single" w:color="000000" w:sz="8" w:space="0"/>
            </w:tcBorders>
            <w:vAlign w:val="center"/>
          </w:tcPr>
          <w:p w14:paraId="287365B6">
            <w:pPr>
              <w:keepNext w:val="0"/>
              <w:keepLines w:val="0"/>
              <w:pageBreakBefore w:val="0"/>
              <w:widowControl/>
              <w:kinsoku/>
              <w:wordWrap w:val="0"/>
              <w:overflowPunct/>
              <w:topLinePunct w:val="0"/>
              <w:autoSpaceDE/>
              <w:autoSpaceDN/>
              <w:bidi w:val="0"/>
              <w:adjustRightInd/>
              <w:snapToGrid/>
              <w:spacing w:line="500" w:lineRule="exact"/>
              <w:ind w:left="0" w:firstLine="400"/>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《微型计算机能效限定值及能效等级》（GB28380）</w:t>
            </w:r>
          </w:p>
        </w:tc>
      </w:tr>
      <w:tr w14:paraId="624CD202">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7713004E">
            <w:pPr>
              <w:keepNext w:val="0"/>
              <w:keepLines w:val="0"/>
              <w:pageBreakBefore w:val="0"/>
              <w:widowControl/>
              <w:kinsoku/>
              <w:wordWrap w:val="0"/>
              <w:overflowPunct/>
              <w:topLinePunct w:val="0"/>
              <w:autoSpaceDE/>
              <w:autoSpaceDN/>
              <w:bidi w:val="0"/>
              <w:adjustRightInd/>
              <w:snapToGrid/>
              <w:spacing w:line="500" w:lineRule="exact"/>
              <w:ind w:left="0" w:firstLine="400"/>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36440ED5">
            <w:pPr>
              <w:keepNext w:val="0"/>
              <w:keepLines w:val="0"/>
              <w:pageBreakBefore w:val="0"/>
              <w:widowControl/>
              <w:kinsoku/>
              <w:wordWrap w:val="0"/>
              <w:overflowPunct/>
              <w:topLinePunct w:val="0"/>
              <w:autoSpaceDE/>
              <w:autoSpaceDN/>
              <w:bidi w:val="0"/>
              <w:adjustRightInd/>
              <w:snapToGrid/>
              <w:spacing w:line="500" w:lineRule="exact"/>
              <w:ind w:left="0" w:firstLine="400"/>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1C08CC04">
            <w:pPr>
              <w:keepNext w:val="0"/>
              <w:keepLines w:val="0"/>
              <w:pageBreakBefore w:val="0"/>
              <w:widowControl/>
              <w:kinsoku/>
              <w:wordWrap w:val="0"/>
              <w:overflowPunct/>
              <w:topLinePunct w:val="0"/>
              <w:autoSpaceDE/>
              <w:autoSpaceDN/>
              <w:bidi w:val="0"/>
              <w:adjustRightInd/>
              <w:snapToGrid/>
              <w:spacing w:line="500" w:lineRule="exact"/>
              <w:ind w:left="0"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★A02010105便携式计算机</w:t>
            </w:r>
          </w:p>
        </w:tc>
        <w:tc>
          <w:tcPr>
            <w:tcW w:w="1620" w:type="dxa"/>
            <w:tcBorders>
              <w:top w:val="nil"/>
              <w:left w:val="nil"/>
              <w:bottom w:val="single" w:color="000000" w:sz="8" w:space="0"/>
              <w:right w:val="single" w:color="000000" w:sz="8" w:space="0"/>
            </w:tcBorders>
            <w:vAlign w:val="center"/>
          </w:tcPr>
          <w:p w14:paraId="4303BA41">
            <w:pPr>
              <w:keepNext w:val="0"/>
              <w:keepLines w:val="0"/>
              <w:pageBreakBefore w:val="0"/>
              <w:widowControl/>
              <w:kinsoku/>
              <w:wordWrap w:val="0"/>
              <w:overflowPunct/>
              <w:topLinePunct w:val="0"/>
              <w:autoSpaceDE/>
              <w:autoSpaceDN/>
              <w:bidi w:val="0"/>
              <w:adjustRightInd/>
              <w:snapToGrid/>
              <w:spacing w:line="500" w:lineRule="exact"/>
              <w:ind w:left="0"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923" w:type="dxa"/>
            <w:tcBorders>
              <w:top w:val="nil"/>
              <w:left w:val="nil"/>
              <w:bottom w:val="single" w:color="000000" w:sz="8" w:space="0"/>
              <w:right w:val="single" w:color="000000" w:sz="8" w:space="0"/>
            </w:tcBorders>
            <w:vAlign w:val="center"/>
          </w:tcPr>
          <w:p w14:paraId="72EBC316">
            <w:pPr>
              <w:keepNext w:val="0"/>
              <w:keepLines w:val="0"/>
              <w:pageBreakBefore w:val="0"/>
              <w:widowControl/>
              <w:kinsoku/>
              <w:wordWrap w:val="0"/>
              <w:overflowPunct/>
              <w:topLinePunct w:val="0"/>
              <w:autoSpaceDE/>
              <w:autoSpaceDN/>
              <w:bidi w:val="0"/>
              <w:adjustRightInd/>
              <w:snapToGrid/>
              <w:spacing w:line="500" w:lineRule="exact"/>
              <w:ind w:left="0" w:firstLine="400"/>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《微型计算机能效限定值及能效等级》（GB28380）</w:t>
            </w:r>
          </w:p>
        </w:tc>
      </w:tr>
      <w:tr w14:paraId="4A9EFD53">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vAlign w:val="center"/>
          </w:tcPr>
          <w:p w14:paraId="1F02090F">
            <w:pPr>
              <w:keepNext w:val="0"/>
              <w:keepLines w:val="0"/>
              <w:pageBreakBefore w:val="0"/>
              <w:widowControl/>
              <w:kinsoku/>
              <w:wordWrap w:val="0"/>
              <w:overflowPunct/>
              <w:topLinePunct w:val="0"/>
              <w:autoSpaceDE/>
              <w:autoSpaceDN/>
              <w:bidi w:val="0"/>
              <w:adjustRightInd/>
              <w:snapToGrid/>
              <w:spacing w:line="500" w:lineRule="exact"/>
              <w:ind w:left="0" w:firstLine="400"/>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0FE3DA04">
            <w:pPr>
              <w:keepNext w:val="0"/>
              <w:keepLines w:val="0"/>
              <w:pageBreakBefore w:val="0"/>
              <w:widowControl/>
              <w:kinsoku/>
              <w:wordWrap w:val="0"/>
              <w:overflowPunct/>
              <w:topLinePunct w:val="0"/>
              <w:autoSpaceDE/>
              <w:autoSpaceDN/>
              <w:bidi w:val="0"/>
              <w:adjustRightInd/>
              <w:snapToGrid/>
              <w:spacing w:line="500" w:lineRule="exact"/>
              <w:ind w:left="0" w:firstLine="400"/>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571FB9C7">
            <w:pPr>
              <w:keepNext w:val="0"/>
              <w:keepLines w:val="0"/>
              <w:pageBreakBefore w:val="0"/>
              <w:widowControl/>
              <w:kinsoku/>
              <w:wordWrap w:val="0"/>
              <w:overflowPunct/>
              <w:topLinePunct w:val="0"/>
              <w:autoSpaceDE/>
              <w:autoSpaceDN/>
              <w:bidi w:val="0"/>
              <w:adjustRightInd/>
              <w:snapToGrid/>
              <w:spacing w:line="500" w:lineRule="exact"/>
              <w:ind w:left="0"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★A02010107平板式微型计算机</w:t>
            </w:r>
          </w:p>
        </w:tc>
        <w:tc>
          <w:tcPr>
            <w:tcW w:w="1620" w:type="dxa"/>
            <w:tcBorders>
              <w:top w:val="nil"/>
              <w:left w:val="nil"/>
              <w:bottom w:val="single" w:color="000000" w:sz="8" w:space="0"/>
              <w:right w:val="single" w:color="000000" w:sz="8" w:space="0"/>
            </w:tcBorders>
            <w:vAlign w:val="center"/>
          </w:tcPr>
          <w:p w14:paraId="71A99DCF">
            <w:pPr>
              <w:keepNext w:val="0"/>
              <w:keepLines w:val="0"/>
              <w:pageBreakBefore w:val="0"/>
              <w:widowControl/>
              <w:kinsoku/>
              <w:wordWrap w:val="0"/>
              <w:overflowPunct/>
              <w:topLinePunct w:val="0"/>
              <w:autoSpaceDE/>
              <w:autoSpaceDN/>
              <w:bidi w:val="0"/>
              <w:adjustRightInd/>
              <w:snapToGrid/>
              <w:spacing w:line="500" w:lineRule="exact"/>
              <w:ind w:left="0"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923" w:type="dxa"/>
            <w:tcBorders>
              <w:top w:val="nil"/>
              <w:left w:val="nil"/>
              <w:bottom w:val="single" w:color="000000" w:sz="8" w:space="0"/>
              <w:right w:val="single" w:color="000000" w:sz="8" w:space="0"/>
            </w:tcBorders>
            <w:vAlign w:val="center"/>
          </w:tcPr>
          <w:p w14:paraId="5B7F49A5">
            <w:pPr>
              <w:keepNext w:val="0"/>
              <w:keepLines w:val="0"/>
              <w:pageBreakBefore w:val="0"/>
              <w:widowControl/>
              <w:kinsoku/>
              <w:wordWrap w:val="0"/>
              <w:overflowPunct/>
              <w:topLinePunct w:val="0"/>
              <w:autoSpaceDE/>
              <w:autoSpaceDN/>
              <w:bidi w:val="0"/>
              <w:adjustRightInd/>
              <w:snapToGrid/>
              <w:spacing w:line="500" w:lineRule="exact"/>
              <w:ind w:left="0" w:firstLine="400"/>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《微型计算机能效限定值及能效等级》（GB28380）</w:t>
            </w:r>
          </w:p>
        </w:tc>
      </w:tr>
      <w:tr w14:paraId="1657734A">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vAlign w:val="center"/>
          </w:tcPr>
          <w:p w14:paraId="784463FC">
            <w:pPr>
              <w:keepNext w:val="0"/>
              <w:keepLines w:val="0"/>
              <w:pageBreakBefore w:val="0"/>
              <w:widowControl/>
              <w:kinsoku/>
              <w:wordWrap w:val="0"/>
              <w:overflowPunct/>
              <w:topLinePunct w:val="0"/>
              <w:autoSpaceDE/>
              <w:autoSpaceDN/>
              <w:bidi w:val="0"/>
              <w:adjustRightInd/>
              <w:snapToGrid/>
              <w:spacing w:line="500" w:lineRule="exact"/>
              <w:ind w:left="0"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2</w:t>
            </w:r>
          </w:p>
        </w:tc>
        <w:tc>
          <w:tcPr>
            <w:tcW w:w="1080" w:type="dxa"/>
            <w:vMerge w:val="restart"/>
            <w:tcBorders>
              <w:top w:val="nil"/>
              <w:left w:val="single" w:color="000000" w:sz="8" w:space="0"/>
              <w:bottom w:val="single" w:color="000000" w:sz="8" w:space="0"/>
              <w:right w:val="single" w:color="000000" w:sz="8" w:space="0"/>
            </w:tcBorders>
            <w:vAlign w:val="center"/>
          </w:tcPr>
          <w:p w14:paraId="0B9BBFAB">
            <w:pPr>
              <w:keepNext w:val="0"/>
              <w:keepLines w:val="0"/>
              <w:pageBreakBefore w:val="0"/>
              <w:widowControl/>
              <w:kinsoku/>
              <w:wordWrap w:val="0"/>
              <w:overflowPunct/>
              <w:topLinePunct w:val="0"/>
              <w:autoSpaceDE/>
              <w:autoSpaceDN/>
              <w:bidi w:val="0"/>
              <w:adjustRightInd/>
              <w:snapToGrid/>
              <w:spacing w:line="500" w:lineRule="exact"/>
              <w:ind w:left="0"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A020106输入输出设备</w:t>
            </w:r>
          </w:p>
        </w:tc>
        <w:tc>
          <w:tcPr>
            <w:tcW w:w="1320" w:type="dxa"/>
            <w:vMerge w:val="restart"/>
            <w:tcBorders>
              <w:top w:val="nil"/>
              <w:left w:val="single" w:color="000000" w:sz="8" w:space="0"/>
              <w:bottom w:val="single" w:color="000000" w:sz="8" w:space="0"/>
              <w:right w:val="single" w:color="000000" w:sz="8" w:space="0"/>
            </w:tcBorders>
            <w:vAlign w:val="center"/>
          </w:tcPr>
          <w:p w14:paraId="664B050A">
            <w:pPr>
              <w:keepNext w:val="0"/>
              <w:keepLines w:val="0"/>
              <w:pageBreakBefore w:val="0"/>
              <w:widowControl/>
              <w:kinsoku/>
              <w:wordWrap w:val="0"/>
              <w:overflowPunct/>
              <w:topLinePunct w:val="0"/>
              <w:autoSpaceDE/>
              <w:autoSpaceDN/>
              <w:bidi w:val="0"/>
              <w:adjustRightInd/>
              <w:snapToGrid/>
              <w:spacing w:line="500" w:lineRule="exact"/>
              <w:ind w:left="0"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A02010601打印设备</w:t>
            </w:r>
          </w:p>
        </w:tc>
        <w:tc>
          <w:tcPr>
            <w:tcW w:w="1620" w:type="dxa"/>
            <w:tcBorders>
              <w:top w:val="nil"/>
              <w:left w:val="nil"/>
              <w:bottom w:val="single" w:color="000000" w:sz="8" w:space="0"/>
              <w:right w:val="single" w:color="000000" w:sz="8" w:space="0"/>
            </w:tcBorders>
            <w:vAlign w:val="center"/>
          </w:tcPr>
          <w:p w14:paraId="76E789BE">
            <w:pPr>
              <w:keepNext w:val="0"/>
              <w:keepLines w:val="0"/>
              <w:pageBreakBefore w:val="0"/>
              <w:widowControl/>
              <w:kinsoku/>
              <w:wordWrap w:val="0"/>
              <w:overflowPunct/>
              <w:topLinePunct w:val="0"/>
              <w:autoSpaceDE/>
              <w:autoSpaceDN/>
              <w:bidi w:val="0"/>
              <w:adjustRightInd/>
              <w:snapToGrid/>
              <w:spacing w:line="500" w:lineRule="exact"/>
              <w:ind w:left="0"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A0201060101喷墨打印机</w:t>
            </w:r>
          </w:p>
        </w:tc>
        <w:tc>
          <w:tcPr>
            <w:tcW w:w="4923" w:type="dxa"/>
            <w:tcBorders>
              <w:top w:val="nil"/>
              <w:left w:val="nil"/>
              <w:bottom w:val="single" w:color="000000" w:sz="8" w:space="0"/>
              <w:right w:val="single" w:color="000000" w:sz="8" w:space="0"/>
            </w:tcBorders>
            <w:vAlign w:val="center"/>
          </w:tcPr>
          <w:p w14:paraId="329E5901">
            <w:pPr>
              <w:keepNext w:val="0"/>
              <w:keepLines w:val="0"/>
              <w:pageBreakBefore w:val="0"/>
              <w:widowControl/>
              <w:kinsoku/>
              <w:wordWrap w:val="0"/>
              <w:overflowPunct/>
              <w:topLinePunct w:val="0"/>
              <w:autoSpaceDE/>
              <w:autoSpaceDN/>
              <w:bidi w:val="0"/>
              <w:adjustRightInd/>
              <w:snapToGrid/>
              <w:spacing w:line="500" w:lineRule="exact"/>
              <w:ind w:left="0" w:firstLine="400"/>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40E2E4F9">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1E9C4415">
            <w:pPr>
              <w:keepNext w:val="0"/>
              <w:keepLines w:val="0"/>
              <w:pageBreakBefore w:val="0"/>
              <w:widowControl/>
              <w:kinsoku/>
              <w:wordWrap w:val="0"/>
              <w:overflowPunct/>
              <w:topLinePunct w:val="0"/>
              <w:autoSpaceDE/>
              <w:autoSpaceDN/>
              <w:bidi w:val="0"/>
              <w:adjustRightInd/>
              <w:snapToGrid/>
              <w:spacing w:line="500" w:lineRule="exact"/>
              <w:ind w:left="0" w:firstLine="400"/>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44D5655B">
            <w:pPr>
              <w:keepNext w:val="0"/>
              <w:keepLines w:val="0"/>
              <w:pageBreakBefore w:val="0"/>
              <w:widowControl/>
              <w:kinsoku/>
              <w:wordWrap w:val="0"/>
              <w:overflowPunct/>
              <w:topLinePunct w:val="0"/>
              <w:autoSpaceDE/>
              <w:autoSpaceDN/>
              <w:bidi w:val="0"/>
              <w:adjustRightInd/>
              <w:snapToGrid/>
              <w:spacing w:line="500" w:lineRule="exact"/>
              <w:ind w:left="0" w:firstLine="400"/>
              <w:jc w:val="left"/>
              <w:rPr>
                <w:rFonts w:ascii="宋体" w:hAnsi="宋体" w:cs="宋体"/>
                <w:color w:val="auto"/>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vAlign w:val="center"/>
          </w:tcPr>
          <w:p w14:paraId="2F29513E">
            <w:pPr>
              <w:keepNext w:val="0"/>
              <w:keepLines w:val="0"/>
              <w:pageBreakBefore w:val="0"/>
              <w:widowControl/>
              <w:kinsoku/>
              <w:wordWrap w:val="0"/>
              <w:overflowPunct/>
              <w:topLinePunct w:val="0"/>
              <w:autoSpaceDE/>
              <w:autoSpaceDN/>
              <w:bidi w:val="0"/>
              <w:adjustRightInd/>
              <w:snapToGrid/>
              <w:spacing w:line="500" w:lineRule="exact"/>
              <w:ind w:left="0" w:firstLine="400"/>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07ADFDFD">
            <w:pPr>
              <w:keepNext w:val="0"/>
              <w:keepLines w:val="0"/>
              <w:pageBreakBefore w:val="0"/>
              <w:widowControl/>
              <w:kinsoku/>
              <w:wordWrap w:val="0"/>
              <w:overflowPunct/>
              <w:topLinePunct w:val="0"/>
              <w:autoSpaceDE/>
              <w:autoSpaceDN/>
              <w:bidi w:val="0"/>
              <w:adjustRightInd/>
              <w:snapToGrid/>
              <w:spacing w:line="500" w:lineRule="exact"/>
              <w:ind w:left="0"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★A0201060102激光打印机</w:t>
            </w:r>
          </w:p>
        </w:tc>
        <w:tc>
          <w:tcPr>
            <w:tcW w:w="4923" w:type="dxa"/>
            <w:tcBorders>
              <w:top w:val="nil"/>
              <w:left w:val="nil"/>
              <w:bottom w:val="single" w:color="000000" w:sz="8" w:space="0"/>
              <w:right w:val="single" w:color="000000" w:sz="8" w:space="0"/>
            </w:tcBorders>
            <w:vAlign w:val="center"/>
          </w:tcPr>
          <w:p w14:paraId="4A0F380F">
            <w:pPr>
              <w:keepNext w:val="0"/>
              <w:keepLines w:val="0"/>
              <w:pageBreakBefore w:val="0"/>
              <w:widowControl/>
              <w:kinsoku/>
              <w:wordWrap w:val="0"/>
              <w:overflowPunct/>
              <w:topLinePunct w:val="0"/>
              <w:autoSpaceDE/>
              <w:autoSpaceDN/>
              <w:bidi w:val="0"/>
              <w:adjustRightInd/>
              <w:snapToGrid/>
              <w:spacing w:line="500" w:lineRule="exact"/>
              <w:ind w:left="0" w:firstLine="400"/>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7123A485">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7721B60B">
            <w:pPr>
              <w:keepNext w:val="0"/>
              <w:keepLines w:val="0"/>
              <w:pageBreakBefore w:val="0"/>
              <w:widowControl/>
              <w:kinsoku/>
              <w:wordWrap w:val="0"/>
              <w:overflowPunct/>
              <w:topLinePunct w:val="0"/>
              <w:autoSpaceDE/>
              <w:autoSpaceDN/>
              <w:bidi w:val="0"/>
              <w:adjustRightInd/>
              <w:snapToGrid/>
              <w:spacing w:line="500" w:lineRule="exact"/>
              <w:ind w:left="0" w:firstLine="400"/>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5E1D6D26">
            <w:pPr>
              <w:keepNext w:val="0"/>
              <w:keepLines w:val="0"/>
              <w:pageBreakBefore w:val="0"/>
              <w:widowControl/>
              <w:kinsoku/>
              <w:wordWrap w:val="0"/>
              <w:overflowPunct/>
              <w:topLinePunct w:val="0"/>
              <w:autoSpaceDE/>
              <w:autoSpaceDN/>
              <w:bidi w:val="0"/>
              <w:adjustRightInd/>
              <w:snapToGrid/>
              <w:spacing w:line="500" w:lineRule="exact"/>
              <w:ind w:left="0" w:firstLine="400"/>
              <w:jc w:val="left"/>
              <w:rPr>
                <w:rFonts w:ascii="宋体" w:hAnsi="宋体" w:cs="宋体"/>
                <w:color w:val="auto"/>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vAlign w:val="center"/>
          </w:tcPr>
          <w:p w14:paraId="7D60CFCD">
            <w:pPr>
              <w:keepNext w:val="0"/>
              <w:keepLines w:val="0"/>
              <w:pageBreakBefore w:val="0"/>
              <w:widowControl/>
              <w:kinsoku/>
              <w:wordWrap w:val="0"/>
              <w:overflowPunct/>
              <w:topLinePunct w:val="0"/>
              <w:autoSpaceDE/>
              <w:autoSpaceDN/>
              <w:bidi w:val="0"/>
              <w:adjustRightInd/>
              <w:snapToGrid/>
              <w:spacing w:line="500" w:lineRule="exact"/>
              <w:ind w:left="0" w:firstLine="400"/>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20F095C3">
            <w:pPr>
              <w:keepNext w:val="0"/>
              <w:keepLines w:val="0"/>
              <w:pageBreakBefore w:val="0"/>
              <w:widowControl/>
              <w:kinsoku/>
              <w:wordWrap w:val="0"/>
              <w:overflowPunct/>
              <w:topLinePunct w:val="0"/>
              <w:autoSpaceDE/>
              <w:autoSpaceDN/>
              <w:bidi w:val="0"/>
              <w:adjustRightInd/>
              <w:snapToGrid/>
              <w:spacing w:line="500" w:lineRule="exact"/>
              <w:ind w:left="0"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★A0201060104针式打印机</w:t>
            </w:r>
          </w:p>
        </w:tc>
        <w:tc>
          <w:tcPr>
            <w:tcW w:w="4923" w:type="dxa"/>
            <w:tcBorders>
              <w:top w:val="nil"/>
              <w:left w:val="nil"/>
              <w:bottom w:val="single" w:color="000000" w:sz="8" w:space="0"/>
              <w:right w:val="single" w:color="000000" w:sz="8" w:space="0"/>
            </w:tcBorders>
            <w:vAlign w:val="center"/>
          </w:tcPr>
          <w:p w14:paraId="2E3C8640">
            <w:pPr>
              <w:keepNext w:val="0"/>
              <w:keepLines w:val="0"/>
              <w:pageBreakBefore w:val="0"/>
              <w:widowControl/>
              <w:kinsoku/>
              <w:wordWrap w:val="0"/>
              <w:overflowPunct/>
              <w:topLinePunct w:val="0"/>
              <w:autoSpaceDE/>
              <w:autoSpaceDN/>
              <w:bidi w:val="0"/>
              <w:adjustRightInd/>
              <w:snapToGrid/>
              <w:spacing w:line="500" w:lineRule="exact"/>
              <w:ind w:left="0" w:firstLine="400"/>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3BE5420D">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129BC51F">
            <w:pPr>
              <w:keepNext w:val="0"/>
              <w:keepLines w:val="0"/>
              <w:pageBreakBefore w:val="0"/>
              <w:widowControl/>
              <w:kinsoku/>
              <w:wordWrap w:val="0"/>
              <w:overflowPunct/>
              <w:topLinePunct w:val="0"/>
              <w:autoSpaceDE/>
              <w:autoSpaceDN/>
              <w:bidi w:val="0"/>
              <w:adjustRightInd/>
              <w:snapToGrid/>
              <w:spacing w:line="500" w:lineRule="exact"/>
              <w:ind w:left="0" w:firstLine="400"/>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20D53CCF">
            <w:pPr>
              <w:keepNext w:val="0"/>
              <w:keepLines w:val="0"/>
              <w:pageBreakBefore w:val="0"/>
              <w:widowControl/>
              <w:kinsoku/>
              <w:wordWrap w:val="0"/>
              <w:overflowPunct/>
              <w:topLinePunct w:val="0"/>
              <w:autoSpaceDE/>
              <w:autoSpaceDN/>
              <w:bidi w:val="0"/>
              <w:adjustRightInd/>
              <w:snapToGrid/>
              <w:spacing w:line="500" w:lineRule="exact"/>
              <w:ind w:left="0" w:firstLine="400"/>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4BA2C287">
            <w:pPr>
              <w:keepNext w:val="0"/>
              <w:keepLines w:val="0"/>
              <w:pageBreakBefore w:val="0"/>
              <w:widowControl/>
              <w:kinsoku/>
              <w:wordWrap w:val="0"/>
              <w:overflowPunct/>
              <w:topLinePunct w:val="0"/>
              <w:autoSpaceDE/>
              <w:autoSpaceDN/>
              <w:bidi w:val="0"/>
              <w:adjustRightInd/>
              <w:snapToGrid/>
              <w:spacing w:line="500" w:lineRule="exact"/>
              <w:ind w:left="0"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A02010604显示设备</w:t>
            </w:r>
          </w:p>
        </w:tc>
        <w:tc>
          <w:tcPr>
            <w:tcW w:w="1620" w:type="dxa"/>
            <w:tcBorders>
              <w:top w:val="nil"/>
              <w:left w:val="nil"/>
              <w:bottom w:val="single" w:color="000000" w:sz="8" w:space="0"/>
              <w:right w:val="single" w:color="000000" w:sz="8" w:space="0"/>
            </w:tcBorders>
            <w:vAlign w:val="center"/>
          </w:tcPr>
          <w:p w14:paraId="4D148EDB">
            <w:pPr>
              <w:keepNext w:val="0"/>
              <w:keepLines w:val="0"/>
              <w:pageBreakBefore w:val="0"/>
              <w:widowControl/>
              <w:kinsoku/>
              <w:wordWrap w:val="0"/>
              <w:overflowPunct/>
              <w:topLinePunct w:val="0"/>
              <w:autoSpaceDE/>
              <w:autoSpaceDN/>
              <w:bidi w:val="0"/>
              <w:adjustRightInd/>
              <w:snapToGrid/>
              <w:spacing w:line="500" w:lineRule="exact"/>
              <w:ind w:left="0"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★A0201060401液晶显示器</w:t>
            </w:r>
          </w:p>
        </w:tc>
        <w:tc>
          <w:tcPr>
            <w:tcW w:w="4923" w:type="dxa"/>
            <w:tcBorders>
              <w:top w:val="nil"/>
              <w:left w:val="nil"/>
              <w:bottom w:val="single" w:color="000000" w:sz="8" w:space="0"/>
              <w:right w:val="single" w:color="000000" w:sz="8" w:space="0"/>
            </w:tcBorders>
            <w:vAlign w:val="center"/>
          </w:tcPr>
          <w:p w14:paraId="4FCC3EE4">
            <w:pPr>
              <w:keepNext w:val="0"/>
              <w:keepLines w:val="0"/>
              <w:pageBreakBefore w:val="0"/>
              <w:widowControl/>
              <w:kinsoku/>
              <w:wordWrap w:val="0"/>
              <w:overflowPunct/>
              <w:topLinePunct w:val="0"/>
              <w:autoSpaceDE/>
              <w:autoSpaceDN/>
              <w:bidi w:val="0"/>
              <w:adjustRightInd/>
              <w:snapToGrid/>
              <w:spacing w:line="500" w:lineRule="exact"/>
              <w:ind w:left="0" w:firstLine="400"/>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《计算机显示器能效限定值及能效等级》（GB21520）</w:t>
            </w:r>
          </w:p>
        </w:tc>
      </w:tr>
      <w:tr w14:paraId="3DBF297C">
        <w:tblPrEx>
          <w:tblCellMar>
            <w:top w:w="0" w:type="dxa"/>
            <w:left w:w="108" w:type="dxa"/>
            <w:bottom w:w="0" w:type="dxa"/>
            <w:right w:w="108" w:type="dxa"/>
          </w:tblCellMar>
        </w:tblPrEx>
        <w:trPr>
          <w:trHeight w:val="975" w:hRule="atLeast"/>
        </w:trPr>
        <w:tc>
          <w:tcPr>
            <w:tcW w:w="660" w:type="dxa"/>
            <w:vMerge w:val="continue"/>
            <w:tcBorders>
              <w:top w:val="nil"/>
              <w:left w:val="single" w:color="000000" w:sz="8" w:space="0"/>
              <w:bottom w:val="single" w:color="000000" w:sz="8" w:space="0"/>
              <w:right w:val="single" w:color="000000" w:sz="8" w:space="0"/>
            </w:tcBorders>
            <w:vAlign w:val="center"/>
          </w:tcPr>
          <w:p w14:paraId="09DEABA0">
            <w:pPr>
              <w:keepNext w:val="0"/>
              <w:keepLines w:val="0"/>
              <w:pageBreakBefore w:val="0"/>
              <w:widowControl/>
              <w:kinsoku/>
              <w:wordWrap w:val="0"/>
              <w:overflowPunct/>
              <w:topLinePunct w:val="0"/>
              <w:autoSpaceDE/>
              <w:autoSpaceDN/>
              <w:bidi w:val="0"/>
              <w:adjustRightInd/>
              <w:snapToGrid/>
              <w:spacing w:line="500" w:lineRule="exact"/>
              <w:ind w:left="0" w:firstLine="400"/>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1C1B64B5">
            <w:pPr>
              <w:keepNext w:val="0"/>
              <w:keepLines w:val="0"/>
              <w:pageBreakBefore w:val="0"/>
              <w:widowControl/>
              <w:kinsoku/>
              <w:wordWrap w:val="0"/>
              <w:overflowPunct/>
              <w:topLinePunct w:val="0"/>
              <w:autoSpaceDE/>
              <w:autoSpaceDN/>
              <w:bidi w:val="0"/>
              <w:adjustRightInd/>
              <w:snapToGrid/>
              <w:spacing w:line="500" w:lineRule="exact"/>
              <w:ind w:left="0" w:firstLine="400"/>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7BCC9E53">
            <w:pPr>
              <w:keepNext w:val="0"/>
              <w:keepLines w:val="0"/>
              <w:pageBreakBefore w:val="0"/>
              <w:widowControl/>
              <w:kinsoku/>
              <w:wordWrap w:val="0"/>
              <w:overflowPunct/>
              <w:topLinePunct w:val="0"/>
              <w:autoSpaceDE/>
              <w:autoSpaceDN/>
              <w:bidi w:val="0"/>
              <w:adjustRightInd/>
              <w:snapToGrid/>
              <w:spacing w:line="500" w:lineRule="exact"/>
              <w:ind w:left="0"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A02010609图形图像输入设备</w:t>
            </w:r>
          </w:p>
        </w:tc>
        <w:tc>
          <w:tcPr>
            <w:tcW w:w="1620" w:type="dxa"/>
            <w:tcBorders>
              <w:top w:val="nil"/>
              <w:left w:val="nil"/>
              <w:bottom w:val="single" w:color="000000" w:sz="8" w:space="0"/>
              <w:right w:val="single" w:color="000000" w:sz="8" w:space="0"/>
            </w:tcBorders>
            <w:vAlign w:val="center"/>
          </w:tcPr>
          <w:p w14:paraId="1AD71915">
            <w:pPr>
              <w:keepNext w:val="0"/>
              <w:keepLines w:val="0"/>
              <w:pageBreakBefore w:val="0"/>
              <w:widowControl/>
              <w:kinsoku/>
              <w:wordWrap w:val="0"/>
              <w:overflowPunct/>
              <w:topLinePunct w:val="0"/>
              <w:autoSpaceDE/>
              <w:autoSpaceDN/>
              <w:bidi w:val="0"/>
              <w:adjustRightInd/>
              <w:snapToGrid/>
              <w:spacing w:line="500" w:lineRule="exact"/>
              <w:ind w:left="0"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A0201060901扫描仪</w:t>
            </w:r>
          </w:p>
        </w:tc>
        <w:tc>
          <w:tcPr>
            <w:tcW w:w="4923" w:type="dxa"/>
            <w:tcBorders>
              <w:top w:val="nil"/>
              <w:left w:val="nil"/>
              <w:bottom w:val="single" w:color="000000" w:sz="8" w:space="0"/>
              <w:right w:val="single" w:color="000000" w:sz="8" w:space="0"/>
            </w:tcBorders>
            <w:vAlign w:val="center"/>
          </w:tcPr>
          <w:p w14:paraId="7E853D75">
            <w:pPr>
              <w:keepNext w:val="0"/>
              <w:keepLines w:val="0"/>
              <w:pageBreakBefore w:val="0"/>
              <w:widowControl/>
              <w:kinsoku/>
              <w:wordWrap w:val="0"/>
              <w:overflowPunct/>
              <w:topLinePunct w:val="0"/>
              <w:autoSpaceDE/>
              <w:autoSpaceDN/>
              <w:bidi w:val="0"/>
              <w:adjustRightInd/>
              <w:snapToGrid/>
              <w:spacing w:line="500" w:lineRule="exact"/>
              <w:ind w:left="0" w:firstLine="400"/>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参照《复印机、打印机和传真机能效限定值及能效等级》（GB21521中打印速度为15页/分的针式打印机相关要求中打印速度为15页/分的针式打印机相关要求</w:t>
            </w:r>
          </w:p>
        </w:tc>
      </w:tr>
      <w:tr w14:paraId="1A944FA8">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7C839CF0">
            <w:pPr>
              <w:keepNext w:val="0"/>
              <w:keepLines w:val="0"/>
              <w:pageBreakBefore w:val="0"/>
              <w:widowControl/>
              <w:kinsoku/>
              <w:wordWrap w:val="0"/>
              <w:overflowPunct/>
              <w:topLinePunct w:val="0"/>
              <w:autoSpaceDE/>
              <w:autoSpaceDN/>
              <w:bidi w:val="0"/>
              <w:adjustRightInd/>
              <w:snapToGrid/>
              <w:spacing w:line="500" w:lineRule="exact"/>
              <w:ind w:left="0"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3</w:t>
            </w:r>
          </w:p>
        </w:tc>
        <w:tc>
          <w:tcPr>
            <w:tcW w:w="1080" w:type="dxa"/>
            <w:tcBorders>
              <w:top w:val="nil"/>
              <w:left w:val="nil"/>
              <w:bottom w:val="single" w:color="000000" w:sz="8" w:space="0"/>
              <w:right w:val="single" w:color="000000" w:sz="8" w:space="0"/>
            </w:tcBorders>
            <w:vAlign w:val="center"/>
          </w:tcPr>
          <w:p w14:paraId="78D8C658">
            <w:pPr>
              <w:keepNext w:val="0"/>
              <w:keepLines w:val="0"/>
              <w:pageBreakBefore w:val="0"/>
              <w:widowControl/>
              <w:kinsoku/>
              <w:wordWrap w:val="0"/>
              <w:overflowPunct/>
              <w:topLinePunct w:val="0"/>
              <w:autoSpaceDE/>
              <w:autoSpaceDN/>
              <w:bidi w:val="0"/>
              <w:adjustRightInd/>
              <w:snapToGrid/>
              <w:spacing w:line="500" w:lineRule="exact"/>
              <w:ind w:left="0"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A020202投影仪</w:t>
            </w:r>
          </w:p>
        </w:tc>
        <w:tc>
          <w:tcPr>
            <w:tcW w:w="1320" w:type="dxa"/>
            <w:tcBorders>
              <w:top w:val="nil"/>
              <w:left w:val="nil"/>
              <w:bottom w:val="single" w:color="000000" w:sz="8" w:space="0"/>
              <w:right w:val="single" w:color="000000" w:sz="8" w:space="0"/>
            </w:tcBorders>
            <w:vAlign w:val="center"/>
          </w:tcPr>
          <w:p w14:paraId="005BF93D">
            <w:pPr>
              <w:keepNext w:val="0"/>
              <w:keepLines w:val="0"/>
              <w:pageBreakBefore w:val="0"/>
              <w:widowControl/>
              <w:kinsoku/>
              <w:wordWrap w:val="0"/>
              <w:overflowPunct/>
              <w:topLinePunct w:val="0"/>
              <w:autoSpaceDE/>
              <w:autoSpaceDN/>
              <w:bidi w:val="0"/>
              <w:adjustRightInd/>
              <w:snapToGrid/>
              <w:spacing w:line="500" w:lineRule="exact"/>
              <w:ind w:left="0"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vAlign w:val="center"/>
          </w:tcPr>
          <w:p w14:paraId="58B700FC">
            <w:pPr>
              <w:keepNext w:val="0"/>
              <w:keepLines w:val="0"/>
              <w:pageBreakBefore w:val="0"/>
              <w:widowControl/>
              <w:kinsoku/>
              <w:wordWrap w:val="0"/>
              <w:overflowPunct/>
              <w:topLinePunct w:val="0"/>
              <w:autoSpaceDE/>
              <w:autoSpaceDN/>
              <w:bidi w:val="0"/>
              <w:adjustRightInd/>
              <w:snapToGrid/>
              <w:spacing w:line="500" w:lineRule="exact"/>
              <w:ind w:left="0"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923" w:type="dxa"/>
            <w:tcBorders>
              <w:top w:val="nil"/>
              <w:left w:val="nil"/>
              <w:bottom w:val="single" w:color="000000" w:sz="8" w:space="0"/>
              <w:right w:val="single" w:color="000000" w:sz="8" w:space="0"/>
            </w:tcBorders>
            <w:vAlign w:val="center"/>
          </w:tcPr>
          <w:p w14:paraId="7B7682A2">
            <w:pPr>
              <w:keepNext w:val="0"/>
              <w:keepLines w:val="0"/>
              <w:pageBreakBefore w:val="0"/>
              <w:widowControl/>
              <w:kinsoku/>
              <w:wordWrap w:val="0"/>
              <w:overflowPunct/>
              <w:topLinePunct w:val="0"/>
              <w:autoSpaceDE/>
              <w:autoSpaceDN/>
              <w:bidi w:val="0"/>
              <w:adjustRightInd/>
              <w:snapToGrid/>
              <w:spacing w:line="500" w:lineRule="exact"/>
              <w:ind w:left="0" w:firstLine="400"/>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《投影机能效限定值及能效等级》（GB32028）</w:t>
            </w:r>
          </w:p>
        </w:tc>
      </w:tr>
      <w:tr w14:paraId="32EE6DC1">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36AF8024">
            <w:pPr>
              <w:keepNext w:val="0"/>
              <w:keepLines w:val="0"/>
              <w:pageBreakBefore w:val="0"/>
              <w:widowControl/>
              <w:kinsoku/>
              <w:wordWrap w:val="0"/>
              <w:overflowPunct/>
              <w:topLinePunct w:val="0"/>
              <w:autoSpaceDE/>
              <w:autoSpaceDN/>
              <w:bidi w:val="0"/>
              <w:adjustRightInd/>
              <w:snapToGrid/>
              <w:spacing w:line="500" w:lineRule="exact"/>
              <w:ind w:left="0"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4</w:t>
            </w:r>
          </w:p>
        </w:tc>
        <w:tc>
          <w:tcPr>
            <w:tcW w:w="1080" w:type="dxa"/>
            <w:tcBorders>
              <w:top w:val="nil"/>
              <w:left w:val="nil"/>
              <w:bottom w:val="single" w:color="000000" w:sz="8" w:space="0"/>
              <w:right w:val="single" w:color="000000" w:sz="8" w:space="0"/>
            </w:tcBorders>
            <w:vAlign w:val="center"/>
          </w:tcPr>
          <w:p w14:paraId="24976E6C">
            <w:pPr>
              <w:keepNext w:val="0"/>
              <w:keepLines w:val="0"/>
              <w:pageBreakBefore w:val="0"/>
              <w:widowControl/>
              <w:kinsoku/>
              <w:wordWrap w:val="0"/>
              <w:overflowPunct/>
              <w:topLinePunct w:val="0"/>
              <w:autoSpaceDE/>
              <w:autoSpaceDN/>
              <w:bidi w:val="0"/>
              <w:adjustRightInd/>
              <w:snapToGrid/>
              <w:spacing w:line="500" w:lineRule="exact"/>
              <w:ind w:left="0"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A020204多功能一体机</w:t>
            </w:r>
          </w:p>
        </w:tc>
        <w:tc>
          <w:tcPr>
            <w:tcW w:w="1320" w:type="dxa"/>
            <w:tcBorders>
              <w:top w:val="nil"/>
              <w:left w:val="nil"/>
              <w:bottom w:val="single" w:color="000000" w:sz="8" w:space="0"/>
              <w:right w:val="single" w:color="000000" w:sz="8" w:space="0"/>
            </w:tcBorders>
            <w:vAlign w:val="center"/>
          </w:tcPr>
          <w:p w14:paraId="57DB4758">
            <w:pPr>
              <w:keepNext w:val="0"/>
              <w:keepLines w:val="0"/>
              <w:pageBreakBefore w:val="0"/>
              <w:widowControl/>
              <w:kinsoku/>
              <w:wordWrap w:val="0"/>
              <w:overflowPunct/>
              <w:topLinePunct w:val="0"/>
              <w:autoSpaceDE/>
              <w:autoSpaceDN/>
              <w:bidi w:val="0"/>
              <w:adjustRightInd/>
              <w:snapToGrid/>
              <w:spacing w:line="500" w:lineRule="exact"/>
              <w:ind w:left="0"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vAlign w:val="center"/>
          </w:tcPr>
          <w:p w14:paraId="496AD4E7">
            <w:pPr>
              <w:keepNext w:val="0"/>
              <w:keepLines w:val="0"/>
              <w:pageBreakBefore w:val="0"/>
              <w:widowControl/>
              <w:kinsoku/>
              <w:wordWrap w:val="0"/>
              <w:overflowPunct/>
              <w:topLinePunct w:val="0"/>
              <w:autoSpaceDE/>
              <w:autoSpaceDN/>
              <w:bidi w:val="0"/>
              <w:adjustRightInd/>
              <w:snapToGrid/>
              <w:spacing w:line="500" w:lineRule="exact"/>
              <w:ind w:left="0"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923" w:type="dxa"/>
            <w:tcBorders>
              <w:top w:val="nil"/>
              <w:left w:val="nil"/>
              <w:bottom w:val="single" w:color="000000" w:sz="8" w:space="0"/>
              <w:right w:val="single" w:color="000000" w:sz="8" w:space="0"/>
            </w:tcBorders>
            <w:vAlign w:val="center"/>
          </w:tcPr>
          <w:p w14:paraId="0E831CC5">
            <w:pPr>
              <w:keepNext w:val="0"/>
              <w:keepLines w:val="0"/>
              <w:pageBreakBefore w:val="0"/>
              <w:widowControl/>
              <w:kinsoku/>
              <w:wordWrap w:val="0"/>
              <w:overflowPunct/>
              <w:topLinePunct w:val="0"/>
              <w:autoSpaceDE/>
              <w:autoSpaceDN/>
              <w:bidi w:val="0"/>
              <w:adjustRightInd/>
              <w:snapToGrid/>
              <w:spacing w:line="500" w:lineRule="exact"/>
              <w:ind w:left="0" w:firstLine="400"/>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2E3D20A6">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66AEDE05">
            <w:pPr>
              <w:keepNext w:val="0"/>
              <w:keepLines w:val="0"/>
              <w:pageBreakBefore w:val="0"/>
              <w:widowControl/>
              <w:kinsoku/>
              <w:wordWrap w:val="0"/>
              <w:overflowPunct/>
              <w:topLinePunct w:val="0"/>
              <w:autoSpaceDE/>
              <w:autoSpaceDN/>
              <w:bidi w:val="0"/>
              <w:adjustRightInd/>
              <w:snapToGrid/>
              <w:spacing w:line="500" w:lineRule="exact"/>
              <w:ind w:left="0"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5</w:t>
            </w:r>
          </w:p>
        </w:tc>
        <w:tc>
          <w:tcPr>
            <w:tcW w:w="1080" w:type="dxa"/>
            <w:tcBorders>
              <w:top w:val="nil"/>
              <w:left w:val="nil"/>
              <w:bottom w:val="single" w:color="000000" w:sz="8" w:space="0"/>
              <w:right w:val="single" w:color="000000" w:sz="8" w:space="0"/>
            </w:tcBorders>
            <w:vAlign w:val="center"/>
          </w:tcPr>
          <w:p w14:paraId="320398AE">
            <w:pPr>
              <w:keepNext w:val="0"/>
              <w:keepLines w:val="0"/>
              <w:pageBreakBefore w:val="0"/>
              <w:widowControl/>
              <w:kinsoku/>
              <w:wordWrap w:val="0"/>
              <w:overflowPunct/>
              <w:topLinePunct w:val="0"/>
              <w:autoSpaceDE/>
              <w:autoSpaceDN/>
              <w:bidi w:val="0"/>
              <w:adjustRightInd/>
              <w:snapToGrid/>
              <w:spacing w:line="500" w:lineRule="exact"/>
              <w:ind w:left="0"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A020519泵</w:t>
            </w:r>
          </w:p>
        </w:tc>
        <w:tc>
          <w:tcPr>
            <w:tcW w:w="1320" w:type="dxa"/>
            <w:tcBorders>
              <w:top w:val="nil"/>
              <w:left w:val="nil"/>
              <w:bottom w:val="single" w:color="000000" w:sz="8" w:space="0"/>
              <w:right w:val="single" w:color="000000" w:sz="8" w:space="0"/>
            </w:tcBorders>
            <w:vAlign w:val="center"/>
          </w:tcPr>
          <w:p w14:paraId="56D12C2D">
            <w:pPr>
              <w:keepNext w:val="0"/>
              <w:keepLines w:val="0"/>
              <w:pageBreakBefore w:val="0"/>
              <w:widowControl/>
              <w:kinsoku/>
              <w:wordWrap w:val="0"/>
              <w:overflowPunct/>
              <w:topLinePunct w:val="0"/>
              <w:autoSpaceDE/>
              <w:autoSpaceDN/>
              <w:bidi w:val="0"/>
              <w:adjustRightInd/>
              <w:snapToGrid/>
              <w:spacing w:line="500" w:lineRule="exact"/>
              <w:ind w:left="0"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A02051901离心泵</w:t>
            </w:r>
          </w:p>
        </w:tc>
        <w:tc>
          <w:tcPr>
            <w:tcW w:w="1620" w:type="dxa"/>
            <w:tcBorders>
              <w:top w:val="nil"/>
              <w:left w:val="nil"/>
              <w:bottom w:val="single" w:color="000000" w:sz="8" w:space="0"/>
              <w:right w:val="single" w:color="000000" w:sz="8" w:space="0"/>
            </w:tcBorders>
            <w:vAlign w:val="center"/>
          </w:tcPr>
          <w:p w14:paraId="04F48BA5">
            <w:pPr>
              <w:keepNext w:val="0"/>
              <w:keepLines w:val="0"/>
              <w:pageBreakBefore w:val="0"/>
              <w:widowControl/>
              <w:kinsoku/>
              <w:wordWrap w:val="0"/>
              <w:overflowPunct/>
              <w:topLinePunct w:val="0"/>
              <w:autoSpaceDE/>
              <w:autoSpaceDN/>
              <w:bidi w:val="0"/>
              <w:adjustRightInd/>
              <w:snapToGrid/>
              <w:spacing w:line="500" w:lineRule="exact"/>
              <w:ind w:left="0"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923" w:type="dxa"/>
            <w:tcBorders>
              <w:top w:val="nil"/>
              <w:left w:val="nil"/>
              <w:bottom w:val="single" w:color="000000" w:sz="8" w:space="0"/>
              <w:right w:val="single" w:color="000000" w:sz="8" w:space="0"/>
            </w:tcBorders>
            <w:vAlign w:val="center"/>
          </w:tcPr>
          <w:p w14:paraId="7EA2713B">
            <w:pPr>
              <w:keepNext w:val="0"/>
              <w:keepLines w:val="0"/>
              <w:pageBreakBefore w:val="0"/>
              <w:widowControl/>
              <w:kinsoku/>
              <w:wordWrap w:val="0"/>
              <w:overflowPunct/>
              <w:topLinePunct w:val="0"/>
              <w:autoSpaceDE/>
              <w:autoSpaceDN/>
              <w:bidi w:val="0"/>
              <w:adjustRightInd/>
              <w:snapToGrid/>
              <w:spacing w:line="500" w:lineRule="exact"/>
              <w:ind w:left="0" w:firstLine="400"/>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《清水离心泵能效限定值及节能评价值》（GB19762）</w:t>
            </w:r>
          </w:p>
        </w:tc>
      </w:tr>
      <w:tr w14:paraId="070DAF22">
        <w:tblPrEx>
          <w:tblCellMar>
            <w:top w:w="0" w:type="dxa"/>
            <w:left w:w="108" w:type="dxa"/>
            <w:bottom w:w="0" w:type="dxa"/>
            <w:right w:w="108" w:type="dxa"/>
          </w:tblCellMar>
        </w:tblPrEx>
        <w:trPr>
          <w:trHeight w:val="735" w:hRule="atLeast"/>
        </w:trPr>
        <w:tc>
          <w:tcPr>
            <w:tcW w:w="660" w:type="dxa"/>
            <w:vMerge w:val="restart"/>
            <w:tcBorders>
              <w:top w:val="nil"/>
              <w:left w:val="single" w:color="000000" w:sz="8" w:space="0"/>
              <w:bottom w:val="single" w:color="000000" w:sz="8" w:space="0"/>
              <w:right w:val="single" w:color="000000" w:sz="8" w:space="0"/>
            </w:tcBorders>
            <w:vAlign w:val="center"/>
          </w:tcPr>
          <w:p w14:paraId="30EF50FD">
            <w:pPr>
              <w:keepNext w:val="0"/>
              <w:keepLines w:val="0"/>
              <w:pageBreakBefore w:val="0"/>
              <w:widowControl/>
              <w:kinsoku/>
              <w:wordWrap w:val="0"/>
              <w:overflowPunct/>
              <w:topLinePunct w:val="0"/>
              <w:autoSpaceDE/>
              <w:autoSpaceDN/>
              <w:bidi w:val="0"/>
              <w:adjustRightInd/>
              <w:snapToGrid/>
              <w:spacing w:line="500" w:lineRule="exact"/>
              <w:ind w:left="0"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6</w:t>
            </w:r>
          </w:p>
        </w:tc>
        <w:tc>
          <w:tcPr>
            <w:tcW w:w="1080" w:type="dxa"/>
            <w:vMerge w:val="restart"/>
            <w:tcBorders>
              <w:top w:val="nil"/>
              <w:left w:val="single" w:color="000000" w:sz="8" w:space="0"/>
              <w:bottom w:val="single" w:color="000000" w:sz="8" w:space="0"/>
              <w:right w:val="single" w:color="000000" w:sz="8" w:space="0"/>
            </w:tcBorders>
            <w:vAlign w:val="center"/>
          </w:tcPr>
          <w:p w14:paraId="4EC7FE7E">
            <w:pPr>
              <w:keepNext w:val="0"/>
              <w:keepLines w:val="0"/>
              <w:pageBreakBefore w:val="0"/>
              <w:widowControl/>
              <w:kinsoku/>
              <w:wordWrap w:val="0"/>
              <w:overflowPunct/>
              <w:topLinePunct w:val="0"/>
              <w:autoSpaceDE/>
              <w:autoSpaceDN/>
              <w:bidi w:val="0"/>
              <w:adjustRightInd/>
              <w:snapToGrid/>
              <w:spacing w:line="500" w:lineRule="exact"/>
              <w:ind w:left="0"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A020523制冷空调设备</w:t>
            </w:r>
          </w:p>
        </w:tc>
        <w:tc>
          <w:tcPr>
            <w:tcW w:w="1320" w:type="dxa"/>
            <w:vMerge w:val="restart"/>
            <w:tcBorders>
              <w:top w:val="nil"/>
              <w:left w:val="single" w:color="000000" w:sz="8" w:space="0"/>
              <w:bottom w:val="single" w:color="000000" w:sz="8" w:space="0"/>
              <w:right w:val="single" w:color="000000" w:sz="8" w:space="0"/>
            </w:tcBorders>
            <w:vAlign w:val="center"/>
          </w:tcPr>
          <w:p w14:paraId="5C894062">
            <w:pPr>
              <w:keepNext w:val="0"/>
              <w:keepLines w:val="0"/>
              <w:pageBreakBefore w:val="0"/>
              <w:widowControl/>
              <w:kinsoku/>
              <w:wordWrap w:val="0"/>
              <w:overflowPunct/>
              <w:topLinePunct w:val="0"/>
              <w:autoSpaceDE/>
              <w:autoSpaceDN/>
              <w:bidi w:val="0"/>
              <w:adjustRightInd/>
              <w:snapToGrid/>
              <w:spacing w:line="500" w:lineRule="exact"/>
              <w:ind w:left="0"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★A02052301制冷压缩机</w:t>
            </w:r>
          </w:p>
        </w:tc>
        <w:tc>
          <w:tcPr>
            <w:tcW w:w="1620" w:type="dxa"/>
            <w:tcBorders>
              <w:top w:val="nil"/>
              <w:left w:val="nil"/>
              <w:bottom w:val="single" w:color="000000" w:sz="8" w:space="0"/>
              <w:right w:val="single" w:color="000000" w:sz="8" w:space="0"/>
            </w:tcBorders>
            <w:vAlign w:val="center"/>
          </w:tcPr>
          <w:p w14:paraId="73F4922F">
            <w:pPr>
              <w:keepNext w:val="0"/>
              <w:keepLines w:val="0"/>
              <w:pageBreakBefore w:val="0"/>
              <w:widowControl/>
              <w:kinsoku/>
              <w:wordWrap w:val="0"/>
              <w:overflowPunct/>
              <w:topLinePunct w:val="0"/>
              <w:autoSpaceDE/>
              <w:autoSpaceDN/>
              <w:bidi w:val="0"/>
              <w:adjustRightInd/>
              <w:snapToGrid/>
              <w:spacing w:line="500" w:lineRule="exact"/>
              <w:ind w:left="0"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冷水机组</w:t>
            </w:r>
          </w:p>
        </w:tc>
        <w:tc>
          <w:tcPr>
            <w:tcW w:w="4923" w:type="dxa"/>
            <w:tcBorders>
              <w:top w:val="nil"/>
              <w:left w:val="nil"/>
              <w:bottom w:val="single" w:color="000000" w:sz="8" w:space="0"/>
              <w:right w:val="single" w:color="000000" w:sz="8" w:space="0"/>
            </w:tcBorders>
            <w:vAlign w:val="center"/>
          </w:tcPr>
          <w:p w14:paraId="30BEDEE0">
            <w:pPr>
              <w:keepNext w:val="0"/>
              <w:keepLines w:val="0"/>
              <w:pageBreakBefore w:val="0"/>
              <w:widowControl/>
              <w:kinsoku/>
              <w:wordWrap w:val="0"/>
              <w:overflowPunct/>
              <w:topLinePunct w:val="0"/>
              <w:autoSpaceDE/>
              <w:autoSpaceDN/>
              <w:bidi w:val="0"/>
              <w:adjustRightInd/>
              <w:snapToGrid/>
              <w:spacing w:line="500" w:lineRule="exact"/>
              <w:ind w:left="0" w:firstLine="400"/>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《冷水机组能效限定值及能效等级》（GB19577），《低环境温度空气源热泵（冷水）机组能效限定值及能效等级》（GB37480）</w:t>
            </w:r>
          </w:p>
        </w:tc>
      </w:tr>
      <w:tr w14:paraId="6DC54C91">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4BAC18B9">
            <w:pPr>
              <w:keepNext w:val="0"/>
              <w:keepLines w:val="0"/>
              <w:pageBreakBefore w:val="0"/>
              <w:widowControl/>
              <w:kinsoku/>
              <w:wordWrap w:val="0"/>
              <w:overflowPunct/>
              <w:topLinePunct w:val="0"/>
              <w:autoSpaceDE/>
              <w:autoSpaceDN/>
              <w:bidi w:val="0"/>
              <w:adjustRightInd/>
              <w:snapToGrid/>
              <w:spacing w:line="500" w:lineRule="exact"/>
              <w:ind w:left="0" w:firstLine="400"/>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38428251">
            <w:pPr>
              <w:keepNext w:val="0"/>
              <w:keepLines w:val="0"/>
              <w:pageBreakBefore w:val="0"/>
              <w:widowControl/>
              <w:kinsoku/>
              <w:wordWrap w:val="0"/>
              <w:overflowPunct/>
              <w:topLinePunct w:val="0"/>
              <w:autoSpaceDE/>
              <w:autoSpaceDN/>
              <w:bidi w:val="0"/>
              <w:adjustRightInd/>
              <w:snapToGrid/>
              <w:spacing w:line="500" w:lineRule="exact"/>
              <w:ind w:left="0" w:firstLine="400"/>
              <w:jc w:val="left"/>
              <w:rPr>
                <w:rFonts w:ascii="宋体" w:hAnsi="宋体" w:cs="宋体"/>
                <w:color w:val="auto"/>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vAlign w:val="center"/>
          </w:tcPr>
          <w:p w14:paraId="5FDE6192">
            <w:pPr>
              <w:keepNext w:val="0"/>
              <w:keepLines w:val="0"/>
              <w:pageBreakBefore w:val="0"/>
              <w:widowControl/>
              <w:kinsoku/>
              <w:wordWrap w:val="0"/>
              <w:overflowPunct/>
              <w:topLinePunct w:val="0"/>
              <w:autoSpaceDE/>
              <w:autoSpaceDN/>
              <w:bidi w:val="0"/>
              <w:adjustRightInd/>
              <w:snapToGrid/>
              <w:spacing w:line="500" w:lineRule="exact"/>
              <w:ind w:left="0" w:firstLine="400"/>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04322327">
            <w:pPr>
              <w:keepNext w:val="0"/>
              <w:keepLines w:val="0"/>
              <w:pageBreakBefore w:val="0"/>
              <w:widowControl/>
              <w:kinsoku/>
              <w:wordWrap w:val="0"/>
              <w:overflowPunct/>
              <w:topLinePunct w:val="0"/>
              <w:autoSpaceDE/>
              <w:autoSpaceDN/>
              <w:bidi w:val="0"/>
              <w:adjustRightInd/>
              <w:snapToGrid/>
              <w:spacing w:line="500" w:lineRule="exact"/>
              <w:ind w:left="0"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水源热泵机组</w:t>
            </w:r>
          </w:p>
        </w:tc>
        <w:tc>
          <w:tcPr>
            <w:tcW w:w="4923" w:type="dxa"/>
            <w:tcBorders>
              <w:top w:val="nil"/>
              <w:left w:val="nil"/>
              <w:bottom w:val="single" w:color="000000" w:sz="8" w:space="0"/>
              <w:right w:val="single" w:color="000000" w:sz="8" w:space="0"/>
            </w:tcBorders>
            <w:vAlign w:val="center"/>
          </w:tcPr>
          <w:p w14:paraId="3038378F">
            <w:pPr>
              <w:keepNext w:val="0"/>
              <w:keepLines w:val="0"/>
              <w:pageBreakBefore w:val="0"/>
              <w:widowControl/>
              <w:kinsoku/>
              <w:wordWrap w:val="0"/>
              <w:overflowPunct/>
              <w:topLinePunct w:val="0"/>
              <w:autoSpaceDE/>
              <w:autoSpaceDN/>
              <w:bidi w:val="0"/>
              <w:adjustRightInd/>
              <w:snapToGrid/>
              <w:spacing w:line="500" w:lineRule="exact"/>
              <w:ind w:left="0" w:firstLine="400"/>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《水（地）源热泵机组能效限定值及能效等级》（GB30721）</w:t>
            </w:r>
          </w:p>
        </w:tc>
      </w:tr>
      <w:tr w14:paraId="62043551">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08C7B91A">
            <w:pPr>
              <w:keepNext w:val="0"/>
              <w:keepLines w:val="0"/>
              <w:pageBreakBefore w:val="0"/>
              <w:widowControl/>
              <w:kinsoku/>
              <w:wordWrap w:val="0"/>
              <w:overflowPunct/>
              <w:topLinePunct w:val="0"/>
              <w:autoSpaceDE/>
              <w:autoSpaceDN/>
              <w:bidi w:val="0"/>
              <w:adjustRightInd/>
              <w:snapToGrid/>
              <w:spacing w:line="500" w:lineRule="exact"/>
              <w:ind w:left="0" w:firstLine="400"/>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0DEC6014">
            <w:pPr>
              <w:keepNext w:val="0"/>
              <w:keepLines w:val="0"/>
              <w:pageBreakBefore w:val="0"/>
              <w:widowControl/>
              <w:kinsoku/>
              <w:wordWrap w:val="0"/>
              <w:overflowPunct/>
              <w:topLinePunct w:val="0"/>
              <w:autoSpaceDE/>
              <w:autoSpaceDN/>
              <w:bidi w:val="0"/>
              <w:adjustRightInd/>
              <w:snapToGrid/>
              <w:spacing w:line="500" w:lineRule="exact"/>
              <w:ind w:left="0" w:firstLine="400"/>
              <w:jc w:val="left"/>
              <w:rPr>
                <w:rFonts w:ascii="宋体" w:hAnsi="宋体" w:cs="宋体"/>
                <w:color w:val="auto"/>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vAlign w:val="center"/>
          </w:tcPr>
          <w:p w14:paraId="4DBB474B">
            <w:pPr>
              <w:keepNext w:val="0"/>
              <w:keepLines w:val="0"/>
              <w:pageBreakBefore w:val="0"/>
              <w:widowControl/>
              <w:kinsoku/>
              <w:wordWrap w:val="0"/>
              <w:overflowPunct/>
              <w:topLinePunct w:val="0"/>
              <w:autoSpaceDE/>
              <w:autoSpaceDN/>
              <w:bidi w:val="0"/>
              <w:adjustRightInd/>
              <w:snapToGrid/>
              <w:spacing w:line="500" w:lineRule="exact"/>
              <w:ind w:left="0" w:firstLine="400"/>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23F056E0">
            <w:pPr>
              <w:keepNext w:val="0"/>
              <w:keepLines w:val="0"/>
              <w:pageBreakBefore w:val="0"/>
              <w:widowControl/>
              <w:kinsoku/>
              <w:wordWrap w:val="0"/>
              <w:overflowPunct/>
              <w:topLinePunct w:val="0"/>
              <w:autoSpaceDE/>
              <w:autoSpaceDN/>
              <w:bidi w:val="0"/>
              <w:adjustRightInd/>
              <w:snapToGrid/>
              <w:spacing w:line="500" w:lineRule="exact"/>
              <w:ind w:left="0"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溴化锂吸收式冷水机组</w:t>
            </w:r>
          </w:p>
        </w:tc>
        <w:tc>
          <w:tcPr>
            <w:tcW w:w="4923" w:type="dxa"/>
            <w:tcBorders>
              <w:top w:val="nil"/>
              <w:left w:val="nil"/>
              <w:bottom w:val="single" w:color="000000" w:sz="8" w:space="0"/>
              <w:right w:val="single" w:color="000000" w:sz="8" w:space="0"/>
            </w:tcBorders>
            <w:vAlign w:val="center"/>
          </w:tcPr>
          <w:p w14:paraId="76C067DF">
            <w:pPr>
              <w:keepNext w:val="0"/>
              <w:keepLines w:val="0"/>
              <w:pageBreakBefore w:val="0"/>
              <w:widowControl/>
              <w:kinsoku/>
              <w:wordWrap w:val="0"/>
              <w:overflowPunct/>
              <w:topLinePunct w:val="0"/>
              <w:autoSpaceDE/>
              <w:autoSpaceDN/>
              <w:bidi w:val="0"/>
              <w:adjustRightInd/>
              <w:snapToGrid/>
              <w:spacing w:line="500" w:lineRule="exact"/>
              <w:ind w:left="0" w:firstLine="400"/>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《溴化锂吸收式冷水机组能效限定值及能效等级》（GB29540）</w:t>
            </w:r>
          </w:p>
        </w:tc>
      </w:tr>
      <w:tr w14:paraId="3BE34E27">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vAlign w:val="center"/>
          </w:tcPr>
          <w:p w14:paraId="343C1376">
            <w:pPr>
              <w:keepNext w:val="0"/>
              <w:keepLines w:val="0"/>
              <w:pageBreakBefore w:val="0"/>
              <w:widowControl/>
              <w:kinsoku/>
              <w:wordWrap w:val="0"/>
              <w:overflowPunct/>
              <w:topLinePunct w:val="0"/>
              <w:autoSpaceDE/>
              <w:autoSpaceDN/>
              <w:bidi w:val="0"/>
              <w:adjustRightInd/>
              <w:snapToGrid/>
              <w:spacing w:line="500" w:lineRule="exact"/>
              <w:ind w:left="0" w:firstLine="400"/>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30A03CEA">
            <w:pPr>
              <w:keepNext w:val="0"/>
              <w:keepLines w:val="0"/>
              <w:pageBreakBefore w:val="0"/>
              <w:widowControl/>
              <w:kinsoku/>
              <w:wordWrap w:val="0"/>
              <w:overflowPunct/>
              <w:topLinePunct w:val="0"/>
              <w:autoSpaceDE/>
              <w:autoSpaceDN/>
              <w:bidi w:val="0"/>
              <w:adjustRightInd/>
              <w:snapToGrid/>
              <w:spacing w:line="500" w:lineRule="exact"/>
              <w:ind w:left="0" w:firstLine="400"/>
              <w:jc w:val="left"/>
              <w:rPr>
                <w:rFonts w:ascii="宋体" w:hAnsi="宋体" w:cs="宋体"/>
                <w:color w:val="auto"/>
                <w:kern w:val="0"/>
                <w:sz w:val="20"/>
                <w:szCs w:val="20"/>
                <w:highlight w:val="none"/>
              </w:rPr>
            </w:pPr>
          </w:p>
        </w:tc>
        <w:tc>
          <w:tcPr>
            <w:tcW w:w="1320" w:type="dxa"/>
            <w:vMerge w:val="restart"/>
            <w:tcBorders>
              <w:top w:val="nil"/>
              <w:left w:val="single" w:color="000000" w:sz="8" w:space="0"/>
              <w:bottom w:val="single" w:color="000000" w:sz="8" w:space="0"/>
              <w:right w:val="single" w:color="000000" w:sz="8" w:space="0"/>
            </w:tcBorders>
            <w:vAlign w:val="center"/>
          </w:tcPr>
          <w:p w14:paraId="60596721">
            <w:pPr>
              <w:keepNext w:val="0"/>
              <w:keepLines w:val="0"/>
              <w:pageBreakBefore w:val="0"/>
              <w:widowControl/>
              <w:kinsoku/>
              <w:wordWrap w:val="0"/>
              <w:overflowPunct/>
              <w:topLinePunct w:val="0"/>
              <w:autoSpaceDE/>
              <w:autoSpaceDN/>
              <w:bidi w:val="0"/>
              <w:adjustRightInd/>
              <w:snapToGrid/>
              <w:spacing w:line="500" w:lineRule="exact"/>
              <w:ind w:left="0"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★A02052305空调机组</w:t>
            </w:r>
          </w:p>
        </w:tc>
        <w:tc>
          <w:tcPr>
            <w:tcW w:w="1620" w:type="dxa"/>
            <w:tcBorders>
              <w:top w:val="nil"/>
              <w:left w:val="nil"/>
              <w:bottom w:val="single" w:color="000000" w:sz="8" w:space="0"/>
              <w:right w:val="single" w:color="000000" w:sz="8" w:space="0"/>
            </w:tcBorders>
            <w:vAlign w:val="center"/>
          </w:tcPr>
          <w:p w14:paraId="3DF91A5F">
            <w:pPr>
              <w:keepNext w:val="0"/>
              <w:keepLines w:val="0"/>
              <w:pageBreakBefore w:val="0"/>
              <w:widowControl/>
              <w:kinsoku/>
              <w:wordWrap w:val="0"/>
              <w:overflowPunct/>
              <w:topLinePunct w:val="0"/>
              <w:autoSpaceDE/>
              <w:autoSpaceDN/>
              <w:bidi w:val="0"/>
              <w:adjustRightInd/>
              <w:snapToGrid/>
              <w:spacing w:line="500" w:lineRule="exact"/>
              <w:ind w:left="0"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多联式空调（热泵）机组(制冷量&gt;14000W)</w:t>
            </w:r>
          </w:p>
        </w:tc>
        <w:tc>
          <w:tcPr>
            <w:tcW w:w="4923" w:type="dxa"/>
            <w:tcBorders>
              <w:top w:val="nil"/>
              <w:left w:val="nil"/>
              <w:bottom w:val="single" w:color="000000" w:sz="8" w:space="0"/>
              <w:right w:val="single" w:color="000000" w:sz="8" w:space="0"/>
            </w:tcBorders>
            <w:vAlign w:val="center"/>
          </w:tcPr>
          <w:p w14:paraId="251F9A05">
            <w:pPr>
              <w:keepNext w:val="0"/>
              <w:keepLines w:val="0"/>
              <w:pageBreakBefore w:val="0"/>
              <w:widowControl/>
              <w:kinsoku/>
              <w:wordWrap w:val="0"/>
              <w:overflowPunct/>
              <w:topLinePunct w:val="0"/>
              <w:autoSpaceDE/>
              <w:autoSpaceDN/>
              <w:bidi w:val="0"/>
              <w:adjustRightInd/>
              <w:snapToGrid/>
              <w:spacing w:line="500" w:lineRule="exact"/>
              <w:ind w:left="0" w:firstLine="400"/>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《多联式空调（热泵）机组能效限定值及能源效率等级》（GB21454）</w:t>
            </w:r>
          </w:p>
        </w:tc>
      </w:tr>
      <w:tr w14:paraId="6AE6D843">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vAlign w:val="center"/>
          </w:tcPr>
          <w:p w14:paraId="0FDCBF1D">
            <w:pPr>
              <w:keepNext w:val="0"/>
              <w:keepLines w:val="0"/>
              <w:pageBreakBefore w:val="0"/>
              <w:widowControl/>
              <w:kinsoku/>
              <w:wordWrap w:val="0"/>
              <w:overflowPunct/>
              <w:topLinePunct w:val="0"/>
              <w:autoSpaceDE/>
              <w:autoSpaceDN/>
              <w:bidi w:val="0"/>
              <w:adjustRightInd/>
              <w:snapToGrid/>
              <w:spacing w:line="500" w:lineRule="exact"/>
              <w:ind w:left="0" w:firstLine="400"/>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7F59A8C8">
            <w:pPr>
              <w:keepNext w:val="0"/>
              <w:keepLines w:val="0"/>
              <w:pageBreakBefore w:val="0"/>
              <w:widowControl/>
              <w:kinsoku/>
              <w:wordWrap w:val="0"/>
              <w:overflowPunct/>
              <w:topLinePunct w:val="0"/>
              <w:autoSpaceDE/>
              <w:autoSpaceDN/>
              <w:bidi w:val="0"/>
              <w:adjustRightInd/>
              <w:snapToGrid/>
              <w:spacing w:line="500" w:lineRule="exact"/>
              <w:ind w:left="0" w:firstLine="400"/>
              <w:jc w:val="left"/>
              <w:rPr>
                <w:rFonts w:ascii="宋体" w:hAnsi="宋体" w:cs="宋体"/>
                <w:color w:val="auto"/>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vAlign w:val="center"/>
          </w:tcPr>
          <w:p w14:paraId="7B75FF8C">
            <w:pPr>
              <w:keepNext w:val="0"/>
              <w:keepLines w:val="0"/>
              <w:pageBreakBefore w:val="0"/>
              <w:widowControl/>
              <w:kinsoku/>
              <w:wordWrap w:val="0"/>
              <w:overflowPunct/>
              <w:topLinePunct w:val="0"/>
              <w:autoSpaceDE/>
              <w:autoSpaceDN/>
              <w:bidi w:val="0"/>
              <w:adjustRightInd/>
              <w:snapToGrid/>
              <w:spacing w:line="500" w:lineRule="exact"/>
              <w:ind w:left="0" w:firstLine="400"/>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21E5F13A">
            <w:pPr>
              <w:keepNext w:val="0"/>
              <w:keepLines w:val="0"/>
              <w:pageBreakBefore w:val="0"/>
              <w:widowControl/>
              <w:kinsoku/>
              <w:wordWrap w:val="0"/>
              <w:overflowPunct/>
              <w:topLinePunct w:val="0"/>
              <w:autoSpaceDE/>
              <w:autoSpaceDN/>
              <w:bidi w:val="0"/>
              <w:adjustRightInd/>
              <w:snapToGrid/>
              <w:spacing w:line="500" w:lineRule="exact"/>
              <w:ind w:left="0"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单元式空气调节机(制冷量&gt;14000W</w:t>
            </w:r>
          </w:p>
        </w:tc>
        <w:tc>
          <w:tcPr>
            <w:tcW w:w="4923" w:type="dxa"/>
            <w:tcBorders>
              <w:top w:val="nil"/>
              <w:left w:val="nil"/>
              <w:bottom w:val="single" w:color="000000" w:sz="8" w:space="0"/>
              <w:right w:val="single" w:color="000000" w:sz="8" w:space="0"/>
            </w:tcBorders>
            <w:vAlign w:val="center"/>
          </w:tcPr>
          <w:p w14:paraId="557E658E">
            <w:pPr>
              <w:keepNext w:val="0"/>
              <w:keepLines w:val="0"/>
              <w:pageBreakBefore w:val="0"/>
              <w:widowControl/>
              <w:kinsoku/>
              <w:wordWrap w:val="0"/>
              <w:overflowPunct/>
              <w:topLinePunct w:val="0"/>
              <w:autoSpaceDE/>
              <w:autoSpaceDN/>
              <w:bidi w:val="0"/>
              <w:adjustRightInd/>
              <w:snapToGrid/>
              <w:spacing w:line="500" w:lineRule="exact"/>
              <w:ind w:left="0" w:firstLine="400"/>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《单元式空气调节机能效限定值及能效等级》（GB19576）《风管送风式空调机组能效限定值及能效等级》（GB37479）</w:t>
            </w:r>
          </w:p>
        </w:tc>
      </w:tr>
      <w:tr w14:paraId="7BC0E2F0">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vAlign w:val="center"/>
          </w:tcPr>
          <w:p w14:paraId="0FA4E7DC">
            <w:pPr>
              <w:keepNext w:val="0"/>
              <w:keepLines w:val="0"/>
              <w:pageBreakBefore w:val="0"/>
              <w:widowControl/>
              <w:kinsoku/>
              <w:wordWrap w:val="0"/>
              <w:overflowPunct/>
              <w:topLinePunct w:val="0"/>
              <w:autoSpaceDE/>
              <w:autoSpaceDN/>
              <w:bidi w:val="0"/>
              <w:adjustRightInd/>
              <w:snapToGrid/>
              <w:spacing w:line="500" w:lineRule="exact"/>
              <w:ind w:left="0" w:firstLine="400"/>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69E5FF6B">
            <w:pPr>
              <w:keepNext w:val="0"/>
              <w:keepLines w:val="0"/>
              <w:pageBreakBefore w:val="0"/>
              <w:widowControl/>
              <w:kinsoku/>
              <w:wordWrap w:val="0"/>
              <w:overflowPunct/>
              <w:topLinePunct w:val="0"/>
              <w:autoSpaceDE/>
              <w:autoSpaceDN/>
              <w:bidi w:val="0"/>
              <w:adjustRightInd/>
              <w:snapToGrid/>
              <w:spacing w:line="500" w:lineRule="exact"/>
              <w:ind w:left="0" w:firstLine="400"/>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06A13351">
            <w:pPr>
              <w:keepNext w:val="0"/>
              <w:keepLines w:val="0"/>
              <w:pageBreakBefore w:val="0"/>
              <w:widowControl/>
              <w:kinsoku/>
              <w:wordWrap w:val="0"/>
              <w:overflowPunct/>
              <w:topLinePunct w:val="0"/>
              <w:autoSpaceDE/>
              <w:autoSpaceDN/>
              <w:bidi w:val="0"/>
              <w:adjustRightInd/>
              <w:snapToGrid/>
              <w:spacing w:line="500" w:lineRule="exact"/>
              <w:ind w:left="0"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★A02052309专用制冷、空调设备</w:t>
            </w:r>
          </w:p>
        </w:tc>
        <w:tc>
          <w:tcPr>
            <w:tcW w:w="1620" w:type="dxa"/>
            <w:tcBorders>
              <w:top w:val="nil"/>
              <w:left w:val="nil"/>
              <w:bottom w:val="single" w:color="000000" w:sz="8" w:space="0"/>
              <w:right w:val="single" w:color="000000" w:sz="8" w:space="0"/>
            </w:tcBorders>
            <w:vAlign w:val="center"/>
          </w:tcPr>
          <w:p w14:paraId="1AD225B1">
            <w:pPr>
              <w:keepNext w:val="0"/>
              <w:keepLines w:val="0"/>
              <w:pageBreakBefore w:val="0"/>
              <w:widowControl/>
              <w:kinsoku/>
              <w:wordWrap w:val="0"/>
              <w:overflowPunct/>
              <w:topLinePunct w:val="0"/>
              <w:autoSpaceDE/>
              <w:autoSpaceDN/>
              <w:bidi w:val="0"/>
              <w:adjustRightInd/>
              <w:snapToGrid/>
              <w:spacing w:line="500" w:lineRule="exact"/>
              <w:ind w:left="0"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机房空调</w:t>
            </w:r>
          </w:p>
        </w:tc>
        <w:tc>
          <w:tcPr>
            <w:tcW w:w="4923" w:type="dxa"/>
            <w:tcBorders>
              <w:top w:val="nil"/>
              <w:left w:val="nil"/>
              <w:bottom w:val="single" w:color="000000" w:sz="8" w:space="0"/>
              <w:right w:val="single" w:color="000000" w:sz="8" w:space="0"/>
            </w:tcBorders>
            <w:vAlign w:val="center"/>
          </w:tcPr>
          <w:p w14:paraId="74BE1B08">
            <w:pPr>
              <w:keepNext w:val="0"/>
              <w:keepLines w:val="0"/>
              <w:pageBreakBefore w:val="0"/>
              <w:widowControl/>
              <w:kinsoku/>
              <w:wordWrap w:val="0"/>
              <w:overflowPunct/>
              <w:topLinePunct w:val="0"/>
              <w:autoSpaceDE/>
              <w:autoSpaceDN/>
              <w:bidi w:val="0"/>
              <w:adjustRightInd/>
              <w:snapToGrid/>
              <w:spacing w:line="500" w:lineRule="exact"/>
              <w:ind w:left="0" w:firstLine="400"/>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《单元式空气调节机能效限定值及能效等级》（GB19576）</w:t>
            </w:r>
          </w:p>
        </w:tc>
      </w:tr>
      <w:tr w14:paraId="4BBD84AD">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vAlign w:val="center"/>
          </w:tcPr>
          <w:p w14:paraId="4A5CA332">
            <w:pPr>
              <w:keepNext w:val="0"/>
              <w:keepLines w:val="0"/>
              <w:pageBreakBefore w:val="0"/>
              <w:widowControl/>
              <w:kinsoku/>
              <w:wordWrap w:val="0"/>
              <w:overflowPunct/>
              <w:topLinePunct w:val="0"/>
              <w:autoSpaceDE/>
              <w:autoSpaceDN/>
              <w:bidi w:val="0"/>
              <w:adjustRightInd/>
              <w:snapToGrid/>
              <w:spacing w:line="500" w:lineRule="exact"/>
              <w:ind w:left="0" w:firstLine="400"/>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26F4D94F">
            <w:pPr>
              <w:keepNext w:val="0"/>
              <w:keepLines w:val="0"/>
              <w:pageBreakBefore w:val="0"/>
              <w:widowControl/>
              <w:kinsoku/>
              <w:wordWrap w:val="0"/>
              <w:overflowPunct/>
              <w:topLinePunct w:val="0"/>
              <w:autoSpaceDE/>
              <w:autoSpaceDN/>
              <w:bidi w:val="0"/>
              <w:adjustRightInd/>
              <w:snapToGrid/>
              <w:spacing w:line="500" w:lineRule="exact"/>
              <w:ind w:left="0" w:firstLine="400"/>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4B0FB4C8">
            <w:pPr>
              <w:keepNext w:val="0"/>
              <w:keepLines w:val="0"/>
              <w:pageBreakBefore w:val="0"/>
              <w:widowControl/>
              <w:kinsoku/>
              <w:wordWrap w:val="0"/>
              <w:overflowPunct/>
              <w:topLinePunct w:val="0"/>
              <w:autoSpaceDE/>
              <w:autoSpaceDN/>
              <w:bidi w:val="0"/>
              <w:adjustRightInd/>
              <w:snapToGrid/>
              <w:spacing w:line="500" w:lineRule="exact"/>
              <w:ind w:left="0"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A02052399其他制冷空调设备</w:t>
            </w:r>
          </w:p>
        </w:tc>
        <w:tc>
          <w:tcPr>
            <w:tcW w:w="1620" w:type="dxa"/>
            <w:tcBorders>
              <w:top w:val="nil"/>
              <w:left w:val="nil"/>
              <w:bottom w:val="single" w:color="000000" w:sz="8" w:space="0"/>
              <w:right w:val="single" w:color="000000" w:sz="8" w:space="0"/>
            </w:tcBorders>
            <w:vAlign w:val="center"/>
          </w:tcPr>
          <w:p w14:paraId="5F9B0425">
            <w:pPr>
              <w:keepNext w:val="0"/>
              <w:keepLines w:val="0"/>
              <w:pageBreakBefore w:val="0"/>
              <w:widowControl/>
              <w:kinsoku/>
              <w:wordWrap w:val="0"/>
              <w:overflowPunct/>
              <w:topLinePunct w:val="0"/>
              <w:autoSpaceDE/>
              <w:autoSpaceDN/>
              <w:bidi w:val="0"/>
              <w:adjustRightInd/>
              <w:snapToGrid/>
              <w:spacing w:line="500" w:lineRule="exact"/>
              <w:ind w:left="0"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冷却塔</w:t>
            </w:r>
          </w:p>
        </w:tc>
        <w:tc>
          <w:tcPr>
            <w:tcW w:w="4923" w:type="dxa"/>
            <w:tcBorders>
              <w:top w:val="nil"/>
              <w:left w:val="nil"/>
              <w:bottom w:val="single" w:color="000000" w:sz="8" w:space="0"/>
              <w:right w:val="single" w:color="000000" w:sz="8" w:space="0"/>
            </w:tcBorders>
            <w:vAlign w:val="center"/>
          </w:tcPr>
          <w:p w14:paraId="33E90B94">
            <w:pPr>
              <w:keepNext w:val="0"/>
              <w:keepLines w:val="0"/>
              <w:pageBreakBefore w:val="0"/>
              <w:widowControl/>
              <w:kinsoku/>
              <w:wordWrap w:val="0"/>
              <w:overflowPunct/>
              <w:topLinePunct w:val="0"/>
              <w:autoSpaceDE/>
              <w:autoSpaceDN/>
              <w:bidi w:val="0"/>
              <w:adjustRightInd/>
              <w:snapToGrid/>
              <w:spacing w:line="500" w:lineRule="exact"/>
              <w:ind w:left="0" w:firstLine="400"/>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《机械通风冷却塔第1部分：中小型开式冷却塔》（GB/T7190.1）；《机械通风冷却塔第2部分：大型开式冷却塔》（GB/T7190.2）</w:t>
            </w:r>
          </w:p>
        </w:tc>
      </w:tr>
      <w:tr w14:paraId="5FFB5C77">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1E3D24E4">
            <w:pPr>
              <w:keepNext w:val="0"/>
              <w:keepLines w:val="0"/>
              <w:pageBreakBefore w:val="0"/>
              <w:widowControl/>
              <w:kinsoku/>
              <w:wordWrap w:val="0"/>
              <w:overflowPunct/>
              <w:topLinePunct w:val="0"/>
              <w:autoSpaceDE/>
              <w:autoSpaceDN/>
              <w:bidi w:val="0"/>
              <w:adjustRightInd/>
              <w:snapToGrid/>
              <w:spacing w:line="500" w:lineRule="exact"/>
              <w:ind w:left="0"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7</w:t>
            </w:r>
          </w:p>
        </w:tc>
        <w:tc>
          <w:tcPr>
            <w:tcW w:w="1080" w:type="dxa"/>
            <w:tcBorders>
              <w:top w:val="nil"/>
              <w:left w:val="nil"/>
              <w:bottom w:val="single" w:color="000000" w:sz="8" w:space="0"/>
              <w:right w:val="single" w:color="000000" w:sz="8" w:space="0"/>
            </w:tcBorders>
            <w:vAlign w:val="center"/>
          </w:tcPr>
          <w:p w14:paraId="682602B4">
            <w:pPr>
              <w:keepNext w:val="0"/>
              <w:keepLines w:val="0"/>
              <w:pageBreakBefore w:val="0"/>
              <w:widowControl/>
              <w:kinsoku/>
              <w:wordWrap w:val="0"/>
              <w:overflowPunct/>
              <w:topLinePunct w:val="0"/>
              <w:autoSpaceDE/>
              <w:autoSpaceDN/>
              <w:bidi w:val="0"/>
              <w:adjustRightInd/>
              <w:snapToGrid/>
              <w:spacing w:line="500" w:lineRule="exact"/>
              <w:ind w:left="0"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A020601电机</w:t>
            </w:r>
          </w:p>
        </w:tc>
        <w:tc>
          <w:tcPr>
            <w:tcW w:w="1320" w:type="dxa"/>
            <w:tcBorders>
              <w:top w:val="nil"/>
              <w:left w:val="nil"/>
              <w:bottom w:val="single" w:color="000000" w:sz="8" w:space="0"/>
              <w:right w:val="single" w:color="000000" w:sz="8" w:space="0"/>
            </w:tcBorders>
            <w:vAlign w:val="center"/>
          </w:tcPr>
          <w:p w14:paraId="2C479424">
            <w:pPr>
              <w:keepNext w:val="0"/>
              <w:keepLines w:val="0"/>
              <w:pageBreakBefore w:val="0"/>
              <w:widowControl/>
              <w:kinsoku/>
              <w:wordWrap w:val="0"/>
              <w:overflowPunct/>
              <w:topLinePunct w:val="0"/>
              <w:autoSpaceDE/>
              <w:autoSpaceDN/>
              <w:bidi w:val="0"/>
              <w:adjustRightInd/>
              <w:snapToGrid/>
              <w:spacing w:line="500" w:lineRule="exact"/>
              <w:ind w:left="0"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vAlign w:val="center"/>
          </w:tcPr>
          <w:p w14:paraId="06AD561C">
            <w:pPr>
              <w:keepNext w:val="0"/>
              <w:keepLines w:val="0"/>
              <w:pageBreakBefore w:val="0"/>
              <w:widowControl/>
              <w:kinsoku/>
              <w:wordWrap w:val="0"/>
              <w:overflowPunct/>
              <w:topLinePunct w:val="0"/>
              <w:autoSpaceDE/>
              <w:autoSpaceDN/>
              <w:bidi w:val="0"/>
              <w:adjustRightInd/>
              <w:snapToGrid/>
              <w:spacing w:line="500" w:lineRule="exact"/>
              <w:ind w:left="0"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923" w:type="dxa"/>
            <w:tcBorders>
              <w:top w:val="nil"/>
              <w:left w:val="nil"/>
              <w:bottom w:val="single" w:color="000000" w:sz="8" w:space="0"/>
              <w:right w:val="single" w:color="000000" w:sz="8" w:space="0"/>
            </w:tcBorders>
            <w:vAlign w:val="center"/>
          </w:tcPr>
          <w:p w14:paraId="761BC033">
            <w:pPr>
              <w:keepNext w:val="0"/>
              <w:keepLines w:val="0"/>
              <w:pageBreakBefore w:val="0"/>
              <w:widowControl/>
              <w:kinsoku/>
              <w:wordWrap w:val="0"/>
              <w:overflowPunct/>
              <w:topLinePunct w:val="0"/>
              <w:autoSpaceDE/>
              <w:autoSpaceDN/>
              <w:bidi w:val="0"/>
              <w:adjustRightInd/>
              <w:snapToGrid/>
              <w:spacing w:line="500" w:lineRule="exact"/>
              <w:ind w:left="0" w:firstLine="400"/>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《中小型三相异步电动机能效限定值及能效等级》（GB18613）</w:t>
            </w:r>
          </w:p>
        </w:tc>
      </w:tr>
      <w:tr w14:paraId="65CCD3E3">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1F9D54C9">
            <w:pPr>
              <w:keepNext w:val="0"/>
              <w:keepLines w:val="0"/>
              <w:pageBreakBefore w:val="0"/>
              <w:widowControl/>
              <w:kinsoku/>
              <w:wordWrap w:val="0"/>
              <w:overflowPunct/>
              <w:topLinePunct w:val="0"/>
              <w:autoSpaceDE/>
              <w:autoSpaceDN/>
              <w:bidi w:val="0"/>
              <w:adjustRightInd/>
              <w:snapToGrid/>
              <w:spacing w:line="500" w:lineRule="exact"/>
              <w:ind w:left="0"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8</w:t>
            </w:r>
          </w:p>
        </w:tc>
        <w:tc>
          <w:tcPr>
            <w:tcW w:w="1080" w:type="dxa"/>
            <w:tcBorders>
              <w:top w:val="nil"/>
              <w:left w:val="nil"/>
              <w:bottom w:val="single" w:color="000000" w:sz="8" w:space="0"/>
              <w:right w:val="single" w:color="000000" w:sz="8" w:space="0"/>
            </w:tcBorders>
            <w:vAlign w:val="center"/>
          </w:tcPr>
          <w:p w14:paraId="4BF502AE">
            <w:pPr>
              <w:keepNext w:val="0"/>
              <w:keepLines w:val="0"/>
              <w:pageBreakBefore w:val="0"/>
              <w:widowControl/>
              <w:kinsoku/>
              <w:wordWrap w:val="0"/>
              <w:overflowPunct/>
              <w:topLinePunct w:val="0"/>
              <w:autoSpaceDE/>
              <w:autoSpaceDN/>
              <w:bidi w:val="0"/>
              <w:adjustRightInd/>
              <w:snapToGrid/>
              <w:spacing w:line="500" w:lineRule="exact"/>
              <w:ind w:left="0"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A020602变压器</w:t>
            </w:r>
          </w:p>
        </w:tc>
        <w:tc>
          <w:tcPr>
            <w:tcW w:w="1320" w:type="dxa"/>
            <w:tcBorders>
              <w:top w:val="nil"/>
              <w:left w:val="nil"/>
              <w:bottom w:val="single" w:color="000000" w:sz="8" w:space="0"/>
              <w:right w:val="single" w:color="000000" w:sz="8" w:space="0"/>
            </w:tcBorders>
            <w:vAlign w:val="center"/>
          </w:tcPr>
          <w:p w14:paraId="3AC08CB7">
            <w:pPr>
              <w:keepNext w:val="0"/>
              <w:keepLines w:val="0"/>
              <w:pageBreakBefore w:val="0"/>
              <w:widowControl/>
              <w:kinsoku/>
              <w:wordWrap w:val="0"/>
              <w:overflowPunct/>
              <w:topLinePunct w:val="0"/>
              <w:autoSpaceDE/>
              <w:autoSpaceDN/>
              <w:bidi w:val="0"/>
              <w:adjustRightInd/>
              <w:snapToGrid/>
              <w:spacing w:line="500" w:lineRule="exact"/>
              <w:ind w:left="0"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配电变压器</w:t>
            </w:r>
          </w:p>
        </w:tc>
        <w:tc>
          <w:tcPr>
            <w:tcW w:w="1620" w:type="dxa"/>
            <w:tcBorders>
              <w:top w:val="nil"/>
              <w:left w:val="nil"/>
              <w:bottom w:val="single" w:color="000000" w:sz="8" w:space="0"/>
              <w:right w:val="single" w:color="000000" w:sz="8" w:space="0"/>
            </w:tcBorders>
            <w:vAlign w:val="center"/>
          </w:tcPr>
          <w:p w14:paraId="677901F9">
            <w:pPr>
              <w:keepNext w:val="0"/>
              <w:keepLines w:val="0"/>
              <w:pageBreakBefore w:val="0"/>
              <w:widowControl/>
              <w:kinsoku/>
              <w:wordWrap w:val="0"/>
              <w:overflowPunct/>
              <w:topLinePunct w:val="0"/>
              <w:autoSpaceDE/>
              <w:autoSpaceDN/>
              <w:bidi w:val="0"/>
              <w:adjustRightInd/>
              <w:snapToGrid/>
              <w:spacing w:line="500" w:lineRule="exact"/>
              <w:ind w:left="0"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923" w:type="dxa"/>
            <w:tcBorders>
              <w:top w:val="nil"/>
              <w:left w:val="nil"/>
              <w:bottom w:val="single" w:color="000000" w:sz="8" w:space="0"/>
              <w:right w:val="single" w:color="000000" w:sz="8" w:space="0"/>
            </w:tcBorders>
            <w:vAlign w:val="center"/>
          </w:tcPr>
          <w:p w14:paraId="43A65F77">
            <w:pPr>
              <w:keepNext w:val="0"/>
              <w:keepLines w:val="0"/>
              <w:pageBreakBefore w:val="0"/>
              <w:widowControl/>
              <w:kinsoku/>
              <w:wordWrap w:val="0"/>
              <w:overflowPunct/>
              <w:topLinePunct w:val="0"/>
              <w:autoSpaceDE/>
              <w:autoSpaceDN/>
              <w:bidi w:val="0"/>
              <w:adjustRightInd/>
              <w:snapToGrid/>
              <w:spacing w:line="500" w:lineRule="exact"/>
              <w:ind w:left="0" w:firstLine="400"/>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《三相配电变压器能效限定值及能效等级》（GB20052）</w:t>
            </w:r>
          </w:p>
        </w:tc>
      </w:tr>
      <w:tr w14:paraId="3C315057">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76309C92">
            <w:pPr>
              <w:keepNext w:val="0"/>
              <w:keepLines w:val="0"/>
              <w:pageBreakBefore w:val="0"/>
              <w:widowControl/>
              <w:kinsoku/>
              <w:wordWrap w:val="0"/>
              <w:overflowPunct/>
              <w:topLinePunct w:val="0"/>
              <w:autoSpaceDE/>
              <w:autoSpaceDN/>
              <w:bidi w:val="0"/>
              <w:adjustRightInd/>
              <w:snapToGrid/>
              <w:spacing w:line="500" w:lineRule="exact"/>
              <w:ind w:left="0"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9</w:t>
            </w:r>
          </w:p>
        </w:tc>
        <w:tc>
          <w:tcPr>
            <w:tcW w:w="1080" w:type="dxa"/>
            <w:tcBorders>
              <w:top w:val="nil"/>
              <w:left w:val="nil"/>
              <w:bottom w:val="single" w:color="000000" w:sz="8" w:space="0"/>
              <w:right w:val="single" w:color="000000" w:sz="8" w:space="0"/>
            </w:tcBorders>
            <w:vAlign w:val="center"/>
          </w:tcPr>
          <w:p w14:paraId="6BB74DE5">
            <w:pPr>
              <w:keepNext w:val="0"/>
              <w:keepLines w:val="0"/>
              <w:pageBreakBefore w:val="0"/>
              <w:widowControl/>
              <w:kinsoku/>
              <w:wordWrap w:val="0"/>
              <w:overflowPunct/>
              <w:topLinePunct w:val="0"/>
              <w:autoSpaceDE/>
              <w:autoSpaceDN/>
              <w:bidi w:val="0"/>
              <w:adjustRightInd/>
              <w:snapToGrid/>
              <w:spacing w:line="500" w:lineRule="exact"/>
              <w:ind w:left="0"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★A020609镇流器</w:t>
            </w:r>
          </w:p>
        </w:tc>
        <w:tc>
          <w:tcPr>
            <w:tcW w:w="1320" w:type="dxa"/>
            <w:tcBorders>
              <w:top w:val="nil"/>
              <w:left w:val="nil"/>
              <w:bottom w:val="single" w:color="000000" w:sz="8" w:space="0"/>
              <w:right w:val="single" w:color="000000" w:sz="8" w:space="0"/>
            </w:tcBorders>
            <w:vAlign w:val="center"/>
          </w:tcPr>
          <w:p w14:paraId="1D2D36E9">
            <w:pPr>
              <w:keepNext w:val="0"/>
              <w:keepLines w:val="0"/>
              <w:pageBreakBefore w:val="0"/>
              <w:widowControl/>
              <w:kinsoku/>
              <w:wordWrap w:val="0"/>
              <w:overflowPunct/>
              <w:topLinePunct w:val="0"/>
              <w:autoSpaceDE/>
              <w:autoSpaceDN/>
              <w:bidi w:val="0"/>
              <w:adjustRightInd/>
              <w:snapToGrid/>
              <w:spacing w:line="500" w:lineRule="exact"/>
              <w:ind w:left="0"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管型荧光灯镇流器</w:t>
            </w:r>
          </w:p>
        </w:tc>
        <w:tc>
          <w:tcPr>
            <w:tcW w:w="1620" w:type="dxa"/>
            <w:tcBorders>
              <w:top w:val="nil"/>
              <w:left w:val="nil"/>
              <w:bottom w:val="single" w:color="000000" w:sz="8" w:space="0"/>
              <w:right w:val="single" w:color="000000" w:sz="8" w:space="0"/>
            </w:tcBorders>
            <w:vAlign w:val="center"/>
          </w:tcPr>
          <w:p w14:paraId="75C0C8D9">
            <w:pPr>
              <w:keepNext w:val="0"/>
              <w:keepLines w:val="0"/>
              <w:pageBreakBefore w:val="0"/>
              <w:widowControl/>
              <w:kinsoku/>
              <w:wordWrap w:val="0"/>
              <w:overflowPunct/>
              <w:topLinePunct w:val="0"/>
              <w:autoSpaceDE/>
              <w:autoSpaceDN/>
              <w:bidi w:val="0"/>
              <w:adjustRightInd/>
              <w:snapToGrid/>
              <w:spacing w:line="500" w:lineRule="exact"/>
              <w:ind w:left="0"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923" w:type="dxa"/>
            <w:tcBorders>
              <w:top w:val="nil"/>
              <w:left w:val="nil"/>
              <w:bottom w:val="single" w:color="000000" w:sz="8" w:space="0"/>
              <w:right w:val="single" w:color="000000" w:sz="8" w:space="0"/>
            </w:tcBorders>
            <w:vAlign w:val="center"/>
          </w:tcPr>
          <w:p w14:paraId="6BBC0041">
            <w:pPr>
              <w:keepNext w:val="0"/>
              <w:keepLines w:val="0"/>
              <w:pageBreakBefore w:val="0"/>
              <w:widowControl/>
              <w:kinsoku/>
              <w:wordWrap w:val="0"/>
              <w:overflowPunct/>
              <w:topLinePunct w:val="0"/>
              <w:autoSpaceDE/>
              <w:autoSpaceDN/>
              <w:bidi w:val="0"/>
              <w:adjustRightInd/>
              <w:snapToGrid/>
              <w:spacing w:line="500" w:lineRule="exact"/>
              <w:ind w:left="0" w:firstLine="400"/>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《管形荧光灯镇流器能效限定值及能效等级》（GB17896）</w:t>
            </w:r>
          </w:p>
        </w:tc>
      </w:tr>
      <w:tr w14:paraId="5410740B">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vAlign w:val="center"/>
          </w:tcPr>
          <w:p w14:paraId="4B07EF21">
            <w:pPr>
              <w:keepNext w:val="0"/>
              <w:keepLines w:val="0"/>
              <w:pageBreakBefore w:val="0"/>
              <w:widowControl/>
              <w:kinsoku/>
              <w:wordWrap w:val="0"/>
              <w:overflowPunct/>
              <w:topLinePunct w:val="0"/>
              <w:autoSpaceDE/>
              <w:autoSpaceDN/>
              <w:bidi w:val="0"/>
              <w:adjustRightInd/>
              <w:snapToGrid/>
              <w:spacing w:line="500" w:lineRule="exact"/>
              <w:ind w:left="0"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10</w:t>
            </w:r>
          </w:p>
        </w:tc>
        <w:tc>
          <w:tcPr>
            <w:tcW w:w="1080" w:type="dxa"/>
            <w:vMerge w:val="restart"/>
            <w:tcBorders>
              <w:top w:val="nil"/>
              <w:left w:val="single" w:color="000000" w:sz="8" w:space="0"/>
              <w:bottom w:val="single" w:color="000000" w:sz="8" w:space="0"/>
              <w:right w:val="single" w:color="000000" w:sz="8" w:space="0"/>
            </w:tcBorders>
            <w:vAlign w:val="center"/>
          </w:tcPr>
          <w:p w14:paraId="7C18E570">
            <w:pPr>
              <w:keepNext w:val="0"/>
              <w:keepLines w:val="0"/>
              <w:pageBreakBefore w:val="0"/>
              <w:widowControl/>
              <w:kinsoku/>
              <w:wordWrap w:val="0"/>
              <w:overflowPunct/>
              <w:topLinePunct w:val="0"/>
              <w:autoSpaceDE/>
              <w:autoSpaceDN/>
              <w:bidi w:val="0"/>
              <w:adjustRightInd/>
              <w:snapToGrid/>
              <w:spacing w:line="500" w:lineRule="exact"/>
              <w:ind w:left="0"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A020618生活用电器</w:t>
            </w:r>
          </w:p>
        </w:tc>
        <w:tc>
          <w:tcPr>
            <w:tcW w:w="1320" w:type="dxa"/>
            <w:tcBorders>
              <w:top w:val="nil"/>
              <w:left w:val="nil"/>
              <w:bottom w:val="single" w:color="000000" w:sz="8" w:space="0"/>
              <w:right w:val="single" w:color="000000" w:sz="8" w:space="0"/>
            </w:tcBorders>
            <w:vAlign w:val="center"/>
          </w:tcPr>
          <w:p w14:paraId="0A357F06">
            <w:pPr>
              <w:keepNext w:val="0"/>
              <w:keepLines w:val="0"/>
              <w:pageBreakBefore w:val="0"/>
              <w:widowControl/>
              <w:kinsoku/>
              <w:wordWrap w:val="0"/>
              <w:overflowPunct/>
              <w:topLinePunct w:val="0"/>
              <w:autoSpaceDE/>
              <w:autoSpaceDN/>
              <w:bidi w:val="0"/>
              <w:adjustRightInd/>
              <w:snapToGrid/>
              <w:spacing w:line="500" w:lineRule="exact"/>
              <w:ind w:left="0"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A0206180101电冰箱</w:t>
            </w:r>
          </w:p>
        </w:tc>
        <w:tc>
          <w:tcPr>
            <w:tcW w:w="1620" w:type="dxa"/>
            <w:tcBorders>
              <w:top w:val="nil"/>
              <w:left w:val="nil"/>
              <w:bottom w:val="single" w:color="000000" w:sz="8" w:space="0"/>
              <w:right w:val="single" w:color="000000" w:sz="8" w:space="0"/>
            </w:tcBorders>
            <w:vAlign w:val="center"/>
          </w:tcPr>
          <w:p w14:paraId="1FFC17A0">
            <w:pPr>
              <w:keepNext w:val="0"/>
              <w:keepLines w:val="0"/>
              <w:pageBreakBefore w:val="0"/>
              <w:widowControl/>
              <w:kinsoku/>
              <w:wordWrap w:val="0"/>
              <w:overflowPunct/>
              <w:topLinePunct w:val="0"/>
              <w:autoSpaceDE/>
              <w:autoSpaceDN/>
              <w:bidi w:val="0"/>
              <w:adjustRightInd/>
              <w:snapToGrid/>
              <w:spacing w:line="500" w:lineRule="exact"/>
              <w:ind w:left="0"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923" w:type="dxa"/>
            <w:tcBorders>
              <w:top w:val="nil"/>
              <w:left w:val="nil"/>
              <w:bottom w:val="single" w:color="000000" w:sz="8" w:space="0"/>
              <w:right w:val="single" w:color="000000" w:sz="8" w:space="0"/>
            </w:tcBorders>
            <w:vAlign w:val="center"/>
          </w:tcPr>
          <w:p w14:paraId="3FF57010">
            <w:pPr>
              <w:keepNext w:val="0"/>
              <w:keepLines w:val="0"/>
              <w:pageBreakBefore w:val="0"/>
              <w:widowControl/>
              <w:kinsoku/>
              <w:wordWrap w:val="0"/>
              <w:overflowPunct/>
              <w:topLinePunct w:val="0"/>
              <w:autoSpaceDE/>
              <w:autoSpaceDN/>
              <w:bidi w:val="0"/>
              <w:adjustRightInd/>
              <w:snapToGrid/>
              <w:spacing w:line="500" w:lineRule="exact"/>
              <w:ind w:left="0" w:firstLine="400"/>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《家用电冰箱耗电量限定值及能效等级》（GB 12021.2）</w:t>
            </w:r>
          </w:p>
        </w:tc>
      </w:tr>
      <w:tr w14:paraId="54A4ADAC">
        <w:tblPrEx>
          <w:tblCellMar>
            <w:top w:w="0" w:type="dxa"/>
            <w:left w:w="108" w:type="dxa"/>
            <w:bottom w:w="0" w:type="dxa"/>
            <w:right w:w="108" w:type="dxa"/>
          </w:tblCellMar>
        </w:tblPrEx>
        <w:trPr>
          <w:trHeight w:val="975" w:hRule="atLeast"/>
        </w:trPr>
        <w:tc>
          <w:tcPr>
            <w:tcW w:w="660" w:type="dxa"/>
            <w:vMerge w:val="continue"/>
            <w:tcBorders>
              <w:top w:val="nil"/>
              <w:left w:val="single" w:color="000000" w:sz="8" w:space="0"/>
              <w:bottom w:val="single" w:color="000000" w:sz="8" w:space="0"/>
              <w:right w:val="single" w:color="000000" w:sz="8" w:space="0"/>
            </w:tcBorders>
            <w:vAlign w:val="center"/>
          </w:tcPr>
          <w:p w14:paraId="47E38B1F">
            <w:pPr>
              <w:keepNext w:val="0"/>
              <w:keepLines w:val="0"/>
              <w:pageBreakBefore w:val="0"/>
              <w:widowControl/>
              <w:kinsoku/>
              <w:wordWrap w:val="0"/>
              <w:overflowPunct/>
              <w:topLinePunct w:val="0"/>
              <w:autoSpaceDE/>
              <w:autoSpaceDN/>
              <w:bidi w:val="0"/>
              <w:adjustRightInd/>
              <w:snapToGrid/>
              <w:spacing w:line="500" w:lineRule="exact"/>
              <w:ind w:left="0" w:firstLine="400"/>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1FE81175">
            <w:pPr>
              <w:keepNext w:val="0"/>
              <w:keepLines w:val="0"/>
              <w:pageBreakBefore w:val="0"/>
              <w:widowControl/>
              <w:kinsoku/>
              <w:wordWrap w:val="0"/>
              <w:overflowPunct/>
              <w:topLinePunct w:val="0"/>
              <w:autoSpaceDE/>
              <w:autoSpaceDN/>
              <w:bidi w:val="0"/>
              <w:adjustRightInd/>
              <w:snapToGrid/>
              <w:spacing w:line="500" w:lineRule="exact"/>
              <w:ind w:left="0" w:firstLine="400"/>
              <w:jc w:val="left"/>
              <w:rPr>
                <w:rFonts w:ascii="宋体" w:hAnsi="宋体" w:cs="宋体"/>
                <w:color w:val="auto"/>
                <w:kern w:val="0"/>
                <w:sz w:val="20"/>
                <w:szCs w:val="20"/>
                <w:highlight w:val="none"/>
              </w:rPr>
            </w:pPr>
          </w:p>
        </w:tc>
        <w:tc>
          <w:tcPr>
            <w:tcW w:w="1320" w:type="dxa"/>
            <w:vMerge w:val="restart"/>
            <w:tcBorders>
              <w:top w:val="nil"/>
              <w:left w:val="single" w:color="000000" w:sz="8" w:space="0"/>
              <w:bottom w:val="single" w:color="000000" w:sz="8" w:space="0"/>
              <w:right w:val="single" w:color="000000" w:sz="8" w:space="0"/>
            </w:tcBorders>
            <w:vAlign w:val="center"/>
          </w:tcPr>
          <w:p w14:paraId="06CEB94F">
            <w:pPr>
              <w:keepNext w:val="0"/>
              <w:keepLines w:val="0"/>
              <w:pageBreakBefore w:val="0"/>
              <w:widowControl/>
              <w:kinsoku/>
              <w:wordWrap w:val="0"/>
              <w:overflowPunct/>
              <w:topLinePunct w:val="0"/>
              <w:autoSpaceDE/>
              <w:autoSpaceDN/>
              <w:bidi w:val="0"/>
              <w:adjustRightInd/>
              <w:snapToGrid/>
              <w:spacing w:line="500" w:lineRule="exact"/>
              <w:ind w:left="0"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★A0206180203空调机</w:t>
            </w:r>
          </w:p>
        </w:tc>
        <w:tc>
          <w:tcPr>
            <w:tcW w:w="1620" w:type="dxa"/>
            <w:tcBorders>
              <w:top w:val="nil"/>
              <w:left w:val="nil"/>
              <w:bottom w:val="single" w:color="000000" w:sz="8" w:space="0"/>
              <w:right w:val="single" w:color="000000" w:sz="8" w:space="0"/>
            </w:tcBorders>
            <w:vAlign w:val="center"/>
          </w:tcPr>
          <w:p w14:paraId="2763FE23">
            <w:pPr>
              <w:keepNext w:val="0"/>
              <w:keepLines w:val="0"/>
              <w:pageBreakBefore w:val="0"/>
              <w:widowControl/>
              <w:kinsoku/>
              <w:wordWrap w:val="0"/>
              <w:overflowPunct/>
              <w:topLinePunct w:val="0"/>
              <w:autoSpaceDE/>
              <w:autoSpaceDN/>
              <w:bidi w:val="0"/>
              <w:adjustRightInd/>
              <w:snapToGrid/>
              <w:spacing w:line="500" w:lineRule="exact"/>
              <w:ind w:left="0"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房间空气调节器</w:t>
            </w:r>
          </w:p>
        </w:tc>
        <w:tc>
          <w:tcPr>
            <w:tcW w:w="4923" w:type="dxa"/>
            <w:tcBorders>
              <w:top w:val="nil"/>
              <w:left w:val="nil"/>
              <w:bottom w:val="single" w:color="000000" w:sz="8" w:space="0"/>
              <w:right w:val="single" w:color="000000" w:sz="8" w:space="0"/>
            </w:tcBorders>
            <w:vAlign w:val="center"/>
          </w:tcPr>
          <w:p w14:paraId="3FC402AA">
            <w:pPr>
              <w:keepNext w:val="0"/>
              <w:keepLines w:val="0"/>
              <w:pageBreakBefore w:val="0"/>
              <w:widowControl/>
              <w:kinsoku/>
              <w:wordWrap w:val="0"/>
              <w:overflowPunct/>
              <w:topLinePunct w:val="0"/>
              <w:autoSpaceDE/>
              <w:autoSpaceDN/>
              <w:bidi w:val="0"/>
              <w:adjustRightInd/>
              <w:snapToGrid/>
              <w:spacing w:line="500" w:lineRule="exact"/>
              <w:ind w:left="0" w:firstLine="400"/>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《转速可控型房间空气调节器能效限定值及能效等级》（GB21455-2013），待2019年修订发布后，按《房间空气调节器能效限定值及能效等级》（GB21455-2019实施。</w:t>
            </w:r>
          </w:p>
        </w:tc>
      </w:tr>
      <w:tr w14:paraId="1C901EE8">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vAlign w:val="center"/>
          </w:tcPr>
          <w:p w14:paraId="5EC5458C">
            <w:pPr>
              <w:keepNext w:val="0"/>
              <w:keepLines w:val="0"/>
              <w:pageBreakBefore w:val="0"/>
              <w:widowControl/>
              <w:kinsoku/>
              <w:wordWrap w:val="0"/>
              <w:overflowPunct/>
              <w:topLinePunct w:val="0"/>
              <w:autoSpaceDE/>
              <w:autoSpaceDN/>
              <w:bidi w:val="0"/>
              <w:adjustRightInd/>
              <w:snapToGrid/>
              <w:spacing w:line="500" w:lineRule="exact"/>
              <w:ind w:left="0" w:firstLine="400"/>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0A1D7494">
            <w:pPr>
              <w:keepNext w:val="0"/>
              <w:keepLines w:val="0"/>
              <w:pageBreakBefore w:val="0"/>
              <w:widowControl/>
              <w:kinsoku/>
              <w:wordWrap w:val="0"/>
              <w:overflowPunct/>
              <w:topLinePunct w:val="0"/>
              <w:autoSpaceDE/>
              <w:autoSpaceDN/>
              <w:bidi w:val="0"/>
              <w:adjustRightInd/>
              <w:snapToGrid/>
              <w:spacing w:line="500" w:lineRule="exact"/>
              <w:ind w:left="0" w:firstLine="400"/>
              <w:jc w:val="left"/>
              <w:rPr>
                <w:rFonts w:ascii="宋体" w:hAnsi="宋体" w:cs="宋体"/>
                <w:color w:val="auto"/>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vAlign w:val="center"/>
          </w:tcPr>
          <w:p w14:paraId="2F34F976">
            <w:pPr>
              <w:keepNext w:val="0"/>
              <w:keepLines w:val="0"/>
              <w:pageBreakBefore w:val="0"/>
              <w:widowControl/>
              <w:kinsoku/>
              <w:wordWrap w:val="0"/>
              <w:overflowPunct/>
              <w:topLinePunct w:val="0"/>
              <w:autoSpaceDE/>
              <w:autoSpaceDN/>
              <w:bidi w:val="0"/>
              <w:adjustRightInd/>
              <w:snapToGrid/>
              <w:spacing w:line="500" w:lineRule="exact"/>
              <w:ind w:left="0" w:firstLine="400"/>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7F436841">
            <w:pPr>
              <w:keepNext w:val="0"/>
              <w:keepLines w:val="0"/>
              <w:pageBreakBefore w:val="0"/>
              <w:widowControl/>
              <w:kinsoku/>
              <w:wordWrap w:val="0"/>
              <w:overflowPunct/>
              <w:topLinePunct w:val="0"/>
              <w:autoSpaceDE/>
              <w:autoSpaceDN/>
              <w:bidi w:val="0"/>
              <w:adjustRightInd/>
              <w:snapToGrid/>
              <w:spacing w:line="500" w:lineRule="exact"/>
              <w:ind w:left="0"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多联式空调（热泵）机组（制冷量≤ 14000W）</w:t>
            </w:r>
          </w:p>
        </w:tc>
        <w:tc>
          <w:tcPr>
            <w:tcW w:w="4923" w:type="dxa"/>
            <w:tcBorders>
              <w:top w:val="nil"/>
              <w:left w:val="nil"/>
              <w:bottom w:val="single" w:color="000000" w:sz="8" w:space="0"/>
              <w:right w:val="single" w:color="000000" w:sz="8" w:space="0"/>
            </w:tcBorders>
            <w:vAlign w:val="center"/>
          </w:tcPr>
          <w:p w14:paraId="45D75C48">
            <w:pPr>
              <w:keepNext w:val="0"/>
              <w:keepLines w:val="0"/>
              <w:pageBreakBefore w:val="0"/>
              <w:widowControl/>
              <w:kinsoku/>
              <w:wordWrap w:val="0"/>
              <w:overflowPunct/>
              <w:topLinePunct w:val="0"/>
              <w:autoSpaceDE/>
              <w:autoSpaceDN/>
              <w:bidi w:val="0"/>
              <w:adjustRightInd/>
              <w:snapToGrid/>
              <w:spacing w:line="500" w:lineRule="exact"/>
              <w:ind w:left="0" w:firstLine="400"/>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《多联式空调（热泵）机组能效限定值及能源效率等级》（GB21454）</w:t>
            </w:r>
          </w:p>
        </w:tc>
      </w:tr>
      <w:tr w14:paraId="12D5186B">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vAlign w:val="center"/>
          </w:tcPr>
          <w:p w14:paraId="3EE5AE8E">
            <w:pPr>
              <w:keepNext w:val="0"/>
              <w:keepLines w:val="0"/>
              <w:pageBreakBefore w:val="0"/>
              <w:widowControl/>
              <w:kinsoku/>
              <w:wordWrap w:val="0"/>
              <w:overflowPunct/>
              <w:topLinePunct w:val="0"/>
              <w:autoSpaceDE/>
              <w:autoSpaceDN/>
              <w:bidi w:val="0"/>
              <w:adjustRightInd/>
              <w:snapToGrid/>
              <w:spacing w:line="500" w:lineRule="exact"/>
              <w:ind w:left="0" w:firstLine="400"/>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761548C6">
            <w:pPr>
              <w:keepNext w:val="0"/>
              <w:keepLines w:val="0"/>
              <w:pageBreakBefore w:val="0"/>
              <w:widowControl/>
              <w:kinsoku/>
              <w:wordWrap w:val="0"/>
              <w:overflowPunct/>
              <w:topLinePunct w:val="0"/>
              <w:autoSpaceDE/>
              <w:autoSpaceDN/>
              <w:bidi w:val="0"/>
              <w:adjustRightInd/>
              <w:snapToGrid/>
              <w:spacing w:line="500" w:lineRule="exact"/>
              <w:ind w:left="0" w:firstLine="400"/>
              <w:jc w:val="left"/>
              <w:rPr>
                <w:rFonts w:ascii="宋体" w:hAnsi="宋体" w:cs="宋体"/>
                <w:color w:val="auto"/>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vAlign w:val="center"/>
          </w:tcPr>
          <w:p w14:paraId="21AAC6FD">
            <w:pPr>
              <w:keepNext w:val="0"/>
              <w:keepLines w:val="0"/>
              <w:pageBreakBefore w:val="0"/>
              <w:widowControl/>
              <w:kinsoku/>
              <w:wordWrap w:val="0"/>
              <w:overflowPunct/>
              <w:topLinePunct w:val="0"/>
              <w:autoSpaceDE/>
              <w:autoSpaceDN/>
              <w:bidi w:val="0"/>
              <w:adjustRightInd/>
              <w:snapToGrid/>
              <w:spacing w:line="500" w:lineRule="exact"/>
              <w:ind w:left="0" w:firstLine="400"/>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1F1EF8C6">
            <w:pPr>
              <w:keepNext w:val="0"/>
              <w:keepLines w:val="0"/>
              <w:pageBreakBefore w:val="0"/>
              <w:widowControl/>
              <w:kinsoku/>
              <w:wordWrap w:val="0"/>
              <w:overflowPunct/>
              <w:topLinePunct w:val="0"/>
              <w:autoSpaceDE/>
              <w:autoSpaceDN/>
              <w:bidi w:val="0"/>
              <w:adjustRightInd/>
              <w:snapToGrid/>
              <w:spacing w:line="500" w:lineRule="exact"/>
              <w:ind w:left="0"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单元式空气调节机(制冷量≤14000W)</w:t>
            </w:r>
          </w:p>
        </w:tc>
        <w:tc>
          <w:tcPr>
            <w:tcW w:w="4923" w:type="dxa"/>
            <w:tcBorders>
              <w:top w:val="nil"/>
              <w:left w:val="nil"/>
              <w:bottom w:val="single" w:color="000000" w:sz="8" w:space="0"/>
              <w:right w:val="single" w:color="000000" w:sz="8" w:space="0"/>
            </w:tcBorders>
            <w:vAlign w:val="center"/>
          </w:tcPr>
          <w:p w14:paraId="1A7FB673">
            <w:pPr>
              <w:keepNext w:val="0"/>
              <w:keepLines w:val="0"/>
              <w:pageBreakBefore w:val="0"/>
              <w:widowControl/>
              <w:kinsoku/>
              <w:wordWrap w:val="0"/>
              <w:overflowPunct/>
              <w:topLinePunct w:val="0"/>
              <w:autoSpaceDE/>
              <w:autoSpaceDN/>
              <w:bidi w:val="0"/>
              <w:adjustRightInd/>
              <w:snapToGrid/>
              <w:spacing w:line="500" w:lineRule="exact"/>
              <w:ind w:left="0" w:firstLine="400"/>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《单元式空气调节机能效限定值及能源效率等级》（GB19576）《风管送风式空调机组能效限定值及能效等级》（GB37479）</w:t>
            </w:r>
          </w:p>
        </w:tc>
      </w:tr>
      <w:tr w14:paraId="57274E36">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7E9986AA">
            <w:pPr>
              <w:keepNext w:val="0"/>
              <w:keepLines w:val="0"/>
              <w:pageBreakBefore w:val="0"/>
              <w:widowControl/>
              <w:kinsoku/>
              <w:wordWrap w:val="0"/>
              <w:overflowPunct/>
              <w:topLinePunct w:val="0"/>
              <w:autoSpaceDE/>
              <w:autoSpaceDN/>
              <w:bidi w:val="0"/>
              <w:adjustRightInd/>
              <w:snapToGrid/>
              <w:spacing w:line="500" w:lineRule="exact"/>
              <w:ind w:left="0" w:firstLine="400"/>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414F471E">
            <w:pPr>
              <w:keepNext w:val="0"/>
              <w:keepLines w:val="0"/>
              <w:pageBreakBefore w:val="0"/>
              <w:widowControl/>
              <w:kinsoku/>
              <w:wordWrap w:val="0"/>
              <w:overflowPunct/>
              <w:topLinePunct w:val="0"/>
              <w:autoSpaceDE/>
              <w:autoSpaceDN/>
              <w:bidi w:val="0"/>
              <w:adjustRightInd/>
              <w:snapToGrid/>
              <w:spacing w:line="500" w:lineRule="exact"/>
              <w:ind w:left="0" w:firstLine="400"/>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4A41B2F8">
            <w:pPr>
              <w:keepNext w:val="0"/>
              <w:keepLines w:val="0"/>
              <w:pageBreakBefore w:val="0"/>
              <w:widowControl/>
              <w:kinsoku/>
              <w:wordWrap w:val="0"/>
              <w:overflowPunct/>
              <w:topLinePunct w:val="0"/>
              <w:autoSpaceDE/>
              <w:autoSpaceDN/>
              <w:bidi w:val="0"/>
              <w:adjustRightInd/>
              <w:snapToGrid/>
              <w:spacing w:line="500" w:lineRule="exact"/>
              <w:ind w:left="0"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A0206180301洗衣机</w:t>
            </w:r>
          </w:p>
        </w:tc>
        <w:tc>
          <w:tcPr>
            <w:tcW w:w="1620" w:type="dxa"/>
            <w:tcBorders>
              <w:top w:val="nil"/>
              <w:left w:val="nil"/>
              <w:bottom w:val="single" w:color="000000" w:sz="8" w:space="0"/>
              <w:right w:val="single" w:color="000000" w:sz="8" w:space="0"/>
            </w:tcBorders>
            <w:vAlign w:val="center"/>
          </w:tcPr>
          <w:p w14:paraId="63D9F571">
            <w:pPr>
              <w:keepNext w:val="0"/>
              <w:keepLines w:val="0"/>
              <w:pageBreakBefore w:val="0"/>
              <w:widowControl/>
              <w:kinsoku/>
              <w:wordWrap w:val="0"/>
              <w:overflowPunct/>
              <w:topLinePunct w:val="0"/>
              <w:autoSpaceDE/>
              <w:autoSpaceDN/>
              <w:bidi w:val="0"/>
              <w:adjustRightInd/>
              <w:snapToGrid/>
              <w:spacing w:line="500" w:lineRule="exact"/>
              <w:ind w:left="0"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923" w:type="dxa"/>
            <w:tcBorders>
              <w:top w:val="nil"/>
              <w:left w:val="nil"/>
              <w:bottom w:val="single" w:color="000000" w:sz="8" w:space="0"/>
              <w:right w:val="single" w:color="000000" w:sz="8" w:space="0"/>
            </w:tcBorders>
            <w:vAlign w:val="center"/>
          </w:tcPr>
          <w:p w14:paraId="0EC9FC64">
            <w:pPr>
              <w:keepNext w:val="0"/>
              <w:keepLines w:val="0"/>
              <w:pageBreakBefore w:val="0"/>
              <w:widowControl/>
              <w:kinsoku/>
              <w:wordWrap w:val="0"/>
              <w:overflowPunct/>
              <w:topLinePunct w:val="0"/>
              <w:autoSpaceDE/>
              <w:autoSpaceDN/>
              <w:bidi w:val="0"/>
              <w:adjustRightInd/>
              <w:snapToGrid/>
              <w:spacing w:line="500" w:lineRule="exact"/>
              <w:ind w:left="0" w:firstLine="400"/>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《电动洗衣机能效水效限定值及等级》（GB12021.4）</w:t>
            </w:r>
          </w:p>
        </w:tc>
      </w:tr>
      <w:tr w14:paraId="2F01CAD5">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65552097">
            <w:pPr>
              <w:keepNext w:val="0"/>
              <w:keepLines w:val="0"/>
              <w:pageBreakBefore w:val="0"/>
              <w:widowControl/>
              <w:kinsoku/>
              <w:wordWrap w:val="0"/>
              <w:overflowPunct/>
              <w:topLinePunct w:val="0"/>
              <w:autoSpaceDE/>
              <w:autoSpaceDN/>
              <w:bidi w:val="0"/>
              <w:adjustRightInd/>
              <w:snapToGrid/>
              <w:spacing w:line="500" w:lineRule="exact"/>
              <w:ind w:left="0" w:firstLine="400"/>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218B665C">
            <w:pPr>
              <w:keepNext w:val="0"/>
              <w:keepLines w:val="0"/>
              <w:pageBreakBefore w:val="0"/>
              <w:widowControl/>
              <w:kinsoku/>
              <w:wordWrap w:val="0"/>
              <w:overflowPunct/>
              <w:topLinePunct w:val="0"/>
              <w:autoSpaceDE/>
              <w:autoSpaceDN/>
              <w:bidi w:val="0"/>
              <w:adjustRightInd/>
              <w:snapToGrid/>
              <w:spacing w:line="500" w:lineRule="exact"/>
              <w:ind w:left="0" w:firstLine="400"/>
              <w:jc w:val="left"/>
              <w:rPr>
                <w:rFonts w:ascii="宋体" w:hAnsi="宋体" w:cs="宋体"/>
                <w:color w:val="auto"/>
                <w:kern w:val="0"/>
                <w:sz w:val="20"/>
                <w:szCs w:val="20"/>
                <w:highlight w:val="none"/>
              </w:rPr>
            </w:pPr>
          </w:p>
        </w:tc>
        <w:tc>
          <w:tcPr>
            <w:tcW w:w="1320" w:type="dxa"/>
            <w:vMerge w:val="restart"/>
            <w:tcBorders>
              <w:top w:val="nil"/>
              <w:left w:val="single" w:color="000000" w:sz="8" w:space="0"/>
              <w:bottom w:val="single" w:color="000000" w:sz="8" w:space="0"/>
              <w:right w:val="single" w:color="000000" w:sz="8" w:space="0"/>
            </w:tcBorders>
            <w:vAlign w:val="center"/>
          </w:tcPr>
          <w:p w14:paraId="412B2F4E">
            <w:pPr>
              <w:keepNext w:val="0"/>
              <w:keepLines w:val="0"/>
              <w:pageBreakBefore w:val="0"/>
              <w:widowControl/>
              <w:kinsoku/>
              <w:wordWrap w:val="0"/>
              <w:overflowPunct/>
              <w:topLinePunct w:val="0"/>
              <w:autoSpaceDE/>
              <w:autoSpaceDN/>
              <w:bidi w:val="0"/>
              <w:adjustRightInd/>
              <w:snapToGrid/>
              <w:spacing w:line="500" w:lineRule="exact"/>
              <w:ind w:left="0"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A02061808热水器</w:t>
            </w:r>
          </w:p>
        </w:tc>
        <w:tc>
          <w:tcPr>
            <w:tcW w:w="1620" w:type="dxa"/>
            <w:tcBorders>
              <w:top w:val="nil"/>
              <w:left w:val="nil"/>
              <w:bottom w:val="single" w:color="000000" w:sz="8" w:space="0"/>
              <w:right w:val="single" w:color="000000" w:sz="8" w:space="0"/>
            </w:tcBorders>
            <w:vAlign w:val="center"/>
          </w:tcPr>
          <w:p w14:paraId="381B4BB6">
            <w:pPr>
              <w:keepNext w:val="0"/>
              <w:keepLines w:val="0"/>
              <w:pageBreakBefore w:val="0"/>
              <w:widowControl/>
              <w:kinsoku/>
              <w:wordWrap w:val="0"/>
              <w:overflowPunct/>
              <w:topLinePunct w:val="0"/>
              <w:autoSpaceDE/>
              <w:autoSpaceDN/>
              <w:bidi w:val="0"/>
              <w:adjustRightInd/>
              <w:snapToGrid/>
              <w:spacing w:line="500" w:lineRule="exact"/>
              <w:ind w:left="0"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★电热水器</w:t>
            </w:r>
          </w:p>
        </w:tc>
        <w:tc>
          <w:tcPr>
            <w:tcW w:w="4923" w:type="dxa"/>
            <w:tcBorders>
              <w:top w:val="nil"/>
              <w:left w:val="nil"/>
              <w:bottom w:val="single" w:color="000000" w:sz="8" w:space="0"/>
              <w:right w:val="single" w:color="000000" w:sz="8" w:space="0"/>
            </w:tcBorders>
            <w:vAlign w:val="center"/>
          </w:tcPr>
          <w:p w14:paraId="266C0641">
            <w:pPr>
              <w:keepNext w:val="0"/>
              <w:keepLines w:val="0"/>
              <w:pageBreakBefore w:val="0"/>
              <w:widowControl/>
              <w:kinsoku/>
              <w:wordWrap w:val="0"/>
              <w:overflowPunct/>
              <w:topLinePunct w:val="0"/>
              <w:autoSpaceDE/>
              <w:autoSpaceDN/>
              <w:bidi w:val="0"/>
              <w:adjustRightInd/>
              <w:snapToGrid/>
              <w:spacing w:line="500" w:lineRule="exact"/>
              <w:ind w:left="0" w:firstLine="400"/>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《储水式电热水器能效限定值及能效等级》（GB21519）</w:t>
            </w:r>
          </w:p>
        </w:tc>
      </w:tr>
      <w:tr w14:paraId="08C52976">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418CB653">
            <w:pPr>
              <w:keepNext w:val="0"/>
              <w:keepLines w:val="0"/>
              <w:pageBreakBefore w:val="0"/>
              <w:widowControl/>
              <w:kinsoku/>
              <w:wordWrap w:val="0"/>
              <w:overflowPunct/>
              <w:topLinePunct w:val="0"/>
              <w:autoSpaceDE/>
              <w:autoSpaceDN/>
              <w:bidi w:val="0"/>
              <w:adjustRightInd/>
              <w:snapToGrid/>
              <w:spacing w:line="500" w:lineRule="exact"/>
              <w:ind w:left="0" w:firstLine="400"/>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09270013">
            <w:pPr>
              <w:keepNext w:val="0"/>
              <w:keepLines w:val="0"/>
              <w:pageBreakBefore w:val="0"/>
              <w:widowControl/>
              <w:kinsoku/>
              <w:wordWrap w:val="0"/>
              <w:overflowPunct/>
              <w:topLinePunct w:val="0"/>
              <w:autoSpaceDE/>
              <w:autoSpaceDN/>
              <w:bidi w:val="0"/>
              <w:adjustRightInd/>
              <w:snapToGrid/>
              <w:spacing w:line="500" w:lineRule="exact"/>
              <w:ind w:left="0" w:firstLine="400"/>
              <w:jc w:val="left"/>
              <w:rPr>
                <w:rFonts w:ascii="宋体" w:hAnsi="宋体" w:cs="宋体"/>
                <w:color w:val="auto"/>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vAlign w:val="center"/>
          </w:tcPr>
          <w:p w14:paraId="60A46589">
            <w:pPr>
              <w:keepNext w:val="0"/>
              <w:keepLines w:val="0"/>
              <w:pageBreakBefore w:val="0"/>
              <w:widowControl/>
              <w:kinsoku/>
              <w:wordWrap w:val="0"/>
              <w:overflowPunct/>
              <w:topLinePunct w:val="0"/>
              <w:autoSpaceDE/>
              <w:autoSpaceDN/>
              <w:bidi w:val="0"/>
              <w:adjustRightInd/>
              <w:snapToGrid/>
              <w:spacing w:line="500" w:lineRule="exact"/>
              <w:ind w:left="0" w:firstLine="400"/>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0A285F41">
            <w:pPr>
              <w:keepNext w:val="0"/>
              <w:keepLines w:val="0"/>
              <w:pageBreakBefore w:val="0"/>
              <w:widowControl/>
              <w:kinsoku/>
              <w:wordWrap w:val="0"/>
              <w:overflowPunct/>
              <w:topLinePunct w:val="0"/>
              <w:autoSpaceDE/>
              <w:autoSpaceDN/>
              <w:bidi w:val="0"/>
              <w:adjustRightInd/>
              <w:snapToGrid/>
              <w:spacing w:line="500" w:lineRule="exact"/>
              <w:ind w:left="0"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燃气热水器</w:t>
            </w:r>
          </w:p>
        </w:tc>
        <w:tc>
          <w:tcPr>
            <w:tcW w:w="4923" w:type="dxa"/>
            <w:tcBorders>
              <w:top w:val="nil"/>
              <w:left w:val="nil"/>
              <w:bottom w:val="single" w:color="000000" w:sz="8" w:space="0"/>
              <w:right w:val="single" w:color="000000" w:sz="8" w:space="0"/>
            </w:tcBorders>
            <w:vAlign w:val="center"/>
          </w:tcPr>
          <w:p w14:paraId="6A5CB6C4">
            <w:pPr>
              <w:keepNext w:val="0"/>
              <w:keepLines w:val="0"/>
              <w:pageBreakBefore w:val="0"/>
              <w:widowControl/>
              <w:kinsoku/>
              <w:wordWrap w:val="0"/>
              <w:overflowPunct/>
              <w:topLinePunct w:val="0"/>
              <w:autoSpaceDE/>
              <w:autoSpaceDN/>
              <w:bidi w:val="0"/>
              <w:adjustRightInd/>
              <w:snapToGrid/>
              <w:spacing w:line="500" w:lineRule="exact"/>
              <w:ind w:left="0" w:firstLine="400"/>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《家用燃气快速热水器和燃气采暖热水炉能效限定值及能效等级》（GB20665）</w:t>
            </w:r>
          </w:p>
        </w:tc>
      </w:tr>
      <w:tr w14:paraId="3CA68460">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56EB96C6">
            <w:pPr>
              <w:keepNext w:val="0"/>
              <w:keepLines w:val="0"/>
              <w:pageBreakBefore w:val="0"/>
              <w:widowControl/>
              <w:kinsoku/>
              <w:wordWrap w:val="0"/>
              <w:overflowPunct/>
              <w:topLinePunct w:val="0"/>
              <w:autoSpaceDE/>
              <w:autoSpaceDN/>
              <w:bidi w:val="0"/>
              <w:adjustRightInd/>
              <w:snapToGrid/>
              <w:spacing w:line="500" w:lineRule="exact"/>
              <w:ind w:left="0" w:firstLine="400"/>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6423E89A">
            <w:pPr>
              <w:keepNext w:val="0"/>
              <w:keepLines w:val="0"/>
              <w:pageBreakBefore w:val="0"/>
              <w:widowControl/>
              <w:kinsoku/>
              <w:wordWrap w:val="0"/>
              <w:overflowPunct/>
              <w:topLinePunct w:val="0"/>
              <w:autoSpaceDE/>
              <w:autoSpaceDN/>
              <w:bidi w:val="0"/>
              <w:adjustRightInd/>
              <w:snapToGrid/>
              <w:spacing w:line="500" w:lineRule="exact"/>
              <w:ind w:left="0" w:firstLine="400"/>
              <w:jc w:val="left"/>
              <w:rPr>
                <w:rFonts w:ascii="宋体" w:hAnsi="宋体" w:cs="宋体"/>
                <w:color w:val="auto"/>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vAlign w:val="center"/>
          </w:tcPr>
          <w:p w14:paraId="01E09907">
            <w:pPr>
              <w:keepNext w:val="0"/>
              <w:keepLines w:val="0"/>
              <w:pageBreakBefore w:val="0"/>
              <w:widowControl/>
              <w:kinsoku/>
              <w:wordWrap w:val="0"/>
              <w:overflowPunct/>
              <w:topLinePunct w:val="0"/>
              <w:autoSpaceDE/>
              <w:autoSpaceDN/>
              <w:bidi w:val="0"/>
              <w:adjustRightInd/>
              <w:snapToGrid/>
              <w:spacing w:line="500" w:lineRule="exact"/>
              <w:ind w:left="0" w:firstLine="400"/>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56179BED">
            <w:pPr>
              <w:keepNext w:val="0"/>
              <w:keepLines w:val="0"/>
              <w:pageBreakBefore w:val="0"/>
              <w:widowControl/>
              <w:kinsoku/>
              <w:wordWrap w:val="0"/>
              <w:overflowPunct/>
              <w:topLinePunct w:val="0"/>
              <w:autoSpaceDE/>
              <w:autoSpaceDN/>
              <w:bidi w:val="0"/>
              <w:adjustRightInd/>
              <w:snapToGrid/>
              <w:spacing w:line="500" w:lineRule="exact"/>
              <w:ind w:left="0"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热泵热水器</w:t>
            </w:r>
          </w:p>
        </w:tc>
        <w:tc>
          <w:tcPr>
            <w:tcW w:w="4923" w:type="dxa"/>
            <w:tcBorders>
              <w:top w:val="nil"/>
              <w:left w:val="nil"/>
              <w:bottom w:val="single" w:color="000000" w:sz="8" w:space="0"/>
              <w:right w:val="single" w:color="000000" w:sz="8" w:space="0"/>
            </w:tcBorders>
            <w:vAlign w:val="center"/>
          </w:tcPr>
          <w:p w14:paraId="5AAAC327">
            <w:pPr>
              <w:keepNext w:val="0"/>
              <w:keepLines w:val="0"/>
              <w:pageBreakBefore w:val="0"/>
              <w:widowControl/>
              <w:kinsoku/>
              <w:wordWrap w:val="0"/>
              <w:overflowPunct/>
              <w:topLinePunct w:val="0"/>
              <w:autoSpaceDE/>
              <w:autoSpaceDN/>
              <w:bidi w:val="0"/>
              <w:adjustRightInd/>
              <w:snapToGrid/>
              <w:spacing w:line="500" w:lineRule="exact"/>
              <w:ind w:left="0" w:firstLine="400"/>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《热泵热水机（器）能效限定值及能效等级》（GB29541）</w:t>
            </w:r>
          </w:p>
        </w:tc>
      </w:tr>
      <w:tr w14:paraId="1712059F">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6568BB99">
            <w:pPr>
              <w:keepNext w:val="0"/>
              <w:keepLines w:val="0"/>
              <w:pageBreakBefore w:val="0"/>
              <w:widowControl/>
              <w:kinsoku/>
              <w:wordWrap w:val="0"/>
              <w:overflowPunct/>
              <w:topLinePunct w:val="0"/>
              <w:autoSpaceDE/>
              <w:autoSpaceDN/>
              <w:bidi w:val="0"/>
              <w:adjustRightInd/>
              <w:snapToGrid/>
              <w:spacing w:line="500" w:lineRule="exact"/>
              <w:ind w:left="0" w:firstLine="400"/>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56B1B1D3">
            <w:pPr>
              <w:keepNext w:val="0"/>
              <w:keepLines w:val="0"/>
              <w:pageBreakBefore w:val="0"/>
              <w:widowControl/>
              <w:kinsoku/>
              <w:wordWrap w:val="0"/>
              <w:overflowPunct/>
              <w:topLinePunct w:val="0"/>
              <w:autoSpaceDE/>
              <w:autoSpaceDN/>
              <w:bidi w:val="0"/>
              <w:adjustRightInd/>
              <w:snapToGrid/>
              <w:spacing w:line="500" w:lineRule="exact"/>
              <w:ind w:left="0" w:firstLine="400"/>
              <w:jc w:val="left"/>
              <w:rPr>
                <w:rFonts w:ascii="宋体" w:hAnsi="宋体" w:cs="宋体"/>
                <w:color w:val="auto"/>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vAlign w:val="center"/>
          </w:tcPr>
          <w:p w14:paraId="2881B47E">
            <w:pPr>
              <w:keepNext w:val="0"/>
              <w:keepLines w:val="0"/>
              <w:pageBreakBefore w:val="0"/>
              <w:widowControl/>
              <w:kinsoku/>
              <w:wordWrap w:val="0"/>
              <w:overflowPunct/>
              <w:topLinePunct w:val="0"/>
              <w:autoSpaceDE/>
              <w:autoSpaceDN/>
              <w:bidi w:val="0"/>
              <w:adjustRightInd/>
              <w:snapToGrid/>
              <w:spacing w:line="500" w:lineRule="exact"/>
              <w:ind w:left="0" w:firstLine="400"/>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4A43568F">
            <w:pPr>
              <w:keepNext w:val="0"/>
              <w:keepLines w:val="0"/>
              <w:pageBreakBefore w:val="0"/>
              <w:widowControl/>
              <w:kinsoku/>
              <w:wordWrap w:val="0"/>
              <w:overflowPunct/>
              <w:topLinePunct w:val="0"/>
              <w:autoSpaceDE/>
              <w:autoSpaceDN/>
              <w:bidi w:val="0"/>
              <w:adjustRightInd/>
              <w:snapToGrid/>
              <w:spacing w:line="500" w:lineRule="exact"/>
              <w:ind w:left="0"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太阳能热水系统</w:t>
            </w:r>
          </w:p>
        </w:tc>
        <w:tc>
          <w:tcPr>
            <w:tcW w:w="4923" w:type="dxa"/>
            <w:tcBorders>
              <w:top w:val="nil"/>
              <w:left w:val="nil"/>
              <w:bottom w:val="single" w:color="000000" w:sz="8" w:space="0"/>
              <w:right w:val="single" w:color="000000" w:sz="8" w:space="0"/>
            </w:tcBorders>
            <w:vAlign w:val="center"/>
          </w:tcPr>
          <w:p w14:paraId="2127F100">
            <w:pPr>
              <w:keepNext w:val="0"/>
              <w:keepLines w:val="0"/>
              <w:pageBreakBefore w:val="0"/>
              <w:widowControl/>
              <w:kinsoku/>
              <w:wordWrap w:val="0"/>
              <w:overflowPunct/>
              <w:topLinePunct w:val="0"/>
              <w:autoSpaceDE/>
              <w:autoSpaceDN/>
              <w:bidi w:val="0"/>
              <w:adjustRightInd/>
              <w:snapToGrid/>
              <w:spacing w:line="500" w:lineRule="exact"/>
              <w:ind w:left="0" w:firstLine="400"/>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《家用太阳能热水系统能效限定值及能效等级》（GB26969）</w:t>
            </w:r>
          </w:p>
        </w:tc>
      </w:tr>
      <w:tr w14:paraId="2B3EC701">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vAlign w:val="center"/>
          </w:tcPr>
          <w:p w14:paraId="6143DB95">
            <w:pPr>
              <w:keepNext w:val="0"/>
              <w:keepLines w:val="0"/>
              <w:pageBreakBefore w:val="0"/>
              <w:widowControl/>
              <w:kinsoku/>
              <w:wordWrap w:val="0"/>
              <w:overflowPunct/>
              <w:topLinePunct w:val="0"/>
              <w:autoSpaceDE/>
              <w:autoSpaceDN/>
              <w:bidi w:val="0"/>
              <w:adjustRightInd/>
              <w:snapToGrid/>
              <w:spacing w:line="500" w:lineRule="exact"/>
              <w:ind w:left="0"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11</w:t>
            </w:r>
          </w:p>
        </w:tc>
        <w:tc>
          <w:tcPr>
            <w:tcW w:w="1080" w:type="dxa"/>
            <w:vMerge w:val="restart"/>
            <w:tcBorders>
              <w:top w:val="nil"/>
              <w:left w:val="single" w:color="000000" w:sz="8" w:space="0"/>
              <w:bottom w:val="single" w:color="000000" w:sz="8" w:space="0"/>
              <w:right w:val="single" w:color="000000" w:sz="8" w:space="0"/>
            </w:tcBorders>
            <w:vAlign w:val="center"/>
          </w:tcPr>
          <w:p w14:paraId="74131E41">
            <w:pPr>
              <w:keepNext w:val="0"/>
              <w:keepLines w:val="0"/>
              <w:pageBreakBefore w:val="0"/>
              <w:widowControl/>
              <w:kinsoku/>
              <w:wordWrap w:val="0"/>
              <w:overflowPunct/>
              <w:topLinePunct w:val="0"/>
              <w:autoSpaceDE/>
              <w:autoSpaceDN/>
              <w:bidi w:val="0"/>
              <w:adjustRightInd/>
              <w:snapToGrid/>
              <w:spacing w:line="500" w:lineRule="exact"/>
              <w:ind w:left="0"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A020619照明设备</w:t>
            </w:r>
          </w:p>
        </w:tc>
        <w:tc>
          <w:tcPr>
            <w:tcW w:w="1320" w:type="dxa"/>
            <w:tcBorders>
              <w:top w:val="nil"/>
              <w:left w:val="nil"/>
              <w:bottom w:val="single" w:color="000000" w:sz="8" w:space="0"/>
              <w:right w:val="single" w:color="000000" w:sz="8" w:space="0"/>
            </w:tcBorders>
            <w:vAlign w:val="center"/>
          </w:tcPr>
          <w:p w14:paraId="7116085F">
            <w:pPr>
              <w:keepNext w:val="0"/>
              <w:keepLines w:val="0"/>
              <w:pageBreakBefore w:val="0"/>
              <w:widowControl/>
              <w:kinsoku/>
              <w:wordWrap w:val="0"/>
              <w:overflowPunct/>
              <w:topLinePunct w:val="0"/>
              <w:autoSpaceDE/>
              <w:autoSpaceDN/>
              <w:bidi w:val="0"/>
              <w:adjustRightInd/>
              <w:snapToGrid/>
              <w:spacing w:line="500" w:lineRule="exact"/>
              <w:ind w:left="0"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★普通照明用双端荧光灯</w:t>
            </w:r>
          </w:p>
        </w:tc>
        <w:tc>
          <w:tcPr>
            <w:tcW w:w="1620" w:type="dxa"/>
            <w:tcBorders>
              <w:top w:val="nil"/>
              <w:left w:val="nil"/>
              <w:bottom w:val="single" w:color="000000" w:sz="8" w:space="0"/>
              <w:right w:val="single" w:color="000000" w:sz="8" w:space="0"/>
            </w:tcBorders>
            <w:vAlign w:val="center"/>
          </w:tcPr>
          <w:p w14:paraId="4CF568CE">
            <w:pPr>
              <w:keepNext w:val="0"/>
              <w:keepLines w:val="0"/>
              <w:pageBreakBefore w:val="0"/>
              <w:widowControl/>
              <w:kinsoku/>
              <w:wordWrap w:val="0"/>
              <w:overflowPunct/>
              <w:topLinePunct w:val="0"/>
              <w:autoSpaceDE/>
              <w:autoSpaceDN/>
              <w:bidi w:val="0"/>
              <w:adjustRightInd/>
              <w:snapToGrid/>
              <w:spacing w:line="500" w:lineRule="exact"/>
              <w:ind w:left="0"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923" w:type="dxa"/>
            <w:tcBorders>
              <w:top w:val="nil"/>
              <w:left w:val="nil"/>
              <w:bottom w:val="single" w:color="000000" w:sz="8" w:space="0"/>
              <w:right w:val="single" w:color="000000" w:sz="8" w:space="0"/>
            </w:tcBorders>
            <w:vAlign w:val="center"/>
          </w:tcPr>
          <w:p w14:paraId="7B7A5BF4">
            <w:pPr>
              <w:keepNext w:val="0"/>
              <w:keepLines w:val="0"/>
              <w:pageBreakBefore w:val="0"/>
              <w:widowControl/>
              <w:kinsoku/>
              <w:wordWrap w:val="0"/>
              <w:overflowPunct/>
              <w:topLinePunct w:val="0"/>
              <w:autoSpaceDE/>
              <w:autoSpaceDN/>
              <w:bidi w:val="0"/>
              <w:adjustRightInd/>
              <w:snapToGrid/>
              <w:spacing w:line="500" w:lineRule="exact"/>
              <w:ind w:left="0" w:firstLine="400"/>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《普通照明用双端荧光灯能效限定值及能效等级》（GB19043）</w:t>
            </w:r>
          </w:p>
        </w:tc>
      </w:tr>
      <w:tr w14:paraId="113D0CA1">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5644DAD9">
            <w:pPr>
              <w:keepNext w:val="0"/>
              <w:keepLines w:val="0"/>
              <w:pageBreakBefore w:val="0"/>
              <w:widowControl/>
              <w:kinsoku/>
              <w:wordWrap w:val="0"/>
              <w:overflowPunct/>
              <w:topLinePunct w:val="0"/>
              <w:autoSpaceDE/>
              <w:autoSpaceDN/>
              <w:bidi w:val="0"/>
              <w:adjustRightInd/>
              <w:snapToGrid/>
              <w:spacing w:line="500" w:lineRule="exact"/>
              <w:ind w:left="0" w:firstLine="400"/>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73BD5CA5">
            <w:pPr>
              <w:keepNext w:val="0"/>
              <w:keepLines w:val="0"/>
              <w:pageBreakBefore w:val="0"/>
              <w:widowControl/>
              <w:kinsoku/>
              <w:wordWrap w:val="0"/>
              <w:overflowPunct/>
              <w:topLinePunct w:val="0"/>
              <w:autoSpaceDE/>
              <w:autoSpaceDN/>
              <w:bidi w:val="0"/>
              <w:adjustRightInd/>
              <w:snapToGrid/>
              <w:spacing w:line="500" w:lineRule="exact"/>
              <w:ind w:left="0" w:firstLine="400"/>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22B13CBE">
            <w:pPr>
              <w:keepNext w:val="0"/>
              <w:keepLines w:val="0"/>
              <w:pageBreakBefore w:val="0"/>
              <w:widowControl/>
              <w:kinsoku/>
              <w:wordWrap w:val="0"/>
              <w:overflowPunct/>
              <w:topLinePunct w:val="0"/>
              <w:autoSpaceDE/>
              <w:autoSpaceDN/>
              <w:bidi w:val="0"/>
              <w:adjustRightInd/>
              <w:snapToGrid/>
              <w:spacing w:line="500" w:lineRule="exact"/>
              <w:ind w:left="0"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LED道路/隧道照明产品</w:t>
            </w:r>
          </w:p>
        </w:tc>
        <w:tc>
          <w:tcPr>
            <w:tcW w:w="1620" w:type="dxa"/>
            <w:tcBorders>
              <w:top w:val="nil"/>
              <w:left w:val="nil"/>
              <w:bottom w:val="single" w:color="000000" w:sz="8" w:space="0"/>
              <w:right w:val="single" w:color="000000" w:sz="8" w:space="0"/>
            </w:tcBorders>
            <w:vAlign w:val="center"/>
          </w:tcPr>
          <w:p w14:paraId="047C5F47">
            <w:pPr>
              <w:keepNext w:val="0"/>
              <w:keepLines w:val="0"/>
              <w:pageBreakBefore w:val="0"/>
              <w:widowControl/>
              <w:kinsoku/>
              <w:wordWrap w:val="0"/>
              <w:overflowPunct/>
              <w:topLinePunct w:val="0"/>
              <w:autoSpaceDE/>
              <w:autoSpaceDN/>
              <w:bidi w:val="0"/>
              <w:adjustRightInd/>
              <w:snapToGrid/>
              <w:spacing w:line="500" w:lineRule="exact"/>
              <w:ind w:left="0"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923" w:type="dxa"/>
            <w:tcBorders>
              <w:top w:val="nil"/>
              <w:left w:val="nil"/>
              <w:bottom w:val="single" w:color="000000" w:sz="8" w:space="0"/>
              <w:right w:val="single" w:color="000000" w:sz="8" w:space="0"/>
            </w:tcBorders>
            <w:vAlign w:val="center"/>
          </w:tcPr>
          <w:p w14:paraId="4C4D3A07">
            <w:pPr>
              <w:keepNext w:val="0"/>
              <w:keepLines w:val="0"/>
              <w:pageBreakBefore w:val="0"/>
              <w:widowControl/>
              <w:kinsoku/>
              <w:wordWrap w:val="0"/>
              <w:overflowPunct/>
              <w:topLinePunct w:val="0"/>
              <w:autoSpaceDE/>
              <w:autoSpaceDN/>
              <w:bidi w:val="0"/>
              <w:adjustRightInd/>
              <w:snapToGrid/>
              <w:spacing w:line="500" w:lineRule="exact"/>
              <w:ind w:left="0" w:firstLine="400"/>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《道路和隧道照明用LED灯具能效限定值及能效等级》（GB37478）</w:t>
            </w:r>
          </w:p>
        </w:tc>
      </w:tr>
      <w:tr w14:paraId="4683ECF0">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514CD519">
            <w:pPr>
              <w:keepNext w:val="0"/>
              <w:keepLines w:val="0"/>
              <w:pageBreakBefore w:val="0"/>
              <w:widowControl/>
              <w:kinsoku/>
              <w:wordWrap w:val="0"/>
              <w:overflowPunct/>
              <w:topLinePunct w:val="0"/>
              <w:autoSpaceDE/>
              <w:autoSpaceDN/>
              <w:bidi w:val="0"/>
              <w:adjustRightInd/>
              <w:snapToGrid/>
              <w:spacing w:line="500" w:lineRule="exact"/>
              <w:ind w:left="0" w:firstLine="400"/>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167DC239">
            <w:pPr>
              <w:keepNext w:val="0"/>
              <w:keepLines w:val="0"/>
              <w:pageBreakBefore w:val="0"/>
              <w:widowControl/>
              <w:kinsoku/>
              <w:wordWrap w:val="0"/>
              <w:overflowPunct/>
              <w:topLinePunct w:val="0"/>
              <w:autoSpaceDE/>
              <w:autoSpaceDN/>
              <w:bidi w:val="0"/>
              <w:adjustRightInd/>
              <w:snapToGrid/>
              <w:spacing w:line="500" w:lineRule="exact"/>
              <w:ind w:left="0" w:firstLine="400"/>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50E93C15">
            <w:pPr>
              <w:keepNext w:val="0"/>
              <w:keepLines w:val="0"/>
              <w:pageBreakBefore w:val="0"/>
              <w:widowControl/>
              <w:kinsoku/>
              <w:wordWrap w:val="0"/>
              <w:overflowPunct/>
              <w:topLinePunct w:val="0"/>
              <w:autoSpaceDE/>
              <w:autoSpaceDN/>
              <w:bidi w:val="0"/>
              <w:adjustRightInd/>
              <w:snapToGrid/>
              <w:spacing w:line="500" w:lineRule="exact"/>
              <w:ind w:left="0"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LED筒灯</w:t>
            </w:r>
          </w:p>
        </w:tc>
        <w:tc>
          <w:tcPr>
            <w:tcW w:w="1620" w:type="dxa"/>
            <w:tcBorders>
              <w:top w:val="nil"/>
              <w:left w:val="nil"/>
              <w:bottom w:val="single" w:color="000000" w:sz="8" w:space="0"/>
              <w:right w:val="single" w:color="000000" w:sz="8" w:space="0"/>
            </w:tcBorders>
            <w:vAlign w:val="center"/>
          </w:tcPr>
          <w:p w14:paraId="0469F5C4">
            <w:pPr>
              <w:keepNext w:val="0"/>
              <w:keepLines w:val="0"/>
              <w:pageBreakBefore w:val="0"/>
              <w:widowControl/>
              <w:kinsoku/>
              <w:wordWrap w:val="0"/>
              <w:overflowPunct/>
              <w:topLinePunct w:val="0"/>
              <w:autoSpaceDE/>
              <w:autoSpaceDN/>
              <w:bidi w:val="0"/>
              <w:adjustRightInd/>
              <w:snapToGrid/>
              <w:spacing w:line="500" w:lineRule="exact"/>
              <w:ind w:left="0"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923" w:type="dxa"/>
            <w:tcBorders>
              <w:top w:val="nil"/>
              <w:left w:val="nil"/>
              <w:bottom w:val="single" w:color="000000" w:sz="8" w:space="0"/>
              <w:right w:val="single" w:color="000000" w:sz="8" w:space="0"/>
            </w:tcBorders>
            <w:vAlign w:val="center"/>
          </w:tcPr>
          <w:p w14:paraId="32EF80E3">
            <w:pPr>
              <w:keepNext w:val="0"/>
              <w:keepLines w:val="0"/>
              <w:pageBreakBefore w:val="0"/>
              <w:widowControl/>
              <w:kinsoku/>
              <w:wordWrap w:val="0"/>
              <w:overflowPunct/>
              <w:topLinePunct w:val="0"/>
              <w:autoSpaceDE/>
              <w:autoSpaceDN/>
              <w:bidi w:val="0"/>
              <w:adjustRightInd/>
              <w:snapToGrid/>
              <w:spacing w:line="500" w:lineRule="exact"/>
              <w:ind w:left="0" w:firstLine="400"/>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《室内照明用LED产品能效限定值及能效等级》（GB30255）</w:t>
            </w:r>
          </w:p>
        </w:tc>
      </w:tr>
      <w:tr w14:paraId="0379FE43">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vAlign w:val="center"/>
          </w:tcPr>
          <w:p w14:paraId="578837E8">
            <w:pPr>
              <w:keepNext w:val="0"/>
              <w:keepLines w:val="0"/>
              <w:pageBreakBefore w:val="0"/>
              <w:widowControl/>
              <w:kinsoku/>
              <w:wordWrap w:val="0"/>
              <w:overflowPunct/>
              <w:topLinePunct w:val="0"/>
              <w:autoSpaceDE/>
              <w:autoSpaceDN/>
              <w:bidi w:val="0"/>
              <w:adjustRightInd/>
              <w:snapToGrid/>
              <w:spacing w:line="500" w:lineRule="exact"/>
              <w:ind w:left="0" w:firstLine="400"/>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7CD30F5E">
            <w:pPr>
              <w:keepNext w:val="0"/>
              <w:keepLines w:val="0"/>
              <w:pageBreakBefore w:val="0"/>
              <w:widowControl/>
              <w:kinsoku/>
              <w:wordWrap w:val="0"/>
              <w:overflowPunct/>
              <w:topLinePunct w:val="0"/>
              <w:autoSpaceDE/>
              <w:autoSpaceDN/>
              <w:bidi w:val="0"/>
              <w:adjustRightInd/>
              <w:snapToGrid/>
              <w:spacing w:line="500" w:lineRule="exact"/>
              <w:ind w:left="0" w:firstLine="400"/>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2F944844">
            <w:pPr>
              <w:keepNext w:val="0"/>
              <w:keepLines w:val="0"/>
              <w:pageBreakBefore w:val="0"/>
              <w:widowControl/>
              <w:kinsoku/>
              <w:wordWrap w:val="0"/>
              <w:overflowPunct/>
              <w:topLinePunct w:val="0"/>
              <w:autoSpaceDE/>
              <w:autoSpaceDN/>
              <w:bidi w:val="0"/>
              <w:adjustRightInd/>
              <w:snapToGrid/>
              <w:spacing w:line="500" w:lineRule="exact"/>
              <w:ind w:left="0"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普通照明用非定向自镇流LED灯</w:t>
            </w:r>
          </w:p>
        </w:tc>
        <w:tc>
          <w:tcPr>
            <w:tcW w:w="1620" w:type="dxa"/>
            <w:tcBorders>
              <w:top w:val="nil"/>
              <w:left w:val="nil"/>
              <w:bottom w:val="single" w:color="000000" w:sz="8" w:space="0"/>
              <w:right w:val="single" w:color="000000" w:sz="8" w:space="0"/>
            </w:tcBorders>
            <w:vAlign w:val="center"/>
          </w:tcPr>
          <w:p w14:paraId="2130E0ED">
            <w:pPr>
              <w:keepNext w:val="0"/>
              <w:keepLines w:val="0"/>
              <w:pageBreakBefore w:val="0"/>
              <w:widowControl/>
              <w:kinsoku/>
              <w:wordWrap w:val="0"/>
              <w:overflowPunct/>
              <w:topLinePunct w:val="0"/>
              <w:autoSpaceDE/>
              <w:autoSpaceDN/>
              <w:bidi w:val="0"/>
              <w:adjustRightInd/>
              <w:snapToGrid/>
              <w:spacing w:line="500" w:lineRule="exact"/>
              <w:ind w:left="0"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923" w:type="dxa"/>
            <w:tcBorders>
              <w:top w:val="nil"/>
              <w:left w:val="nil"/>
              <w:bottom w:val="single" w:color="000000" w:sz="8" w:space="0"/>
              <w:right w:val="single" w:color="000000" w:sz="8" w:space="0"/>
            </w:tcBorders>
            <w:vAlign w:val="center"/>
          </w:tcPr>
          <w:p w14:paraId="3514D28D">
            <w:pPr>
              <w:keepNext w:val="0"/>
              <w:keepLines w:val="0"/>
              <w:pageBreakBefore w:val="0"/>
              <w:widowControl/>
              <w:kinsoku/>
              <w:wordWrap w:val="0"/>
              <w:overflowPunct/>
              <w:topLinePunct w:val="0"/>
              <w:autoSpaceDE/>
              <w:autoSpaceDN/>
              <w:bidi w:val="0"/>
              <w:adjustRightInd/>
              <w:snapToGrid/>
              <w:spacing w:line="500" w:lineRule="exact"/>
              <w:ind w:left="0" w:firstLine="400"/>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《室内照明用LED产品能效限定值及能效等级》（GB30255）</w:t>
            </w:r>
          </w:p>
        </w:tc>
      </w:tr>
      <w:tr w14:paraId="7545916B">
        <w:tblPrEx>
          <w:tblCellMar>
            <w:top w:w="0" w:type="dxa"/>
            <w:left w:w="108" w:type="dxa"/>
            <w:bottom w:w="0" w:type="dxa"/>
            <w:right w:w="108" w:type="dxa"/>
          </w:tblCellMar>
        </w:tblPrEx>
        <w:trPr>
          <w:trHeight w:val="735" w:hRule="atLeast"/>
        </w:trPr>
        <w:tc>
          <w:tcPr>
            <w:tcW w:w="660" w:type="dxa"/>
            <w:tcBorders>
              <w:top w:val="nil"/>
              <w:left w:val="single" w:color="000000" w:sz="8" w:space="0"/>
              <w:bottom w:val="single" w:color="000000" w:sz="8" w:space="0"/>
              <w:right w:val="single" w:color="000000" w:sz="8" w:space="0"/>
            </w:tcBorders>
            <w:vAlign w:val="center"/>
          </w:tcPr>
          <w:p w14:paraId="5C8CE9CC">
            <w:pPr>
              <w:keepNext w:val="0"/>
              <w:keepLines w:val="0"/>
              <w:pageBreakBefore w:val="0"/>
              <w:widowControl/>
              <w:kinsoku/>
              <w:wordWrap w:val="0"/>
              <w:overflowPunct/>
              <w:topLinePunct w:val="0"/>
              <w:autoSpaceDE/>
              <w:autoSpaceDN/>
              <w:bidi w:val="0"/>
              <w:adjustRightInd/>
              <w:snapToGrid/>
              <w:spacing w:line="500" w:lineRule="exact"/>
              <w:ind w:left="0"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12</w:t>
            </w:r>
          </w:p>
        </w:tc>
        <w:tc>
          <w:tcPr>
            <w:tcW w:w="1080" w:type="dxa"/>
            <w:tcBorders>
              <w:top w:val="nil"/>
              <w:left w:val="nil"/>
              <w:bottom w:val="single" w:color="000000" w:sz="8" w:space="0"/>
              <w:right w:val="single" w:color="000000" w:sz="8" w:space="0"/>
            </w:tcBorders>
            <w:vAlign w:val="center"/>
          </w:tcPr>
          <w:p w14:paraId="3F9C18C0">
            <w:pPr>
              <w:keepNext w:val="0"/>
              <w:keepLines w:val="0"/>
              <w:pageBreakBefore w:val="0"/>
              <w:widowControl/>
              <w:kinsoku/>
              <w:wordWrap w:val="0"/>
              <w:overflowPunct/>
              <w:topLinePunct w:val="0"/>
              <w:autoSpaceDE/>
              <w:autoSpaceDN/>
              <w:bidi w:val="0"/>
              <w:adjustRightInd/>
              <w:snapToGrid/>
              <w:spacing w:line="500" w:lineRule="exact"/>
              <w:ind w:left="0"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★A020910电视设备</w:t>
            </w:r>
          </w:p>
        </w:tc>
        <w:tc>
          <w:tcPr>
            <w:tcW w:w="1320" w:type="dxa"/>
            <w:tcBorders>
              <w:top w:val="nil"/>
              <w:left w:val="nil"/>
              <w:bottom w:val="single" w:color="000000" w:sz="8" w:space="0"/>
              <w:right w:val="single" w:color="000000" w:sz="8" w:space="0"/>
            </w:tcBorders>
            <w:vAlign w:val="center"/>
          </w:tcPr>
          <w:p w14:paraId="083D6ED5">
            <w:pPr>
              <w:keepNext w:val="0"/>
              <w:keepLines w:val="0"/>
              <w:pageBreakBefore w:val="0"/>
              <w:widowControl/>
              <w:kinsoku/>
              <w:wordWrap w:val="0"/>
              <w:overflowPunct/>
              <w:topLinePunct w:val="0"/>
              <w:autoSpaceDE/>
              <w:autoSpaceDN/>
              <w:bidi w:val="0"/>
              <w:adjustRightInd/>
              <w:snapToGrid/>
              <w:spacing w:line="500" w:lineRule="exact"/>
              <w:ind w:left="0"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A02091001普通电视设备（电视机）</w:t>
            </w:r>
          </w:p>
        </w:tc>
        <w:tc>
          <w:tcPr>
            <w:tcW w:w="1620" w:type="dxa"/>
            <w:tcBorders>
              <w:top w:val="nil"/>
              <w:left w:val="nil"/>
              <w:bottom w:val="single" w:color="000000" w:sz="8" w:space="0"/>
              <w:right w:val="single" w:color="000000" w:sz="8" w:space="0"/>
            </w:tcBorders>
            <w:vAlign w:val="center"/>
          </w:tcPr>
          <w:p w14:paraId="7F599C91">
            <w:pPr>
              <w:keepNext w:val="0"/>
              <w:keepLines w:val="0"/>
              <w:pageBreakBefore w:val="0"/>
              <w:widowControl/>
              <w:kinsoku/>
              <w:wordWrap w:val="0"/>
              <w:overflowPunct/>
              <w:topLinePunct w:val="0"/>
              <w:autoSpaceDE/>
              <w:autoSpaceDN/>
              <w:bidi w:val="0"/>
              <w:adjustRightInd/>
              <w:snapToGrid/>
              <w:spacing w:line="500" w:lineRule="exact"/>
              <w:ind w:left="0"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923" w:type="dxa"/>
            <w:tcBorders>
              <w:top w:val="nil"/>
              <w:left w:val="nil"/>
              <w:bottom w:val="single" w:color="000000" w:sz="8" w:space="0"/>
              <w:right w:val="single" w:color="000000" w:sz="8" w:space="0"/>
            </w:tcBorders>
            <w:vAlign w:val="center"/>
          </w:tcPr>
          <w:p w14:paraId="2797DF69">
            <w:pPr>
              <w:keepNext w:val="0"/>
              <w:keepLines w:val="0"/>
              <w:pageBreakBefore w:val="0"/>
              <w:widowControl/>
              <w:kinsoku/>
              <w:wordWrap w:val="0"/>
              <w:overflowPunct/>
              <w:topLinePunct w:val="0"/>
              <w:autoSpaceDE/>
              <w:autoSpaceDN/>
              <w:bidi w:val="0"/>
              <w:adjustRightInd/>
              <w:snapToGrid/>
              <w:spacing w:line="500" w:lineRule="exact"/>
              <w:ind w:left="0" w:firstLine="400"/>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《平板电视能效限定值及能效等级》（GB24850）</w:t>
            </w:r>
          </w:p>
        </w:tc>
      </w:tr>
      <w:tr w14:paraId="04CEE8D4">
        <w:tblPrEx>
          <w:tblCellMar>
            <w:top w:w="0" w:type="dxa"/>
            <w:left w:w="108" w:type="dxa"/>
            <w:bottom w:w="0" w:type="dxa"/>
            <w:right w:w="108" w:type="dxa"/>
          </w:tblCellMar>
        </w:tblPrEx>
        <w:trPr>
          <w:trHeight w:val="975" w:hRule="atLeast"/>
        </w:trPr>
        <w:tc>
          <w:tcPr>
            <w:tcW w:w="660" w:type="dxa"/>
            <w:tcBorders>
              <w:top w:val="nil"/>
              <w:left w:val="single" w:color="000000" w:sz="8" w:space="0"/>
              <w:bottom w:val="single" w:color="000000" w:sz="8" w:space="0"/>
              <w:right w:val="single" w:color="000000" w:sz="8" w:space="0"/>
            </w:tcBorders>
            <w:vAlign w:val="center"/>
          </w:tcPr>
          <w:p w14:paraId="48DA4511">
            <w:pPr>
              <w:keepNext w:val="0"/>
              <w:keepLines w:val="0"/>
              <w:pageBreakBefore w:val="0"/>
              <w:widowControl/>
              <w:kinsoku/>
              <w:wordWrap w:val="0"/>
              <w:overflowPunct/>
              <w:topLinePunct w:val="0"/>
              <w:autoSpaceDE/>
              <w:autoSpaceDN/>
              <w:bidi w:val="0"/>
              <w:adjustRightInd/>
              <w:snapToGrid/>
              <w:spacing w:line="500" w:lineRule="exact"/>
              <w:ind w:left="0"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13</w:t>
            </w:r>
          </w:p>
        </w:tc>
        <w:tc>
          <w:tcPr>
            <w:tcW w:w="1080" w:type="dxa"/>
            <w:tcBorders>
              <w:top w:val="nil"/>
              <w:left w:val="nil"/>
              <w:bottom w:val="single" w:color="000000" w:sz="8" w:space="0"/>
              <w:right w:val="single" w:color="000000" w:sz="8" w:space="0"/>
            </w:tcBorders>
            <w:vAlign w:val="center"/>
          </w:tcPr>
          <w:p w14:paraId="21EC74DD">
            <w:pPr>
              <w:keepNext w:val="0"/>
              <w:keepLines w:val="0"/>
              <w:pageBreakBefore w:val="0"/>
              <w:widowControl/>
              <w:kinsoku/>
              <w:wordWrap w:val="0"/>
              <w:overflowPunct/>
              <w:topLinePunct w:val="0"/>
              <w:autoSpaceDE/>
              <w:autoSpaceDN/>
              <w:bidi w:val="0"/>
              <w:adjustRightInd/>
              <w:snapToGrid/>
              <w:spacing w:line="500" w:lineRule="exact"/>
              <w:ind w:left="0"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★A020911视频设备</w:t>
            </w:r>
          </w:p>
        </w:tc>
        <w:tc>
          <w:tcPr>
            <w:tcW w:w="1320" w:type="dxa"/>
            <w:tcBorders>
              <w:top w:val="nil"/>
              <w:left w:val="nil"/>
              <w:bottom w:val="single" w:color="000000" w:sz="8" w:space="0"/>
              <w:right w:val="single" w:color="000000" w:sz="8" w:space="0"/>
            </w:tcBorders>
            <w:vAlign w:val="center"/>
          </w:tcPr>
          <w:p w14:paraId="5E72BC05">
            <w:pPr>
              <w:keepNext w:val="0"/>
              <w:keepLines w:val="0"/>
              <w:pageBreakBefore w:val="0"/>
              <w:widowControl/>
              <w:kinsoku/>
              <w:wordWrap w:val="0"/>
              <w:overflowPunct/>
              <w:topLinePunct w:val="0"/>
              <w:autoSpaceDE/>
              <w:autoSpaceDN/>
              <w:bidi w:val="0"/>
              <w:adjustRightInd/>
              <w:snapToGrid/>
              <w:spacing w:line="500" w:lineRule="exact"/>
              <w:ind w:left="0"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A02091107视频监控设备</w:t>
            </w:r>
          </w:p>
        </w:tc>
        <w:tc>
          <w:tcPr>
            <w:tcW w:w="1620" w:type="dxa"/>
            <w:tcBorders>
              <w:top w:val="nil"/>
              <w:left w:val="nil"/>
              <w:bottom w:val="single" w:color="000000" w:sz="8" w:space="0"/>
              <w:right w:val="single" w:color="000000" w:sz="8" w:space="0"/>
            </w:tcBorders>
            <w:vAlign w:val="center"/>
          </w:tcPr>
          <w:p w14:paraId="4F28F17A">
            <w:pPr>
              <w:keepNext w:val="0"/>
              <w:keepLines w:val="0"/>
              <w:pageBreakBefore w:val="0"/>
              <w:widowControl/>
              <w:kinsoku/>
              <w:wordWrap w:val="0"/>
              <w:overflowPunct/>
              <w:topLinePunct w:val="0"/>
              <w:autoSpaceDE/>
              <w:autoSpaceDN/>
              <w:bidi w:val="0"/>
              <w:adjustRightInd/>
              <w:snapToGrid/>
              <w:spacing w:line="500" w:lineRule="exact"/>
              <w:ind w:left="0"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监视器</w:t>
            </w:r>
          </w:p>
        </w:tc>
        <w:tc>
          <w:tcPr>
            <w:tcW w:w="4923" w:type="dxa"/>
            <w:tcBorders>
              <w:top w:val="nil"/>
              <w:left w:val="nil"/>
              <w:bottom w:val="single" w:color="000000" w:sz="8" w:space="0"/>
              <w:right w:val="single" w:color="000000" w:sz="8" w:space="0"/>
            </w:tcBorders>
            <w:vAlign w:val="center"/>
          </w:tcPr>
          <w:p w14:paraId="74514D63">
            <w:pPr>
              <w:keepNext w:val="0"/>
              <w:keepLines w:val="0"/>
              <w:pageBreakBefore w:val="0"/>
              <w:widowControl/>
              <w:kinsoku/>
              <w:wordWrap w:val="0"/>
              <w:overflowPunct/>
              <w:topLinePunct w:val="0"/>
              <w:autoSpaceDE/>
              <w:autoSpaceDN/>
              <w:bidi w:val="0"/>
              <w:adjustRightInd/>
              <w:snapToGrid/>
              <w:spacing w:line="500" w:lineRule="exact"/>
              <w:ind w:left="0" w:firstLine="400"/>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以射频信号为主要信号输入的监视器应符合《平板电视能效限定值及能效等级》（GB24850），以数字信号为主要信号输入的监视器应符合《计算机显示器能效限定值及能效等级》（GB21520）</w:t>
            </w:r>
          </w:p>
        </w:tc>
      </w:tr>
      <w:tr w14:paraId="62BEDF6C">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62BC0DE4">
            <w:pPr>
              <w:keepNext w:val="0"/>
              <w:keepLines w:val="0"/>
              <w:pageBreakBefore w:val="0"/>
              <w:widowControl/>
              <w:kinsoku/>
              <w:wordWrap w:val="0"/>
              <w:overflowPunct/>
              <w:topLinePunct w:val="0"/>
              <w:autoSpaceDE/>
              <w:autoSpaceDN/>
              <w:bidi w:val="0"/>
              <w:adjustRightInd/>
              <w:snapToGrid/>
              <w:spacing w:line="500" w:lineRule="exact"/>
              <w:ind w:left="0"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14</w:t>
            </w:r>
          </w:p>
        </w:tc>
        <w:tc>
          <w:tcPr>
            <w:tcW w:w="1080" w:type="dxa"/>
            <w:tcBorders>
              <w:top w:val="nil"/>
              <w:left w:val="nil"/>
              <w:bottom w:val="single" w:color="000000" w:sz="8" w:space="0"/>
              <w:right w:val="single" w:color="000000" w:sz="8" w:space="0"/>
            </w:tcBorders>
            <w:vAlign w:val="center"/>
          </w:tcPr>
          <w:p w14:paraId="0CC1AAE8">
            <w:pPr>
              <w:keepNext w:val="0"/>
              <w:keepLines w:val="0"/>
              <w:pageBreakBefore w:val="0"/>
              <w:widowControl/>
              <w:kinsoku/>
              <w:wordWrap w:val="0"/>
              <w:overflowPunct/>
              <w:topLinePunct w:val="0"/>
              <w:autoSpaceDE/>
              <w:autoSpaceDN/>
              <w:bidi w:val="0"/>
              <w:adjustRightInd/>
              <w:snapToGrid/>
              <w:spacing w:line="500" w:lineRule="exact"/>
              <w:ind w:left="0"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A031210饮食炊事机械</w:t>
            </w:r>
          </w:p>
        </w:tc>
        <w:tc>
          <w:tcPr>
            <w:tcW w:w="1320" w:type="dxa"/>
            <w:tcBorders>
              <w:top w:val="nil"/>
              <w:left w:val="nil"/>
              <w:bottom w:val="single" w:color="000000" w:sz="8" w:space="0"/>
              <w:right w:val="single" w:color="000000" w:sz="8" w:space="0"/>
            </w:tcBorders>
            <w:vAlign w:val="center"/>
          </w:tcPr>
          <w:p w14:paraId="642AA67F">
            <w:pPr>
              <w:keepNext w:val="0"/>
              <w:keepLines w:val="0"/>
              <w:pageBreakBefore w:val="0"/>
              <w:widowControl/>
              <w:kinsoku/>
              <w:wordWrap w:val="0"/>
              <w:overflowPunct/>
              <w:topLinePunct w:val="0"/>
              <w:autoSpaceDE/>
              <w:autoSpaceDN/>
              <w:bidi w:val="0"/>
              <w:adjustRightInd/>
              <w:snapToGrid/>
              <w:spacing w:line="500" w:lineRule="exact"/>
              <w:ind w:left="0"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商用燃气灶具</w:t>
            </w:r>
          </w:p>
        </w:tc>
        <w:tc>
          <w:tcPr>
            <w:tcW w:w="1620" w:type="dxa"/>
            <w:tcBorders>
              <w:top w:val="nil"/>
              <w:left w:val="nil"/>
              <w:bottom w:val="single" w:color="000000" w:sz="8" w:space="0"/>
              <w:right w:val="single" w:color="000000" w:sz="8" w:space="0"/>
            </w:tcBorders>
            <w:vAlign w:val="center"/>
          </w:tcPr>
          <w:p w14:paraId="3380477E">
            <w:pPr>
              <w:keepNext w:val="0"/>
              <w:keepLines w:val="0"/>
              <w:pageBreakBefore w:val="0"/>
              <w:widowControl/>
              <w:kinsoku/>
              <w:wordWrap w:val="0"/>
              <w:overflowPunct/>
              <w:topLinePunct w:val="0"/>
              <w:autoSpaceDE/>
              <w:autoSpaceDN/>
              <w:bidi w:val="0"/>
              <w:adjustRightInd/>
              <w:snapToGrid/>
              <w:spacing w:line="500" w:lineRule="exact"/>
              <w:ind w:left="0"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923" w:type="dxa"/>
            <w:tcBorders>
              <w:top w:val="nil"/>
              <w:left w:val="nil"/>
              <w:bottom w:val="single" w:color="000000" w:sz="8" w:space="0"/>
              <w:right w:val="single" w:color="000000" w:sz="8" w:space="0"/>
            </w:tcBorders>
            <w:vAlign w:val="center"/>
          </w:tcPr>
          <w:p w14:paraId="6E423508">
            <w:pPr>
              <w:keepNext w:val="0"/>
              <w:keepLines w:val="0"/>
              <w:pageBreakBefore w:val="0"/>
              <w:widowControl/>
              <w:kinsoku/>
              <w:wordWrap w:val="0"/>
              <w:overflowPunct/>
              <w:topLinePunct w:val="0"/>
              <w:autoSpaceDE/>
              <w:autoSpaceDN/>
              <w:bidi w:val="0"/>
              <w:adjustRightInd/>
              <w:snapToGrid/>
              <w:spacing w:line="500" w:lineRule="exact"/>
              <w:ind w:left="0" w:firstLine="400"/>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《商用燃气灶具能效限定值及能效等级》（GB30531）</w:t>
            </w:r>
          </w:p>
        </w:tc>
      </w:tr>
      <w:tr w14:paraId="24F6DA91">
        <w:tblPrEx>
          <w:tblCellMar>
            <w:top w:w="0" w:type="dxa"/>
            <w:left w:w="108" w:type="dxa"/>
            <w:bottom w:w="0" w:type="dxa"/>
            <w:right w:w="108" w:type="dxa"/>
          </w:tblCellMar>
        </w:tblPrEx>
        <w:trPr>
          <w:trHeight w:val="285" w:hRule="atLeast"/>
        </w:trPr>
        <w:tc>
          <w:tcPr>
            <w:tcW w:w="660" w:type="dxa"/>
            <w:vMerge w:val="restart"/>
            <w:tcBorders>
              <w:top w:val="nil"/>
              <w:left w:val="single" w:color="000000" w:sz="8" w:space="0"/>
              <w:bottom w:val="single" w:color="000000" w:sz="8" w:space="0"/>
              <w:right w:val="single" w:color="000000" w:sz="8" w:space="0"/>
            </w:tcBorders>
            <w:vAlign w:val="center"/>
          </w:tcPr>
          <w:p w14:paraId="02BB4BAB">
            <w:pPr>
              <w:keepNext w:val="0"/>
              <w:keepLines w:val="0"/>
              <w:pageBreakBefore w:val="0"/>
              <w:widowControl/>
              <w:kinsoku/>
              <w:wordWrap w:val="0"/>
              <w:overflowPunct/>
              <w:topLinePunct w:val="0"/>
              <w:autoSpaceDE/>
              <w:autoSpaceDN/>
              <w:bidi w:val="0"/>
              <w:adjustRightInd/>
              <w:snapToGrid/>
              <w:spacing w:line="500" w:lineRule="exact"/>
              <w:ind w:left="0"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15</w:t>
            </w:r>
          </w:p>
        </w:tc>
        <w:tc>
          <w:tcPr>
            <w:tcW w:w="1080" w:type="dxa"/>
            <w:vMerge w:val="restart"/>
            <w:tcBorders>
              <w:top w:val="nil"/>
              <w:left w:val="single" w:color="000000" w:sz="8" w:space="0"/>
              <w:bottom w:val="single" w:color="000000" w:sz="8" w:space="0"/>
              <w:right w:val="single" w:color="000000" w:sz="8" w:space="0"/>
            </w:tcBorders>
            <w:vAlign w:val="center"/>
          </w:tcPr>
          <w:p w14:paraId="405F0890">
            <w:pPr>
              <w:keepNext w:val="0"/>
              <w:keepLines w:val="0"/>
              <w:pageBreakBefore w:val="0"/>
              <w:widowControl/>
              <w:kinsoku/>
              <w:wordWrap w:val="0"/>
              <w:overflowPunct/>
              <w:topLinePunct w:val="0"/>
              <w:autoSpaceDE/>
              <w:autoSpaceDN/>
              <w:bidi w:val="0"/>
              <w:adjustRightInd/>
              <w:snapToGrid/>
              <w:spacing w:line="500" w:lineRule="exact"/>
              <w:ind w:left="0"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★A060805便器</w:t>
            </w:r>
          </w:p>
        </w:tc>
        <w:tc>
          <w:tcPr>
            <w:tcW w:w="1320" w:type="dxa"/>
            <w:tcBorders>
              <w:top w:val="nil"/>
              <w:left w:val="nil"/>
              <w:bottom w:val="single" w:color="000000" w:sz="8" w:space="0"/>
              <w:right w:val="single" w:color="000000" w:sz="8" w:space="0"/>
            </w:tcBorders>
            <w:vAlign w:val="center"/>
          </w:tcPr>
          <w:p w14:paraId="35D4DCAF">
            <w:pPr>
              <w:keepNext w:val="0"/>
              <w:keepLines w:val="0"/>
              <w:pageBreakBefore w:val="0"/>
              <w:widowControl/>
              <w:kinsoku/>
              <w:wordWrap w:val="0"/>
              <w:overflowPunct/>
              <w:topLinePunct w:val="0"/>
              <w:autoSpaceDE/>
              <w:autoSpaceDN/>
              <w:bidi w:val="0"/>
              <w:adjustRightInd/>
              <w:snapToGrid/>
              <w:spacing w:line="500" w:lineRule="exact"/>
              <w:ind w:left="0"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坐便器</w:t>
            </w:r>
          </w:p>
        </w:tc>
        <w:tc>
          <w:tcPr>
            <w:tcW w:w="1620" w:type="dxa"/>
            <w:tcBorders>
              <w:top w:val="nil"/>
              <w:left w:val="nil"/>
              <w:bottom w:val="single" w:color="000000" w:sz="8" w:space="0"/>
              <w:right w:val="single" w:color="000000" w:sz="8" w:space="0"/>
            </w:tcBorders>
            <w:vAlign w:val="center"/>
          </w:tcPr>
          <w:p w14:paraId="3983B11F">
            <w:pPr>
              <w:keepNext w:val="0"/>
              <w:keepLines w:val="0"/>
              <w:pageBreakBefore w:val="0"/>
              <w:widowControl/>
              <w:kinsoku/>
              <w:wordWrap w:val="0"/>
              <w:overflowPunct/>
              <w:topLinePunct w:val="0"/>
              <w:autoSpaceDE/>
              <w:autoSpaceDN/>
              <w:bidi w:val="0"/>
              <w:adjustRightInd/>
              <w:snapToGrid/>
              <w:spacing w:line="500" w:lineRule="exact"/>
              <w:ind w:left="0"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923" w:type="dxa"/>
            <w:tcBorders>
              <w:top w:val="nil"/>
              <w:left w:val="nil"/>
              <w:bottom w:val="single" w:color="000000" w:sz="8" w:space="0"/>
              <w:right w:val="single" w:color="000000" w:sz="8" w:space="0"/>
            </w:tcBorders>
            <w:vAlign w:val="center"/>
          </w:tcPr>
          <w:p w14:paraId="5FC3C425">
            <w:pPr>
              <w:keepNext w:val="0"/>
              <w:keepLines w:val="0"/>
              <w:pageBreakBefore w:val="0"/>
              <w:widowControl/>
              <w:kinsoku/>
              <w:wordWrap w:val="0"/>
              <w:overflowPunct/>
              <w:topLinePunct w:val="0"/>
              <w:autoSpaceDE/>
              <w:autoSpaceDN/>
              <w:bidi w:val="0"/>
              <w:adjustRightInd/>
              <w:snapToGrid/>
              <w:spacing w:line="500" w:lineRule="exact"/>
              <w:ind w:left="0" w:firstLine="400"/>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《坐便器水效限定值及水效等级》（GB25502）</w:t>
            </w:r>
          </w:p>
        </w:tc>
      </w:tr>
      <w:tr w14:paraId="7E1A37D0">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7AA57837">
            <w:pPr>
              <w:keepNext w:val="0"/>
              <w:keepLines w:val="0"/>
              <w:pageBreakBefore w:val="0"/>
              <w:widowControl/>
              <w:kinsoku/>
              <w:wordWrap w:val="0"/>
              <w:overflowPunct/>
              <w:topLinePunct w:val="0"/>
              <w:autoSpaceDE/>
              <w:autoSpaceDN/>
              <w:bidi w:val="0"/>
              <w:adjustRightInd/>
              <w:snapToGrid/>
              <w:spacing w:line="500" w:lineRule="exact"/>
              <w:ind w:left="0" w:firstLine="400"/>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7132D365">
            <w:pPr>
              <w:keepNext w:val="0"/>
              <w:keepLines w:val="0"/>
              <w:pageBreakBefore w:val="0"/>
              <w:widowControl/>
              <w:kinsoku/>
              <w:wordWrap w:val="0"/>
              <w:overflowPunct/>
              <w:topLinePunct w:val="0"/>
              <w:autoSpaceDE/>
              <w:autoSpaceDN/>
              <w:bidi w:val="0"/>
              <w:adjustRightInd/>
              <w:snapToGrid/>
              <w:spacing w:line="500" w:lineRule="exact"/>
              <w:ind w:left="0" w:firstLine="400"/>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4558D7C1">
            <w:pPr>
              <w:keepNext w:val="0"/>
              <w:keepLines w:val="0"/>
              <w:pageBreakBefore w:val="0"/>
              <w:widowControl/>
              <w:kinsoku/>
              <w:wordWrap w:val="0"/>
              <w:overflowPunct/>
              <w:topLinePunct w:val="0"/>
              <w:autoSpaceDE/>
              <w:autoSpaceDN/>
              <w:bidi w:val="0"/>
              <w:adjustRightInd/>
              <w:snapToGrid/>
              <w:spacing w:line="500" w:lineRule="exact"/>
              <w:ind w:left="0"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蹲便器</w:t>
            </w:r>
          </w:p>
        </w:tc>
        <w:tc>
          <w:tcPr>
            <w:tcW w:w="1620" w:type="dxa"/>
            <w:tcBorders>
              <w:top w:val="nil"/>
              <w:left w:val="nil"/>
              <w:bottom w:val="single" w:color="000000" w:sz="8" w:space="0"/>
              <w:right w:val="single" w:color="000000" w:sz="8" w:space="0"/>
            </w:tcBorders>
            <w:vAlign w:val="center"/>
          </w:tcPr>
          <w:p w14:paraId="556266BD">
            <w:pPr>
              <w:keepNext w:val="0"/>
              <w:keepLines w:val="0"/>
              <w:pageBreakBefore w:val="0"/>
              <w:widowControl/>
              <w:kinsoku/>
              <w:wordWrap w:val="0"/>
              <w:overflowPunct/>
              <w:topLinePunct w:val="0"/>
              <w:autoSpaceDE/>
              <w:autoSpaceDN/>
              <w:bidi w:val="0"/>
              <w:adjustRightInd/>
              <w:snapToGrid/>
              <w:spacing w:line="500" w:lineRule="exact"/>
              <w:ind w:left="0"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923" w:type="dxa"/>
            <w:tcBorders>
              <w:top w:val="nil"/>
              <w:left w:val="nil"/>
              <w:bottom w:val="single" w:color="000000" w:sz="8" w:space="0"/>
              <w:right w:val="single" w:color="000000" w:sz="8" w:space="0"/>
            </w:tcBorders>
            <w:vAlign w:val="center"/>
          </w:tcPr>
          <w:p w14:paraId="4D10E70E">
            <w:pPr>
              <w:keepNext w:val="0"/>
              <w:keepLines w:val="0"/>
              <w:pageBreakBefore w:val="0"/>
              <w:widowControl/>
              <w:kinsoku/>
              <w:wordWrap w:val="0"/>
              <w:overflowPunct/>
              <w:topLinePunct w:val="0"/>
              <w:autoSpaceDE/>
              <w:autoSpaceDN/>
              <w:bidi w:val="0"/>
              <w:adjustRightInd/>
              <w:snapToGrid/>
              <w:spacing w:line="500" w:lineRule="exact"/>
              <w:ind w:left="0" w:firstLine="400"/>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《蹲便器用水效率限定值及用水效率等级》（GB30717）</w:t>
            </w:r>
          </w:p>
        </w:tc>
      </w:tr>
      <w:tr w14:paraId="00D740D9">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66F3FB7B">
            <w:pPr>
              <w:keepNext w:val="0"/>
              <w:keepLines w:val="0"/>
              <w:pageBreakBefore w:val="0"/>
              <w:widowControl/>
              <w:kinsoku/>
              <w:wordWrap w:val="0"/>
              <w:overflowPunct/>
              <w:topLinePunct w:val="0"/>
              <w:autoSpaceDE/>
              <w:autoSpaceDN/>
              <w:bidi w:val="0"/>
              <w:adjustRightInd/>
              <w:snapToGrid/>
              <w:spacing w:line="500" w:lineRule="exact"/>
              <w:ind w:left="0" w:firstLine="400"/>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4FCED7D4">
            <w:pPr>
              <w:keepNext w:val="0"/>
              <w:keepLines w:val="0"/>
              <w:pageBreakBefore w:val="0"/>
              <w:widowControl/>
              <w:kinsoku/>
              <w:wordWrap w:val="0"/>
              <w:overflowPunct/>
              <w:topLinePunct w:val="0"/>
              <w:autoSpaceDE/>
              <w:autoSpaceDN/>
              <w:bidi w:val="0"/>
              <w:adjustRightInd/>
              <w:snapToGrid/>
              <w:spacing w:line="500" w:lineRule="exact"/>
              <w:ind w:left="0" w:firstLine="400"/>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1273B214">
            <w:pPr>
              <w:keepNext w:val="0"/>
              <w:keepLines w:val="0"/>
              <w:pageBreakBefore w:val="0"/>
              <w:widowControl/>
              <w:kinsoku/>
              <w:wordWrap w:val="0"/>
              <w:overflowPunct/>
              <w:topLinePunct w:val="0"/>
              <w:autoSpaceDE/>
              <w:autoSpaceDN/>
              <w:bidi w:val="0"/>
              <w:adjustRightInd/>
              <w:snapToGrid/>
              <w:spacing w:line="500" w:lineRule="exact"/>
              <w:ind w:left="0"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小便器</w:t>
            </w:r>
          </w:p>
        </w:tc>
        <w:tc>
          <w:tcPr>
            <w:tcW w:w="1620" w:type="dxa"/>
            <w:tcBorders>
              <w:top w:val="nil"/>
              <w:left w:val="nil"/>
              <w:bottom w:val="single" w:color="000000" w:sz="8" w:space="0"/>
              <w:right w:val="single" w:color="000000" w:sz="8" w:space="0"/>
            </w:tcBorders>
            <w:vAlign w:val="center"/>
          </w:tcPr>
          <w:p w14:paraId="3EBFB8C7">
            <w:pPr>
              <w:keepNext w:val="0"/>
              <w:keepLines w:val="0"/>
              <w:pageBreakBefore w:val="0"/>
              <w:widowControl/>
              <w:kinsoku/>
              <w:wordWrap w:val="0"/>
              <w:overflowPunct/>
              <w:topLinePunct w:val="0"/>
              <w:autoSpaceDE/>
              <w:autoSpaceDN/>
              <w:bidi w:val="0"/>
              <w:adjustRightInd/>
              <w:snapToGrid/>
              <w:spacing w:line="500" w:lineRule="exact"/>
              <w:ind w:left="0"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923" w:type="dxa"/>
            <w:tcBorders>
              <w:top w:val="nil"/>
              <w:left w:val="nil"/>
              <w:bottom w:val="single" w:color="000000" w:sz="8" w:space="0"/>
              <w:right w:val="single" w:color="000000" w:sz="8" w:space="0"/>
            </w:tcBorders>
            <w:vAlign w:val="center"/>
          </w:tcPr>
          <w:p w14:paraId="758839FB">
            <w:pPr>
              <w:keepNext w:val="0"/>
              <w:keepLines w:val="0"/>
              <w:pageBreakBefore w:val="0"/>
              <w:widowControl/>
              <w:kinsoku/>
              <w:wordWrap w:val="0"/>
              <w:overflowPunct/>
              <w:topLinePunct w:val="0"/>
              <w:autoSpaceDE/>
              <w:autoSpaceDN/>
              <w:bidi w:val="0"/>
              <w:adjustRightInd/>
              <w:snapToGrid/>
              <w:spacing w:line="500" w:lineRule="exact"/>
              <w:ind w:left="0" w:firstLine="400"/>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《小便器用水效率限定值及用水效率等级》（GB28377）</w:t>
            </w:r>
          </w:p>
        </w:tc>
      </w:tr>
      <w:tr w14:paraId="18E2855F">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13D2F463">
            <w:pPr>
              <w:keepNext w:val="0"/>
              <w:keepLines w:val="0"/>
              <w:pageBreakBefore w:val="0"/>
              <w:widowControl/>
              <w:kinsoku/>
              <w:wordWrap w:val="0"/>
              <w:overflowPunct/>
              <w:topLinePunct w:val="0"/>
              <w:autoSpaceDE/>
              <w:autoSpaceDN/>
              <w:bidi w:val="0"/>
              <w:adjustRightInd/>
              <w:snapToGrid/>
              <w:spacing w:line="500" w:lineRule="exact"/>
              <w:ind w:left="0"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16</w:t>
            </w:r>
          </w:p>
        </w:tc>
        <w:tc>
          <w:tcPr>
            <w:tcW w:w="1080" w:type="dxa"/>
            <w:tcBorders>
              <w:top w:val="nil"/>
              <w:left w:val="nil"/>
              <w:bottom w:val="single" w:color="000000" w:sz="8" w:space="0"/>
              <w:right w:val="single" w:color="000000" w:sz="8" w:space="0"/>
            </w:tcBorders>
            <w:vAlign w:val="center"/>
          </w:tcPr>
          <w:p w14:paraId="61618A5C">
            <w:pPr>
              <w:keepNext w:val="0"/>
              <w:keepLines w:val="0"/>
              <w:pageBreakBefore w:val="0"/>
              <w:widowControl/>
              <w:kinsoku/>
              <w:wordWrap w:val="0"/>
              <w:overflowPunct/>
              <w:topLinePunct w:val="0"/>
              <w:autoSpaceDE/>
              <w:autoSpaceDN/>
              <w:bidi w:val="0"/>
              <w:adjustRightInd/>
              <w:snapToGrid/>
              <w:spacing w:line="500" w:lineRule="exact"/>
              <w:ind w:left="0"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★A060806水嘴</w:t>
            </w:r>
          </w:p>
        </w:tc>
        <w:tc>
          <w:tcPr>
            <w:tcW w:w="1320" w:type="dxa"/>
            <w:tcBorders>
              <w:top w:val="nil"/>
              <w:left w:val="nil"/>
              <w:bottom w:val="single" w:color="000000" w:sz="8" w:space="0"/>
              <w:right w:val="single" w:color="000000" w:sz="8" w:space="0"/>
            </w:tcBorders>
            <w:vAlign w:val="center"/>
          </w:tcPr>
          <w:p w14:paraId="188AA64C">
            <w:pPr>
              <w:keepNext w:val="0"/>
              <w:keepLines w:val="0"/>
              <w:pageBreakBefore w:val="0"/>
              <w:widowControl/>
              <w:kinsoku/>
              <w:wordWrap w:val="0"/>
              <w:overflowPunct/>
              <w:topLinePunct w:val="0"/>
              <w:autoSpaceDE/>
              <w:autoSpaceDN/>
              <w:bidi w:val="0"/>
              <w:adjustRightInd/>
              <w:snapToGrid/>
              <w:spacing w:line="500" w:lineRule="exact"/>
              <w:ind w:left="0"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vAlign w:val="center"/>
          </w:tcPr>
          <w:p w14:paraId="473685DC">
            <w:pPr>
              <w:keepNext w:val="0"/>
              <w:keepLines w:val="0"/>
              <w:pageBreakBefore w:val="0"/>
              <w:widowControl/>
              <w:kinsoku/>
              <w:wordWrap w:val="0"/>
              <w:overflowPunct/>
              <w:topLinePunct w:val="0"/>
              <w:autoSpaceDE/>
              <w:autoSpaceDN/>
              <w:bidi w:val="0"/>
              <w:adjustRightInd/>
              <w:snapToGrid/>
              <w:spacing w:line="500" w:lineRule="exact"/>
              <w:ind w:left="0"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923" w:type="dxa"/>
            <w:tcBorders>
              <w:top w:val="nil"/>
              <w:left w:val="nil"/>
              <w:bottom w:val="single" w:color="000000" w:sz="8" w:space="0"/>
              <w:right w:val="single" w:color="000000" w:sz="8" w:space="0"/>
            </w:tcBorders>
            <w:vAlign w:val="center"/>
          </w:tcPr>
          <w:p w14:paraId="1F929C03">
            <w:pPr>
              <w:keepNext w:val="0"/>
              <w:keepLines w:val="0"/>
              <w:pageBreakBefore w:val="0"/>
              <w:widowControl/>
              <w:kinsoku/>
              <w:wordWrap w:val="0"/>
              <w:overflowPunct/>
              <w:topLinePunct w:val="0"/>
              <w:autoSpaceDE/>
              <w:autoSpaceDN/>
              <w:bidi w:val="0"/>
              <w:adjustRightInd/>
              <w:snapToGrid/>
              <w:spacing w:line="500" w:lineRule="exact"/>
              <w:ind w:left="0" w:firstLine="400"/>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《水嘴用水效率限定值及用水效率等级》（GB 25501）</w:t>
            </w:r>
          </w:p>
        </w:tc>
      </w:tr>
      <w:tr w14:paraId="7D6ED423">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588D378F">
            <w:pPr>
              <w:keepNext w:val="0"/>
              <w:keepLines w:val="0"/>
              <w:pageBreakBefore w:val="0"/>
              <w:widowControl/>
              <w:kinsoku/>
              <w:wordWrap w:val="0"/>
              <w:overflowPunct/>
              <w:topLinePunct w:val="0"/>
              <w:autoSpaceDE/>
              <w:autoSpaceDN/>
              <w:bidi w:val="0"/>
              <w:adjustRightInd/>
              <w:snapToGrid/>
              <w:spacing w:line="500" w:lineRule="exact"/>
              <w:ind w:left="0"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17</w:t>
            </w:r>
          </w:p>
        </w:tc>
        <w:tc>
          <w:tcPr>
            <w:tcW w:w="1080" w:type="dxa"/>
            <w:tcBorders>
              <w:top w:val="nil"/>
              <w:left w:val="nil"/>
              <w:bottom w:val="single" w:color="000000" w:sz="8" w:space="0"/>
              <w:right w:val="single" w:color="000000" w:sz="8" w:space="0"/>
            </w:tcBorders>
            <w:vAlign w:val="center"/>
          </w:tcPr>
          <w:p w14:paraId="4367365D">
            <w:pPr>
              <w:keepNext w:val="0"/>
              <w:keepLines w:val="0"/>
              <w:pageBreakBefore w:val="0"/>
              <w:widowControl/>
              <w:kinsoku/>
              <w:wordWrap w:val="0"/>
              <w:overflowPunct/>
              <w:topLinePunct w:val="0"/>
              <w:autoSpaceDE/>
              <w:autoSpaceDN/>
              <w:bidi w:val="0"/>
              <w:adjustRightInd/>
              <w:snapToGrid/>
              <w:spacing w:line="500" w:lineRule="exact"/>
              <w:ind w:left="0"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A060807便器冲洗阀</w:t>
            </w:r>
          </w:p>
        </w:tc>
        <w:tc>
          <w:tcPr>
            <w:tcW w:w="1320" w:type="dxa"/>
            <w:tcBorders>
              <w:top w:val="nil"/>
              <w:left w:val="nil"/>
              <w:bottom w:val="single" w:color="000000" w:sz="8" w:space="0"/>
              <w:right w:val="single" w:color="000000" w:sz="8" w:space="0"/>
            </w:tcBorders>
            <w:vAlign w:val="center"/>
          </w:tcPr>
          <w:p w14:paraId="2A19560A">
            <w:pPr>
              <w:keepNext w:val="0"/>
              <w:keepLines w:val="0"/>
              <w:pageBreakBefore w:val="0"/>
              <w:widowControl/>
              <w:kinsoku/>
              <w:wordWrap w:val="0"/>
              <w:overflowPunct/>
              <w:topLinePunct w:val="0"/>
              <w:autoSpaceDE/>
              <w:autoSpaceDN/>
              <w:bidi w:val="0"/>
              <w:adjustRightInd/>
              <w:snapToGrid/>
              <w:spacing w:line="500" w:lineRule="exact"/>
              <w:ind w:left="0"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vAlign w:val="center"/>
          </w:tcPr>
          <w:p w14:paraId="18216F4F">
            <w:pPr>
              <w:keepNext w:val="0"/>
              <w:keepLines w:val="0"/>
              <w:pageBreakBefore w:val="0"/>
              <w:widowControl/>
              <w:kinsoku/>
              <w:wordWrap w:val="0"/>
              <w:overflowPunct/>
              <w:topLinePunct w:val="0"/>
              <w:autoSpaceDE/>
              <w:autoSpaceDN/>
              <w:bidi w:val="0"/>
              <w:adjustRightInd/>
              <w:snapToGrid/>
              <w:spacing w:line="500" w:lineRule="exact"/>
              <w:ind w:left="0"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923" w:type="dxa"/>
            <w:tcBorders>
              <w:top w:val="nil"/>
              <w:left w:val="nil"/>
              <w:bottom w:val="single" w:color="000000" w:sz="8" w:space="0"/>
              <w:right w:val="single" w:color="000000" w:sz="8" w:space="0"/>
            </w:tcBorders>
            <w:vAlign w:val="center"/>
          </w:tcPr>
          <w:p w14:paraId="5EFFB25A">
            <w:pPr>
              <w:keepNext w:val="0"/>
              <w:keepLines w:val="0"/>
              <w:pageBreakBefore w:val="0"/>
              <w:widowControl/>
              <w:kinsoku/>
              <w:wordWrap w:val="0"/>
              <w:overflowPunct/>
              <w:topLinePunct w:val="0"/>
              <w:autoSpaceDE/>
              <w:autoSpaceDN/>
              <w:bidi w:val="0"/>
              <w:adjustRightInd/>
              <w:snapToGrid/>
              <w:spacing w:line="500" w:lineRule="exact"/>
              <w:ind w:left="0" w:firstLine="400"/>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《便器冲洗阀用水效率限定值及用水效率等级》（GB28379）</w:t>
            </w:r>
          </w:p>
        </w:tc>
      </w:tr>
      <w:tr w14:paraId="55FEF944">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052C1E73">
            <w:pPr>
              <w:keepNext w:val="0"/>
              <w:keepLines w:val="0"/>
              <w:pageBreakBefore w:val="0"/>
              <w:widowControl/>
              <w:kinsoku/>
              <w:wordWrap w:val="0"/>
              <w:overflowPunct/>
              <w:topLinePunct w:val="0"/>
              <w:autoSpaceDE/>
              <w:autoSpaceDN/>
              <w:bidi w:val="0"/>
              <w:adjustRightInd/>
              <w:snapToGrid/>
              <w:spacing w:line="500" w:lineRule="exact"/>
              <w:ind w:left="0"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18</w:t>
            </w:r>
          </w:p>
        </w:tc>
        <w:tc>
          <w:tcPr>
            <w:tcW w:w="1080" w:type="dxa"/>
            <w:tcBorders>
              <w:top w:val="nil"/>
              <w:left w:val="nil"/>
              <w:bottom w:val="single" w:color="000000" w:sz="8" w:space="0"/>
              <w:right w:val="single" w:color="000000" w:sz="8" w:space="0"/>
            </w:tcBorders>
            <w:vAlign w:val="center"/>
          </w:tcPr>
          <w:p w14:paraId="0529DA98">
            <w:pPr>
              <w:keepNext w:val="0"/>
              <w:keepLines w:val="0"/>
              <w:pageBreakBefore w:val="0"/>
              <w:widowControl/>
              <w:kinsoku/>
              <w:wordWrap w:val="0"/>
              <w:overflowPunct/>
              <w:topLinePunct w:val="0"/>
              <w:autoSpaceDE/>
              <w:autoSpaceDN/>
              <w:bidi w:val="0"/>
              <w:adjustRightInd/>
              <w:snapToGrid/>
              <w:spacing w:line="500" w:lineRule="exact"/>
              <w:ind w:left="0"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A060810淋浴器</w:t>
            </w:r>
          </w:p>
        </w:tc>
        <w:tc>
          <w:tcPr>
            <w:tcW w:w="1320" w:type="dxa"/>
            <w:tcBorders>
              <w:top w:val="nil"/>
              <w:left w:val="nil"/>
              <w:bottom w:val="single" w:color="000000" w:sz="8" w:space="0"/>
              <w:right w:val="single" w:color="000000" w:sz="8" w:space="0"/>
            </w:tcBorders>
            <w:vAlign w:val="center"/>
          </w:tcPr>
          <w:p w14:paraId="32DD08B6">
            <w:pPr>
              <w:keepNext w:val="0"/>
              <w:keepLines w:val="0"/>
              <w:pageBreakBefore w:val="0"/>
              <w:widowControl/>
              <w:kinsoku/>
              <w:wordWrap w:val="0"/>
              <w:overflowPunct/>
              <w:topLinePunct w:val="0"/>
              <w:autoSpaceDE/>
              <w:autoSpaceDN/>
              <w:bidi w:val="0"/>
              <w:adjustRightInd/>
              <w:snapToGrid/>
              <w:spacing w:line="500" w:lineRule="exact"/>
              <w:ind w:left="0"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vAlign w:val="center"/>
          </w:tcPr>
          <w:p w14:paraId="63A838C7">
            <w:pPr>
              <w:keepNext w:val="0"/>
              <w:keepLines w:val="0"/>
              <w:pageBreakBefore w:val="0"/>
              <w:widowControl/>
              <w:kinsoku/>
              <w:wordWrap w:val="0"/>
              <w:overflowPunct/>
              <w:topLinePunct w:val="0"/>
              <w:autoSpaceDE/>
              <w:autoSpaceDN/>
              <w:bidi w:val="0"/>
              <w:adjustRightInd/>
              <w:snapToGrid/>
              <w:spacing w:line="500" w:lineRule="exact"/>
              <w:ind w:left="0" w:firstLine="40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923" w:type="dxa"/>
            <w:tcBorders>
              <w:top w:val="nil"/>
              <w:left w:val="nil"/>
              <w:bottom w:val="single" w:color="000000" w:sz="8" w:space="0"/>
              <w:right w:val="single" w:color="000000" w:sz="8" w:space="0"/>
            </w:tcBorders>
            <w:vAlign w:val="center"/>
          </w:tcPr>
          <w:p w14:paraId="34E6C7CF">
            <w:pPr>
              <w:keepNext w:val="0"/>
              <w:keepLines w:val="0"/>
              <w:pageBreakBefore w:val="0"/>
              <w:widowControl/>
              <w:kinsoku/>
              <w:wordWrap w:val="0"/>
              <w:overflowPunct/>
              <w:topLinePunct w:val="0"/>
              <w:autoSpaceDE/>
              <w:autoSpaceDN/>
              <w:bidi w:val="0"/>
              <w:adjustRightInd/>
              <w:snapToGrid/>
              <w:spacing w:line="500" w:lineRule="exact"/>
              <w:ind w:left="0" w:firstLine="400"/>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《淋浴器用水效率限定值及用水效率等级》（GB28378）</w:t>
            </w:r>
          </w:p>
        </w:tc>
      </w:tr>
    </w:tbl>
    <w:p w14:paraId="7ED2A2EA">
      <w:pPr>
        <w:pStyle w:val="11"/>
        <w:keepNext w:val="0"/>
        <w:keepLines w:val="0"/>
        <w:pageBreakBefore w:val="0"/>
        <w:kinsoku/>
        <w:wordWrap w:val="0"/>
        <w:overflowPunct/>
        <w:topLinePunct w:val="0"/>
        <w:autoSpaceDE/>
        <w:autoSpaceDN/>
        <w:bidi w:val="0"/>
        <w:adjustRightInd/>
        <w:snapToGrid/>
        <w:spacing w:after="0" w:line="500" w:lineRule="exact"/>
        <w:ind w:left="0" w:firstLine="468"/>
        <w:rPr>
          <w:rFonts w:ascii="宋体" w:hAnsi="宋体" w:cs="宋体"/>
          <w:color w:val="auto"/>
          <w:spacing w:val="-3"/>
          <w:szCs w:val="21"/>
          <w:highlight w:val="none"/>
        </w:rPr>
      </w:pPr>
    </w:p>
    <w:p w14:paraId="5C595CEC">
      <w:pPr>
        <w:pStyle w:val="11"/>
        <w:keepNext w:val="0"/>
        <w:keepLines w:val="0"/>
        <w:pageBreakBefore w:val="0"/>
        <w:kinsoku/>
        <w:wordWrap w:val="0"/>
        <w:overflowPunct/>
        <w:topLinePunct w:val="0"/>
        <w:autoSpaceDE/>
        <w:autoSpaceDN/>
        <w:bidi w:val="0"/>
        <w:adjustRightInd/>
        <w:snapToGrid/>
        <w:spacing w:after="0" w:line="500" w:lineRule="exact"/>
        <w:ind w:left="0" w:firstLine="468"/>
        <w:rPr>
          <w:rFonts w:ascii="宋体" w:hAnsi="宋体" w:cs="宋体"/>
          <w:color w:val="auto"/>
          <w:szCs w:val="21"/>
          <w:highlight w:val="none"/>
        </w:rPr>
      </w:pPr>
      <w:r>
        <w:rPr>
          <w:rFonts w:hint="eastAsia" w:ascii="宋体" w:hAnsi="宋体" w:cs="宋体"/>
          <w:color w:val="auto"/>
          <w:spacing w:val="-3"/>
          <w:szCs w:val="21"/>
          <w:highlight w:val="none"/>
        </w:rPr>
        <w:t>注：1.节能产品认证应依据相关国家标准的最新版本，依据国家标准中二级能效（水效）</w:t>
      </w:r>
      <w:r>
        <w:rPr>
          <w:rFonts w:hint="eastAsia" w:ascii="宋体" w:hAnsi="宋体" w:cs="宋体"/>
          <w:color w:val="auto"/>
          <w:szCs w:val="21"/>
          <w:highlight w:val="none"/>
        </w:rPr>
        <w:t>指标。</w:t>
      </w:r>
    </w:p>
    <w:p w14:paraId="11D284E6">
      <w:pPr>
        <w:pStyle w:val="11"/>
        <w:keepNext w:val="0"/>
        <w:keepLines w:val="0"/>
        <w:pageBreakBefore w:val="0"/>
        <w:kinsoku/>
        <w:wordWrap w:val="0"/>
        <w:overflowPunct/>
        <w:topLinePunct w:val="0"/>
        <w:autoSpaceDE/>
        <w:autoSpaceDN/>
        <w:bidi w:val="0"/>
        <w:adjustRightInd/>
        <w:snapToGrid/>
        <w:spacing w:after="0" w:line="500" w:lineRule="exact"/>
        <w:ind w:left="0"/>
        <w:rPr>
          <w:rFonts w:ascii="宋体" w:hAnsi="宋体" w:cs="宋体"/>
          <w:b/>
          <w:bCs/>
          <w:color w:val="auto"/>
          <w:szCs w:val="21"/>
          <w:highlight w:val="none"/>
        </w:rPr>
      </w:pPr>
      <w:r>
        <w:rPr>
          <w:rFonts w:hint="eastAsia" w:ascii="宋体" w:hAnsi="宋体" w:cs="宋体"/>
          <w:color w:val="auto"/>
          <w:szCs w:val="21"/>
          <w:highlight w:val="none"/>
        </w:rPr>
        <w:t xml:space="preserve">    2</w:t>
      </w:r>
      <w:r>
        <w:rPr>
          <w:rFonts w:hint="eastAsia" w:ascii="宋体" w:hAnsi="宋体" w:cs="宋体"/>
          <w:b/>
          <w:bCs/>
          <w:color w:val="auto"/>
          <w:szCs w:val="21"/>
          <w:highlight w:val="none"/>
        </w:rPr>
        <w:t>.以“★”标注的为政府强制采购产品。</w:t>
      </w:r>
    </w:p>
    <w:p w14:paraId="2CB23CA7">
      <w:pPr>
        <w:rPr>
          <w:rFonts w:hint="eastAsia" w:hAnsi="宋体" w:cs="宋体"/>
          <w:b/>
          <w:color w:val="auto"/>
          <w:sz w:val="36"/>
          <w:highlight w:val="none"/>
        </w:rPr>
      </w:pPr>
      <w:r>
        <w:rPr>
          <w:rFonts w:hint="eastAsia" w:hAnsi="宋体" w:cs="宋体"/>
          <w:b/>
          <w:color w:val="auto"/>
          <w:sz w:val="36"/>
          <w:highlight w:val="none"/>
        </w:rPr>
        <w:br w:type="page"/>
      </w:r>
    </w:p>
    <w:p w14:paraId="19E4B8DE">
      <w:pPr>
        <w:pStyle w:val="14"/>
        <w:wordWrap w:val="0"/>
        <w:spacing w:line="360" w:lineRule="auto"/>
        <w:jc w:val="left"/>
        <w:rPr>
          <w:rFonts w:hAnsi="宋体" w:cs="宋体"/>
          <w:color w:val="auto"/>
          <w:sz w:val="32"/>
          <w:szCs w:val="32"/>
          <w:highlight w:val="none"/>
        </w:rPr>
      </w:pPr>
      <w:r>
        <w:rPr>
          <w:rFonts w:hint="eastAsia" w:hAnsi="宋体" w:cs="宋体"/>
          <w:color w:val="auto"/>
          <w:sz w:val="32"/>
          <w:szCs w:val="32"/>
          <w:highlight w:val="none"/>
        </w:rPr>
        <w:t>附件</w:t>
      </w:r>
      <w:r>
        <w:rPr>
          <w:rFonts w:hint="eastAsia" w:hAnsi="宋体" w:cs="宋体"/>
          <w:color w:val="auto"/>
          <w:sz w:val="32"/>
          <w:szCs w:val="32"/>
          <w:highlight w:val="none"/>
          <w:lang w:val="en-US" w:eastAsia="zh-CN"/>
        </w:rPr>
        <w:t>4</w:t>
      </w:r>
      <w:r>
        <w:rPr>
          <w:rFonts w:hint="eastAsia" w:hAnsi="宋体" w:cs="宋体"/>
          <w:color w:val="auto"/>
          <w:sz w:val="32"/>
          <w:szCs w:val="32"/>
          <w:highlight w:val="none"/>
        </w:rPr>
        <w:t>：</w:t>
      </w:r>
    </w:p>
    <w:p w14:paraId="54200AF4">
      <w:pPr>
        <w:wordWrap w:val="0"/>
        <w:spacing w:line="360" w:lineRule="auto"/>
        <w:ind w:left="1871" w:firstLine="800"/>
        <w:rPr>
          <w:rFonts w:ascii="宋体" w:hAnsi="宋体" w:cs="宋体"/>
          <w:color w:val="auto"/>
          <w:sz w:val="40"/>
          <w:szCs w:val="40"/>
          <w:highlight w:val="none"/>
        </w:rPr>
      </w:pPr>
      <w:r>
        <w:rPr>
          <w:rFonts w:hint="eastAsia" w:ascii="宋体" w:hAnsi="宋体" w:cs="宋体"/>
          <w:color w:val="auto"/>
          <w:sz w:val="40"/>
          <w:szCs w:val="40"/>
          <w:highlight w:val="none"/>
        </w:rPr>
        <w:t>中小微企业划型标准</w:t>
      </w:r>
    </w:p>
    <w:tbl>
      <w:tblPr>
        <w:tblStyle w:val="25"/>
        <w:tblW w:w="9764" w:type="dxa"/>
        <w:tblInd w:w="250" w:type="dxa"/>
        <w:tblLayout w:type="fixed"/>
        <w:tblCellMar>
          <w:top w:w="0" w:type="dxa"/>
          <w:left w:w="108" w:type="dxa"/>
          <w:bottom w:w="0" w:type="dxa"/>
          <w:right w:w="108" w:type="dxa"/>
        </w:tblCellMar>
      </w:tblPr>
      <w:tblGrid>
        <w:gridCol w:w="1814"/>
        <w:gridCol w:w="1872"/>
        <w:gridCol w:w="1263"/>
        <w:gridCol w:w="1763"/>
        <w:gridCol w:w="1720"/>
        <w:gridCol w:w="1332"/>
      </w:tblGrid>
      <w:tr w14:paraId="7BB58D54">
        <w:tblPrEx>
          <w:tblCellMar>
            <w:top w:w="0" w:type="dxa"/>
            <w:left w:w="108" w:type="dxa"/>
            <w:bottom w:w="0" w:type="dxa"/>
            <w:right w:w="108" w:type="dxa"/>
          </w:tblCellMar>
        </w:tblPrEx>
        <w:trPr>
          <w:trHeight w:val="285" w:hRule="atLeast"/>
        </w:trPr>
        <w:tc>
          <w:tcPr>
            <w:tcW w:w="1814" w:type="dxa"/>
            <w:tcBorders>
              <w:top w:val="single" w:color="auto" w:sz="4" w:space="0"/>
              <w:left w:val="single" w:color="auto" w:sz="4" w:space="0"/>
              <w:bottom w:val="single" w:color="auto" w:sz="4" w:space="0"/>
              <w:right w:val="single" w:color="auto" w:sz="4" w:space="0"/>
            </w:tcBorders>
            <w:vAlign w:val="center"/>
          </w:tcPr>
          <w:p w14:paraId="677DECA3">
            <w:pPr>
              <w:widowControl/>
              <w:wordWrap w:val="0"/>
              <w:spacing w:line="360" w:lineRule="auto"/>
              <w:ind w:firstLine="482"/>
              <w:jc w:val="left"/>
              <w:rPr>
                <w:rFonts w:ascii="宋体" w:hAnsi="宋体" w:cs="宋体"/>
                <w:b/>
                <w:color w:val="auto"/>
                <w:kern w:val="0"/>
                <w:sz w:val="24"/>
                <w:highlight w:val="none"/>
              </w:rPr>
            </w:pPr>
            <w:r>
              <w:rPr>
                <w:rFonts w:hint="eastAsia" w:ascii="宋体" w:hAnsi="宋体" w:cs="宋体"/>
                <w:b/>
                <w:color w:val="auto"/>
                <w:kern w:val="0"/>
                <w:sz w:val="24"/>
                <w:highlight w:val="none"/>
              </w:rPr>
              <w:t>行业名称</w:t>
            </w:r>
          </w:p>
        </w:tc>
        <w:tc>
          <w:tcPr>
            <w:tcW w:w="1872" w:type="dxa"/>
            <w:tcBorders>
              <w:top w:val="single" w:color="auto" w:sz="4" w:space="0"/>
              <w:left w:val="nil"/>
              <w:bottom w:val="single" w:color="auto" w:sz="4" w:space="0"/>
              <w:right w:val="single" w:color="auto" w:sz="4" w:space="0"/>
            </w:tcBorders>
            <w:vAlign w:val="center"/>
          </w:tcPr>
          <w:p w14:paraId="5531BDA7">
            <w:pPr>
              <w:widowControl/>
              <w:wordWrap w:val="0"/>
              <w:spacing w:line="360" w:lineRule="auto"/>
              <w:ind w:firstLine="482"/>
              <w:jc w:val="left"/>
              <w:rPr>
                <w:rFonts w:ascii="宋体" w:hAnsi="宋体" w:cs="宋体"/>
                <w:b/>
                <w:color w:val="auto"/>
                <w:kern w:val="0"/>
                <w:sz w:val="24"/>
                <w:highlight w:val="none"/>
              </w:rPr>
            </w:pPr>
            <w:r>
              <w:rPr>
                <w:rFonts w:hint="eastAsia" w:ascii="宋体" w:hAnsi="宋体" w:cs="宋体"/>
                <w:b/>
                <w:color w:val="auto"/>
                <w:kern w:val="0"/>
                <w:sz w:val="24"/>
                <w:highlight w:val="none"/>
              </w:rPr>
              <w:t>指标名称</w:t>
            </w:r>
          </w:p>
        </w:tc>
        <w:tc>
          <w:tcPr>
            <w:tcW w:w="1263" w:type="dxa"/>
            <w:tcBorders>
              <w:top w:val="single" w:color="auto" w:sz="4" w:space="0"/>
              <w:left w:val="nil"/>
              <w:bottom w:val="single" w:color="auto" w:sz="4" w:space="0"/>
              <w:right w:val="single" w:color="auto" w:sz="4" w:space="0"/>
            </w:tcBorders>
            <w:vAlign w:val="center"/>
          </w:tcPr>
          <w:p w14:paraId="2B1E09F7">
            <w:pPr>
              <w:widowControl/>
              <w:wordWrap w:val="0"/>
              <w:spacing w:line="360" w:lineRule="auto"/>
              <w:jc w:val="left"/>
              <w:rPr>
                <w:rFonts w:ascii="宋体" w:hAnsi="宋体" w:cs="宋体"/>
                <w:b/>
                <w:color w:val="auto"/>
                <w:kern w:val="0"/>
                <w:sz w:val="24"/>
                <w:highlight w:val="none"/>
              </w:rPr>
            </w:pPr>
            <w:r>
              <w:rPr>
                <w:rFonts w:hint="eastAsia" w:ascii="宋体" w:hAnsi="宋体" w:cs="宋体"/>
                <w:b/>
                <w:color w:val="auto"/>
                <w:kern w:val="0"/>
                <w:sz w:val="24"/>
                <w:highlight w:val="none"/>
              </w:rPr>
              <w:t>计量单位</w:t>
            </w:r>
          </w:p>
        </w:tc>
        <w:tc>
          <w:tcPr>
            <w:tcW w:w="1763" w:type="dxa"/>
            <w:tcBorders>
              <w:top w:val="single" w:color="auto" w:sz="4" w:space="0"/>
              <w:left w:val="nil"/>
              <w:bottom w:val="single" w:color="auto" w:sz="4" w:space="0"/>
              <w:right w:val="single" w:color="auto" w:sz="4" w:space="0"/>
            </w:tcBorders>
            <w:vAlign w:val="center"/>
          </w:tcPr>
          <w:p w14:paraId="400356F3">
            <w:pPr>
              <w:widowControl/>
              <w:wordWrap w:val="0"/>
              <w:spacing w:line="360" w:lineRule="auto"/>
              <w:ind w:firstLine="482"/>
              <w:jc w:val="left"/>
              <w:rPr>
                <w:rFonts w:ascii="宋体" w:hAnsi="宋体" w:cs="宋体"/>
                <w:b/>
                <w:color w:val="auto"/>
                <w:kern w:val="0"/>
                <w:sz w:val="24"/>
                <w:highlight w:val="none"/>
              </w:rPr>
            </w:pPr>
            <w:r>
              <w:rPr>
                <w:rFonts w:hint="eastAsia" w:ascii="宋体" w:hAnsi="宋体" w:cs="宋体"/>
                <w:b/>
                <w:color w:val="auto"/>
                <w:kern w:val="0"/>
                <w:sz w:val="24"/>
                <w:highlight w:val="none"/>
              </w:rPr>
              <w:t>中型</w:t>
            </w:r>
          </w:p>
        </w:tc>
        <w:tc>
          <w:tcPr>
            <w:tcW w:w="1720" w:type="dxa"/>
            <w:tcBorders>
              <w:top w:val="single" w:color="auto" w:sz="4" w:space="0"/>
              <w:left w:val="nil"/>
              <w:bottom w:val="single" w:color="auto" w:sz="4" w:space="0"/>
              <w:right w:val="single" w:color="auto" w:sz="4" w:space="0"/>
            </w:tcBorders>
            <w:vAlign w:val="center"/>
          </w:tcPr>
          <w:p w14:paraId="7DEA53DE">
            <w:pPr>
              <w:widowControl/>
              <w:wordWrap w:val="0"/>
              <w:spacing w:line="360" w:lineRule="auto"/>
              <w:ind w:firstLine="482"/>
              <w:jc w:val="left"/>
              <w:rPr>
                <w:rFonts w:ascii="宋体" w:hAnsi="宋体" w:cs="宋体"/>
                <w:b/>
                <w:color w:val="auto"/>
                <w:kern w:val="0"/>
                <w:sz w:val="24"/>
                <w:highlight w:val="none"/>
              </w:rPr>
            </w:pPr>
            <w:r>
              <w:rPr>
                <w:rFonts w:hint="eastAsia" w:ascii="宋体" w:hAnsi="宋体" w:cs="宋体"/>
                <w:b/>
                <w:color w:val="auto"/>
                <w:kern w:val="0"/>
                <w:sz w:val="24"/>
                <w:highlight w:val="none"/>
              </w:rPr>
              <w:t>小型</w:t>
            </w:r>
          </w:p>
        </w:tc>
        <w:tc>
          <w:tcPr>
            <w:tcW w:w="1332" w:type="dxa"/>
            <w:tcBorders>
              <w:top w:val="single" w:color="auto" w:sz="4" w:space="0"/>
              <w:left w:val="nil"/>
              <w:bottom w:val="single" w:color="auto" w:sz="4" w:space="0"/>
              <w:right w:val="single" w:color="auto" w:sz="4" w:space="0"/>
            </w:tcBorders>
            <w:vAlign w:val="center"/>
          </w:tcPr>
          <w:p w14:paraId="7E947A7A">
            <w:pPr>
              <w:widowControl/>
              <w:wordWrap w:val="0"/>
              <w:spacing w:line="360" w:lineRule="auto"/>
              <w:ind w:firstLine="482"/>
              <w:jc w:val="left"/>
              <w:rPr>
                <w:rFonts w:ascii="宋体" w:hAnsi="宋体" w:cs="宋体"/>
                <w:b/>
                <w:color w:val="auto"/>
                <w:kern w:val="0"/>
                <w:sz w:val="24"/>
                <w:highlight w:val="none"/>
              </w:rPr>
            </w:pPr>
            <w:r>
              <w:rPr>
                <w:rFonts w:hint="eastAsia" w:ascii="宋体" w:hAnsi="宋体" w:cs="宋体"/>
                <w:b/>
                <w:color w:val="auto"/>
                <w:kern w:val="0"/>
                <w:sz w:val="24"/>
                <w:highlight w:val="none"/>
              </w:rPr>
              <w:t>微型</w:t>
            </w:r>
          </w:p>
        </w:tc>
      </w:tr>
      <w:tr w14:paraId="10D9AB25">
        <w:tblPrEx>
          <w:tblCellMar>
            <w:top w:w="0" w:type="dxa"/>
            <w:left w:w="108" w:type="dxa"/>
            <w:bottom w:w="0" w:type="dxa"/>
            <w:right w:w="108" w:type="dxa"/>
          </w:tblCellMar>
        </w:tblPrEx>
        <w:trPr>
          <w:trHeight w:val="225" w:hRule="atLeast"/>
        </w:trPr>
        <w:tc>
          <w:tcPr>
            <w:tcW w:w="1814" w:type="dxa"/>
            <w:tcBorders>
              <w:top w:val="nil"/>
              <w:left w:val="single" w:color="auto" w:sz="4" w:space="0"/>
              <w:bottom w:val="single" w:color="auto" w:sz="4" w:space="0"/>
              <w:right w:val="single" w:color="auto" w:sz="4" w:space="0"/>
            </w:tcBorders>
            <w:vAlign w:val="bottom"/>
          </w:tcPr>
          <w:p w14:paraId="4EB668A6">
            <w:pPr>
              <w:widowControl/>
              <w:wordWrap w:val="0"/>
              <w:spacing w:line="360" w:lineRule="auto"/>
              <w:ind w:firstLine="361"/>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农、林、牧、渔</w:t>
            </w:r>
          </w:p>
        </w:tc>
        <w:tc>
          <w:tcPr>
            <w:tcW w:w="1872" w:type="dxa"/>
            <w:tcBorders>
              <w:top w:val="nil"/>
              <w:left w:val="nil"/>
              <w:bottom w:val="single" w:color="auto" w:sz="4" w:space="0"/>
              <w:right w:val="single" w:color="auto" w:sz="4" w:space="0"/>
            </w:tcBorders>
            <w:vAlign w:val="center"/>
          </w:tcPr>
          <w:p w14:paraId="27A373FB">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263" w:type="dxa"/>
            <w:tcBorders>
              <w:top w:val="nil"/>
              <w:left w:val="nil"/>
              <w:bottom w:val="single" w:color="auto" w:sz="4" w:space="0"/>
              <w:right w:val="single" w:color="auto" w:sz="4" w:space="0"/>
            </w:tcBorders>
            <w:vAlign w:val="center"/>
          </w:tcPr>
          <w:p w14:paraId="09195077">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763" w:type="dxa"/>
            <w:tcBorders>
              <w:top w:val="nil"/>
              <w:left w:val="nil"/>
              <w:bottom w:val="single" w:color="auto" w:sz="4" w:space="0"/>
              <w:right w:val="single" w:color="auto" w:sz="4" w:space="0"/>
            </w:tcBorders>
            <w:vAlign w:val="center"/>
          </w:tcPr>
          <w:p w14:paraId="33F0AF33">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720" w:type="dxa"/>
            <w:tcBorders>
              <w:top w:val="nil"/>
              <w:left w:val="nil"/>
              <w:bottom w:val="single" w:color="auto" w:sz="4" w:space="0"/>
              <w:right w:val="single" w:color="auto" w:sz="4" w:space="0"/>
            </w:tcBorders>
            <w:vAlign w:val="center"/>
          </w:tcPr>
          <w:p w14:paraId="5A4E4089">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50≤Y＜500</w:t>
            </w:r>
          </w:p>
        </w:tc>
        <w:tc>
          <w:tcPr>
            <w:tcW w:w="1332" w:type="dxa"/>
            <w:tcBorders>
              <w:top w:val="nil"/>
              <w:left w:val="nil"/>
              <w:bottom w:val="single" w:color="auto" w:sz="4" w:space="0"/>
              <w:right w:val="single" w:color="auto" w:sz="4" w:space="0"/>
            </w:tcBorders>
            <w:vAlign w:val="center"/>
          </w:tcPr>
          <w:p w14:paraId="3F813526">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74251F34">
        <w:tblPrEx>
          <w:tblCellMar>
            <w:top w:w="0" w:type="dxa"/>
            <w:left w:w="108" w:type="dxa"/>
            <w:bottom w:w="0" w:type="dxa"/>
            <w:right w:w="108" w:type="dxa"/>
          </w:tblCellMar>
        </w:tblPrEx>
        <w:trPr>
          <w:trHeight w:val="225" w:hRule="atLeast"/>
        </w:trPr>
        <w:tc>
          <w:tcPr>
            <w:tcW w:w="1814" w:type="dxa"/>
            <w:vMerge w:val="restart"/>
            <w:tcBorders>
              <w:top w:val="nil"/>
              <w:left w:val="single" w:color="auto" w:sz="4" w:space="0"/>
              <w:bottom w:val="single" w:color="auto" w:sz="4" w:space="0"/>
              <w:right w:val="single" w:color="auto" w:sz="4" w:space="0"/>
            </w:tcBorders>
            <w:vAlign w:val="bottom"/>
          </w:tcPr>
          <w:p w14:paraId="56CCBDC0">
            <w:pPr>
              <w:widowControl/>
              <w:wordWrap w:val="0"/>
              <w:spacing w:line="360" w:lineRule="auto"/>
              <w:ind w:firstLine="361"/>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工业</w:t>
            </w:r>
          </w:p>
        </w:tc>
        <w:tc>
          <w:tcPr>
            <w:tcW w:w="1872" w:type="dxa"/>
            <w:tcBorders>
              <w:top w:val="nil"/>
              <w:left w:val="nil"/>
              <w:bottom w:val="single" w:color="auto" w:sz="4" w:space="0"/>
              <w:right w:val="single" w:color="auto" w:sz="4" w:space="0"/>
            </w:tcBorders>
            <w:vAlign w:val="center"/>
          </w:tcPr>
          <w:p w14:paraId="36568172">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263" w:type="dxa"/>
            <w:tcBorders>
              <w:top w:val="nil"/>
              <w:left w:val="nil"/>
              <w:bottom w:val="single" w:color="auto" w:sz="4" w:space="0"/>
              <w:right w:val="single" w:color="auto" w:sz="4" w:space="0"/>
            </w:tcBorders>
            <w:vAlign w:val="center"/>
          </w:tcPr>
          <w:p w14:paraId="7A690D28">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763" w:type="dxa"/>
            <w:tcBorders>
              <w:top w:val="nil"/>
              <w:left w:val="nil"/>
              <w:bottom w:val="single" w:color="auto" w:sz="4" w:space="0"/>
              <w:right w:val="single" w:color="auto" w:sz="4" w:space="0"/>
            </w:tcBorders>
            <w:vAlign w:val="center"/>
          </w:tcPr>
          <w:p w14:paraId="60A9399D">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720" w:type="dxa"/>
            <w:tcBorders>
              <w:top w:val="nil"/>
              <w:left w:val="nil"/>
              <w:bottom w:val="single" w:color="auto" w:sz="4" w:space="0"/>
              <w:right w:val="single" w:color="auto" w:sz="4" w:space="0"/>
            </w:tcBorders>
            <w:vAlign w:val="center"/>
          </w:tcPr>
          <w:p w14:paraId="6DC1D41A">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332" w:type="dxa"/>
            <w:tcBorders>
              <w:top w:val="nil"/>
              <w:left w:val="nil"/>
              <w:bottom w:val="single" w:color="auto" w:sz="4" w:space="0"/>
              <w:right w:val="single" w:color="auto" w:sz="4" w:space="0"/>
            </w:tcBorders>
            <w:vAlign w:val="center"/>
          </w:tcPr>
          <w:p w14:paraId="6E4B97E1">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62B89E2C">
        <w:tblPrEx>
          <w:tblCellMar>
            <w:top w:w="0" w:type="dxa"/>
            <w:left w:w="108" w:type="dxa"/>
            <w:bottom w:w="0" w:type="dxa"/>
            <w:right w:w="108" w:type="dxa"/>
          </w:tblCellMar>
        </w:tblPrEx>
        <w:trPr>
          <w:trHeight w:val="225" w:hRule="atLeast"/>
        </w:trPr>
        <w:tc>
          <w:tcPr>
            <w:tcW w:w="1814" w:type="dxa"/>
            <w:vMerge w:val="continue"/>
            <w:tcBorders>
              <w:top w:val="nil"/>
              <w:left w:val="single" w:color="auto" w:sz="4" w:space="0"/>
              <w:bottom w:val="single" w:color="auto" w:sz="4" w:space="0"/>
              <w:right w:val="single" w:color="auto" w:sz="4" w:space="0"/>
            </w:tcBorders>
            <w:vAlign w:val="center"/>
          </w:tcPr>
          <w:p w14:paraId="4AE266C0">
            <w:pPr>
              <w:widowControl/>
              <w:wordWrap w:val="0"/>
              <w:spacing w:line="360" w:lineRule="auto"/>
              <w:ind w:firstLine="361"/>
              <w:jc w:val="left"/>
              <w:rPr>
                <w:rFonts w:ascii="宋体" w:hAnsi="宋体" w:cs="宋体"/>
                <w:b/>
                <w:bCs/>
                <w:color w:val="auto"/>
                <w:kern w:val="0"/>
                <w:sz w:val="18"/>
                <w:szCs w:val="18"/>
                <w:highlight w:val="none"/>
              </w:rPr>
            </w:pPr>
          </w:p>
        </w:tc>
        <w:tc>
          <w:tcPr>
            <w:tcW w:w="1872" w:type="dxa"/>
            <w:tcBorders>
              <w:top w:val="nil"/>
              <w:left w:val="nil"/>
              <w:bottom w:val="single" w:color="auto" w:sz="4" w:space="0"/>
              <w:right w:val="single" w:color="auto" w:sz="4" w:space="0"/>
            </w:tcBorders>
            <w:vAlign w:val="center"/>
          </w:tcPr>
          <w:p w14:paraId="552CCB3F">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263" w:type="dxa"/>
            <w:tcBorders>
              <w:top w:val="nil"/>
              <w:left w:val="nil"/>
              <w:bottom w:val="single" w:color="auto" w:sz="4" w:space="0"/>
              <w:right w:val="single" w:color="auto" w:sz="4" w:space="0"/>
            </w:tcBorders>
            <w:vAlign w:val="center"/>
          </w:tcPr>
          <w:p w14:paraId="1055A8DB">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763" w:type="dxa"/>
            <w:tcBorders>
              <w:top w:val="nil"/>
              <w:left w:val="nil"/>
              <w:bottom w:val="single" w:color="auto" w:sz="4" w:space="0"/>
              <w:right w:val="single" w:color="auto" w:sz="4" w:space="0"/>
            </w:tcBorders>
            <w:vAlign w:val="center"/>
          </w:tcPr>
          <w:p w14:paraId="70EEC773">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2000≤Y＜40000</w:t>
            </w:r>
          </w:p>
        </w:tc>
        <w:tc>
          <w:tcPr>
            <w:tcW w:w="1720" w:type="dxa"/>
            <w:tcBorders>
              <w:top w:val="nil"/>
              <w:left w:val="nil"/>
              <w:bottom w:val="single" w:color="auto" w:sz="4" w:space="0"/>
              <w:right w:val="single" w:color="auto" w:sz="4" w:space="0"/>
            </w:tcBorders>
            <w:vAlign w:val="center"/>
          </w:tcPr>
          <w:p w14:paraId="3D6A99E8">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300≤Y＜2000</w:t>
            </w:r>
          </w:p>
        </w:tc>
        <w:tc>
          <w:tcPr>
            <w:tcW w:w="1332" w:type="dxa"/>
            <w:tcBorders>
              <w:top w:val="nil"/>
              <w:left w:val="nil"/>
              <w:bottom w:val="single" w:color="auto" w:sz="4" w:space="0"/>
              <w:right w:val="single" w:color="auto" w:sz="4" w:space="0"/>
            </w:tcBorders>
            <w:vAlign w:val="center"/>
          </w:tcPr>
          <w:p w14:paraId="26519C3D">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7B6F29C7">
        <w:tblPrEx>
          <w:tblCellMar>
            <w:top w:w="0" w:type="dxa"/>
            <w:left w:w="108" w:type="dxa"/>
            <w:bottom w:w="0" w:type="dxa"/>
            <w:right w:w="108" w:type="dxa"/>
          </w:tblCellMar>
        </w:tblPrEx>
        <w:trPr>
          <w:trHeight w:val="225" w:hRule="atLeast"/>
        </w:trPr>
        <w:tc>
          <w:tcPr>
            <w:tcW w:w="1814" w:type="dxa"/>
            <w:vMerge w:val="restart"/>
            <w:tcBorders>
              <w:top w:val="nil"/>
              <w:left w:val="single" w:color="auto" w:sz="4" w:space="0"/>
              <w:bottom w:val="single" w:color="auto" w:sz="4" w:space="0"/>
              <w:right w:val="single" w:color="auto" w:sz="4" w:space="0"/>
            </w:tcBorders>
            <w:vAlign w:val="bottom"/>
          </w:tcPr>
          <w:p w14:paraId="1634D0BA">
            <w:pPr>
              <w:widowControl/>
              <w:wordWrap w:val="0"/>
              <w:spacing w:line="360" w:lineRule="auto"/>
              <w:ind w:firstLine="361"/>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建筑业</w:t>
            </w:r>
          </w:p>
        </w:tc>
        <w:tc>
          <w:tcPr>
            <w:tcW w:w="1872" w:type="dxa"/>
            <w:tcBorders>
              <w:top w:val="nil"/>
              <w:left w:val="nil"/>
              <w:bottom w:val="single" w:color="auto" w:sz="4" w:space="0"/>
              <w:right w:val="single" w:color="auto" w:sz="4" w:space="0"/>
            </w:tcBorders>
            <w:vAlign w:val="center"/>
          </w:tcPr>
          <w:p w14:paraId="3BCD555B">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263" w:type="dxa"/>
            <w:tcBorders>
              <w:top w:val="nil"/>
              <w:left w:val="nil"/>
              <w:bottom w:val="single" w:color="auto" w:sz="4" w:space="0"/>
              <w:right w:val="single" w:color="auto" w:sz="4" w:space="0"/>
            </w:tcBorders>
            <w:vAlign w:val="center"/>
          </w:tcPr>
          <w:p w14:paraId="48614B68">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763" w:type="dxa"/>
            <w:tcBorders>
              <w:top w:val="nil"/>
              <w:left w:val="nil"/>
              <w:bottom w:val="single" w:color="auto" w:sz="4" w:space="0"/>
              <w:right w:val="single" w:color="auto" w:sz="4" w:space="0"/>
            </w:tcBorders>
            <w:vAlign w:val="center"/>
          </w:tcPr>
          <w:p w14:paraId="18C949BB">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6000≤Y＜80000</w:t>
            </w:r>
          </w:p>
        </w:tc>
        <w:tc>
          <w:tcPr>
            <w:tcW w:w="1720" w:type="dxa"/>
            <w:tcBorders>
              <w:top w:val="nil"/>
              <w:left w:val="nil"/>
              <w:bottom w:val="single" w:color="auto" w:sz="4" w:space="0"/>
              <w:right w:val="single" w:color="auto" w:sz="4" w:space="0"/>
            </w:tcBorders>
            <w:vAlign w:val="center"/>
          </w:tcPr>
          <w:p w14:paraId="23ABB272">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300≤Y＜6000</w:t>
            </w:r>
          </w:p>
        </w:tc>
        <w:tc>
          <w:tcPr>
            <w:tcW w:w="1332" w:type="dxa"/>
            <w:tcBorders>
              <w:top w:val="nil"/>
              <w:left w:val="nil"/>
              <w:bottom w:val="single" w:color="auto" w:sz="4" w:space="0"/>
              <w:right w:val="single" w:color="auto" w:sz="4" w:space="0"/>
            </w:tcBorders>
            <w:vAlign w:val="center"/>
          </w:tcPr>
          <w:p w14:paraId="236D1B90">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322EE294">
        <w:tblPrEx>
          <w:tblCellMar>
            <w:top w:w="0" w:type="dxa"/>
            <w:left w:w="108" w:type="dxa"/>
            <w:bottom w:w="0" w:type="dxa"/>
            <w:right w:w="108" w:type="dxa"/>
          </w:tblCellMar>
        </w:tblPrEx>
        <w:trPr>
          <w:trHeight w:val="225" w:hRule="atLeast"/>
        </w:trPr>
        <w:tc>
          <w:tcPr>
            <w:tcW w:w="1814" w:type="dxa"/>
            <w:vMerge w:val="continue"/>
            <w:tcBorders>
              <w:top w:val="nil"/>
              <w:left w:val="single" w:color="auto" w:sz="4" w:space="0"/>
              <w:bottom w:val="single" w:color="auto" w:sz="4" w:space="0"/>
              <w:right w:val="single" w:color="auto" w:sz="4" w:space="0"/>
            </w:tcBorders>
            <w:vAlign w:val="center"/>
          </w:tcPr>
          <w:p w14:paraId="2ACED967">
            <w:pPr>
              <w:widowControl/>
              <w:wordWrap w:val="0"/>
              <w:spacing w:line="360" w:lineRule="auto"/>
              <w:ind w:firstLine="361"/>
              <w:jc w:val="left"/>
              <w:rPr>
                <w:rFonts w:ascii="宋体" w:hAnsi="宋体" w:cs="宋体"/>
                <w:b/>
                <w:bCs/>
                <w:color w:val="auto"/>
                <w:kern w:val="0"/>
                <w:sz w:val="18"/>
                <w:szCs w:val="18"/>
                <w:highlight w:val="none"/>
              </w:rPr>
            </w:pPr>
          </w:p>
        </w:tc>
        <w:tc>
          <w:tcPr>
            <w:tcW w:w="1872" w:type="dxa"/>
            <w:tcBorders>
              <w:top w:val="nil"/>
              <w:left w:val="nil"/>
              <w:bottom w:val="single" w:color="auto" w:sz="4" w:space="0"/>
              <w:right w:val="single" w:color="auto" w:sz="4" w:space="0"/>
            </w:tcBorders>
            <w:vAlign w:val="center"/>
          </w:tcPr>
          <w:p w14:paraId="7FC38A8E">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1263" w:type="dxa"/>
            <w:tcBorders>
              <w:top w:val="nil"/>
              <w:left w:val="nil"/>
              <w:bottom w:val="single" w:color="auto" w:sz="4" w:space="0"/>
              <w:right w:val="single" w:color="auto" w:sz="4" w:space="0"/>
            </w:tcBorders>
            <w:vAlign w:val="center"/>
          </w:tcPr>
          <w:p w14:paraId="542C3D95">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763" w:type="dxa"/>
            <w:tcBorders>
              <w:top w:val="nil"/>
              <w:left w:val="nil"/>
              <w:bottom w:val="single" w:color="auto" w:sz="4" w:space="0"/>
              <w:right w:val="single" w:color="auto" w:sz="4" w:space="0"/>
            </w:tcBorders>
            <w:vAlign w:val="center"/>
          </w:tcPr>
          <w:p w14:paraId="664D81C5">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5000≤Z＜80000</w:t>
            </w:r>
          </w:p>
        </w:tc>
        <w:tc>
          <w:tcPr>
            <w:tcW w:w="1720" w:type="dxa"/>
            <w:tcBorders>
              <w:top w:val="nil"/>
              <w:left w:val="nil"/>
              <w:bottom w:val="single" w:color="auto" w:sz="4" w:space="0"/>
              <w:right w:val="single" w:color="auto" w:sz="4" w:space="0"/>
            </w:tcBorders>
            <w:vAlign w:val="center"/>
          </w:tcPr>
          <w:p w14:paraId="259ACAAD">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300≤Z＜5000</w:t>
            </w:r>
          </w:p>
        </w:tc>
        <w:tc>
          <w:tcPr>
            <w:tcW w:w="1332" w:type="dxa"/>
            <w:tcBorders>
              <w:top w:val="nil"/>
              <w:left w:val="nil"/>
              <w:bottom w:val="single" w:color="auto" w:sz="4" w:space="0"/>
              <w:right w:val="single" w:color="auto" w:sz="4" w:space="0"/>
            </w:tcBorders>
            <w:vAlign w:val="center"/>
          </w:tcPr>
          <w:p w14:paraId="6FA61B29">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Z＜300</w:t>
            </w:r>
          </w:p>
        </w:tc>
      </w:tr>
      <w:tr w14:paraId="689C7DCA">
        <w:tblPrEx>
          <w:tblCellMar>
            <w:top w:w="0" w:type="dxa"/>
            <w:left w:w="108" w:type="dxa"/>
            <w:bottom w:w="0" w:type="dxa"/>
            <w:right w:w="108" w:type="dxa"/>
          </w:tblCellMar>
        </w:tblPrEx>
        <w:trPr>
          <w:trHeight w:val="225" w:hRule="atLeast"/>
        </w:trPr>
        <w:tc>
          <w:tcPr>
            <w:tcW w:w="1814" w:type="dxa"/>
            <w:vMerge w:val="restart"/>
            <w:tcBorders>
              <w:top w:val="nil"/>
              <w:left w:val="single" w:color="auto" w:sz="4" w:space="0"/>
              <w:bottom w:val="single" w:color="auto" w:sz="4" w:space="0"/>
              <w:right w:val="single" w:color="auto" w:sz="4" w:space="0"/>
            </w:tcBorders>
            <w:vAlign w:val="bottom"/>
          </w:tcPr>
          <w:p w14:paraId="3A950EA5">
            <w:pPr>
              <w:widowControl/>
              <w:wordWrap w:val="0"/>
              <w:spacing w:line="360" w:lineRule="auto"/>
              <w:ind w:firstLine="361"/>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批发业</w:t>
            </w:r>
          </w:p>
        </w:tc>
        <w:tc>
          <w:tcPr>
            <w:tcW w:w="1872" w:type="dxa"/>
            <w:tcBorders>
              <w:top w:val="nil"/>
              <w:left w:val="nil"/>
              <w:bottom w:val="single" w:color="auto" w:sz="4" w:space="0"/>
              <w:right w:val="single" w:color="auto" w:sz="4" w:space="0"/>
            </w:tcBorders>
            <w:vAlign w:val="center"/>
          </w:tcPr>
          <w:p w14:paraId="3632BBBB">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263" w:type="dxa"/>
            <w:tcBorders>
              <w:top w:val="nil"/>
              <w:left w:val="nil"/>
              <w:bottom w:val="single" w:color="auto" w:sz="4" w:space="0"/>
              <w:right w:val="single" w:color="auto" w:sz="4" w:space="0"/>
            </w:tcBorders>
            <w:vAlign w:val="center"/>
          </w:tcPr>
          <w:p w14:paraId="675D039E">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763" w:type="dxa"/>
            <w:tcBorders>
              <w:top w:val="nil"/>
              <w:left w:val="nil"/>
              <w:bottom w:val="single" w:color="auto" w:sz="4" w:space="0"/>
              <w:right w:val="single" w:color="auto" w:sz="4" w:space="0"/>
            </w:tcBorders>
            <w:vAlign w:val="center"/>
          </w:tcPr>
          <w:p w14:paraId="03312E09">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20≤X＜200</w:t>
            </w:r>
          </w:p>
        </w:tc>
        <w:tc>
          <w:tcPr>
            <w:tcW w:w="1720" w:type="dxa"/>
            <w:tcBorders>
              <w:top w:val="nil"/>
              <w:left w:val="nil"/>
              <w:bottom w:val="single" w:color="auto" w:sz="4" w:space="0"/>
              <w:right w:val="single" w:color="auto" w:sz="4" w:space="0"/>
            </w:tcBorders>
            <w:vAlign w:val="center"/>
          </w:tcPr>
          <w:p w14:paraId="1CE0EEC7">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5≤X＜20</w:t>
            </w:r>
          </w:p>
        </w:tc>
        <w:tc>
          <w:tcPr>
            <w:tcW w:w="1332" w:type="dxa"/>
            <w:tcBorders>
              <w:top w:val="nil"/>
              <w:left w:val="nil"/>
              <w:bottom w:val="single" w:color="auto" w:sz="4" w:space="0"/>
              <w:right w:val="single" w:color="auto" w:sz="4" w:space="0"/>
            </w:tcBorders>
            <w:vAlign w:val="center"/>
          </w:tcPr>
          <w:p w14:paraId="405A9789">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X＜5</w:t>
            </w:r>
          </w:p>
        </w:tc>
      </w:tr>
      <w:tr w14:paraId="22CF2E1D">
        <w:tblPrEx>
          <w:tblCellMar>
            <w:top w:w="0" w:type="dxa"/>
            <w:left w:w="108" w:type="dxa"/>
            <w:bottom w:w="0" w:type="dxa"/>
            <w:right w:w="108" w:type="dxa"/>
          </w:tblCellMar>
        </w:tblPrEx>
        <w:trPr>
          <w:trHeight w:val="225" w:hRule="atLeast"/>
        </w:trPr>
        <w:tc>
          <w:tcPr>
            <w:tcW w:w="1814" w:type="dxa"/>
            <w:vMerge w:val="continue"/>
            <w:tcBorders>
              <w:top w:val="nil"/>
              <w:left w:val="single" w:color="auto" w:sz="4" w:space="0"/>
              <w:bottom w:val="single" w:color="auto" w:sz="4" w:space="0"/>
              <w:right w:val="single" w:color="auto" w:sz="4" w:space="0"/>
            </w:tcBorders>
            <w:vAlign w:val="center"/>
          </w:tcPr>
          <w:p w14:paraId="26D7F6EF">
            <w:pPr>
              <w:widowControl/>
              <w:wordWrap w:val="0"/>
              <w:spacing w:line="360" w:lineRule="auto"/>
              <w:ind w:firstLine="361"/>
              <w:jc w:val="left"/>
              <w:rPr>
                <w:rFonts w:ascii="宋体" w:hAnsi="宋体" w:cs="宋体"/>
                <w:b/>
                <w:bCs/>
                <w:color w:val="auto"/>
                <w:kern w:val="0"/>
                <w:sz w:val="18"/>
                <w:szCs w:val="18"/>
                <w:highlight w:val="none"/>
              </w:rPr>
            </w:pPr>
          </w:p>
        </w:tc>
        <w:tc>
          <w:tcPr>
            <w:tcW w:w="1872" w:type="dxa"/>
            <w:tcBorders>
              <w:top w:val="nil"/>
              <w:left w:val="nil"/>
              <w:bottom w:val="single" w:color="auto" w:sz="4" w:space="0"/>
              <w:right w:val="single" w:color="auto" w:sz="4" w:space="0"/>
            </w:tcBorders>
            <w:vAlign w:val="center"/>
          </w:tcPr>
          <w:p w14:paraId="5A3D8235">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263" w:type="dxa"/>
            <w:tcBorders>
              <w:top w:val="nil"/>
              <w:left w:val="nil"/>
              <w:bottom w:val="single" w:color="auto" w:sz="4" w:space="0"/>
              <w:right w:val="single" w:color="auto" w:sz="4" w:space="0"/>
            </w:tcBorders>
            <w:vAlign w:val="center"/>
          </w:tcPr>
          <w:p w14:paraId="0F40005F">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763" w:type="dxa"/>
            <w:tcBorders>
              <w:top w:val="nil"/>
              <w:left w:val="nil"/>
              <w:bottom w:val="single" w:color="auto" w:sz="4" w:space="0"/>
              <w:right w:val="single" w:color="auto" w:sz="4" w:space="0"/>
            </w:tcBorders>
            <w:vAlign w:val="center"/>
          </w:tcPr>
          <w:p w14:paraId="3B1A044F">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5000≤Y＜40000</w:t>
            </w:r>
          </w:p>
        </w:tc>
        <w:tc>
          <w:tcPr>
            <w:tcW w:w="1720" w:type="dxa"/>
            <w:tcBorders>
              <w:top w:val="nil"/>
              <w:left w:val="nil"/>
              <w:bottom w:val="single" w:color="auto" w:sz="4" w:space="0"/>
              <w:right w:val="single" w:color="auto" w:sz="4" w:space="0"/>
            </w:tcBorders>
            <w:vAlign w:val="center"/>
          </w:tcPr>
          <w:p w14:paraId="38025AC7">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332" w:type="dxa"/>
            <w:tcBorders>
              <w:top w:val="nil"/>
              <w:left w:val="nil"/>
              <w:bottom w:val="single" w:color="auto" w:sz="4" w:space="0"/>
              <w:right w:val="single" w:color="auto" w:sz="4" w:space="0"/>
            </w:tcBorders>
            <w:vAlign w:val="center"/>
          </w:tcPr>
          <w:p w14:paraId="364B85E8">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w:t>
            </w:r>
          </w:p>
        </w:tc>
      </w:tr>
      <w:tr w14:paraId="42F9FF10">
        <w:tblPrEx>
          <w:tblCellMar>
            <w:top w:w="0" w:type="dxa"/>
            <w:left w:w="108" w:type="dxa"/>
            <w:bottom w:w="0" w:type="dxa"/>
            <w:right w:w="108" w:type="dxa"/>
          </w:tblCellMar>
        </w:tblPrEx>
        <w:trPr>
          <w:trHeight w:val="225" w:hRule="atLeast"/>
        </w:trPr>
        <w:tc>
          <w:tcPr>
            <w:tcW w:w="1814" w:type="dxa"/>
            <w:vMerge w:val="restart"/>
            <w:tcBorders>
              <w:top w:val="nil"/>
              <w:left w:val="single" w:color="auto" w:sz="4" w:space="0"/>
              <w:bottom w:val="single" w:color="auto" w:sz="4" w:space="0"/>
              <w:right w:val="single" w:color="auto" w:sz="4" w:space="0"/>
            </w:tcBorders>
            <w:vAlign w:val="bottom"/>
          </w:tcPr>
          <w:p w14:paraId="265E273F">
            <w:pPr>
              <w:widowControl/>
              <w:wordWrap w:val="0"/>
              <w:spacing w:line="360" w:lineRule="auto"/>
              <w:ind w:firstLine="361"/>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零售业</w:t>
            </w:r>
          </w:p>
        </w:tc>
        <w:tc>
          <w:tcPr>
            <w:tcW w:w="1872" w:type="dxa"/>
            <w:tcBorders>
              <w:top w:val="nil"/>
              <w:left w:val="nil"/>
              <w:bottom w:val="single" w:color="auto" w:sz="4" w:space="0"/>
              <w:right w:val="single" w:color="auto" w:sz="4" w:space="0"/>
            </w:tcBorders>
            <w:vAlign w:val="center"/>
          </w:tcPr>
          <w:p w14:paraId="7CBBA285">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263" w:type="dxa"/>
            <w:tcBorders>
              <w:top w:val="nil"/>
              <w:left w:val="nil"/>
              <w:bottom w:val="single" w:color="auto" w:sz="4" w:space="0"/>
              <w:right w:val="single" w:color="auto" w:sz="4" w:space="0"/>
            </w:tcBorders>
            <w:vAlign w:val="center"/>
          </w:tcPr>
          <w:p w14:paraId="3B60FBB8">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763" w:type="dxa"/>
            <w:tcBorders>
              <w:top w:val="nil"/>
              <w:left w:val="nil"/>
              <w:bottom w:val="single" w:color="auto" w:sz="4" w:space="0"/>
              <w:right w:val="single" w:color="auto" w:sz="4" w:space="0"/>
            </w:tcBorders>
            <w:vAlign w:val="center"/>
          </w:tcPr>
          <w:p w14:paraId="2B29A8D0">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50≤X＜300</w:t>
            </w:r>
          </w:p>
        </w:tc>
        <w:tc>
          <w:tcPr>
            <w:tcW w:w="1720" w:type="dxa"/>
            <w:tcBorders>
              <w:top w:val="nil"/>
              <w:left w:val="nil"/>
              <w:bottom w:val="single" w:color="auto" w:sz="4" w:space="0"/>
              <w:right w:val="single" w:color="auto" w:sz="4" w:space="0"/>
            </w:tcBorders>
            <w:vAlign w:val="center"/>
          </w:tcPr>
          <w:p w14:paraId="5DB30791">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10≤X＜50</w:t>
            </w:r>
          </w:p>
        </w:tc>
        <w:tc>
          <w:tcPr>
            <w:tcW w:w="1332" w:type="dxa"/>
            <w:tcBorders>
              <w:top w:val="nil"/>
              <w:left w:val="nil"/>
              <w:bottom w:val="single" w:color="auto" w:sz="4" w:space="0"/>
              <w:right w:val="single" w:color="auto" w:sz="4" w:space="0"/>
            </w:tcBorders>
            <w:vAlign w:val="center"/>
          </w:tcPr>
          <w:p w14:paraId="683752E8">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3169A80B">
        <w:tblPrEx>
          <w:tblCellMar>
            <w:top w:w="0" w:type="dxa"/>
            <w:left w:w="108" w:type="dxa"/>
            <w:bottom w:w="0" w:type="dxa"/>
            <w:right w:w="108" w:type="dxa"/>
          </w:tblCellMar>
        </w:tblPrEx>
        <w:trPr>
          <w:trHeight w:val="225" w:hRule="atLeast"/>
        </w:trPr>
        <w:tc>
          <w:tcPr>
            <w:tcW w:w="1814" w:type="dxa"/>
            <w:vMerge w:val="continue"/>
            <w:tcBorders>
              <w:top w:val="nil"/>
              <w:left w:val="single" w:color="auto" w:sz="4" w:space="0"/>
              <w:bottom w:val="single" w:color="auto" w:sz="4" w:space="0"/>
              <w:right w:val="single" w:color="auto" w:sz="4" w:space="0"/>
            </w:tcBorders>
            <w:vAlign w:val="center"/>
          </w:tcPr>
          <w:p w14:paraId="20A107DB">
            <w:pPr>
              <w:widowControl/>
              <w:wordWrap w:val="0"/>
              <w:spacing w:line="360" w:lineRule="auto"/>
              <w:ind w:firstLine="361"/>
              <w:jc w:val="left"/>
              <w:rPr>
                <w:rFonts w:ascii="宋体" w:hAnsi="宋体" w:cs="宋体"/>
                <w:b/>
                <w:bCs/>
                <w:color w:val="auto"/>
                <w:kern w:val="0"/>
                <w:sz w:val="18"/>
                <w:szCs w:val="18"/>
                <w:highlight w:val="none"/>
              </w:rPr>
            </w:pPr>
          </w:p>
        </w:tc>
        <w:tc>
          <w:tcPr>
            <w:tcW w:w="1872" w:type="dxa"/>
            <w:tcBorders>
              <w:top w:val="nil"/>
              <w:left w:val="nil"/>
              <w:bottom w:val="single" w:color="auto" w:sz="4" w:space="0"/>
              <w:right w:val="single" w:color="auto" w:sz="4" w:space="0"/>
            </w:tcBorders>
            <w:vAlign w:val="center"/>
          </w:tcPr>
          <w:p w14:paraId="03B69B40">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263" w:type="dxa"/>
            <w:tcBorders>
              <w:top w:val="nil"/>
              <w:left w:val="nil"/>
              <w:bottom w:val="single" w:color="auto" w:sz="4" w:space="0"/>
              <w:right w:val="single" w:color="auto" w:sz="4" w:space="0"/>
            </w:tcBorders>
            <w:vAlign w:val="center"/>
          </w:tcPr>
          <w:p w14:paraId="09264C5A">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763" w:type="dxa"/>
            <w:tcBorders>
              <w:top w:val="nil"/>
              <w:left w:val="nil"/>
              <w:bottom w:val="single" w:color="auto" w:sz="4" w:space="0"/>
              <w:right w:val="single" w:color="auto" w:sz="4" w:space="0"/>
            </w:tcBorders>
            <w:vAlign w:val="center"/>
          </w:tcPr>
          <w:p w14:paraId="7D442D58">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720" w:type="dxa"/>
            <w:tcBorders>
              <w:top w:val="nil"/>
              <w:left w:val="nil"/>
              <w:bottom w:val="single" w:color="auto" w:sz="4" w:space="0"/>
              <w:right w:val="single" w:color="auto" w:sz="4" w:space="0"/>
            </w:tcBorders>
            <w:vAlign w:val="center"/>
          </w:tcPr>
          <w:p w14:paraId="2F70B2B7">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100≤Y＜500</w:t>
            </w:r>
          </w:p>
        </w:tc>
        <w:tc>
          <w:tcPr>
            <w:tcW w:w="1332" w:type="dxa"/>
            <w:tcBorders>
              <w:top w:val="nil"/>
              <w:left w:val="nil"/>
              <w:bottom w:val="single" w:color="auto" w:sz="4" w:space="0"/>
              <w:right w:val="single" w:color="auto" w:sz="4" w:space="0"/>
            </w:tcBorders>
            <w:vAlign w:val="center"/>
          </w:tcPr>
          <w:p w14:paraId="4D4B016C">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46349A6F">
        <w:tblPrEx>
          <w:tblCellMar>
            <w:top w:w="0" w:type="dxa"/>
            <w:left w:w="108" w:type="dxa"/>
            <w:bottom w:w="0" w:type="dxa"/>
            <w:right w:w="108" w:type="dxa"/>
          </w:tblCellMar>
        </w:tblPrEx>
        <w:trPr>
          <w:trHeight w:val="225" w:hRule="atLeast"/>
        </w:trPr>
        <w:tc>
          <w:tcPr>
            <w:tcW w:w="1814" w:type="dxa"/>
            <w:vMerge w:val="restart"/>
            <w:tcBorders>
              <w:top w:val="nil"/>
              <w:left w:val="single" w:color="auto" w:sz="4" w:space="0"/>
              <w:bottom w:val="single" w:color="auto" w:sz="4" w:space="0"/>
              <w:right w:val="single" w:color="auto" w:sz="4" w:space="0"/>
            </w:tcBorders>
            <w:vAlign w:val="bottom"/>
          </w:tcPr>
          <w:p w14:paraId="69ED28F7">
            <w:pPr>
              <w:widowControl/>
              <w:wordWrap w:val="0"/>
              <w:spacing w:line="360" w:lineRule="auto"/>
              <w:ind w:firstLine="361"/>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交通运输业</w:t>
            </w:r>
          </w:p>
        </w:tc>
        <w:tc>
          <w:tcPr>
            <w:tcW w:w="1872" w:type="dxa"/>
            <w:tcBorders>
              <w:top w:val="nil"/>
              <w:left w:val="nil"/>
              <w:bottom w:val="single" w:color="auto" w:sz="4" w:space="0"/>
              <w:right w:val="single" w:color="auto" w:sz="4" w:space="0"/>
            </w:tcBorders>
            <w:vAlign w:val="center"/>
          </w:tcPr>
          <w:p w14:paraId="5040033A">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263" w:type="dxa"/>
            <w:tcBorders>
              <w:top w:val="nil"/>
              <w:left w:val="nil"/>
              <w:bottom w:val="single" w:color="auto" w:sz="4" w:space="0"/>
              <w:right w:val="single" w:color="auto" w:sz="4" w:space="0"/>
            </w:tcBorders>
            <w:vAlign w:val="center"/>
          </w:tcPr>
          <w:p w14:paraId="2419F5E2">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763" w:type="dxa"/>
            <w:tcBorders>
              <w:top w:val="nil"/>
              <w:left w:val="nil"/>
              <w:bottom w:val="single" w:color="auto" w:sz="4" w:space="0"/>
              <w:right w:val="single" w:color="auto" w:sz="4" w:space="0"/>
            </w:tcBorders>
            <w:vAlign w:val="center"/>
          </w:tcPr>
          <w:p w14:paraId="22A4DFDB">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720" w:type="dxa"/>
            <w:tcBorders>
              <w:top w:val="nil"/>
              <w:left w:val="nil"/>
              <w:bottom w:val="single" w:color="auto" w:sz="4" w:space="0"/>
              <w:right w:val="single" w:color="auto" w:sz="4" w:space="0"/>
            </w:tcBorders>
            <w:vAlign w:val="center"/>
          </w:tcPr>
          <w:p w14:paraId="2E240610">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332" w:type="dxa"/>
            <w:tcBorders>
              <w:top w:val="nil"/>
              <w:left w:val="nil"/>
              <w:bottom w:val="single" w:color="auto" w:sz="4" w:space="0"/>
              <w:right w:val="single" w:color="auto" w:sz="4" w:space="0"/>
            </w:tcBorders>
            <w:vAlign w:val="center"/>
          </w:tcPr>
          <w:p w14:paraId="1667C1CA">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71B5BD93">
        <w:tblPrEx>
          <w:tblCellMar>
            <w:top w:w="0" w:type="dxa"/>
            <w:left w:w="108" w:type="dxa"/>
            <w:bottom w:w="0" w:type="dxa"/>
            <w:right w:w="108" w:type="dxa"/>
          </w:tblCellMar>
        </w:tblPrEx>
        <w:trPr>
          <w:trHeight w:val="225" w:hRule="atLeast"/>
        </w:trPr>
        <w:tc>
          <w:tcPr>
            <w:tcW w:w="1814" w:type="dxa"/>
            <w:vMerge w:val="continue"/>
            <w:tcBorders>
              <w:top w:val="nil"/>
              <w:left w:val="single" w:color="auto" w:sz="4" w:space="0"/>
              <w:bottom w:val="single" w:color="auto" w:sz="4" w:space="0"/>
              <w:right w:val="single" w:color="auto" w:sz="4" w:space="0"/>
            </w:tcBorders>
            <w:vAlign w:val="center"/>
          </w:tcPr>
          <w:p w14:paraId="23214E06">
            <w:pPr>
              <w:widowControl/>
              <w:wordWrap w:val="0"/>
              <w:spacing w:line="360" w:lineRule="auto"/>
              <w:ind w:firstLine="361"/>
              <w:jc w:val="left"/>
              <w:rPr>
                <w:rFonts w:ascii="宋体" w:hAnsi="宋体" w:cs="宋体"/>
                <w:b/>
                <w:bCs/>
                <w:color w:val="auto"/>
                <w:kern w:val="0"/>
                <w:sz w:val="18"/>
                <w:szCs w:val="18"/>
                <w:highlight w:val="none"/>
              </w:rPr>
            </w:pPr>
          </w:p>
        </w:tc>
        <w:tc>
          <w:tcPr>
            <w:tcW w:w="1872" w:type="dxa"/>
            <w:tcBorders>
              <w:top w:val="nil"/>
              <w:left w:val="nil"/>
              <w:bottom w:val="single" w:color="auto" w:sz="4" w:space="0"/>
              <w:right w:val="single" w:color="auto" w:sz="4" w:space="0"/>
            </w:tcBorders>
            <w:vAlign w:val="center"/>
          </w:tcPr>
          <w:p w14:paraId="4B6C5FCB">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263" w:type="dxa"/>
            <w:tcBorders>
              <w:top w:val="nil"/>
              <w:left w:val="nil"/>
              <w:bottom w:val="single" w:color="auto" w:sz="4" w:space="0"/>
              <w:right w:val="single" w:color="auto" w:sz="4" w:space="0"/>
            </w:tcBorders>
            <w:vAlign w:val="center"/>
          </w:tcPr>
          <w:p w14:paraId="0A3906C7">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763" w:type="dxa"/>
            <w:tcBorders>
              <w:top w:val="nil"/>
              <w:left w:val="nil"/>
              <w:bottom w:val="single" w:color="auto" w:sz="4" w:space="0"/>
              <w:right w:val="single" w:color="auto" w:sz="4" w:space="0"/>
            </w:tcBorders>
            <w:vAlign w:val="center"/>
          </w:tcPr>
          <w:p w14:paraId="552853C3">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3000≤Y＜30000</w:t>
            </w:r>
          </w:p>
        </w:tc>
        <w:tc>
          <w:tcPr>
            <w:tcW w:w="1720" w:type="dxa"/>
            <w:tcBorders>
              <w:top w:val="nil"/>
              <w:left w:val="nil"/>
              <w:bottom w:val="single" w:color="auto" w:sz="4" w:space="0"/>
              <w:right w:val="single" w:color="auto" w:sz="4" w:space="0"/>
            </w:tcBorders>
            <w:vAlign w:val="center"/>
          </w:tcPr>
          <w:p w14:paraId="00FB9924">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200≤Y＜3000</w:t>
            </w:r>
          </w:p>
        </w:tc>
        <w:tc>
          <w:tcPr>
            <w:tcW w:w="1332" w:type="dxa"/>
            <w:tcBorders>
              <w:top w:val="nil"/>
              <w:left w:val="nil"/>
              <w:bottom w:val="single" w:color="auto" w:sz="4" w:space="0"/>
              <w:right w:val="single" w:color="auto" w:sz="4" w:space="0"/>
            </w:tcBorders>
            <w:vAlign w:val="center"/>
          </w:tcPr>
          <w:p w14:paraId="060BC7F7">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w:t>
            </w:r>
          </w:p>
        </w:tc>
      </w:tr>
      <w:tr w14:paraId="5DCA45CE">
        <w:tblPrEx>
          <w:tblCellMar>
            <w:top w:w="0" w:type="dxa"/>
            <w:left w:w="108" w:type="dxa"/>
            <w:bottom w:w="0" w:type="dxa"/>
            <w:right w:w="108" w:type="dxa"/>
          </w:tblCellMar>
        </w:tblPrEx>
        <w:trPr>
          <w:trHeight w:val="225" w:hRule="atLeast"/>
        </w:trPr>
        <w:tc>
          <w:tcPr>
            <w:tcW w:w="1814" w:type="dxa"/>
            <w:vMerge w:val="restart"/>
            <w:tcBorders>
              <w:top w:val="nil"/>
              <w:left w:val="single" w:color="auto" w:sz="4" w:space="0"/>
              <w:bottom w:val="single" w:color="auto" w:sz="4" w:space="0"/>
              <w:right w:val="single" w:color="auto" w:sz="4" w:space="0"/>
            </w:tcBorders>
            <w:vAlign w:val="bottom"/>
          </w:tcPr>
          <w:p w14:paraId="1CAFEE52">
            <w:pPr>
              <w:widowControl/>
              <w:wordWrap w:val="0"/>
              <w:spacing w:line="360" w:lineRule="auto"/>
              <w:ind w:firstLine="361"/>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仓储业</w:t>
            </w:r>
          </w:p>
        </w:tc>
        <w:tc>
          <w:tcPr>
            <w:tcW w:w="1872" w:type="dxa"/>
            <w:tcBorders>
              <w:top w:val="nil"/>
              <w:left w:val="nil"/>
              <w:bottom w:val="single" w:color="auto" w:sz="4" w:space="0"/>
              <w:right w:val="single" w:color="auto" w:sz="4" w:space="0"/>
            </w:tcBorders>
            <w:vAlign w:val="center"/>
          </w:tcPr>
          <w:p w14:paraId="619D64C0">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263" w:type="dxa"/>
            <w:tcBorders>
              <w:top w:val="nil"/>
              <w:left w:val="nil"/>
              <w:bottom w:val="single" w:color="auto" w:sz="4" w:space="0"/>
              <w:right w:val="single" w:color="auto" w:sz="4" w:space="0"/>
            </w:tcBorders>
            <w:vAlign w:val="center"/>
          </w:tcPr>
          <w:p w14:paraId="644D0B91">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763" w:type="dxa"/>
            <w:tcBorders>
              <w:top w:val="nil"/>
              <w:left w:val="nil"/>
              <w:bottom w:val="single" w:color="auto" w:sz="4" w:space="0"/>
              <w:right w:val="single" w:color="auto" w:sz="4" w:space="0"/>
            </w:tcBorders>
            <w:vAlign w:val="center"/>
          </w:tcPr>
          <w:p w14:paraId="1D94AB27">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w:t>
            </w:r>
          </w:p>
        </w:tc>
        <w:tc>
          <w:tcPr>
            <w:tcW w:w="1720" w:type="dxa"/>
            <w:tcBorders>
              <w:top w:val="nil"/>
              <w:left w:val="nil"/>
              <w:bottom w:val="single" w:color="auto" w:sz="4" w:space="0"/>
              <w:right w:val="single" w:color="auto" w:sz="4" w:space="0"/>
            </w:tcBorders>
            <w:vAlign w:val="center"/>
          </w:tcPr>
          <w:p w14:paraId="7DCA3897">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20≤X＜100</w:t>
            </w:r>
          </w:p>
        </w:tc>
        <w:tc>
          <w:tcPr>
            <w:tcW w:w="1332" w:type="dxa"/>
            <w:tcBorders>
              <w:top w:val="nil"/>
              <w:left w:val="nil"/>
              <w:bottom w:val="single" w:color="auto" w:sz="4" w:space="0"/>
              <w:right w:val="single" w:color="auto" w:sz="4" w:space="0"/>
            </w:tcBorders>
            <w:vAlign w:val="center"/>
          </w:tcPr>
          <w:p w14:paraId="6AF19E24">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799DC5C0">
        <w:tblPrEx>
          <w:tblCellMar>
            <w:top w:w="0" w:type="dxa"/>
            <w:left w:w="108" w:type="dxa"/>
            <w:bottom w:w="0" w:type="dxa"/>
            <w:right w:w="108" w:type="dxa"/>
          </w:tblCellMar>
        </w:tblPrEx>
        <w:trPr>
          <w:trHeight w:val="225" w:hRule="atLeast"/>
        </w:trPr>
        <w:tc>
          <w:tcPr>
            <w:tcW w:w="1814" w:type="dxa"/>
            <w:vMerge w:val="continue"/>
            <w:tcBorders>
              <w:top w:val="nil"/>
              <w:left w:val="single" w:color="auto" w:sz="4" w:space="0"/>
              <w:bottom w:val="single" w:color="auto" w:sz="4" w:space="0"/>
              <w:right w:val="single" w:color="auto" w:sz="4" w:space="0"/>
            </w:tcBorders>
            <w:vAlign w:val="center"/>
          </w:tcPr>
          <w:p w14:paraId="47272BD3">
            <w:pPr>
              <w:widowControl/>
              <w:wordWrap w:val="0"/>
              <w:spacing w:line="360" w:lineRule="auto"/>
              <w:ind w:firstLine="361"/>
              <w:jc w:val="left"/>
              <w:rPr>
                <w:rFonts w:ascii="宋体" w:hAnsi="宋体" w:cs="宋体"/>
                <w:b/>
                <w:bCs/>
                <w:color w:val="auto"/>
                <w:kern w:val="0"/>
                <w:sz w:val="18"/>
                <w:szCs w:val="18"/>
                <w:highlight w:val="none"/>
              </w:rPr>
            </w:pPr>
          </w:p>
        </w:tc>
        <w:tc>
          <w:tcPr>
            <w:tcW w:w="1872" w:type="dxa"/>
            <w:tcBorders>
              <w:top w:val="nil"/>
              <w:left w:val="nil"/>
              <w:bottom w:val="single" w:color="auto" w:sz="4" w:space="0"/>
              <w:right w:val="single" w:color="auto" w:sz="4" w:space="0"/>
            </w:tcBorders>
            <w:vAlign w:val="center"/>
          </w:tcPr>
          <w:p w14:paraId="476F6F0A">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263" w:type="dxa"/>
            <w:tcBorders>
              <w:top w:val="nil"/>
              <w:left w:val="nil"/>
              <w:bottom w:val="single" w:color="auto" w:sz="4" w:space="0"/>
              <w:right w:val="single" w:color="auto" w:sz="4" w:space="0"/>
            </w:tcBorders>
            <w:vAlign w:val="center"/>
          </w:tcPr>
          <w:p w14:paraId="5BFCE4C6">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763" w:type="dxa"/>
            <w:tcBorders>
              <w:top w:val="nil"/>
              <w:left w:val="nil"/>
              <w:bottom w:val="single" w:color="auto" w:sz="4" w:space="0"/>
              <w:right w:val="single" w:color="auto" w:sz="4" w:space="0"/>
            </w:tcBorders>
            <w:vAlign w:val="center"/>
          </w:tcPr>
          <w:p w14:paraId="76153FC3">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1000≤Y＜30000</w:t>
            </w:r>
          </w:p>
        </w:tc>
        <w:tc>
          <w:tcPr>
            <w:tcW w:w="1720" w:type="dxa"/>
            <w:tcBorders>
              <w:top w:val="nil"/>
              <w:left w:val="nil"/>
              <w:bottom w:val="single" w:color="auto" w:sz="4" w:space="0"/>
              <w:right w:val="single" w:color="auto" w:sz="4" w:space="0"/>
            </w:tcBorders>
            <w:vAlign w:val="center"/>
          </w:tcPr>
          <w:p w14:paraId="1DA234BB">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1332" w:type="dxa"/>
            <w:tcBorders>
              <w:top w:val="nil"/>
              <w:left w:val="nil"/>
              <w:bottom w:val="single" w:color="auto" w:sz="4" w:space="0"/>
              <w:right w:val="single" w:color="auto" w:sz="4" w:space="0"/>
            </w:tcBorders>
            <w:vAlign w:val="center"/>
          </w:tcPr>
          <w:p w14:paraId="35E8894B">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0ED64336">
        <w:tblPrEx>
          <w:tblCellMar>
            <w:top w:w="0" w:type="dxa"/>
            <w:left w:w="108" w:type="dxa"/>
            <w:bottom w:w="0" w:type="dxa"/>
            <w:right w:w="108" w:type="dxa"/>
          </w:tblCellMar>
        </w:tblPrEx>
        <w:trPr>
          <w:trHeight w:val="225" w:hRule="atLeast"/>
        </w:trPr>
        <w:tc>
          <w:tcPr>
            <w:tcW w:w="1814" w:type="dxa"/>
            <w:vMerge w:val="restart"/>
            <w:tcBorders>
              <w:top w:val="nil"/>
              <w:left w:val="single" w:color="auto" w:sz="4" w:space="0"/>
              <w:bottom w:val="single" w:color="auto" w:sz="4" w:space="0"/>
              <w:right w:val="single" w:color="auto" w:sz="4" w:space="0"/>
            </w:tcBorders>
            <w:vAlign w:val="bottom"/>
          </w:tcPr>
          <w:p w14:paraId="31EC483E">
            <w:pPr>
              <w:widowControl/>
              <w:wordWrap w:val="0"/>
              <w:spacing w:line="360" w:lineRule="auto"/>
              <w:ind w:firstLine="361"/>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邮政业</w:t>
            </w:r>
          </w:p>
        </w:tc>
        <w:tc>
          <w:tcPr>
            <w:tcW w:w="1872" w:type="dxa"/>
            <w:tcBorders>
              <w:top w:val="nil"/>
              <w:left w:val="nil"/>
              <w:bottom w:val="single" w:color="auto" w:sz="4" w:space="0"/>
              <w:right w:val="single" w:color="auto" w:sz="4" w:space="0"/>
            </w:tcBorders>
            <w:vAlign w:val="center"/>
          </w:tcPr>
          <w:p w14:paraId="16B6B69B">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263" w:type="dxa"/>
            <w:tcBorders>
              <w:top w:val="nil"/>
              <w:left w:val="nil"/>
              <w:bottom w:val="single" w:color="auto" w:sz="4" w:space="0"/>
              <w:right w:val="single" w:color="auto" w:sz="4" w:space="0"/>
            </w:tcBorders>
            <w:vAlign w:val="center"/>
          </w:tcPr>
          <w:p w14:paraId="124ED21F">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763" w:type="dxa"/>
            <w:tcBorders>
              <w:top w:val="nil"/>
              <w:left w:val="nil"/>
              <w:bottom w:val="single" w:color="auto" w:sz="4" w:space="0"/>
              <w:right w:val="single" w:color="auto" w:sz="4" w:space="0"/>
            </w:tcBorders>
            <w:vAlign w:val="center"/>
          </w:tcPr>
          <w:p w14:paraId="084F80C6">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720" w:type="dxa"/>
            <w:tcBorders>
              <w:top w:val="nil"/>
              <w:left w:val="nil"/>
              <w:bottom w:val="single" w:color="auto" w:sz="4" w:space="0"/>
              <w:right w:val="single" w:color="auto" w:sz="4" w:space="0"/>
            </w:tcBorders>
            <w:vAlign w:val="center"/>
          </w:tcPr>
          <w:p w14:paraId="6C32B16C">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332" w:type="dxa"/>
            <w:tcBorders>
              <w:top w:val="nil"/>
              <w:left w:val="nil"/>
              <w:bottom w:val="single" w:color="auto" w:sz="4" w:space="0"/>
              <w:right w:val="single" w:color="auto" w:sz="4" w:space="0"/>
            </w:tcBorders>
            <w:vAlign w:val="center"/>
          </w:tcPr>
          <w:p w14:paraId="006D6648">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67E3E84C">
        <w:tblPrEx>
          <w:tblCellMar>
            <w:top w:w="0" w:type="dxa"/>
            <w:left w:w="108" w:type="dxa"/>
            <w:bottom w:w="0" w:type="dxa"/>
            <w:right w:w="108" w:type="dxa"/>
          </w:tblCellMar>
        </w:tblPrEx>
        <w:trPr>
          <w:trHeight w:val="225" w:hRule="atLeast"/>
        </w:trPr>
        <w:tc>
          <w:tcPr>
            <w:tcW w:w="1814" w:type="dxa"/>
            <w:vMerge w:val="continue"/>
            <w:tcBorders>
              <w:top w:val="nil"/>
              <w:left w:val="single" w:color="auto" w:sz="4" w:space="0"/>
              <w:bottom w:val="single" w:color="auto" w:sz="4" w:space="0"/>
              <w:right w:val="single" w:color="auto" w:sz="4" w:space="0"/>
            </w:tcBorders>
            <w:vAlign w:val="center"/>
          </w:tcPr>
          <w:p w14:paraId="0BA08384">
            <w:pPr>
              <w:widowControl/>
              <w:wordWrap w:val="0"/>
              <w:spacing w:line="360" w:lineRule="auto"/>
              <w:ind w:firstLine="361"/>
              <w:jc w:val="left"/>
              <w:rPr>
                <w:rFonts w:ascii="宋体" w:hAnsi="宋体" w:cs="宋体"/>
                <w:b/>
                <w:bCs/>
                <w:color w:val="auto"/>
                <w:kern w:val="0"/>
                <w:sz w:val="18"/>
                <w:szCs w:val="18"/>
                <w:highlight w:val="none"/>
              </w:rPr>
            </w:pPr>
          </w:p>
        </w:tc>
        <w:tc>
          <w:tcPr>
            <w:tcW w:w="1872" w:type="dxa"/>
            <w:tcBorders>
              <w:top w:val="nil"/>
              <w:left w:val="nil"/>
              <w:bottom w:val="single" w:color="auto" w:sz="4" w:space="0"/>
              <w:right w:val="single" w:color="auto" w:sz="4" w:space="0"/>
            </w:tcBorders>
            <w:vAlign w:val="center"/>
          </w:tcPr>
          <w:p w14:paraId="041DA634">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263" w:type="dxa"/>
            <w:tcBorders>
              <w:top w:val="nil"/>
              <w:left w:val="nil"/>
              <w:bottom w:val="single" w:color="auto" w:sz="4" w:space="0"/>
              <w:right w:val="single" w:color="auto" w:sz="4" w:space="0"/>
            </w:tcBorders>
            <w:vAlign w:val="center"/>
          </w:tcPr>
          <w:p w14:paraId="357F467F">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763" w:type="dxa"/>
            <w:tcBorders>
              <w:top w:val="nil"/>
              <w:left w:val="nil"/>
              <w:bottom w:val="single" w:color="auto" w:sz="4" w:space="0"/>
              <w:right w:val="single" w:color="auto" w:sz="4" w:space="0"/>
            </w:tcBorders>
            <w:vAlign w:val="center"/>
          </w:tcPr>
          <w:p w14:paraId="1999747F">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2000≤Y＜30000</w:t>
            </w:r>
          </w:p>
        </w:tc>
        <w:tc>
          <w:tcPr>
            <w:tcW w:w="1720" w:type="dxa"/>
            <w:tcBorders>
              <w:top w:val="nil"/>
              <w:left w:val="nil"/>
              <w:bottom w:val="single" w:color="auto" w:sz="4" w:space="0"/>
              <w:right w:val="single" w:color="auto" w:sz="4" w:space="0"/>
            </w:tcBorders>
            <w:vAlign w:val="center"/>
          </w:tcPr>
          <w:p w14:paraId="545DF44E">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332" w:type="dxa"/>
            <w:tcBorders>
              <w:top w:val="nil"/>
              <w:left w:val="nil"/>
              <w:bottom w:val="single" w:color="auto" w:sz="4" w:space="0"/>
              <w:right w:val="single" w:color="auto" w:sz="4" w:space="0"/>
            </w:tcBorders>
            <w:vAlign w:val="center"/>
          </w:tcPr>
          <w:p w14:paraId="26E68F48">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39A9A5C8">
        <w:tblPrEx>
          <w:tblCellMar>
            <w:top w:w="0" w:type="dxa"/>
            <w:left w:w="108" w:type="dxa"/>
            <w:bottom w:w="0" w:type="dxa"/>
            <w:right w:w="108" w:type="dxa"/>
          </w:tblCellMar>
        </w:tblPrEx>
        <w:trPr>
          <w:trHeight w:val="225" w:hRule="atLeast"/>
        </w:trPr>
        <w:tc>
          <w:tcPr>
            <w:tcW w:w="1814" w:type="dxa"/>
            <w:vMerge w:val="restart"/>
            <w:tcBorders>
              <w:top w:val="nil"/>
              <w:left w:val="single" w:color="auto" w:sz="4" w:space="0"/>
              <w:bottom w:val="single" w:color="auto" w:sz="4" w:space="0"/>
              <w:right w:val="single" w:color="auto" w:sz="4" w:space="0"/>
            </w:tcBorders>
            <w:vAlign w:val="bottom"/>
          </w:tcPr>
          <w:p w14:paraId="29FBE066">
            <w:pPr>
              <w:widowControl/>
              <w:wordWrap w:val="0"/>
              <w:spacing w:line="360" w:lineRule="auto"/>
              <w:ind w:firstLine="361"/>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住宿业</w:t>
            </w:r>
          </w:p>
        </w:tc>
        <w:tc>
          <w:tcPr>
            <w:tcW w:w="1872" w:type="dxa"/>
            <w:tcBorders>
              <w:top w:val="nil"/>
              <w:left w:val="nil"/>
              <w:bottom w:val="single" w:color="auto" w:sz="4" w:space="0"/>
              <w:right w:val="single" w:color="auto" w:sz="4" w:space="0"/>
            </w:tcBorders>
            <w:vAlign w:val="center"/>
          </w:tcPr>
          <w:p w14:paraId="4C534408">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263" w:type="dxa"/>
            <w:tcBorders>
              <w:top w:val="nil"/>
              <w:left w:val="nil"/>
              <w:bottom w:val="single" w:color="auto" w:sz="4" w:space="0"/>
              <w:right w:val="single" w:color="auto" w:sz="4" w:space="0"/>
            </w:tcBorders>
            <w:vAlign w:val="center"/>
          </w:tcPr>
          <w:p w14:paraId="070BB3AC">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763" w:type="dxa"/>
            <w:tcBorders>
              <w:top w:val="nil"/>
              <w:left w:val="nil"/>
              <w:bottom w:val="single" w:color="auto" w:sz="4" w:space="0"/>
              <w:right w:val="single" w:color="auto" w:sz="4" w:space="0"/>
            </w:tcBorders>
            <w:vAlign w:val="center"/>
          </w:tcPr>
          <w:p w14:paraId="661783DB">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20" w:type="dxa"/>
            <w:tcBorders>
              <w:top w:val="nil"/>
              <w:left w:val="nil"/>
              <w:bottom w:val="single" w:color="auto" w:sz="4" w:space="0"/>
              <w:right w:val="single" w:color="auto" w:sz="4" w:space="0"/>
            </w:tcBorders>
            <w:vAlign w:val="center"/>
          </w:tcPr>
          <w:p w14:paraId="161EE75E">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332" w:type="dxa"/>
            <w:tcBorders>
              <w:top w:val="nil"/>
              <w:left w:val="nil"/>
              <w:bottom w:val="single" w:color="auto" w:sz="4" w:space="0"/>
              <w:right w:val="single" w:color="auto" w:sz="4" w:space="0"/>
            </w:tcBorders>
            <w:vAlign w:val="center"/>
          </w:tcPr>
          <w:p w14:paraId="0320018F">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434E9F0E">
        <w:tblPrEx>
          <w:tblCellMar>
            <w:top w:w="0" w:type="dxa"/>
            <w:left w:w="108" w:type="dxa"/>
            <w:bottom w:w="0" w:type="dxa"/>
            <w:right w:w="108" w:type="dxa"/>
          </w:tblCellMar>
        </w:tblPrEx>
        <w:trPr>
          <w:trHeight w:val="225" w:hRule="atLeast"/>
        </w:trPr>
        <w:tc>
          <w:tcPr>
            <w:tcW w:w="1814" w:type="dxa"/>
            <w:vMerge w:val="continue"/>
            <w:tcBorders>
              <w:top w:val="nil"/>
              <w:left w:val="single" w:color="auto" w:sz="4" w:space="0"/>
              <w:bottom w:val="single" w:color="auto" w:sz="4" w:space="0"/>
              <w:right w:val="single" w:color="auto" w:sz="4" w:space="0"/>
            </w:tcBorders>
            <w:vAlign w:val="center"/>
          </w:tcPr>
          <w:p w14:paraId="361A1BBA">
            <w:pPr>
              <w:widowControl/>
              <w:wordWrap w:val="0"/>
              <w:spacing w:line="360" w:lineRule="auto"/>
              <w:ind w:firstLine="361"/>
              <w:jc w:val="left"/>
              <w:rPr>
                <w:rFonts w:ascii="宋体" w:hAnsi="宋体" w:cs="宋体"/>
                <w:b/>
                <w:bCs/>
                <w:color w:val="auto"/>
                <w:kern w:val="0"/>
                <w:sz w:val="18"/>
                <w:szCs w:val="18"/>
                <w:highlight w:val="none"/>
              </w:rPr>
            </w:pPr>
          </w:p>
        </w:tc>
        <w:tc>
          <w:tcPr>
            <w:tcW w:w="1872" w:type="dxa"/>
            <w:tcBorders>
              <w:top w:val="nil"/>
              <w:left w:val="nil"/>
              <w:bottom w:val="single" w:color="auto" w:sz="4" w:space="0"/>
              <w:right w:val="single" w:color="auto" w:sz="4" w:space="0"/>
            </w:tcBorders>
            <w:vAlign w:val="center"/>
          </w:tcPr>
          <w:p w14:paraId="4A7CFB7C">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263" w:type="dxa"/>
            <w:tcBorders>
              <w:top w:val="nil"/>
              <w:left w:val="nil"/>
              <w:bottom w:val="single" w:color="auto" w:sz="4" w:space="0"/>
              <w:right w:val="single" w:color="auto" w:sz="4" w:space="0"/>
            </w:tcBorders>
            <w:vAlign w:val="center"/>
          </w:tcPr>
          <w:p w14:paraId="0A102E42">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763" w:type="dxa"/>
            <w:tcBorders>
              <w:top w:val="nil"/>
              <w:left w:val="nil"/>
              <w:bottom w:val="single" w:color="auto" w:sz="4" w:space="0"/>
              <w:right w:val="single" w:color="auto" w:sz="4" w:space="0"/>
            </w:tcBorders>
            <w:vAlign w:val="center"/>
          </w:tcPr>
          <w:p w14:paraId="003D429B">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720" w:type="dxa"/>
            <w:tcBorders>
              <w:top w:val="nil"/>
              <w:left w:val="nil"/>
              <w:bottom w:val="single" w:color="auto" w:sz="4" w:space="0"/>
              <w:right w:val="single" w:color="auto" w:sz="4" w:space="0"/>
            </w:tcBorders>
            <w:vAlign w:val="center"/>
          </w:tcPr>
          <w:p w14:paraId="50A982E3">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332" w:type="dxa"/>
            <w:tcBorders>
              <w:top w:val="nil"/>
              <w:left w:val="nil"/>
              <w:bottom w:val="single" w:color="auto" w:sz="4" w:space="0"/>
              <w:right w:val="single" w:color="auto" w:sz="4" w:space="0"/>
            </w:tcBorders>
            <w:vAlign w:val="center"/>
          </w:tcPr>
          <w:p w14:paraId="7DCDFA6E">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5A4220DD">
        <w:tblPrEx>
          <w:tblCellMar>
            <w:top w:w="0" w:type="dxa"/>
            <w:left w:w="108" w:type="dxa"/>
            <w:bottom w:w="0" w:type="dxa"/>
            <w:right w:w="108" w:type="dxa"/>
          </w:tblCellMar>
        </w:tblPrEx>
        <w:trPr>
          <w:trHeight w:val="225" w:hRule="atLeast"/>
        </w:trPr>
        <w:tc>
          <w:tcPr>
            <w:tcW w:w="1814" w:type="dxa"/>
            <w:vMerge w:val="restart"/>
            <w:tcBorders>
              <w:top w:val="nil"/>
              <w:left w:val="single" w:color="auto" w:sz="4" w:space="0"/>
              <w:bottom w:val="single" w:color="auto" w:sz="4" w:space="0"/>
              <w:right w:val="single" w:color="auto" w:sz="4" w:space="0"/>
            </w:tcBorders>
            <w:vAlign w:val="bottom"/>
          </w:tcPr>
          <w:p w14:paraId="272BE556">
            <w:pPr>
              <w:widowControl/>
              <w:wordWrap w:val="0"/>
              <w:spacing w:line="360" w:lineRule="auto"/>
              <w:ind w:firstLine="361"/>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餐饮业</w:t>
            </w:r>
          </w:p>
        </w:tc>
        <w:tc>
          <w:tcPr>
            <w:tcW w:w="1872" w:type="dxa"/>
            <w:tcBorders>
              <w:top w:val="nil"/>
              <w:left w:val="nil"/>
              <w:bottom w:val="single" w:color="auto" w:sz="4" w:space="0"/>
              <w:right w:val="single" w:color="auto" w:sz="4" w:space="0"/>
            </w:tcBorders>
            <w:vAlign w:val="center"/>
          </w:tcPr>
          <w:p w14:paraId="4456C50F">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263" w:type="dxa"/>
            <w:tcBorders>
              <w:top w:val="nil"/>
              <w:left w:val="nil"/>
              <w:bottom w:val="single" w:color="auto" w:sz="4" w:space="0"/>
              <w:right w:val="single" w:color="auto" w:sz="4" w:space="0"/>
            </w:tcBorders>
            <w:vAlign w:val="center"/>
          </w:tcPr>
          <w:p w14:paraId="59A88A70">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763" w:type="dxa"/>
            <w:tcBorders>
              <w:top w:val="nil"/>
              <w:left w:val="nil"/>
              <w:bottom w:val="single" w:color="auto" w:sz="4" w:space="0"/>
              <w:right w:val="single" w:color="auto" w:sz="4" w:space="0"/>
            </w:tcBorders>
            <w:vAlign w:val="center"/>
          </w:tcPr>
          <w:p w14:paraId="6CCCE1E7">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20" w:type="dxa"/>
            <w:tcBorders>
              <w:top w:val="nil"/>
              <w:left w:val="nil"/>
              <w:bottom w:val="single" w:color="auto" w:sz="4" w:space="0"/>
              <w:right w:val="single" w:color="auto" w:sz="4" w:space="0"/>
            </w:tcBorders>
            <w:vAlign w:val="center"/>
          </w:tcPr>
          <w:p w14:paraId="0242C840">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332" w:type="dxa"/>
            <w:tcBorders>
              <w:top w:val="nil"/>
              <w:left w:val="nil"/>
              <w:bottom w:val="single" w:color="auto" w:sz="4" w:space="0"/>
              <w:right w:val="single" w:color="auto" w:sz="4" w:space="0"/>
            </w:tcBorders>
            <w:vAlign w:val="center"/>
          </w:tcPr>
          <w:p w14:paraId="2A7A2CB0">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61DF17D4">
        <w:tblPrEx>
          <w:tblCellMar>
            <w:top w:w="0" w:type="dxa"/>
            <w:left w:w="108" w:type="dxa"/>
            <w:bottom w:w="0" w:type="dxa"/>
            <w:right w:w="108" w:type="dxa"/>
          </w:tblCellMar>
        </w:tblPrEx>
        <w:trPr>
          <w:trHeight w:val="225" w:hRule="atLeast"/>
        </w:trPr>
        <w:tc>
          <w:tcPr>
            <w:tcW w:w="1814" w:type="dxa"/>
            <w:vMerge w:val="continue"/>
            <w:tcBorders>
              <w:top w:val="nil"/>
              <w:left w:val="single" w:color="auto" w:sz="4" w:space="0"/>
              <w:bottom w:val="single" w:color="auto" w:sz="4" w:space="0"/>
              <w:right w:val="single" w:color="auto" w:sz="4" w:space="0"/>
            </w:tcBorders>
            <w:vAlign w:val="center"/>
          </w:tcPr>
          <w:p w14:paraId="2224EAD4">
            <w:pPr>
              <w:widowControl/>
              <w:wordWrap w:val="0"/>
              <w:spacing w:line="360" w:lineRule="auto"/>
              <w:ind w:firstLine="361"/>
              <w:jc w:val="left"/>
              <w:rPr>
                <w:rFonts w:ascii="宋体" w:hAnsi="宋体" w:cs="宋体"/>
                <w:b/>
                <w:bCs/>
                <w:color w:val="auto"/>
                <w:kern w:val="0"/>
                <w:sz w:val="18"/>
                <w:szCs w:val="18"/>
                <w:highlight w:val="none"/>
              </w:rPr>
            </w:pPr>
          </w:p>
        </w:tc>
        <w:tc>
          <w:tcPr>
            <w:tcW w:w="1872" w:type="dxa"/>
            <w:tcBorders>
              <w:top w:val="nil"/>
              <w:left w:val="nil"/>
              <w:bottom w:val="single" w:color="auto" w:sz="4" w:space="0"/>
              <w:right w:val="single" w:color="auto" w:sz="4" w:space="0"/>
            </w:tcBorders>
            <w:vAlign w:val="center"/>
          </w:tcPr>
          <w:p w14:paraId="16FE4CA3">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263" w:type="dxa"/>
            <w:tcBorders>
              <w:top w:val="nil"/>
              <w:left w:val="nil"/>
              <w:bottom w:val="single" w:color="auto" w:sz="4" w:space="0"/>
              <w:right w:val="single" w:color="auto" w:sz="4" w:space="0"/>
            </w:tcBorders>
            <w:vAlign w:val="center"/>
          </w:tcPr>
          <w:p w14:paraId="73E5A386">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763" w:type="dxa"/>
            <w:tcBorders>
              <w:top w:val="nil"/>
              <w:left w:val="nil"/>
              <w:bottom w:val="single" w:color="auto" w:sz="4" w:space="0"/>
              <w:right w:val="single" w:color="auto" w:sz="4" w:space="0"/>
            </w:tcBorders>
            <w:vAlign w:val="center"/>
          </w:tcPr>
          <w:p w14:paraId="45F14547">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720" w:type="dxa"/>
            <w:tcBorders>
              <w:top w:val="nil"/>
              <w:left w:val="nil"/>
              <w:bottom w:val="single" w:color="auto" w:sz="4" w:space="0"/>
              <w:right w:val="single" w:color="auto" w:sz="4" w:space="0"/>
            </w:tcBorders>
            <w:vAlign w:val="center"/>
          </w:tcPr>
          <w:p w14:paraId="5508917F">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332" w:type="dxa"/>
            <w:tcBorders>
              <w:top w:val="nil"/>
              <w:left w:val="nil"/>
              <w:bottom w:val="single" w:color="auto" w:sz="4" w:space="0"/>
              <w:right w:val="single" w:color="auto" w:sz="4" w:space="0"/>
            </w:tcBorders>
            <w:vAlign w:val="center"/>
          </w:tcPr>
          <w:p w14:paraId="668354D8">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04DBE370">
        <w:tblPrEx>
          <w:tblCellMar>
            <w:top w:w="0" w:type="dxa"/>
            <w:left w:w="108" w:type="dxa"/>
            <w:bottom w:w="0" w:type="dxa"/>
            <w:right w:w="108" w:type="dxa"/>
          </w:tblCellMar>
        </w:tblPrEx>
        <w:trPr>
          <w:trHeight w:val="225" w:hRule="atLeast"/>
        </w:trPr>
        <w:tc>
          <w:tcPr>
            <w:tcW w:w="1814" w:type="dxa"/>
            <w:vMerge w:val="restart"/>
            <w:tcBorders>
              <w:top w:val="nil"/>
              <w:left w:val="single" w:color="auto" w:sz="4" w:space="0"/>
              <w:bottom w:val="single" w:color="auto" w:sz="4" w:space="0"/>
              <w:right w:val="single" w:color="auto" w:sz="4" w:space="0"/>
            </w:tcBorders>
            <w:vAlign w:val="bottom"/>
          </w:tcPr>
          <w:p w14:paraId="3C68262B">
            <w:pPr>
              <w:widowControl/>
              <w:wordWrap w:val="0"/>
              <w:spacing w:line="360" w:lineRule="auto"/>
              <w:ind w:firstLine="361"/>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信息传输业</w:t>
            </w:r>
          </w:p>
        </w:tc>
        <w:tc>
          <w:tcPr>
            <w:tcW w:w="1872" w:type="dxa"/>
            <w:tcBorders>
              <w:top w:val="nil"/>
              <w:left w:val="nil"/>
              <w:bottom w:val="single" w:color="auto" w:sz="4" w:space="0"/>
              <w:right w:val="single" w:color="auto" w:sz="4" w:space="0"/>
            </w:tcBorders>
            <w:vAlign w:val="center"/>
          </w:tcPr>
          <w:p w14:paraId="542A407D">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263" w:type="dxa"/>
            <w:tcBorders>
              <w:top w:val="nil"/>
              <w:left w:val="nil"/>
              <w:bottom w:val="single" w:color="auto" w:sz="4" w:space="0"/>
              <w:right w:val="single" w:color="auto" w:sz="4" w:space="0"/>
            </w:tcBorders>
            <w:vAlign w:val="center"/>
          </w:tcPr>
          <w:p w14:paraId="4BF2EE94">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763" w:type="dxa"/>
            <w:tcBorders>
              <w:top w:val="nil"/>
              <w:left w:val="nil"/>
              <w:bottom w:val="single" w:color="auto" w:sz="4" w:space="0"/>
              <w:right w:val="single" w:color="auto" w:sz="4" w:space="0"/>
            </w:tcBorders>
            <w:vAlign w:val="center"/>
          </w:tcPr>
          <w:p w14:paraId="7D1CB09D">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100≤X＜2000</w:t>
            </w:r>
          </w:p>
        </w:tc>
        <w:tc>
          <w:tcPr>
            <w:tcW w:w="1720" w:type="dxa"/>
            <w:tcBorders>
              <w:top w:val="nil"/>
              <w:left w:val="nil"/>
              <w:bottom w:val="single" w:color="auto" w:sz="4" w:space="0"/>
              <w:right w:val="single" w:color="auto" w:sz="4" w:space="0"/>
            </w:tcBorders>
            <w:vAlign w:val="center"/>
          </w:tcPr>
          <w:p w14:paraId="22ED6492">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332" w:type="dxa"/>
            <w:tcBorders>
              <w:top w:val="nil"/>
              <w:left w:val="nil"/>
              <w:bottom w:val="single" w:color="auto" w:sz="4" w:space="0"/>
              <w:right w:val="single" w:color="auto" w:sz="4" w:space="0"/>
            </w:tcBorders>
            <w:vAlign w:val="center"/>
          </w:tcPr>
          <w:p w14:paraId="6E2BC1C2">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64230381">
        <w:tblPrEx>
          <w:tblCellMar>
            <w:top w:w="0" w:type="dxa"/>
            <w:left w:w="108" w:type="dxa"/>
            <w:bottom w:w="0" w:type="dxa"/>
            <w:right w:w="108" w:type="dxa"/>
          </w:tblCellMar>
        </w:tblPrEx>
        <w:trPr>
          <w:trHeight w:val="225" w:hRule="atLeast"/>
        </w:trPr>
        <w:tc>
          <w:tcPr>
            <w:tcW w:w="1814" w:type="dxa"/>
            <w:vMerge w:val="continue"/>
            <w:tcBorders>
              <w:top w:val="nil"/>
              <w:left w:val="single" w:color="auto" w:sz="4" w:space="0"/>
              <w:bottom w:val="single" w:color="auto" w:sz="4" w:space="0"/>
              <w:right w:val="single" w:color="auto" w:sz="4" w:space="0"/>
            </w:tcBorders>
            <w:vAlign w:val="center"/>
          </w:tcPr>
          <w:p w14:paraId="61183591">
            <w:pPr>
              <w:widowControl/>
              <w:wordWrap w:val="0"/>
              <w:spacing w:line="360" w:lineRule="auto"/>
              <w:ind w:firstLine="361"/>
              <w:jc w:val="left"/>
              <w:rPr>
                <w:rFonts w:ascii="宋体" w:hAnsi="宋体" w:cs="宋体"/>
                <w:b/>
                <w:bCs/>
                <w:color w:val="auto"/>
                <w:kern w:val="0"/>
                <w:sz w:val="18"/>
                <w:szCs w:val="18"/>
                <w:highlight w:val="none"/>
              </w:rPr>
            </w:pPr>
          </w:p>
        </w:tc>
        <w:tc>
          <w:tcPr>
            <w:tcW w:w="1872" w:type="dxa"/>
            <w:tcBorders>
              <w:top w:val="nil"/>
              <w:left w:val="nil"/>
              <w:bottom w:val="single" w:color="auto" w:sz="4" w:space="0"/>
              <w:right w:val="single" w:color="auto" w:sz="4" w:space="0"/>
            </w:tcBorders>
            <w:vAlign w:val="center"/>
          </w:tcPr>
          <w:p w14:paraId="0A967DBD">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263" w:type="dxa"/>
            <w:tcBorders>
              <w:top w:val="nil"/>
              <w:left w:val="nil"/>
              <w:bottom w:val="single" w:color="auto" w:sz="4" w:space="0"/>
              <w:right w:val="single" w:color="auto" w:sz="4" w:space="0"/>
            </w:tcBorders>
            <w:vAlign w:val="center"/>
          </w:tcPr>
          <w:p w14:paraId="00CBD4DE">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763" w:type="dxa"/>
            <w:tcBorders>
              <w:top w:val="nil"/>
              <w:left w:val="nil"/>
              <w:bottom w:val="single" w:color="auto" w:sz="4" w:space="0"/>
              <w:right w:val="single" w:color="auto" w:sz="4" w:space="0"/>
            </w:tcBorders>
            <w:vAlign w:val="center"/>
          </w:tcPr>
          <w:p w14:paraId="1FBC419B">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1000≤Y＜100000</w:t>
            </w:r>
          </w:p>
        </w:tc>
        <w:tc>
          <w:tcPr>
            <w:tcW w:w="1720" w:type="dxa"/>
            <w:tcBorders>
              <w:top w:val="nil"/>
              <w:left w:val="nil"/>
              <w:bottom w:val="single" w:color="auto" w:sz="4" w:space="0"/>
              <w:right w:val="single" w:color="auto" w:sz="4" w:space="0"/>
            </w:tcBorders>
            <w:vAlign w:val="center"/>
          </w:tcPr>
          <w:p w14:paraId="591EC57C">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1332" w:type="dxa"/>
            <w:tcBorders>
              <w:top w:val="nil"/>
              <w:left w:val="nil"/>
              <w:bottom w:val="single" w:color="auto" w:sz="4" w:space="0"/>
              <w:right w:val="single" w:color="auto" w:sz="4" w:space="0"/>
            </w:tcBorders>
            <w:vAlign w:val="center"/>
          </w:tcPr>
          <w:p w14:paraId="566B7DF5">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52C7EB96">
        <w:tblPrEx>
          <w:tblCellMar>
            <w:top w:w="0" w:type="dxa"/>
            <w:left w:w="108" w:type="dxa"/>
            <w:bottom w:w="0" w:type="dxa"/>
            <w:right w:w="108" w:type="dxa"/>
          </w:tblCellMar>
        </w:tblPrEx>
        <w:trPr>
          <w:trHeight w:val="225" w:hRule="atLeast"/>
        </w:trPr>
        <w:tc>
          <w:tcPr>
            <w:tcW w:w="1814" w:type="dxa"/>
            <w:vMerge w:val="restart"/>
            <w:tcBorders>
              <w:top w:val="nil"/>
              <w:left w:val="single" w:color="auto" w:sz="4" w:space="0"/>
              <w:bottom w:val="single" w:color="auto" w:sz="4" w:space="0"/>
              <w:right w:val="single" w:color="auto" w:sz="4" w:space="0"/>
            </w:tcBorders>
            <w:vAlign w:val="bottom"/>
          </w:tcPr>
          <w:p w14:paraId="2489AFFE">
            <w:pPr>
              <w:widowControl/>
              <w:wordWrap w:val="0"/>
              <w:spacing w:line="360" w:lineRule="auto"/>
              <w:ind w:firstLine="361"/>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软件和信息技术服务业</w:t>
            </w:r>
          </w:p>
        </w:tc>
        <w:tc>
          <w:tcPr>
            <w:tcW w:w="1872" w:type="dxa"/>
            <w:tcBorders>
              <w:top w:val="nil"/>
              <w:left w:val="nil"/>
              <w:bottom w:val="single" w:color="auto" w:sz="4" w:space="0"/>
              <w:right w:val="single" w:color="auto" w:sz="4" w:space="0"/>
            </w:tcBorders>
            <w:vAlign w:val="center"/>
          </w:tcPr>
          <w:p w14:paraId="618527E6">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263" w:type="dxa"/>
            <w:tcBorders>
              <w:top w:val="nil"/>
              <w:left w:val="nil"/>
              <w:bottom w:val="single" w:color="auto" w:sz="4" w:space="0"/>
              <w:right w:val="single" w:color="auto" w:sz="4" w:space="0"/>
            </w:tcBorders>
            <w:vAlign w:val="center"/>
          </w:tcPr>
          <w:p w14:paraId="5F6E9C5E">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763" w:type="dxa"/>
            <w:tcBorders>
              <w:top w:val="nil"/>
              <w:left w:val="nil"/>
              <w:bottom w:val="single" w:color="auto" w:sz="4" w:space="0"/>
              <w:right w:val="single" w:color="auto" w:sz="4" w:space="0"/>
            </w:tcBorders>
            <w:vAlign w:val="center"/>
          </w:tcPr>
          <w:p w14:paraId="65D5E810">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20" w:type="dxa"/>
            <w:tcBorders>
              <w:top w:val="nil"/>
              <w:left w:val="nil"/>
              <w:bottom w:val="single" w:color="auto" w:sz="4" w:space="0"/>
              <w:right w:val="single" w:color="auto" w:sz="4" w:space="0"/>
            </w:tcBorders>
            <w:vAlign w:val="center"/>
          </w:tcPr>
          <w:p w14:paraId="2DCEE421">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332" w:type="dxa"/>
            <w:tcBorders>
              <w:top w:val="nil"/>
              <w:left w:val="nil"/>
              <w:bottom w:val="single" w:color="auto" w:sz="4" w:space="0"/>
              <w:right w:val="single" w:color="auto" w:sz="4" w:space="0"/>
            </w:tcBorders>
            <w:vAlign w:val="center"/>
          </w:tcPr>
          <w:p w14:paraId="4AD5C907">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0D86C112">
        <w:tblPrEx>
          <w:tblCellMar>
            <w:top w:w="0" w:type="dxa"/>
            <w:left w:w="108" w:type="dxa"/>
            <w:bottom w:w="0" w:type="dxa"/>
            <w:right w:w="108" w:type="dxa"/>
          </w:tblCellMar>
        </w:tblPrEx>
        <w:trPr>
          <w:trHeight w:val="225" w:hRule="atLeast"/>
        </w:trPr>
        <w:tc>
          <w:tcPr>
            <w:tcW w:w="1814" w:type="dxa"/>
            <w:vMerge w:val="continue"/>
            <w:tcBorders>
              <w:top w:val="nil"/>
              <w:left w:val="single" w:color="auto" w:sz="4" w:space="0"/>
              <w:bottom w:val="single" w:color="auto" w:sz="4" w:space="0"/>
              <w:right w:val="single" w:color="auto" w:sz="4" w:space="0"/>
            </w:tcBorders>
            <w:vAlign w:val="center"/>
          </w:tcPr>
          <w:p w14:paraId="328D903C">
            <w:pPr>
              <w:widowControl/>
              <w:wordWrap w:val="0"/>
              <w:spacing w:line="360" w:lineRule="auto"/>
              <w:ind w:firstLine="361"/>
              <w:jc w:val="left"/>
              <w:rPr>
                <w:rFonts w:ascii="宋体" w:hAnsi="宋体" w:cs="宋体"/>
                <w:b/>
                <w:bCs/>
                <w:color w:val="auto"/>
                <w:kern w:val="0"/>
                <w:sz w:val="18"/>
                <w:szCs w:val="18"/>
                <w:highlight w:val="none"/>
              </w:rPr>
            </w:pPr>
          </w:p>
        </w:tc>
        <w:tc>
          <w:tcPr>
            <w:tcW w:w="1872" w:type="dxa"/>
            <w:tcBorders>
              <w:top w:val="nil"/>
              <w:left w:val="nil"/>
              <w:bottom w:val="single" w:color="auto" w:sz="4" w:space="0"/>
              <w:right w:val="single" w:color="auto" w:sz="4" w:space="0"/>
            </w:tcBorders>
            <w:vAlign w:val="center"/>
          </w:tcPr>
          <w:p w14:paraId="5CBDA869">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263" w:type="dxa"/>
            <w:tcBorders>
              <w:top w:val="nil"/>
              <w:left w:val="nil"/>
              <w:bottom w:val="single" w:color="auto" w:sz="4" w:space="0"/>
              <w:right w:val="single" w:color="auto" w:sz="4" w:space="0"/>
            </w:tcBorders>
            <w:vAlign w:val="center"/>
          </w:tcPr>
          <w:p w14:paraId="028A2CF2">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763" w:type="dxa"/>
            <w:tcBorders>
              <w:top w:val="nil"/>
              <w:left w:val="nil"/>
              <w:bottom w:val="single" w:color="auto" w:sz="4" w:space="0"/>
              <w:right w:val="single" w:color="auto" w:sz="4" w:space="0"/>
            </w:tcBorders>
            <w:vAlign w:val="center"/>
          </w:tcPr>
          <w:p w14:paraId="1DE2A2FD">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w:t>
            </w:r>
          </w:p>
        </w:tc>
        <w:tc>
          <w:tcPr>
            <w:tcW w:w="1720" w:type="dxa"/>
            <w:tcBorders>
              <w:top w:val="nil"/>
              <w:left w:val="nil"/>
              <w:bottom w:val="single" w:color="auto" w:sz="4" w:space="0"/>
              <w:right w:val="single" w:color="auto" w:sz="4" w:space="0"/>
            </w:tcBorders>
            <w:vAlign w:val="center"/>
          </w:tcPr>
          <w:p w14:paraId="6C990972">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50≤Y＜1000</w:t>
            </w:r>
          </w:p>
        </w:tc>
        <w:tc>
          <w:tcPr>
            <w:tcW w:w="1332" w:type="dxa"/>
            <w:tcBorders>
              <w:top w:val="nil"/>
              <w:left w:val="nil"/>
              <w:bottom w:val="single" w:color="auto" w:sz="4" w:space="0"/>
              <w:right w:val="single" w:color="auto" w:sz="4" w:space="0"/>
            </w:tcBorders>
            <w:vAlign w:val="center"/>
          </w:tcPr>
          <w:p w14:paraId="37D72D67">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20F0F8CB">
        <w:tblPrEx>
          <w:tblCellMar>
            <w:top w:w="0" w:type="dxa"/>
            <w:left w:w="108" w:type="dxa"/>
            <w:bottom w:w="0" w:type="dxa"/>
            <w:right w:w="108" w:type="dxa"/>
          </w:tblCellMar>
        </w:tblPrEx>
        <w:trPr>
          <w:trHeight w:val="225" w:hRule="atLeast"/>
        </w:trPr>
        <w:tc>
          <w:tcPr>
            <w:tcW w:w="1814" w:type="dxa"/>
            <w:vMerge w:val="restart"/>
            <w:tcBorders>
              <w:top w:val="single" w:color="auto" w:sz="4" w:space="0"/>
              <w:left w:val="single" w:color="auto" w:sz="4" w:space="0"/>
              <w:bottom w:val="single" w:color="auto" w:sz="4" w:space="0"/>
              <w:right w:val="single" w:color="auto" w:sz="4" w:space="0"/>
            </w:tcBorders>
            <w:vAlign w:val="bottom"/>
          </w:tcPr>
          <w:p w14:paraId="2F89D0D1">
            <w:pPr>
              <w:widowControl/>
              <w:wordWrap w:val="0"/>
              <w:spacing w:line="360" w:lineRule="auto"/>
              <w:ind w:firstLine="361"/>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房地产开发经营</w:t>
            </w:r>
          </w:p>
        </w:tc>
        <w:tc>
          <w:tcPr>
            <w:tcW w:w="1872" w:type="dxa"/>
            <w:tcBorders>
              <w:top w:val="single" w:color="auto" w:sz="4" w:space="0"/>
              <w:left w:val="single" w:color="auto" w:sz="4" w:space="0"/>
              <w:bottom w:val="single" w:color="auto" w:sz="4" w:space="0"/>
              <w:right w:val="single" w:color="auto" w:sz="4" w:space="0"/>
            </w:tcBorders>
            <w:vAlign w:val="center"/>
          </w:tcPr>
          <w:p w14:paraId="345A38FA">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263" w:type="dxa"/>
            <w:tcBorders>
              <w:top w:val="single" w:color="auto" w:sz="4" w:space="0"/>
              <w:left w:val="single" w:color="auto" w:sz="4" w:space="0"/>
              <w:bottom w:val="single" w:color="auto" w:sz="4" w:space="0"/>
              <w:right w:val="single" w:color="auto" w:sz="4" w:space="0"/>
            </w:tcBorders>
            <w:vAlign w:val="center"/>
          </w:tcPr>
          <w:p w14:paraId="62067100">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763" w:type="dxa"/>
            <w:tcBorders>
              <w:top w:val="single" w:color="auto" w:sz="4" w:space="0"/>
              <w:left w:val="single" w:color="auto" w:sz="4" w:space="0"/>
              <w:bottom w:val="single" w:color="auto" w:sz="4" w:space="0"/>
              <w:right w:val="single" w:color="auto" w:sz="4" w:space="0"/>
            </w:tcBorders>
            <w:vAlign w:val="center"/>
          </w:tcPr>
          <w:p w14:paraId="24742605">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1000≤Y＜200000</w:t>
            </w:r>
          </w:p>
        </w:tc>
        <w:tc>
          <w:tcPr>
            <w:tcW w:w="1720" w:type="dxa"/>
            <w:tcBorders>
              <w:top w:val="single" w:color="auto" w:sz="4" w:space="0"/>
              <w:left w:val="single" w:color="auto" w:sz="4" w:space="0"/>
              <w:bottom w:val="single" w:color="auto" w:sz="4" w:space="0"/>
              <w:right w:val="single" w:color="auto" w:sz="4" w:space="0"/>
            </w:tcBorders>
            <w:vAlign w:val="center"/>
          </w:tcPr>
          <w:p w14:paraId="7B1A0FC5">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100≤X＜1000</w:t>
            </w:r>
          </w:p>
        </w:tc>
        <w:tc>
          <w:tcPr>
            <w:tcW w:w="1332" w:type="dxa"/>
            <w:tcBorders>
              <w:top w:val="single" w:color="auto" w:sz="4" w:space="0"/>
              <w:left w:val="single" w:color="auto" w:sz="4" w:space="0"/>
              <w:bottom w:val="single" w:color="auto" w:sz="4" w:space="0"/>
              <w:right w:val="single" w:color="auto" w:sz="4" w:space="0"/>
            </w:tcBorders>
            <w:vAlign w:val="center"/>
          </w:tcPr>
          <w:p w14:paraId="0504F064">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5578CA20">
        <w:tblPrEx>
          <w:tblCellMar>
            <w:top w:w="0" w:type="dxa"/>
            <w:left w:w="108" w:type="dxa"/>
            <w:bottom w:w="0" w:type="dxa"/>
            <w:right w:w="108" w:type="dxa"/>
          </w:tblCellMar>
        </w:tblPrEx>
        <w:trPr>
          <w:trHeight w:val="225" w:hRule="atLeast"/>
        </w:trPr>
        <w:tc>
          <w:tcPr>
            <w:tcW w:w="1814" w:type="dxa"/>
            <w:vMerge w:val="continue"/>
            <w:tcBorders>
              <w:top w:val="single" w:color="auto" w:sz="4" w:space="0"/>
              <w:left w:val="single" w:color="auto" w:sz="4" w:space="0"/>
              <w:bottom w:val="single" w:color="auto" w:sz="4" w:space="0"/>
              <w:right w:val="single" w:color="auto" w:sz="4" w:space="0"/>
            </w:tcBorders>
            <w:vAlign w:val="center"/>
          </w:tcPr>
          <w:p w14:paraId="7B0FB4C6">
            <w:pPr>
              <w:widowControl/>
              <w:wordWrap w:val="0"/>
              <w:spacing w:line="360" w:lineRule="auto"/>
              <w:ind w:firstLine="361"/>
              <w:jc w:val="left"/>
              <w:rPr>
                <w:rFonts w:ascii="宋体" w:hAnsi="宋体" w:cs="宋体"/>
                <w:b/>
                <w:bCs/>
                <w:color w:val="auto"/>
                <w:kern w:val="0"/>
                <w:sz w:val="18"/>
                <w:szCs w:val="18"/>
                <w:highlight w:val="none"/>
              </w:rPr>
            </w:pPr>
          </w:p>
        </w:tc>
        <w:tc>
          <w:tcPr>
            <w:tcW w:w="1872" w:type="dxa"/>
            <w:tcBorders>
              <w:top w:val="single" w:color="auto" w:sz="4" w:space="0"/>
              <w:left w:val="single" w:color="auto" w:sz="4" w:space="0"/>
              <w:bottom w:val="single" w:color="auto" w:sz="4" w:space="0"/>
              <w:right w:val="single" w:color="auto" w:sz="4" w:space="0"/>
            </w:tcBorders>
            <w:vAlign w:val="center"/>
          </w:tcPr>
          <w:p w14:paraId="40E54D94">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1263" w:type="dxa"/>
            <w:tcBorders>
              <w:top w:val="single" w:color="auto" w:sz="4" w:space="0"/>
              <w:left w:val="single" w:color="auto" w:sz="4" w:space="0"/>
              <w:bottom w:val="single" w:color="auto" w:sz="4" w:space="0"/>
              <w:right w:val="single" w:color="auto" w:sz="4" w:space="0"/>
            </w:tcBorders>
            <w:vAlign w:val="center"/>
          </w:tcPr>
          <w:p w14:paraId="1EBE6F67">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763" w:type="dxa"/>
            <w:tcBorders>
              <w:top w:val="single" w:color="auto" w:sz="4" w:space="0"/>
              <w:left w:val="single" w:color="auto" w:sz="4" w:space="0"/>
              <w:bottom w:val="single" w:color="auto" w:sz="4" w:space="0"/>
              <w:right w:val="single" w:color="auto" w:sz="4" w:space="0"/>
            </w:tcBorders>
            <w:vAlign w:val="center"/>
          </w:tcPr>
          <w:p w14:paraId="2F17E382">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5000≤Z＜10000</w:t>
            </w:r>
          </w:p>
        </w:tc>
        <w:tc>
          <w:tcPr>
            <w:tcW w:w="1720" w:type="dxa"/>
            <w:tcBorders>
              <w:top w:val="single" w:color="auto" w:sz="4" w:space="0"/>
              <w:left w:val="single" w:color="auto" w:sz="4" w:space="0"/>
              <w:bottom w:val="single" w:color="auto" w:sz="4" w:space="0"/>
              <w:right w:val="single" w:color="auto" w:sz="4" w:space="0"/>
            </w:tcBorders>
            <w:vAlign w:val="center"/>
          </w:tcPr>
          <w:p w14:paraId="17D5C8BA">
            <w:pPr>
              <w:widowControl/>
              <w:wordWrap w:val="0"/>
              <w:spacing w:line="360" w:lineRule="auto"/>
              <w:ind w:firstLine="180" w:firstLineChars="10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2000≤Y＜5000</w:t>
            </w:r>
          </w:p>
        </w:tc>
        <w:tc>
          <w:tcPr>
            <w:tcW w:w="1332" w:type="dxa"/>
            <w:tcBorders>
              <w:top w:val="single" w:color="auto" w:sz="4" w:space="0"/>
              <w:left w:val="single" w:color="auto" w:sz="4" w:space="0"/>
              <w:bottom w:val="single" w:color="auto" w:sz="4" w:space="0"/>
              <w:right w:val="single" w:color="auto" w:sz="4" w:space="0"/>
            </w:tcBorders>
            <w:vAlign w:val="center"/>
          </w:tcPr>
          <w:p w14:paraId="1EC5EC4D">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w:t>
            </w:r>
          </w:p>
        </w:tc>
      </w:tr>
      <w:tr w14:paraId="72CD8CE4">
        <w:tblPrEx>
          <w:tblCellMar>
            <w:top w:w="0" w:type="dxa"/>
            <w:left w:w="108" w:type="dxa"/>
            <w:bottom w:w="0" w:type="dxa"/>
            <w:right w:w="108" w:type="dxa"/>
          </w:tblCellMar>
        </w:tblPrEx>
        <w:trPr>
          <w:trHeight w:val="225" w:hRule="atLeast"/>
        </w:trPr>
        <w:tc>
          <w:tcPr>
            <w:tcW w:w="1814" w:type="dxa"/>
            <w:vMerge w:val="restart"/>
            <w:tcBorders>
              <w:top w:val="single" w:color="auto" w:sz="4" w:space="0"/>
              <w:left w:val="single" w:color="auto" w:sz="4" w:space="0"/>
              <w:bottom w:val="single" w:color="auto" w:sz="4" w:space="0"/>
              <w:right w:val="single" w:color="auto" w:sz="4" w:space="0"/>
            </w:tcBorders>
            <w:vAlign w:val="bottom"/>
          </w:tcPr>
          <w:p w14:paraId="12D871AD">
            <w:pPr>
              <w:widowControl/>
              <w:wordWrap w:val="0"/>
              <w:spacing w:line="360" w:lineRule="auto"/>
              <w:ind w:firstLine="361"/>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物业管理</w:t>
            </w:r>
          </w:p>
        </w:tc>
        <w:tc>
          <w:tcPr>
            <w:tcW w:w="1872" w:type="dxa"/>
            <w:tcBorders>
              <w:top w:val="single" w:color="auto" w:sz="4" w:space="0"/>
              <w:left w:val="nil"/>
              <w:bottom w:val="single" w:color="auto" w:sz="4" w:space="0"/>
              <w:right w:val="single" w:color="auto" w:sz="4" w:space="0"/>
            </w:tcBorders>
            <w:vAlign w:val="center"/>
          </w:tcPr>
          <w:p w14:paraId="6A9EFF76">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263" w:type="dxa"/>
            <w:tcBorders>
              <w:top w:val="single" w:color="auto" w:sz="4" w:space="0"/>
              <w:left w:val="nil"/>
              <w:bottom w:val="single" w:color="auto" w:sz="4" w:space="0"/>
              <w:right w:val="single" w:color="auto" w:sz="4" w:space="0"/>
            </w:tcBorders>
            <w:vAlign w:val="center"/>
          </w:tcPr>
          <w:p w14:paraId="0BDCD666">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763" w:type="dxa"/>
            <w:tcBorders>
              <w:top w:val="single" w:color="auto" w:sz="4" w:space="0"/>
              <w:left w:val="nil"/>
              <w:bottom w:val="single" w:color="auto" w:sz="4" w:space="0"/>
              <w:right w:val="single" w:color="auto" w:sz="4" w:space="0"/>
            </w:tcBorders>
            <w:vAlign w:val="center"/>
          </w:tcPr>
          <w:p w14:paraId="66EC0865">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720" w:type="dxa"/>
            <w:tcBorders>
              <w:top w:val="single" w:color="auto" w:sz="4" w:space="0"/>
              <w:left w:val="nil"/>
              <w:bottom w:val="single" w:color="auto" w:sz="4" w:space="0"/>
              <w:right w:val="single" w:color="auto" w:sz="4" w:space="0"/>
            </w:tcBorders>
            <w:vAlign w:val="center"/>
          </w:tcPr>
          <w:p w14:paraId="35FCEDBA">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332" w:type="dxa"/>
            <w:tcBorders>
              <w:top w:val="single" w:color="auto" w:sz="4" w:space="0"/>
              <w:left w:val="nil"/>
              <w:bottom w:val="single" w:color="auto" w:sz="4" w:space="0"/>
              <w:right w:val="single" w:color="auto" w:sz="4" w:space="0"/>
            </w:tcBorders>
            <w:vAlign w:val="center"/>
          </w:tcPr>
          <w:p w14:paraId="57260F1B">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02B1E237">
        <w:tblPrEx>
          <w:tblCellMar>
            <w:top w:w="0" w:type="dxa"/>
            <w:left w:w="108" w:type="dxa"/>
            <w:bottom w:w="0" w:type="dxa"/>
            <w:right w:w="108" w:type="dxa"/>
          </w:tblCellMar>
        </w:tblPrEx>
        <w:trPr>
          <w:trHeight w:val="225" w:hRule="atLeast"/>
        </w:trPr>
        <w:tc>
          <w:tcPr>
            <w:tcW w:w="1814" w:type="dxa"/>
            <w:vMerge w:val="continue"/>
            <w:tcBorders>
              <w:top w:val="nil"/>
              <w:left w:val="single" w:color="auto" w:sz="4" w:space="0"/>
              <w:bottom w:val="single" w:color="auto" w:sz="4" w:space="0"/>
              <w:right w:val="single" w:color="auto" w:sz="4" w:space="0"/>
            </w:tcBorders>
            <w:vAlign w:val="center"/>
          </w:tcPr>
          <w:p w14:paraId="7024D356">
            <w:pPr>
              <w:widowControl/>
              <w:wordWrap w:val="0"/>
              <w:spacing w:line="360" w:lineRule="auto"/>
              <w:ind w:firstLine="361"/>
              <w:jc w:val="left"/>
              <w:rPr>
                <w:rFonts w:ascii="宋体" w:hAnsi="宋体" w:cs="宋体"/>
                <w:b/>
                <w:bCs/>
                <w:color w:val="auto"/>
                <w:kern w:val="0"/>
                <w:sz w:val="18"/>
                <w:szCs w:val="18"/>
                <w:highlight w:val="none"/>
              </w:rPr>
            </w:pPr>
          </w:p>
        </w:tc>
        <w:tc>
          <w:tcPr>
            <w:tcW w:w="1872" w:type="dxa"/>
            <w:tcBorders>
              <w:top w:val="nil"/>
              <w:left w:val="nil"/>
              <w:bottom w:val="single" w:color="auto" w:sz="4" w:space="0"/>
              <w:right w:val="single" w:color="auto" w:sz="4" w:space="0"/>
            </w:tcBorders>
            <w:vAlign w:val="center"/>
          </w:tcPr>
          <w:p w14:paraId="16584789">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263" w:type="dxa"/>
            <w:tcBorders>
              <w:top w:val="nil"/>
              <w:left w:val="nil"/>
              <w:bottom w:val="single" w:color="auto" w:sz="4" w:space="0"/>
              <w:right w:val="single" w:color="auto" w:sz="4" w:space="0"/>
            </w:tcBorders>
            <w:vAlign w:val="center"/>
          </w:tcPr>
          <w:p w14:paraId="57C88AEB">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763" w:type="dxa"/>
            <w:tcBorders>
              <w:top w:val="nil"/>
              <w:left w:val="nil"/>
              <w:bottom w:val="single" w:color="auto" w:sz="4" w:space="0"/>
              <w:right w:val="single" w:color="auto" w:sz="4" w:space="0"/>
            </w:tcBorders>
            <w:vAlign w:val="center"/>
          </w:tcPr>
          <w:p w14:paraId="04D6184E">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720" w:type="dxa"/>
            <w:tcBorders>
              <w:top w:val="nil"/>
              <w:left w:val="nil"/>
              <w:bottom w:val="single" w:color="auto" w:sz="4" w:space="0"/>
              <w:right w:val="single" w:color="auto" w:sz="4" w:space="0"/>
            </w:tcBorders>
            <w:vAlign w:val="center"/>
          </w:tcPr>
          <w:p w14:paraId="518159E6">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500≤Y＜1000</w:t>
            </w:r>
          </w:p>
        </w:tc>
        <w:tc>
          <w:tcPr>
            <w:tcW w:w="1332" w:type="dxa"/>
            <w:tcBorders>
              <w:top w:val="nil"/>
              <w:left w:val="nil"/>
              <w:bottom w:val="single" w:color="auto" w:sz="4" w:space="0"/>
              <w:right w:val="single" w:color="auto" w:sz="4" w:space="0"/>
            </w:tcBorders>
            <w:vAlign w:val="center"/>
          </w:tcPr>
          <w:p w14:paraId="44BE16F6">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Y＜500</w:t>
            </w:r>
          </w:p>
        </w:tc>
      </w:tr>
      <w:tr w14:paraId="62B264CA">
        <w:tblPrEx>
          <w:tblCellMar>
            <w:top w:w="0" w:type="dxa"/>
            <w:left w:w="108" w:type="dxa"/>
            <w:bottom w:w="0" w:type="dxa"/>
            <w:right w:w="108" w:type="dxa"/>
          </w:tblCellMar>
        </w:tblPrEx>
        <w:trPr>
          <w:trHeight w:val="225" w:hRule="atLeast"/>
        </w:trPr>
        <w:tc>
          <w:tcPr>
            <w:tcW w:w="1814" w:type="dxa"/>
            <w:vMerge w:val="restart"/>
            <w:tcBorders>
              <w:top w:val="nil"/>
              <w:left w:val="single" w:color="auto" w:sz="4" w:space="0"/>
              <w:bottom w:val="single" w:color="auto" w:sz="4" w:space="0"/>
              <w:right w:val="single" w:color="auto" w:sz="4" w:space="0"/>
            </w:tcBorders>
            <w:vAlign w:val="bottom"/>
          </w:tcPr>
          <w:p w14:paraId="276A04A4">
            <w:pPr>
              <w:widowControl/>
              <w:wordWrap w:val="0"/>
              <w:spacing w:line="360" w:lineRule="auto"/>
              <w:ind w:firstLine="361"/>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租赁和商务服务业</w:t>
            </w:r>
          </w:p>
        </w:tc>
        <w:tc>
          <w:tcPr>
            <w:tcW w:w="1872" w:type="dxa"/>
            <w:tcBorders>
              <w:top w:val="nil"/>
              <w:left w:val="nil"/>
              <w:bottom w:val="single" w:color="auto" w:sz="4" w:space="0"/>
              <w:right w:val="single" w:color="auto" w:sz="4" w:space="0"/>
            </w:tcBorders>
            <w:vAlign w:val="center"/>
          </w:tcPr>
          <w:p w14:paraId="345E4337">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263" w:type="dxa"/>
            <w:tcBorders>
              <w:top w:val="nil"/>
              <w:left w:val="nil"/>
              <w:bottom w:val="single" w:color="auto" w:sz="4" w:space="0"/>
              <w:right w:val="single" w:color="auto" w:sz="4" w:space="0"/>
            </w:tcBorders>
            <w:vAlign w:val="center"/>
          </w:tcPr>
          <w:p w14:paraId="7C5BF099">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763" w:type="dxa"/>
            <w:tcBorders>
              <w:top w:val="nil"/>
              <w:left w:val="nil"/>
              <w:bottom w:val="single" w:color="auto" w:sz="4" w:space="0"/>
              <w:right w:val="single" w:color="auto" w:sz="4" w:space="0"/>
            </w:tcBorders>
            <w:vAlign w:val="center"/>
          </w:tcPr>
          <w:p w14:paraId="07EAF036">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20" w:type="dxa"/>
            <w:tcBorders>
              <w:top w:val="nil"/>
              <w:left w:val="nil"/>
              <w:bottom w:val="single" w:color="auto" w:sz="4" w:space="0"/>
              <w:right w:val="single" w:color="auto" w:sz="4" w:space="0"/>
            </w:tcBorders>
            <w:vAlign w:val="center"/>
          </w:tcPr>
          <w:p w14:paraId="4B17E563">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332" w:type="dxa"/>
            <w:tcBorders>
              <w:top w:val="nil"/>
              <w:left w:val="nil"/>
              <w:bottom w:val="single" w:color="auto" w:sz="4" w:space="0"/>
              <w:right w:val="single" w:color="auto" w:sz="4" w:space="0"/>
            </w:tcBorders>
            <w:vAlign w:val="center"/>
          </w:tcPr>
          <w:p w14:paraId="666D24D4">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24A64038">
        <w:tblPrEx>
          <w:tblCellMar>
            <w:top w:w="0" w:type="dxa"/>
            <w:left w:w="108" w:type="dxa"/>
            <w:bottom w:w="0" w:type="dxa"/>
            <w:right w:w="108" w:type="dxa"/>
          </w:tblCellMar>
        </w:tblPrEx>
        <w:trPr>
          <w:trHeight w:val="225" w:hRule="atLeast"/>
        </w:trPr>
        <w:tc>
          <w:tcPr>
            <w:tcW w:w="1814" w:type="dxa"/>
            <w:vMerge w:val="continue"/>
            <w:tcBorders>
              <w:top w:val="nil"/>
              <w:left w:val="single" w:color="auto" w:sz="4" w:space="0"/>
              <w:bottom w:val="single" w:color="auto" w:sz="4" w:space="0"/>
              <w:right w:val="single" w:color="auto" w:sz="4" w:space="0"/>
            </w:tcBorders>
            <w:vAlign w:val="center"/>
          </w:tcPr>
          <w:p w14:paraId="32CA6551">
            <w:pPr>
              <w:widowControl/>
              <w:wordWrap w:val="0"/>
              <w:spacing w:line="360" w:lineRule="auto"/>
              <w:ind w:firstLine="361"/>
              <w:jc w:val="left"/>
              <w:rPr>
                <w:rFonts w:ascii="宋体" w:hAnsi="宋体" w:cs="宋体"/>
                <w:b/>
                <w:bCs/>
                <w:color w:val="auto"/>
                <w:kern w:val="0"/>
                <w:sz w:val="18"/>
                <w:szCs w:val="18"/>
                <w:highlight w:val="none"/>
              </w:rPr>
            </w:pPr>
          </w:p>
        </w:tc>
        <w:tc>
          <w:tcPr>
            <w:tcW w:w="1872" w:type="dxa"/>
            <w:tcBorders>
              <w:top w:val="nil"/>
              <w:left w:val="nil"/>
              <w:bottom w:val="single" w:color="auto" w:sz="4" w:space="0"/>
              <w:right w:val="single" w:color="auto" w:sz="4" w:space="0"/>
            </w:tcBorders>
            <w:vAlign w:val="center"/>
          </w:tcPr>
          <w:p w14:paraId="6ADF95D7">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1263" w:type="dxa"/>
            <w:tcBorders>
              <w:top w:val="nil"/>
              <w:left w:val="nil"/>
              <w:bottom w:val="single" w:color="auto" w:sz="4" w:space="0"/>
              <w:right w:val="single" w:color="auto" w:sz="4" w:space="0"/>
            </w:tcBorders>
            <w:vAlign w:val="center"/>
          </w:tcPr>
          <w:p w14:paraId="52229E91">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763" w:type="dxa"/>
            <w:tcBorders>
              <w:top w:val="nil"/>
              <w:left w:val="nil"/>
              <w:bottom w:val="single" w:color="auto" w:sz="4" w:space="0"/>
              <w:right w:val="single" w:color="auto" w:sz="4" w:space="0"/>
            </w:tcBorders>
            <w:vAlign w:val="center"/>
          </w:tcPr>
          <w:p w14:paraId="11A6E5FD">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8000≤Z＜120000</w:t>
            </w:r>
          </w:p>
        </w:tc>
        <w:tc>
          <w:tcPr>
            <w:tcW w:w="1720" w:type="dxa"/>
            <w:tcBorders>
              <w:top w:val="nil"/>
              <w:left w:val="nil"/>
              <w:bottom w:val="single" w:color="auto" w:sz="4" w:space="0"/>
              <w:right w:val="single" w:color="auto" w:sz="4" w:space="0"/>
            </w:tcBorders>
            <w:vAlign w:val="center"/>
          </w:tcPr>
          <w:p w14:paraId="69719DCA">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100≤Z＜8000</w:t>
            </w:r>
          </w:p>
        </w:tc>
        <w:tc>
          <w:tcPr>
            <w:tcW w:w="1332" w:type="dxa"/>
            <w:tcBorders>
              <w:top w:val="nil"/>
              <w:left w:val="nil"/>
              <w:bottom w:val="single" w:color="auto" w:sz="4" w:space="0"/>
              <w:right w:val="single" w:color="auto" w:sz="4" w:space="0"/>
            </w:tcBorders>
            <w:vAlign w:val="center"/>
          </w:tcPr>
          <w:p w14:paraId="385A18C1">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180D1F1C">
        <w:tblPrEx>
          <w:tblCellMar>
            <w:top w:w="0" w:type="dxa"/>
            <w:left w:w="108" w:type="dxa"/>
            <w:bottom w:w="0" w:type="dxa"/>
            <w:right w:w="108" w:type="dxa"/>
          </w:tblCellMar>
        </w:tblPrEx>
        <w:trPr>
          <w:trHeight w:val="225" w:hRule="atLeast"/>
        </w:trPr>
        <w:tc>
          <w:tcPr>
            <w:tcW w:w="1814" w:type="dxa"/>
            <w:tcBorders>
              <w:top w:val="nil"/>
              <w:left w:val="single" w:color="auto" w:sz="4" w:space="0"/>
              <w:bottom w:val="single" w:color="auto" w:sz="4" w:space="0"/>
              <w:right w:val="single" w:color="auto" w:sz="4" w:space="0"/>
            </w:tcBorders>
            <w:vAlign w:val="bottom"/>
          </w:tcPr>
          <w:p w14:paraId="650C13F2">
            <w:pPr>
              <w:widowControl/>
              <w:wordWrap w:val="0"/>
              <w:spacing w:line="360" w:lineRule="auto"/>
              <w:ind w:firstLine="361"/>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其他未列明行业</w:t>
            </w:r>
          </w:p>
        </w:tc>
        <w:tc>
          <w:tcPr>
            <w:tcW w:w="1872" w:type="dxa"/>
            <w:tcBorders>
              <w:top w:val="nil"/>
              <w:left w:val="nil"/>
              <w:bottom w:val="single" w:color="auto" w:sz="4" w:space="0"/>
              <w:right w:val="single" w:color="auto" w:sz="4" w:space="0"/>
            </w:tcBorders>
            <w:vAlign w:val="center"/>
          </w:tcPr>
          <w:p w14:paraId="334904BF">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263" w:type="dxa"/>
            <w:tcBorders>
              <w:top w:val="nil"/>
              <w:left w:val="nil"/>
              <w:bottom w:val="single" w:color="auto" w:sz="4" w:space="0"/>
              <w:right w:val="single" w:color="auto" w:sz="4" w:space="0"/>
            </w:tcBorders>
            <w:vAlign w:val="center"/>
          </w:tcPr>
          <w:p w14:paraId="0067077A">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763" w:type="dxa"/>
            <w:tcBorders>
              <w:top w:val="nil"/>
              <w:left w:val="nil"/>
              <w:bottom w:val="single" w:color="auto" w:sz="4" w:space="0"/>
              <w:right w:val="single" w:color="auto" w:sz="4" w:space="0"/>
            </w:tcBorders>
            <w:vAlign w:val="center"/>
          </w:tcPr>
          <w:p w14:paraId="7DA28AD6">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20" w:type="dxa"/>
            <w:tcBorders>
              <w:top w:val="nil"/>
              <w:left w:val="nil"/>
              <w:bottom w:val="single" w:color="auto" w:sz="4" w:space="0"/>
              <w:right w:val="single" w:color="auto" w:sz="4" w:space="0"/>
            </w:tcBorders>
            <w:vAlign w:val="center"/>
          </w:tcPr>
          <w:p w14:paraId="0724482E">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332" w:type="dxa"/>
            <w:tcBorders>
              <w:top w:val="nil"/>
              <w:left w:val="nil"/>
              <w:bottom w:val="single" w:color="auto" w:sz="4" w:space="0"/>
              <w:right w:val="single" w:color="auto" w:sz="4" w:space="0"/>
            </w:tcBorders>
            <w:vAlign w:val="center"/>
          </w:tcPr>
          <w:p w14:paraId="153E3C86">
            <w:pPr>
              <w:widowControl/>
              <w:wordWrap w:val="0"/>
              <w:spacing w:line="360" w:lineRule="auto"/>
              <w:ind w:firstLine="36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bl>
    <w:p w14:paraId="2DCE81E7">
      <w:pPr>
        <w:wordWrap w:val="0"/>
        <w:spacing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65D12296">
      <w:pPr>
        <w:widowControl/>
        <w:wordWrap w:val="0"/>
        <w:spacing w:line="360" w:lineRule="auto"/>
        <w:jc w:val="left"/>
        <w:rPr>
          <w:rFonts w:ascii="宋体" w:hAnsi="宋体" w:cs="宋体"/>
          <w:color w:val="auto"/>
          <w:szCs w:val="20"/>
          <w:highlight w:val="none"/>
        </w:rPr>
        <w:sectPr>
          <w:pgSz w:w="11906" w:h="16838"/>
          <w:pgMar w:top="1440" w:right="1080" w:bottom="1440" w:left="1080" w:header="720" w:footer="720" w:gutter="0"/>
          <w:cols w:space="720" w:num="1"/>
          <w:docGrid w:type="lines" w:linePitch="331" w:charSpace="0"/>
        </w:sectPr>
      </w:pPr>
    </w:p>
    <w:p w14:paraId="38F2DA80">
      <w:pPr>
        <w:pStyle w:val="14"/>
        <w:wordWrap w:val="0"/>
        <w:spacing w:line="360" w:lineRule="auto"/>
        <w:ind w:firstLine="723"/>
        <w:jc w:val="center"/>
        <w:outlineLvl w:val="0"/>
        <w:rPr>
          <w:rFonts w:hint="eastAsia" w:hAnsi="宋体" w:cs="宋体"/>
          <w:b/>
          <w:color w:val="auto"/>
          <w:sz w:val="36"/>
          <w:szCs w:val="36"/>
          <w:highlight w:val="none"/>
        </w:rPr>
      </w:pPr>
      <w:r>
        <w:rPr>
          <w:rFonts w:hint="eastAsia" w:hAnsi="宋体" w:cs="宋体"/>
          <w:b/>
          <w:color w:val="auto"/>
          <w:sz w:val="36"/>
          <w:highlight w:val="none"/>
        </w:rPr>
        <w:t>第三章  投标人须知</w:t>
      </w:r>
      <w:bookmarkEnd w:id="9"/>
      <w:bookmarkEnd w:id="10"/>
    </w:p>
    <w:p w14:paraId="500568C3">
      <w:pPr>
        <w:pStyle w:val="14"/>
        <w:wordWrap w:val="0"/>
        <w:spacing w:line="360" w:lineRule="auto"/>
        <w:ind w:firstLine="602"/>
        <w:jc w:val="center"/>
        <w:outlineLvl w:val="1"/>
        <w:rPr>
          <w:rFonts w:hint="eastAsia" w:hAnsi="宋体" w:cs="宋体"/>
          <w:b/>
          <w:color w:val="auto"/>
          <w:sz w:val="30"/>
          <w:szCs w:val="30"/>
          <w:highlight w:val="none"/>
        </w:rPr>
      </w:pPr>
      <w:bookmarkStart w:id="11" w:name="_Toc26080"/>
      <w:r>
        <w:rPr>
          <w:rFonts w:hint="eastAsia" w:hAnsi="宋体" w:cs="宋体"/>
          <w:b/>
          <w:color w:val="auto"/>
          <w:sz w:val="30"/>
          <w:szCs w:val="30"/>
          <w:highlight w:val="none"/>
        </w:rPr>
        <w:t>第一节 投标人须知前附表</w:t>
      </w:r>
      <w:bookmarkEnd w:id="11"/>
    </w:p>
    <w:tbl>
      <w:tblPr>
        <w:tblStyle w:val="25"/>
        <w:tblW w:w="10240" w:type="dxa"/>
        <w:tblInd w:w="11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2630"/>
        <w:gridCol w:w="6935"/>
      </w:tblGrid>
      <w:tr w14:paraId="095DB4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458F9358">
            <w:pPr>
              <w:keepLines/>
              <w:wordWrap w:val="0"/>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条款号</w:t>
            </w:r>
          </w:p>
        </w:tc>
        <w:tc>
          <w:tcPr>
            <w:tcW w:w="2630" w:type="dxa"/>
            <w:tcBorders>
              <w:top w:val="single" w:color="auto" w:sz="4" w:space="0"/>
              <w:left w:val="single" w:color="auto" w:sz="4" w:space="0"/>
              <w:bottom w:val="single" w:color="auto" w:sz="4" w:space="0"/>
              <w:right w:val="single" w:color="auto" w:sz="4" w:space="0"/>
            </w:tcBorders>
            <w:vAlign w:val="center"/>
          </w:tcPr>
          <w:p w14:paraId="46E4C58D">
            <w:pPr>
              <w:keepLines/>
              <w:wordWrap w:val="0"/>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项目内容</w:t>
            </w:r>
          </w:p>
        </w:tc>
        <w:tc>
          <w:tcPr>
            <w:tcW w:w="6935" w:type="dxa"/>
            <w:tcBorders>
              <w:top w:val="single" w:color="auto" w:sz="4" w:space="0"/>
              <w:left w:val="single" w:color="auto" w:sz="4" w:space="0"/>
              <w:bottom w:val="single" w:color="auto" w:sz="4" w:space="0"/>
              <w:right w:val="single" w:color="auto" w:sz="4" w:space="0"/>
            </w:tcBorders>
            <w:vAlign w:val="center"/>
          </w:tcPr>
          <w:p w14:paraId="6C198429">
            <w:pPr>
              <w:keepLines/>
              <w:wordWrap w:val="0"/>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编列内容</w:t>
            </w:r>
          </w:p>
        </w:tc>
      </w:tr>
      <w:tr w14:paraId="129486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28E50D54">
            <w:pPr>
              <w:keepLines/>
              <w:wordWrap w:val="0"/>
              <w:spacing w:line="360" w:lineRule="auto"/>
              <w:rPr>
                <w:rFonts w:hint="eastAsia" w:ascii="宋体" w:hAnsi="宋体" w:cs="宋体"/>
                <w:color w:val="auto"/>
                <w:sz w:val="24"/>
                <w:highlight w:val="none"/>
              </w:rPr>
            </w:pPr>
            <w:r>
              <w:rPr>
                <w:rFonts w:hint="eastAsia" w:ascii="宋体" w:hAnsi="宋体" w:cs="宋体"/>
                <w:color w:val="auto"/>
                <w:sz w:val="24"/>
                <w:highlight w:val="none"/>
              </w:rPr>
              <w:t>6.1</w:t>
            </w:r>
          </w:p>
        </w:tc>
        <w:tc>
          <w:tcPr>
            <w:tcW w:w="2630" w:type="dxa"/>
            <w:tcBorders>
              <w:top w:val="single" w:color="auto" w:sz="4" w:space="0"/>
              <w:left w:val="single" w:color="auto" w:sz="4" w:space="0"/>
              <w:bottom w:val="single" w:color="auto" w:sz="4" w:space="0"/>
              <w:right w:val="single" w:color="auto" w:sz="4" w:space="0"/>
            </w:tcBorders>
            <w:vAlign w:val="center"/>
          </w:tcPr>
          <w:p w14:paraId="3DC5A7D7">
            <w:pPr>
              <w:keepLines/>
              <w:wordWrap w:val="0"/>
              <w:spacing w:line="360" w:lineRule="auto"/>
              <w:rPr>
                <w:rFonts w:hint="eastAsia" w:ascii="宋体" w:hAnsi="宋体" w:cs="宋体"/>
                <w:color w:val="auto"/>
                <w:sz w:val="24"/>
                <w:highlight w:val="none"/>
              </w:rPr>
            </w:pPr>
            <w:bookmarkStart w:id="12" w:name="_8.1"/>
            <w:bookmarkEnd w:id="12"/>
            <w:bookmarkStart w:id="13" w:name="_9.2"/>
            <w:bookmarkEnd w:id="13"/>
            <w:bookmarkStart w:id="14" w:name="_5"/>
            <w:bookmarkEnd w:id="14"/>
            <w:r>
              <w:rPr>
                <w:rFonts w:hint="eastAsia" w:ascii="宋体" w:hAnsi="宋体" w:cs="宋体"/>
                <w:color w:val="auto"/>
                <w:sz w:val="24"/>
                <w:highlight w:val="none"/>
              </w:rPr>
              <w:t>是否接受联合体投标</w:t>
            </w:r>
          </w:p>
        </w:tc>
        <w:tc>
          <w:tcPr>
            <w:tcW w:w="6935" w:type="dxa"/>
            <w:tcBorders>
              <w:top w:val="single" w:color="auto" w:sz="4" w:space="0"/>
              <w:left w:val="single" w:color="auto" w:sz="4" w:space="0"/>
              <w:bottom w:val="single" w:color="auto" w:sz="4" w:space="0"/>
              <w:right w:val="single" w:color="auto" w:sz="4" w:space="0"/>
            </w:tcBorders>
            <w:vAlign w:val="center"/>
          </w:tcPr>
          <w:p w14:paraId="5D9FF892">
            <w:pPr>
              <w:pStyle w:val="10"/>
              <w:spacing w:line="360" w:lineRule="auto"/>
              <w:rPr>
                <w:color w:val="auto"/>
                <w:sz w:val="24"/>
                <w:highlight w:val="none"/>
              </w:rPr>
            </w:pPr>
            <w:r>
              <w:rPr>
                <w:rFonts w:hint="eastAsia"/>
                <w:color w:val="auto"/>
                <w:sz w:val="24"/>
                <w:highlight w:val="none"/>
              </w:rPr>
              <w:t>否</w:t>
            </w:r>
          </w:p>
        </w:tc>
      </w:tr>
      <w:tr w14:paraId="3001D3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2148FD26">
            <w:pPr>
              <w:keepLines/>
              <w:wordWrap w:val="0"/>
              <w:spacing w:line="360" w:lineRule="auto"/>
              <w:rPr>
                <w:rFonts w:hint="eastAsia" w:ascii="宋体" w:hAnsi="宋体" w:cs="宋体"/>
                <w:color w:val="auto"/>
                <w:sz w:val="24"/>
                <w:highlight w:val="none"/>
              </w:rPr>
            </w:pPr>
            <w:r>
              <w:rPr>
                <w:rFonts w:hint="eastAsia" w:ascii="宋体" w:hAnsi="宋体" w:cs="宋体"/>
                <w:color w:val="auto"/>
                <w:sz w:val="24"/>
                <w:highlight w:val="none"/>
              </w:rPr>
              <w:t>6.2</w:t>
            </w:r>
          </w:p>
        </w:tc>
        <w:tc>
          <w:tcPr>
            <w:tcW w:w="2630" w:type="dxa"/>
            <w:tcBorders>
              <w:top w:val="single" w:color="auto" w:sz="4" w:space="0"/>
              <w:left w:val="single" w:color="auto" w:sz="4" w:space="0"/>
              <w:bottom w:val="single" w:color="auto" w:sz="4" w:space="0"/>
              <w:right w:val="single" w:color="auto" w:sz="4" w:space="0"/>
            </w:tcBorders>
            <w:vAlign w:val="center"/>
          </w:tcPr>
          <w:p w14:paraId="5509B8F6">
            <w:pPr>
              <w:keepLines/>
              <w:wordWrap w:val="0"/>
              <w:spacing w:line="360" w:lineRule="auto"/>
              <w:rPr>
                <w:rFonts w:hint="eastAsia" w:ascii="宋体" w:hAnsi="宋体" w:cs="宋体"/>
                <w:color w:val="auto"/>
                <w:sz w:val="24"/>
                <w:highlight w:val="none"/>
              </w:rPr>
            </w:pPr>
            <w:r>
              <w:rPr>
                <w:rFonts w:hint="eastAsia" w:ascii="宋体" w:hAnsi="宋体" w:cs="宋体"/>
                <w:color w:val="auto"/>
                <w:sz w:val="24"/>
                <w:highlight w:val="none"/>
              </w:rPr>
              <w:t>联合体投标要求</w:t>
            </w:r>
          </w:p>
        </w:tc>
        <w:tc>
          <w:tcPr>
            <w:tcW w:w="6935" w:type="dxa"/>
            <w:tcBorders>
              <w:top w:val="single" w:color="auto" w:sz="4" w:space="0"/>
              <w:left w:val="single" w:color="auto" w:sz="4" w:space="0"/>
              <w:bottom w:val="single" w:color="auto" w:sz="4" w:space="0"/>
              <w:right w:val="single" w:color="auto" w:sz="4" w:space="0"/>
            </w:tcBorders>
            <w:vAlign w:val="center"/>
          </w:tcPr>
          <w:p w14:paraId="37C4A143">
            <w:pPr>
              <w:spacing w:line="360" w:lineRule="auto"/>
              <w:rPr>
                <w:color w:val="auto"/>
                <w:sz w:val="24"/>
                <w:highlight w:val="none"/>
              </w:rPr>
            </w:pPr>
            <w:r>
              <w:rPr>
                <w:rFonts w:hint="eastAsia"/>
                <w:color w:val="auto"/>
                <w:sz w:val="24"/>
                <w:highlight w:val="none"/>
              </w:rPr>
              <w:t xml:space="preserve">无 </w:t>
            </w:r>
          </w:p>
        </w:tc>
      </w:tr>
      <w:tr w14:paraId="69B658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75168B91">
            <w:pPr>
              <w:keepLines/>
              <w:wordWrap w:val="0"/>
              <w:spacing w:line="360" w:lineRule="auto"/>
              <w:rPr>
                <w:rFonts w:hint="eastAsia" w:ascii="宋体" w:hAnsi="宋体" w:cs="宋体"/>
                <w:color w:val="auto"/>
                <w:sz w:val="24"/>
                <w:highlight w:val="none"/>
              </w:rPr>
            </w:pPr>
            <w:r>
              <w:rPr>
                <w:rFonts w:hint="eastAsia" w:ascii="宋体" w:hAnsi="宋体" w:cs="宋体"/>
                <w:color w:val="auto"/>
                <w:sz w:val="24"/>
                <w:highlight w:val="none"/>
              </w:rPr>
              <w:t>7.2</w:t>
            </w:r>
          </w:p>
        </w:tc>
        <w:tc>
          <w:tcPr>
            <w:tcW w:w="2630" w:type="dxa"/>
            <w:tcBorders>
              <w:top w:val="single" w:color="auto" w:sz="4" w:space="0"/>
              <w:left w:val="single" w:color="auto" w:sz="4" w:space="0"/>
              <w:bottom w:val="single" w:color="auto" w:sz="4" w:space="0"/>
              <w:right w:val="single" w:color="auto" w:sz="4" w:space="0"/>
            </w:tcBorders>
            <w:vAlign w:val="center"/>
          </w:tcPr>
          <w:p w14:paraId="2F5EABB7">
            <w:pPr>
              <w:keepLines/>
              <w:wordWrap w:val="0"/>
              <w:spacing w:line="360" w:lineRule="auto"/>
              <w:rPr>
                <w:rFonts w:hint="eastAsia" w:ascii="宋体" w:hAnsi="宋体" w:cs="宋体"/>
                <w:color w:val="auto"/>
                <w:sz w:val="24"/>
                <w:highlight w:val="none"/>
              </w:rPr>
            </w:pPr>
            <w:r>
              <w:rPr>
                <w:rFonts w:hint="eastAsia" w:ascii="宋体" w:hAnsi="宋体" w:cs="宋体"/>
                <w:color w:val="auto"/>
                <w:sz w:val="24"/>
                <w:highlight w:val="none"/>
              </w:rPr>
              <w:t>是否允许转包/分包</w:t>
            </w:r>
          </w:p>
        </w:tc>
        <w:tc>
          <w:tcPr>
            <w:tcW w:w="6935" w:type="dxa"/>
            <w:tcBorders>
              <w:top w:val="single" w:color="auto" w:sz="4" w:space="0"/>
              <w:left w:val="single" w:color="auto" w:sz="4" w:space="0"/>
              <w:bottom w:val="single" w:color="auto" w:sz="4" w:space="0"/>
              <w:right w:val="single" w:color="auto" w:sz="4" w:space="0"/>
            </w:tcBorders>
            <w:vAlign w:val="center"/>
          </w:tcPr>
          <w:p w14:paraId="11DBFE12">
            <w:pPr>
              <w:pStyle w:val="10"/>
              <w:spacing w:line="360" w:lineRule="auto"/>
              <w:rPr>
                <w:color w:val="auto"/>
                <w:sz w:val="24"/>
                <w:highlight w:val="none"/>
              </w:rPr>
            </w:pPr>
            <w:bookmarkStart w:id="15" w:name="PO_3000001866_PM044"/>
            <w:r>
              <w:rPr>
                <w:rFonts w:ascii="Segoe UI Symbol" w:hAnsi="Segoe UI Symbol" w:cs="Segoe UI Symbol"/>
                <w:color w:val="auto"/>
                <w:sz w:val="24"/>
                <w:highlight w:val="none"/>
              </w:rPr>
              <w:t>☑</w:t>
            </w:r>
            <w:r>
              <w:rPr>
                <w:rFonts w:hint="eastAsia" w:ascii="宋体" w:hAnsi="宋体" w:cs="宋体"/>
                <w:color w:val="auto"/>
                <w:sz w:val="24"/>
                <w:highlight w:val="none"/>
              </w:rPr>
              <w:t>不允许分包</w:t>
            </w:r>
            <w:bookmarkEnd w:id="15"/>
          </w:p>
          <w:p w14:paraId="52F03491">
            <w:pPr>
              <w:pStyle w:val="10"/>
              <w:spacing w:line="360" w:lineRule="auto"/>
              <w:rPr>
                <w:color w:val="auto"/>
                <w:sz w:val="24"/>
                <w:highlight w:val="none"/>
              </w:rPr>
            </w:pPr>
            <w:r>
              <w:rPr>
                <w:rFonts w:hint="eastAsia"/>
                <w:color w:val="auto"/>
                <w:sz w:val="24"/>
                <w:highlight w:val="none"/>
              </w:rPr>
              <w:t>□转包/分包内容：                                     。</w:t>
            </w:r>
          </w:p>
          <w:p w14:paraId="39A861C0">
            <w:pPr>
              <w:pStyle w:val="10"/>
              <w:spacing w:line="360" w:lineRule="auto"/>
              <w:rPr>
                <w:color w:val="auto"/>
                <w:sz w:val="24"/>
                <w:highlight w:val="none"/>
              </w:rPr>
            </w:pPr>
            <w:r>
              <w:rPr>
                <w:rFonts w:hint="eastAsia"/>
                <w:color w:val="auto"/>
                <w:sz w:val="24"/>
                <w:highlight w:val="none"/>
              </w:rPr>
              <w:t>□转包/分包金额或者比例：                                     。</w:t>
            </w:r>
          </w:p>
        </w:tc>
      </w:tr>
      <w:tr w14:paraId="14B228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6C447D3E">
            <w:pPr>
              <w:keepLines/>
              <w:wordWrap w:val="0"/>
              <w:spacing w:line="360" w:lineRule="auto"/>
              <w:rPr>
                <w:rFonts w:hint="eastAsia" w:ascii="宋体" w:hAnsi="宋体" w:cs="宋体"/>
                <w:color w:val="auto"/>
                <w:sz w:val="24"/>
                <w:highlight w:val="none"/>
              </w:rPr>
            </w:pPr>
            <w:r>
              <w:rPr>
                <w:rFonts w:hint="eastAsia" w:ascii="宋体" w:hAnsi="宋体" w:cs="宋体"/>
                <w:color w:val="auto"/>
                <w:sz w:val="24"/>
                <w:highlight w:val="none"/>
              </w:rPr>
              <w:t>11.4</w:t>
            </w:r>
          </w:p>
        </w:tc>
        <w:tc>
          <w:tcPr>
            <w:tcW w:w="2630" w:type="dxa"/>
            <w:tcBorders>
              <w:top w:val="single" w:color="auto" w:sz="4" w:space="0"/>
              <w:left w:val="single" w:color="auto" w:sz="4" w:space="0"/>
              <w:bottom w:val="single" w:color="auto" w:sz="4" w:space="0"/>
              <w:right w:val="single" w:color="auto" w:sz="4" w:space="0"/>
            </w:tcBorders>
            <w:vAlign w:val="center"/>
          </w:tcPr>
          <w:p w14:paraId="1EFE3C0E">
            <w:pPr>
              <w:keepLines/>
              <w:wordWrap w:val="0"/>
              <w:spacing w:line="360" w:lineRule="auto"/>
              <w:rPr>
                <w:rFonts w:hint="eastAsia" w:ascii="宋体" w:hAnsi="宋体" w:cs="宋体"/>
                <w:color w:val="auto"/>
                <w:sz w:val="24"/>
                <w:highlight w:val="none"/>
              </w:rPr>
            </w:pPr>
            <w:r>
              <w:rPr>
                <w:rFonts w:hint="eastAsia" w:ascii="宋体" w:hAnsi="宋体" w:cs="宋体"/>
                <w:color w:val="auto"/>
                <w:sz w:val="24"/>
                <w:highlight w:val="none"/>
              </w:rPr>
              <w:t>媒体发布渠道</w:t>
            </w:r>
          </w:p>
        </w:tc>
        <w:tc>
          <w:tcPr>
            <w:tcW w:w="6935" w:type="dxa"/>
            <w:tcBorders>
              <w:top w:val="single" w:color="auto" w:sz="4" w:space="0"/>
              <w:left w:val="single" w:color="auto" w:sz="4" w:space="0"/>
              <w:bottom w:val="single" w:color="auto" w:sz="4" w:space="0"/>
              <w:right w:val="single" w:color="auto" w:sz="4" w:space="0"/>
            </w:tcBorders>
            <w:vAlign w:val="center"/>
          </w:tcPr>
          <w:p w14:paraId="7D41F4DA">
            <w:pPr>
              <w:keepLines/>
              <w:wordWrap w:val="0"/>
              <w:spacing w:line="360" w:lineRule="auto"/>
              <w:rPr>
                <w:rFonts w:hint="eastAsia" w:ascii="宋体" w:hAnsi="宋体" w:cs="宋体"/>
                <w:color w:val="auto"/>
                <w:sz w:val="24"/>
                <w:highlight w:val="none"/>
              </w:rPr>
            </w:pPr>
            <w:r>
              <w:rPr>
                <w:rFonts w:hint="eastAsia" w:ascii="宋体" w:hAnsi="宋体" w:cs="宋体"/>
                <w:color w:val="auto"/>
                <w:sz w:val="24"/>
                <w:highlight w:val="none"/>
              </w:rPr>
              <w:t>与本项目相关的政府采购业务澄清、更正及与之相关的事项将在采购公告中“六、其他补充事宜”中网上查询地址上发布</w:t>
            </w:r>
            <w:r>
              <w:rPr>
                <w:rFonts w:hint="eastAsia" w:ascii="宋体" w:hAnsi="宋体" w:cs="宋体"/>
                <w:color w:val="auto"/>
                <w:kern w:val="0"/>
                <w:sz w:val="24"/>
                <w:highlight w:val="none"/>
              </w:rPr>
              <w:t>。</w:t>
            </w:r>
          </w:p>
        </w:tc>
      </w:tr>
      <w:tr w14:paraId="4CDBAC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730CCFC4">
            <w:pPr>
              <w:keepLines/>
              <w:wordWrap w:val="0"/>
              <w:spacing w:line="360" w:lineRule="auto"/>
              <w:rPr>
                <w:rFonts w:hint="eastAsia" w:ascii="宋体" w:hAnsi="宋体" w:cs="宋体"/>
                <w:color w:val="auto"/>
                <w:sz w:val="24"/>
                <w:highlight w:val="none"/>
              </w:rPr>
            </w:pPr>
            <w:r>
              <w:rPr>
                <w:rFonts w:hint="eastAsia" w:ascii="宋体" w:hAnsi="宋体" w:cs="宋体"/>
                <w:color w:val="auto"/>
                <w:sz w:val="24"/>
                <w:highlight w:val="none"/>
              </w:rPr>
              <w:t>11.6</w:t>
            </w:r>
          </w:p>
        </w:tc>
        <w:tc>
          <w:tcPr>
            <w:tcW w:w="2630" w:type="dxa"/>
            <w:tcBorders>
              <w:top w:val="single" w:color="auto" w:sz="4" w:space="0"/>
              <w:left w:val="single" w:color="auto" w:sz="4" w:space="0"/>
              <w:bottom w:val="single" w:color="auto" w:sz="4" w:space="0"/>
              <w:right w:val="single" w:color="auto" w:sz="4" w:space="0"/>
            </w:tcBorders>
            <w:vAlign w:val="center"/>
          </w:tcPr>
          <w:p w14:paraId="431F89EF">
            <w:pPr>
              <w:keepLines/>
              <w:wordWrap w:val="0"/>
              <w:spacing w:line="360" w:lineRule="auto"/>
              <w:rPr>
                <w:rFonts w:hint="eastAsia" w:ascii="宋体" w:hAnsi="宋体" w:cs="宋体"/>
                <w:color w:val="auto"/>
                <w:sz w:val="24"/>
                <w:highlight w:val="none"/>
              </w:rPr>
            </w:pPr>
            <w:r>
              <w:rPr>
                <w:rFonts w:hint="eastAsia" w:ascii="宋体" w:hAnsi="宋体" w:cs="宋体"/>
                <w:color w:val="auto"/>
                <w:sz w:val="24"/>
                <w:highlight w:val="none"/>
              </w:rPr>
              <w:t>是否组织标前答疑会</w:t>
            </w:r>
          </w:p>
        </w:tc>
        <w:tc>
          <w:tcPr>
            <w:tcW w:w="6935" w:type="dxa"/>
            <w:tcBorders>
              <w:top w:val="single" w:color="auto" w:sz="4" w:space="0"/>
              <w:left w:val="single" w:color="auto" w:sz="4" w:space="0"/>
              <w:bottom w:val="single" w:color="auto" w:sz="4" w:space="0"/>
              <w:right w:val="single" w:color="auto" w:sz="4" w:space="0"/>
            </w:tcBorders>
            <w:vAlign w:val="center"/>
          </w:tcPr>
          <w:p w14:paraId="552BF46F">
            <w:pPr>
              <w:keepLines/>
              <w:wordWrap w:val="0"/>
              <w:snapToGrid w:val="0"/>
              <w:spacing w:line="360" w:lineRule="auto"/>
              <w:rPr>
                <w:rFonts w:hint="eastAsia" w:ascii="宋体" w:hAnsi="宋体" w:cs="宋体"/>
                <w:color w:val="auto"/>
                <w:sz w:val="24"/>
                <w:highlight w:val="none"/>
              </w:rPr>
            </w:pPr>
            <w:r>
              <w:rPr>
                <w:rFonts w:ascii="Segoe UI Symbol" w:hAnsi="Segoe UI Symbol" w:cs="Segoe UI Symbol"/>
                <w:color w:val="auto"/>
                <w:sz w:val="24"/>
                <w:highlight w:val="none"/>
              </w:rPr>
              <w:t>☑</w:t>
            </w:r>
            <w:r>
              <w:rPr>
                <w:rFonts w:hint="eastAsia" w:ascii="宋体" w:hAnsi="宋体" w:cs="宋体"/>
                <w:color w:val="auto"/>
                <w:sz w:val="24"/>
                <w:highlight w:val="none"/>
              </w:rPr>
              <w:t>不组织召开开标前答疑会</w:t>
            </w:r>
          </w:p>
          <w:p w14:paraId="180FF241">
            <w:pPr>
              <w:keepLines/>
              <w:wordWrap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□组织召开开标前答疑会</w:t>
            </w:r>
          </w:p>
          <w:p w14:paraId="68E3D050">
            <w:pPr>
              <w:keepLines/>
              <w:wordWrap w:val="0"/>
              <w:snapToGrid w:val="0"/>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会议开始时间：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日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时</w:t>
            </w:r>
            <w:r>
              <w:rPr>
                <w:rFonts w:hint="eastAsia" w:ascii="宋体" w:hAnsi="宋体" w:cs="宋体"/>
                <w:color w:val="auto"/>
                <w:sz w:val="24"/>
                <w:highlight w:val="none"/>
                <w:u w:val="single"/>
              </w:rPr>
              <w:t xml:space="preserve">  分</w:t>
            </w:r>
            <w:r>
              <w:rPr>
                <w:rFonts w:hint="eastAsia" w:ascii="宋体" w:hAnsi="宋体" w:cs="宋体"/>
                <w:color w:val="auto"/>
                <w:sz w:val="24"/>
                <w:highlight w:val="none"/>
              </w:rPr>
              <w:t>，逾期后果自负。会议地点：</w:t>
            </w:r>
            <w:r>
              <w:rPr>
                <w:rFonts w:hint="eastAsia" w:ascii="宋体" w:hAnsi="宋体" w:cs="宋体"/>
                <w:color w:val="auto"/>
                <w:sz w:val="24"/>
                <w:highlight w:val="none"/>
                <w:u w:val="single"/>
              </w:rPr>
              <w:t xml:space="preserve">      </w:t>
            </w:r>
          </w:p>
        </w:tc>
      </w:tr>
      <w:tr w14:paraId="5813D8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nil"/>
              <w:left w:val="single" w:color="auto" w:sz="4" w:space="0"/>
              <w:bottom w:val="nil"/>
              <w:right w:val="single" w:color="auto" w:sz="4" w:space="0"/>
            </w:tcBorders>
            <w:vAlign w:val="center"/>
          </w:tcPr>
          <w:p w14:paraId="6F7C50CC">
            <w:pPr>
              <w:keepLines/>
              <w:wordWrap w:val="0"/>
              <w:spacing w:line="360" w:lineRule="auto"/>
              <w:rPr>
                <w:rFonts w:hint="eastAsia" w:ascii="宋体" w:hAnsi="宋体" w:cs="宋体"/>
                <w:color w:val="auto"/>
                <w:sz w:val="24"/>
                <w:highlight w:val="none"/>
              </w:rPr>
            </w:pPr>
            <w:r>
              <w:rPr>
                <w:rFonts w:hint="eastAsia" w:ascii="宋体" w:hAnsi="宋体" w:cs="宋体"/>
                <w:color w:val="auto"/>
                <w:sz w:val="24"/>
                <w:highlight w:val="none"/>
              </w:rPr>
              <w:t>13.1</w:t>
            </w:r>
          </w:p>
        </w:tc>
        <w:tc>
          <w:tcPr>
            <w:tcW w:w="2630" w:type="dxa"/>
            <w:tcBorders>
              <w:top w:val="single" w:color="auto" w:sz="4" w:space="0"/>
              <w:left w:val="single" w:color="auto" w:sz="4" w:space="0"/>
              <w:bottom w:val="single" w:color="auto" w:sz="4" w:space="0"/>
              <w:right w:val="single" w:color="auto" w:sz="4" w:space="0"/>
            </w:tcBorders>
            <w:vAlign w:val="center"/>
          </w:tcPr>
          <w:p w14:paraId="528781F1">
            <w:pPr>
              <w:keepLines/>
              <w:wordWrap w:val="0"/>
              <w:snapToGrid w:val="0"/>
              <w:spacing w:line="360" w:lineRule="auto"/>
              <w:jc w:val="left"/>
              <w:rPr>
                <w:rFonts w:hint="eastAsia" w:ascii="宋体" w:hAnsi="宋体" w:cs="宋体"/>
                <w:color w:val="auto"/>
                <w:sz w:val="24"/>
                <w:highlight w:val="none"/>
              </w:rPr>
            </w:pPr>
            <w:bookmarkStart w:id="16" w:name="_13.2"/>
            <w:bookmarkEnd w:id="16"/>
            <w:r>
              <w:rPr>
                <w:rFonts w:hint="eastAsia" w:ascii="宋体" w:hAnsi="宋体" w:cs="宋体"/>
                <w:color w:val="auto"/>
                <w:sz w:val="24"/>
                <w:highlight w:val="none"/>
              </w:rPr>
              <w:t>资格证明文件组成</w:t>
            </w:r>
          </w:p>
        </w:tc>
        <w:tc>
          <w:tcPr>
            <w:tcW w:w="6935" w:type="dxa"/>
            <w:tcBorders>
              <w:top w:val="single" w:color="auto" w:sz="4" w:space="0"/>
              <w:left w:val="single" w:color="auto" w:sz="4" w:space="0"/>
              <w:bottom w:val="single" w:color="auto" w:sz="4" w:space="0"/>
              <w:right w:val="single" w:color="auto" w:sz="4" w:space="0"/>
            </w:tcBorders>
            <w:vAlign w:val="center"/>
          </w:tcPr>
          <w:p w14:paraId="4C5B0635">
            <w:pPr>
              <w:keepLines/>
              <w:wordWrap w:val="0"/>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1、投标人为法人或者其他组织的，提供营业执照等证明文件（如营业执照或者事业单位法人证书或者</w:t>
            </w:r>
            <w:r>
              <w:rPr>
                <w:rStyle w:val="36"/>
                <w:rFonts w:hint="eastAsia"/>
                <w:color w:val="auto"/>
                <w:sz w:val="24"/>
                <w:szCs w:val="24"/>
                <w:highlight w:val="none"/>
              </w:rPr>
              <w:t>执业许可证</w:t>
            </w:r>
            <w:r>
              <w:rPr>
                <w:rFonts w:hint="eastAsia" w:ascii="宋体" w:hAnsi="宋体" w:cs="宋体"/>
                <w:color w:val="auto"/>
                <w:sz w:val="24"/>
                <w:highlight w:val="none"/>
              </w:rPr>
              <w:t>等），投标人为自然人的，提供身份证复印件。（</w:t>
            </w:r>
            <w:r>
              <w:rPr>
                <w:rFonts w:hint="eastAsia" w:ascii="宋体" w:hAnsi="宋体" w:cs="宋体"/>
                <w:b/>
                <w:color w:val="auto"/>
                <w:sz w:val="24"/>
                <w:highlight w:val="none"/>
              </w:rPr>
              <w:t>必须提供，否则作无效投标处理</w:t>
            </w:r>
            <w:r>
              <w:rPr>
                <w:rFonts w:hint="eastAsia" w:ascii="宋体" w:hAnsi="宋体" w:cs="宋体"/>
                <w:color w:val="auto"/>
                <w:sz w:val="24"/>
                <w:highlight w:val="none"/>
              </w:rPr>
              <w:t>）</w:t>
            </w:r>
          </w:p>
          <w:p w14:paraId="31A55B42">
            <w:pPr>
              <w:keepLines/>
              <w:wordWrap w:val="0"/>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2、投标人依法缴纳税收的相关材料</w:t>
            </w:r>
            <w:r>
              <w:rPr>
                <w:rFonts w:hint="eastAsia" w:ascii="宋体" w:hAnsi="宋体" w:cs="宋体"/>
                <w:color w:val="auto"/>
                <w:sz w:val="24"/>
                <w:highlight w:val="none"/>
              </w:rPr>
              <w:t>[</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rPr>
              <w:t>年</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rPr>
              <w:t>月至</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rPr>
              <w:t>年</w:t>
            </w:r>
            <w:r>
              <w:rPr>
                <w:rFonts w:hint="eastAsia" w:ascii="宋体" w:hAnsi="宋体" w:cs="宋体"/>
                <w:color w:val="auto"/>
                <w:sz w:val="24"/>
                <w:highlight w:val="none"/>
                <w:u w:val="single"/>
                <w:lang w:val="en-US" w:eastAsia="zh-CN"/>
              </w:rPr>
              <w:t>11</w:t>
            </w:r>
            <w:r>
              <w:rPr>
                <w:rFonts w:hint="eastAsia" w:ascii="宋体" w:hAnsi="宋体" w:cs="宋体"/>
                <w:color w:val="auto"/>
                <w:sz w:val="24"/>
                <w:highlight w:val="none"/>
              </w:rPr>
              <w:t>月]</w:t>
            </w:r>
            <w:r>
              <w:rPr>
                <w:rFonts w:hint="eastAsia" w:ascii="宋体" w:hAnsi="宋体" w:cs="宋体"/>
                <w:color w:val="auto"/>
                <w:sz w:val="24"/>
                <w:highlight w:val="none"/>
              </w:rPr>
              <w:t>连续</w:t>
            </w:r>
            <w:r>
              <w:rPr>
                <w:rFonts w:hint="eastAsia" w:ascii="宋体" w:hAnsi="宋体" w:cs="宋体"/>
                <w:color w:val="auto"/>
                <w:sz w:val="24"/>
                <w:highlight w:val="none"/>
                <w:u w:val="single"/>
              </w:rPr>
              <w:t xml:space="preserve"> 三 </w:t>
            </w:r>
            <w:r>
              <w:rPr>
                <w:rFonts w:hint="eastAsia" w:ascii="宋体" w:hAnsi="宋体" w:cs="宋体"/>
                <w:color w:val="auto"/>
                <w:sz w:val="24"/>
                <w:highlight w:val="none"/>
              </w:rPr>
              <w:t>个月的依法缴纳税收的凭据复印件；依法免税的供应商，必须提供相应文件证明其依法免税。从取得营业执照时间起到投标文件提交截止时间为止不足要求月数的，只需提供从取得营业执照起的依法缴纳税收相应证明文件）。（</w:t>
            </w:r>
            <w:r>
              <w:rPr>
                <w:rFonts w:hint="eastAsia" w:ascii="宋体" w:hAnsi="宋体" w:cs="宋体"/>
                <w:b/>
                <w:color w:val="auto"/>
                <w:sz w:val="24"/>
                <w:highlight w:val="none"/>
              </w:rPr>
              <w:t>必须提供，否则作无效投标处理</w:t>
            </w:r>
            <w:r>
              <w:rPr>
                <w:rFonts w:hint="eastAsia" w:ascii="宋体" w:hAnsi="宋体" w:cs="宋体"/>
                <w:color w:val="auto"/>
                <w:sz w:val="24"/>
                <w:highlight w:val="none"/>
              </w:rPr>
              <w:t>）</w:t>
            </w:r>
          </w:p>
          <w:p w14:paraId="48213F74">
            <w:pPr>
              <w:keepLines/>
              <w:wordWrap w:val="0"/>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3、投标人依法缴纳社会保障资金的相关材料</w:t>
            </w:r>
            <w:r>
              <w:rPr>
                <w:rFonts w:hint="eastAsia" w:ascii="宋体" w:hAnsi="宋体" w:cs="宋体"/>
                <w:color w:val="auto"/>
                <w:sz w:val="24"/>
                <w:highlight w:val="none"/>
              </w:rPr>
              <w:t>[</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rPr>
              <w:t>年</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rPr>
              <w:t>月至</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rPr>
              <w:t>年</w:t>
            </w:r>
            <w:r>
              <w:rPr>
                <w:rFonts w:hint="eastAsia" w:ascii="宋体" w:hAnsi="宋体" w:cs="宋体"/>
                <w:color w:val="auto"/>
                <w:sz w:val="24"/>
                <w:highlight w:val="none"/>
                <w:u w:val="single"/>
                <w:lang w:val="en-US" w:eastAsia="zh-CN"/>
              </w:rPr>
              <w:t>11</w:t>
            </w:r>
            <w:r>
              <w:rPr>
                <w:rFonts w:hint="eastAsia" w:ascii="宋体" w:hAnsi="宋体" w:cs="宋体"/>
                <w:color w:val="auto"/>
                <w:sz w:val="24"/>
                <w:highlight w:val="none"/>
              </w:rPr>
              <w:t>月]</w:t>
            </w:r>
            <w:r>
              <w:rPr>
                <w:rFonts w:hint="eastAsia" w:ascii="宋体" w:hAnsi="宋体" w:cs="宋体"/>
                <w:color w:val="auto"/>
                <w:sz w:val="24"/>
                <w:highlight w:val="none"/>
              </w:rPr>
              <w:t>连续</w:t>
            </w:r>
            <w:r>
              <w:rPr>
                <w:rFonts w:hint="eastAsia" w:ascii="宋体" w:hAnsi="宋体" w:cs="宋体"/>
                <w:color w:val="auto"/>
                <w:sz w:val="24"/>
                <w:highlight w:val="none"/>
                <w:u w:val="single"/>
              </w:rPr>
              <w:t xml:space="preserve"> 三 </w:t>
            </w:r>
            <w:r>
              <w:rPr>
                <w:rFonts w:hint="eastAsia" w:ascii="宋体" w:hAnsi="宋体" w:cs="宋体"/>
                <w:color w:val="auto"/>
                <w:sz w:val="24"/>
                <w:highlight w:val="none"/>
              </w:rPr>
              <w:t>个月的依法缴纳社会保障资金的缴费凭证（专用收据或者社会保险缴纳清单）复印件；依法不需要缴纳社会保障资金的供应商，必须提供相应文件证明不需要缴纳社会保障资金。从取得营业执照时间起到投标文件提交截止时间为止不足要求月数的只需提供从取得营业执照起的依法缴纳社会保障资金的相应证明文件。（</w:t>
            </w:r>
            <w:r>
              <w:rPr>
                <w:rFonts w:hint="eastAsia" w:ascii="宋体" w:hAnsi="宋体" w:cs="宋体"/>
                <w:b/>
                <w:color w:val="auto"/>
                <w:sz w:val="24"/>
                <w:highlight w:val="none"/>
              </w:rPr>
              <w:t>必须提供，否则作无效投标处理</w:t>
            </w:r>
            <w:r>
              <w:rPr>
                <w:rFonts w:hint="eastAsia" w:ascii="宋体" w:hAnsi="宋体" w:cs="宋体"/>
                <w:color w:val="auto"/>
                <w:sz w:val="24"/>
                <w:highlight w:val="none"/>
              </w:rPr>
              <w:t>）</w:t>
            </w:r>
          </w:p>
          <w:p w14:paraId="738A39A2">
            <w:pPr>
              <w:keepLines/>
              <w:wordWrap w:val="0"/>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4、投标人财务状况报告：</w:t>
            </w:r>
            <w:r>
              <w:rPr>
                <w:rFonts w:hint="eastAsia" w:ascii="宋体" w:hAnsi="宋体" w:cs="宋体"/>
                <w:color w:val="auto"/>
                <w:sz w:val="24"/>
                <w:highlight w:val="none"/>
              </w:rPr>
              <w:t>[</w:t>
            </w:r>
            <w:r>
              <w:rPr>
                <w:rFonts w:hint="eastAsia" w:ascii="宋体" w:hAnsi="宋体" w:cs="宋体"/>
                <w:color w:val="auto"/>
                <w:sz w:val="24"/>
                <w:highlight w:val="none"/>
                <w:u w:val="single"/>
              </w:rPr>
              <w:t>2024</w:t>
            </w:r>
            <w:r>
              <w:rPr>
                <w:rFonts w:hint="eastAsia" w:ascii="宋体" w:hAnsi="宋体" w:cs="宋体"/>
                <w:color w:val="auto"/>
                <w:sz w:val="24"/>
                <w:highlight w:val="none"/>
              </w:rPr>
              <w:t>年]</w:t>
            </w:r>
            <w:r>
              <w:rPr>
                <w:rFonts w:hint="eastAsia" w:ascii="宋体" w:hAnsi="宋体" w:cs="宋体"/>
                <w:color w:val="auto"/>
                <w:sz w:val="24"/>
                <w:highlight w:val="none"/>
              </w:rPr>
              <w:t>财务状况报告复印件；供应商成立不满一年的应按提供截标之日上一个月的财务状况报告复印件。（上述财务状况报告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w:t>
            </w:r>
            <w:r>
              <w:rPr>
                <w:rFonts w:hint="eastAsia" w:ascii="宋体" w:hAnsi="宋体" w:cs="宋体"/>
                <w:b/>
                <w:color w:val="auto"/>
                <w:sz w:val="24"/>
                <w:highlight w:val="none"/>
              </w:rPr>
              <w:t>必须提供，否则作无效投标处理</w:t>
            </w:r>
            <w:r>
              <w:rPr>
                <w:rFonts w:hint="eastAsia" w:ascii="宋体" w:hAnsi="宋体" w:cs="宋体"/>
                <w:color w:val="auto"/>
                <w:sz w:val="24"/>
                <w:highlight w:val="none"/>
              </w:rPr>
              <w:t>）</w:t>
            </w:r>
          </w:p>
          <w:p w14:paraId="5F0ED173">
            <w:pPr>
              <w:keepLines/>
              <w:wordWrap w:val="0"/>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5、投标人直接控股股东信息表、管理关系信息表。（</w:t>
            </w:r>
            <w:r>
              <w:rPr>
                <w:rFonts w:hint="eastAsia" w:ascii="宋体" w:hAnsi="宋体" w:cs="宋体"/>
                <w:b/>
                <w:color w:val="auto"/>
                <w:sz w:val="24"/>
                <w:highlight w:val="none"/>
              </w:rPr>
              <w:t>必须提供，否则作无效投标处理</w:t>
            </w:r>
            <w:r>
              <w:rPr>
                <w:rFonts w:hint="eastAsia" w:ascii="宋体" w:hAnsi="宋体" w:cs="宋体"/>
                <w:color w:val="auto"/>
                <w:sz w:val="24"/>
                <w:highlight w:val="none"/>
              </w:rPr>
              <w:t>）</w:t>
            </w:r>
          </w:p>
          <w:p w14:paraId="19E69BA3">
            <w:pPr>
              <w:keepLines/>
              <w:wordWrap w:val="0"/>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6、投标资格声明函。（</w:t>
            </w:r>
            <w:r>
              <w:rPr>
                <w:rFonts w:hint="eastAsia" w:ascii="宋体" w:hAnsi="宋体" w:cs="宋体"/>
                <w:b/>
                <w:color w:val="auto"/>
                <w:sz w:val="24"/>
                <w:highlight w:val="none"/>
              </w:rPr>
              <w:t>必须提供，否则作无效投标处理</w:t>
            </w:r>
            <w:r>
              <w:rPr>
                <w:rFonts w:hint="eastAsia" w:ascii="宋体" w:hAnsi="宋体" w:cs="宋体"/>
                <w:color w:val="auto"/>
                <w:sz w:val="24"/>
                <w:highlight w:val="none"/>
              </w:rPr>
              <w:t>）</w:t>
            </w:r>
          </w:p>
          <w:p w14:paraId="6D357F74">
            <w:pPr>
              <w:keepLines/>
              <w:wordWrap w:val="0"/>
              <w:snapToGrid w:val="0"/>
              <w:spacing w:line="360" w:lineRule="auto"/>
              <w:jc w:val="left"/>
              <w:rPr>
                <w:rFonts w:hint="eastAsia" w:ascii="宋体" w:hAnsi="宋体" w:cs="宋体"/>
                <w:b/>
                <w:bCs/>
                <w:color w:val="auto"/>
                <w:sz w:val="24"/>
                <w:highlight w:val="none"/>
              </w:rPr>
            </w:pPr>
            <w:r>
              <w:rPr>
                <w:rFonts w:hint="eastAsia" w:ascii="宋体" w:hAnsi="宋体" w:cs="宋体"/>
                <w:color w:val="auto"/>
                <w:sz w:val="24"/>
                <w:highlight w:val="none"/>
              </w:rPr>
              <w:t>7、联合体协议书。</w:t>
            </w:r>
            <w:r>
              <w:rPr>
                <w:rFonts w:hint="eastAsia" w:ascii="宋体" w:hAnsi="宋体" w:cs="宋体"/>
                <w:b/>
                <w:bCs/>
                <w:color w:val="auto"/>
                <w:sz w:val="24"/>
                <w:highlight w:val="none"/>
              </w:rPr>
              <w:t>（以联合体形式投标的，提供联合体协议；本项目不接受联合体投标或者投标人不以联合体形式投标的，则不需要提供）</w:t>
            </w:r>
          </w:p>
          <w:p w14:paraId="37D7AE09">
            <w:pPr>
              <w:keepLines/>
              <w:wordWrap w:val="0"/>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8、</w:t>
            </w:r>
            <w:r>
              <w:rPr>
                <w:rFonts w:hint="eastAsia" w:ascii="宋体" w:hAnsi="宋体" w:cs="宋体"/>
                <w:color w:val="auto"/>
                <w:sz w:val="24"/>
                <w:highlight w:val="none"/>
              </w:rPr>
              <w:t>中小企业声明函。（</w:t>
            </w:r>
            <w:r>
              <w:rPr>
                <w:rFonts w:hint="eastAsia" w:ascii="宋体" w:hAnsi="宋体" w:cs="宋体"/>
                <w:b/>
                <w:color w:val="auto"/>
                <w:sz w:val="24"/>
                <w:highlight w:val="none"/>
              </w:rPr>
              <w:t>必须提供，否则作无效投标处理</w:t>
            </w:r>
            <w:r>
              <w:rPr>
                <w:rFonts w:hint="eastAsia" w:ascii="宋体" w:hAnsi="宋体" w:cs="宋体"/>
                <w:color w:val="auto"/>
                <w:sz w:val="24"/>
                <w:highlight w:val="none"/>
              </w:rPr>
              <w:t>）</w:t>
            </w:r>
          </w:p>
          <w:p w14:paraId="452AB260">
            <w:pPr>
              <w:keepLines/>
              <w:wordWrap w:val="0"/>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9、除招标文件规定必须提供以外，投标人认为需要提供的其他证明材料。</w:t>
            </w:r>
          </w:p>
          <w:p w14:paraId="56855889">
            <w:pPr>
              <w:keepLines/>
              <w:wordWrap w:val="0"/>
              <w:snapToGrid w:val="0"/>
              <w:spacing w:line="360" w:lineRule="auto"/>
              <w:ind w:firstLine="482"/>
              <w:jc w:val="left"/>
              <w:rPr>
                <w:rFonts w:hint="eastAsia" w:ascii="宋体" w:hAnsi="宋体" w:cs="宋体"/>
                <w:b/>
                <w:color w:val="auto"/>
                <w:sz w:val="24"/>
                <w:highlight w:val="none"/>
              </w:rPr>
            </w:pPr>
            <w:r>
              <w:rPr>
                <w:rFonts w:hint="eastAsia" w:ascii="宋体" w:hAnsi="宋体" w:cs="宋体"/>
                <w:b/>
                <w:bCs/>
                <w:color w:val="auto"/>
                <w:sz w:val="24"/>
                <w:highlight w:val="none"/>
              </w:rPr>
              <w:t>注：1.</w:t>
            </w:r>
            <w:r>
              <w:rPr>
                <w:rFonts w:hint="eastAsia" w:ascii="宋体" w:hAnsi="宋体" w:cs="宋体"/>
                <w:color w:val="auto"/>
                <w:sz w:val="24"/>
                <w:highlight w:val="none"/>
              </w:rPr>
              <w:t xml:space="preserve"> </w:t>
            </w:r>
            <w:r>
              <w:rPr>
                <w:rFonts w:hint="eastAsia" w:ascii="宋体" w:hAnsi="宋体" w:cs="宋体"/>
                <w:b/>
                <w:bCs/>
                <w:color w:val="auto"/>
                <w:sz w:val="24"/>
                <w:highlight w:val="none"/>
              </w:rPr>
              <w:t>以上标明“必须提供”的材料</w:t>
            </w:r>
            <w:r>
              <w:rPr>
                <w:rFonts w:hint="eastAsia" w:ascii="宋体" w:hAnsi="宋体" w:cs="宋体"/>
                <w:b/>
                <w:color w:val="auto"/>
                <w:sz w:val="24"/>
                <w:highlight w:val="none"/>
              </w:rPr>
              <w:t>属于复印件的扫描件的</w:t>
            </w:r>
            <w:r>
              <w:rPr>
                <w:rFonts w:hint="eastAsia" w:ascii="宋体" w:hAnsi="宋体" w:cs="宋体"/>
                <w:b/>
                <w:bCs/>
                <w:color w:val="auto"/>
                <w:sz w:val="24"/>
                <w:highlight w:val="none"/>
              </w:rPr>
              <w:t>，必须加盖投标人电子公章，否则</w:t>
            </w:r>
            <w:r>
              <w:rPr>
                <w:rFonts w:hint="eastAsia" w:ascii="宋体" w:hAnsi="宋体" w:cs="宋体"/>
                <w:b/>
                <w:color w:val="auto"/>
                <w:sz w:val="24"/>
                <w:highlight w:val="none"/>
              </w:rPr>
              <w:t>作无效投标处理。</w:t>
            </w:r>
          </w:p>
          <w:p w14:paraId="426CD68C">
            <w:pPr>
              <w:keepLines/>
              <w:wordWrap w:val="0"/>
              <w:snapToGrid w:val="0"/>
              <w:spacing w:line="360" w:lineRule="auto"/>
              <w:ind w:firstLine="482" w:firstLineChars="200"/>
              <w:jc w:val="left"/>
              <w:rPr>
                <w:rFonts w:hint="eastAsia" w:ascii="宋体" w:hAnsi="宋体" w:cs="宋体"/>
                <w:b/>
                <w:bCs/>
                <w:color w:val="auto"/>
                <w:sz w:val="24"/>
                <w:highlight w:val="none"/>
              </w:rPr>
            </w:pPr>
            <w:r>
              <w:rPr>
                <w:rFonts w:hint="eastAsia" w:ascii="宋体" w:hAnsi="宋体" w:cs="宋体"/>
                <w:b/>
                <w:color w:val="auto"/>
                <w:sz w:val="24"/>
                <w:highlight w:val="none"/>
              </w:rPr>
              <w:t>2</w:t>
            </w:r>
            <w:r>
              <w:rPr>
                <w:rFonts w:hint="eastAsia" w:ascii="宋体" w:hAnsi="宋体" w:cs="宋体"/>
                <w:b/>
                <w:bCs/>
                <w:color w:val="auto"/>
                <w:sz w:val="24"/>
                <w:highlight w:val="none"/>
              </w:rPr>
              <w:t>.联合体投标时，第1-5项资格证明文件联合体各方均必须分别提供，联合体各方分别盖章，否则投标文件按无效投标处理。</w:t>
            </w:r>
          </w:p>
        </w:tc>
      </w:tr>
      <w:tr w14:paraId="3A2F65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nil"/>
              <w:left w:val="single" w:color="auto" w:sz="4" w:space="0"/>
              <w:bottom w:val="nil"/>
              <w:right w:val="single" w:color="auto" w:sz="4" w:space="0"/>
            </w:tcBorders>
            <w:vAlign w:val="center"/>
          </w:tcPr>
          <w:p w14:paraId="6526BEC6">
            <w:pPr>
              <w:keepLines/>
              <w:wordWrap w:val="0"/>
              <w:spacing w:line="360" w:lineRule="auto"/>
              <w:rPr>
                <w:rFonts w:hint="eastAsia" w:ascii="宋体" w:hAnsi="宋体" w:cs="宋体"/>
                <w:color w:val="auto"/>
                <w:sz w:val="24"/>
                <w:highlight w:val="none"/>
              </w:rPr>
            </w:pPr>
          </w:p>
        </w:tc>
        <w:tc>
          <w:tcPr>
            <w:tcW w:w="2630" w:type="dxa"/>
            <w:tcBorders>
              <w:top w:val="single" w:color="auto" w:sz="4" w:space="0"/>
              <w:left w:val="single" w:color="auto" w:sz="4" w:space="0"/>
              <w:bottom w:val="single" w:color="auto" w:sz="4" w:space="0"/>
              <w:right w:val="single" w:color="auto" w:sz="4" w:space="0"/>
            </w:tcBorders>
            <w:vAlign w:val="center"/>
          </w:tcPr>
          <w:p w14:paraId="21FC066F">
            <w:pPr>
              <w:keepLines/>
              <w:wordWrap w:val="0"/>
              <w:snapToGrid w:val="0"/>
              <w:spacing w:line="360" w:lineRule="auto"/>
              <w:jc w:val="left"/>
              <w:rPr>
                <w:rFonts w:hint="eastAsia" w:ascii="宋体" w:hAnsi="宋体" w:cs="宋体"/>
                <w:color w:val="auto"/>
                <w:sz w:val="24"/>
                <w:highlight w:val="none"/>
              </w:rPr>
            </w:pPr>
            <w:bookmarkStart w:id="17" w:name="_13.3"/>
            <w:bookmarkEnd w:id="17"/>
            <w:r>
              <w:rPr>
                <w:rFonts w:hint="eastAsia" w:ascii="宋体" w:hAnsi="宋体" w:cs="宋体"/>
                <w:color w:val="auto"/>
                <w:sz w:val="24"/>
                <w:highlight w:val="none"/>
              </w:rPr>
              <w:t>商务文件组成</w:t>
            </w:r>
          </w:p>
          <w:p w14:paraId="70454D92">
            <w:pPr>
              <w:keepLines/>
              <w:wordWrap w:val="0"/>
              <w:spacing w:line="360" w:lineRule="auto"/>
              <w:rPr>
                <w:rFonts w:hint="eastAsia" w:ascii="宋体" w:hAnsi="宋体" w:cs="宋体"/>
                <w:color w:val="auto"/>
                <w:sz w:val="24"/>
                <w:highlight w:val="none"/>
              </w:rPr>
            </w:pPr>
          </w:p>
        </w:tc>
        <w:tc>
          <w:tcPr>
            <w:tcW w:w="6935" w:type="dxa"/>
            <w:tcBorders>
              <w:top w:val="single" w:color="auto" w:sz="4" w:space="0"/>
              <w:left w:val="single" w:color="auto" w:sz="4" w:space="0"/>
              <w:bottom w:val="single" w:color="auto" w:sz="4" w:space="0"/>
              <w:right w:val="single" w:color="auto" w:sz="4" w:space="0"/>
            </w:tcBorders>
            <w:vAlign w:val="center"/>
          </w:tcPr>
          <w:p w14:paraId="2C8970CA">
            <w:pPr>
              <w:keepLines/>
              <w:wordWrap w:val="0"/>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1、无串通投标行为的承诺函；（</w:t>
            </w:r>
            <w:r>
              <w:rPr>
                <w:rFonts w:hint="eastAsia" w:ascii="宋体" w:hAnsi="宋体" w:cs="宋体"/>
                <w:b/>
                <w:color w:val="auto"/>
                <w:sz w:val="24"/>
                <w:highlight w:val="none"/>
              </w:rPr>
              <w:t>必须提供，否则作无效投标处理</w:t>
            </w:r>
            <w:r>
              <w:rPr>
                <w:rFonts w:hint="eastAsia" w:ascii="宋体" w:hAnsi="宋体" w:cs="宋体"/>
                <w:color w:val="auto"/>
                <w:sz w:val="24"/>
                <w:highlight w:val="none"/>
              </w:rPr>
              <w:t>）</w:t>
            </w:r>
          </w:p>
          <w:p w14:paraId="496974B0">
            <w:pPr>
              <w:keepLines/>
              <w:wordWrap w:val="0"/>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2、法定代表人身份证明及法定代表人有效身份证正反面复印件；（</w:t>
            </w:r>
            <w:r>
              <w:rPr>
                <w:rFonts w:hint="eastAsia" w:ascii="宋体" w:hAnsi="宋体" w:cs="宋体"/>
                <w:b/>
                <w:bCs/>
                <w:color w:val="auto"/>
                <w:sz w:val="24"/>
                <w:highlight w:val="none"/>
              </w:rPr>
              <w:t>除自然人投标外</w:t>
            </w:r>
            <w:r>
              <w:rPr>
                <w:rFonts w:hint="eastAsia" w:ascii="宋体" w:hAnsi="宋体" w:cs="宋体"/>
                <w:b/>
                <w:color w:val="auto"/>
                <w:sz w:val="24"/>
                <w:highlight w:val="none"/>
              </w:rPr>
              <w:t>必须提供，否则作无效投标处理</w:t>
            </w:r>
            <w:r>
              <w:rPr>
                <w:rFonts w:hint="eastAsia" w:ascii="宋体" w:hAnsi="宋体" w:cs="宋体"/>
                <w:color w:val="auto"/>
                <w:sz w:val="24"/>
                <w:highlight w:val="none"/>
              </w:rPr>
              <w:t>）</w:t>
            </w:r>
          </w:p>
          <w:p w14:paraId="68FCB0A3">
            <w:pPr>
              <w:keepLines/>
              <w:wordWrap w:val="0"/>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3、法定代表人授权委托书及委托代理人有效身份证正反面复印件；（</w:t>
            </w:r>
            <w:r>
              <w:rPr>
                <w:rFonts w:hint="eastAsia" w:ascii="宋体" w:hAnsi="宋体" w:cs="宋体"/>
                <w:b/>
                <w:color w:val="auto"/>
                <w:sz w:val="24"/>
                <w:highlight w:val="none"/>
              </w:rPr>
              <w:t>委托时必须提供，否则作无效投标处理</w:t>
            </w:r>
            <w:r>
              <w:rPr>
                <w:rFonts w:hint="eastAsia" w:ascii="宋体" w:hAnsi="宋体" w:cs="宋体"/>
                <w:color w:val="auto"/>
                <w:sz w:val="24"/>
                <w:highlight w:val="none"/>
              </w:rPr>
              <w:t>）</w:t>
            </w:r>
          </w:p>
          <w:p w14:paraId="1312071C">
            <w:pPr>
              <w:keepLines/>
              <w:wordWrap w:val="0"/>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4、商务条款偏离表；（</w:t>
            </w:r>
            <w:r>
              <w:rPr>
                <w:rFonts w:hint="eastAsia" w:ascii="宋体" w:hAnsi="宋体" w:cs="宋体"/>
                <w:b/>
                <w:color w:val="auto"/>
                <w:sz w:val="24"/>
                <w:highlight w:val="none"/>
              </w:rPr>
              <w:t>必须提供，否则作无效投标处理</w:t>
            </w:r>
            <w:r>
              <w:rPr>
                <w:rFonts w:hint="eastAsia" w:ascii="宋体" w:hAnsi="宋体" w:cs="宋体"/>
                <w:color w:val="auto"/>
                <w:sz w:val="24"/>
                <w:highlight w:val="none"/>
              </w:rPr>
              <w:t>）</w:t>
            </w:r>
          </w:p>
          <w:p w14:paraId="50C4F818">
            <w:pPr>
              <w:keepLines/>
              <w:wordWrap w:val="0"/>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5、投标人情况介绍；</w:t>
            </w:r>
          </w:p>
          <w:p w14:paraId="23923D0F">
            <w:pPr>
              <w:keepLines/>
              <w:wordWrap w:val="0"/>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6、除采购文件规定必须提供以外，投标人认为需要提供的其他证明材料。（投标人根据“第二章 采购需求”及“第四章 评标方法及评标标准”提供有关证明材料）。</w:t>
            </w:r>
          </w:p>
          <w:p w14:paraId="21C579AA">
            <w:pPr>
              <w:keepLines/>
              <w:wordWrap w:val="0"/>
              <w:snapToGrid w:val="0"/>
              <w:spacing w:line="360" w:lineRule="auto"/>
              <w:ind w:firstLine="482"/>
              <w:jc w:val="left"/>
              <w:rPr>
                <w:rFonts w:hint="eastAsia" w:ascii="宋体" w:hAnsi="宋体" w:cs="宋体"/>
                <w:b/>
                <w:bCs/>
                <w:color w:val="auto"/>
                <w:sz w:val="24"/>
                <w:highlight w:val="none"/>
              </w:rPr>
            </w:pPr>
            <w:r>
              <w:rPr>
                <w:rFonts w:hint="eastAsia" w:ascii="宋体" w:hAnsi="宋体" w:cs="宋体"/>
                <w:b/>
                <w:bCs/>
                <w:color w:val="auto"/>
                <w:sz w:val="24"/>
                <w:highlight w:val="none"/>
              </w:rPr>
              <w:t>注： 1.法定代表人授权委托书必须由法定代表人及委托代理人签字，并加盖投标人公章，否则作无效投标处理。</w:t>
            </w:r>
          </w:p>
          <w:p w14:paraId="17621885">
            <w:pPr>
              <w:keepLines/>
              <w:wordWrap w:val="0"/>
              <w:snapToGrid w:val="0"/>
              <w:spacing w:line="360" w:lineRule="auto"/>
              <w:ind w:firstLine="482" w:firstLineChars="200"/>
              <w:jc w:val="left"/>
              <w:rPr>
                <w:rFonts w:hint="eastAsia" w:ascii="宋体" w:hAnsi="宋体" w:cs="宋体"/>
                <w:b/>
                <w:color w:val="auto"/>
                <w:sz w:val="24"/>
                <w:highlight w:val="none"/>
              </w:rPr>
            </w:pPr>
            <w:r>
              <w:rPr>
                <w:rFonts w:hint="eastAsia" w:ascii="宋体" w:hAnsi="宋体" w:cs="宋体"/>
                <w:b/>
                <w:bCs/>
                <w:color w:val="auto"/>
                <w:sz w:val="24"/>
                <w:highlight w:val="none"/>
              </w:rPr>
              <w:t>2.</w:t>
            </w:r>
            <w:r>
              <w:rPr>
                <w:rFonts w:hint="eastAsia" w:ascii="宋体" w:hAnsi="宋体" w:cs="宋体"/>
                <w:color w:val="auto"/>
                <w:sz w:val="24"/>
                <w:highlight w:val="none"/>
              </w:rPr>
              <w:t xml:space="preserve"> </w:t>
            </w:r>
            <w:r>
              <w:rPr>
                <w:rFonts w:hint="eastAsia" w:ascii="宋体" w:hAnsi="宋体" w:cs="宋体"/>
                <w:b/>
                <w:bCs/>
                <w:color w:val="auto"/>
                <w:sz w:val="24"/>
                <w:highlight w:val="none"/>
              </w:rPr>
              <w:t>以上标明“必须提供”的材料</w:t>
            </w:r>
            <w:r>
              <w:rPr>
                <w:rFonts w:hint="eastAsia" w:ascii="宋体" w:hAnsi="宋体" w:cs="宋体"/>
                <w:b/>
                <w:color w:val="auto"/>
                <w:sz w:val="24"/>
                <w:highlight w:val="none"/>
              </w:rPr>
              <w:t>属于复印件的扫描件的</w:t>
            </w:r>
            <w:r>
              <w:rPr>
                <w:rFonts w:hint="eastAsia" w:ascii="宋体" w:hAnsi="宋体" w:cs="宋体"/>
                <w:b/>
                <w:bCs/>
                <w:color w:val="auto"/>
                <w:sz w:val="24"/>
                <w:highlight w:val="none"/>
              </w:rPr>
              <w:t>，必须加盖投标人电子公章，否则</w:t>
            </w:r>
            <w:r>
              <w:rPr>
                <w:rFonts w:hint="eastAsia" w:ascii="宋体" w:hAnsi="宋体" w:cs="宋体"/>
                <w:b/>
                <w:color w:val="auto"/>
                <w:sz w:val="24"/>
                <w:highlight w:val="none"/>
              </w:rPr>
              <w:t>作无效投标处理</w:t>
            </w:r>
            <w:r>
              <w:rPr>
                <w:rFonts w:hint="eastAsia" w:ascii="宋体" w:hAnsi="宋体" w:cs="宋体"/>
                <w:b/>
                <w:bCs/>
                <w:color w:val="auto"/>
                <w:sz w:val="24"/>
                <w:highlight w:val="none"/>
              </w:rPr>
              <w:t>。</w:t>
            </w:r>
          </w:p>
        </w:tc>
      </w:tr>
      <w:tr w14:paraId="3B5C57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vMerge w:val="restart"/>
            <w:tcBorders>
              <w:top w:val="nil"/>
              <w:left w:val="single" w:color="auto" w:sz="4" w:space="0"/>
              <w:bottom w:val="single" w:color="auto" w:sz="4" w:space="0"/>
              <w:right w:val="single" w:color="auto" w:sz="4" w:space="0"/>
            </w:tcBorders>
            <w:vAlign w:val="center"/>
          </w:tcPr>
          <w:p w14:paraId="6A8B24F7">
            <w:pPr>
              <w:keepLines/>
              <w:wordWrap w:val="0"/>
              <w:spacing w:line="360" w:lineRule="auto"/>
              <w:rPr>
                <w:rFonts w:hint="eastAsia" w:ascii="宋体" w:hAnsi="宋体" w:cs="宋体"/>
                <w:color w:val="auto"/>
                <w:sz w:val="24"/>
                <w:highlight w:val="none"/>
              </w:rPr>
            </w:pPr>
          </w:p>
        </w:tc>
        <w:tc>
          <w:tcPr>
            <w:tcW w:w="2630" w:type="dxa"/>
            <w:tcBorders>
              <w:top w:val="single" w:color="auto" w:sz="4" w:space="0"/>
              <w:left w:val="single" w:color="auto" w:sz="4" w:space="0"/>
              <w:bottom w:val="single" w:color="auto" w:sz="4" w:space="0"/>
              <w:right w:val="single" w:color="auto" w:sz="4" w:space="0"/>
            </w:tcBorders>
            <w:vAlign w:val="center"/>
          </w:tcPr>
          <w:p w14:paraId="502F73F1">
            <w:pPr>
              <w:keepLines/>
              <w:wordWrap w:val="0"/>
              <w:snapToGrid w:val="0"/>
              <w:spacing w:line="360" w:lineRule="auto"/>
              <w:jc w:val="left"/>
              <w:rPr>
                <w:rFonts w:hint="eastAsia" w:ascii="宋体" w:hAnsi="宋体" w:cs="宋体"/>
                <w:color w:val="auto"/>
                <w:sz w:val="24"/>
                <w:highlight w:val="none"/>
              </w:rPr>
            </w:pPr>
            <w:bookmarkStart w:id="18" w:name="_13.4"/>
            <w:bookmarkEnd w:id="18"/>
            <w:r>
              <w:rPr>
                <w:rFonts w:hint="eastAsia" w:ascii="宋体" w:hAnsi="宋体" w:cs="宋体"/>
                <w:color w:val="auto"/>
                <w:sz w:val="24"/>
                <w:highlight w:val="none"/>
              </w:rPr>
              <w:t>技术文件组成</w:t>
            </w:r>
          </w:p>
          <w:p w14:paraId="0AF5D620">
            <w:pPr>
              <w:keepLines/>
              <w:wordWrap w:val="0"/>
              <w:spacing w:line="360" w:lineRule="auto"/>
              <w:rPr>
                <w:rFonts w:hint="eastAsia" w:ascii="宋体" w:hAnsi="宋体" w:cs="宋体"/>
                <w:color w:val="auto"/>
                <w:sz w:val="24"/>
                <w:highlight w:val="none"/>
              </w:rPr>
            </w:pPr>
          </w:p>
        </w:tc>
        <w:tc>
          <w:tcPr>
            <w:tcW w:w="6935" w:type="dxa"/>
            <w:tcBorders>
              <w:top w:val="single" w:color="auto" w:sz="4" w:space="0"/>
              <w:left w:val="single" w:color="auto" w:sz="4" w:space="0"/>
              <w:bottom w:val="single" w:color="auto" w:sz="4" w:space="0"/>
              <w:right w:val="single" w:color="auto" w:sz="4" w:space="0"/>
            </w:tcBorders>
            <w:vAlign w:val="center"/>
          </w:tcPr>
          <w:p w14:paraId="325635EA">
            <w:pPr>
              <w:keepLines/>
              <w:wordWrap w:val="0"/>
              <w:snapToGrid w:val="0"/>
              <w:spacing w:line="360" w:lineRule="auto"/>
              <w:jc w:val="left"/>
              <w:rPr>
                <w:rFonts w:hint="eastAsia" w:ascii="宋体" w:hAnsi="宋体" w:cs="宋体"/>
                <w:b/>
                <w:bCs/>
                <w:color w:val="auto"/>
                <w:sz w:val="24"/>
                <w:highlight w:val="none"/>
              </w:rPr>
            </w:pPr>
            <w:r>
              <w:rPr>
                <w:rFonts w:hint="eastAsia" w:ascii="宋体" w:hAnsi="宋体" w:cs="宋体"/>
                <w:color w:val="auto"/>
                <w:sz w:val="24"/>
                <w:highlight w:val="none"/>
              </w:rPr>
              <w:t>1、服务需求、技术需求偏离表；</w:t>
            </w:r>
            <w:r>
              <w:rPr>
                <w:rFonts w:hint="eastAsia" w:ascii="宋体" w:hAnsi="宋体" w:cs="宋体"/>
                <w:b/>
                <w:bCs/>
                <w:color w:val="auto"/>
                <w:sz w:val="24"/>
                <w:highlight w:val="none"/>
              </w:rPr>
              <w:t>（必须提供，否则作无效投标处理）</w:t>
            </w:r>
          </w:p>
          <w:p w14:paraId="3C5EAF6F">
            <w:pPr>
              <w:keepLines/>
              <w:wordWrap w:val="0"/>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2、组织服务方案；（如有请提供）</w:t>
            </w:r>
          </w:p>
          <w:p w14:paraId="0CD122E3">
            <w:pPr>
              <w:keepLines/>
              <w:wordWrap w:val="0"/>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3、售后服务方案；</w:t>
            </w:r>
            <w:r>
              <w:rPr>
                <w:rFonts w:hint="eastAsia" w:ascii="宋体" w:hAnsi="宋体" w:cs="宋体"/>
                <w:b/>
                <w:bCs/>
                <w:color w:val="auto"/>
                <w:sz w:val="24"/>
                <w:highlight w:val="none"/>
              </w:rPr>
              <w:t>（必须提供，否则作无效投标处理）</w:t>
            </w:r>
          </w:p>
          <w:p w14:paraId="4E9CAC87">
            <w:pPr>
              <w:keepLines/>
              <w:wordWrap w:val="0"/>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4、项目实施人员一览表；（如有请提供）</w:t>
            </w:r>
          </w:p>
          <w:p w14:paraId="096C2D9F">
            <w:pPr>
              <w:keepLines/>
              <w:wordWrap w:val="0"/>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5、投标人对本项目的合理化建议和改进措施；（如有请提供）</w:t>
            </w:r>
          </w:p>
          <w:p w14:paraId="75CFFD79">
            <w:pPr>
              <w:keepLines/>
              <w:wordWrap w:val="0"/>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6、除招标文件规定必须提供以外，投标人需要说明的其他文件和说明。</w:t>
            </w:r>
          </w:p>
          <w:p w14:paraId="144D0D4C">
            <w:pPr>
              <w:keepLines/>
              <w:wordWrap w:val="0"/>
              <w:snapToGrid w:val="0"/>
              <w:spacing w:line="360" w:lineRule="auto"/>
              <w:jc w:val="left"/>
              <w:rPr>
                <w:rFonts w:hint="eastAsia" w:ascii="宋体" w:hAnsi="宋体" w:cs="宋体"/>
                <w:b/>
                <w:bCs/>
                <w:color w:val="auto"/>
                <w:sz w:val="24"/>
                <w:highlight w:val="none"/>
              </w:rPr>
            </w:pPr>
            <w:r>
              <w:rPr>
                <w:rFonts w:hint="eastAsia" w:ascii="宋体" w:hAnsi="宋体" w:cs="宋体"/>
                <w:color w:val="auto"/>
                <w:sz w:val="24"/>
                <w:highlight w:val="none"/>
              </w:rPr>
              <w:t>注：以上标明“必须提供”的材料属于复印件的扫描件的，必须加盖投标人电子公章，否则作无效投标处理。</w:t>
            </w:r>
          </w:p>
        </w:tc>
      </w:tr>
      <w:tr w14:paraId="6F7035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vMerge w:val="continue"/>
            <w:tcBorders>
              <w:top w:val="nil"/>
              <w:left w:val="single" w:color="auto" w:sz="4" w:space="0"/>
              <w:bottom w:val="single" w:color="auto" w:sz="4" w:space="0"/>
              <w:right w:val="single" w:color="auto" w:sz="4" w:space="0"/>
            </w:tcBorders>
            <w:vAlign w:val="center"/>
          </w:tcPr>
          <w:p w14:paraId="12971D73">
            <w:pPr>
              <w:keepLines/>
              <w:widowControl/>
              <w:wordWrap w:val="0"/>
              <w:spacing w:line="360" w:lineRule="auto"/>
              <w:jc w:val="left"/>
              <w:rPr>
                <w:rFonts w:hint="eastAsia" w:ascii="宋体" w:hAnsi="宋体" w:cs="宋体"/>
                <w:color w:val="auto"/>
                <w:sz w:val="24"/>
                <w:highlight w:val="none"/>
              </w:rPr>
            </w:pPr>
          </w:p>
        </w:tc>
        <w:tc>
          <w:tcPr>
            <w:tcW w:w="2630" w:type="dxa"/>
            <w:tcBorders>
              <w:top w:val="single" w:color="auto" w:sz="4" w:space="0"/>
              <w:left w:val="single" w:color="auto" w:sz="4" w:space="0"/>
              <w:bottom w:val="single" w:color="auto" w:sz="4" w:space="0"/>
              <w:right w:val="single" w:color="auto" w:sz="4" w:space="0"/>
            </w:tcBorders>
            <w:vAlign w:val="center"/>
          </w:tcPr>
          <w:p w14:paraId="0430C8C4">
            <w:pPr>
              <w:keepLines/>
              <w:wordWrap w:val="0"/>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报价文件组成</w:t>
            </w:r>
          </w:p>
        </w:tc>
        <w:tc>
          <w:tcPr>
            <w:tcW w:w="6935" w:type="dxa"/>
            <w:tcBorders>
              <w:top w:val="single" w:color="auto" w:sz="4" w:space="0"/>
              <w:left w:val="single" w:color="auto" w:sz="4" w:space="0"/>
              <w:bottom w:val="single" w:color="auto" w:sz="4" w:space="0"/>
              <w:right w:val="single" w:color="auto" w:sz="4" w:space="0"/>
            </w:tcBorders>
            <w:vAlign w:val="center"/>
          </w:tcPr>
          <w:p w14:paraId="0E9E6340">
            <w:pPr>
              <w:keepLines/>
              <w:tabs>
                <w:tab w:val="left" w:pos="459"/>
              </w:tabs>
              <w:wordWrap w:val="0"/>
              <w:snapToGrid w:val="0"/>
              <w:spacing w:line="360" w:lineRule="auto"/>
              <w:jc w:val="left"/>
              <w:rPr>
                <w:color w:val="auto"/>
                <w:sz w:val="24"/>
                <w:highlight w:val="none"/>
              </w:rPr>
            </w:pPr>
            <w:r>
              <w:rPr>
                <w:rFonts w:hint="eastAsia"/>
                <w:color w:val="auto"/>
                <w:sz w:val="24"/>
                <w:highlight w:val="none"/>
              </w:rPr>
              <w:t>1、投标函；（</w:t>
            </w:r>
            <w:r>
              <w:rPr>
                <w:rFonts w:hint="eastAsia" w:ascii="宋体" w:hAnsi="宋体" w:cs="宋体"/>
                <w:b/>
                <w:color w:val="auto"/>
                <w:sz w:val="24"/>
                <w:highlight w:val="none"/>
              </w:rPr>
              <w:t>必须提供，否则作无效投标处理</w:t>
            </w:r>
            <w:r>
              <w:rPr>
                <w:rFonts w:hint="eastAsia"/>
                <w:color w:val="auto"/>
                <w:sz w:val="24"/>
                <w:highlight w:val="none"/>
              </w:rPr>
              <w:t>）</w:t>
            </w:r>
          </w:p>
          <w:p w14:paraId="072E01B0">
            <w:pPr>
              <w:keepLines/>
              <w:tabs>
                <w:tab w:val="left" w:pos="459"/>
              </w:tabs>
              <w:wordWrap w:val="0"/>
              <w:snapToGrid w:val="0"/>
              <w:spacing w:line="360" w:lineRule="auto"/>
              <w:jc w:val="left"/>
              <w:rPr>
                <w:color w:val="auto"/>
                <w:sz w:val="24"/>
                <w:highlight w:val="none"/>
              </w:rPr>
            </w:pPr>
            <w:r>
              <w:rPr>
                <w:rFonts w:hint="eastAsia"/>
                <w:color w:val="auto"/>
                <w:sz w:val="24"/>
                <w:highlight w:val="none"/>
              </w:rPr>
              <w:t>2、开标一览表；（</w:t>
            </w:r>
            <w:r>
              <w:rPr>
                <w:rFonts w:hint="eastAsia" w:ascii="宋体" w:hAnsi="宋体" w:cs="宋体"/>
                <w:b/>
                <w:color w:val="auto"/>
                <w:sz w:val="24"/>
                <w:highlight w:val="none"/>
              </w:rPr>
              <w:t>必须提供，否则作无效投标处理</w:t>
            </w:r>
            <w:r>
              <w:rPr>
                <w:rFonts w:hint="eastAsia"/>
                <w:color w:val="auto"/>
                <w:sz w:val="24"/>
                <w:highlight w:val="none"/>
              </w:rPr>
              <w:t>）</w:t>
            </w:r>
          </w:p>
        </w:tc>
      </w:tr>
      <w:tr w14:paraId="6B6F81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075F0100">
            <w:pPr>
              <w:keepLines/>
              <w:wordWrap w:val="0"/>
              <w:spacing w:line="360" w:lineRule="auto"/>
              <w:rPr>
                <w:rFonts w:hint="eastAsia" w:ascii="宋体" w:hAnsi="宋体" w:cs="宋体"/>
                <w:color w:val="auto"/>
                <w:sz w:val="24"/>
                <w:highlight w:val="none"/>
              </w:rPr>
            </w:pPr>
            <w:r>
              <w:rPr>
                <w:rFonts w:hint="eastAsia" w:ascii="宋体" w:hAnsi="宋体" w:cs="宋体"/>
                <w:color w:val="auto"/>
                <w:sz w:val="24"/>
                <w:highlight w:val="none"/>
              </w:rPr>
              <w:t>16.2</w:t>
            </w:r>
          </w:p>
        </w:tc>
        <w:tc>
          <w:tcPr>
            <w:tcW w:w="2630" w:type="dxa"/>
            <w:tcBorders>
              <w:top w:val="single" w:color="auto" w:sz="4" w:space="0"/>
              <w:left w:val="single" w:color="auto" w:sz="4" w:space="0"/>
              <w:bottom w:val="single" w:color="auto" w:sz="4" w:space="0"/>
              <w:right w:val="single" w:color="auto" w:sz="4" w:space="0"/>
            </w:tcBorders>
            <w:vAlign w:val="center"/>
          </w:tcPr>
          <w:p w14:paraId="3C8EF51B">
            <w:pPr>
              <w:keepLines/>
              <w:wordWrap w:val="0"/>
              <w:spacing w:line="360" w:lineRule="auto"/>
              <w:rPr>
                <w:rFonts w:hint="eastAsia" w:ascii="宋体" w:hAnsi="宋体" w:cs="宋体"/>
                <w:color w:val="auto"/>
                <w:sz w:val="24"/>
                <w:highlight w:val="none"/>
              </w:rPr>
            </w:pPr>
            <w:bookmarkStart w:id="19" w:name="_16.2"/>
            <w:bookmarkEnd w:id="19"/>
            <w:r>
              <w:rPr>
                <w:rFonts w:hint="eastAsia" w:ascii="宋体" w:hAnsi="宋体" w:cs="宋体"/>
                <w:color w:val="auto"/>
                <w:sz w:val="24"/>
                <w:highlight w:val="none"/>
              </w:rPr>
              <w:t>投标报价要求</w:t>
            </w:r>
          </w:p>
        </w:tc>
        <w:tc>
          <w:tcPr>
            <w:tcW w:w="6935" w:type="dxa"/>
            <w:tcBorders>
              <w:top w:val="single" w:color="auto" w:sz="4" w:space="0"/>
              <w:left w:val="single" w:color="auto" w:sz="4" w:space="0"/>
              <w:bottom w:val="single" w:color="auto" w:sz="4" w:space="0"/>
              <w:right w:val="single" w:color="auto" w:sz="4" w:space="0"/>
            </w:tcBorders>
            <w:vAlign w:val="center"/>
          </w:tcPr>
          <w:p w14:paraId="4C2ED181">
            <w:pPr>
              <w:keepLines/>
              <w:wordWrap w:val="0"/>
              <w:snapToGrid w:val="0"/>
              <w:spacing w:line="360" w:lineRule="auto"/>
              <w:rPr>
                <w:rFonts w:hint="eastAsia" w:ascii="宋体" w:hAnsi="宋体" w:cs="宋体"/>
                <w:b/>
                <w:color w:val="auto"/>
                <w:sz w:val="24"/>
                <w:highlight w:val="none"/>
              </w:rPr>
            </w:pPr>
            <w:r>
              <w:rPr>
                <w:rFonts w:hint="eastAsia" w:ascii="宋体" w:hAnsi="宋体" w:cs="宋体"/>
                <w:color w:val="auto"/>
                <w:sz w:val="24"/>
                <w:highlight w:val="none"/>
              </w:rPr>
              <w:t>投标报价是履行合同的最终价格，必须包含满足本次投标全部采购需求所应提供的服务，以及伴随的货物和工程（如有）的价格；包含投标服务、货物、工程的成本、运输（含保险）、安装（如有）、调试、检验、技术服务、培训、税费等所有费用。（采购需求另有约定的，从其约定）</w:t>
            </w:r>
          </w:p>
        </w:tc>
      </w:tr>
      <w:tr w14:paraId="492A90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06B33A5A">
            <w:pPr>
              <w:keepLines/>
              <w:wordWrap w:val="0"/>
              <w:spacing w:line="360" w:lineRule="auto"/>
              <w:rPr>
                <w:rFonts w:hint="eastAsia" w:ascii="宋体" w:hAnsi="宋体" w:cs="宋体"/>
                <w:color w:val="auto"/>
                <w:sz w:val="24"/>
                <w:highlight w:val="none"/>
              </w:rPr>
            </w:pPr>
            <w:r>
              <w:rPr>
                <w:rFonts w:hint="eastAsia" w:ascii="宋体" w:hAnsi="宋体" w:cs="宋体"/>
                <w:color w:val="auto"/>
                <w:sz w:val="24"/>
                <w:highlight w:val="none"/>
              </w:rPr>
              <w:t>17.2</w:t>
            </w:r>
          </w:p>
        </w:tc>
        <w:tc>
          <w:tcPr>
            <w:tcW w:w="2630" w:type="dxa"/>
            <w:tcBorders>
              <w:top w:val="single" w:color="auto" w:sz="4" w:space="0"/>
              <w:left w:val="single" w:color="auto" w:sz="4" w:space="0"/>
              <w:bottom w:val="single" w:color="auto" w:sz="4" w:space="0"/>
              <w:right w:val="single" w:color="auto" w:sz="4" w:space="0"/>
            </w:tcBorders>
            <w:vAlign w:val="center"/>
          </w:tcPr>
          <w:p w14:paraId="1723A496">
            <w:pPr>
              <w:keepLines/>
              <w:wordWrap w:val="0"/>
              <w:spacing w:line="360" w:lineRule="auto"/>
              <w:rPr>
                <w:rFonts w:hint="eastAsia" w:ascii="宋体" w:hAnsi="宋体" w:cs="宋体"/>
                <w:color w:val="auto"/>
                <w:sz w:val="24"/>
                <w:highlight w:val="none"/>
              </w:rPr>
            </w:pPr>
            <w:bookmarkStart w:id="20" w:name="_17.1"/>
            <w:bookmarkEnd w:id="20"/>
            <w:r>
              <w:rPr>
                <w:rFonts w:hint="eastAsia" w:ascii="宋体" w:hAnsi="宋体" w:cs="宋体"/>
                <w:color w:val="auto"/>
                <w:sz w:val="24"/>
                <w:highlight w:val="none"/>
              </w:rPr>
              <w:t>投标有效期</w:t>
            </w:r>
          </w:p>
        </w:tc>
        <w:tc>
          <w:tcPr>
            <w:tcW w:w="6935" w:type="dxa"/>
            <w:tcBorders>
              <w:top w:val="single" w:color="auto" w:sz="4" w:space="0"/>
              <w:left w:val="single" w:color="auto" w:sz="4" w:space="0"/>
              <w:bottom w:val="single" w:color="auto" w:sz="4" w:space="0"/>
              <w:right w:val="single" w:color="auto" w:sz="4" w:space="0"/>
            </w:tcBorders>
            <w:vAlign w:val="center"/>
          </w:tcPr>
          <w:p w14:paraId="54BC17FB">
            <w:pPr>
              <w:keepLines/>
              <w:wordWrap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自投标截止之日起</w:t>
            </w:r>
            <w:r>
              <w:rPr>
                <w:rFonts w:hint="eastAsia" w:ascii="宋体" w:hAnsi="宋体" w:cs="宋体"/>
                <w:color w:val="auto"/>
                <w:sz w:val="24"/>
                <w:highlight w:val="none"/>
                <w:u w:val="single"/>
              </w:rPr>
              <w:t xml:space="preserve"> </w:t>
            </w:r>
            <w:bookmarkStart w:id="21" w:name="PO_3000001866_PM046"/>
            <w:r>
              <w:rPr>
                <w:rFonts w:hint="eastAsia" w:ascii="宋体" w:hAnsi="宋体" w:cs="宋体"/>
                <w:color w:val="auto"/>
                <w:sz w:val="24"/>
                <w:highlight w:val="none"/>
                <w:u w:val="single"/>
              </w:rPr>
              <w:t>60日历天</w:t>
            </w:r>
            <w:bookmarkEnd w:id="21"/>
            <w:r>
              <w:rPr>
                <w:rFonts w:hint="eastAsia" w:ascii="宋体" w:hAnsi="宋体" w:cs="宋体"/>
                <w:color w:val="auto"/>
                <w:sz w:val="24"/>
                <w:highlight w:val="none"/>
              </w:rPr>
              <w:t>日。</w:t>
            </w:r>
          </w:p>
        </w:tc>
      </w:tr>
      <w:tr w14:paraId="603F93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47A60B43">
            <w:pPr>
              <w:keepLines/>
              <w:wordWrap w:val="0"/>
              <w:spacing w:line="360" w:lineRule="auto"/>
              <w:rPr>
                <w:rFonts w:hint="eastAsia" w:ascii="宋体" w:hAnsi="宋体" w:cs="宋体"/>
                <w:color w:val="auto"/>
                <w:sz w:val="24"/>
                <w:highlight w:val="none"/>
              </w:rPr>
            </w:pPr>
            <w:r>
              <w:rPr>
                <w:rFonts w:hint="eastAsia" w:ascii="宋体" w:hAnsi="宋体" w:cs="宋体"/>
                <w:color w:val="auto"/>
                <w:sz w:val="24"/>
                <w:highlight w:val="none"/>
              </w:rPr>
              <w:t>18</w:t>
            </w:r>
          </w:p>
        </w:tc>
        <w:tc>
          <w:tcPr>
            <w:tcW w:w="2630" w:type="dxa"/>
            <w:tcBorders>
              <w:top w:val="single" w:color="auto" w:sz="4" w:space="0"/>
              <w:left w:val="single" w:color="auto" w:sz="4" w:space="0"/>
              <w:bottom w:val="single" w:color="auto" w:sz="4" w:space="0"/>
              <w:right w:val="single" w:color="auto" w:sz="4" w:space="0"/>
            </w:tcBorders>
            <w:vAlign w:val="center"/>
          </w:tcPr>
          <w:p w14:paraId="4AF1B7C7">
            <w:pPr>
              <w:keepLines/>
              <w:wordWrap w:val="0"/>
              <w:spacing w:line="360" w:lineRule="auto"/>
              <w:rPr>
                <w:rFonts w:hint="eastAsia" w:ascii="宋体" w:hAnsi="宋体" w:cs="宋体"/>
                <w:color w:val="auto"/>
                <w:sz w:val="24"/>
                <w:highlight w:val="none"/>
              </w:rPr>
            </w:pPr>
            <w:bookmarkStart w:id="22" w:name="_18"/>
            <w:bookmarkEnd w:id="22"/>
            <w:r>
              <w:rPr>
                <w:rFonts w:hint="eastAsia" w:ascii="宋体" w:hAnsi="宋体" w:cs="宋体"/>
                <w:color w:val="auto"/>
                <w:sz w:val="24"/>
                <w:highlight w:val="none"/>
              </w:rPr>
              <w:t>投标保证金金额</w:t>
            </w:r>
          </w:p>
        </w:tc>
        <w:tc>
          <w:tcPr>
            <w:tcW w:w="6935" w:type="dxa"/>
            <w:tcBorders>
              <w:top w:val="single" w:color="auto" w:sz="4" w:space="0"/>
              <w:left w:val="single" w:color="auto" w:sz="4" w:space="0"/>
              <w:bottom w:val="single" w:color="auto" w:sz="4" w:space="0"/>
              <w:right w:val="single" w:color="auto" w:sz="4" w:space="0"/>
            </w:tcBorders>
            <w:vAlign w:val="center"/>
          </w:tcPr>
          <w:p w14:paraId="5E8A8D1D">
            <w:pPr>
              <w:keepLines/>
              <w:wordWrap w:val="0"/>
              <w:autoSpaceDE w:val="0"/>
              <w:autoSpaceDN w:val="0"/>
              <w:snapToGrid w:val="0"/>
              <w:spacing w:line="360" w:lineRule="auto"/>
              <w:textAlignment w:val="bottom"/>
              <w:rPr>
                <w:rFonts w:hint="eastAsia" w:ascii="宋体" w:hAnsi="宋体" w:cs="宋体"/>
                <w:color w:val="auto"/>
                <w:sz w:val="24"/>
                <w:highlight w:val="none"/>
              </w:rPr>
            </w:pPr>
            <w:r>
              <w:rPr>
                <w:rFonts w:hint="eastAsia" w:ascii="宋体" w:hAnsi="宋体" w:cs="宋体"/>
                <w:color w:val="auto"/>
                <w:sz w:val="24"/>
                <w:highlight w:val="none"/>
              </w:rPr>
              <w:t>本项目不收取投标保证金。</w:t>
            </w:r>
          </w:p>
        </w:tc>
      </w:tr>
      <w:tr w14:paraId="5DFA2C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055DDB18">
            <w:pPr>
              <w:keepLines/>
              <w:wordWrap w:val="0"/>
              <w:spacing w:line="360" w:lineRule="auto"/>
              <w:rPr>
                <w:rFonts w:hint="eastAsia" w:ascii="宋体" w:hAnsi="宋体" w:cs="宋体"/>
                <w:color w:val="auto"/>
                <w:sz w:val="24"/>
                <w:highlight w:val="none"/>
              </w:rPr>
            </w:pPr>
            <w:r>
              <w:rPr>
                <w:rFonts w:hint="eastAsia" w:ascii="宋体" w:hAnsi="宋体" w:cs="宋体"/>
                <w:color w:val="auto"/>
                <w:sz w:val="24"/>
                <w:highlight w:val="none"/>
              </w:rPr>
              <w:t>19.1</w:t>
            </w:r>
          </w:p>
        </w:tc>
        <w:tc>
          <w:tcPr>
            <w:tcW w:w="2630" w:type="dxa"/>
            <w:tcBorders>
              <w:top w:val="single" w:color="auto" w:sz="4" w:space="0"/>
              <w:left w:val="single" w:color="auto" w:sz="4" w:space="0"/>
              <w:bottom w:val="single" w:color="auto" w:sz="4" w:space="0"/>
              <w:right w:val="single" w:color="auto" w:sz="4" w:space="0"/>
            </w:tcBorders>
            <w:vAlign w:val="center"/>
          </w:tcPr>
          <w:p w14:paraId="6E5DEC7B">
            <w:pPr>
              <w:keepLines/>
              <w:wordWrap w:val="0"/>
              <w:spacing w:line="360" w:lineRule="auto"/>
              <w:rPr>
                <w:rFonts w:hint="eastAsia" w:ascii="宋体" w:hAnsi="宋体" w:cs="宋体"/>
                <w:color w:val="auto"/>
                <w:sz w:val="24"/>
                <w:highlight w:val="none"/>
              </w:rPr>
            </w:pPr>
            <w:r>
              <w:rPr>
                <w:rFonts w:hint="eastAsia" w:ascii="宋体" w:hAnsi="宋体" w:cs="宋体"/>
                <w:color w:val="auto"/>
                <w:sz w:val="24"/>
                <w:highlight w:val="none"/>
              </w:rPr>
              <w:t>投标文件编制要求</w:t>
            </w:r>
          </w:p>
        </w:tc>
        <w:tc>
          <w:tcPr>
            <w:tcW w:w="6935" w:type="dxa"/>
            <w:tcBorders>
              <w:top w:val="single" w:color="auto" w:sz="4" w:space="0"/>
              <w:left w:val="single" w:color="auto" w:sz="4" w:space="0"/>
              <w:bottom w:val="single" w:color="auto" w:sz="4" w:space="0"/>
              <w:right w:val="single" w:color="auto" w:sz="4" w:space="0"/>
            </w:tcBorders>
            <w:vAlign w:val="center"/>
          </w:tcPr>
          <w:p w14:paraId="12C62F1A">
            <w:pPr>
              <w:keepLines/>
              <w:wordWrap w:val="0"/>
              <w:spacing w:line="360" w:lineRule="auto"/>
              <w:rPr>
                <w:rFonts w:hint="eastAsia" w:ascii="宋体" w:hAnsi="宋体" w:cs="宋体"/>
                <w:b/>
                <w:color w:val="auto"/>
                <w:sz w:val="24"/>
                <w:highlight w:val="none"/>
                <w:u w:val="single"/>
              </w:rPr>
            </w:pPr>
            <w:r>
              <w:rPr>
                <w:rFonts w:hint="eastAsia" w:ascii="宋体" w:hAnsi="宋体" w:cs="宋体"/>
                <w:color w:val="auto"/>
                <w:sz w:val="24"/>
                <w:highlight w:val="none"/>
              </w:rPr>
              <w:t>投标文件应按报价文件、资格证明文件、商务文件、技术文件分别编制，报价文件、资格证明文件分别生产电子文件，商务文件和技术文件按顺序合并生成电子文件。</w:t>
            </w:r>
            <w:r>
              <w:rPr>
                <w:rFonts w:hint="eastAsia" w:ascii="宋体" w:hAnsi="宋体" w:cs="宋体"/>
                <w:b/>
                <w:color w:val="auto"/>
                <w:sz w:val="24"/>
                <w:highlight w:val="none"/>
                <w:u w:val="single"/>
              </w:rPr>
              <w:t>电子版投标文件制作方式见招标公告附件。</w:t>
            </w:r>
          </w:p>
        </w:tc>
      </w:tr>
      <w:tr w14:paraId="72258E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6F5B0017">
            <w:pPr>
              <w:keepLines/>
              <w:wordWrap w:val="0"/>
              <w:spacing w:line="360" w:lineRule="auto"/>
              <w:rPr>
                <w:rFonts w:hint="eastAsia" w:ascii="宋体" w:hAnsi="宋体" w:cs="宋体"/>
                <w:color w:val="auto"/>
                <w:sz w:val="24"/>
                <w:highlight w:val="none"/>
              </w:rPr>
            </w:pPr>
            <w:r>
              <w:rPr>
                <w:rFonts w:hint="eastAsia" w:ascii="宋体" w:hAnsi="宋体" w:cs="宋体"/>
                <w:color w:val="auto"/>
                <w:sz w:val="24"/>
                <w:highlight w:val="none"/>
              </w:rPr>
              <w:t>20</w:t>
            </w:r>
          </w:p>
        </w:tc>
        <w:tc>
          <w:tcPr>
            <w:tcW w:w="2630" w:type="dxa"/>
            <w:tcBorders>
              <w:top w:val="single" w:color="auto" w:sz="4" w:space="0"/>
              <w:left w:val="single" w:color="auto" w:sz="4" w:space="0"/>
              <w:bottom w:val="single" w:color="auto" w:sz="4" w:space="0"/>
              <w:right w:val="single" w:color="auto" w:sz="4" w:space="0"/>
            </w:tcBorders>
            <w:vAlign w:val="center"/>
          </w:tcPr>
          <w:p w14:paraId="1CC31FAC">
            <w:pPr>
              <w:keepLines/>
              <w:wordWrap w:val="0"/>
              <w:spacing w:line="360" w:lineRule="auto"/>
              <w:rPr>
                <w:rFonts w:hint="eastAsia" w:ascii="宋体" w:hAnsi="宋体" w:cs="宋体"/>
                <w:color w:val="auto"/>
                <w:sz w:val="24"/>
                <w:highlight w:val="none"/>
              </w:rPr>
            </w:pPr>
            <w:r>
              <w:rPr>
                <w:rFonts w:hint="eastAsia" w:ascii="宋体" w:hAnsi="宋体" w:cs="宋体"/>
                <w:color w:val="auto"/>
                <w:sz w:val="24"/>
                <w:highlight w:val="none"/>
              </w:rPr>
              <w:t>备份投标文件</w:t>
            </w:r>
          </w:p>
        </w:tc>
        <w:tc>
          <w:tcPr>
            <w:tcW w:w="6935" w:type="dxa"/>
            <w:tcBorders>
              <w:top w:val="single" w:color="auto" w:sz="4" w:space="0"/>
              <w:left w:val="single" w:color="auto" w:sz="4" w:space="0"/>
              <w:bottom w:val="single" w:color="auto" w:sz="4" w:space="0"/>
              <w:right w:val="single" w:color="auto" w:sz="4" w:space="0"/>
            </w:tcBorders>
            <w:vAlign w:val="center"/>
          </w:tcPr>
          <w:p w14:paraId="2BC917FF">
            <w:pPr>
              <w:keepLines/>
              <w:wordWrap w:val="0"/>
              <w:autoSpaceDE w:val="0"/>
              <w:autoSpaceDN w:val="0"/>
              <w:snapToGrid w:val="0"/>
              <w:spacing w:line="360" w:lineRule="auto"/>
              <w:textAlignment w:val="bottom"/>
              <w:rPr>
                <w:rFonts w:hint="eastAsia" w:ascii="宋体" w:hAnsi="宋体" w:cs="宋体"/>
                <w:color w:val="auto"/>
                <w:sz w:val="24"/>
                <w:highlight w:val="none"/>
              </w:rPr>
            </w:pPr>
            <w:r>
              <w:rPr>
                <w:rFonts w:hint="eastAsia" w:ascii="宋体" w:hAnsi="宋体" w:cs="宋体"/>
                <w:color w:val="auto"/>
                <w:sz w:val="24"/>
                <w:highlight w:val="none"/>
              </w:rPr>
              <w:t>本项目不接受备份投标文件。</w:t>
            </w:r>
          </w:p>
        </w:tc>
      </w:tr>
      <w:tr w14:paraId="271978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675" w:type="dxa"/>
            <w:vMerge w:val="restart"/>
            <w:tcBorders>
              <w:top w:val="single" w:color="auto" w:sz="4" w:space="0"/>
              <w:left w:val="single" w:color="auto" w:sz="4" w:space="0"/>
              <w:bottom w:val="nil"/>
              <w:right w:val="single" w:color="auto" w:sz="4" w:space="0"/>
            </w:tcBorders>
            <w:vAlign w:val="center"/>
          </w:tcPr>
          <w:p w14:paraId="77F3BA34">
            <w:pPr>
              <w:keepLines/>
              <w:wordWrap w:val="0"/>
              <w:spacing w:line="360" w:lineRule="auto"/>
              <w:rPr>
                <w:rFonts w:hint="eastAsia" w:ascii="宋体" w:hAnsi="宋体" w:cs="宋体"/>
                <w:color w:val="auto"/>
                <w:sz w:val="24"/>
                <w:highlight w:val="none"/>
              </w:rPr>
            </w:pPr>
            <w:r>
              <w:rPr>
                <w:rFonts w:hint="eastAsia" w:ascii="宋体" w:hAnsi="宋体" w:cs="宋体"/>
                <w:color w:val="auto"/>
                <w:sz w:val="24"/>
                <w:highlight w:val="none"/>
              </w:rPr>
              <w:t>21.1</w:t>
            </w:r>
          </w:p>
        </w:tc>
        <w:tc>
          <w:tcPr>
            <w:tcW w:w="2630" w:type="dxa"/>
            <w:tcBorders>
              <w:top w:val="single" w:color="auto" w:sz="4" w:space="0"/>
              <w:left w:val="single" w:color="auto" w:sz="4" w:space="0"/>
              <w:bottom w:val="single" w:color="auto" w:sz="4" w:space="0"/>
              <w:right w:val="single" w:color="auto" w:sz="4" w:space="0"/>
            </w:tcBorders>
            <w:vAlign w:val="center"/>
          </w:tcPr>
          <w:p w14:paraId="4B8166C0">
            <w:pPr>
              <w:keepLines/>
              <w:wordWrap w:val="0"/>
              <w:spacing w:line="360" w:lineRule="auto"/>
              <w:rPr>
                <w:rFonts w:hint="eastAsia" w:ascii="宋体" w:hAnsi="宋体" w:cs="宋体"/>
                <w:color w:val="auto"/>
                <w:sz w:val="24"/>
                <w:highlight w:val="none"/>
              </w:rPr>
            </w:pPr>
            <w:bookmarkStart w:id="23" w:name="_21.1"/>
            <w:bookmarkEnd w:id="23"/>
            <w:r>
              <w:rPr>
                <w:rFonts w:hint="eastAsia" w:ascii="宋体" w:hAnsi="宋体" w:cs="宋体"/>
                <w:color w:val="auto"/>
                <w:sz w:val="24"/>
                <w:highlight w:val="none"/>
              </w:rPr>
              <w:t>投标截止时间</w:t>
            </w:r>
          </w:p>
        </w:tc>
        <w:tc>
          <w:tcPr>
            <w:tcW w:w="6935" w:type="dxa"/>
            <w:tcBorders>
              <w:top w:val="single" w:color="auto" w:sz="4" w:space="0"/>
              <w:left w:val="single" w:color="auto" w:sz="4" w:space="0"/>
              <w:bottom w:val="single" w:color="auto" w:sz="4" w:space="0"/>
              <w:right w:val="single" w:color="auto" w:sz="4" w:space="0"/>
            </w:tcBorders>
            <w:vAlign w:val="center"/>
          </w:tcPr>
          <w:p w14:paraId="3BAAC652">
            <w:pPr>
              <w:keepLines/>
              <w:wordWrap w:val="0"/>
              <w:snapToGrid w:val="0"/>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详见招标公告</w:t>
            </w:r>
          </w:p>
        </w:tc>
      </w:tr>
      <w:tr w14:paraId="7BC5D2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675" w:type="dxa"/>
            <w:vMerge w:val="continue"/>
            <w:tcBorders>
              <w:top w:val="single" w:color="auto" w:sz="4" w:space="0"/>
              <w:left w:val="single" w:color="auto" w:sz="4" w:space="0"/>
              <w:bottom w:val="nil"/>
              <w:right w:val="single" w:color="auto" w:sz="4" w:space="0"/>
            </w:tcBorders>
            <w:vAlign w:val="center"/>
          </w:tcPr>
          <w:p w14:paraId="67D7BB0A">
            <w:pPr>
              <w:keepLines/>
              <w:widowControl/>
              <w:wordWrap w:val="0"/>
              <w:spacing w:line="360" w:lineRule="auto"/>
              <w:jc w:val="left"/>
              <w:rPr>
                <w:rFonts w:hint="eastAsia" w:ascii="宋体" w:hAnsi="宋体" w:cs="宋体"/>
                <w:color w:val="auto"/>
                <w:sz w:val="24"/>
                <w:highlight w:val="none"/>
              </w:rPr>
            </w:pPr>
          </w:p>
        </w:tc>
        <w:tc>
          <w:tcPr>
            <w:tcW w:w="2630" w:type="dxa"/>
            <w:tcBorders>
              <w:top w:val="single" w:color="auto" w:sz="4" w:space="0"/>
              <w:left w:val="single" w:color="auto" w:sz="4" w:space="0"/>
              <w:bottom w:val="single" w:color="auto" w:sz="4" w:space="0"/>
              <w:right w:val="single" w:color="auto" w:sz="4" w:space="0"/>
            </w:tcBorders>
            <w:vAlign w:val="center"/>
          </w:tcPr>
          <w:p w14:paraId="2CE55534">
            <w:pPr>
              <w:keepLines/>
              <w:wordWrap w:val="0"/>
              <w:spacing w:line="360" w:lineRule="auto"/>
              <w:rPr>
                <w:rFonts w:hint="eastAsia" w:ascii="宋体" w:hAnsi="宋体" w:cs="宋体"/>
                <w:color w:val="auto"/>
                <w:sz w:val="24"/>
                <w:highlight w:val="none"/>
              </w:rPr>
            </w:pPr>
            <w:r>
              <w:rPr>
                <w:rFonts w:hint="eastAsia" w:ascii="宋体" w:hAnsi="宋体" w:cs="宋体"/>
                <w:color w:val="auto"/>
                <w:sz w:val="24"/>
                <w:highlight w:val="none"/>
              </w:rPr>
              <w:t>投标文件提交起止时间</w:t>
            </w:r>
          </w:p>
        </w:tc>
        <w:tc>
          <w:tcPr>
            <w:tcW w:w="6935" w:type="dxa"/>
            <w:tcBorders>
              <w:top w:val="single" w:color="auto" w:sz="4" w:space="0"/>
              <w:left w:val="single" w:color="auto" w:sz="4" w:space="0"/>
              <w:bottom w:val="single" w:color="auto" w:sz="4" w:space="0"/>
              <w:right w:val="single" w:color="auto" w:sz="4" w:space="0"/>
            </w:tcBorders>
            <w:vAlign w:val="center"/>
          </w:tcPr>
          <w:p w14:paraId="476CB1A3">
            <w:pPr>
              <w:keepLines/>
              <w:wordWrap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详见招标公告</w:t>
            </w:r>
          </w:p>
        </w:tc>
      </w:tr>
      <w:tr w14:paraId="3A2419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675" w:type="dxa"/>
            <w:vMerge w:val="continue"/>
            <w:tcBorders>
              <w:top w:val="single" w:color="auto" w:sz="4" w:space="0"/>
              <w:left w:val="single" w:color="auto" w:sz="4" w:space="0"/>
              <w:bottom w:val="nil"/>
              <w:right w:val="single" w:color="auto" w:sz="4" w:space="0"/>
            </w:tcBorders>
            <w:vAlign w:val="center"/>
          </w:tcPr>
          <w:p w14:paraId="618A4B28">
            <w:pPr>
              <w:keepLines/>
              <w:widowControl/>
              <w:wordWrap w:val="0"/>
              <w:spacing w:line="360" w:lineRule="auto"/>
              <w:jc w:val="left"/>
              <w:rPr>
                <w:rFonts w:hint="eastAsia" w:ascii="宋体" w:hAnsi="宋体" w:cs="宋体"/>
                <w:color w:val="auto"/>
                <w:sz w:val="24"/>
                <w:highlight w:val="none"/>
              </w:rPr>
            </w:pPr>
          </w:p>
        </w:tc>
        <w:tc>
          <w:tcPr>
            <w:tcW w:w="2630" w:type="dxa"/>
            <w:tcBorders>
              <w:top w:val="single" w:color="auto" w:sz="4" w:space="0"/>
              <w:left w:val="single" w:color="auto" w:sz="4" w:space="0"/>
              <w:bottom w:val="single" w:color="auto" w:sz="4" w:space="0"/>
              <w:right w:val="single" w:color="auto" w:sz="4" w:space="0"/>
            </w:tcBorders>
            <w:vAlign w:val="center"/>
          </w:tcPr>
          <w:p w14:paraId="4DF430A1">
            <w:pPr>
              <w:keepLines/>
              <w:wordWrap w:val="0"/>
              <w:spacing w:line="360" w:lineRule="auto"/>
              <w:rPr>
                <w:rFonts w:hint="eastAsia" w:ascii="宋体" w:hAnsi="宋体" w:cs="宋体"/>
                <w:color w:val="auto"/>
                <w:sz w:val="24"/>
                <w:highlight w:val="none"/>
              </w:rPr>
            </w:pPr>
            <w:r>
              <w:rPr>
                <w:rFonts w:hint="eastAsia" w:ascii="宋体" w:hAnsi="宋体" w:cs="宋体"/>
                <w:color w:val="auto"/>
                <w:sz w:val="24"/>
                <w:highlight w:val="none"/>
              </w:rPr>
              <w:t>投标地点</w:t>
            </w:r>
          </w:p>
        </w:tc>
        <w:tc>
          <w:tcPr>
            <w:tcW w:w="6935" w:type="dxa"/>
            <w:tcBorders>
              <w:top w:val="single" w:color="auto" w:sz="4" w:space="0"/>
              <w:left w:val="single" w:color="auto" w:sz="4" w:space="0"/>
              <w:bottom w:val="single" w:color="auto" w:sz="4" w:space="0"/>
              <w:right w:val="single" w:color="auto" w:sz="4" w:space="0"/>
            </w:tcBorders>
            <w:vAlign w:val="center"/>
          </w:tcPr>
          <w:p w14:paraId="1A84784E">
            <w:pPr>
              <w:keepLines/>
              <w:wordWrap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详见招标公告</w:t>
            </w:r>
          </w:p>
        </w:tc>
      </w:tr>
      <w:tr w14:paraId="32F6FF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675" w:type="dxa"/>
            <w:vMerge w:val="continue"/>
            <w:tcBorders>
              <w:top w:val="single" w:color="auto" w:sz="4" w:space="0"/>
              <w:left w:val="single" w:color="auto" w:sz="4" w:space="0"/>
              <w:bottom w:val="nil"/>
              <w:right w:val="single" w:color="auto" w:sz="4" w:space="0"/>
            </w:tcBorders>
            <w:vAlign w:val="center"/>
          </w:tcPr>
          <w:p w14:paraId="177E757F">
            <w:pPr>
              <w:keepLines/>
              <w:widowControl/>
              <w:wordWrap w:val="0"/>
              <w:spacing w:line="360" w:lineRule="auto"/>
              <w:jc w:val="left"/>
              <w:rPr>
                <w:rFonts w:hint="eastAsia" w:ascii="宋体" w:hAnsi="宋体" w:cs="宋体"/>
                <w:color w:val="auto"/>
                <w:sz w:val="24"/>
                <w:highlight w:val="none"/>
              </w:rPr>
            </w:pPr>
          </w:p>
        </w:tc>
        <w:tc>
          <w:tcPr>
            <w:tcW w:w="2630" w:type="dxa"/>
            <w:tcBorders>
              <w:top w:val="single" w:color="auto" w:sz="4" w:space="0"/>
              <w:left w:val="single" w:color="auto" w:sz="4" w:space="0"/>
              <w:bottom w:val="single" w:color="auto" w:sz="4" w:space="0"/>
              <w:right w:val="single" w:color="auto" w:sz="4" w:space="0"/>
            </w:tcBorders>
            <w:vAlign w:val="center"/>
          </w:tcPr>
          <w:p w14:paraId="1555D4C2">
            <w:pPr>
              <w:keepLines/>
              <w:wordWrap w:val="0"/>
              <w:spacing w:line="360" w:lineRule="auto"/>
              <w:rPr>
                <w:rFonts w:hint="eastAsia" w:ascii="宋体" w:hAnsi="宋体" w:cs="宋体"/>
                <w:color w:val="auto"/>
                <w:sz w:val="24"/>
                <w:highlight w:val="none"/>
              </w:rPr>
            </w:pPr>
            <w:r>
              <w:rPr>
                <w:rFonts w:hint="eastAsia" w:ascii="宋体" w:hAnsi="宋体" w:cs="宋体"/>
                <w:color w:val="auto"/>
                <w:sz w:val="24"/>
                <w:highlight w:val="none"/>
              </w:rPr>
              <w:t>投标人递交投标样品截止时间及地点</w:t>
            </w:r>
          </w:p>
        </w:tc>
        <w:tc>
          <w:tcPr>
            <w:tcW w:w="6935" w:type="dxa"/>
            <w:tcBorders>
              <w:top w:val="single" w:color="auto" w:sz="4" w:space="0"/>
              <w:left w:val="single" w:color="auto" w:sz="4" w:space="0"/>
              <w:bottom w:val="single" w:color="auto" w:sz="4" w:space="0"/>
              <w:right w:val="single" w:color="auto" w:sz="4" w:space="0"/>
            </w:tcBorders>
            <w:vAlign w:val="center"/>
          </w:tcPr>
          <w:p w14:paraId="61234113">
            <w:pPr>
              <w:keepLines/>
              <w:wordWrap w:val="0"/>
              <w:snapToGrid w:val="0"/>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时间：</w:t>
            </w:r>
            <w:r>
              <w:rPr>
                <w:rFonts w:hint="eastAsia" w:ascii="宋体" w:hAnsi="宋体" w:cs="宋体"/>
                <w:bCs/>
                <w:color w:val="auto"/>
                <w:sz w:val="24"/>
                <w:highlight w:val="none"/>
                <w:u w:val="single"/>
              </w:rPr>
              <w:t xml:space="preserve">    /年 /月 / 日 / 时  /分</w:t>
            </w:r>
            <w:r>
              <w:rPr>
                <w:rFonts w:hint="eastAsia" w:ascii="宋体" w:hAnsi="宋体" w:cs="宋体"/>
                <w:bCs/>
                <w:color w:val="auto"/>
                <w:sz w:val="24"/>
                <w:highlight w:val="none"/>
              </w:rPr>
              <w:t>（北京时间）</w:t>
            </w:r>
          </w:p>
          <w:p w14:paraId="7D352D78">
            <w:pPr>
              <w:keepLines/>
              <w:wordWrap w:val="0"/>
              <w:snapToGrid w:val="0"/>
              <w:spacing w:line="360" w:lineRule="auto"/>
              <w:rPr>
                <w:rFonts w:hint="eastAsia" w:ascii="宋体" w:hAnsi="宋体" w:cs="宋体"/>
                <w:color w:val="auto"/>
                <w:sz w:val="24"/>
                <w:highlight w:val="none"/>
              </w:rPr>
            </w:pPr>
            <w:r>
              <w:rPr>
                <w:rFonts w:hint="eastAsia" w:ascii="宋体" w:hAnsi="宋体" w:cs="宋体"/>
                <w:bCs/>
                <w:color w:val="auto"/>
                <w:sz w:val="24"/>
                <w:highlight w:val="none"/>
              </w:rPr>
              <w:t>地点：</w:t>
            </w:r>
            <w:r>
              <w:rPr>
                <w:rFonts w:hint="eastAsia" w:ascii="宋体" w:hAnsi="宋体" w:cs="宋体"/>
                <w:bCs/>
                <w:color w:val="auto"/>
                <w:sz w:val="24"/>
                <w:highlight w:val="none"/>
                <w:u w:val="single"/>
              </w:rPr>
              <w:t xml:space="preserve">        /                        </w:t>
            </w:r>
          </w:p>
        </w:tc>
      </w:tr>
      <w:tr w14:paraId="685ECC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6C0BD555">
            <w:pPr>
              <w:keepLines/>
              <w:wordWrap w:val="0"/>
              <w:spacing w:line="360" w:lineRule="auto"/>
              <w:rPr>
                <w:rFonts w:hint="eastAsia" w:ascii="宋体" w:hAnsi="宋体" w:cs="宋体"/>
                <w:color w:val="auto"/>
                <w:sz w:val="24"/>
                <w:highlight w:val="none"/>
              </w:rPr>
            </w:pPr>
            <w:r>
              <w:rPr>
                <w:rFonts w:hint="eastAsia" w:ascii="宋体" w:hAnsi="宋体" w:cs="宋体"/>
                <w:color w:val="auto"/>
                <w:sz w:val="24"/>
                <w:highlight w:val="none"/>
              </w:rPr>
              <w:t>23</w:t>
            </w:r>
          </w:p>
        </w:tc>
        <w:tc>
          <w:tcPr>
            <w:tcW w:w="2630" w:type="dxa"/>
            <w:tcBorders>
              <w:top w:val="single" w:color="auto" w:sz="4" w:space="0"/>
              <w:left w:val="single" w:color="auto" w:sz="4" w:space="0"/>
              <w:bottom w:val="single" w:color="auto" w:sz="4" w:space="0"/>
              <w:right w:val="single" w:color="auto" w:sz="4" w:space="0"/>
            </w:tcBorders>
            <w:vAlign w:val="center"/>
          </w:tcPr>
          <w:p w14:paraId="75B7CA85">
            <w:pPr>
              <w:keepLines/>
              <w:wordWrap w:val="0"/>
              <w:spacing w:line="360" w:lineRule="auto"/>
              <w:rPr>
                <w:rFonts w:hint="eastAsia" w:ascii="宋体" w:hAnsi="宋体" w:cs="宋体"/>
                <w:color w:val="auto"/>
                <w:sz w:val="24"/>
                <w:highlight w:val="none"/>
              </w:rPr>
            </w:pPr>
            <w:bookmarkStart w:id="24" w:name="_23"/>
            <w:bookmarkEnd w:id="24"/>
            <w:r>
              <w:rPr>
                <w:rFonts w:hint="eastAsia" w:ascii="宋体" w:hAnsi="宋体" w:cs="宋体"/>
                <w:color w:val="auto"/>
                <w:sz w:val="24"/>
                <w:highlight w:val="none"/>
              </w:rPr>
              <w:t>开标时间、地点</w:t>
            </w:r>
          </w:p>
        </w:tc>
        <w:tc>
          <w:tcPr>
            <w:tcW w:w="6935" w:type="dxa"/>
            <w:tcBorders>
              <w:top w:val="single" w:color="auto" w:sz="4" w:space="0"/>
              <w:left w:val="single" w:color="auto" w:sz="4" w:space="0"/>
              <w:bottom w:val="single" w:color="auto" w:sz="4" w:space="0"/>
              <w:right w:val="single" w:color="auto" w:sz="4" w:space="0"/>
            </w:tcBorders>
            <w:vAlign w:val="center"/>
          </w:tcPr>
          <w:p w14:paraId="46878D1D">
            <w:pPr>
              <w:keepLines/>
              <w:wordWrap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详见招标公告 </w:t>
            </w:r>
          </w:p>
        </w:tc>
      </w:tr>
      <w:tr w14:paraId="4C4EB9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7"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477848D9">
            <w:pPr>
              <w:keepLines/>
              <w:wordWrap w:val="0"/>
              <w:spacing w:line="360" w:lineRule="auto"/>
              <w:rPr>
                <w:rFonts w:hint="eastAsia" w:ascii="宋体" w:hAnsi="宋体" w:cs="宋体"/>
                <w:color w:val="auto"/>
                <w:sz w:val="24"/>
                <w:highlight w:val="none"/>
              </w:rPr>
            </w:pPr>
            <w:r>
              <w:rPr>
                <w:rFonts w:hint="eastAsia" w:ascii="宋体" w:hAnsi="宋体" w:cs="宋体"/>
                <w:color w:val="auto"/>
                <w:sz w:val="24"/>
                <w:highlight w:val="none"/>
              </w:rPr>
              <w:t>25.3（2）</w:t>
            </w:r>
          </w:p>
        </w:tc>
        <w:tc>
          <w:tcPr>
            <w:tcW w:w="2630" w:type="dxa"/>
            <w:tcBorders>
              <w:top w:val="single" w:color="auto" w:sz="4" w:space="0"/>
              <w:left w:val="single" w:color="auto" w:sz="4" w:space="0"/>
              <w:bottom w:val="single" w:color="auto" w:sz="4" w:space="0"/>
              <w:right w:val="single" w:color="auto" w:sz="4" w:space="0"/>
            </w:tcBorders>
            <w:vAlign w:val="center"/>
          </w:tcPr>
          <w:p w14:paraId="0670ED2C">
            <w:pPr>
              <w:keepLines/>
              <w:wordWrap w:val="0"/>
              <w:spacing w:line="360" w:lineRule="auto"/>
              <w:rPr>
                <w:rFonts w:hint="eastAsia" w:ascii="宋体" w:hAnsi="宋体" w:cs="宋体"/>
                <w:color w:val="auto"/>
                <w:sz w:val="24"/>
                <w:highlight w:val="none"/>
              </w:rPr>
            </w:pPr>
            <w:bookmarkStart w:id="25" w:name="_25.3"/>
            <w:bookmarkEnd w:id="25"/>
            <w:r>
              <w:rPr>
                <w:rFonts w:hint="eastAsia" w:ascii="宋体" w:hAnsi="宋体" w:cs="宋体"/>
                <w:color w:val="auto"/>
                <w:sz w:val="24"/>
                <w:highlight w:val="none"/>
              </w:rPr>
              <w:t>投标人信用查询渠道</w:t>
            </w:r>
          </w:p>
        </w:tc>
        <w:tc>
          <w:tcPr>
            <w:tcW w:w="6935" w:type="dxa"/>
            <w:tcBorders>
              <w:top w:val="single" w:color="auto" w:sz="4" w:space="0"/>
              <w:left w:val="single" w:color="auto" w:sz="4" w:space="0"/>
              <w:bottom w:val="single" w:color="auto" w:sz="4" w:space="0"/>
              <w:right w:val="single" w:color="auto" w:sz="4" w:space="0"/>
            </w:tcBorders>
            <w:vAlign w:val="center"/>
          </w:tcPr>
          <w:p w14:paraId="636CEE0C">
            <w:pPr>
              <w:keepLines/>
              <w:wordWrap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采购人或者采购代理机构在资格审查结束前，对投标人进行信用查询。</w:t>
            </w:r>
          </w:p>
          <w:p w14:paraId="4FA25162">
            <w:pPr>
              <w:keepLines/>
              <w:wordWrap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查询渠道：“信用中国”网站(www.creditchina.gov.cn) 、中国政府采购网(www.ccgp.gov.cn)。</w:t>
            </w:r>
          </w:p>
        </w:tc>
      </w:tr>
      <w:tr w14:paraId="7AEA51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44E7A630">
            <w:pPr>
              <w:keepLines/>
              <w:widowControl/>
              <w:wordWrap w:val="0"/>
              <w:spacing w:line="360" w:lineRule="auto"/>
              <w:jc w:val="left"/>
              <w:rPr>
                <w:rFonts w:hint="eastAsia" w:ascii="宋体" w:hAnsi="宋体" w:cs="宋体"/>
                <w:color w:val="auto"/>
                <w:sz w:val="24"/>
                <w:highlight w:val="none"/>
              </w:rPr>
            </w:pPr>
          </w:p>
        </w:tc>
        <w:tc>
          <w:tcPr>
            <w:tcW w:w="2630" w:type="dxa"/>
            <w:tcBorders>
              <w:top w:val="single" w:color="auto" w:sz="4" w:space="0"/>
              <w:left w:val="single" w:color="auto" w:sz="4" w:space="0"/>
              <w:bottom w:val="single" w:color="auto" w:sz="4" w:space="0"/>
              <w:right w:val="single" w:color="auto" w:sz="4" w:space="0"/>
            </w:tcBorders>
            <w:vAlign w:val="center"/>
          </w:tcPr>
          <w:p w14:paraId="78457E8E">
            <w:pPr>
              <w:keepLines/>
              <w:wordWrap w:val="0"/>
              <w:spacing w:line="360" w:lineRule="auto"/>
              <w:rPr>
                <w:rFonts w:hint="eastAsia" w:ascii="宋体" w:hAnsi="宋体" w:cs="宋体"/>
                <w:color w:val="auto"/>
                <w:sz w:val="24"/>
                <w:highlight w:val="none"/>
              </w:rPr>
            </w:pPr>
            <w:r>
              <w:rPr>
                <w:rFonts w:hint="eastAsia" w:ascii="宋体" w:hAnsi="宋体" w:cs="宋体"/>
                <w:color w:val="auto"/>
                <w:sz w:val="24"/>
                <w:highlight w:val="none"/>
              </w:rPr>
              <w:t>信用查询截止时点</w:t>
            </w:r>
          </w:p>
        </w:tc>
        <w:tc>
          <w:tcPr>
            <w:tcW w:w="6935" w:type="dxa"/>
            <w:tcBorders>
              <w:top w:val="single" w:color="auto" w:sz="4" w:space="0"/>
              <w:left w:val="single" w:color="auto" w:sz="4" w:space="0"/>
              <w:bottom w:val="single" w:color="auto" w:sz="4" w:space="0"/>
              <w:right w:val="single" w:color="auto" w:sz="4" w:space="0"/>
            </w:tcBorders>
            <w:vAlign w:val="center"/>
          </w:tcPr>
          <w:p w14:paraId="09F7EE9A">
            <w:pPr>
              <w:keepLines/>
              <w:wordWrap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资格审查结束前</w:t>
            </w:r>
          </w:p>
        </w:tc>
      </w:tr>
      <w:tr w14:paraId="04E069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1DBDCCB2">
            <w:pPr>
              <w:keepLines/>
              <w:widowControl/>
              <w:wordWrap w:val="0"/>
              <w:spacing w:line="360" w:lineRule="auto"/>
              <w:jc w:val="left"/>
              <w:rPr>
                <w:rFonts w:hint="eastAsia" w:ascii="宋体" w:hAnsi="宋体" w:cs="宋体"/>
                <w:color w:val="auto"/>
                <w:sz w:val="24"/>
                <w:highlight w:val="none"/>
              </w:rPr>
            </w:pPr>
          </w:p>
        </w:tc>
        <w:tc>
          <w:tcPr>
            <w:tcW w:w="2630" w:type="dxa"/>
            <w:tcBorders>
              <w:top w:val="single" w:color="auto" w:sz="4" w:space="0"/>
              <w:left w:val="single" w:color="auto" w:sz="4" w:space="0"/>
              <w:bottom w:val="single" w:color="auto" w:sz="4" w:space="0"/>
              <w:right w:val="single" w:color="auto" w:sz="4" w:space="0"/>
            </w:tcBorders>
            <w:vAlign w:val="center"/>
          </w:tcPr>
          <w:p w14:paraId="234770DF">
            <w:pPr>
              <w:keepLines/>
              <w:wordWrap w:val="0"/>
              <w:spacing w:line="360" w:lineRule="auto"/>
              <w:rPr>
                <w:rFonts w:hint="eastAsia" w:ascii="宋体" w:hAnsi="宋体" w:cs="宋体"/>
                <w:color w:val="auto"/>
                <w:sz w:val="24"/>
                <w:highlight w:val="none"/>
              </w:rPr>
            </w:pPr>
            <w:r>
              <w:rPr>
                <w:rFonts w:hint="eastAsia" w:ascii="宋体" w:hAnsi="宋体" w:cs="宋体"/>
                <w:color w:val="auto"/>
                <w:sz w:val="24"/>
                <w:highlight w:val="none"/>
              </w:rPr>
              <w:t>查询记录和证据留存方式</w:t>
            </w:r>
          </w:p>
        </w:tc>
        <w:tc>
          <w:tcPr>
            <w:tcW w:w="6935" w:type="dxa"/>
            <w:tcBorders>
              <w:top w:val="single" w:color="auto" w:sz="4" w:space="0"/>
              <w:left w:val="single" w:color="auto" w:sz="4" w:space="0"/>
              <w:bottom w:val="single" w:color="auto" w:sz="4" w:space="0"/>
              <w:right w:val="single" w:color="auto" w:sz="4" w:space="0"/>
            </w:tcBorders>
            <w:vAlign w:val="center"/>
          </w:tcPr>
          <w:p w14:paraId="16957DC5">
            <w:pPr>
              <w:keepLines/>
              <w:wordWrap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在查询网站中直接截图查询记录，截图作为在广西政府采购云平台作为附件上传保存。</w:t>
            </w:r>
          </w:p>
        </w:tc>
      </w:tr>
      <w:tr w14:paraId="4F97FC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17C31F7B">
            <w:pPr>
              <w:keepLines/>
              <w:widowControl/>
              <w:wordWrap w:val="0"/>
              <w:spacing w:line="360" w:lineRule="auto"/>
              <w:jc w:val="left"/>
              <w:rPr>
                <w:rFonts w:hint="eastAsia" w:ascii="宋体" w:hAnsi="宋体" w:cs="宋体"/>
                <w:color w:val="auto"/>
                <w:sz w:val="24"/>
                <w:highlight w:val="none"/>
              </w:rPr>
            </w:pPr>
          </w:p>
        </w:tc>
        <w:tc>
          <w:tcPr>
            <w:tcW w:w="2630" w:type="dxa"/>
            <w:tcBorders>
              <w:top w:val="single" w:color="auto" w:sz="4" w:space="0"/>
              <w:left w:val="single" w:color="auto" w:sz="4" w:space="0"/>
              <w:bottom w:val="single" w:color="auto" w:sz="4" w:space="0"/>
              <w:right w:val="single" w:color="auto" w:sz="4" w:space="0"/>
            </w:tcBorders>
            <w:vAlign w:val="center"/>
          </w:tcPr>
          <w:p w14:paraId="6207F0CF">
            <w:pPr>
              <w:keepLines/>
              <w:wordWrap w:val="0"/>
              <w:spacing w:line="360" w:lineRule="auto"/>
              <w:rPr>
                <w:rFonts w:hint="eastAsia" w:ascii="宋体" w:hAnsi="宋体" w:cs="宋体"/>
                <w:color w:val="auto"/>
                <w:sz w:val="24"/>
                <w:highlight w:val="none"/>
              </w:rPr>
            </w:pPr>
            <w:r>
              <w:rPr>
                <w:rFonts w:hint="eastAsia" w:ascii="宋体" w:hAnsi="宋体" w:cs="宋体"/>
                <w:color w:val="auto"/>
                <w:sz w:val="24"/>
                <w:highlight w:val="none"/>
              </w:rPr>
              <w:t>信用信息使用规则</w:t>
            </w:r>
          </w:p>
        </w:tc>
        <w:tc>
          <w:tcPr>
            <w:tcW w:w="6935" w:type="dxa"/>
            <w:tcBorders>
              <w:top w:val="single" w:color="auto" w:sz="4" w:space="0"/>
              <w:left w:val="single" w:color="auto" w:sz="4" w:space="0"/>
              <w:bottom w:val="single" w:color="auto" w:sz="4" w:space="0"/>
              <w:right w:val="single" w:color="auto" w:sz="4" w:space="0"/>
            </w:tcBorders>
            <w:vAlign w:val="center"/>
          </w:tcPr>
          <w:p w14:paraId="454B4D85">
            <w:pPr>
              <w:keepLines/>
              <w:wordWrap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对在“信用中国”网站(www.creditchina.gov.cn) 、中国政府采购网(www.ccgp.gov.cn)被列入失信被执行人、重大税收违法失信主体、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39DD5D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42827FD9">
            <w:pPr>
              <w:keepLines/>
              <w:wordWrap w:val="0"/>
              <w:spacing w:line="360" w:lineRule="auto"/>
              <w:rPr>
                <w:rFonts w:hint="eastAsia" w:ascii="宋体" w:hAnsi="宋体" w:cs="宋体"/>
                <w:color w:val="auto"/>
                <w:sz w:val="24"/>
                <w:highlight w:val="none"/>
              </w:rPr>
            </w:pPr>
            <w:r>
              <w:rPr>
                <w:rFonts w:hint="eastAsia" w:ascii="宋体" w:hAnsi="宋体" w:cs="宋体"/>
                <w:color w:val="auto"/>
                <w:sz w:val="24"/>
                <w:highlight w:val="none"/>
              </w:rPr>
              <w:t>29.1</w:t>
            </w:r>
          </w:p>
        </w:tc>
        <w:tc>
          <w:tcPr>
            <w:tcW w:w="2630" w:type="dxa"/>
            <w:tcBorders>
              <w:top w:val="single" w:color="auto" w:sz="4" w:space="0"/>
              <w:left w:val="single" w:color="auto" w:sz="4" w:space="0"/>
              <w:bottom w:val="single" w:color="auto" w:sz="4" w:space="0"/>
              <w:right w:val="single" w:color="auto" w:sz="4" w:space="0"/>
            </w:tcBorders>
            <w:vAlign w:val="center"/>
          </w:tcPr>
          <w:p w14:paraId="39BC2633">
            <w:pPr>
              <w:keepLines/>
              <w:wordWrap w:val="0"/>
              <w:spacing w:line="360" w:lineRule="auto"/>
              <w:rPr>
                <w:rFonts w:hint="eastAsia" w:ascii="宋体" w:hAnsi="宋体" w:cs="宋体"/>
                <w:color w:val="auto"/>
                <w:sz w:val="24"/>
                <w:highlight w:val="none"/>
              </w:rPr>
            </w:pPr>
            <w:bookmarkStart w:id="26" w:name="_26"/>
            <w:bookmarkEnd w:id="26"/>
            <w:bookmarkStart w:id="27" w:name="_28.3"/>
            <w:bookmarkEnd w:id="27"/>
            <w:r>
              <w:rPr>
                <w:rFonts w:hint="eastAsia" w:ascii="宋体" w:hAnsi="宋体" w:cs="宋体"/>
                <w:color w:val="auto"/>
                <w:sz w:val="24"/>
                <w:highlight w:val="none"/>
              </w:rPr>
              <w:t>评标方法</w:t>
            </w:r>
          </w:p>
        </w:tc>
        <w:tc>
          <w:tcPr>
            <w:tcW w:w="6935" w:type="dxa"/>
            <w:tcBorders>
              <w:top w:val="single" w:color="auto" w:sz="4" w:space="0"/>
              <w:left w:val="single" w:color="auto" w:sz="4" w:space="0"/>
              <w:bottom w:val="single" w:color="auto" w:sz="4" w:space="0"/>
              <w:right w:val="single" w:color="auto" w:sz="4" w:space="0"/>
            </w:tcBorders>
            <w:vAlign w:val="center"/>
          </w:tcPr>
          <w:p w14:paraId="689E509D">
            <w:pPr>
              <w:keepLines/>
              <w:wordWrap w:val="0"/>
              <w:autoSpaceDE w:val="0"/>
              <w:autoSpaceDN w:val="0"/>
              <w:snapToGrid w:val="0"/>
              <w:spacing w:line="360" w:lineRule="auto"/>
              <w:textAlignment w:val="bottom"/>
              <w:rPr>
                <w:rFonts w:hint="eastAsia" w:ascii="宋体" w:hAnsi="宋体" w:cs="宋体"/>
                <w:color w:val="auto"/>
                <w:sz w:val="24"/>
                <w:highlight w:val="none"/>
              </w:rPr>
            </w:pPr>
            <w:r>
              <w:rPr>
                <w:rFonts w:ascii="Segoe UI Symbol" w:hAnsi="Segoe UI Symbol" w:cs="Segoe UI Symbol"/>
                <w:color w:val="auto"/>
                <w:sz w:val="24"/>
                <w:highlight w:val="none"/>
              </w:rPr>
              <w:t>☑</w:t>
            </w:r>
            <w:r>
              <w:rPr>
                <w:rFonts w:hint="eastAsia" w:ascii="宋体" w:hAnsi="宋体" w:cs="宋体"/>
                <w:color w:val="auto"/>
                <w:sz w:val="24"/>
                <w:highlight w:val="none"/>
              </w:rPr>
              <w:t>综合评分法</w:t>
            </w:r>
          </w:p>
          <w:p w14:paraId="6894D46C">
            <w:pPr>
              <w:keepLines/>
              <w:wordWrap w:val="0"/>
              <w:autoSpaceDE w:val="0"/>
              <w:autoSpaceDN w:val="0"/>
              <w:snapToGrid w:val="0"/>
              <w:spacing w:line="360" w:lineRule="auto"/>
              <w:textAlignment w:val="bottom"/>
              <w:rPr>
                <w:rFonts w:hint="eastAsia" w:ascii="宋体" w:hAnsi="宋体" w:cs="宋体"/>
                <w:color w:val="auto"/>
                <w:sz w:val="24"/>
                <w:highlight w:val="none"/>
              </w:rPr>
            </w:pPr>
            <w:r>
              <w:rPr>
                <w:rFonts w:hint="eastAsia" w:ascii="宋体" w:hAnsi="宋体" w:cs="宋体"/>
                <w:color w:val="auto"/>
                <w:sz w:val="24"/>
                <w:highlight w:val="none"/>
              </w:rPr>
              <w:t>□最低评标价法</w:t>
            </w:r>
          </w:p>
        </w:tc>
      </w:tr>
      <w:tr w14:paraId="6D0E8D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75" w:type="dxa"/>
            <w:tcBorders>
              <w:top w:val="single" w:color="auto" w:sz="4" w:space="0"/>
              <w:left w:val="single" w:color="auto" w:sz="4" w:space="0"/>
              <w:bottom w:val="nil"/>
              <w:right w:val="single" w:color="auto" w:sz="4" w:space="0"/>
            </w:tcBorders>
            <w:vAlign w:val="center"/>
          </w:tcPr>
          <w:p w14:paraId="5FC5626C">
            <w:pPr>
              <w:keepLines/>
              <w:wordWrap w:val="0"/>
              <w:spacing w:line="360" w:lineRule="auto"/>
              <w:rPr>
                <w:rFonts w:hint="eastAsia" w:ascii="宋体" w:hAnsi="宋体" w:cs="宋体"/>
                <w:color w:val="auto"/>
                <w:sz w:val="24"/>
                <w:highlight w:val="none"/>
              </w:rPr>
            </w:pPr>
            <w:r>
              <w:rPr>
                <w:rFonts w:hint="eastAsia" w:ascii="宋体" w:hAnsi="宋体" w:cs="宋体"/>
                <w:color w:val="auto"/>
                <w:sz w:val="24"/>
                <w:highlight w:val="none"/>
              </w:rPr>
              <w:t>29.2</w:t>
            </w:r>
          </w:p>
        </w:tc>
        <w:tc>
          <w:tcPr>
            <w:tcW w:w="2630" w:type="dxa"/>
            <w:tcBorders>
              <w:top w:val="single" w:color="auto" w:sz="4" w:space="0"/>
              <w:left w:val="single" w:color="auto" w:sz="4" w:space="0"/>
              <w:bottom w:val="nil"/>
              <w:right w:val="single" w:color="auto" w:sz="4" w:space="0"/>
            </w:tcBorders>
            <w:vAlign w:val="center"/>
          </w:tcPr>
          <w:p w14:paraId="4738BA79">
            <w:pPr>
              <w:keepLines/>
              <w:wordWrap w:val="0"/>
              <w:spacing w:line="360" w:lineRule="auto"/>
              <w:rPr>
                <w:rFonts w:hint="eastAsia" w:ascii="宋体" w:hAnsi="宋体" w:cs="宋体"/>
                <w:color w:val="auto"/>
                <w:sz w:val="24"/>
                <w:highlight w:val="none"/>
              </w:rPr>
            </w:pPr>
            <w:bookmarkStart w:id="28" w:name="_29.2.2（2）"/>
            <w:bookmarkEnd w:id="28"/>
            <w:r>
              <w:rPr>
                <w:rFonts w:hint="eastAsia" w:ascii="宋体" w:hAnsi="宋体" w:cs="宋体"/>
                <w:color w:val="auto"/>
                <w:sz w:val="24"/>
                <w:highlight w:val="none"/>
              </w:rPr>
              <w:t>允许负偏离项</w:t>
            </w:r>
          </w:p>
        </w:tc>
        <w:tc>
          <w:tcPr>
            <w:tcW w:w="6935" w:type="dxa"/>
            <w:tcBorders>
              <w:top w:val="single" w:color="auto" w:sz="4" w:space="0"/>
              <w:left w:val="single" w:color="auto" w:sz="4" w:space="0"/>
              <w:bottom w:val="nil"/>
              <w:right w:val="single" w:color="auto" w:sz="4" w:space="0"/>
            </w:tcBorders>
            <w:vAlign w:val="center"/>
          </w:tcPr>
          <w:p w14:paraId="7143AEF1">
            <w:pPr>
              <w:keepLines/>
              <w:wordWrap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商务条款评审中允许负偏离的条款数为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w:t>
            </w:r>
          </w:p>
          <w:p w14:paraId="38145FB7">
            <w:pPr>
              <w:keepLines/>
              <w:wordWrap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技术需求评审中允许负偏离的条款数为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w:t>
            </w:r>
          </w:p>
        </w:tc>
      </w:tr>
      <w:tr w14:paraId="30CEAA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327E7D56">
            <w:pPr>
              <w:keepLines/>
              <w:wordWrap w:val="0"/>
              <w:spacing w:line="360" w:lineRule="auto"/>
              <w:rPr>
                <w:rFonts w:hint="eastAsia" w:ascii="宋体" w:hAnsi="宋体" w:cs="宋体"/>
                <w:color w:val="auto"/>
                <w:sz w:val="24"/>
                <w:highlight w:val="none"/>
              </w:rPr>
            </w:pPr>
            <w:r>
              <w:rPr>
                <w:rFonts w:hint="eastAsia" w:ascii="宋体" w:hAnsi="宋体" w:cs="宋体"/>
                <w:color w:val="auto"/>
                <w:sz w:val="24"/>
                <w:highlight w:val="none"/>
              </w:rPr>
              <w:t>30.1</w:t>
            </w:r>
          </w:p>
        </w:tc>
        <w:tc>
          <w:tcPr>
            <w:tcW w:w="2630" w:type="dxa"/>
            <w:tcBorders>
              <w:top w:val="single" w:color="auto" w:sz="4" w:space="0"/>
              <w:left w:val="single" w:color="auto" w:sz="4" w:space="0"/>
              <w:bottom w:val="single" w:color="auto" w:sz="4" w:space="0"/>
              <w:right w:val="single" w:color="auto" w:sz="4" w:space="0"/>
            </w:tcBorders>
            <w:vAlign w:val="center"/>
          </w:tcPr>
          <w:p w14:paraId="07EF3D79">
            <w:pPr>
              <w:keepLines/>
              <w:wordWrap w:val="0"/>
              <w:autoSpaceDE w:val="0"/>
              <w:autoSpaceDN w:val="0"/>
              <w:snapToGrid w:val="0"/>
              <w:spacing w:line="360" w:lineRule="auto"/>
              <w:textAlignment w:val="bottom"/>
              <w:rPr>
                <w:rFonts w:hint="eastAsia" w:ascii="宋体" w:hAnsi="宋体" w:cs="宋体"/>
                <w:color w:val="auto"/>
                <w:sz w:val="24"/>
                <w:highlight w:val="none"/>
              </w:rPr>
            </w:pPr>
            <w:r>
              <w:rPr>
                <w:rFonts w:hint="eastAsia" w:ascii="宋体" w:hAnsi="宋体" w:cs="宋体"/>
                <w:color w:val="auto"/>
                <w:sz w:val="24"/>
                <w:highlight w:val="none"/>
              </w:rPr>
              <w:t xml:space="preserve">确定中标供应商时，出现中标候选人分数并列的情形，确定中标供应商方式 </w:t>
            </w:r>
          </w:p>
        </w:tc>
        <w:tc>
          <w:tcPr>
            <w:tcW w:w="6935" w:type="dxa"/>
            <w:tcBorders>
              <w:top w:val="single" w:color="auto" w:sz="4" w:space="0"/>
              <w:left w:val="single" w:color="auto" w:sz="4" w:space="0"/>
              <w:bottom w:val="single" w:color="auto" w:sz="4" w:space="0"/>
              <w:right w:val="single" w:color="auto" w:sz="4" w:space="0"/>
            </w:tcBorders>
            <w:vAlign w:val="center"/>
          </w:tcPr>
          <w:p w14:paraId="7F5CD9A0">
            <w:pPr>
              <w:keepLines/>
              <w:wordWrap w:val="0"/>
              <w:autoSpaceDE w:val="0"/>
              <w:autoSpaceDN w:val="0"/>
              <w:snapToGrid w:val="0"/>
              <w:spacing w:line="360" w:lineRule="auto"/>
              <w:textAlignment w:val="bottom"/>
              <w:rPr>
                <w:rFonts w:hint="eastAsia" w:ascii="宋体" w:hAnsi="宋体" w:cs="宋体"/>
                <w:color w:val="auto"/>
                <w:sz w:val="24"/>
                <w:highlight w:val="none"/>
              </w:rPr>
            </w:pPr>
            <w:r>
              <w:rPr>
                <w:rFonts w:hint="eastAsia" w:ascii="宋体" w:hAnsi="宋体" w:cs="宋体"/>
                <w:color w:val="auto"/>
                <w:sz w:val="24"/>
                <w:highlight w:val="none"/>
              </w:rPr>
              <w:t xml:space="preserve">□采用最低评标价法的，投标文件满足招标文件全部实质性要求且投标报价最低的投标人为排名第一的中标候选人； </w:t>
            </w:r>
          </w:p>
          <w:p w14:paraId="5933C115">
            <w:pPr>
              <w:keepLines/>
              <w:wordWrap w:val="0"/>
              <w:autoSpaceDE w:val="0"/>
              <w:autoSpaceDN w:val="0"/>
              <w:snapToGrid w:val="0"/>
              <w:spacing w:line="360" w:lineRule="auto"/>
              <w:textAlignment w:val="bottom"/>
              <w:rPr>
                <w:rFonts w:hint="eastAsia" w:ascii="宋体" w:hAnsi="宋体" w:cs="宋体"/>
                <w:b/>
                <w:color w:val="auto"/>
                <w:sz w:val="24"/>
                <w:highlight w:val="none"/>
              </w:rPr>
            </w:pPr>
            <w:r>
              <w:rPr>
                <w:rFonts w:ascii="Segoe UI Symbol" w:hAnsi="Segoe UI Symbol" w:cs="Segoe UI Symbol"/>
                <w:color w:val="auto"/>
                <w:sz w:val="24"/>
                <w:highlight w:val="none"/>
              </w:rPr>
              <w:t>☑</w:t>
            </w:r>
            <w:r>
              <w:rPr>
                <w:rFonts w:hint="eastAsia" w:ascii="宋体" w:hAnsi="宋体" w:cs="宋体"/>
                <w:color w:val="auto"/>
                <w:sz w:val="24"/>
                <w:highlight w:val="none"/>
              </w:rPr>
              <w:t>采用综合评分法的，按投标报价由低到高顺序排列。得分且投标报价相同的并列。投标文件满足招标文件全部实质性要求，且按照评审因素的量化指标评审得分最高的投标人为排名第一的中标候选人。</w:t>
            </w:r>
          </w:p>
        </w:tc>
      </w:tr>
      <w:tr w14:paraId="6E20EC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5" w:type="dxa"/>
            <w:tcBorders>
              <w:top w:val="single" w:color="auto" w:sz="4" w:space="0"/>
              <w:left w:val="single" w:color="auto" w:sz="4" w:space="0"/>
              <w:bottom w:val="single" w:color="auto" w:sz="4" w:space="0"/>
              <w:right w:val="single" w:color="auto" w:sz="4" w:space="0"/>
            </w:tcBorders>
            <w:vAlign w:val="center"/>
          </w:tcPr>
          <w:p w14:paraId="74C870D0">
            <w:pPr>
              <w:keepLines/>
              <w:wordWrap w:val="0"/>
              <w:spacing w:line="360" w:lineRule="auto"/>
              <w:rPr>
                <w:rFonts w:hint="eastAsia" w:ascii="宋体" w:hAnsi="宋体" w:cs="宋体"/>
                <w:color w:val="auto"/>
                <w:sz w:val="24"/>
                <w:highlight w:val="none"/>
              </w:rPr>
            </w:pPr>
            <w:r>
              <w:rPr>
                <w:rFonts w:hint="eastAsia" w:ascii="宋体" w:hAnsi="宋体" w:cs="宋体"/>
                <w:color w:val="auto"/>
                <w:sz w:val="24"/>
                <w:highlight w:val="none"/>
              </w:rPr>
              <w:t>35</w:t>
            </w:r>
          </w:p>
        </w:tc>
        <w:tc>
          <w:tcPr>
            <w:tcW w:w="2630" w:type="dxa"/>
            <w:tcBorders>
              <w:top w:val="single" w:color="auto" w:sz="4" w:space="0"/>
              <w:left w:val="single" w:color="auto" w:sz="4" w:space="0"/>
              <w:bottom w:val="single" w:color="auto" w:sz="4" w:space="0"/>
              <w:right w:val="single" w:color="auto" w:sz="4" w:space="0"/>
            </w:tcBorders>
            <w:vAlign w:val="center"/>
          </w:tcPr>
          <w:p w14:paraId="6C4448E2">
            <w:pPr>
              <w:keepLines/>
              <w:wordWrap w:val="0"/>
              <w:spacing w:line="360" w:lineRule="auto"/>
              <w:rPr>
                <w:rFonts w:hint="eastAsia" w:ascii="宋体" w:hAnsi="宋体" w:cs="宋体"/>
                <w:color w:val="auto"/>
                <w:sz w:val="24"/>
                <w:highlight w:val="none"/>
              </w:rPr>
            </w:pPr>
            <w:bookmarkStart w:id="29" w:name="_39.1"/>
            <w:bookmarkEnd w:id="29"/>
            <w:r>
              <w:rPr>
                <w:rFonts w:hint="eastAsia" w:ascii="宋体" w:hAnsi="宋体" w:cs="宋体"/>
                <w:color w:val="auto"/>
                <w:sz w:val="24"/>
                <w:highlight w:val="none"/>
              </w:rPr>
              <w:t>履约保证金金额</w:t>
            </w:r>
          </w:p>
        </w:tc>
        <w:tc>
          <w:tcPr>
            <w:tcW w:w="6935" w:type="dxa"/>
            <w:tcBorders>
              <w:top w:val="single" w:color="auto" w:sz="4" w:space="0"/>
              <w:left w:val="single" w:color="auto" w:sz="4" w:space="0"/>
              <w:bottom w:val="single" w:color="auto" w:sz="4" w:space="0"/>
              <w:right w:val="single" w:color="auto" w:sz="4" w:space="0"/>
            </w:tcBorders>
            <w:vAlign w:val="bottom"/>
          </w:tcPr>
          <w:p w14:paraId="4A3FA7FE">
            <w:pPr>
              <w:keepLines/>
              <w:wordWrap w:val="0"/>
              <w:autoSpaceDE w:val="0"/>
              <w:autoSpaceDN w:val="0"/>
              <w:snapToGrid w:val="0"/>
              <w:spacing w:line="360" w:lineRule="auto"/>
              <w:jc w:val="left"/>
              <w:textAlignment w:val="bottom"/>
              <w:rPr>
                <w:rFonts w:hint="eastAsia" w:ascii="宋体" w:hAnsi="宋体" w:cs="宋体"/>
                <w:color w:val="auto"/>
                <w:sz w:val="24"/>
                <w:highlight w:val="none"/>
              </w:rPr>
            </w:pPr>
            <w:r>
              <w:rPr>
                <w:rFonts w:hint="eastAsia" w:ascii="宋体" w:hAnsi="宋体" w:cs="宋体"/>
                <w:color w:val="auto"/>
                <w:sz w:val="24"/>
                <w:highlight w:val="none"/>
              </w:rPr>
              <w:t>本项目不收取履约保证金。</w:t>
            </w:r>
          </w:p>
        </w:tc>
      </w:tr>
      <w:tr w14:paraId="322002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3ABF2959">
            <w:pPr>
              <w:keepLines/>
              <w:wordWrap w:val="0"/>
              <w:spacing w:line="360" w:lineRule="auto"/>
              <w:rPr>
                <w:rFonts w:hint="eastAsia" w:ascii="宋体" w:hAnsi="宋体" w:cs="宋体"/>
                <w:color w:val="auto"/>
                <w:sz w:val="24"/>
                <w:highlight w:val="none"/>
              </w:rPr>
            </w:pPr>
            <w:r>
              <w:rPr>
                <w:rFonts w:hint="eastAsia" w:ascii="宋体" w:hAnsi="宋体" w:cs="宋体"/>
                <w:color w:val="auto"/>
                <w:sz w:val="24"/>
                <w:highlight w:val="none"/>
              </w:rPr>
              <w:t>36.1</w:t>
            </w:r>
          </w:p>
        </w:tc>
        <w:tc>
          <w:tcPr>
            <w:tcW w:w="2630" w:type="dxa"/>
            <w:tcBorders>
              <w:top w:val="single" w:color="auto" w:sz="4" w:space="0"/>
              <w:left w:val="single" w:color="auto" w:sz="4" w:space="0"/>
              <w:bottom w:val="single" w:color="auto" w:sz="4" w:space="0"/>
              <w:right w:val="single" w:color="auto" w:sz="4" w:space="0"/>
            </w:tcBorders>
            <w:vAlign w:val="center"/>
          </w:tcPr>
          <w:p w14:paraId="3B36D2D2">
            <w:pPr>
              <w:keepLines/>
              <w:wordWrap w:val="0"/>
              <w:spacing w:line="360" w:lineRule="auto"/>
              <w:rPr>
                <w:rFonts w:hint="eastAsia" w:ascii="宋体" w:hAnsi="宋体" w:cs="宋体"/>
                <w:color w:val="auto"/>
                <w:sz w:val="24"/>
                <w:highlight w:val="none"/>
              </w:rPr>
            </w:pPr>
            <w:bookmarkStart w:id="30" w:name="_40.1"/>
            <w:bookmarkEnd w:id="30"/>
            <w:r>
              <w:rPr>
                <w:rFonts w:hint="eastAsia" w:ascii="宋体" w:hAnsi="宋体" w:cs="宋体"/>
                <w:color w:val="auto"/>
                <w:sz w:val="24"/>
                <w:highlight w:val="none"/>
              </w:rPr>
              <w:t>签订电子合同携带的材料</w:t>
            </w:r>
          </w:p>
        </w:tc>
        <w:tc>
          <w:tcPr>
            <w:tcW w:w="6935" w:type="dxa"/>
            <w:tcBorders>
              <w:top w:val="single" w:color="auto" w:sz="4" w:space="0"/>
              <w:left w:val="single" w:color="auto" w:sz="4" w:space="0"/>
              <w:bottom w:val="single" w:color="auto" w:sz="4" w:space="0"/>
              <w:right w:val="single" w:color="auto" w:sz="4" w:space="0"/>
            </w:tcBorders>
            <w:vAlign w:val="center"/>
          </w:tcPr>
          <w:p w14:paraId="08A0DCDC">
            <w:pPr>
              <w:keepLines/>
              <w:wordWrap w:val="0"/>
              <w:autoSpaceDE w:val="0"/>
              <w:autoSpaceDN w:val="0"/>
              <w:snapToGrid w:val="0"/>
              <w:spacing w:line="360" w:lineRule="auto"/>
              <w:textAlignment w:val="bottom"/>
              <w:rPr>
                <w:rFonts w:hint="eastAsia" w:ascii="宋体" w:hAnsi="宋体" w:cs="宋体"/>
                <w:color w:val="auto"/>
                <w:sz w:val="24"/>
                <w:highlight w:val="none"/>
              </w:rPr>
            </w:pPr>
            <w:r>
              <w:rPr>
                <w:rFonts w:hint="eastAsia" w:ascii="宋体" w:hAnsi="宋体" w:cs="宋体"/>
                <w:color w:val="auto"/>
                <w:sz w:val="24"/>
                <w:highlight w:val="none"/>
              </w:rPr>
              <w:t>电子采购合同需要供应商通过有效CA证书进行电子签署</w:t>
            </w:r>
          </w:p>
        </w:tc>
      </w:tr>
      <w:tr w14:paraId="4F257C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421DAC4C">
            <w:pPr>
              <w:keepLines/>
              <w:wordWrap w:val="0"/>
              <w:spacing w:line="360" w:lineRule="auto"/>
              <w:rPr>
                <w:rFonts w:hint="eastAsia" w:ascii="宋体" w:hAnsi="宋体" w:cs="宋体"/>
                <w:color w:val="auto"/>
                <w:sz w:val="24"/>
                <w:highlight w:val="none"/>
              </w:rPr>
            </w:pPr>
            <w:r>
              <w:rPr>
                <w:rFonts w:hint="eastAsia" w:ascii="宋体" w:hAnsi="宋体" w:cs="宋体"/>
                <w:color w:val="auto"/>
                <w:sz w:val="24"/>
                <w:highlight w:val="none"/>
              </w:rPr>
              <w:t>38.2.1</w:t>
            </w:r>
          </w:p>
        </w:tc>
        <w:tc>
          <w:tcPr>
            <w:tcW w:w="2630" w:type="dxa"/>
            <w:tcBorders>
              <w:top w:val="single" w:color="auto" w:sz="4" w:space="0"/>
              <w:left w:val="single" w:color="auto" w:sz="4" w:space="0"/>
              <w:bottom w:val="single" w:color="auto" w:sz="4" w:space="0"/>
              <w:right w:val="single" w:color="auto" w:sz="4" w:space="0"/>
            </w:tcBorders>
            <w:vAlign w:val="center"/>
          </w:tcPr>
          <w:p w14:paraId="0DEAC7E1">
            <w:pPr>
              <w:keepLines/>
              <w:wordWrap w:val="0"/>
              <w:spacing w:line="360" w:lineRule="auto"/>
              <w:rPr>
                <w:rFonts w:hint="eastAsia" w:ascii="宋体" w:hAnsi="宋体" w:cs="宋体"/>
                <w:color w:val="auto"/>
                <w:sz w:val="24"/>
                <w:highlight w:val="none"/>
              </w:rPr>
            </w:pPr>
            <w:r>
              <w:rPr>
                <w:rFonts w:hint="eastAsia" w:ascii="宋体" w:hAnsi="宋体" w:cs="宋体"/>
                <w:color w:val="auto"/>
                <w:sz w:val="24"/>
                <w:highlight w:val="none"/>
              </w:rPr>
              <w:t>接收质疑函方式</w:t>
            </w:r>
          </w:p>
        </w:tc>
        <w:tc>
          <w:tcPr>
            <w:tcW w:w="6935" w:type="dxa"/>
            <w:tcBorders>
              <w:top w:val="single" w:color="auto" w:sz="4" w:space="0"/>
              <w:left w:val="single" w:color="auto" w:sz="4" w:space="0"/>
              <w:bottom w:val="single" w:color="auto" w:sz="4" w:space="0"/>
              <w:right w:val="single" w:color="auto" w:sz="4" w:space="0"/>
            </w:tcBorders>
            <w:vAlign w:val="center"/>
          </w:tcPr>
          <w:p w14:paraId="3A604B6C">
            <w:pPr>
              <w:keepLines/>
              <w:wordWrap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以书面形式</w:t>
            </w:r>
          </w:p>
        </w:tc>
      </w:tr>
      <w:tr w14:paraId="7911F9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222BC4A1">
            <w:pPr>
              <w:keepLines/>
              <w:widowControl/>
              <w:wordWrap w:val="0"/>
              <w:spacing w:line="360" w:lineRule="auto"/>
              <w:jc w:val="left"/>
              <w:rPr>
                <w:rFonts w:hint="eastAsia" w:ascii="宋体" w:hAnsi="宋体" w:cs="宋体"/>
                <w:color w:val="auto"/>
                <w:sz w:val="24"/>
                <w:highlight w:val="none"/>
              </w:rPr>
            </w:pPr>
          </w:p>
        </w:tc>
        <w:tc>
          <w:tcPr>
            <w:tcW w:w="2630" w:type="dxa"/>
            <w:tcBorders>
              <w:top w:val="single" w:color="auto" w:sz="4" w:space="0"/>
              <w:left w:val="single" w:color="auto" w:sz="4" w:space="0"/>
              <w:bottom w:val="single" w:color="auto" w:sz="4" w:space="0"/>
              <w:right w:val="single" w:color="auto" w:sz="4" w:space="0"/>
            </w:tcBorders>
            <w:vAlign w:val="center"/>
          </w:tcPr>
          <w:p w14:paraId="5368DE71">
            <w:pPr>
              <w:keepLines/>
              <w:wordWrap w:val="0"/>
              <w:spacing w:line="360" w:lineRule="auto"/>
              <w:rPr>
                <w:rFonts w:hint="eastAsia" w:ascii="宋体" w:hAnsi="宋体" w:cs="宋体"/>
                <w:color w:val="auto"/>
                <w:sz w:val="24"/>
                <w:highlight w:val="none"/>
              </w:rPr>
            </w:pPr>
            <w:r>
              <w:rPr>
                <w:rFonts w:hint="eastAsia" w:ascii="宋体" w:hAnsi="宋体" w:cs="宋体"/>
                <w:color w:val="auto"/>
                <w:sz w:val="24"/>
                <w:highlight w:val="none"/>
              </w:rPr>
              <w:t>质疑联系部门及联系方式</w:t>
            </w:r>
          </w:p>
        </w:tc>
        <w:tc>
          <w:tcPr>
            <w:tcW w:w="6935" w:type="dxa"/>
            <w:tcBorders>
              <w:top w:val="single" w:color="auto" w:sz="4" w:space="0"/>
              <w:left w:val="single" w:color="auto" w:sz="4" w:space="0"/>
              <w:bottom w:val="single" w:color="auto" w:sz="4" w:space="0"/>
              <w:right w:val="single" w:color="auto" w:sz="4" w:space="0"/>
            </w:tcBorders>
            <w:vAlign w:val="center"/>
          </w:tcPr>
          <w:p w14:paraId="1219EC12">
            <w:pPr>
              <w:keepLines/>
              <w:wordWrap w:val="0"/>
              <w:snapToGrid w:val="0"/>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u w:val="single"/>
              </w:rPr>
              <w:t>（1）</w:t>
            </w:r>
            <w:bookmarkStart w:id="31" w:name="PO_3000001866_PM031_3"/>
            <w:r>
              <w:rPr>
                <w:rFonts w:hint="eastAsia" w:ascii="宋体" w:hAnsi="宋体" w:cs="宋体"/>
                <w:color w:val="auto"/>
                <w:sz w:val="24"/>
                <w:highlight w:val="none"/>
                <w:u w:val="single"/>
              </w:rPr>
              <w:t>广西邕政采购代理有限公司</w:t>
            </w:r>
            <w:bookmarkEnd w:id="31"/>
            <w:r>
              <w:rPr>
                <w:rFonts w:hint="eastAsia" w:ascii="宋体" w:hAnsi="宋体" w:cs="宋体"/>
                <w:color w:val="auto"/>
                <w:sz w:val="24"/>
                <w:highlight w:val="none"/>
                <w:u w:val="single"/>
              </w:rPr>
              <w:t>；</w:t>
            </w:r>
          </w:p>
          <w:p w14:paraId="0AB81B61">
            <w:pPr>
              <w:keepLines/>
              <w:wordWrap w:val="0"/>
              <w:snapToGrid w:val="0"/>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u w:val="single"/>
              </w:rPr>
              <w:t>联系电话：0771-2225338，</w:t>
            </w:r>
          </w:p>
          <w:p w14:paraId="53698F74">
            <w:pPr>
              <w:keepLines/>
              <w:wordWrap w:val="0"/>
              <w:snapToGrid w:val="0"/>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u w:val="single"/>
              </w:rPr>
              <w:t xml:space="preserve">通讯地址：南宁市青秀区民族大道180号（威壮大厦）22层2210～2217室 </w:t>
            </w:r>
          </w:p>
          <w:p w14:paraId="32BD2578">
            <w:pPr>
              <w:keepLines/>
              <w:wordWrap w:val="0"/>
              <w:snapToGrid w:val="0"/>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u w:val="single"/>
              </w:rPr>
              <w:t>（2）</w:t>
            </w:r>
            <w:r>
              <w:rPr>
                <w:rFonts w:hint="eastAsia" w:ascii="宋体" w:hAnsi="宋体" w:cs="宋体"/>
                <w:color w:val="auto"/>
                <w:sz w:val="24"/>
                <w:highlight w:val="none"/>
                <w:u w:val="single"/>
                <w:lang w:eastAsia="zh-CN"/>
              </w:rPr>
              <w:t>南宁市信息网络管理中心</w:t>
            </w:r>
            <w:r>
              <w:rPr>
                <w:rFonts w:hint="eastAsia" w:ascii="宋体" w:hAnsi="宋体" w:cs="宋体"/>
                <w:color w:val="auto"/>
                <w:sz w:val="24"/>
                <w:highlight w:val="none"/>
                <w:u w:val="single"/>
              </w:rPr>
              <w:t>；</w:t>
            </w:r>
          </w:p>
          <w:p w14:paraId="0AF86951">
            <w:pPr>
              <w:keepLines/>
              <w:wordWrap w:val="0"/>
              <w:snapToGrid w:val="0"/>
              <w:spacing w:line="360" w:lineRule="auto"/>
              <w:rPr>
                <w:rFonts w:hint="default" w:ascii="宋体" w:hAnsi="宋体" w:eastAsia="宋体" w:cs="宋体"/>
                <w:color w:val="auto"/>
                <w:sz w:val="24"/>
                <w:highlight w:val="none"/>
                <w:u w:val="single"/>
                <w:lang w:val="en-US" w:eastAsia="zh-CN"/>
              </w:rPr>
            </w:pPr>
            <w:r>
              <w:rPr>
                <w:rFonts w:hint="eastAsia" w:ascii="宋体" w:hAnsi="宋体" w:cs="宋体"/>
                <w:color w:val="auto"/>
                <w:sz w:val="24"/>
                <w:highlight w:val="none"/>
                <w:u w:val="single"/>
              </w:rPr>
              <w:t>联系电话：</w:t>
            </w:r>
            <w:r>
              <w:rPr>
                <w:rFonts w:hint="eastAsia" w:ascii="宋体" w:hAnsi="宋体" w:cs="宋体"/>
                <w:color w:val="auto"/>
                <w:sz w:val="24"/>
                <w:highlight w:val="none"/>
                <w:u w:val="single"/>
                <w:lang w:eastAsia="zh-CN"/>
              </w:rPr>
              <w:t>0771-577</w:t>
            </w:r>
            <w:r>
              <w:rPr>
                <w:rFonts w:hint="eastAsia" w:ascii="宋体" w:hAnsi="宋体" w:cs="宋体"/>
                <w:color w:val="auto"/>
                <w:sz w:val="24"/>
                <w:highlight w:val="none"/>
                <w:u w:val="single"/>
                <w:lang w:val="en-US" w:eastAsia="zh-CN"/>
              </w:rPr>
              <w:t>2566</w:t>
            </w:r>
          </w:p>
          <w:p w14:paraId="3A86106F">
            <w:pPr>
              <w:keepLines/>
              <w:wordWrap w:val="0"/>
              <w:snapToGrid w:val="0"/>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u w:val="single"/>
              </w:rPr>
              <w:t>通讯地址：</w:t>
            </w:r>
            <w:r>
              <w:rPr>
                <w:rFonts w:hint="eastAsia" w:ascii="宋体" w:hAnsi="宋体" w:cs="Arial"/>
                <w:bCs/>
                <w:color w:val="auto"/>
                <w:kern w:val="0"/>
                <w:sz w:val="24"/>
                <w:highlight w:val="none"/>
                <w:u w:val="single"/>
                <w:lang w:eastAsia="zh-CN"/>
              </w:rPr>
              <w:t>南宁市桂春路南一里1</w:t>
            </w:r>
            <w:r>
              <w:rPr>
                <w:rFonts w:hint="eastAsia" w:ascii="宋体" w:hAnsi="宋体" w:cs="Arial"/>
                <w:bCs/>
                <w:color w:val="auto"/>
                <w:kern w:val="0"/>
                <w:sz w:val="24"/>
                <w:highlight w:val="none"/>
                <w:u w:val="single"/>
                <w:lang w:val="en-US" w:eastAsia="zh-CN"/>
              </w:rPr>
              <w:t>号</w:t>
            </w:r>
          </w:p>
        </w:tc>
      </w:tr>
      <w:tr w14:paraId="27160A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2A7876FF">
            <w:pPr>
              <w:keepLines/>
              <w:widowControl/>
              <w:wordWrap w:val="0"/>
              <w:spacing w:line="360" w:lineRule="auto"/>
              <w:jc w:val="left"/>
              <w:rPr>
                <w:rFonts w:hint="eastAsia" w:ascii="宋体" w:hAnsi="宋体" w:cs="宋体"/>
                <w:color w:val="auto"/>
                <w:sz w:val="24"/>
                <w:highlight w:val="none"/>
              </w:rPr>
            </w:pPr>
          </w:p>
        </w:tc>
        <w:tc>
          <w:tcPr>
            <w:tcW w:w="2630" w:type="dxa"/>
            <w:tcBorders>
              <w:top w:val="single" w:color="auto" w:sz="4" w:space="0"/>
              <w:left w:val="single" w:color="auto" w:sz="4" w:space="0"/>
              <w:bottom w:val="single" w:color="auto" w:sz="4" w:space="0"/>
              <w:right w:val="single" w:color="auto" w:sz="4" w:space="0"/>
            </w:tcBorders>
            <w:vAlign w:val="center"/>
          </w:tcPr>
          <w:p w14:paraId="65412685">
            <w:pPr>
              <w:keepLines/>
              <w:wordWrap w:val="0"/>
              <w:spacing w:line="360" w:lineRule="auto"/>
              <w:rPr>
                <w:rFonts w:hint="eastAsia" w:ascii="宋体" w:hAnsi="宋体" w:cs="宋体"/>
                <w:color w:val="auto"/>
                <w:sz w:val="24"/>
                <w:highlight w:val="none"/>
              </w:rPr>
            </w:pPr>
            <w:r>
              <w:rPr>
                <w:rFonts w:hint="eastAsia" w:ascii="宋体" w:hAnsi="宋体" w:cs="宋体"/>
                <w:color w:val="auto"/>
                <w:sz w:val="24"/>
                <w:highlight w:val="none"/>
              </w:rPr>
              <w:t>现场提交质疑办理业务时间</w:t>
            </w:r>
          </w:p>
        </w:tc>
        <w:tc>
          <w:tcPr>
            <w:tcW w:w="6935" w:type="dxa"/>
            <w:tcBorders>
              <w:top w:val="single" w:color="auto" w:sz="4" w:space="0"/>
              <w:left w:val="single" w:color="auto" w:sz="4" w:space="0"/>
              <w:bottom w:val="single" w:color="auto" w:sz="4" w:space="0"/>
              <w:right w:val="single" w:color="auto" w:sz="4" w:space="0"/>
            </w:tcBorders>
            <w:vAlign w:val="center"/>
          </w:tcPr>
          <w:p w14:paraId="6FAEA53D">
            <w:pPr>
              <w:keepLines/>
              <w:wordWrap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质疑期内每个工作日</w:t>
            </w:r>
            <w:r>
              <w:rPr>
                <w:rFonts w:hint="eastAsia" w:ascii="宋体" w:hAnsi="宋体" w:cs="宋体"/>
                <w:color w:val="auto"/>
                <w:sz w:val="24"/>
                <w:highlight w:val="none"/>
                <w:u w:val="single"/>
              </w:rPr>
              <w:t xml:space="preserve"> :09 </w:t>
            </w:r>
            <w:r>
              <w:rPr>
                <w:rFonts w:hint="eastAsia" w:ascii="宋体" w:hAnsi="宋体" w:cs="宋体"/>
                <w:color w:val="auto"/>
                <w:sz w:val="24"/>
                <w:highlight w:val="none"/>
              </w:rPr>
              <w:t>时</w:t>
            </w:r>
            <w:r>
              <w:rPr>
                <w:rFonts w:hint="eastAsia" w:ascii="宋体" w:hAnsi="宋体" w:cs="宋体"/>
                <w:color w:val="auto"/>
                <w:sz w:val="24"/>
                <w:highlight w:val="none"/>
                <w:u w:val="single"/>
              </w:rPr>
              <w:t xml:space="preserve"> 30 </w:t>
            </w:r>
            <w:r>
              <w:rPr>
                <w:rFonts w:hint="eastAsia" w:ascii="宋体" w:hAnsi="宋体" w:cs="宋体"/>
                <w:color w:val="auto"/>
                <w:sz w:val="24"/>
                <w:highlight w:val="none"/>
              </w:rPr>
              <w:t>分到</w:t>
            </w:r>
            <w:r>
              <w:rPr>
                <w:rFonts w:hint="eastAsia" w:ascii="宋体" w:hAnsi="宋体" w:cs="宋体"/>
                <w:color w:val="auto"/>
                <w:sz w:val="24"/>
                <w:highlight w:val="none"/>
                <w:u w:val="single"/>
              </w:rPr>
              <w:t xml:space="preserve"> 12  </w:t>
            </w:r>
            <w:r>
              <w:rPr>
                <w:rFonts w:hint="eastAsia" w:ascii="宋体" w:hAnsi="宋体" w:cs="宋体"/>
                <w:color w:val="auto"/>
                <w:sz w:val="24"/>
                <w:highlight w:val="none"/>
              </w:rPr>
              <w:t>时</w:t>
            </w:r>
            <w:r>
              <w:rPr>
                <w:rFonts w:hint="eastAsia" w:ascii="宋体" w:hAnsi="宋体" w:cs="宋体"/>
                <w:color w:val="auto"/>
                <w:sz w:val="24"/>
                <w:highlight w:val="none"/>
                <w:u w:val="single"/>
              </w:rPr>
              <w:t xml:space="preserve"> 00 </w:t>
            </w:r>
            <w:r>
              <w:rPr>
                <w:rFonts w:hint="eastAsia" w:ascii="宋体" w:hAnsi="宋体" w:cs="宋体"/>
                <w:color w:val="auto"/>
                <w:sz w:val="24"/>
                <w:highlight w:val="none"/>
              </w:rPr>
              <w:t>分，</w:t>
            </w:r>
            <w:r>
              <w:rPr>
                <w:rFonts w:hint="eastAsia" w:ascii="宋体" w:hAnsi="宋体" w:cs="宋体"/>
                <w:color w:val="auto"/>
                <w:sz w:val="24"/>
                <w:highlight w:val="none"/>
                <w:u w:val="single"/>
              </w:rPr>
              <w:t xml:space="preserve"> 15</w:t>
            </w:r>
            <w:r>
              <w:rPr>
                <w:rFonts w:hint="eastAsia" w:ascii="宋体" w:hAnsi="宋体" w:cs="宋体"/>
                <w:color w:val="auto"/>
                <w:sz w:val="24"/>
                <w:highlight w:val="none"/>
              </w:rPr>
              <w:t>时</w:t>
            </w:r>
            <w:r>
              <w:rPr>
                <w:rFonts w:hint="eastAsia" w:ascii="宋体" w:hAnsi="宋体" w:cs="宋体"/>
                <w:color w:val="auto"/>
                <w:sz w:val="24"/>
                <w:highlight w:val="none"/>
                <w:u w:val="single"/>
              </w:rPr>
              <w:t xml:space="preserve"> 00 </w:t>
            </w:r>
            <w:r>
              <w:rPr>
                <w:rFonts w:hint="eastAsia" w:ascii="宋体" w:hAnsi="宋体" w:cs="宋体"/>
                <w:color w:val="auto"/>
                <w:sz w:val="24"/>
                <w:highlight w:val="none"/>
              </w:rPr>
              <w:t>分到</w:t>
            </w:r>
            <w:r>
              <w:rPr>
                <w:rFonts w:hint="eastAsia" w:ascii="宋体" w:hAnsi="宋体" w:cs="宋体"/>
                <w:color w:val="auto"/>
                <w:sz w:val="24"/>
                <w:highlight w:val="none"/>
                <w:u w:val="single"/>
              </w:rPr>
              <w:t xml:space="preserve"> 18 </w:t>
            </w:r>
            <w:r>
              <w:rPr>
                <w:rFonts w:hint="eastAsia" w:ascii="宋体" w:hAnsi="宋体" w:cs="宋体"/>
                <w:color w:val="auto"/>
                <w:sz w:val="24"/>
                <w:highlight w:val="none"/>
              </w:rPr>
              <w:t>时</w:t>
            </w:r>
            <w:r>
              <w:rPr>
                <w:rFonts w:hint="eastAsia" w:ascii="宋体" w:hAnsi="宋体" w:cs="宋体"/>
                <w:color w:val="auto"/>
                <w:sz w:val="24"/>
                <w:highlight w:val="none"/>
                <w:u w:val="single"/>
              </w:rPr>
              <w:t xml:space="preserve">00 </w:t>
            </w:r>
            <w:r>
              <w:rPr>
                <w:rFonts w:hint="eastAsia" w:ascii="宋体" w:hAnsi="宋体" w:cs="宋体"/>
                <w:color w:val="auto"/>
                <w:sz w:val="24"/>
                <w:highlight w:val="none"/>
              </w:rPr>
              <w:t>分</w:t>
            </w:r>
          </w:p>
        </w:tc>
      </w:tr>
      <w:tr w14:paraId="1E032A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75" w:type="dxa"/>
            <w:tcBorders>
              <w:top w:val="nil"/>
              <w:left w:val="single" w:color="auto" w:sz="4" w:space="0"/>
              <w:bottom w:val="single" w:color="auto" w:sz="4" w:space="0"/>
              <w:right w:val="single" w:color="auto" w:sz="4" w:space="0"/>
            </w:tcBorders>
            <w:vAlign w:val="center"/>
          </w:tcPr>
          <w:p w14:paraId="47E20AE4">
            <w:pPr>
              <w:keepLines/>
              <w:wordWrap w:val="0"/>
              <w:spacing w:line="360" w:lineRule="auto"/>
              <w:rPr>
                <w:rFonts w:hint="eastAsia" w:ascii="宋体" w:hAnsi="宋体" w:cs="宋体"/>
                <w:color w:val="auto"/>
                <w:sz w:val="24"/>
                <w:highlight w:val="none"/>
              </w:rPr>
            </w:pPr>
            <w:r>
              <w:rPr>
                <w:rFonts w:hint="eastAsia" w:ascii="宋体" w:hAnsi="宋体" w:cs="宋体"/>
                <w:color w:val="auto"/>
                <w:sz w:val="24"/>
                <w:highlight w:val="none"/>
              </w:rPr>
              <w:t>38.3.1</w:t>
            </w:r>
          </w:p>
        </w:tc>
        <w:tc>
          <w:tcPr>
            <w:tcW w:w="2630" w:type="dxa"/>
            <w:tcBorders>
              <w:top w:val="single" w:color="auto" w:sz="4" w:space="0"/>
              <w:left w:val="single" w:color="auto" w:sz="4" w:space="0"/>
              <w:bottom w:val="single" w:color="auto" w:sz="4" w:space="0"/>
              <w:right w:val="single" w:color="auto" w:sz="4" w:space="0"/>
            </w:tcBorders>
            <w:vAlign w:val="center"/>
          </w:tcPr>
          <w:p w14:paraId="175DECF1">
            <w:pPr>
              <w:keepLines/>
              <w:wordWrap w:val="0"/>
              <w:spacing w:line="360" w:lineRule="auto"/>
              <w:rPr>
                <w:rFonts w:hint="eastAsia" w:ascii="宋体" w:hAnsi="宋体" w:cs="宋体"/>
                <w:color w:val="auto"/>
                <w:sz w:val="24"/>
                <w:highlight w:val="none"/>
              </w:rPr>
            </w:pPr>
            <w:r>
              <w:rPr>
                <w:rFonts w:hint="eastAsia" w:ascii="宋体" w:hAnsi="宋体" w:cs="宋体"/>
                <w:color w:val="auto"/>
                <w:sz w:val="24"/>
                <w:highlight w:val="none"/>
              </w:rPr>
              <w:t>投诉受理方式</w:t>
            </w:r>
          </w:p>
        </w:tc>
        <w:tc>
          <w:tcPr>
            <w:tcW w:w="6935" w:type="dxa"/>
            <w:tcBorders>
              <w:top w:val="single" w:color="auto" w:sz="4" w:space="0"/>
              <w:left w:val="single" w:color="auto" w:sz="4" w:space="0"/>
              <w:bottom w:val="single" w:color="auto" w:sz="4" w:space="0"/>
              <w:right w:val="single" w:color="auto" w:sz="4" w:space="0"/>
            </w:tcBorders>
            <w:vAlign w:val="center"/>
          </w:tcPr>
          <w:p w14:paraId="26B092F7">
            <w:pPr>
              <w:keepLines/>
              <w:wordWrap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1、受理方式：纸质方式受理，投诉书正、副本（经过质疑的事项才可投诉）。</w:t>
            </w:r>
          </w:p>
          <w:p w14:paraId="3933045C">
            <w:pPr>
              <w:keepLines/>
              <w:wordWrap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2、邮寄地址：</w:t>
            </w:r>
          </w:p>
          <w:p w14:paraId="2D40DECC">
            <w:pPr>
              <w:keepLines/>
              <w:wordWrap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名称：</w:t>
            </w:r>
            <w:bookmarkStart w:id="32" w:name="PO_3000001866_PM036"/>
            <w:r>
              <w:rPr>
                <w:rFonts w:hint="eastAsia" w:ascii="宋体" w:hAnsi="宋体" w:cs="宋体"/>
                <w:color w:val="auto"/>
                <w:sz w:val="24"/>
                <w:highlight w:val="none"/>
              </w:rPr>
              <w:t>南宁市财政局政府采购监督管理科</w:t>
            </w:r>
            <w:bookmarkEnd w:id="32"/>
          </w:p>
          <w:p w14:paraId="747B9510">
            <w:pPr>
              <w:keepLines/>
              <w:wordWrap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地址：</w:t>
            </w:r>
            <w:bookmarkStart w:id="33" w:name="PO_3000001866_PM039"/>
            <w:r>
              <w:rPr>
                <w:rFonts w:hint="eastAsia" w:ascii="宋体" w:hAnsi="宋体" w:cs="宋体"/>
                <w:color w:val="auto"/>
                <w:sz w:val="24"/>
                <w:highlight w:val="none"/>
              </w:rPr>
              <w:t xml:space="preserve">南宁市东葛路129号   </w:t>
            </w:r>
            <w:bookmarkEnd w:id="33"/>
          </w:p>
          <w:p w14:paraId="6B4D29E2">
            <w:pPr>
              <w:keepLines/>
              <w:wordWrap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联系电话：</w:t>
            </w:r>
            <w:bookmarkStart w:id="34" w:name="PO_3000001866_PM038_1"/>
            <w:r>
              <w:rPr>
                <w:rFonts w:hint="eastAsia" w:ascii="宋体" w:hAnsi="宋体" w:cs="宋体"/>
                <w:color w:val="auto"/>
                <w:sz w:val="24"/>
                <w:highlight w:val="none"/>
              </w:rPr>
              <w:t>0771-2189091</w:t>
            </w:r>
            <w:bookmarkEnd w:id="34"/>
          </w:p>
        </w:tc>
      </w:tr>
      <w:tr w14:paraId="151875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507795D0">
            <w:pPr>
              <w:keepLines/>
              <w:wordWrap w:val="0"/>
              <w:spacing w:line="360" w:lineRule="auto"/>
              <w:rPr>
                <w:rFonts w:hint="eastAsia" w:ascii="宋体" w:hAnsi="宋体" w:cs="宋体"/>
                <w:color w:val="auto"/>
                <w:sz w:val="24"/>
                <w:highlight w:val="none"/>
              </w:rPr>
            </w:pPr>
            <w:r>
              <w:rPr>
                <w:rFonts w:hint="eastAsia" w:ascii="宋体" w:hAnsi="宋体" w:cs="宋体"/>
                <w:color w:val="auto"/>
                <w:sz w:val="24"/>
                <w:highlight w:val="none"/>
              </w:rPr>
              <w:t>40</w:t>
            </w:r>
          </w:p>
        </w:tc>
        <w:tc>
          <w:tcPr>
            <w:tcW w:w="2630" w:type="dxa"/>
            <w:tcBorders>
              <w:top w:val="single" w:color="auto" w:sz="4" w:space="0"/>
              <w:left w:val="single" w:color="auto" w:sz="4" w:space="0"/>
              <w:bottom w:val="single" w:color="auto" w:sz="4" w:space="0"/>
              <w:right w:val="single" w:color="auto" w:sz="4" w:space="0"/>
            </w:tcBorders>
            <w:vAlign w:val="center"/>
          </w:tcPr>
          <w:p w14:paraId="1589C940">
            <w:pPr>
              <w:keepLines/>
              <w:wordWrap w:val="0"/>
              <w:spacing w:line="360" w:lineRule="auto"/>
              <w:rPr>
                <w:rFonts w:hint="eastAsia" w:ascii="宋体" w:hAnsi="宋体" w:cs="宋体"/>
                <w:color w:val="auto"/>
                <w:sz w:val="24"/>
                <w:highlight w:val="none"/>
              </w:rPr>
            </w:pPr>
            <w:bookmarkStart w:id="35" w:name="_42"/>
            <w:bookmarkEnd w:id="35"/>
            <w:bookmarkStart w:id="36" w:name="_41"/>
            <w:bookmarkEnd w:id="36"/>
            <w:r>
              <w:rPr>
                <w:rFonts w:hint="eastAsia" w:ascii="宋体" w:hAnsi="宋体" w:cs="宋体"/>
                <w:color w:val="auto"/>
                <w:sz w:val="24"/>
                <w:highlight w:val="none"/>
              </w:rPr>
              <w:t>采购代理费支付方式</w:t>
            </w:r>
          </w:p>
        </w:tc>
        <w:tc>
          <w:tcPr>
            <w:tcW w:w="6935" w:type="dxa"/>
            <w:tcBorders>
              <w:top w:val="single" w:color="auto" w:sz="4" w:space="0"/>
              <w:left w:val="single" w:color="auto" w:sz="4" w:space="0"/>
              <w:bottom w:val="single" w:color="auto" w:sz="4" w:space="0"/>
              <w:right w:val="single" w:color="auto" w:sz="4" w:space="0"/>
            </w:tcBorders>
            <w:vAlign w:val="center"/>
          </w:tcPr>
          <w:p w14:paraId="2765AC69">
            <w:pPr>
              <w:pStyle w:val="14"/>
              <w:keepLines/>
              <w:wordWrap w:val="0"/>
              <w:snapToGrid w:val="0"/>
              <w:spacing w:line="360" w:lineRule="auto"/>
              <w:rPr>
                <w:rFonts w:hint="eastAsia" w:hAnsi="宋体" w:cs="宋体"/>
                <w:color w:val="auto"/>
                <w:sz w:val="24"/>
                <w:szCs w:val="24"/>
                <w:highlight w:val="none"/>
              </w:rPr>
            </w:pPr>
            <w:r>
              <w:rPr>
                <w:rFonts w:ascii="Segoe UI Symbol" w:hAnsi="Segoe UI Symbol" w:cs="Segoe UI Symbol"/>
                <w:color w:val="auto"/>
                <w:sz w:val="24"/>
                <w:szCs w:val="24"/>
                <w:highlight w:val="none"/>
              </w:rPr>
              <w:t>☑</w:t>
            </w:r>
            <w:r>
              <w:rPr>
                <w:rFonts w:hint="eastAsia" w:hAnsi="宋体" w:cs="宋体"/>
                <w:color w:val="auto"/>
                <w:sz w:val="24"/>
                <w:szCs w:val="24"/>
                <w:highlight w:val="none"/>
              </w:rPr>
              <w:t>本项目代理服务费由</w:t>
            </w:r>
            <w:r>
              <w:rPr>
                <w:rFonts w:hint="eastAsia" w:hAnsi="宋体" w:cs="宋体"/>
                <w:color w:val="auto"/>
                <w:sz w:val="24"/>
                <w:szCs w:val="24"/>
                <w:highlight w:val="none"/>
                <w:u w:val="single"/>
              </w:rPr>
              <w:t>中标供应商</w:t>
            </w:r>
            <w:r>
              <w:rPr>
                <w:rFonts w:hint="eastAsia" w:hAnsi="宋体" w:cs="宋体"/>
                <w:color w:val="auto"/>
                <w:sz w:val="24"/>
                <w:szCs w:val="24"/>
                <w:highlight w:val="none"/>
              </w:rPr>
              <w:t>在领取中标通知书时，一次性向采购代理机构支付。</w:t>
            </w:r>
          </w:p>
          <w:p w14:paraId="7A79E186">
            <w:pPr>
              <w:pStyle w:val="14"/>
              <w:keepLines/>
              <w:wordWrap w:val="0"/>
              <w:snapToGrid w:val="0"/>
              <w:spacing w:line="360" w:lineRule="auto"/>
              <w:rPr>
                <w:rFonts w:hint="eastAsia" w:hAnsi="宋体" w:cs="宋体"/>
                <w:color w:val="auto"/>
                <w:sz w:val="24"/>
                <w:szCs w:val="24"/>
                <w:highlight w:val="none"/>
              </w:rPr>
            </w:pPr>
            <w:r>
              <w:rPr>
                <w:rFonts w:hint="eastAsia" w:hAnsi="宋体" w:cs="宋体"/>
                <w:color w:val="auto"/>
                <w:sz w:val="24"/>
                <w:szCs w:val="24"/>
                <w:highlight w:val="none"/>
              </w:rPr>
              <w:t>□采购人支付。</w:t>
            </w:r>
          </w:p>
          <w:p w14:paraId="48F17D73">
            <w:pPr>
              <w:pStyle w:val="14"/>
              <w:keepLines/>
              <w:wordWrap w:val="0"/>
              <w:snapToGrid w:val="0"/>
              <w:spacing w:line="360" w:lineRule="auto"/>
              <w:rPr>
                <w:rFonts w:hint="eastAsia" w:hAnsi="宋体" w:cs="宋体"/>
                <w:color w:val="auto"/>
                <w:sz w:val="24"/>
                <w:szCs w:val="24"/>
                <w:highlight w:val="none"/>
              </w:rPr>
            </w:pPr>
            <w:r>
              <w:rPr>
                <w:rFonts w:hint="eastAsia" w:hAnsi="宋体" w:cs="宋体"/>
                <w:color w:val="auto"/>
                <w:sz w:val="24"/>
                <w:szCs w:val="24"/>
                <w:highlight w:val="none"/>
              </w:rPr>
              <w:t>□本项目不收取代理服务费。</w:t>
            </w:r>
          </w:p>
        </w:tc>
      </w:tr>
      <w:tr w14:paraId="3D3A5B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87"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3E422C3C">
            <w:pPr>
              <w:keepLines/>
              <w:widowControl/>
              <w:wordWrap w:val="0"/>
              <w:spacing w:line="360" w:lineRule="auto"/>
              <w:jc w:val="left"/>
              <w:rPr>
                <w:rFonts w:hint="eastAsia" w:ascii="宋体" w:hAnsi="宋体" w:cs="宋体"/>
                <w:color w:val="auto"/>
                <w:sz w:val="24"/>
                <w:highlight w:val="none"/>
              </w:rPr>
            </w:pPr>
          </w:p>
        </w:tc>
        <w:tc>
          <w:tcPr>
            <w:tcW w:w="2630" w:type="dxa"/>
            <w:tcBorders>
              <w:top w:val="single" w:color="auto" w:sz="4" w:space="0"/>
              <w:left w:val="single" w:color="auto" w:sz="4" w:space="0"/>
              <w:bottom w:val="single" w:color="auto" w:sz="4" w:space="0"/>
              <w:right w:val="single" w:color="auto" w:sz="4" w:space="0"/>
            </w:tcBorders>
            <w:vAlign w:val="center"/>
          </w:tcPr>
          <w:p w14:paraId="698304A0">
            <w:pPr>
              <w:keepLines/>
              <w:wordWrap w:val="0"/>
              <w:spacing w:line="360" w:lineRule="auto"/>
              <w:rPr>
                <w:rFonts w:hint="eastAsia" w:ascii="宋体" w:hAnsi="宋体" w:cs="宋体"/>
                <w:color w:val="auto"/>
                <w:sz w:val="24"/>
                <w:highlight w:val="none"/>
              </w:rPr>
            </w:pPr>
            <w:r>
              <w:rPr>
                <w:rFonts w:hint="eastAsia" w:asciiTheme="minorEastAsia" w:hAnsiTheme="minorEastAsia" w:eastAsiaTheme="minorEastAsia" w:cstheme="minorEastAsia"/>
                <w:color w:val="auto"/>
                <w:sz w:val="24"/>
                <w:highlight w:val="none"/>
              </w:rPr>
              <w:t>采购代理费收取标准</w:t>
            </w:r>
          </w:p>
        </w:tc>
        <w:tc>
          <w:tcPr>
            <w:tcW w:w="6935" w:type="dxa"/>
            <w:tcBorders>
              <w:top w:val="single" w:color="auto" w:sz="4" w:space="0"/>
              <w:left w:val="single" w:color="auto" w:sz="4" w:space="0"/>
              <w:bottom w:val="single" w:color="auto" w:sz="4" w:space="0"/>
              <w:right w:val="single" w:color="auto" w:sz="4" w:space="0"/>
            </w:tcBorders>
            <w:vAlign w:val="center"/>
          </w:tcPr>
          <w:p w14:paraId="45A76E79">
            <w:pPr>
              <w:keepLines/>
              <w:wordWrap w:val="0"/>
              <w:snapToGrid w:val="0"/>
              <w:spacing w:line="360" w:lineRule="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bidi="ar"/>
              </w:rPr>
              <w:t>1. 是否收取采购代理费：</w:t>
            </w:r>
          </w:p>
          <w:p w14:paraId="44744BAB">
            <w:pPr>
              <w:keepLines/>
              <w:wordWrap w:val="0"/>
              <w:snapToGrid w:val="0"/>
              <w:spacing w:line="360" w:lineRule="auto"/>
              <w:rPr>
                <w:rFonts w:hint="eastAsia" w:asciiTheme="minorEastAsia" w:hAnsiTheme="minorEastAsia" w:eastAsiaTheme="minorEastAsia" w:cstheme="minorEastAsia"/>
                <w:color w:val="auto"/>
                <w:kern w:val="0"/>
                <w:sz w:val="24"/>
                <w:highlight w:val="none"/>
              </w:rPr>
            </w:pPr>
            <w:r>
              <w:rPr>
                <w:rFonts w:ascii="Segoe UI Symbol" w:hAnsi="Segoe UI Symbol" w:cs="Segoe UI Symbol" w:eastAsiaTheme="minorEastAsia"/>
                <w:color w:val="auto"/>
                <w:kern w:val="0"/>
                <w:sz w:val="24"/>
                <w:highlight w:val="none"/>
                <w:lang w:bidi="ar"/>
              </w:rPr>
              <w:t>☑</w:t>
            </w:r>
            <w:r>
              <w:rPr>
                <w:rFonts w:hint="eastAsia" w:asciiTheme="minorEastAsia" w:hAnsiTheme="minorEastAsia" w:eastAsiaTheme="minorEastAsia" w:cstheme="minorEastAsia"/>
                <w:color w:val="auto"/>
                <w:kern w:val="0"/>
                <w:sz w:val="24"/>
                <w:highlight w:val="none"/>
                <w:lang w:bidi="ar"/>
              </w:rPr>
              <w:t xml:space="preserve"> 是    □ 否</w:t>
            </w:r>
          </w:p>
          <w:p w14:paraId="7D74AE4D">
            <w:pPr>
              <w:keepLines/>
              <w:wordWrap w:val="0"/>
              <w:snapToGrid w:val="0"/>
              <w:spacing w:line="360" w:lineRule="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bidi="ar"/>
              </w:rPr>
              <w:t>2.采购代理费支付方式：</w:t>
            </w:r>
          </w:p>
          <w:p w14:paraId="1FE983F9">
            <w:pPr>
              <w:keepLines/>
              <w:wordWrap w:val="0"/>
              <w:snapToGrid w:val="0"/>
              <w:spacing w:line="360" w:lineRule="auto"/>
              <w:rPr>
                <w:rFonts w:hint="eastAsia" w:asciiTheme="minorEastAsia" w:hAnsiTheme="minorEastAsia" w:eastAsiaTheme="minorEastAsia" w:cstheme="minorEastAsia"/>
                <w:color w:val="auto"/>
                <w:kern w:val="0"/>
                <w:sz w:val="24"/>
                <w:highlight w:val="none"/>
              </w:rPr>
            </w:pPr>
            <w:r>
              <w:rPr>
                <w:rFonts w:ascii="Segoe UI Symbol" w:hAnsi="Segoe UI Symbol" w:cs="Segoe UI Symbol" w:eastAsiaTheme="minorEastAsia"/>
                <w:color w:val="auto"/>
                <w:kern w:val="0"/>
                <w:sz w:val="24"/>
                <w:highlight w:val="none"/>
                <w:lang w:bidi="ar"/>
              </w:rPr>
              <w:t>☑</w:t>
            </w:r>
            <w:r>
              <w:rPr>
                <w:rFonts w:hint="eastAsia" w:asciiTheme="minorEastAsia" w:hAnsiTheme="minorEastAsia" w:eastAsiaTheme="minorEastAsia" w:cstheme="minorEastAsia"/>
                <w:color w:val="auto"/>
                <w:kern w:val="0"/>
                <w:sz w:val="24"/>
                <w:highlight w:val="none"/>
                <w:lang w:bidi="ar"/>
              </w:rPr>
              <w:t xml:space="preserve"> 本项目代理服务费由</w:t>
            </w:r>
            <w:r>
              <w:rPr>
                <w:rFonts w:hint="eastAsia" w:asciiTheme="minorEastAsia" w:hAnsiTheme="minorEastAsia" w:eastAsiaTheme="minorEastAsia" w:cstheme="minorEastAsia"/>
                <w:color w:val="auto"/>
                <w:kern w:val="0"/>
                <w:sz w:val="24"/>
                <w:highlight w:val="none"/>
                <w:u w:val="single"/>
                <w:lang w:bidi="ar"/>
              </w:rPr>
              <w:t>中标供应商</w:t>
            </w:r>
            <w:r>
              <w:rPr>
                <w:rFonts w:hint="eastAsia" w:asciiTheme="minorEastAsia" w:hAnsiTheme="minorEastAsia" w:eastAsiaTheme="minorEastAsia" w:cstheme="minorEastAsia"/>
                <w:color w:val="auto"/>
                <w:kern w:val="0"/>
                <w:sz w:val="24"/>
                <w:highlight w:val="none"/>
                <w:lang w:bidi="ar"/>
              </w:rPr>
              <w:t>领取成交通知书</w:t>
            </w:r>
            <w:r>
              <w:rPr>
                <w:rFonts w:hint="eastAsia" w:asciiTheme="minorEastAsia" w:hAnsiTheme="minorEastAsia" w:eastAsiaTheme="minorEastAsia" w:cstheme="minorEastAsia"/>
                <w:color w:val="auto"/>
                <w:kern w:val="0"/>
                <w:sz w:val="24"/>
                <w:highlight w:val="none"/>
                <w:lang w:val="en-US" w:eastAsia="zh-CN" w:bidi="ar"/>
              </w:rPr>
              <w:t>时</w:t>
            </w:r>
            <w:r>
              <w:rPr>
                <w:rFonts w:hint="eastAsia" w:asciiTheme="minorEastAsia" w:hAnsiTheme="minorEastAsia" w:eastAsiaTheme="minorEastAsia" w:cstheme="minorEastAsia"/>
                <w:color w:val="auto"/>
                <w:kern w:val="0"/>
                <w:sz w:val="24"/>
                <w:highlight w:val="none"/>
                <w:lang w:bidi="ar"/>
              </w:rPr>
              <w:t>，一次性向采购代理机构支付。</w:t>
            </w:r>
          </w:p>
          <w:p w14:paraId="16693720">
            <w:pPr>
              <w:keepLines/>
              <w:wordWrap w:val="0"/>
              <w:snapToGrid w:val="0"/>
              <w:spacing w:line="360" w:lineRule="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bidi="ar"/>
              </w:rPr>
              <w:t>□采购人支付。</w:t>
            </w:r>
          </w:p>
          <w:p w14:paraId="6F176E08">
            <w:pPr>
              <w:keepLines/>
              <w:wordWrap w:val="0"/>
              <w:snapToGrid w:val="0"/>
              <w:spacing w:line="360" w:lineRule="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bidi="ar"/>
              </w:rPr>
              <w:t>3.采购代理费收取标准：</w:t>
            </w:r>
          </w:p>
          <w:p w14:paraId="2D85C843">
            <w:pPr>
              <w:keepLines/>
              <w:wordWrap w:val="0"/>
              <w:snapToGrid w:val="0"/>
              <w:spacing w:line="360" w:lineRule="auto"/>
              <w:rPr>
                <w:rFonts w:hint="eastAsia" w:asciiTheme="minorEastAsia" w:hAnsiTheme="minorEastAsia" w:eastAsiaTheme="minorEastAsia" w:cstheme="minorEastAsia"/>
                <w:color w:val="auto"/>
                <w:sz w:val="24"/>
                <w:highlight w:val="none"/>
                <w:lang w:bidi="ar"/>
              </w:rPr>
            </w:pPr>
            <w:r>
              <w:rPr>
                <w:rFonts w:hint="eastAsia" w:ascii="Segoe UI Symbol" w:hAnsi="Segoe UI Symbol" w:cs="Segoe UI Symbol" w:eastAsiaTheme="minorEastAsia"/>
                <w:color w:val="auto"/>
                <w:sz w:val="24"/>
                <w:highlight w:val="none"/>
                <w:lang w:eastAsia="zh-CN" w:bidi="ar"/>
              </w:rPr>
              <w:t>☑</w:t>
            </w:r>
            <w:r>
              <w:rPr>
                <w:rFonts w:hint="eastAsia" w:asciiTheme="minorEastAsia" w:hAnsiTheme="minorEastAsia" w:eastAsiaTheme="minorEastAsia" w:cstheme="minorEastAsia"/>
                <w:color w:val="auto"/>
                <w:sz w:val="24"/>
                <w:highlight w:val="none"/>
                <w:lang w:bidi="ar"/>
              </w:rPr>
              <w:t>以分标（</w:t>
            </w:r>
            <w:r>
              <w:rPr>
                <w:rFonts w:hint="eastAsia" w:asciiTheme="minorEastAsia" w:hAnsiTheme="minorEastAsia" w:eastAsiaTheme="minorEastAsia" w:cstheme="minorEastAsia"/>
                <w:color w:val="auto"/>
                <w:sz w:val="24"/>
                <w:highlight w:val="none"/>
                <w:lang w:eastAsia="zh-CN" w:bidi="ar"/>
              </w:rPr>
              <w:t>☑</w:t>
            </w:r>
            <w:r>
              <w:rPr>
                <w:rFonts w:hint="eastAsia" w:asciiTheme="minorEastAsia" w:hAnsiTheme="minorEastAsia" w:eastAsiaTheme="minorEastAsia" w:cstheme="minorEastAsia"/>
                <w:color w:val="auto"/>
                <w:sz w:val="24"/>
                <w:highlight w:val="none"/>
                <w:lang w:bidi="ar"/>
              </w:rPr>
              <w:t>中标（成交）金额/</w:t>
            </w:r>
            <w:r>
              <w:rPr>
                <w:rFonts w:hint="eastAsia" w:asciiTheme="minorEastAsia" w:hAnsiTheme="minorEastAsia" w:eastAsiaTheme="minorEastAsia" w:cstheme="minorEastAsia"/>
                <w:color w:val="auto"/>
                <w:sz w:val="24"/>
                <w:highlight w:val="none"/>
                <w:lang w:bidi="ar"/>
              </w:rPr>
              <w:sym w:font="Wingdings 2" w:char="00A3"/>
            </w:r>
            <w:r>
              <w:rPr>
                <w:rFonts w:hint="eastAsia" w:asciiTheme="minorEastAsia" w:hAnsiTheme="minorEastAsia" w:eastAsiaTheme="minorEastAsia" w:cstheme="minorEastAsia"/>
                <w:color w:val="auto"/>
                <w:sz w:val="24"/>
                <w:highlight w:val="none"/>
                <w:lang w:bidi="ar"/>
              </w:rPr>
              <w:t>采购预算/□暂定成交金额/□其他</w:t>
            </w:r>
            <w:r>
              <w:rPr>
                <w:rFonts w:hint="eastAsia" w:asciiTheme="minorEastAsia" w:hAnsiTheme="minorEastAsia" w:eastAsiaTheme="minorEastAsia" w:cstheme="minorEastAsia"/>
                <w:color w:val="auto"/>
                <w:sz w:val="24"/>
                <w:highlight w:val="none"/>
                <w:u w:val="single"/>
                <w:lang w:bidi="ar"/>
              </w:rPr>
              <w:t xml:space="preserve">   </w:t>
            </w:r>
            <w:r>
              <w:rPr>
                <w:rFonts w:hint="eastAsia" w:asciiTheme="minorEastAsia" w:hAnsiTheme="minorEastAsia" w:eastAsiaTheme="minorEastAsia" w:cstheme="minorEastAsia"/>
                <w:color w:val="auto"/>
                <w:sz w:val="24"/>
                <w:highlight w:val="none"/>
                <w:lang w:bidi="ar"/>
              </w:rPr>
              <w:t>）为计费额，</w:t>
            </w:r>
          </w:p>
          <w:p w14:paraId="5F05CD00">
            <w:pPr>
              <w:keepLines/>
              <w:wordWrap w:val="0"/>
              <w:snapToGrid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bidi="ar"/>
              </w:rPr>
              <w:t>按</w:t>
            </w:r>
            <w:r>
              <w:rPr>
                <w:rFonts w:hint="eastAsia" w:asciiTheme="minorEastAsia" w:hAnsiTheme="minorEastAsia" w:eastAsiaTheme="minorEastAsia" w:cstheme="minorEastAsia"/>
                <w:color w:val="auto"/>
                <w:sz w:val="24"/>
                <w:highlight w:val="none"/>
                <w:u w:val="single"/>
                <w:lang w:bidi="ar"/>
              </w:rPr>
              <w:t>服务类</w:t>
            </w:r>
            <w:r>
              <w:rPr>
                <w:rFonts w:hint="eastAsia" w:asciiTheme="minorEastAsia" w:hAnsiTheme="minorEastAsia" w:eastAsiaTheme="minorEastAsia" w:cstheme="minorEastAsia"/>
                <w:color w:val="auto"/>
                <w:sz w:val="24"/>
                <w:highlight w:val="none"/>
                <w:lang w:bidi="ar"/>
              </w:rPr>
              <w:t>采用差额定率累进法计算出收费基准价格，采购代理收费以（</w:t>
            </w:r>
            <w:r>
              <w:rPr>
                <w:rFonts w:hint="eastAsia" w:asciiTheme="minorEastAsia" w:hAnsiTheme="minorEastAsia" w:eastAsiaTheme="minorEastAsia" w:cstheme="minorEastAsia"/>
                <w:color w:val="auto"/>
                <w:sz w:val="24"/>
                <w:highlight w:val="none"/>
                <w:lang w:eastAsia="zh-CN" w:bidi="ar"/>
              </w:rPr>
              <w:t>□</w:t>
            </w:r>
            <w:r>
              <w:rPr>
                <w:rFonts w:hint="eastAsia" w:asciiTheme="minorEastAsia" w:hAnsiTheme="minorEastAsia" w:eastAsiaTheme="minorEastAsia" w:cstheme="minorEastAsia"/>
                <w:color w:val="auto"/>
                <w:sz w:val="24"/>
                <w:highlight w:val="none"/>
                <w:lang w:bidi="ar"/>
              </w:rPr>
              <w:t>收费基准价格/</w:t>
            </w:r>
            <w:r>
              <w:rPr>
                <w:rFonts w:hint="eastAsia" w:asciiTheme="minorEastAsia" w:hAnsiTheme="minorEastAsia" w:eastAsiaTheme="minorEastAsia" w:cstheme="minorEastAsia"/>
                <w:color w:val="auto"/>
                <w:sz w:val="24"/>
                <w:highlight w:val="none"/>
                <w:lang w:eastAsia="zh-CN" w:bidi="ar"/>
              </w:rPr>
              <w:t>☑</w:t>
            </w:r>
            <w:r>
              <w:rPr>
                <w:rFonts w:hint="eastAsia" w:asciiTheme="minorEastAsia" w:hAnsiTheme="minorEastAsia" w:eastAsiaTheme="minorEastAsia" w:cstheme="minorEastAsia"/>
                <w:color w:val="auto"/>
                <w:sz w:val="24"/>
                <w:highlight w:val="none"/>
                <w:lang w:bidi="ar"/>
              </w:rPr>
              <w:t>收费基准价下浮</w:t>
            </w:r>
            <w:r>
              <w:rPr>
                <w:rFonts w:hint="eastAsia" w:asciiTheme="minorEastAsia" w:hAnsiTheme="minorEastAsia" w:eastAsiaTheme="minorEastAsia" w:cstheme="minorEastAsia"/>
                <w:color w:val="auto"/>
                <w:sz w:val="24"/>
                <w:highlight w:val="none"/>
                <w:u w:val="single"/>
                <w:lang w:bidi="ar"/>
              </w:rPr>
              <w:t xml:space="preserve"> </w:t>
            </w:r>
            <w:r>
              <w:rPr>
                <w:rFonts w:hint="eastAsia" w:asciiTheme="minorEastAsia" w:hAnsiTheme="minorEastAsia" w:eastAsiaTheme="minorEastAsia" w:cstheme="minorEastAsia"/>
                <w:color w:val="auto"/>
                <w:sz w:val="24"/>
                <w:highlight w:val="none"/>
                <w:u w:val="single"/>
                <w:lang w:val="en-US" w:eastAsia="zh-CN" w:bidi="ar"/>
              </w:rPr>
              <w:t>20%</w:t>
            </w:r>
            <w:r>
              <w:rPr>
                <w:rFonts w:hint="eastAsia" w:asciiTheme="minorEastAsia" w:hAnsiTheme="minorEastAsia" w:eastAsiaTheme="minorEastAsia" w:cstheme="minorEastAsia"/>
                <w:color w:val="auto"/>
                <w:sz w:val="24"/>
                <w:highlight w:val="none"/>
                <w:u w:val="single"/>
                <w:lang w:bidi="ar"/>
              </w:rPr>
              <w:t xml:space="preserve"> </w:t>
            </w:r>
            <w:r>
              <w:rPr>
                <w:rFonts w:hint="eastAsia" w:asciiTheme="minorEastAsia" w:hAnsiTheme="minorEastAsia" w:eastAsiaTheme="minorEastAsia" w:cstheme="minorEastAsia"/>
                <w:color w:val="auto"/>
                <w:sz w:val="24"/>
                <w:highlight w:val="none"/>
                <w:lang w:bidi="ar"/>
              </w:rPr>
              <w:t>/□收费基准价格上浮</w:t>
            </w:r>
            <w:r>
              <w:rPr>
                <w:rFonts w:hint="eastAsia" w:asciiTheme="minorEastAsia" w:hAnsiTheme="minorEastAsia" w:eastAsiaTheme="minorEastAsia" w:cstheme="minorEastAsia"/>
                <w:color w:val="auto"/>
                <w:sz w:val="24"/>
                <w:highlight w:val="none"/>
                <w:u w:val="single"/>
                <w:lang w:bidi="ar"/>
              </w:rPr>
              <w:t xml:space="preserve">  %</w:t>
            </w:r>
            <w:r>
              <w:rPr>
                <w:rFonts w:hint="eastAsia" w:asciiTheme="minorEastAsia" w:hAnsiTheme="minorEastAsia" w:eastAsiaTheme="minorEastAsia" w:cstheme="minorEastAsia"/>
                <w:color w:val="auto"/>
                <w:sz w:val="24"/>
                <w:highlight w:val="none"/>
                <w:lang w:bidi="ar"/>
              </w:rPr>
              <w:t>）计算。</w:t>
            </w:r>
          </w:p>
          <w:p w14:paraId="37B43107">
            <w:pPr>
              <w:keepLines/>
              <w:wordWrap w:val="0"/>
              <w:snapToGrid w:val="0"/>
              <w:spacing w:line="360" w:lineRule="auto"/>
              <w:rPr>
                <w:rFonts w:hint="eastAsia" w:asciiTheme="minorEastAsia" w:hAnsiTheme="minorEastAsia" w:eastAsiaTheme="minorEastAsia" w:cstheme="minorEastAsia"/>
                <w:color w:val="auto"/>
                <w:sz w:val="24"/>
                <w:highlight w:val="none"/>
                <w:u w:val="single"/>
                <w:lang w:bidi="ar"/>
              </w:rPr>
            </w:pPr>
            <w:r>
              <w:rPr>
                <w:rFonts w:hint="eastAsia" w:asciiTheme="minorEastAsia" w:hAnsiTheme="minorEastAsia" w:eastAsiaTheme="minorEastAsia" w:cstheme="minorEastAsia"/>
                <w:color w:val="auto"/>
                <w:sz w:val="24"/>
                <w:highlight w:val="none"/>
                <w:lang w:eastAsia="zh-CN" w:bidi="ar"/>
              </w:rPr>
              <w:t>□</w:t>
            </w:r>
            <w:r>
              <w:rPr>
                <w:rFonts w:hint="eastAsia" w:asciiTheme="minorEastAsia" w:hAnsiTheme="minorEastAsia" w:eastAsiaTheme="minorEastAsia" w:cstheme="minorEastAsia"/>
                <w:color w:val="auto"/>
                <w:sz w:val="24"/>
                <w:highlight w:val="none"/>
                <w:lang w:bidi="ar"/>
              </w:rPr>
              <w:t>固定采购代理收费</w:t>
            </w:r>
            <w:r>
              <w:rPr>
                <w:rFonts w:hint="eastAsia" w:asciiTheme="minorEastAsia" w:hAnsiTheme="minorEastAsia" w:eastAsiaTheme="minorEastAsia" w:cstheme="minorEastAsia"/>
                <w:color w:val="auto"/>
                <w:sz w:val="24"/>
                <w:highlight w:val="none"/>
                <w:u w:val="single"/>
                <w:lang w:bidi="ar"/>
              </w:rPr>
              <w:t xml:space="preserve">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u w:val="single"/>
                <w:lang w:bidi="ar"/>
              </w:rPr>
              <w:t xml:space="preserve"> 。</w:t>
            </w:r>
          </w:p>
          <w:p w14:paraId="346C581A">
            <w:pPr>
              <w:keepLines/>
              <w:wordWrap w:val="0"/>
              <w:snapToGrid w:val="0"/>
              <w:spacing w:line="360" w:lineRule="auto"/>
              <w:ind w:firstLine="482"/>
              <w:rPr>
                <w:rFonts w:hint="eastAsia" w:asciiTheme="minorEastAsia" w:hAnsiTheme="minorEastAsia" w:eastAsiaTheme="minorEastAsia" w:cstheme="minorEastAsia"/>
                <w:b/>
                <w:color w:val="auto"/>
                <w:sz w:val="24"/>
                <w:highlight w:val="none"/>
                <w:u w:val="single"/>
                <w:lang w:bidi="ar"/>
              </w:rPr>
            </w:pPr>
            <w:r>
              <w:rPr>
                <w:rFonts w:hint="eastAsia" w:asciiTheme="minorEastAsia" w:hAnsiTheme="minorEastAsia" w:eastAsiaTheme="minorEastAsia" w:cstheme="minorEastAsia"/>
                <w:b/>
                <w:color w:val="auto"/>
                <w:sz w:val="24"/>
                <w:highlight w:val="none"/>
                <w:u w:val="single"/>
                <w:lang w:bidi="ar"/>
              </w:rPr>
              <w:t>基准价计算标准如下：</w:t>
            </w:r>
          </w:p>
          <w:p w14:paraId="72A87988">
            <w:pPr>
              <w:pStyle w:val="14"/>
              <w:keepLines/>
              <w:wordWrap w:val="0"/>
              <w:spacing w:line="360" w:lineRule="auto"/>
              <w:ind w:firstLine="480" w:firstLineChars="200"/>
              <w:rPr>
                <w:rFonts w:hint="eastAsia" w:asciiTheme="minorEastAsia" w:hAnsiTheme="minorEastAsia" w:eastAsiaTheme="minorEastAsia" w:cstheme="minorEastAsia"/>
                <w:color w:val="auto"/>
                <w:sz w:val="24"/>
                <w:szCs w:val="24"/>
                <w:highlight w:val="none"/>
                <w:shd w:val="clear" w:color="auto" w:fill="FFFFFF"/>
              </w:rPr>
            </w:pPr>
            <w:r>
              <w:rPr>
                <w:rFonts w:hint="eastAsia" w:asciiTheme="minorEastAsia" w:hAnsiTheme="minorEastAsia" w:eastAsiaTheme="minorEastAsia" w:cstheme="minorEastAsia"/>
                <w:color w:val="auto"/>
                <w:sz w:val="24"/>
                <w:szCs w:val="24"/>
                <w:highlight w:val="none"/>
                <w:shd w:val="clear" w:color="auto" w:fill="FFFFFF"/>
              </w:rPr>
              <w:t>参照国家发展改革委关于进一步放开建设项目专业服务价格的通知发改价格〔2015〕299号文要求，采用差额定率累进法计算，按下表的标准计取代理服务基准价：</w:t>
            </w:r>
          </w:p>
          <w:tbl>
            <w:tblPr>
              <w:tblStyle w:val="25"/>
              <w:tblpPr w:leftFromText="180" w:rightFromText="180" w:vertAnchor="text" w:horzAnchor="margin" w:tblpXSpec="center" w:tblpY="161"/>
              <w:tblW w:w="64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2"/>
              <w:gridCol w:w="1414"/>
              <w:gridCol w:w="1231"/>
              <w:gridCol w:w="1211"/>
            </w:tblGrid>
            <w:tr w14:paraId="581DA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2562" w:type="dxa"/>
                  <w:tcBorders>
                    <w:tl2br w:val="single" w:color="auto" w:sz="4" w:space="0"/>
                  </w:tcBorders>
                </w:tcPr>
                <w:p w14:paraId="6801B77B">
                  <w:pPr>
                    <w:keepLines/>
                    <w:wordWrap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费率</w:t>
                  </w:r>
                </w:p>
                <w:p w14:paraId="5DFBCF66">
                  <w:pPr>
                    <w:keepLines/>
                    <w:wordWrap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中标金额</w:t>
                  </w:r>
                </w:p>
              </w:tc>
              <w:tc>
                <w:tcPr>
                  <w:tcW w:w="1414" w:type="dxa"/>
                  <w:vAlign w:val="center"/>
                </w:tcPr>
                <w:p w14:paraId="75EFC3E4">
                  <w:pPr>
                    <w:keepLines/>
                    <w:wordWrap w:val="0"/>
                    <w:spacing w:line="360" w:lineRule="auto"/>
                    <w:ind w:firstLine="120" w:firstLineChars="50"/>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货物招标</w:t>
                  </w:r>
                </w:p>
              </w:tc>
              <w:tc>
                <w:tcPr>
                  <w:tcW w:w="1231" w:type="dxa"/>
                  <w:vAlign w:val="center"/>
                </w:tcPr>
                <w:p w14:paraId="35881370">
                  <w:pPr>
                    <w:keepLines/>
                    <w:wordWrap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服务招标</w:t>
                  </w:r>
                </w:p>
              </w:tc>
              <w:tc>
                <w:tcPr>
                  <w:tcW w:w="1211" w:type="dxa"/>
                  <w:vAlign w:val="center"/>
                </w:tcPr>
                <w:p w14:paraId="1E1ECAFE">
                  <w:pPr>
                    <w:keepLines/>
                    <w:wordWrap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工程招标</w:t>
                  </w:r>
                </w:p>
              </w:tc>
            </w:tr>
            <w:tr w14:paraId="2E8DD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2562" w:type="dxa"/>
                </w:tcPr>
                <w:p w14:paraId="6D58F98F">
                  <w:pPr>
                    <w:keepLines/>
                    <w:wordWrap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100万元以下</w:t>
                  </w:r>
                </w:p>
              </w:tc>
              <w:tc>
                <w:tcPr>
                  <w:tcW w:w="1414" w:type="dxa"/>
                </w:tcPr>
                <w:p w14:paraId="018933A5">
                  <w:pPr>
                    <w:keepLines/>
                    <w:wordWrap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1.5%</w:t>
                  </w:r>
                </w:p>
              </w:tc>
              <w:tc>
                <w:tcPr>
                  <w:tcW w:w="1231" w:type="dxa"/>
                </w:tcPr>
                <w:p w14:paraId="630E55F7">
                  <w:pPr>
                    <w:keepLines/>
                    <w:wordWrap w:val="0"/>
                    <w:spacing w:line="360" w:lineRule="auto"/>
                    <w:ind w:firstLine="240" w:firstLineChars="1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1.5%</w:t>
                  </w:r>
                </w:p>
              </w:tc>
              <w:tc>
                <w:tcPr>
                  <w:tcW w:w="1211" w:type="dxa"/>
                </w:tcPr>
                <w:p w14:paraId="5CC1FF05">
                  <w:pPr>
                    <w:keepLines/>
                    <w:wordWrap w:val="0"/>
                    <w:spacing w:line="360" w:lineRule="auto"/>
                    <w:ind w:firstLine="240" w:firstLineChars="1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1.0% </w:t>
                  </w:r>
                </w:p>
              </w:tc>
            </w:tr>
            <w:tr w14:paraId="1AB55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562" w:type="dxa"/>
                </w:tcPr>
                <w:p w14:paraId="02A551A2">
                  <w:pPr>
                    <w:keepLines/>
                    <w:wordWrap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100～500万元</w:t>
                  </w:r>
                </w:p>
              </w:tc>
              <w:tc>
                <w:tcPr>
                  <w:tcW w:w="1414" w:type="dxa"/>
                </w:tcPr>
                <w:p w14:paraId="27A610A7">
                  <w:pPr>
                    <w:keepLines/>
                    <w:wordWrap w:val="0"/>
                    <w:spacing w:line="360" w:lineRule="auto"/>
                    <w:ind w:firstLine="240" w:firstLineChars="1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w:t>
                  </w:r>
                </w:p>
              </w:tc>
              <w:tc>
                <w:tcPr>
                  <w:tcW w:w="1231" w:type="dxa"/>
                </w:tcPr>
                <w:p w14:paraId="3C3D6C40">
                  <w:pPr>
                    <w:keepLines/>
                    <w:wordWrap w:val="0"/>
                    <w:spacing w:line="360" w:lineRule="auto"/>
                    <w:ind w:firstLine="240" w:firstLineChars="1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0.8%</w:t>
                  </w:r>
                </w:p>
              </w:tc>
              <w:tc>
                <w:tcPr>
                  <w:tcW w:w="1211" w:type="dxa"/>
                </w:tcPr>
                <w:p w14:paraId="4A5A3061">
                  <w:pPr>
                    <w:keepLines/>
                    <w:wordWrap w:val="0"/>
                    <w:spacing w:line="360" w:lineRule="auto"/>
                    <w:ind w:firstLine="240" w:firstLineChars="1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0.7% </w:t>
                  </w:r>
                </w:p>
              </w:tc>
            </w:tr>
            <w:tr w14:paraId="1E7A6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562" w:type="dxa"/>
                </w:tcPr>
                <w:p w14:paraId="12AC93B1">
                  <w:pPr>
                    <w:keepLines/>
                    <w:wordWrap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500～1000万元</w:t>
                  </w:r>
                </w:p>
              </w:tc>
              <w:tc>
                <w:tcPr>
                  <w:tcW w:w="1414" w:type="dxa"/>
                </w:tcPr>
                <w:p w14:paraId="224AB4A8">
                  <w:pPr>
                    <w:keepLines/>
                    <w:wordWrap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0.8%</w:t>
                  </w:r>
                </w:p>
              </w:tc>
              <w:tc>
                <w:tcPr>
                  <w:tcW w:w="1231" w:type="dxa"/>
                </w:tcPr>
                <w:p w14:paraId="5AD0381B">
                  <w:pPr>
                    <w:keepLines/>
                    <w:wordWrap w:val="0"/>
                    <w:spacing w:line="360" w:lineRule="auto"/>
                    <w:ind w:firstLine="240" w:firstLineChars="1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0.45%</w:t>
                  </w:r>
                </w:p>
              </w:tc>
              <w:tc>
                <w:tcPr>
                  <w:tcW w:w="1211" w:type="dxa"/>
                </w:tcPr>
                <w:p w14:paraId="34378C66">
                  <w:pPr>
                    <w:keepLines/>
                    <w:wordWrap w:val="0"/>
                    <w:spacing w:line="360" w:lineRule="auto"/>
                    <w:ind w:firstLine="240" w:firstLineChars="1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0.55%</w:t>
                  </w:r>
                </w:p>
              </w:tc>
            </w:tr>
            <w:tr w14:paraId="0644F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2562" w:type="dxa"/>
                </w:tcPr>
                <w:p w14:paraId="736B28FD">
                  <w:pPr>
                    <w:keepLines/>
                    <w:wordWrap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1000～5000万元</w:t>
                  </w:r>
                </w:p>
              </w:tc>
              <w:tc>
                <w:tcPr>
                  <w:tcW w:w="1414" w:type="dxa"/>
                </w:tcPr>
                <w:p w14:paraId="4B336EE3">
                  <w:pPr>
                    <w:keepLines/>
                    <w:wordWrap w:val="0"/>
                    <w:spacing w:line="360" w:lineRule="auto"/>
                    <w:ind w:firstLine="240" w:firstLineChars="1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0.5%</w:t>
                  </w:r>
                </w:p>
              </w:tc>
              <w:tc>
                <w:tcPr>
                  <w:tcW w:w="1231" w:type="dxa"/>
                </w:tcPr>
                <w:p w14:paraId="3A8F9A97">
                  <w:pPr>
                    <w:keepLines/>
                    <w:wordWrap w:val="0"/>
                    <w:spacing w:line="360" w:lineRule="auto"/>
                    <w:ind w:firstLine="240" w:firstLineChars="1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0.25%</w:t>
                  </w:r>
                </w:p>
              </w:tc>
              <w:tc>
                <w:tcPr>
                  <w:tcW w:w="1211" w:type="dxa"/>
                </w:tcPr>
                <w:p w14:paraId="5EB8C3F6">
                  <w:pPr>
                    <w:keepLines/>
                    <w:wordWrap w:val="0"/>
                    <w:spacing w:line="360" w:lineRule="auto"/>
                    <w:ind w:firstLine="240" w:firstLineChars="1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0.35% </w:t>
                  </w:r>
                </w:p>
              </w:tc>
            </w:tr>
            <w:tr w14:paraId="20A5C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562" w:type="dxa"/>
                </w:tcPr>
                <w:p w14:paraId="3734C029">
                  <w:pPr>
                    <w:keepLines/>
                    <w:wordWrap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5000万元～1亿元</w:t>
                  </w:r>
                </w:p>
              </w:tc>
              <w:tc>
                <w:tcPr>
                  <w:tcW w:w="1414" w:type="dxa"/>
                </w:tcPr>
                <w:p w14:paraId="2BC634D0">
                  <w:pPr>
                    <w:keepLines/>
                    <w:wordWrap w:val="0"/>
                    <w:spacing w:line="360" w:lineRule="auto"/>
                    <w:ind w:firstLine="240" w:firstLineChars="1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0.25%</w:t>
                  </w:r>
                </w:p>
              </w:tc>
              <w:tc>
                <w:tcPr>
                  <w:tcW w:w="1231" w:type="dxa"/>
                </w:tcPr>
                <w:p w14:paraId="154A5B5C">
                  <w:pPr>
                    <w:keepLines/>
                    <w:wordWrap w:val="0"/>
                    <w:spacing w:line="360" w:lineRule="auto"/>
                    <w:ind w:firstLine="240" w:firstLineChars="1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0.1%</w:t>
                  </w:r>
                </w:p>
              </w:tc>
              <w:tc>
                <w:tcPr>
                  <w:tcW w:w="1211" w:type="dxa"/>
                </w:tcPr>
                <w:p w14:paraId="46D468A5">
                  <w:pPr>
                    <w:keepLines/>
                    <w:wordWrap w:val="0"/>
                    <w:spacing w:line="360" w:lineRule="auto"/>
                    <w:ind w:firstLine="240" w:firstLineChars="1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0.2%</w:t>
                  </w:r>
                </w:p>
              </w:tc>
            </w:tr>
            <w:tr w14:paraId="1EDD3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562" w:type="dxa"/>
                </w:tcPr>
                <w:p w14:paraId="72997585">
                  <w:pPr>
                    <w:keepLines/>
                    <w:wordWrap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1～5亿元</w:t>
                  </w:r>
                </w:p>
              </w:tc>
              <w:tc>
                <w:tcPr>
                  <w:tcW w:w="1414" w:type="dxa"/>
                </w:tcPr>
                <w:p w14:paraId="5DC8B88D">
                  <w:pPr>
                    <w:keepLines/>
                    <w:wordWrap w:val="0"/>
                    <w:spacing w:line="360" w:lineRule="auto"/>
                    <w:ind w:firstLine="240" w:firstLineChars="1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0.05%</w:t>
                  </w:r>
                </w:p>
              </w:tc>
              <w:tc>
                <w:tcPr>
                  <w:tcW w:w="1231" w:type="dxa"/>
                </w:tcPr>
                <w:p w14:paraId="6E7F1CF3">
                  <w:pPr>
                    <w:keepLines/>
                    <w:wordWrap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0.05%</w:t>
                  </w:r>
                </w:p>
              </w:tc>
              <w:tc>
                <w:tcPr>
                  <w:tcW w:w="1211" w:type="dxa"/>
                </w:tcPr>
                <w:p w14:paraId="0043ACEE">
                  <w:pPr>
                    <w:keepLines/>
                    <w:wordWrap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0.05%</w:t>
                  </w:r>
                </w:p>
              </w:tc>
            </w:tr>
            <w:tr w14:paraId="2FDC5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562" w:type="dxa"/>
                </w:tcPr>
                <w:p w14:paraId="035AC793">
                  <w:pPr>
                    <w:keepLines/>
                    <w:wordWrap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5～10亿元</w:t>
                  </w:r>
                </w:p>
              </w:tc>
              <w:tc>
                <w:tcPr>
                  <w:tcW w:w="1414" w:type="dxa"/>
                </w:tcPr>
                <w:p w14:paraId="084702F0">
                  <w:pPr>
                    <w:keepLines/>
                    <w:wordWrap w:val="0"/>
                    <w:spacing w:line="360" w:lineRule="auto"/>
                    <w:ind w:firstLine="120" w:firstLineChars="5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0.035%</w:t>
                  </w:r>
                </w:p>
              </w:tc>
              <w:tc>
                <w:tcPr>
                  <w:tcW w:w="1231" w:type="dxa"/>
                </w:tcPr>
                <w:p w14:paraId="77BDED7C">
                  <w:pPr>
                    <w:keepLines/>
                    <w:wordWrap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0.035%</w:t>
                  </w:r>
                </w:p>
              </w:tc>
              <w:tc>
                <w:tcPr>
                  <w:tcW w:w="1211" w:type="dxa"/>
                </w:tcPr>
                <w:p w14:paraId="1DF3EC5B">
                  <w:pPr>
                    <w:keepLines/>
                    <w:wordWrap w:val="0"/>
                    <w:spacing w:line="360" w:lineRule="auto"/>
                    <w:ind w:firstLine="120" w:firstLineChars="5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0.035%</w:t>
                  </w:r>
                </w:p>
              </w:tc>
            </w:tr>
            <w:tr w14:paraId="27C1A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2562" w:type="dxa"/>
                </w:tcPr>
                <w:p w14:paraId="2292DEB7">
                  <w:pPr>
                    <w:keepLines/>
                    <w:wordWrap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10～50亿元</w:t>
                  </w:r>
                </w:p>
              </w:tc>
              <w:tc>
                <w:tcPr>
                  <w:tcW w:w="1414" w:type="dxa"/>
                </w:tcPr>
                <w:p w14:paraId="2BE4B612">
                  <w:pPr>
                    <w:keepLines/>
                    <w:wordWrap w:val="0"/>
                    <w:spacing w:line="360" w:lineRule="auto"/>
                    <w:ind w:firstLine="120" w:firstLineChars="5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0.008%</w:t>
                  </w:r>
                </w:p>
              </w:tc>
              <w:tc>
                <w:tcPr>
                  <w:tcW w:w="1231" w:type="dxa"/>
                </w:tcPr>
                <w:p w14:paraId="59C5CE1D">
                  <w:pPr>
                    <w:keepLines/>
                    <w:wordWrap w:val="0"/>
                    <w:spacing w:line="360" w:lineRule="auto"/>
                    <w:ind w:firstLine="240" w:firstLineChars="1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0.008%</w:t>
                  </w:r>
                </w:p>
              </w:tc>
              <w:tc>
                <w:tcPr>
                  <w:tcW w:w="1211" w:type="dxa"/>
                </w:tcPr>
                <w:p w14:paraId="7C406B6D">
                  <w:pPr>
                    <w:keepLines/>
                    <w:wordWrap w:val="0"/>
                    <w:spacing w:line="360" w:lineRule="auto"/>
                    <w:ind w:firstLine="120" w:firstLineChars="5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0.008%</w:t>
                  </w:r>
                </w:p>
              </w:tc>
            </w:tr>
            <w:tr w14:paraId="4104E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562" w:type="dxa"/>
                </w:tcPr>
                <w:p w14:paraId="59FC6BAA">
                  <w:pPr>
                    <w:keepLines/>
                    <w:wordWrap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50～100亿元</w:t>
                  </w:r>
                </w:p>
              </w:tc>
              <w:tc>
                <w:tcPr>
                  <w:tcW w:w="1414" w:type="dxa"/>
                </w:tcPr>
                <w:p w14:paraId="542095DE">
                  <w:pPr>
                    <w:keepLines/>
                    <w:wordWrap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0.006%</w:t>
                  </w:r>
                </w:p>
              </w:tc>
              <w:tc>
                <w:tcPr>
                  <w:tcW w:w="1231" w:type="dxa"/>
                </w:tcPr>
                <w:p w14:paraId="0C3B14D6">
                  <w:pPr>
                    <w:keepLines/>
                    <w:wordWrap w:val="0"/>
                    <w:spacing w:line="360" w:lineRule="auto"/>
                    <w:ind w:firstLine="240" w:firstLineChars="1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0.006%</w:t>
                  </w:r>
                </w:p>
              </w:tc>
              <w:tc>
                <w:tcPr>
                  <w:tcW w:w="1211" w:type="dxa"/>
                </w:tcPr>
                <w:p w14:paraId="10751E65">
                  <w:pPr>
                    <w:keepLines/>
                    <w:wordWrap w:val="0"/>
                    <w:spacing w:line="360" w:lineRule="auto"/>
                    <w:ind w:firstLine="120" w:firstLineChars="5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0.006%</w:t>
                  </w:r>
                </w:p>
              </w:tc>
            </w:tr>
            <w:tr w14:paraId="77D35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562" w:type="dxa"/>
                </w:tcPr>
                <w:p w14:paraId="4D621AFE">
                  <w:pPr>
                    <w:keepLines/>
                    <w:wordWrap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100亿以上</w:t>
                  </w:r>
                </w:p>
              </w:tc>
              <w:tc>
                <w:tcPr>
                  <w:tcW w:w="1414" w:type="dxa"/>
                </w:tcPr>
                <w:p w14:paraId="3AC2953E">
                  <w:pPr>
                    <w:keepLines/>
                    <w:wordWrap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0.004%</w:t>
                  </w:r>
                </w:p>
              </w:tc>
              <w:tc>
                <w:tcPr>
                  <w:tcW w:w="1231" w:type="dxa"/>
                </w:tcPr>
                <w:p w14:paraId="5842A449">
                  <w:pPr>
                    <w:keepLines/>
                    <w:wordWrap w:val="0"/>
                    <w:spacing w:line="360" w:lineRule="auto"/>
                    <w:ind w:firstLine="240" w:firstLineChars="1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0.004%</w:t>
                  </w:r>
                </w:p>
              </w:tc>
              <w:tc>
                <w:tcPr>
                  <w:tcW w:w="1211" w:type="dxa"/>
                </w:tcPr>
                <w:p w14:paraId="2A9E803B">
                  <w:pPr>
                    <w:keepLines/>
                    <w:wordWrap w:val="0"/>
                    <w:spacing w:line="360" w:lineRule="auto"/>
                    <w:ind w:firstLine="120" w:firstLineChars="5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0.004%</w:t>
                  </w:r>
                </w:p>
              </w:tc>
            </w:tr>
            <w:tr w14:paraId="6D91A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6418" w:type="dxa"/>
                  <w:gridSpan w:val="4"/>
                </w:tcPr>
                <w:p w14:paraId="733EC476">
                  <w:pPr>
                    <w:keepLines/>
                    <w:wordWrap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按以上费率计算不足5000.00元的，以5000.00元为基准价。</w:t>
                  </w:r>
                </w:p>
              </w:tc>
            </w:tr>
          </w:tbl>
          <w:p w14:paraId="2CC25DA0">
            <w:pPr>
              <w:pStyle w:val="14"/>
              <w:keepLines/>
              <w:wordWrap w:val="0"/>
              <w:snapToGrid w:val="0"/>
              <w:spacing w:line="360" w:lineRule="auto"/>
              <w:rPr>
                <w:rFonts w:hint="eastAsia" w:hAnsi="宋体" w:cs="宋体"/>
                <w:color w:val="auto"/>
                <w:sz w:val="24"/>
                <w:szCs w:val="24"/>
                <w:highlight w:val="none"/>
                <w:u w:val="single"/>
              </w:rPr>
            </w:pPr>
          </w:p>
        </w:tc>
      </w:tr>
      <w:tr w14:paraId="51A937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49"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5507B1F0">
            <w:pPr>
              <w:keepLines/>
              <w:widowControl/>
              <w:wordWrap w:val="0"/>
              <w:spacing w:line="360" w:lineRule="auto"/>
              <w:jc w:val="left"/>
              <w:rPr>
                <w:rFonts w:hint="eastAsia" w:ascii="宋体" w:hAnsi="宋体" w:cs="宋体"/>
                <w:color w:val="auto"/>
                <w:sz w:val="24"/>
                <w:highlight w:val="none"/>
              </w:rPr>
            </w:pPr>
          </w:p>
        </w:tc>
        <w:tc>
          <w:tcPr>
            <w:tcW w:w="2630" w:type="dxa"/>
            <w:tcBorders>
              <w:top w:val="single" w:color="auto" w:sz="4" w:space="0"/>
              <w:left w:val="single" w:color="auto" w:sz="4" w:space="0"/>
              <w:bottom w:val="single" w:color="auto" w:sz="4" w:space="0"/>
              <w:right w:val="single" w:color="auto" w:sz="4" w:space="0"/>
            </w:tcBorders>
            <w:vAlign w:val="center"/>
          </w:tcPr>
          <w:p w14:paraId="21717E35">
            <w:pPr>
              <w:keepLines/>
              <w:wordWrap w:val="0"/>
              <w:spacing w:line="360" w:lineRule="auto"/>
              <w:rPr>
                <w:rFonts w:hint="eastAsia" w:ascii="宋体" w:hAnsi="宋体" w:cs="宋体"/>
                <w:color w:val="auto"/>
                <w:sz w:val="24"/>
                <w:highlight w:val="none"/>
              </w:rPr>
            </w:pPr>
            <w:r>
              <w:rPr>
                <w:rFonts w:hint="eastAsia" w:ascii="宋体" w:hAnsi="宋体" w:cs="宋体"/>
                <w:color w:val="auto"/>
                <w:sz w:val="24"/>
                <w:highlight w:val="none"/>
              </w:rPr>
              <w:t>代理服务费收款账户信息</w:t>
            </w:r>
          </w:p>
        </w:tc>
        <w:tc>
          <w:tcPr>
            <w:tcW w:w="6935" w:type="dxa"/>
            <w:tcBorders>
              <w:top w:val="single" w:color="auto" w:sz="4" w:space="0"/>
              <w:left w:val="single" w:color="auto" w:sz="4" w:space="0"/>
              <w:bottom w:val="single" w:color="auto" w:sz="4" w:space="0"/>
              <w:right w:val="single" w:color="auto" w:sz="4" w:space="0"/>
            </w:tcBorders>
            <w:vAlign w:val="center"/>
          </w:tcPr>
          <w:p w14:paraId="61B53D53">
            <w:pPr>
              <w:pStyle w:val="14"/>
              <w:keepLines/>
              <w:wordWrap w:val="0"/>
              <w:snapToGrid w:val="0"/>
              <w:spacing w:line="360" w:lineRule="auto"/>
              <w:rPr>
                <w:rFonts w:hint="eastAsia" w:hAnsi="宋体" w:cs="宋体"/>
                <w:color w:val="auto"/>
                <w:sz w:val="24"/>
                <w:szCs w:val="24"/>
                <w:highlight w:val="none"/>
              </w:rPr>
            </w:pPr>
            <w:r>
              <w:rPr>
                <w:rFonts w:hint="eastAsia" w:hAnsi="宋体" w:cs="宋体"/>
                <w:color w:val="auto"/>
                <w:sz w:val="24"/>
                <w:szCs w:val="24"/>
                <w:highlight w:val="none"/>
              </w:rPr>
              <w:t>账户名称：广西邕政采购代理有限公司</w:t>
            </w:r>
          </w:p>
          <w:p w14:paraId="6BE6DBDF">
            <w:pPr>
              <w:pStyle w:val="14"/>
              <w:keepLines/>
              <w:wordWrap w:val="0"/>
              <w:snapToGrid w:val="0"/>
              <w:spacing w:line="360" w:lineRule="auto"/>
              <w:rPr>
                <w:rFonts w:hint="eastAsia" w:hAnsi="宋体" w:cs="宋体"/>
                <w:color w:val="auto"/>
                <w:sz w:val="24"/>
                <w:szCs w:val="24"/>
                <w:highlight w:val="none"/>
              </w:rPr>
            </w:pPr>
            <w:r>
              <w:rPr>
                <w:rFonts w:hint="eastAsia" w:hAnsi="宋体" w:cs="宋体"/>
                <w:color w:val="auto"/>
                <w:sz w:val="24"/>
                <w:szCs w:val="24"/>
                <w:highlight w:val="none"/>
              </w:rPr>
              <w:t>开户银行：交通银行南宁东葛西支行</w:t>
            </w:r>
          </w:p>
          <w:p w14:paraId="454056C8">
            <w:pPr>
              <w:pStyle w:val="14"/>
              <w:keepLines/>
              <w:wordWrap w:val="0"/>
              <w:snapToGrid w:val="0"/>
              <w:spacing w:line="360" w:lineRule="auto"/>
              <w:rPr>
                <w:rFonts w:hint="eastAsia" w:hAnsi="宋体" w:cs="宋体"/>
                <w:color w:val="auto"/>
                <w:sz w:val="24"/>
                <w:szCs w:val="24"/>
                <w:highlight w:val="none"/>
              </w:rPr>
            </w:pPr>
            <w:r>
              <w:rPr>
                <w:rFonts w:hint="eastAsia" w:hAnsi="宋体" w:cs="宋体"/>
                <w:color w:val="auto"/>
                <w:sz w:val="24"/>
                <w:szCs w:val="24"/>
                <w:highlight w:val="none"/>
              </w:rPr>
              <w:t xml:space="preserve">银行账号：4510 6070 1018 1602 32818 </w:t>
            </w:r>
          </w:p>
          <w:p w14:paraId="7626CA15">
            <w:pPr>
              <w:pStyle w:val="14"/>
              <w:keepLines/>
              <w:wordWrap w:val="0"/>
              <w:snapToGrid w:val="0"/>
              <w:spacing w:line="360" w:lineRule="auto"/>
              <w:rPr>
                <w:rFonts w:hint="eastAsia" w:hAnsi="宋体" w:cs="宋体"/>
                <w:color w:val="auto"/>
                <w:sz w:val="24"/>
                <w:szCs w:val="24"/>
                <w:highlight w:val="none"/>
              </w:rPr>
            </w:pPr>
            <w:r>
              <w:rPr>
                <w:rFonts w:hint="eastAsia" w:hAnsi="宋体" w:cs="宋体"/>
                <w:color w:val="auto"/>
                <w:sz w:val="24"/>
                <w:szCs w:val="24"/>
                <w:highlight w:val="none"/>
              </w:rPr>
              <w:t>开户行行号：301611000718</w:t>
            </w:r>
          </w:p>
        </w:tc>
      </w:tr>
      <w:tr w14:paraId="136B6E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51E2AA1C">
            <w:pPr>
              <w:keepLines/>
              <w:wordWrap w:val="0"/>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41.1</w:t>
            </w:r>
          </w:p>
        </w:tc>
        <w:tc>
          <w:tcPr>
            <w:tcW w:w="2630" w:type="dxa"/>
            <w:tcBorders>
              <w:top w:val="single" w:color="auto" w:sz="4" w:space="0"/>
              <w:left w:val="single" w:color="auto" w:sz="4" w:space="0"/>
              <w:bottom w:val="single" w:color="auto" w:sz="4" w:space="0"/>
              <w:right w:val="single" w:color="auto" w:sz="4" w:space="0"/>
            </w:tcBorders>
            <w:vAlign w:val="center"/>
          </w:tcPr>
          <w:p w14:paraId="5B893620">
            <w:pPr>
              <w:keepLines/>
              <w:wordWrap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解释</w:t>
            </w:r>
          </w:p>
        </w:tc>
        <w:tc>
          <w:tcPr>
            <w:tcW w:w="6935" w:type="dxa"/>
            <w:tcBorders>
              <w:top w:val="single" w:color="auto" w:sz="4" w:space="0"/>
              <w:left w:val="single" w:color="auto" w:sz="4" w:space="0"/>
              <w:bottom w:val="single" w:color="auto" w:sz="4" w:space="0"/>
              <w:right w:val="single" w:color="auto" w:sz="4" w:space="0"/>
            </w:tcBorders>
            <w:vAlign w:val="center"/>
          </w:tcPr>
          <w:p w14:paraId="4F2B8C88">
            <w:pPr>
              <w:keepLines/>
              <w:wordWrap w:val="0"/>
              <w:snapToGrid w:val="0"/>
              <w:spacing w:line="360" w:lineRule="auto"/>
              <w:ind w:firstLine="482"/>
              <w:rPr>
                <w:rFonts w:hint="eastAsia" w:ascii="宋体" w:hAnsi="宋体" w:cs="宋体"/>
                <w:b/>
                <w:color w:val="auto"/>
                <w:sz w:val="24"/>
                <w:highlight w:val="none"/>
              </w:rPr>
            </w:pPr>
            <w:r>
              <w:rPr>
                <w:rFonts w:hint="eastAsia" w:ascii="宋体" w:hAnsi="宋体" w:cs="宋体"/>
                <w:b/>
                <w:color w:val="auto"/>
                <w:sz w:val="24"/>
                <w:highlight w:val="none"/>
              </w:rPr>
              <w:t>解释权：</w:t>
            </w:r>
            <w:r>
              <w:rPr>
                <w:rFonts w:hint="eastAsia" w:ascii="宋体" w:hAnsi="宋体" w:cs="宋体"/>
                <w:color w:val="auto"/>
                <w:sz w:val="24"/>
                <w:highlight w:val="none"/>
              </w:rPr>
              <w:t>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w:t>
            </w:r>
            <w:r>
              <w:rPr>
                <w:rFonts w:hint="eastAsia" w:ascii="宋体" w:hAnsi="宋体" w:cs="宋体"/>
                <w:b/>
                <w:color w:val="auto"/>
                <w:sz w:val="24"/>
                <w:highlight w:val="none"/>
              </w:rPr>
              <w:t>，由采购人或者采购代理机构负责解释。</w:t>
            </w:r>
          </w:p>
          <w:p w14:paraId="247F69FD">
            <w:pPr>
              <w:keepLines/>
              <w:wordWrap w:val="0"/>
              <w:snapToGrid w:val="0"/>
              <w:spacing w:line="360" w:lineRule="auto"/>
              <w:ind w:firstLine="482"/>
              <w:rPr>
                <w:rFonts w:hint="eastAsia" w:ascii="宋体" w:hAnsi="宋体" w:cs="宋体"/>
                <w:b/>
                <w:color w:val="auto"/>
                <w:sz w:val="24"/>
                <w:highlight w:val="none"/>
              </w:rPr>
            </w:pPr>
            <w:r>
              <w:rPr>
                <w:rFonts w:hint="eastAsia" w:ascii="宋体" w:hAnsi="宋体" w:cs="宋体"/>
                <w:b/>
                <w:color w:val="auto"/>
                <w:sz w:val="24"/>
                <w:highlight w:val="none"/>
              </w:rPr>
              <w:t>法律责任：</w:t>
            </w:r>
          </w:p>
          <w:p w14:paraId="25C174A6">
            <w:pPr>
              <w:keepLines/>
              <w:wordWrap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1.本采购文件根据《中华人民共和国政府采购法》、《中华人民共和国民法典》；《中华人民共和国政府采购法实施条例》、、《政府采购货物和服务招标投 标管理办法》等有关法律、法规编制，参与本项目的各政府采购当事人依法享有上述法律法规所赋予的权利与义务。</w:t>
            </w:r>
          </w:p>
          <w:p w14:paraId="33295BE6">
            <w:pPr>
              <w:keepLines/>
              <w:wordWrap w:val="0"/>
              <w:spacing w:line="360" w:lineRule="auto"/>
              <w:ind w:firstLine="482"/>
              <w:rPr>
                <w:rFonts w:hint="eastAsia" w:ascii="宋体" w:hAnsi="宋体" w:cs="宋体"/>
                <w:color w:val="auto"/>
                <w:sz w:val="24"/>
                <w:highlight w:val="none"/>
              </w:rPr>
            </w:pPr>
            <w:r>
              <w:rPr>
                <w:rFonts w:hint="eastAsia" w:ascii="宋体" w:hAnsi="宋体" w:cs="宋体"/>
                <w:b/>
                <w:color w:val="auto"/>
                <w:sz w:val="24"/>
                <w:highlight w:val="none"/>
              </w:rPr>
              <w:t>2.本项目采购代理机构应严格按照广西政府采购云平台项目采购全流程电子化电子开评标规程执行项目采购活动，代理机构在广西政府采购云平台的“项目管理”—“采购文件管理”内开评标规则设置作为本采购文件的组成部分，截标之后不可更改，因代理机构开评标规则设置错误导致采购活动无法开展下去的情况，由代理机构负责解释并承担其后果。</w:t>
            </w:r>
          </w:p>
        </w:tc>
      </w:tr>
      <w:tr w14:paraId="781E5D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4EC10E7D">
            <w:pPr>
              <w:keepLines/>
              <w:wordWrap w:val="0"/>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41.2</w:t>
            </w:r>
          </w:p>
        </w:tc>
        <w:tc>
          <w:tcPr>
            <w:tcW w:w="2630" w:type="dxa"/>
            <w:tcBorders>
              <w:top w:val="single" w:color="auto" w:sz="4" w:space="0"/>
              <w:left w:val="single" w:color="auto" w:sz="4" w:space="0"/>
              <w:bottom w:val="single" w:color="auto" w:sz="4" w:space="0"/>
              <w:right w:val="single" w:color="auto" w:sz="4" w:space="0"/>
            </w:tcBorders>
            <w:vAlign w:val="center"/>
          </w:tcPr>
          <w:p w14:paraId="381E5427">
            <w:pPr>
              <w:keepLines/>
              <w:wordWrap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其他释义</w:t>
            </w:r>
          </w:p>
        </w:tc>
        <w:tc>
          <w:tcPr>
            <w:tcW w:w="6935" w:type="dxa"/>
            <w:tcBorders>
              <w:top w:val="single" w:color="auto" w:sz="4" w:space="0"/>
              <w:left w:val="single" w:color="auto" w:sz="4" w:space="0"/>
              <w:bottom w:val="single" w:color="auto" w:sz="4" w:space="0"/>
              <w:right w:val="single" w:color="auto" w:sz="4" w:space="0"/>
            </w:tcBorders>
            <w:vAlign w:val="center"/>
          </w:tcPr>
          <w:p w14:paraId="2B8ACC90">
            <w:pPr>
              <w:pStyle w:val="14"/>
              <w:keepLines/>
              <w:wordWrap w:val="0"/>
              <w:snapToGrid w:val="0"/>
              <w:spacing w:line="360" w:lineRule="auto"/>
              <w:ind w:firstLine="482"/>
              <w:rPr>
                <w:rFonts w:hint="eastAsia" w:hAnsi="宋体" w:cs="宋体"/>
                <w:b/>
                <w:bCs/>
                <w:color w:val="auto"/>
                <w:sz w:val="24"/>
                <w:szCs w:val="24"/>
                <w:highlight w:val="none"/>
              </w:rPr>
            </w:pPr>
            <w:r>
              <w:rPr>
                <w:rFonts w:hint="eastAsia" w:hAnsi="宋体" w:cs="宋体"/>
                <w:b/>
                <w:bCs/>
                <w:color w:val="auto"/>
                <w:sz w:val="24"/>
                <w:szCs w:val="24"/>
                <w:highlight w:val="none"/>
              </w:rPr>
              <w:t>1.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1FF3799E">
            <w:pPr>
              <w:pStyle w:val="14"/>
              <w:keepLines/>
              <w:wordWrap w:val="0"/>
              <w:snapToGrid w:val="0"/>
              <w:spacing w:line="360" w:lineRule="auto"/>
              <w:ind w:firstLine="482"/>
              <w:rPr>
                <w:rFonts w:hint="eastAsia" w:hAnsi="宋体" w:cs="宋体"/>
                <w:b/>
                <w:bCs/>
                <w:color w:val="auto"/>
                <w:sz w:val="24"/>
                <w:szCs w:val="24"/>
                <w:highlight w:val="none"/>
              </w:rPr>
            </w:pPr>
            <w:r>
              <w:rPr>
                <w:rFonts w:hint="eastAsia" w:hAnsi="宋体" w:cs="宋体"/>
                <w:b/>
                <w:bCs/>
                <w:color w:val="auto"/>
                <w:sz w:val="24"/>
                <w:szCs w:val="24"/>
                <w:highlight w:val="none"/>
              </w:rPr>
              <w:t>2.投标人为其他组织或者自然人时，本招标文件规定的法定代表人指负责人或者自然人。本招标文件所称负责人是指参加投标的其他组织营业执照上的负责人，本招标文件所称自然人指参与投标的自然人本人。</w:t>
            </w:r>
          </w:p>
          <w:p w14:paraId="31D0D0D1">
            <w:pPr>
              <w:pStyle w:val="14"/>
              <w:keepLines/>
              <w:wordWrap w:val="0"/>
              <w:snapToGrid w:val="0"/>
              <w:spacing w:line="360" w:lineRule="auto"/>
              <w:ind w:firstLine="482"/>
              <w:rPr>
                <w:rFonts w:hint="eastAsia" w:hAnsi="宋体" w:cs="宋体"/>
                <w:b/>
                <w:bCs/>
                <w:color w:val="auto"/>
                <w:sz w:val="24"/>
                <w:szCs w:val="24"/>
                <w:highlight w:val="none"/>
              </w:rPr>
            </w:pPr>
            <w:r>
              <w:rPr>
                <w:rFonts w:hint="eastAsia" w:hAnsi="宋体" w:cs="宋体"/>
                <w:b/>
                <w:bCs/>
                <w:color w:val="auto"/>
                <w:sz w:val="24"/>
                <w:szCs w:val="24"/>
                <w:highlight w:val="none"/>
              </w:rPr>
              <w:t>3.本招标文件中描述投标人的“签字”是指投标人的法定代表人或者委托代理人亲自在文件规定签署处亲笔写上个人的名字的行为，私章、签字章、印鉴、影印等其他形式均不能代替亲笔签字。</w:t>
            </w:r>
          </w:p>
          <w:p w14:paraId="560C35E2">
            <w:pPr>
              <w:pStyle w:val="14"/>
              <w:keepLines/>
              <w:wordWrap w:val="0"/>
              <w:snapToGrid w:val="0"/>
              <w:spacing w:line="360" w:lineRule="auto"/>
              <w:ind w:firstLine="482"/>
              <w:rPr>
                <w:rFonts w:hint="eastAsia" w:hAnsi="宋体" w:cs="宋体"/>
                <w:b/>
                <w:bCs/>
                <w:color w:val="auto"/>
                <w:sz w:val="24"/>
                <w:szCs w:val="24"/>
                <w:highlight w:val="none"/>
              </w:rPr>
            </w:pPr>
            <w:r>
              <w:rPr>
                <w:rFonts w:hint="eastAsia" w:hAnsi="宋体" w:cs="宋体"/>
                <w:b/>
                <w:bCs/>
                <w:color w:val="auto"/>
                <w:sz w:val="24"/>
                <w:szCs w:val="24"/>
                <w:highlight w:val="none"/>
              </w:rPr>
              <w:t>4.自然人投标的，招标文件规定盖公章处由自然人摁手指指印。</w:t>
            </w:r>
          </w:p>
          <w:p w14:paraId="46F1E249">
            <w:pPr>
              <w:keepLines/>
              <w:wordWrap w:val="0"/>
              <w:spacing w:line="360" w:lineRule="auto"/>
              <w:ind w:firstLine="482"/>
              <w:jc w:val="left"/>
              <w:rPr>
                <w:rFonts w:hint="eastAsia" w:ascii="宋体" w:hAnsi="宋体" w:cs="宋体"/>
                <w:color w:val="auto"/>
                <w:sz w:val="24"/>
                <w:highlight w:val="none"/>
              </w:rPr>
            </w:pPr>
            <w:r>
              <w:rPr>
                <w:rFonts w:hint="eastAsia" w:ascii="宋体" w:hAnsi="宋体" w:cs="宋体"/>
                <w:b/>
                <w:bCs/>
                <w:color w:val="auto"/>
                <w:sz w:val="24"/>
                <w:highlight w:val="none"/>
              </w:rPr>
              <w:t>5.本招标文件所称的“以上”“以下”“以内”“届满”，包括本数；所称的“不满”“超过”“以外”，不包括本数。</w:t>
            </w:r>
          </w:p>
        </w:tc>
      </w:tr>
    </w:tbl>
    <w:p w14:paraId="5005EEA1">
      <w:pPr>
        <w:widowControl/>
        <w:wordWrap w:val="0"/>
        <w:spacing w:line="360" w:lineRule="auto"/>
        <w:ind w:firstLine="643"/>
        <w:jc w:val="left"/>
        <w:rPr>
          <w:rFonts w:hint="eastAsia" w:ascii="宋体" w:hAnsi="宋体" w:cs="宋体"/>
          <w:b/>
          <w:bCs/>
          <w:color w:val="auto"/>
          <w:sz w:val="32"/>
          <w:szCs w:val="32"/>
          <w:highlight w:val="none"/>
        </w:rPr>
        <w:sectPr>
          <w:footerReference r:id="rId5" w:type="default"/>
          <w:pgSz w:w="11906" w:h="16838"/>
          <w:pgMar w:top="1440" w:right="1080" w:bottom="1440" w:left="1080" w:header="720" w:footer="720" w:gutter="0"/>
          <w:cols w:space="720" w:num="1"/>
          <w:docGrid w:type="lines" w:linePitch="331" w:charSpace="0"/>
        </w:sectPr>
      </w:pPr>
    </w:p>
    <w:p w14:paraId="38B0187D">
      <w:pPr>
        <w:wordWrap w:val="0"/>
        <w:spacing w:line="360" w:lineRule="auto"/>
        <w:rPr>
          <w:rFonts w:hint="eastAsia" w:ascii="宋体" w:hAnsi="宋体" w:cs="宋体"/>
          <w:color w:val="auto"/>
          <w:highlight w:val="none"/>
        </w:rPr>
      </w:pPr>
    </w:p>
    <w:p w14:paraId="6FA2583A">
      <w:pPr>
        <w:pStyle w:val="3"/>
        <w:wordWrap w:val="0"/>
        <w:spacing w:before="0" w:after="0" w:line="360" w:lineRule="auto"/>
        <w:ind w:firstLine="643"/>
        <w:jc w:val="center"/>
        <w:rPr>
          <w:rFonts w:hint="eastAsia" w:ascii="宋体" w:hAnsi="宋体" w:eastAsia="宋体" w:cs="宋体"/>
          <w:color w:val="auto"/>
          <w:highlight w:val="none"/>
        </w:rPr>
      </w:pPr>
      <w:bookmarkStart w:id="37" w:name="_Toc5937"/>
      <w:r>
        <w:rPr>
          <w:rFonts w:hint="eastAsia" w:ascii="宋体" w:hAnsi="宋体" w:eastAsia="宋体" w:cs="宋体"/>
          <w:color w:val="auto"/>
          <w:highlight w:val="none"/>
        </w:rPr>
        <w:t>第二节 投标人须知正文</w:t>
      </w:r>
      <w:bookmarkEnd w:id="37"/>
    </w:p>
    <w:p w14:paraId="7C191EF5">
      <w:pPr>
        <w:pStyle w:val="4"/>
        <w:keepNext w:val="0"/>
        <w:keepLines w:val="0"/>
        <w:wordWrap w:val="0"/>
        <w:spacing w:line="360" w:lineRule="auto"/>
        <w:jc w:val="center"/>
        <w:rPr>
          <w:rFonts w:hint="eastAsia" w:ascii="宋体" w:hAnsi="宋体" w:cs="宋体"/>
          <w:color w:val="auto"/>
          <w:highlight w:val="none"/>
        </w:rPr>
      </w:pPr>
      <w:bookmarkStart w:id="38" w:name="_Toc13364"/>
      <w:r>
        <w:rPr>
          <w:rFonts w:hint="eastAsia" w:ascii="宋体" w:hAnsi="宋体" w:cs="宋体"/>
          <w:color w:val="auto"/>
          <w:highlight w:val="none"/>
        </w:rPr>
        <w:t>一、总  则</w:t>
      </w:r>
      <w:bookmarkEnd w:id="38"/>
    </w:p>
    <w:p w14:paraId="4851DB6B">
      <w:pPr>
        <w:wordWrap w:val="0"/>
        <w:spacing w:line="360" w:lineRule="auto"/>
        <w:ind w:firstLine="480" w:firstLineChars="200"/>
        <w:rPr>
          <w:rFonts w:hint="eastAsia" w:ascii="宋体" w:hAnsi="宋体" w:cs="宋体"/>
          <w:color w:val="auto"/>
          <w:sz w:val="24"/>
          <w:szCs w:val="24"/>
          <w:highlight w:val="none"/>
        </w:rPr>
      </w:pPr>
      <w:bookmarkStart w:id="39" w:name="_Toc254970668"/>
      <w:bookmarkStart w:id="40" w:name="_Toc254970527"/>
      <w:r>
        <w:rPr>
          <w:rFonts w:hint="eastAsia" w:ascii="宋体" w:hAnsi="宋体" w:cs="宋体"/>
          <w:color w:val="auto"/>
          <w:sz w:val="24"/>
          <w:szCs w:val="24"/>
          <w:highlight w:val="none"/>
        </w:rPr>
        <w:t>1.适用范围</w:t>
      </w:r>
      <w:bookmarkEnd w:id="39"/>
      <w:bookmarkEnd w:id="40"/>
    </w:p>
    <w:p w14:paraId="2595EC98">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645CB461">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1.2本招标文件</w:t>
      </w:r>
      <w:r>
        <w:rPr>
          <w:rFonts w:hint="eastAsia" w:ascii="宋体" w:hAnsi="宋体" w:cs="宋体"/>
          <w:color w:val="auto"/>
          <w:spacing w:val="-6"/>
          <w:sz w:val="24"/>
          <w:szCs w:val="24"/>
          <w:highlight w:val="none"/>
        </w:rPr>
        <w:t>适用于本项目的所有采购程序和环节（法律、法规另有规定的，从其规定）。</w:t>
      </w:r>
    </w:p>
    <w:p w14:paraId="27153847">
      <w:pPr>
        <w:wordWrap w:val="0"/>
        <w:spacing w:line="360" w:lineRule="auto"/>
        <w:ind w:firstLine="480" w:firstLineChars="200"/>
        <w:rPr>
          <w:rFonts w:hint="eastAsia" w:ascii="宋体" w:hAnsi="宋体" w:cs="宋体"/>
          <w:color w:val="auto"/>
          <w:sz w:val="24"/>
          <w:szCs w:val="24"/>
          <w:highlight w:val="none"/>
        </w:rPr>
      </w:pPr>
      <w:bookmarkStart w:id="41" w:name="_Toc254970669"/>
      <w:bookmarkStart w:id="42" w:name="_Toc254970528"/>
      <w:r>
        <w:rPr>
          <w:rFonts w:hint="eastAsia" w:ascii="宋体" w:hAnsi="宋体" w:cs="宋体"/>
          <w:color w:val="auto"/>
          <w:sz w:val="24"/>
          <w:szCs w:val="24"/>
          <w:highlight w:val="none"/>
        </w:rPr>
        <w:t>2.定义</w:t>
      </w:r>
      <w:bookmarkEnd w:id="41"/>
      <w:bookmarkEnd w:id="42"/>
    </w:p>
    <w:p w14:paraId="626F1C00">
      <w:pPr>
        <w:wordWrap w:val="0"/>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2.1“采购人”是指依法进行政府采购的国家机关、事业单位、团体组织。</w:t>
      </w:r>
    </w:p>
    <w:p w14:paraId="4C9538CC">
      <w:pPr>
        <w:wordWrap w:val="0"/>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2.2“采购代理机构” 指政府采购集中采购机构和集中采购机构以外的采购代理机构。</w:t>
      </w:r>
    </w:p>
    <w:p w14:paraId="022E46C8">
      <w:pPr>
        <w:wordWrap w:val="0"/>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2.3“供应商”是指向采购人提供货物、工程或者服务的法人、其他组织或者自然人。</w:t>
      </w:r>
    </w:p>
    <w:p w14:paraId="2A734B56">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2.4“投标人”是指响应招标、参加投标竞争的法人、非法人组织或者自然人。</w:t>
      </w:r>
    </w:p>
    <w:p w14:paraId="1E2ECBC0">
      <w:pPr>
        <w:wordWrap w:val="0"/>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2.5“服务”是指除货物和工程以外的其他政府采购对象。</w:t>
      </w:r>
    </w:p>
    <w:p w14:paraId="19E314B3">
      <w:pPr>
        <w:wordWrap w:val="0"/>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2.6“书面形式”是指合同书、信件和数据电文（包括电报、电传、传真、短信、电子数据交换和电子邮件）等可以有形地表现所载内容的形式。</w:t>
      </w:r>
    </w:p>
    <w:p w14:paraId="15191C31">
      <w:pPr>
        <w:wordWrap w:val="0"/>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2.7“实质性要求”是指招标文件中已经指明不满足则投标无效的条款，或者不能负偏离的条款，或者采购需求中带“</w:t>
      </w:r>
      <w:r>
        <w:rPr>
          <w:rFonts w:hint="eastAsia" w:ascii="宋体" w:hAnsi="宋体" w:cs="宋体"/>
          <w:b/>
          <w:bCs/>
          <w:color w:val="auto"/>
          <w:sz w:val="24"/>
          <w:szCs w:val="24"/>
          <w:highlight w:val="none"/>
        </w:rPr>
        <w:t>▲</w:t>
      </w:r>
      <w:r>
        <w:rPr>
          <w:rFonts w:hint="eastAsia" w:ascii="宋体" w:hAnsi="宋体" w:cs="宋体"/>
          <w:b/>
          <w:color w:val="auto"/>
          <w:sz w:val="24"/>
          <w:szCs w:val="24"/>
          <w:highlight w:val="none"/>
        </w:rPr>
        <w:t>”的条款。</w:t>
      </w:r>
    </w:p>
    <w:p w14:paraId="3E4754BF">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2.8“正偏离”，是指投标文件对招标文件“采购需求”中有关条款作出的响应优于条款要求并有利于采购人的情形。</w:t>
      </w:r>
    </w:p>
    <w:p w14:paraId="7F6DDE8B">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2.9“负偏离”，是指投标文件对招标文件“采购需求”中有关条款作出的响应不满足条款要求，导致采购人要求不能得到满足的情形。</w:t>
      </w:r>
    </w:p>
    <w:p w14:paraId="79DD316F">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2.10“允许负偏离的条款”是指采购需求中的不属于“实质性要求”的条款。</w:t>
      </w:r>
      <w:bookmarkStart w:id="43" w:name="_Toc254970670"/>
      <w:bookmarkStart w:id="44" w:name="_Toc254970529"/>
    </w:p>
    <w:p w14:paraId="7BFD994F">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w:t>
      </w:r>
      <w:bookmarkEnd w:id="43"/>
      <w:bookmarkEnd w:id="44"/>
      <w:r>
        <w:rPr>
          <w:rFonts w:hint="eastAsia" w:ascii="宋体" w:hAnsi="宋体" w:cs="宋体"/>
          <w:color w:val="auto"/>
          <w:sz w:val="24"/>
          <w:szCs w:val="24"/>
          <w:highlight w:val="none"/>
        </w:rPr>
        <w:t>投标人的资格要求</w:t>
      </w:r>
    </w:p>
    <w:p w14:paraId="0CBBB2C8">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投标人的资格要求详见“招标公告”。</w:t>
      </w:r>
    </w:p>
    <w:p w14:paraId="57548E31">
      <w:pPr>
        <w:wordWrap w:val="0"/>
        <w:spacing w:line="360" w:lineRule="auto"/>
        <w:ind w:firstLine="480" w:firstLineChars="200"/>
        <w:rPr>
          <w:rFonts w:hint="eastAsia" w:ascii="宋体" w:hAnsi="宋体" w:cs="宋体"/>
          <w:color w:val="auto"/>
          <w:sz w:val="24"/>
          <w:szCs w:val="24"/>
          <w:highlight w:val="none"/>
        </w:rPr>
      </w:pPr>
      <w:bookmarkStart w:id="45" w:name="_Toc254970671"/>
      <w:bookmarkStart w:id="46" w:name="_Toc254970530"/>
      <w:r>
        <w:rPr>
          <w:rFonts w:hint="eastAsia" w:ascii="宋体" w:hAnsi="宋体" w:cs="宋体"/>
          <w:color w:val="auto"/>
          <w:sz w:val="24"/>
          <w:szCs w:val="24"/>
          <w:highlight w:val="none"/>
        </w:rPr>
        <w:t>4.投标委托</w:t>
      </w:r>
      <w:bookmarkEnd w:id="45"/>
      <w:bookmarkEnd w:id="46"/>
    </w:p>
    <w:p w14:paraId="78667FA8">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投标人代表参加投标活动过程中必须携带个人有效身份证件。如投标人代表不是法定代表人，须持有法定代表人授权委托书（正本用原件，副本用复印件，按第六章要求格式填写）。</w:t>
      </w:r>
    </w:p>
    <w:p w14:paraId="5EE5EB6C">
      <w:pPr>
        <w:wordWrap w:val="0"/>
        <w:spacing w:line="360" w:lineRule="auto"/>
        <w:ind w:firstLine="480" w:firstLineChars="200"/>
        <w:rPr>
          <w:rFonts w:hint="eastAsia" w:ascii="宋体" w:hAnsi="宋体" w:cs="宋体"/>
          <w:color w:val="auto"/>
          <w:sz w:val="24"/>
          <w:szCs w:val="24"/>
          <w:highlight w:val="none"/>
        </w:rPr>
      </w:pPr>
      <w:bookmarkStart w:id="47" w:name="_5.投标费用"/>
      <w:bookmarkEnd w:id="47"/>
      <w:bookmarkStart w:id="48" w:name="_Toc254970672"/>
      <w:bookmarkStart w:id="49" w:name="_Toc254970531"/>
      <w:r>
        <w:rPr>
          <w:rFonts w:hint="eastAsia" w:ascii="宋体" w:hAnsi="宋体" w:cs="宋体"/>
          <w:color w:val="auto"/>
          <w:sz w:val="24"/>
          <w:szCs w:val="24"/>
          <w:highlight w:val="none"/>
        </w:rPr>
        <w:t>5.投标费用</w:t>
      </w:r>
      <w:bookmarkEnd w:id="48"/>
      <w:bookmarkEnd w:id="49"/>
    </w:p>
    <w:p w14:paraId="3E82A5B3">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投标费用：投标人应承担参与本次采购活动有关的所有费用，包括但不限于勘查现场、编制投标文件、参加澄清说明、签订合同等，不论投标结果如何，均应自行承担。</w:t>
      </w:r>
    </w:p>
    <w:p w14:paraId="3429B16E">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6.联合体投标</w:t>
      </w:r>
    </w:p>
    <w:p w14:paraId="1F34C0A6">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6.1本项目是否接受联合体投标，详见“投标人须知前附表”。</w:t>
      </w:r>
    </w:p>
    <w:p w14:paraId="0A4973B0">
      <w:pPr>
        <w:wordWrap w:val="0"/>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6.2如接受联合体投标，联合体投标要求详见“投标人须知前附表”。</w:t>
      </w:r>
    </w:p>
    <w:p w14:paraId="22A430E3">
      <w:pPr>
        <w:wordWrap w:val="0"/>
        <w:spacing w:line="360" w:lineRule="auto"/>
        <w:ind w:firstLine="480" w:firstLineChars="200"/>
        <w:rPr>
          <w:rFonts w:hint="eastAsia" w:ascii="宋体" w:hAnsi="宋体" w:cs="宋体"/>
          <w:bCs/>
          <w:color w:val="auto"/>
          <w:sz w:val="24"/>
          <w:szCs w:val="24"/>
          <w:highlight w:val="none"/>
          <w:shd w:val="clear" w:color="auto" w:fill="FFFFFF"/>
        </w:rPr>
      </w:pPr>
      <w:r>
        <w:rPr>
          <w:rFonts w:hint="eastAsia" w:ascii="宋体" w:hAnsi="宋体" w:cs="宋体"/>
          <w:bCs/>
          <w:color w:val="auto"/>
          <w:sz w:val="24"/>
          <w:szCs w:val="24"/>
          <w:highlight w:val="none"/>
        </w:rPr>
        <w:t>6.3根据《政府采购促进中小企业发展管理办法》（财库[2020]46号）第九条、</w:t>
      </w:r>
      <w:r>
        <w:rPr>
          <w:rFonts w:hint="eastAsia" w:ascii="宋体" w:hAnsi="宋体" w:cs="宋体"/>
          <w:bCs/>
          <w:color w:val="auto"/>
          <w:sz w:val="24"/>
          <w:szCs w:val="24"/>
          <w:highlight w:val="none"/>
          <w:lang w:eastAsia="zh-CN"/>
        </w:rPr>
        <w:t>《广西壮族自治区财政厅关于持续优化政府采购营商环境推动高质量发展的通知》（桂财采〔2024〕55号）</w:t>
      </w:r>
      <w:r>
        <w:rPr>
          <w:rFonts w:hint="eastAsia" w:ascii="宋体" w:hAnsi="宋体" w:cs="宋体"/>
          <w:bCs/>
          <w:color w:val="auto"/>
          <w:sz w:val="24"/>
          <w:szCs w:val="24"/>
          <w:highlight w:val="none"/>
          <w:lang w:val="en-US" w:eastAsia="zh-CN"/>
        </w:rPr>
        <w:t>规定，</w:t>
      </w:r>
      <w:r>
        <w:rPr>
          <w:rFonts w:hint="eastAsia" w:ascii="宋体" w:hAnsi="宋体" w:cs="宋体"/>
          <w:bCs/>
          <w:color w:val="auto"/>
          <w:sz w:val="24"/>
          <w:szCs w:val="24"/>
          <w:highlight w:val="none"/>
        </w:rPr>
        <w:t>接受大中型企业与小微企业组成联合体的采购项目，对于联合协议约定小微企业的合同份额占到合同总金额 30%以上的，采购人、采购代理机构应当对联合体的报价给予 4%-6%（工程项目为 1%—2%）的扣除，用扣除后的价格参加评审。组成联合体的小微企业与联合体内其他企业、分包企业之间存在直接控股、管理关系的，不享受价格扣除优惠政策。</w:t>
      </w:r>
    </w:p>
    <w:p w14:paraId="6F747BDA">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7.转包与分包             </w:t>
      </w:r>
    </w:p>
    <w:p w14:paraId="6BCDD058">
      <w:pPr>
        <w:wordWrap w:val="0"/>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7.1本项目是否允许分包详见“投标人须知前附表”，本项目不允许违法分包。投标人根据招标文件的规定和采购项目的实际情况，拟在中标后将中标项目的非主体、非关键性工作分包的，应当在投标文件中载明分包承担主体，分包承担主体应当具备相应资质条件且不得再次分包。</w:t>
      </w:r>
    </w:p>
    <w:p w14:paraId="3AB867DF">
      <w:pPr>
        <w:wordWrap w:val="0"/>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7.2根据《政府采购促进中小企业发展管理办法》（财库[2020]46号）第九条及</w:t>
      </w:r>
      <w:r>
        <w:rPr>
          <w:rFonts w:hint="eastAsia" w:ascii="宋体" w:hAnsi="宋体" w:cs="宋体"/>
          <w:bCs/>
          <w:color w:val="auto"/>
          <w:sz w:val="24"/>
          <w:szCs w:val="24"/>
          <w:highlight w:val="none"/>
          <w:lang w:eastAsia="zh-CN"/>
        </w:rPr>
        <w:t>《广西壮族自治区财政厅关于持续优化政府采购营商环境推动高质量发展的通知》（桂财采〔2024〕55号）</w:t>
      </w:r>
      <w:r>
        <w:rPr>
          <w:rFonts w:hint="eastAsia" w:ascii="宋体" w:hAnsi="宋体" w:cs="宋体"/>
          <w:bCs/>
          <w:color w:val="auto"/>
          <w:sz w:val="24"/>
          <w:szCs w:val="24"/>
          <w:highlight w:val="none"/>
        </w:rPr>
        <w:t>规定，允许大中型企业向一家或者多家小微企业分包的采购项目，对于分包意向协议约定小微企业的合同份额占到合同总金额 30%以上的，采购人、采购代理机构应当对大中型企业的报价给予 4%-6%的扣除，用扣除后的价格参加评审。接受分包的小微企业与分包企业之间存在直接控股、管理关系的，不享受价格扣除优惠政策。</w:t>
      </w:r>
    </w:p>
    <w:p w14:paraId="51DBCC0E">
      <w:pPr>
        <w:wordWrap w:val="0"/>
        <w:spacing w:line="360" w:lineRule="auto"/>
        <w:ind w:firstLine="480" w:firstLineChars="200"/>
        <w:rPr>
          <w:rFonts w:hint="eastAsia" w:ascii="宋体" w:hAnsi="宋体" w:cs="宋体"/>
          <w:color w:val="auto"/>
          <w:sz w:val="24"/>
          <w:szCs w:val="24"/>
          <w:highlight w:val="none"/>
        </w:rPr>
      </w:pPr>
      <w:bookmarkStart w:id="50" w:name="_Toc254970532"/>
      <w:bookmarkStart w:id="51" w:name="_Toc254970673"/>
      <w:r>
        <w:rPr>
          <w:rFonts w:hint="eastAsia" w:ascii="宋体" w:hAnsi="宋体" w:cs="宋体"/>
          <w:color w:val="auto"/>
          <w:sz w:val="24"/>
          <w:szCs w:val="24"/>
          <w:highlight w:val="none"/>
        </w:rPr>
        <w:t>8.特别说明：</w:t>
      </w:r>
      <w:bookmarkEnd w:id="50"/>
      <w:bookmarkEnd w:id="51"/>
      <w:bookmarkStart w:id="52" w:name="_8.1提供相同品牌产品且通过资格审查、符合性审查的不同投标人参加同一合"/>
      <w:bookmarkEnd w:id="52"/>
    </w:p>
    <w:p w14:paraId="5167F53B">
      <w:pPr>
        <w:wordWrap w:val="0"/>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8.1如果本招标文件要求投标人提供资格、信誉、荣誉、业绩与企业认证等材料的，则投标人所提供的以上材料必须为投标人所拥有。</w:t>
      </w:r>
    </w:p>
    <w:p w14:paraId="7992235F">
      <w:pPr>
        <w:wordWrap w:val="0"/>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8.2投标人应仔细阅读招标文件的所有内容，按照招标文件的要求提交投标文件，并对所提供的全部资料的真实性承担法律责任。</w:t>
      </w:r>
    </w:p>
    <w:p w14:paraId="26E8B5DD">
      <w:pPr>
        <w:wordWrap w:val="0"/>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8.3投标人在投标活动中提供任何虚假材料，将报监管部门查处；中标后发现的，中标供应商须依照《中华人民共和国消费者权益保护法》规定赔偿采购人，且民事赔偿并不免除违法投标人的行政与刑事责任。</w:t>
      </w:r>
    </w:p>
    <w:p w14:paraId="1FEFDC15">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9.回避与串通投标</w:t>
      </w:r>
    </w:p>
    <w:p w14:paraId="262B27E2">
      <w:pPr>
        <w:wordWrap w:val="0"/>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9.1在政府采购活动中，采购人员及相关人员与供应商有下列利害关系之一的，应当回避：</w:t>
      </w:r>
    </w:p>
    <w:p w14:paraId="56F300E6">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（1）参加采购活动前3年内与供应商存在劳动关系；</w:t>
      </w:r>
    </w:p>
    <w:p w14:paraId="337366FF">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（2）参加采购活动前3年内担任供应商的董事、监事；</w:t>
      </w:r>
    </w:p>
    <w:p w14:paraId="1453538F">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（3）参加采购活动前3年内是供应商的控股股东或者实际控制人；</w:t>
      </w:r>
    </w:p>
    <w:p w14:paraId="3340EC99">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（4）与供应商的法定代表人或者负责人有夫妻、直系血亲、三代以内旁系血亲或者近姻亲关系；</w:t>
      </w:r>
    </w:p>
    <w:p w14:paraId="42E67449">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（5）与供应商有其他可能影响政府采购活动公平、公正进行的关系。</w:t>
      </w:r>
    </w:p>
    <w:p w14:paraId="58116DCD">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3E11AC84">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9.2有下列情形之一的视为投标人相互串通投标，投标文件将被视为无效：</w:t>
      </w:r>
    </w:p>
    <w:p w14:paraId="13DC35DA">
      <w:pPr>
        <w:wordWrap w:val="0"/>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（1）不同投标人的投标文件由同一单位或者个人编制；或者不同投标人报名的IP地址一致的；或者编制标书硬件设备CPU编号、硬盘编号、网卡地址一致的情况。</w:t>
      </w:r>
    </w:p>
    <w:p w14:paraId="682CA7BC">
      <w:pPr>
        <w:wordWrap w:val="0"/>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（2）不同投标人委托同一单位或者个人办理投标事宜；</w:t>
      </w:r>
    </w:p>
    <w:p w14:paraId="6011FB70">
      <w:pPr>
        <w:wordWrap w:val="0"/>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（3）不同的投标人的投标文件载明的项目管理员为同一个人；</w:t>
      </w:r>
    </w:p>
    <w:p w14:paraId="1AE268AF">
      <w:pPr>
        <w:wordWrap w:val="0"/>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（4）不同投标人的电子或纸质投标文件异常一致或者投标报价呈规律性差异；</w:t>
      </w:r>
    </w:p>
    <w:p w14:paraId="300C8CF0">
      <w:pPr>
        <w:wordWrap w:val="0"/>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（5）不同投标人的纸质投标文件相互混装；</w:t>
      </w:r>
    </w:p>
    <w:p w14:paraId="67A57EB4">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9.3供应商有下列情形之一的，属于恶意串通行为，将报同级监督管理部门：</w:t>
      </w:r>
    </w:p>
    <w:p w14:paraId="234F86DA">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（1）供应商直接或者间接从采购人或者采购代理机构处获得其他供应商的相关信息并修改其投标文件或者投标文件；</w:t>
      </w:r>
    </w:p>
    <w:p w14:paraId="0D6ABD59">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（2）供应商按照采购人或者采购代理机构的授意撤换、修改投标文件或者投标文件；</w:t>
      </w:r>
    </w:p>
    <w:p w14:paraId="144AC3FC">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（3）供应商之间协商报价、技术方案等投标文件或者投标文件的实质性内容；</w:t>
      </w:r>
    </w:p>
    <w:p w14:paraId="404EEDCB">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（4）属于同一集团、协会、商会等组织成员的供应商按照该组织要求协同参加政府采购活动；</w:t>
      </w:r>
    </w:p>
    <w:p w14:paraId="7CC64A78">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（5）供应商之间事先约定一致抬高或者压低投标报价，或者在招标项目中事先约定轮流以高价位或者低价位中标，或者事先约定由某一特定供应商中标，然后再参加投标；</w:t>
      </w:r>
    </w:p>
    <w:p w14:paraId="73EA2A6F">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（6）供应商之间商定部分供应商放弃参加政府采购活动或者放弃中标；</w:t>
      </w:r>
    </w:p>
    <w:p w14:paraId="16677931">
      <w:pPr>
        <w:wordWrap w:val="0"/>
        <w:spacing w:line="360" w:lineRule="auto"/>
        <w:ind w:firstLine="480" w:firstLineChars="200"/>
        <w:rPr>
          <w:rFonts w:hint="eastAsia" w:ascii="宋体" w:hAnsi="宋体" w:cs="宋体"/>
          <w:color w:val="auto"/>
          <w:highlight w:val="none"/>
        </w:rPr>
      </w:pPr>
      <w:r>
        <w:rPr>
          <w:rFonts w:hint="eastAsia" w:ascii="宋体" w:hAnsi="宋体" w:cs="宋体"/>
          <w:color w:val="auto"/>
          <w:sz w:val="24"/>
          <w:szCs w:val="24"/>
          <w:highlight w:val="none"/>
        </w:rPr>
        <w:t>（7）供应商与采购人或者采购代理机构之间、供应商相互之间，为谋求特定供应商中标或者排斥其他供应商的其他串通行为。</w:t>
      </w:r>
    </w:p>
    <w:p w14:paraId="313B6428">
      <w:pPr>
        <w:pStyle w:val="14"/>
        <w:wordWrap w:val="0"/>
        <w:snapToGrid w:val="0"/>
        <w:spacing w:line="360" w:lineRule="auto"/>
        <w:ind w:left="2" w:leftChars="1" w:firstLine="422" w:firstLineChars="200"/>
        <w:rPr>
          <w:rFonts w:hint="eastAsia" w:hAnsi="宋体" w:cs="宋体"/>
          <w:b/>
          <w:color w:val="auto"/>
          <w:highlight w:val="none"/>
        </w:rPr>
      </w:pPr>
    </w:p>
    <w:p w14:paraId="520F957B">
      <w:pPr>
        <w:pStyle w:val="4"/>
        <w:keepNext w:val="0"/>
        <w:keepLines w:val="0"/>
        <w:wordWrap w:val="0"/>
        <w:spacing w:line="360" w:lineRule="auto"/>
        <w:jc w:val="center"/>
        <w:rPr>
          <w:rFonts w:hint="eastAsia" w:ascii="宋体" w:hAnsi="宋体" w:cs="宋体"/>
          <w:color w:val="auto"/>
          <w:highlight w:val="none"/>
        </w:rPr>
      </w:pPr>
      <w:bookmarkStart w:id="53" w:name="_Toc8119"/>
      <w:bookmarkStart w:id="54" w:name="_Toc254970675"/>
      <w:bookmarkStart w:id="55" w:name="_Toc254970534"/>
      <w:r>
        <w:rPr>
          <w:rFonts w:hint="eastAsia" w:ascii="宋体" w:hAnsi="宋体" w:cs="宋体"/>
          <w:color w:val="auto"/>
          <w:highlight w:val="none"/>
        </w:rPr>
        <w:t>二、招标文件</w:t>
      </w:r>
      <w:bookmarkEnd w:id="53"/>
      <w:bookmarkEnd w:id="54"/>
      <w:bookmarkEnd w:id="55"/>
    </w:p>
    <w:p w14:paraId="0D30FD85">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10.招标文件的组成</w:t>
      </w:r>
    </w:p>
    <w:p w14:paraId="6D29E548">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第一章 招标公告；</w:t>
      </w:r>
    </w:p>
    <w:p w14:paraId="3D9BAEA7">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第二章 采购需求； </w:t>
      </w:r>
    </w:p>
    <w:p w14:paraId="40988B17">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第三章 投标人须知；</w:t>
      </w:r>
    </w:p>
    <w:p w14:paraId="3DBC8C53">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第四章 评标方法及评标标准；</w:t>
      </w:r>
    </w:p>
    <w:p w14:paraId="66D73831">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第五章 拟签订的合同文本；</w:t>
      </w:r>
    </w:p>
    <w:p w14:paraId="0792FDC4">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第六章 投标文件格式；</w:t>
      </w:r>
    </w:p>
    <w:p w14:paraId="04ED8334">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第七章 质疑、投诉材料格式</w:t>
      </w:r>
    </w:p>
    <w:p w14:paraId="58FBFA8A">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根据本章第11.1项的规定对公开招标文件所做的澄清、修改，构成招标文件的组成部分。当公开招标文件与招标文件的澄清和修改就同一内容的表述不一致时，以最后澄清或修改公告为准。</w:t>
      </w:r>
    </w:p>
    <w:p w14:paraId="54C44FE9">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11.招标文件的澄清、修改 、现场考察和答疑会</w:t>
      </w:r>
    </w:p>
    <w:p w14:paraId="30ED9E19">
      <w:pPr>
        <w:wordWrap w:val="0"/>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5E214F45">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11.2 投标人应认真审阅本公开招标文件，如有疑问，或发现其中有误或有要求不合理的，应在投标人须知前附表规定的</w:t>
      </w:r>
      <w:r>
        <w:rPr>
          <w:rFonts w:hint="eastAsia" w:ascii="宋体" w:hAnsi="宋体" w:cs="宋体"/>
          <w:color w:val="auto"/>
          <w:kern w:val="0"/>
          <w:sz w:val="24"/>
          <w:szCs w:val="24"/>
          <w:highlight w:val="none"/>
        </w:rPr>
        <w:t>投标截止时间</w:t>
      </w:r>
      <w:r>
        <w:rPr>
          <w:rFonts w:hint="eastAsia" w:ascii="宋体" w:hAnsi="宋体" w:cs="宋体"/>
          <w:color w:val="auto"/>
          <w:sz w:val="24"/>
          <w:szCs w:val="24"/>
          <w:highlight w:val="none"/>
        </w:rPr>
        <w:t>前以书面形式要求采购人或采购代理机构对招标文件予以澄清；否则，由此产生的后果由投标人自行负责。</w:t>
      </w:r>
    </w:p>
    <w:p w14:paraId="1CE33D1A">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11.3 采购人或者采购代理机构可以对已发出的招标文件进行必要的澄清或者修改。澄清或者修改的内容可能影响投标文件编制的，采购人或者采购代理机构应当在投标截止时间至少15日前，以书面形式通知(在“投标人须知前附表”规定的政府采购信息发布媒体上发布更正公告及平台短信通知)所有获取招标文件的潜在投标人；不足15日的，采购人或者采购代理机构应当顺延提交投标文件的截止时间。发出的澄清或者修改不影响投标文件编制的也应在截标前3日发出。</w:t>
      </w:r>
    </w:p>
    <w:p w14:paraId="138B0082">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11.4 采购人和采购代理机构可以视采购具体情况，变更投标截止时间和开标时间，将变更时间将在“投标人须知前附表”</w:t>
      </w:r>
      <w:r>
        <w:rPr>
          <w:rFonts w:hint="eastAsia" w:ascii="宋体" w:hAnsi="宋体" w:cs="宋体"/>
          <w:color w:val="auto"/>
          <w:kern w:val="0"/>
          <w:sz w:val="24"/>
          <w:szCs w:val="24"/>
          <w:highlight w:val="none"/>
        </w:rPr>
        <w:t>规定的政府采购信息发布媒体上</w:t>
      </w:r>
      <w:r>
        <w:rPr>
          <w:rFonts w:hint="eastAsia" w:ascii="宋体" w:hAnsi="宋体" w:cs="宋体"/>
          <w:color w:val="auto"/>
          <w:sz w:val="24"/>
          <w:szCs w:val="24"/>
          <w:highlight w:val="none"/>
        </w:rPr>
        <w:t>发布更正公告。</w:t>
      </w:r>
    </w:p>
    <w:p w14:paraId="703E09F4">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11.</w:t>
      </w:r>
      <w:bookmarkStart w:id="56" w:name="_Hlk53134511"/>
      <w:r>
        <w:rPr>
          <w:rFonts w:hint="eastAsia" w:ascii="宋体" w:hAnsi="宋体" w:cs="宋体"/>
          <w:color w:val="auto"/>
          <w:sz w:val="24"/>
          <w:szCs w:val="24"/>
          <w:highlight w:val="none"/>
        </w:rPr>
        <w:t>5采购人或者采购代理机构可以在招标文件提供期限截止后，组织已获取招标文件的潜在投标人现场考察或者召开开标前答疑会，具体详见“投标人须知前附表”。</w:t>
      </w:r>
    </w:p>
    <w:bookmarkEnd w:id="56"/>
    <w:p w14:paraId="1B94F5EB">
      <w:pPr>
        <w:pStyle w:val="4"/>
        <w:keepNext w:val="0"/>
        <w:keepLines w:val="0"/>
        <w:wordWrap w:val="0"/>
        <w:spacing w:line="360" w:lineRule="auto"/>
        <w:jc w:val="center"/>
        <w:rPr>
          <w:rFonts w:hint="eastAsia" w:ascii="宋体" w:hAnsi="宋体" w:cs="宋体"/>
          <w:color w:val="auto"/>
          <w:highlight w:val="none"/>
        </w:rPr>
      </w:pPr>
      <w:bookmarkStart w:id="57" w:name="_Toc254970676"/>
      <w:bookmarkStart w:id="58" w:name="_Toc254970535"/>
      <w:bookmarkStart w:id="59" w:name="_Toc21817"/>
      <w:r>
        <w:rPr>
          <w:rFonts w:hint="eastAsia" w:ascii="宋体" w:hAnsi="宋体" w:cs="宋体"/>
          <w:color w:val="auto"/>
          <w:highlight w:val="none"/>
        </w:rPr>
        <w:t>三、投标文件的编制</w:t>
      </w:r>
      <w:bookmarkEnd w:id="57"/>
      <w:bookmarkEnd w:id="58"/>
      <w:bookmarkEnd w:id="59"/>
    </w:p>
    <w:p w14:paraId="74E60C63">
      <w:pPr>
        <w:wordWrap w:val="0"/>
        <w:spacing w:line="360" w:lineRule="auto"/>
        <w:ind w:firstLine="480" w:firstLineChars="200"/>
        <w:rPr>
          <w:rFonts w:hint="eastAsia" w:ascii="宋体" w:hAnsi="宋体" w:cs="宋体"/>
          <w:color w:val="auto"/>
          <w:sz w:val="24"/>
          <w:szCs w:val="24"/>
          <w:highlight w:val="none"/>
        </w:rPr>
      </w:pPr>
      <w:bookmarkStart w:id="60" w:name="_Toc254970536"/>
      <w:bookmarkStart w:id="61" w:name="_Toc254970677"/>
      <w:r>
        <w:rPr>
          <w:rFonts w:hint="eastAsia" w:ascii="宋体" w:hAnsi="宋体" w:cs="宋体"/>
          <w:color w:val="auto"/>
          <w:sz w:val="24"/>
          <w:szCs w:val="24"/>
          <w:highlight w:val="none"/>
        </w:rPr>
        <w:t>12.投标文件的编制原则</w:t>
      </w:r>
    </w:p>
    <w:p w14:paraId="709AF2DB">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12.1投标人必须按照招标文件的要求编制投标文件。投标文件必须对招标文件提出的要求和条件作出明确响应。</w:t>
      </w:r>
    </w:p>
    <w:p w14:paraId="5A2E3AE3">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12.2投标人应根据自身实际情况如实响应招标文件，不得仅将招标文件内容简单复制粘贴作为投标响应，还应当提供相关证明材料，否则将作无效响应处理（定制采购项目不适用本条款）。对于重要技术条款或技术参数应当在投标文件中提供技术支持资料，技术支持资料以招标文件中规定的形式为准，否则将视为无效技术支持资料。</w:t>
      </w:r>
    </w:p>
    <w:p w14:paraId="40CC0B05">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13.投标文件的组成</w:t>
      </w:r>
      <w:bookmarkEnd w:id="60"/>
      <w:bookmarkEnd w:id="61"/>
    </w:p>
    <w:p w14:paraId="57383EDF">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13.1投标文件由报价文件、资格证明文件、商务文件、技术文件四部分组成。</w:t>
      </w:r>
    </w:p>
    <w:p w14:paraId="1D5A4746">
      <w:pPr>
        <w:wordWrap w:val="0"/>
        <w:spacing w:line="360" w:lineRule="auto"/>
        <w:ind w:firstLine="480" w:firstLineChars="200"/>
        <w:rPr>
          <w:rFonts w:hint="eastAsia" w:ascii="宋体" w:hAnsi="宋体" w:cs="宋体"/>
          <w:bCs/>
          <w:color w:val="auto"/>
          <w:sz w:val="24"/>
          <w:szCs w:val="24"/>
          <w:highlight w:val="none"/>
        </w:rPr>
      </w:pPr>
      <w:bookmarkStart w:id="62" w:name="_13.2资格证明文件：具体材料见“投标人须知前附表”。"/>
      <w:bookmarkEnd w:id="62"/>
      <w:bookmarkStart w:id="63" w:name="_13.1报价文件:_具体材料见“投标人须知前附表”。"/>
      <w:bookmarkEnd w:id="63"/>
      <w:r>
        <w:rPr>
          <w:rFonts w:hint="eastAsia" w:ascii="宋体" w:hAnsi="宋体" w:cs="宋体"/>
          <w:bCs/>
          <w:color w:val="auto"/>
          <w:sz w:val="24"/>
          <w:szCs w:val="24"/>
          <w:highlight w:val="none"/>
        </w:rPr>
        <w:t>（1）资格证明文件：具体材料见“投标人须知前附表”。</w:t>
      </w:r>
    </w:p>
    <w:p w14:paraId="571065FD">
      <w:pPr>
        <w:wordWrap w:val="0"/>
        <w:spacing w:line="360" w:lineRule="auto"/>
        <w:ind w:firstLine="480" w:firstLineChars="200"/>
        <w:rPr>
          <w:rFonts w:hint="eastAsia" w:ascii="宋体" w:hAnsi="宋体" w:cs="宋体"/>
          <w:bCs/>
          <w:color w:val="auto"/>
          <w:sz w:val="24"/>
          <w:szCs w:val="24"/>
          <w:highlight w:val="none"/>
        </w:rPr>
      </w:pPr>
      <w:bookmarkStart w:id="64" w:name="_13.3商务文件:_具体材料见“投标人须知前附表”。"/>
      <w:bookmarkEnd w:id="64"/>
      <w:r>
        <w:rPr>
          <w:rFonts w:hint="eastAsia" w:ascii="宋体" w:hAnsi="宋体" w:cs="宋体"/>
          <w:bCs/>
          <w:color w:val="auto"/>
          <w:sz w:val="24"/>
          <w:szCs w:val="24"/>
          <w:highlight w:val="none"/>
        </w:rPr>
        <w:t>（2）商务文件：具体材料见“投标人须知前附表”。</w:t>
      </w:r>
    </w:p>
    <w:p w14:paraId="73094538">
      <w:pPr>
        <w:wordWrap w:val="0"/>
        <w:spacing w:line="360" w:lineRule="auto"/>
        <w:ind w:firstLine="480" w:firstLineChars="200"/>
        <w:rPr>
          <w:rFonts w:hint="eastAsia" w:ascii="宋体" w:hAnsi="宋体" w:cs="宋体"/>
          <w:bCs/>
          <w:color w:val="auto"/>
          <w:sz w:val="24"/>
          <w:szCs w:val="24"/>
          <w:highlight w:val="none"/>
        </w:rPr>
      </w:pPr>
      <w:bookmarkStart w:id="65" w:name="_13.4技术文件：具体材料见“投标人须知前附表”。"/>
      <w:bookmarkEnd w:id="65"/>
      <w:r>
        <w:rPr>
          <w:rFonts w:hint="eastAsia" w:ascii="宋体" w:hAnsi="宋体" w:cs="宋体"/>
          <w:bCs/>
          <w:color w:val="auto"/>
          <w:sz w:val="24"/>
          <w:szCs w:val="24"/>
          <w:highlight w:val="none"/>
        </w:rPr>
        <w:t xml:space="preserve">（3）技术文件：具体材料见“投标人须知前附表”。 </w:t>
      </w:r>
    </w:p>
    <w:p w14:paraId="0D01F8C5">
      <w:pPr>
        <w:wordWrap w:val="0"/>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（4）报价文件： 具体材料见“投标人须知前附表”。</w:t>
      </w:r>
    </w:p>
    <w:p w14:paraId="32BEDBD9">
      <w:pPr>
        <w:wordWrap w:val="0"/>
        <w:spacing w:line="360" w:lineRule="auto"/>
        <w:ind w:firstLine="480" w:firstLineChars="200"/>
        <w:rPr>
          <w:rFonts w:hint="eastAsia" w:ascii="宋体" w:hAnsi="宋体" w:cs="宋体"/>
          <w:bCs/>
          <w:color w:val="auto"/>
          <w:sz w:val="24"/>
          <w:szCs w:val="24"/>
          <w:highlight w:val="none"/>
        </w:rPr>
      </w:pPr>
      <w:bookmarkStart w:id="66" w:name="_13.5投标文件电子版：具体材料见“投标人须知前附表”。"/>
      <w:bookmarkEnd w:id="66"/>
      <w:r>
        <w:rPr>
          <w:rFonts w:hint="eastAsia" w:ascii="宋体" w:hAnsi="宋体" w:cs="宋体"/>
          <w:bCs/>
          <w:color w:val="auto"/>
          <w:sz w:val="24"/>
          <w:szCs w:val="24"/>
          <w:highlight w:val="none"/>
        </w:rPr>
        <w:t>13.2投标文件电子版：具体要求见本节19.投标文件编制。</w:t>
      </w:r>
    </w:p>
    <w:p w14:paraId="33AB7EC6">
      <w:pPr>
        <w:wordWrap w:val="0"/>
        <w:spacing w:line="360" w:lineRule="auto"/>
        <w:ind w:firstLine="480" w:firstLineChars="200"/>
        <w:rPr>
          <w:rFonts w:hint="eastAsia" w:ascii="宋体" w:hAnsi="宋体" w:cs="宋体"/>
          <w:color w:val="auto"/>
          <w:sz w:val="24"/>
          <w:szCs w:val="24"/>
          <w:highlight w:val="none"/>
        </w:rPr>
      </w:pPr>
      <w:bookmarkStart w:id="67" w:name="_Toc254970537"/>
      <w:bookmarkStart w:id="68" w:name="_Toc254970678"/>
      <w:r>
        <w:rPr>
          <w:rFonts w:hint="eastAsia" w:ascii="宋体" w:hAnsi="宋体" w:cs="宋体"/>
          <w:color w:val="auto"/>
          <w:sz w:val="24"/>
          <w:szCs w:val="24"/>
          <w:highlight w:val="none"/>
        </w:rPr>
        <w:t>14.投标文件的语言及计量</w:t>
      </w:r>
      <w:bookmarkEnd w:id="67"/>
      <w:bookmarkEnd w:id="68"/>
    </w:p>
    <w:p w14:paraId="0574F8CB">
      <w:pPr>
        <w:wordWrap w:val="0"/>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14.1语言文字</w:t>
      </w:r>
    </w:p>
    <w:p w14:paraId="6E239E5B">
      <w:pPr>
        <w:wordWrap w:val="0"/>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2A59312B">
      <w:pPr>
        <w:wordWrap w:val="0"/>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14.2投标计量单位</w:t>
      </w:r>
    </w:p>
    <w:p w14:paraId="192228B6">
      <w:pPr>
        <w:wordWrap w:val="0"/>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招标文件已有明确规定的，使用招标文件规定的计量单位；招标文件没有规定的，应采用中华人民共和国法定计量单位，货币种类为人民币，否则视同未响应。</w:t>
      </w:r>
    </w:p>
    <w:p w14:paraId="0F9B4564">
      <w:pPr>
        <w:wordWrap w:val="0"/>
        <w:spacing w:line="360" w:lineRule="auto"/>
        <w:ind w:firstLine="480" w:firstLineChars="200"/>
        <w:rPr>
          <w:rFonts w:hint="eastAsia" w:ascii="宋体" w:hAnsi="宋体" w:cs="宋体"/>
          <w:color w:val="auto"/>
          <w:sz w:val="24"/>
          <w:szCs w:val="24"/>
          <w:highlight w:val="none"/>
        </w:rPr>
      </w:pPr>
      <w:bookmarkStart w:id="69" w:name="_Toc254970679"/>
      <w:bookmarkStart w:id="70" w:name="_Toc254970538"/>
      <w:r>
        <w:rPr>
          <w:rFonts w:hint="eastAsia" w:ascii="宋体" w:hAnsi="宋体" w:cs="宋体"/>
          <w:color w:val="auto"/>
          <w:sz w:val="24"/>
          <w:szCs w:val="24"/>
          <w:highlight w:val="none"/>
        </w:rPr>
        <w:t xml:space="preserve">15.投标文件提交的风险 </w:t>
      </w:r>
    </w:p>
    <w:p w14:paraId="7AF4FC39">
      <w:pPr>
        <w:wordWrap w:val="0"/>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投标文件分为资格文件、商务文件、技术文件、报价文件四部分（其中：商务文件与技术文件合并编辑 成一个电子文档）。各投标人在编制投标文件时请按照招标文件规定的编排格式进行，不按要求提交齐全 的文件、混乱的编排导致投标文件被误读或评标委员会查找不到有效文件是造成投标人投标文件无效的风 险。▲投标文件内容不齐全、未按规定的文件格式编制的、没有对招标文件作出实质性响应，投标无效；</w:t>
      </w:r>
    </w:p>
    <w:p w14:paraId="4851037C">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16.投标报价</w:t>
      </w:r>
      <w:bookmarkEnd w:id="69"/>
      <w:bookmarkEnd w:id="70"/>
    </w:p>
    <w:p w14:paraId="77640EF5">
      <w:pPr>
        <w:wordWrap w:val="0"/>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16.1投标报价应按“第六章　投标文件格式”中“开标一览表”格式填写。</w:t>
      </w:r>
    </w:p>
    <w:p w14:paraId="60FF7FD9">
      <w:pPr>
        <w:wordWrap w:val="0"/>
        <w:spacing w:line="360" w:lineRule="auto"/>
        <w:ind w:firstLine="480" w:firstLineChars="200"/>
        <w:rPr>
          <w:rFonts w:hint="eastAsia" w:ascii="宋体" w:hAnsi="宋体" w:cs="宋体"/>
          <w:bCs/>
          <w:color w:val="auto"/>
          <w:sz w:val="24"/>
          <w:szCs w:val="24"/>
          <w:highlight w:val="none"/>
        </w:rPr>
      </w:pPr>
      <w:bookmarkStart w:id="71" w:name="_16.2投标报价具体定义见投标人须知前附表。"/>
      <w:bookmarkEnd w:id="71"/>
      <w:r>
        <w:rPr>
          <w:rFonts w:hint="eastAsia" w:ascii="宋体" w:hAnsi="宋体" w:cs="宋体"/>
          <w:bCs/>
          <w:color w:val="auto"/>
          <w:sz w:val="24"/>
          <w:szCs w:val="24"/>
          <w:highlight w:val="none"/>
        </w:rPr>
        <w:t>16.2投标报价具体包括内容详见“投标人须知前附表”。</w:t>
      </w:r>
    </w:p>
    <w:p w14:paraId="58281F0D">
      <w:pPr>
        <w:wordWrap w:val="0"/>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16.3投标人必须就所投每个分标的全部内容分别作完整唯一总价报价，不得存在漏项报价；投标人必须就所投分标的单项内容作唯一报价。</w:t>
      </w:r>
    </w:p>
    <w:p w14:paraId="4693F164">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17.投标有效期</w:t>
      </w:r>
    </w:p>
    <w:p w14:paraId="03F11A93">
      <w:pPr>
        <w:wordWrap w:val="0"/>
        <w:spacing w:line="360" w:lineRule="auto"/>
        <w:ind w:firstLine="480" w:firstLineChars="200"/>
        <w:rPr>
          <w:rFonts w:hint="eastAsia" w:ascii="宋体" w:hAnsi="宋体" w:cs="宋体"/>
          <w:bCs/>
          <w:color w:val="auto"/>
          <w:sz w:val="24"/>
          <w:szCs w:val="24"/>
          <w:highlight w:val="none"/>
        </w:rPr>
      </w:pPr>
      <w:bookmarkStart w:id="72" w:name="_17.1投标有效期应按“投标人须知中的前附表”规定的期限。"/>
      <w:bookmarkEnd w:id="72"/>
      <w:r>
        <w:rPr>
          <w:rFonts w:hint="eastAsia" w:ascii="宋体" w:hAnsi="宋体" w:cs="宋体"/>
          <w:bCs/>
          <w:color w:val="auto"/>
          <w:sz w:val="24"/>
          <w:szCs w:val="24"/>
          <w:highlight w:val="none"/>
        </w:rPr>
        <w:t>17.1投标有效期是指为保证采购人有足够的时间在开标后完成评标、定标、合同签订等工作而要求投标人提交的投标文件在一定时间内保持有效的期限。</w:t>
      </w:r>
    </w:p>
    <w:p w14:paraId="4BFDE084">
      <w:pPr>
        <w:wordWrap w:val="0"/>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17.2</w:t>
      </w:r>
      <w:bookmarkStart w:id="73" w:name="_Toc254970540"/>
      <w:bookmarkStart w:id="74" w:name="_Toc254970681"/>
      <w:r>
        <w:rPr>
          <w:rFonts w:hint="eastAsia" w:ascii="宋体" w:hAnsi="宋体" w:cs="宋体"/>
          <w:bCs/>
          <w:color w:val="auto"/>
          <w:sz w:val="24"/>
          <w:szCs w:val="24"/>
          <w:highlight w:val="none"/>
        </w:rPr>
        <w:t xml:space="preserve"> 投标有效期应按规定的期限作出承诺，具体详见“投标人须知前附表”。</w:t>
      </w:r>
    </w:p>
    <w:p w14:paraId="4D49C497">
      <w:pPr>
        <w:wordWrap w:val="0"/>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17.3投标人的投标文件在投标有效期内均保持有效。</w:t>
      </w:r>
      <w:bookmarkEnd w:id="73"/>
      <w:bookmarkEnd w:id="74"/>
    </w:p>
    <w:p w14:paraId="5EB1FF7A">
      <w:pPr>
        <w:wordWrap w:val="0"/>
        <w:spacing w:line="360" w:lineRule="auto"/>
        <w:ind w:firstLine="480" w:firstLineChars="200"/>
        <w:rPr>
          <w:rFonts w:hint="eastAsia" w:ascii="宋体" w:hAnsi="宋体" w:cs="宋体"/>
          <w:color w:val="auto"/>
          <w:sz w:val="24"/>
          <w:szCs w:val="24"/>
          <w:highlight w:val="none"/>
        </w:rPr>
      </w:pPr>
      <w:bookmarkStart w:id="75" w:name="_18.投标保证金"/>
      <w:bookmarkEnd w:id="75"/>
      <w:bookmarkStart w:id="76" w:name="_Toc254970541"/>
      <w:bookmarkStart w:id="77" w:name="_Toc254970682"/>
      <w:r>
        <w:rPr>
          <w:rFonts w:hint="eastAsia" w:ascii="宋体" w:hAnsi="宋体" w:cs="宋体"/>
          <w:color w:val="auto"/>
          <w:sz w:val="24"/>
          <w:szCs w:val="24"/>
          <w:highlight w:val="none"/>
        </w:rPr>
        <w:t>18.投标保证金</w:t>
      </w:r>
      <w:bookmarkEnd w:id="76"/>
      <w:bookmarkEnd w:id="77"/>
    </w:p>
    <w:p w14:paraId="7A83CDA2">
      <w:pPr>
        <w:wordWrap w:val="0"/>
        <w:spacing w:line="360" w:lineRule="auto"/>
        <w:ind w:firstLine="480" w:firstLineChars="200"/>
        <w:rPr>
          <w:rFonts w:hint="eastAsia" w:ascii="宋体" w:hAnsi="宋体" w:cs="宋体"/>
          <w:color w:val="auto"/>
          <w:sz w:val="24"/>
          <w:szCs w:val="24"/>
          <w:highlight w:val="none"/>
        </w:rPr>
      </w:pPr>
      <w:bookmarkStart w:id="78" w:name="_Toc254970683"/>
      <w:bookmarkStart w:id="79" w:name="_Toc254970542"/>
      <w:r>
        <w:rPr>
          <w:rFonts w:hint="eastAsia" w:ascii="宋体" w:hAnsi="宋体" w:cs="宋体"/>
          <w:color w:val="auto"/>
          <w:sz w:val="24"/>
          <w:szCs w:val="24"/>
          <w:highlight w:val="none"/>
        </w:rPr>
        <w:t>见“投标人须知前附表”。</w:t>
      </w:r>
    </w:p>
    <w:p w14:paraId="568E4725">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19.投标文件的</w:t>
      </w:r>
      <w:bookmarkEnd w:id="78"/>
      <w:bookmarkEnd w:id="79"/>
      <w:r>
        <w:rPr>
          <w:rFonts w:hint="eastAsia" w:ascii="宋体" w:hAnsi="宋体" w:cs="宋体"/>
          <w:color w:val="auto"/>
          <w:sz w:val="24"/>
          <w:szCs w:val="24"/>
          <w:highlight w:val="none"/>
        </w:rPr>
        <w:t>编制</w:t>
      </w:r>
    </w:p>
    <w:p w14:paraId="11CB109C">
      <w:pPr>
        <w:wordWrap w:val="0"/>
        <w:spacing w:line="360" w:lineRule="auto"/>
        <w:ind w:firstLine="482" w:firstLineChars="200"/>
        <w:rPr>
          <w:rFonts w:hint="eastAsia" w:ascii="宋体" w:hAnsi="宋体" w:cs="宋体"/>
          <w:color w:val="auto"/>
          <w:sz w:val="24"/>
          <w:szCs w:val="24"/>
          <w:highlight w:val="none"/>
        </w:rPr>
      </w:pPr>
      <w:r>
        <w:rPr>
          <w:rFonts w:hint="eastAsia" w:ascii="宋体" w:hAnsi="宋体" w:cs="宋体"/>
          <w:b/>
          <w:color w:val="auto"/>
          <w:sz w:val="24"/>
          <w:szCs w:val="24"/>
          <w:highlight w:val="none"/>
        </w:rPr>
        <w:t xml:space="preserve"> </w:t>
      </w:r>
      <w:r>
        <w:rPr>
          <w:rFonts w:hint="eastAsia" w:ascii="宋体" w:hAnsi="宋体" w:cs="宋体"/>
          <w:color w:val="auto"/>
          <w:sz w:val="24"/>
          <w:szCs w:val="24"/>
          <w:highlight w:val="none"/>
        </w:rPr>
        <w:t>19.1投标文件编制要求详见“投标人须知前附表”。投标人应按本招标文件规定的格式和顺序编制、装订投标文件并标注页码，投标文件内容不完整、编排混乱导致投标文件被误读、漏读或者查找不到相关内容的，由此引发的后果由投标人承担。</w:t>
      </w:r>
      <w:bookmarkStart w:id="80" w:name="_19.2投标文件应按报价文件、资格证明文件、商务文件、技术文件分别编制"/>
      <w:bookmarkEnd w:id="80"/>
      <w:r>
        <w:rPr>
          <w:rFonts w:hint="eastAsia" w:ascii="宋体" w:hAnsi="宋体" w:cs="宋体"/>
          <w:color w:val="auto"/>
          <w:sz w:val="24"/>
          <w:szCs w:val="24"/>
          <w:highlight w:val="none"/>
        </w:rPr>
        <w:t xml:space="preserve"> </w:t>
      </w:r>
    </w:p>
    <w:p w14:paraId="240C94BE">
      <w:pPr>
        <w:pStyle w:val="37"/>
        <w:wordWrap w:val="0"/>
        <w:snapToGrid w:val="0"/>
        <w:spacing w:before="0"/>
        <w:ind w:firstLine="420"/>
        <w:rPr>
          <w:rFonts w:hint="eastAsia" w:ascii="宋体" w:hAnsi="宋体" w:cs="宋体"/>
          <w:color w:val="auto"/>
          <w:sz w:val="24"/>
          <w:szCs w:val="24"/>
          <w:highlight w:val="none"/>
        </w:rPr>
      </w:pPr>
      <w:r>
        <w:rPr>
          <w:rFonts w:hint="eastAsia" w:ascii="宋体" w:hAnsi="宋体" w:cs="宋体"/>
          <w:color w:val="auto"/>
          <w:sz w:val="24"/>
          <w:szCs w:val="24"/>
          <w:highlight w:val="none"/>
        </w:rPr>
        <w:t>19.2投标文件按照招标文件第六章格式要求在规定位置进行签署、盖章。投标人的投标文件未按照招标文件要求签署、盖章的，</w:t>
      </w:r>
      <w:r>
        <w:rPr>
          <w:rFonts w:hint="eastAsia" w:ascii="宋体" w:hAnsi="宋体" w:cs="宋体"/>
          <w:b/>
          <w:color w:val="auto"/>
          <w:sz w:val="24"/>
          <w:szCs w:val="24"/>
          <w:highlight w:val="none"/>
        </w:rPr>
        <w:t>其投标无效。</w:t>
      </w:r>
      <w:r>
        <w:rPr>
          <w:rFonts w:hint="eastAsia" w:ascii="宋体" w:hAnsi="宋体" w:cs="宋体"/>
          <w:color w:val="auto"/>
          <w:sz w:val="24"/>
          <w:szCs w:val="24"/>
          <w:highlight w:val="none"/>
        </w:rPr>
        <w:t>骑缝盖公章不视为在规定位置盖章。</w:t>
      </w:r>
    </w:p>
    <w:p w14:paraId="7568D42E">
      <w:pPr>
        <w:pStyle w:val="37"/>
        <w:wordWrap w:val="0"/>
        <w:snapToGrid w:val="0"/>
        <w:spacing w:before="0"/>
        <w:ind w:firstLine="420"/>
        <w:rPr>
          <w:rFonts w:hint="eastAsia" w:ascii="宋体" w:hAnsi="宋体" w:cs="宋体"/>
          <w:color w:val="auto"/>
          <w:sz w:val="24"/>
          <w:szCs w:val="24"/>
          <w:highlight w:val="none"/>
        </w:rPr>
      </w:pPr>
      <w:r>
        <w:rPr>
          <w:rFonts w:hint="eastAsia" w:ascii="宋体" w:hAnsi="宋体" w:cs="宋体"/>
          <w:color w:val="auto"/>
          <w:sz w:val="24"/>
          <w:szCs w:val="24"/>
          <w:highlight w:val="none"/>
        </w:rPr>
        <w:t>19.3为确保网上操作合法、有效和安全，投标人应当在投标截止时间前完成在广西政府采购云平台的身份认证，确保在电子投标过程中能够对相关数据电文进行加密和使用电子签名。</w:t>
      </w:r>
    </w:p>
    <w:p w14:paraId="124974D3">
      <w:pPr>
        <w:wordWrap w:val="0"/>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19.4投标文件中标注的投标人名称应与主体资格证明（如营业执照、事业单位法人证书、执业许可证、自然人身份证等）及公章一致，</w:t>
      </w:r>
      <w:r>
        <w:rPr>
          <w:rFonts w:hint="eastAsia" w:ascii="宋体" w:hAnsi="宋体" w:cs="宋体"/>
          <w:color w:val="auto"/>
          <w:sz w:val="24"/>
          <w:szCs w:val="24"/>
          <w:highlight w:val="none"/>
        </w:rPr>
        <w:t>否则作无效投标处理</w:t>
      </w:r>
      <w:r>
        <w:rPr>
          <w:rFonts w:hint="eastAsia" w:ascii="宋体" w:hAnsi="宋体" w:cs="宋体"/>
          <w:b/>
          <w:color w:val="auto"/>
          <w:sz w:val="24"/>
          <w:szCs w:val="24"/>
          <w:highlight w:val="none"/>
        </w:rPr>
        <w:t>。</w:t>
      </w:r>
    </w:p>
    <w:p w14:paraId="0D681AFF">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19.5投标文件应避免涂改、行间插字或者删除，</w:t>
      </w:r>
      <w:r>
        <w:rPr>
          <w:rFonts w:hint="eastAsia" w:ascii="宋体" w:hAnsi="宋体" w:cs="宋体"/>
          <w:b/>
          <w:color w:val="auto"/>
          <w:sz w:val="24"/>
          <w:szCs w:val="24"/>
          <w:highlight w:val="none"/>
        </w:rPr>
        <w:t>否则其投标无效。</w:t>
      </w:r>
    </w:p>
    <w:p w14:paraId="12A089E9">
      <w:pPr>
        <w:wordWrap w:val="0"/>
        <w:spacing w:line="360" w:lineRule="auto"/>
        <w:ind w:firstLine="600" w:firstLineChars="250"/>
        <w:rPr>
          <w:rFonts w:hint="eastAsia" w:ascii="宋体" w:hAnsi="宋体" w:cs="宋体"/>
          <w:color w:val="auto"/>
          <w:sz w:val="24"/>
          <w:szCs w:val="24"/>
          <w:highlight w:val="none"/>
        </w:rPr>
      </w:pPr>
      <w:r>
        <w:rPr>
          <w:rFonts w:hint="eastAsia" w:ascii="宋体" w:hAnsi="宋体" w:cs="宋体"/>
          <w:color w:val="auto"/>
          <w:sz w:val="24"/>
          <w:szCs w:val="24"/>
          <w:highlight w:val="none"/>
        </w:rPr>
        <w:t>19.6 对招标文件的实质性要求和条件作出响应是指投标人必须对招标文件中标注为实质性要求和条件的服务内容及要求、商务条款及其它内容</w:t>
      </w:r>
      <w:r>
        <w:rPr>
          <w:rFonts w:hint="eastAsia" w:ascii="宋体" w:hAnsi="宋体" w:cs="宋体"/>
          <w:b/>
          <w:color w:val="auto"/>
          <w:sz w:val="24"/>
          <w:szCs w:val="24"/>
          <w:highlight w:val="none"/>
        </w:rPr>
        <w:t>作出满足或者优于原要求和条件的承诺</w:t>
      </w:r>
      <w:r>
        <w:rPr>
          <w:rFonts w:hint="eastAsia" w:ascii="宋体" w:hAnsi="宋体" w:cs="宋体"/>
          <w:color w:val="auto"/>
          <w:sz w:val="24"/>
          <w:szCs w:val="24"/>
          <w:highlight w:val="none"/>
        </w:rPr>
        <w:t>。</w:t>
      </w:r>
    </w:p>
    <w:p w14:paraId="08A5E10A">
      <w:pPr>
        <w:wordWrap w:val="0"/>
        <w:spacing w:line="360" w:lineRule="auto"/>
        <w:ind w:firstLine="482" w:firstLineChars="200"/>
        <w:rPr>
          <w:rFonts w:hint="eastAsia" w:ascii="宋体" w:hAnsi="宋体" w:cs="宋体"/>
          <w:b/>
          <w:color w:val="auto"/>
          <w:sz w:val="24"/>
          <w:szCs w:val="24"/>
          <w:highlight w:val="none"/>
          <w:u w:val="single"/>
        </w:rPr>
      </w:pPr>
      <w:r>
        <w:rPr>
          <w:rFonts w:hint="eastAsia" w:ascii="宋体" w:hAnsi="宋体" w:cs="宋体"/>
          <w:b/>
          <w:color w:val="auto"/>
          <w:sz w:val="24"/>
          <w:szCs w:val="24"/>
          <w:highlight w:val="none"/>
          <w:u w:val="single"/>
        </w:rPr>
        <w:t>19.7本项目为南宁市全流程电子化项目，异常情况见“第二节 投标人须知正文”中“四、24.2开标程序。</w:t>
      </w:r>
    </w:p>
    <w:p w14:paraId="4078807D">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20.备份投标文件</w:t>
      </w:r>
    </w:p>
    <w:p w14:paraId="3149B8B4">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bCs/>
          <w:color w:val="auto"/>
          <w:sz w:val="24"/>
          <w:szCs w:val="24"/>
          <w:highlight w:val="none"/>
        </w:rPr>
        <w:t>详见在“投标人须知前附表”。</w:t>
      </w:r>
    </w:p>
    <w:p w14:paraId="088550F3">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21.投标文件的提交</w:t>
      </w:r>
    </w:p>
    <w:p w14:paraId="4295C3CD">
      <w:pPr>
        <w:wordWrap w:val="0"/>
        <w:spacing w:line="360" w:lineRule="auto"/>
        <w:ind w:firstLine="480" w:firstLineChars="200"/>
        <w:rPr>
          <w:rFonts w:hint="eastAsia" w:ascii="宋体" w:hAnsi="宋体" w:cs="宋体"/>
          <w:b/>
          <w:color w:val="auto"/>
          <w:sz w:val="24"/>
          <w:szCs w:val="24"/>
          <w:highlight w:val="none"/>
        </w:rPr>
      </w:pPr>
      <w:bookmarkStart w:id="81" w:name="_21.1投标人必须在“投标人须知中的前附表”规定的投标文件接收时间和投"/>
      <w:bookmarkEnd w:id="81"/>
      <w:r>
        <w:rPr>
          <w:rFonts w:hint="eastAsia" w:ascii="宋体" w:hAnsi="宋体" w:cs="宋体"/>
          <w:bCs/>
          <w:color w:val="auto"/>
          <w:sz w:val="24"/>
          <w:szCs w:val="24"/>
          <w:highlight w:val="none"/>
        </w:rPr>
        <w:t xml:space="preserve">21.1投标人必须在“投标人须知前附表”规定的投标文件接收时间和投标地点提交电子版投标文件。电子投标文件应在制作完成后，在投标截止时间前通过有效数字证书（CA认证锁）进行电子签章、加密，然后通过网络将加密的电子投标文件递交至“广西采购云平台”。 </w:t>
      </w:r>
      <w:r>
        <w:rPr>
          <w:rFonts w:hint="eastAsia" w:ascii="宋体" w:hAnsi="宋体" w:cs="宋体"/>
          <w:b/>
          <w:color w:val="auto"/>
          <w:sz w:val="24"/>
          <w:szCs w:val="24"/>
          <w:highlight w:val="none"/>
        </w:rPr>
        <w:t xml:space="preserve"> </w:t>
      </w:r>
    </w:p>
    <w:p w14:paraId="151A421F">
      <w:pPr>
        <w:wordWrap w:val="0"/>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21.2未在规定时间内提交或者未按照招标文件要求密封或者标记的电子投标文件，广西政府采购云平台将拒收。</w:t>
      </w:r>
    </w:p>
    <w:p w14:paraId="56C14152">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21.3电子版投标文件提交方式见“招标公告”中“四、提交投标文件截止时间、开标时间和地点”</w:t>
      </w:r>
      <w:r>
        <w:rPr>
          <w:rFonts w:hint="eastAsia" w:ascii="宋体" w:hAnsi="宋体" w:cs="宋体"/>
          <w:b/>
          <w:color w:val="auto"/>
          <w:sz w:val="24"/>
          <w:szCs w:val="24"/>
          <w:highlight w:val="none"/>
        </w:rPr>
        <w:t xml:space="preserve"> 。</w:t>
      </w:r>
    </w:p>
    <w:p w14:paraId="0491B404">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22. 投标文件的补充、修改、撤回与退回</w:t>
      </w:r>
      <w:bookmarkStart w:id="82" w:name="_Toc254970543"/>
      <w:bookmarkStart w:id="83" w:name="_Toc254970684"/>
    </w:p>
    <w:p w14:paraId="61AD159E">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22.1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广西政府采购云平台将拒收。（补充、修改或者撤回方式见公告附件“电子投标文件制作与投送教程”）</w:t>
      </w:r>
    </w:p>
    <w:p w14:paraId="65ABEB43">
      <w:pPr>
        <w:pStyle w:val="37"/>
        <w:wordWrap w:val="0"/>
        <w:spacing w:before="0"/>
        <w:ind w:firstLine="420"/>
        <w:rPr>
          <w:rFonts w:hint="eastAsia" w:ascii="宋体" w:hAnsi="宋体" w:cs="宋体"/>
          <w:color w:val="auto"/>
          <w:sz w:val="24"/>
          <w:szCs w:val="24"/>
          <w:highlight w:val="none"/>
        </w:rPr>
      </w:pPr>
      <w:r>
        <w:rPr>
          <w:rFonts w:hint="eastAsia" w:ascii="宋体" w:hAnsi="宋体" w:cs="宋体"/>
          <w:color w:val="auto"/>
          <w:sz w:val="24"/>
          <w:szCs w:val="24"/>
          <w:highlight w:val="none"/>
        </w:rPr>
        <w:t>22.2广西政府采购云平台收到投标文件，将妥善保存并即时向供应商发出确认回执通知。在投标截止时间前，除供应商补充、修改或者撤回投标文件外，任何单位和个人不得解密或提取投标文件。</w:t>
      </w:r>
    </w:p>
    <w:bookmarkEnd w:id="82"/>
    <w:bookmarkEnd w:id="83"/>
    <w:p w14:paraId="7185E891">
      <w:pPr>
        <w:wordWrap w:val="0"/>
        <w:spacing w:line="360" w:lineRule="auto"/>
        <w:ind w:firstLine="480" w:firstLineChars="200"/>
        <w:rPr>
          <w:rFonts w:hint="eastAsia" w:ascii="宋体" w:hAnsi="宋体" w:cs="宋体"/>
          <w:color w:val="auto"/>
          <w:szCs w:val="21"/>
          <w:highlight w:val="none"/>
        </w:rPr>
      </w:pPr>
      <w:r>
        <w:rPr>
          <w:rFonts w:hint="eastAsia" w:ascii="宋体" w:hAnsi="宋体" w:cs="宋体"/>
          <w:color w:val="auto"/>
          <w:sz w:val="24"/>
          <w:szCs w:val="24"/>
          <w:highlight w:val="none"/>
        </w:rPr>
        <w:t>22.3在投标截止时间止提交电子版投标文件的投标人不足3家时，电子版投标文件由代理机构在广西政府采购云平台操作退回，除此之外采购人和采购代理机构对已提交的投标文件概不退回。</w:t>
      </w:r>
    </w:p>
    <w:p w14:paraId="7D010FE0">
      <w:pPr>
        <w:pStyle w:val="12"/>
        <w:wordWrap w:val="0"/>
        <w:snapToGrid w:val="0"/>
        <w:spacing w:line="360" w:lineRule="auto"/>
        <w:ind w:firstLine="404"/>
        <w:rPr>
          <w:rFonts w:hint="eastAsia" w:hAnsi="宋体" w:cs="宋体"/>
          <w:snapToGrid w:val="0"/>
          <w:color w:val="auto"/>
          <w:sz w:val="21"/>
          <w:szCs w:val="21"/>
          <w:highlight w:val="none"/>
        </w:rPr>
      </w:pPr>
    </w:p>
    <w:p w14:paraId="07D50145">
      <w:pPr>
        <w:pStyle w:val="4"/>
        <w:keepNext w:val="0"/>
        <w:keepLines w:val="0"/>
        <w:wordWrap w:val="0"/>
        <w:spacing w:line="360" w:lineRule="auto"/>
        <w:jc w:val="center"/>
        <w:rPr>
          <w:rFonts w:hint="eastAsia" w:ascii="宋体" w:hAnsi="宋体" w:cs="宋体"/>
          <w:color w:val="auto"/>
          <w:highlight w:val="none"/>
        </w:rPr>
      </w:pPr>
      <w:bookmarkStart w:id="84" w:name="_Toc254970685"/>
      <w:bookmarkStart w:id="85" w:name="_Toc254970544"/>
      <w:bookmarkStart w:id="86" w:name="_Toc19841"/>
      <w:r>
        <w:rPr>
          <w:rFonts w:hint="eastAsia" w:ascii="宋体" w:hAnsi="宋体" w:cs="宋体"/>
          <w:color w:val="auto"/>
          <w:highlight w:val="none"/>
        </w:rPr>
        <w:t>四、开    标</w:t>
      </w:r>
      <w:bookmarkEnd w:id="84"/>
      <w:bookmarkEnd w:id="85"/>
      <w:bookmarkEnd w:id="86"/>
    </w:p>
    <w:p w14:paraId="2D8155F6">
      <w:pPr>
        <w:wordWrap w:val="0"/>
        <w:spacing w:line="360" w:lineRule="auto"/>
        <w:ind w:firstLine="480" w:firstLineChars="200"/>
        <w:rPr>
          <w:rFonts w:hint="eastAsia" w:ascii="宋体" w:hAnsi="宋体" w:cs="宋体"/>
          <w:color w:val="auto"/>
          <w:sz w:val="24"/>
          <w:szCs w:val="24"/>
          <w:highlight w:val="none"/>
        </w:rPr>
      </w:pPr>
      <w:bookmarkStart w:id="87" w:name="_23.开标时间和地点"/>
      <w:bookmarkEnd w:id="87"/>
      <w:r>
        <w:rPr>
          <w:rFonts w:hint="eastAsia" w:ascii="宋体" w:hAnsi="宋体" w:cs="宋体"/>
          <w:color w:val="auto"/>
          <w:sz w:val="24"/>
          <w:szCs w:val="24"/>
          <w:highlight w:val="none"/>
        </w:rPr>
        <w:t>23.开标时间和地点</w:t>
      </w:r>
    </w:p>
    <w:p w14:paraId="12113804">
      <w:pPr>
        <w:wordWrap w:val="0"/>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23.1开标时间及地点详见“投标人须知前附表”</w:t>
      </w:r>
    </w:p>
    <w:p w14:paraId="79394AAC">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23.2如</w:t>
      </w:r>
      <w:r>
        <w:rPr>
          <w:rFonts w:hint="eastAsia" w:ascii="宋体" w:hAnsi="宋体" w:cs="宋体"/>
          <w:bCs/>
          <w:color w:val="auto"/>
          <w:sz w:val="24"/>
          <w:szCs w:val="24"/>
          <w:highlight w:val="none"/>
        </w:rPr>
        <w:t>投标人成功解密投标文件，但未在“政采云”电子开标大厅参加开标的，视同认可开标过程和结果，</w:t>
      </w:r>
      <w:r>
        <w:rPr>
          <w:rFonts w:hint="eastAsia" w:ascii="宋体" w:hAnsi="宋体" w:cs="宋体"/>
          <w:color w:val="auto"/>
          <w:sz w:val="24"/>
          <w:szCs w:val="24"/>
          <w:highlight w:val="none"/>
        </w:rPr>
        <w:t>由此产生的后果由投标人自行负责。 投标人不足3家的，不得开标。</w:t>
      </w:r>
    </w:p>
    <w:p w14:paraId="4685C978">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24.开标程序</w:t>
      </w:r>
    </w:p>
    <w:p w14:paraId="05CC246F">
      <w:pPr>
        <w:wordWrap w:val="0"/>
        <w:autoSpaceDE w:val="0"/>
        <w:autoSpaceDN w:val="0"/>
        <w:adjustRightIn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bCs/>
          <w:color w:val="auto"/>
          <w:sz w:val="24"/>
          <w:szCs w:val="24"/>
          <w:highlight w:val="none"/>
        </w:rPr>
        <w:t>24.1</w:t>
      </w:r>
      <w:r>
        <w:rPr>
          <w:rFonts w:hint="eastAsia" w:ascii="宋体" w:hAnsi="宋体" w:cs="宋体"/>
          <w:color w:val="auto"/>
          <w:kern w:val="0"/>
          <w:sz w:val="24"/>
          <w:szCs w:val="24"/>
          <w:highlight w:val="none"/>
        </w:rPr>
        <w:t>开标形式：</w:t>
      </w:r>
    </w:p>
    <w:p w14:paraId="6FFC7DB8">
      <w:pPr>
        <w:wordWrap w:val="0"/>
        <w:autoSpaceDE w:val="0"/>
        <w:autoSpaceDN w:val="0"/>
        <w:adjustRightInd w:val="0"/>
        <w:spacing w:line="360" w:lineRule="auto"/>
        <w:ind w:firstLine="480" w:firstLineChars="200"/>
        <w:rPr>
          <w:rFonts w:hint="eastAsia" w:ascii="宋体" w:hAnsi="宋体" w:cs="宋体"/>
          <w:bCs/>
          <w:color w:val="auto"/>
          <w:sz w:val="24"/>
          <w:szCs w:val="24"/>
          <w:highlight w:val="none"/>
        </w:rPr>
      </w:pPr>
      <w:r>
        <w:rPr>
          <w:rFonts w:hint="eastAsia" w:ascii="宋体" w:hAnsi="宋体" w:cs="宋体"/>
          <w:color w:val="auto"/>
          <w:sz w:val="24"/>
          <w:szCs w:val="24"/>
          <w:highlight w:val="none"/>
        </w:rPr>
        <w:t>（1）</w:t>
      </w:r>
      <w:r>
        <w:rPr>
          <w:rFonts w:hint="eastAsia" w:ascii="宋体" w:hAnsi="宋体" w:cs="宋体"/>
          <w:bCs/>
          <w:color w:val="auto"/>
          <w:sz w:val="24"/>
          <w:szCs w:val="24"/>
          <w:highlight w:val="none"/>
        </w:rPr>
        <w:t>开标的准备工作由采购代理机构负责落实，采购代理机构必须基于广西政府采购云平台选取评审专家，如采购代理机构未按规定选取专家的，视为本次开评标无效，应当重新采购；</w:t>
      </w:r>
    </w:p>
    <w:p w14:paraId="516F2631">
      <w:pPr>
        <w:wordWrap w:val="0"/>
        <w:autoSpaceDE w:val="0"/>
        <w:autoSpaceDN w:val="0"/>
        <w:adjustRightInd w:val="0"/>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2）采购代理机构将按照招标文件规定的时间通过广西政府采购云平台组织线上开标活动、开启投标文件，所有供应商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1F9D1606">
      <w:pPr>
        <w:wordWrap w:val="0"/>
        <w:autoSpaceDE w:val="0"/>
        <w:autoSpaceDN w:val="0"/>
        <w:adjustRightInd w:val="0"/>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24.2开标程序：</w:t>
      </w:r>
    </w:p>
    <w:p w14:paraId="367D65D0">
      <w:pPr>
        <w:pStyle w:val="14"/>
        <w:wordWrap w:val="0"/>
        <w:snapToGrid w:val="0"/>
        <w:spacing w:line="360" w:lineRule="auto"/>
        <w:ind w:firstLine="482" w:firstLineChars="200"/>
        <w:rPr>
          <w:rFonts w:hint="eastAsia" w:hAnsi="宋体" w:cs="宋体"/>
          <w:color w:val="auto"/>
          <w:sz w:val="24"/>
          <w:szCs w:val="24"/>
          <w:highlight w:val="none"/>
        </w:rPr>
      </w:pPr>
      <w:r>
        <w:rPr>
          <w:rFonts w:hint="eastAsia" w:hAnsi="宋体" w:cs="宋体"/>
          <w:b/>
          <w:color w:val="auto"/>
          <w:sz w:val="24"/>
          <w:szCs w:val="24"/>
          <w:highlight w:val="none"/>
        </w:rPr>
        <w:t>（1）解密电子投标文件。广西政府采购云平台</w:t>
      </w:r>
      <w:r>
        <w:rPr>
          <w:rFonts w:hint="eastAsia" w:hAnsi="宋体" w:cs="宋体"/>
          <w:color w:val="auto"/>
          <w:sz w:val="24"/>
          <w:szCs w:val="24"/>
          <w:highlight w:val="none"/>
        </w:rPr>
        <w:t>按开标时间自动提取所有投标文件。采购代理机构依托广西政府采购云平台向各投标人发出电子加密投标文件【开始解密】通知，由投标人按招标文件规定的时间内自行进行投标文件解密。投标人的法定代表人或其委托代理人</w:t>
      </w:r>
      <w:r>
        <w:rPr>
          <w:rFonts w:hint="eastAsia" w:hAnsi="宋体" w:cs="宋体"/>
          <w:b/>
          <w:color w:val="auto"/>
          <w:sz w:val="24"/>
          <w:szCs w:val="24"/>
          <w:highlight w:val="none"/>
        </w:rPr>
        <w:t>须携带加密时所用的CA锁准时登录到广西政府采购云平台电子开标大厅签到并对电子投标文件解密</w:t>
      </w:r>
      <w:r>
        <w:rPr>
          <w:rFonts w:hint="eastAsia" w:hAnsi="宋体" w:cs="宋体"/>
          <w:color w:val="auto"/>
          <w:sz w:val="24"/>
          <w:szCs w:val="24"/>
          <w:highlight w:val="none"/>
        </w:rPr>
        <w:t>。开标后5分钟投标人还未进行解密的，代理机构要通知投标人。通知后，投标文件仍未按时解密，或者投标人没预留联系方式或预留联系方式无效，导致代理机构无法联系到投标人进行解密的，</w:t>
      </w:r>
      <w:r>
        <w:rPr>
          <w:rFonts w:hint="eastAsia" w:hAnsi="宋体" w:cs="宋体"/>
          <w:b/>
          <w:color w:val="auto"/>
          <w:sz w:val="24"/>
          <w:szCs w:val="24"/>
          <w:highlight w:val="none"/>
        </w:rPr>
        <w:t>均视为无效投标。</w:t>
      </w:r>
    </w:p>
    <w:p w14:paraId="48FC6F67">
      <w:pPr>
        <w:pStyle w:val="14"/>
        <w:wordWrap w:val="0"/>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（解密</w:t>
      </w:r>
      <w:r>
        <w:rPr>
          <w:rFonts w:hint="eastAsia" w:hAnsi="宋体" w:cs="宋体"/>
          <w:bCs/>
          <w:color w:val="auto"/>
          <w:sz w:val="24"/>
          <w:szCs w:val="24"/>
          <w:highlight w:val="none"/>
        </w:rPr>
        <w:t>异常情况处理：详见本章</w:t>
      </w:r>
      <w:r>
        <w:rPr>
          <w:rFonts w:hint="eastAsia" w:hAnsi="宋体" w:cs="宋体"/>
          <w:color w:val="auto"/>
          <w:sz w:val="24"/>
          <w:szCs w:val="24"/>
          <w:highlight w:val="none"/>
        </w:rPr>
        <w:t>29.3 电子交易活动的中止。）</w:t>
      </w:r>
    </w:p>
    <w:p w14:paraId="3280672B">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b/>
          <w:color w:val="auto"/>
          <w:sz w:val="24"/>
          <w:szCs w:val="24"/>
          <w:highlight w:val="none"/>
        </w:rPr>
        <w:t>电子唱标。</w:t>
      </w:r>
      <w:r>
        <w:rPr>
          <w:rFonts w:hint="eastAsia" w:ascii="宋体" w:hAnsi="宋体" w:cs="宋体"/>
          <w:color w:val="auto"/>
          <w:sz w:val="24"/>
          <w:szCs w:val="24"/>
          <w:highlight w:val="none"/>
        </w:rPr>
        <w:t>投标文件解密结束，各投标人报价均在广西政府采购云平台远程不见面开标大厅展示；</w:t>
      </w:r>
    </w:p>
    <w:p w14:paraId="522BE68F">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b/>
          <w:color w:val="auto"/>
          <w:sz w:val="24"/>
          <w:szCs w:val="24"/>
          <w:highlight w:val="none"/>
        </w:rPr>
        <w:t>签署电子《政府采购活动现场确认声明书》。</w:t>
      </w:r>
      <w:r>
        <w:rPr>
          <w:rFonts w:hint="eastAsia" w:ascii="宋体" w:hAnsi="宋体" w:cs="宋体"/>
          <w:color w:val="auto"/>
          <w:sz w:val="24"/>
          <w:szCs w:val="24"/>
          <w:highlight w:val="none"/>
        </w:rPr>
        <w:t>通过邮件形式在远程不见面开标大厅发送各投标人签署电子《政府采购活动现场确认声明书》。</w:t>
      </w:r>
    </w:p>
    <w:p w14:paraId="7C797708">
      <w:pPr>
        <w:wordWrap w:val="0"/>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（4）开标过程由采购代理机构如实记录，并电子留痕，由参加电子开标的各投标人代表对电子开标记录在开标记录公布后15分钟内进行当场校核及勘误，并线上确认，未确认的视同认可开标结果。</w:t>
      </w:r>
    </w:p>
    <w:p w14:paraId="265A2DD6">
      <w:pPr>
        <w:wordWrap w:val="0"/>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5）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572D4963">
      <w:pPr>
        <w:wordWrap w:val="0"/>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（6）开标结束。</w:t>
      </w:r>
    </w:p>
    <w:p w14:paraId="0013A61F">
      <w:pPr>
        <w:pStyle w:val="14"/>
        <w:wordWrap w:val="0"/>
        <w:snapToGrid w:val="0"/>
        <w:spacing w:line="360" w:lineRule="auto"/>
        <w:ind w:firstLine="482" w:firstLineChars="200"/>
        <w:rPr>
          <w:rFonts w:hint="eastAsia" w:hAnsi="宋体" w:cs="宋体"/>
          <w:color w:val="auto"/>
          <w:sz w:val="24"/>
          <w:szCs w:val="24"/>
          <w:highlight w:val="none"/>
        </w:rPr>
      </w:pPr>
      <w:r>
        <w:rPr>
          <w:rFonts w:hint="eastAsia" w:hAnsi="宋体" w:cs="宋体"/>
          <w:b/>
          <w:bCs/>
          <w:color w:val="auto"/>
          <w:sz w:val="24"/>
          <w:szCs w:val="24"/>
          <w:highlight w:val="none"/>
        </w:rPr>
        <w:t>特别说明：</w:t>
      </w:r>
      <w:r>
        <w:rPr>
          <w:rFonts w:hint="eastAsia" w:hAnsi="宋体" w:cs="宋体"/>
          <w:color w:val="auto"/>
          <w:sz w:val="24"/>
          <w:szCs w:val="24"/>
          <w:highlight w:val="none"/>
        </w:rPr>
        <w:t>如遇广西政府采购云平台电子化开标或评审程序调整的，按调整后执行。</w:t>
      </w:r>
    </w:p>
    <w:p w14:paraId="30D6B276">
      <w:pPr>
        <w:pStyle w:val="14"/>
        <w:wordWrap w:val="0"/>
        <w:snapToGrid w:val="0"/>
        <w:spacing w:line="360" w:lineRule="auto"/>
        <w:ind w:left="689" w:leftChars="228" w:hanging="210" w:hangingChars="100"/>
        <w:rPr>
          <w:rFonts w:hint="eastAsia" w:hAnsi="宋体" w:cs="宋体"/>
          <w:color w:val="auto"/>
          <w:highlight w:val="none"/>
        </w:rPr>
      </w:pPr>
    </w:p>
    <w:p w14:paraId="1EF90061">
      <w:pPr>
        <w:pStyle w:val="4"/>
        <w:keepNext w:val="0"/>
        <w:keepLines w:val="0"/>
        <w:wordWrap w:val="0"/>
        <w:spacing w:line="360" w:lineRule="auto"/>
        <w:jc w:val="center"/>
        <w:rPr>
          <w:rFonts w:hint="eastAsia" w:ascii="宋体" w:hAnsi="宋体" w:cs="宋体"/>
          <w:color w:val="auto"/>
          <w:highlight w:val="none"/>
        </w:rPr>
      </w:pPr>
      <w:bookmarkStart w:id="88" w:name="_Toc22384"/>
      <w:r>
        <w:rPr>
          <w:rFonts w:hint="eastAsia" w:ascii="宋体" w:hAnsi="宋体" w:cs="宋体"/>
          <w:color w:val="auto"/>
          <w:highlight w:val="none"/>
        </w:rPr>
        <w:t>五、资格审查</w:t>
      </w:r>
      <w:bookmarkEnd w:id="88"/>
    </w:p>
    <w:p w14:paraId="15D37A0C">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25.资格审查</w:t>
      </w:r>
    </w:p>
    <w:p w14:paraId="7845B7E8">
      <w:pPr>
        <w:wordWrap w:val="0"/>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 xml:space="preserve"> 25.1开标结束后，采购人或采购机构依法通过电子投标文件对投标人的资格进行线上审查。</w:t>
      </w:r>
    </w:p>
    <w:p w14:paraId="2159C71E">
      <w:pPr>
        <w:wordWrap w:val="0"/>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 xml:space="preserve"> 25.2采购人或采购机构依据法律法规和招标文件的规定，对投标人的基本资格条件、特定资格条件进行审查。</w:t>
      </w:r>
    </w:p>
    <w:p w14:paraId="75C19D6B">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25.3资格审查标准为本“招标文件”中“投标人须知前附表”13.1点载明对投标人资格要求的条件。本项目资格审查采用合格制，凡符合招标文件规定的投标人资格要求的投标人均通过资格审查。</w:t>
      </w:r>
    </w:p>
    <w:p w14:paraId="19847BF1">
      <w:pPr>
        <w:wordWrap w:val="0"/>
        <w:spacing w:line="360" w:lineRule="auto"/>
        <w:ind w:firstLine="482" w:firstLineChars="200"/>
        <w:rPr>
          <w:rFonts w:hint="eastAsia" w:ascii="宋体" w:hAnsi="宋体" w:cs="宋体"/>
          <w:b/>
          <w:bCs/>
          <w:color w:val="auto"/>
          <w:sz w:val="24"/>
          <w:szCs w:val="24"/>
          <w:highlight w:val="none"/>
        </w:rPr>
      </w:pPr>
      <w:bookmarkStart w:id="89" w:name="_25.3_投标人有下列情形之一的，资格审查不通过而导致其投标无效："/>
      <w:bookmarkEnd w:id="89"/>
      <w:r>
        <w:rPr>
          <w:rFonts w:hint="eastAsia" w:ascii="宋体" w:hAnsi="宋体" w:cs="宋体"/>
          <w:b/>
          <w:bCs/>
          <w:color w:val="auto"/>
          <w:sz w:val="24"/>
          <w:szCs w:val="24"/>
          <w:highlight w:val="none"/>
        </w:rPr>
        <w:t>25.4投标人有下列情形之一的，资格审查不通过，作无效投标处理：</w:t>
      </w:r>
    </w:p>
    <w:p w14:paraId="2A581236">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（1）不具备招标文件中规定的资格要求的；（注：其中信用查询规则见“投标人须知前附表”，广西政府采购云平台已与“信用中国”平台做接口，审查专家可直接在线查询）</w:t>
      </w:r>
    </w:p>
    <w:p w14:paraId="1258A4A9">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（2）投标文件未提供任一项“投标人须知前附表”资格证明文件规定的“必须提供”的文件资料的；</w:t>
      </w:r>
    </w:p>
    <w:p w14:paraId="3AFB22C6">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（3）投标文件提供的资格证明文件出现任一项不符合“投标人须知前附表”资格证明文件规定的“必须提供”的文件资料要求或者无效的。</w:t>
      </w:r>
    </w:p>
    <w:p w14:paraId="2857671E">
      <w:pPr>
        <w:wordWrap w:val="0"/>
        <w:spacing w:line="360" w:lineRule="auto"/>
        <w:ind w:firstLine="480" w:firstLineChars="200"/>
        <w:rPr>
          <w:rFonts w:hint="eastAsia" w:ascii="宋体" w:hAnsi="宋体" w:cs="宋体"/>
          <w:color w:val="auto"/>
          <w:szCs w:val="20"/>
          <w:highlight w:val="none"/>
        </w:rPr>
      </w:pPr>
      <w:r>
        <w:rPr>
          <w:rFonts w:hint="eastAsia" w:ascii="宋体" w:hAnsi="宋体" w:cs="宋体"/>
          <w:color w:val="auto"/>
          <w:sz w:val="24"/>
          <w:szCs w:val="24"/>
          <w:highlight w:val="none"/>
        </w:rPr>
        <w:t>25.5资格审查的合格投标人不足3家的，不得评标。</w:t>
      </w:r>
    </w:p>
    <w:p w14:paraId="38C5C95C">
      <w:pPr>
        <w:pStyle w:val="4"/>
        <w:keepNext w:val="0"/>
        <w:keepLines w:val="0"/>
        <w:wordWrap w:val="0"/>
        <w:spacing w:line="360" w:lineRule="auto"/>
        <w:jc w:val="center"/>
        <w:rPr>
          <w:rFonts w:hint="eastAsia" w:ascii="宋体" w:hAnsi="宋体" w:cs="宋体"/>
          <w:color w:val="auto"/>
          <w:highlight w:val="none"/>
        </w:rPr>
      </w:pPr>
      <w:bookmarkStart w:id="90" w:name="_Toc27068"/>
      <w:r>
        <w:rPr>
          <w:rFonts w:hint="eastAsia" w:ascii="宋体" w:hAnsi="宋体" w:cs="宋体"/>
          <w:color w:val="auto"/>
          <w:highlight w:val="none"/>
        </w:rPr>
        <w:t>六、评   标</w:t>
      </w:r>
      <w:bookmarkEnd w:id="90"/>
    </w:p>
    <w:p w14:paraId="32361A95">
      <w:pPr>
        <w:wordWrap w:val="0"/>
        <w:spacing w:line="360" w:lineRule="auto"/>
        <w:ind w:firstLine="480" w:firstLineChars="200"/>
        <w:rPr>
          <w:rFonts w:hint="eastAsia" w:ascii="宋体" w:hAnsi="宋体" w:cs="宋体"/>
          <w:color w:val="auto"/>
          <w:sz w:val="24"/>
          <w:szCs w:val="24"/>
          <w:highlight w:val="none"/>
        </w:rPr>
      </w:pPr>
      <w:bookmarkStart w:id="91" w:name="_26.组建评标委员会"/>
      <w:bookmarkEnd w:id="91"/>
      <w:r>
        <w:rPr>
          <w:rFonts w:hint="eastAsia" w:ascii="宋体" w:hAnsi="宋体" w:cs="宋体"/>
          <w:color w:val="auto"/>
          <w:sz w:val="24"/>
          <w:szCs w:val="24"/>
          <w:highlight w:val="none"/>
        </w:rPr>
        <w:t>26.组建评标委员会</w:t>
      </w:r>
    </w:p>
    <w:p w14:paraId="6F0A07FC">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评标委员会由采购人代表和评审专家组成，人数为5人以上单数，其中评审专家不得少于成员总数的三分之二。</w:t>
      </w:r>
    </w:p>
    <w:p w14:paraId="10EDDAF1">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参加过采购项目前期咨询论证的专家，不得参加该采购项目的评审活动。</w:t>
      </w:r>
    </w:p>
    <w:p w14:paraId="5590F6F0">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27.评标的依据</w:t>
      </w:r>
    </w:p>
    <w:p w14:paraId="0A5B0B94">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评标委员会以招标文件为依据对投标文件进行评审，“第四章 评标方法和评标标准”没有规定的方法、评审因素和标准，不作为评标依据。</w:t>
      </w:r>
    </w:p>
    <w:p w14:paraId="66300989">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28.评标原则</w:t>
      </w:r>
    </w:p>
    <w:p w14:paraId="0403A575">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3C2E485D">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28.2评委表决。在评标过程中出现法律法规和招标文件均没有明确规定的情形时，由评标委员会现场协商解决，协商不一致的，由全体评委投票表决，以得票率二分之一以上专家的意见为准并由采购代理机构作记录。</w:t>
      </w:r>
      <w:bookmarkStart w:id="92" w:name="_28.3评标方法。本项目将按须知前附表规定的评标办法进行评标，具体评标"/>
      <w:bookmarkEnd w:id="92"/>
    </w:p>
    <w:p w14:paraId="0638DA2C">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28.3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10BEDB61">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28.4评标过程的监控。本项目电子评标过程实行网上留痕、全程录音、录像监控，投标人在评标过程中所进行的试图影响评标结果的不公正活动，可能导致其投标按无效处理。</w:t>
      </w:r>
    </w:p>
    <w:p w14:paraId="15470235">
      <w:pPr>
        <w:widowControl/>
        <w:wordWrap w:val="0"/>
        <w:spacing w:line="360" w:lineRule="auto"/>
        <w:ind w:firstLine="480" w:firstLineChars="200"/>
        <w:jc w:val="left"/>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28.5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3B2C7897">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29.评标方法及评标标准</w:t>
      </w:r>
    </w:p>
    <w:p w14:paraId="0A60E36E">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29.1本项目的评标方法详见“投标人须知前附表”。</w:t>
      </w:r>
    </w:p>
    <w:p w14:paraId="0B95A7FF">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29.2 评标委员会按照</w:t>
      </w:r>
      <w:r>
        <w:rPr>
          <w:rFonts w:hint="eastAsia" w:ascii="宋体" w:hAnsi="宋体" w:cs="宋体"/>
          <w:b/>
          <w:color w:val="auto"/>
          <w:sz w:val="24"/>
          <w:szCs w:val="24"/>
          <w:highlight w:val="none"/>
        </w:rPr>
        <w:t>“第四章 评标方法和评标标准”</w:t>
      </w:r>
      <w:r>
        <w:rPr>
          <w:rFonts w:hint="eastAsia" w:ascii="宋体" w:hAnsi="宋体" w:cs="宋体"/>
          <w:color w:val="auto"/>
          <w:sz w:val="24"/>
          <w:szCs w:val="24"/>
          <w:highlight w:val="none"/>
        </w:rPr>
        <w:t>规定的方法、评审因素、标准和程序对投标文件进行评审。</w:t>
      </w:r>
    </w:p>
    <w:p w14:paraId="5B3FE274">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29.3 电子交易活动的中止。采购过程中出现以下情形，导致电子交易平台无法正常运行，或者无法保证电子交易的公平、公正和安全时，采购机构可中止电子交易活动：</w:t>
      </w:r>
    </w:p>
    <w:p w14:paraId="16CCAADF">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（1）电子交易平台发生故障而无法登录访问的； </w:t>
      </w:r>
    </w:p>
    <w:p w14:paraId="7AF9A375">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（2）电子交易平台应用或数据库出现错误，不能进行正常操作的；</w:t>
      </w:r>
    </w:p>
    <w:p w14:paraId="0425EAED">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（3）电子交易平台发现严重安全漏洞，有潜在泄密危险的；</w:t>
      </w:r>
    </w:p>
    <w:p w14:paraId="4689A953">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（4）病毒发作导致不能进行正常操作的； </w:t>
      </w:r>
    </w:p>
    <w:p w14:paraId="68825329">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（4）其他无法保证电子交易的公平、公正和安全的情况。</w:t>
      </w:r>
    </w:p>
    <w:p w14:paraId="6249AB79">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29.4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33FCF945">
      <w:pPr>
        <w:pStyle w:val="14"/>
        <w:wordWrap w:val="0"/>
        <w:snapToGrid w:val="0"/>
        <w:spacing w:line="360" w:lineRule="auto"/>
        <w:ind w:firstLine="420" w:firstLineChars="200"/>
        <w:rPr>
          <w:rFonts w:hint="eastAsia" w:hAnsi="宋体" w:cs="宋体"/>
          <w:color w:val="auto"/>
          <w:highlight w:val="none"/>
        </w:rPr>
      </w:pPr>
    </w:p>
    <w:p w14:paraId="488F5243">
      <w:pPr>
        <w:pStyle w:val="4"/>
        <w:keepNext w:val="0"/>
        <w:keepLines w:val="0"/>
        <w:wordWrap w:val="0"/>
        <w:spacing w:line="360" w:lineRule="auto"/>
        <w:jc w:val="center"/>
        <w:rPr>
          <w:rFonts w:hint="eastAsia" w:ascii="宋体" w:hAnsi="宋体" w:cs="宋体"/>
          <w:color w:val="auto"/>
          <w:highlight w:val="none"/>
        </w:rPr>
      </w:pPr>
      <w:bookmarkStart w:id="93" w:name="_Toc254970687"/>
      <w:bookmarkStart w:id="94" w:name="_Toc254970546"/>
      <w:bookmarkStart w:id="95" w:name="_Toc18748"/>
      <w:r>
        <w:rPr>
          <w:rFonts w:hint="eastAsia" w:ascii="宋体" w:hAnsi="宋体" w:cs="宋体"/>
          <w:color w:val="auto"/>
          <w:highlight w:val="none"/>
        </w:rPr>
        <w:t>七、</w:t>
      </w:r>
      <w:bookmarkEnd w:id="93"/>
      <w:bookmarkEnd w:id="94"/>
      <w:r>
        <w:rPr>
          <w:rFonts w:hint="eastAsia" w:ascii="宋体" w:hAnsi="宋体" w:cs="宋体"/>
          <w:color w:val="auto"/>
          <w:highlight w:val="none"/>
        </w:rPr>
        <w:t>中标和合同</w:t>
      </w:r>
      <w:bookmarkEnd w:id="95"/>
    </w:p>
    <w:p w14:paraId="7A89ACDD">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30.确定中标供应商</w:t>
      </w:r>
    </w:p>
    <w:p w14:paraId="3653C524">
      <w:pPr>
        <w:wordWrap w:val="0"/>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30.1本项目授权评标委员会直接按第四章“评标方法及标准”的规定排列中标候选人顺序，并依照次序确定中标供应商。</w:t>
      </w:r>
    </w:p>
    <w:p w14:paraId="009FB2BA">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30.2采购人、采购代理机构认为供应商对采购过程、中标结果提出的质疑成立且影响或者可能影响中标结果的，合格供应商符合法定数量时，可以从合格的中标候选人中另行确定中标供应商的，应当依法另行确定中标供应商；否则应当重新开展采购活动。</w:t>
      </w:r>
    </w:p>
    <w:p w14:paraId="10CE3427">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30.3中标供应商无正当理由拒签合同的，根据《中华人民共和国政府采购法》第七十七条第一款规定处理。</w:t>
      </w:r>
    </w:p>
    <w:p w14:paraId="20C458CF">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30.4根据《中华人民共和国民法典》第五百六十三条，因不可抗力致使不能实现合同目的的，当事人可以解除合同。</w:t>
      </w:r>
    </w:p>
    <w:p w14:paraId="54C2AF37">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31. 结果公告</w:t>
      </w:r>
    </w:p>
    <w:p w14:paraId="2EDE5582">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31.1在中标供应商确定之日起2个工作日内，由采购代理机构</w:t>
      </w:r>
      <w:r>
        <w:rPr>
          <w:rFonts w:hint="eastAsia" w:ascii="宋体" w:hAnsi="宋体" w:cs="宋体"/>
          <w:b/>
          <w:color w:val="auto"/>
          <w:sz w:val="24"/>
          <w:szCs w:val="24"/>
          <w:highlight w:val="none"/>
        </w:rPr>
        <w:t>在招标公告发布媒体上</w:t>
      </w:r>
      <w:r>
        <w:rPr>
          <w:rFonts w:hint="eastAsia" w:ascii="宋体" w:hAnsi="宋体" w:cs="宋体"/>
          <w:color w:val="auto"/>
          <w:sz w:val="24"/>
          <w:szCs w:val="24"/>
          <w:highlight w:val="none"/>
        </w:rPr>
        <w:t>发布中标结果公告，中标结果公告期限为1个工作日，发布中标结果公告的同时向中标供应商发出中标通知书。</w:t>
      </w:r>
      <w:r>
        <w:rPr>
          <w:rFonts w:hint="eastAsia" w:ascii="宋体" w:hAnsi="宋体" w:cs="宋体"/>
          <w:b/>
          <w:color w:val="auto"/>
          <w:sz w:val="24"/>
          <w:szCs w:val="24"/>
          <w:highlight w:val="none"/>
        </w:rPr>
        <w:t>采购代理机构发出中标通知书前，应当对中标供应商信用进行核实，对列入失信被执行人、重大税收违法失信主体、政府采购严重违法失信行为记录名单及其他不符合《中华人民共和国政府采购法》第二十二条规定条件的投标人，取消其中标资格，并确定排名第二的中标候选人为中标供应商。</w:t>
      </w:r>
      <w:r>
        <w:rPr>
          <w:rFonts w:hint="eastAsia" w:ascii="宋体" w:hAnsi="宋体" w:cs="宋体"/>
          <w:color w:val="auto"/>
          <w:sz w:val="24"/>
          <w:szCs w:val="24"/>
          <w:highlight w:val="none"/>
        </w:rPr>
        <w:t>排名第二的中标候选人因前款规定的同样原因被取消中标资格的，授权的评标委员会可以确定排名第三的中标候选人为中标供应商，以此类推。</w:t>
      </w:r>
    </w:p>
    <w:p w14:paraId="468A2CCB">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以上信息查询记录及相关证据与采购文件一并保存。</w:t>
      </w:r>
    </w:p>
    <w:p w14:paraId="687E6121">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31.2中小企业在政府采购活动过程中，请根据企业的真实情况出具《中小企业声明函》。依法享受中小企业优惠政策的，采购人或者采购代理机构在公告中标结果时，同时公告其《中小企业声明函》，接受社会监督。</w:t>
      </w:r>
    </w:p>
    <w:p w14:paraId="3964F71C">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32.发出中标通知书</w:t>
      </w:r>
    </w:p>
    <w:p w14:paraId="1323EC22">
      <w:pPr>
        <w:wordWrap w:val="0"/>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32.1在发布中标公告的同时，采购代理机构向中标供应商通过广西政府采购云平台发出电子中标通知书。</w:t>
      </w:r>
    </w:p>
    <w:p w14:paraId="05C8FD68">
      <w:pPr>
        <w:wordWrap w:val="0"/>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32.2对未通过资格审查的投标人，采购人或采购机构应当告知其未通过的原因；采用综合评分办法评审的，采购人或采购机构还应当告知未中标供应商本人的评审得分与排序。</w:t>
      </w:r>
    </w:p>
    <w:p w14:paraId="6473960B">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33. 无义务解释未中标原因</w:t>
      </w:r>
    </w:p>
    <w:p w14:paraId="65A05841">
      <w:pPr>
        <w:wordWrap w:val="0"/>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采购代理机构无义务向未中标的投标人解释未中标原因和退还投标文件。</w:t>
      </w:r>
    </w:p>
    <w:p w14:paraId="209F3A27">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34.合同授予标准</w:t>
      </w:r>
    </w:p>
    <w:p w14:paraId="5CFB76EB">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合同将授予被确定实质上响应招标文件要求，具备履行合同能力的中标供应商（招标文件另有约定多名中标供应商的除外）。</w:t>
      </w:r>
    </w:p>
    <w:p w14:paraId="451056A3">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35.履约保证金</w:t>
      </w:r>
    </w:p>
    <w:p w14:paraId="7A559E22">
      <w:pPr>
        <w:wordWrap w:val="0"/>
        <w:spacing w:line="360" w:lineRule="auto"/>
        <w:ind w:firstLine="480" w:firstLineChars="200"/>
        <w:rPr>
          <w:rFonts w:hint="eastAsia" w:ascii="宋体" w:hAnsi="宋体" w:cs="宋体"/>
          <w:color w:val="auto"/>
          <w:sz w:val="24"/>
          <w:szCs w:val="24"/>
          <w:highlight w:val="none"/>
        </w:rPr>
      </w:pPr>
      <w:bookmarkStart w:id="96" w:name="_39.1中标人须于签订合同前按本须知前附表规定的金额转账或电汇到指定账"/>
      <w:bookmarkEnd w:id="96"/>
      <w:r>
        <w:rPr>
          <w:rFonts w:hint="eastAsia" w:ascii="宋体" w:hAnsi="宋体" w:cs="宋体"/>
          <w:color w:val="auto"/>
          <w:sz w:val="24"/>
          <w:szCs w:val="24"/>
          <w:highlight w:val="none"/>
        </w:rPr>
        <w:t>见“投标人须知前附表”。</w:t>
      </w:r>
    </w:p>
    <w:p w14:paraId="042340AC">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36.签订合同</w:t>
      </w:r>
    </w:p>
    <w:p w14:paraId="777DEBBC">
      <w:pPr>
        <w:pStyle w:val="37"/>
        <w:wordWrap w:val="0"/>
        <w:snapToGrid w:val="0"/>
        <w:spacing w:before="0"/>
        <w:ind w:firstLine="422"/>
        <w:rPr>
          <w:rFonts w:hint="eastAsia" w:ascii="宋体" w:hAnsi="宋体" w:cs="宋体"/>
          <w:color w:val="auto"/>
          <w:kern w:val="0"/>
          <w:sz w:val="24"/>
          <w:szCs w:val="24"/>
          <w:highlight w:val="none"/>
          <w:lang w:val="zh-CN"/>
        </w:rPr>
      </w:pPr>
      <w:bookmarkStart w:id="97" w:name="_40.1投标人接到中标通知书后，按须知前附表规定向采购人出示相关资格证"/>
      <w:bookmarkEnd w:id="97"/>
      <w:r>
        <w:rPr>
          <w:rFonts w:hint="eastAsia" w:ascii="宋体" w:hAnsi="宋体" w:cs="宋体"/>
          <w:b/>
          <w:color w:val="auto"/>
          <w:sz w:val="24"/>
          <w:szCs w:val="24"/>
          <w:highlight w:val="none"/>
        </w:rPr>
        <w:t xml:space="preserve"> 36.1中标供应商领取电子中标通知书后，</w:t>
      </w:r>
      <w:r>
        <w:rPr>
          <w:rFonts w:hint="eastAsia" w:ascii="宋体" w:hAnsi="宋体" w:cs="宋体"/>
          <w:color w:val="auto"/>
          <w:kern w:val="0"/>
          <w:sz w:val="24"/>
          <w:szCs w:val="24"/>
          <w:highlight w:val="none"/>
          <w:lang w:val="zh-CN"/>
        </w:rPr>
        <w:t>按规定的日期、时间、地点，由法定代表人或其授权代表与采购人代表签订电子采购合同。如中标供应商为联合体的，由联合体成员各方法定代表人或其授权代表与采购人代表签订合同，签订携带资料详见“投标人须知前附表”。</w:t>
      </w:r>
    </w:p>
    <w:p w14:paraId="2C489559">
      <w:pPr>
        <w:pStyle w:val="37"/>
        <w:wordWrap w:val="0"/>
        <w:snapToGrid w:val="0"/>
        <w:spacing w:before="0"/>
        <w:ind w:firstLine="420"/>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36.2</w:t>
      </w:r>
      <w:r>
        <w:rPr>
          <w:rFonts w:hint="eastAsia" w:ascii="宋体" w:hAnsi="宋体" w:cs="宋体"/>
          <w:color w:val="auto"/>
          <w:sz w:val="24"/>
          <w:szCs w:val="24"/>
          <w:highlight w:val="none"/>
        </w:rPr>
        <w:t>采购合同由采购人与中标供应商根据招标文件、投标文件等内容通过政府采购电子交易平台在线签订，自动备案。</w:t>
      </w:r>
    </w:p>
    <w:p w14:paraId="0B4DE8D0">
      <w:pPr>
        <w:pStyle w:val="37"/>
        <w:wordWrap w:val="0"/>
        <w:snapToGrid w:val="0"/>
        <w:spacing w:before="0"/>
        <w:ind w:firstLine="420"/>
        <w:rPr>
          <w:rFonts w:hint="eastAsia" w:ascii="宋体" w:hAnsi="宋体" w:cs="宋体"/>
          <w:color w:val="auto"/>
          <w:sz w:val="24"/>
          <w:szCs w:val="24"/>
          <w:highlight w:val="none"/>
        </w:rPr>
      </w:pPr>
      <w:r>
        <w:rPr>
          <w:rFonts w:hint="eastAsia" w:ascii="宋体" w:hAnsi="宋体" w:cs="宋体"/>
          <w:color w:val="auto"/>
          <w:sz w:val="24"/>
          <w:szCs w:val="24"/>
          <w:highlight w:val="none"/>
        </w:rPr>
        <w:t>36.3签订合同时间：按中标通知书规定的时间与采购人签订合同（最长不能超过25日）。</w:t>
      </w:r>
    </w:p>
    <w:p w14:paraId="55B6CCD2">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36.4中标供应商拒绝与采购人签订合同的，采购人可以按照评审报告推荐的中标候选人名单排序，确定下一候选人为中标供应商，也可以重新开展政府采购活动。如采购人无正当理由拒签合同的，给中标供应商造成损失的，中标供应商可追究采购人承担相应的法律责任。</w:t>
      </w:r>
    </w:p>
    <w:p w14:paraId="1BBDC552">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36.5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1639A2C9">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36.6采购人或中标供应商不得单方面向合同另一方提出任何招标文件没有约定的条件或不合理的要求，作为签订合同的条件；也不得协商另行订立背离招标文件和合同实质性内容的协议。</w:t>
      </w:r>
    </w:p>
    <w:p w14:paraId="0C5F4F0B">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36.7如签订合同并生效后，供应商无故拒绝或延期，除按照合同条款处理外，将承担相应的法律责任。</w:t>
      </w:r>
    </w:p>
    <w:p w14:paraId="041CE1E3">
      <w:pPr>
        <w:wordWrap w:val="0"/>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36.8采购人需追加与合同标的相同的货物或者服务的，在不改变原合同条款且已报财政部门批准落实资金的前提下，可从原中标供应商处添购， 所签订的补充添置合同的采购资金总额不超过原采购合同金额的10%。</w:t>
      </w:r>
    </w:p>
    <w:p w14:paraId="00256642">
      <w:pPr>
        <w:wordWrap w:val="0"/>
        <w:spacing w:line="360" w:lineRule="auto"/>
        <w:ind w:firstLine="480" w:firstLineChars="200"/>
        <w:rPr>
          <w:rFonts w:hint="eastAsia" w:ascii="宋体" w:hAnsi="宋体" w:cs="宋体"/>
          <w:color w:val="auto"/>
          <w:sz w:val="24"/>
          <w:szCs w:val="24"/>
          <w:highlight w:val="none"/>
        </w:rPr>
      </w:pPr>
      <w:bookmarkStart w:id="98" w:name="_41.政府采购合同公告"/>
      <w:bookmarkEnd w:id="98"/>
      <w:r>
        <w:rPr>
          <w:rFonts w:hint="eastAsia" w:ascii="宋体" w:hAnsi="宋体" w:cs="宋体"/>
          <w:color w:val="auto"/>
          <w:sz w:val="24"/>
          <w:szCs w:val="24"/>
          <w:highlight w:val="none"/>
        </w:rPr>
        <w:t>37.政府采购合同公告</w:t>
      </w:r>
    </w:p>
    <w:p w14:paraId="13FF28BE">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采购人或者受托采购代理机构应当自政府采购合同签订之日起2个工作日内，将政府采购合同</w:t>
      </w:r>
      <w:r>
        <w:rPr>
          <w:rFonts w:hint="eastAsia" w:ascii="宋体" w:hAnsi="宋体" w:cs="宋体"/>
          <w:bCs/>
          <w:color w:val="auto"/>
          <w:sz w:val="24"/>
          <w:szCs w:val="24"/>
          <w:highlight w:val="none"/>
        </w:rPr>
        <w:t>在以下媒体上发布</w:t>
      </w:r>
      <w:r>
        <w:rPr>
          <w:rFonts w:hint="eastAsia" w:ascii="宋体" w:hAnsi="宋体" w:cs="宋体"/>
          <w:color w:val="auto"/>
          <w:kern w:val="0"/>
          <w:sz w:val="24"/>
          <w:szCs w:val="24"/>
          <w:highlight w:val="none"/>
        </w:rPr>
        <w:t xml:space="preserve"> “广西政府采购网”（http://zfcg.gxzf.gov.cn）</w:t>
      </w:r>
      <w:r>
        <w:rPr>
          <w:rFonts w:hint="eastAsia" w:ascii="宋体" w:hAnsi="宋体" w:cs="宋体"/>
          <w:color w:val="auto"/>
          <w:sz w:val="24"/>
          <w:szCs w:val="24"/>
          <w:highlight w:val="none"/>
        </w:rPr>
        <w:t>上公告，但政府采购合同中涉及国家秘密、商业秘密的内容除外。</w:t>
      </w:r>
    </w:p>
    <w:p w14:paraId="68BAC1F0">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38. 询问、质疑和投诉</w:t>
      </w:r>
    </w:p>
    <w:p w14:paraId="4EF26BF4">
      <w:pPr>
        <w:wordWrap w:val="0"/>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38.1询问</w:t>
      </w:r>
    </w:p>
    <w:p w14:paraId="0CA35843">
      <w:pPr>
        <w:wordWrap w:val="0"/>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38.1.1供应商在开标前对政府采购活动事项有疑问的，可以向采购人或采购代理机构项目负责人提出询问。</w:t>
      </w:r>
    </w:p>
    <w:p w14:paraId="64DA4A62">
      <w:pPr>
        <w:wordWrap w:val="0"/>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38.1.2采购人或采购人委托的采购代理机构自受理询问之日起3个工作日内对供应商依法提出的询问作出答复，</w:t>
      </w:r>
      <w:r>
        <w:rPr>
          <w:rFonts w:hint="eastAsia" w:ascii="宋体" w:hAnsi="宋体" w:cs="宋体"/>
          <w:color w:val="auto"/>
          <w:sz w:val="24"/>
          <w:szCs w:val="24"/>
          <w:highlight w:val="none"/>
        </w:rPr>
        <w:t>但答复内容不得涉及商业秘密</w:t>
      </w:r>
      <w:r>
        <w:rPr>
          <w:rFonts w:hint="eastAsia" w:ascii="宋体" w:hAnsi="宋体" w:cs="宋体"/>
          <w:bCs/>
          <w:color w:val="auto"/>
          <w:sz w:val="24"/>
          <w:szCs w:val="24"/>
          <w:highlight w:val="none"/>
        </w:rPr>
        <w:t>。</w:t>
      </w:r>
    </w:p>
    <w:p w14:paraId="75AB2B7C">
      <w:pPr>
        <w:wordWrap w:val="0"/>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38.1.3 询问事项可能影响中标、成交结果的，采购人应当暂停签订合同，已经签订合同的，应当中止履行合同。</w:t>
      </w:r>
    </w:p>
    <w:p w14:paraId="4622F823">
      <w:pPr>
        <w:wordWrap w:val="0"/>
        <w:spacing w:line="360" w:lineRule="auto"/>
        <w:ind w:firstLine="482" w:firstLineChars="200"/>
        <w:rPr>
          <w:rFonts w:hint="eastAsia" w:ascii="宋体" w:hAnsi="宋体" w:cs="宋体"/>
          <w:color w:val="auto"/>
          <w:sz w:val="24"/>
          <w:szCs w:val="24"/>
          <w:highlight w:val="none"/>
        </w:rPr>
      </w:pPr>
      <w:r>
        <w:rPr>
          <w:rFonts w:hint="eastAsia" w:ascii="宋体" w:hAnsi="宋体" w:cs="宋体"/>
          <w:b/>
          <w:color w:val="auto"/>
          <w:sz w:val="24"/>
          <w:szCs w:val="24"/>
          <w:highlight w:val="none"/>
        </w:rPr>
        <w:t xml:space="preserve"> </w:t>
      </w:r>
      <w:r>
        <w:rPr>
          <w:rFonts w:hint="eastAsia" w:ascii="宋体" w:hAnsi="宋体" w:cs="宋体"/>
          <w:color w:val="auto"/>
          <w:sz w:val="24"/>
          <w:szCs w:val="24"/>
          <w:highlight w:val="none"/>
        </w:rPr>
        <w:t>38.2质疑</w:t>
      </w:r>
    </w:p>
    <w:p w14:paraId="76718DD4">
      <w:pPr>
        <w:wordWrap w:val="0"/>
        <w:spacing w:line="360" w:lineRule="auto"/>
        <w:ind w:firstLine="480" w:firstLineChars="200"/>
        <w:rPr>
          <w:rFonts w:hint="eastAsia" w:ascii="宋体" w:hAnsi="宋体" w:cs="宋体"/>
          <w:b/>
          <w:color w:val="auto"/>
          <w:sz w:val="24"/>
          <w:szCs w:val="24"/>
          <w:highlight w:val="none"/>
        </w:rPr>
      </w:pPr>
      <w:r>
        <w:rPr>
          <w:rFonts w:hint="eastAsia" w:ascii="宋体" w:hAnsi="宋体" w:cs="宋体"/>
          <w:color w:val="auto"/>
          <w:sz w:val="24"/>
          <w:szCs w:val="24"/>
          <w:highlight w:val="none"/>
        </w:rPr>
        <w:t>38.2.1</w:t>
      </w:r>
      <w:r>
        <w:rPr>
          <w:rFonts w:hint="eastAsia" w:ascii="宋体" w:hAnsi="宋体" w:cs="宋体"/>
          <w:b/>
          <w:color w:val="auto"/>
          <w:sz w:val="24"/>
          <w:szCs w:val="24"/>
          <w:highlight w:val="none"/>
        </w:rPr>
        <w:t xml:space="preserve">供应商认为招标文件、采购过程或者中标结果使自己的合法权益受到损害的，必须在知道或者应知其权益受到损害之日起7个工作日内，以书面形式向采购人、采购代理机构提出质疑，质疑有效期结束后，采购人或采购代理机构不再受理该项目质疑。采购人、采购代理机构接收质疑函的方式、联系部门、联系电话和通讯地址等信息详见“投标人须知前附表”。具体质疑起算时间及处理方式如下： </w:t>
      </w:r>
    </w:p>
    <w:p w14:paraId="7ACF6D52">
      <w:pPr>
        <w:wordWrap w:val="0"/>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（1）潜在供应商依法获取公开招标文件后，认为采购文件使自己的权益受到损害的，应当在公开招标文件公告期限届满之日起7个工作日内提出质疑。</w:t>
      </w:r>
      <w:r>
        <w:rPr>
          <w:rFonts w:hint="eastAsia" w:ascii="宋体" w:hAnsi="宋体" w:cs="宋体"/>
          <w:color w:val="auto"/>
          <w:sz w:val="24"/>
          <w:szCs w:val="24"/>
          <w:highlight w:val="none"/>
        </w:rPr>
        <w:t>委托代理协议无特殊约定的，</w:t>
      </w:r>
      <w:r>
        <w:rPr>
          <w:rFonts w:hint="eastAsia" w:ascii="宋体" w:hAnsi="宋体" w:cs="宋体"/>
          <w:bCs/>
          <w:color w:val="auto"/>
          <w:sz w:val="24"/>
          <w:szCs w:val="24"/>
          <w:highlight w:val="none"/>
        </w:rPr>
        <w:t>对公开招标文件中采购需求（含资格要求、采购预算和评分办法）的质疑由采购人受理并负责答复；对公开招标文件中的采购执行程序的质疑由采购代理机构受理并负责答复。</w:t>
      </w:r>
    </w:p>
    <w:p w14:paraId="3C8E5DC8">
      <w:pPr>
        <w:wordWrap w:val="0"/>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6B637182">
      <w:pPr>
        <w:wordWrap w:val="0"/>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（3）供应商认为中标或者成交结果使自己的权益受到损害的，应当在中标或者成交结果公告期限届满之日起7个工作日内提出质疑，由采购人受理并负责答复。</w:t>
      </w:r>
    </w:p>
    <w:p w14:paraId="13517D27">
      <w:pPr>
        <w:wordWrap w:val="0"/>
        <w:spacing w:line="360" w:lineRule="auto"/>
        <w:ind w:firstLine="482" w:firstLineChars="200"/>
        <w:rPr>
          <w:rFonts w:hint="eastAsia" w:ascii="宋体" w:hAnsi="宋体" w:cs="宋体"/>
          <w:bCs/>
          <w:color w:val="auto"/>
          <w:sz w:val="24"/>
          <w:szCs w:val="24"/>
          <w:highlight w:val="none"/>
        </w:rPr>
      </w:pPr>
      <w:r>
        <w:rPr>
          <w:rFonts w:hint="eastAsia" w:ascii="宋体" w:hAnsi="宋体" w:cs="宋体"/>
          <w:b/>
          <w:bCs/>
          <w:color w:val="auto"/>
          <w:sz w:val="24"/>
          <w:szCs w:val="24"/>
          <w:highlight w:val="none"/>
        </w:rPr>
        <w:t>38.2.2</w:t>
      </w:r>
      <w:r>
        <w:rPr>
          <w:rFonts w:hint="eastAsia" w:ascii="宋体" w:hAnsi="宋体" w:cs="宋体"/>
          <w:bCs/>
          <w:color w:val="auto"/>
          <w:sz w:val="24"/>
          <w:szCs w:val="24"/>
          <w:highlight w:val="none"/>
        </w:rPr>
        <w:t>供应商质疑实行实名制，其质疑应当有具体的质疑事项及事实根据，质疑应当坚持依法依规、诚实信用原则，不得进行虚假、恶意质疑。</w:t>
      </w:r>
    </w:p>
    <w:p w14:paraId="54106B27">
      <w:pPr>
        <w:wordWrap w:val="0"/>
        <w:spacing w:line="360" w:lineRule="auto"/>
        <w:ind w:firstLine="482" w:firstLineChars="200"/>
        <w:rPr>
          <w:rFonts w:hint="eastAsia" w:ascii="宋体" w:hAnsi="宋体" w:cs="宋体"/>
          <w:bCs/>
          <w:color w:val="auto"/>
          <w:sz w:val="24"/>
          <w:szCs w:val="24"/>
          <w:highlight w:val="none"/>
        </w:rPr>
      </w:pPr>
      <w:r>
        <w:rPr>
          <w:rFonts w:hint="eastAsia" w:ascii="宋体" w:hAnsi="宋体" w:cs="宋体"/>
          <w:b/>
          <w:bCs/>
          <w:color w:val="auto"/>
          <w:sz w:val="24"/>
          <w:szCs w:val="24"/>
          <w:highlight w:val="none"/>
        </w:rPr>
        <w:t>38.2.3</w:t>
      </w:r>
      <w:r>
        <w:rPr>
          <w:rFonts w:hint="eastAsia" w:ascii="宋体" w:hAnsi="宋体" w:cs="宋体"/>
          <w:bCs/>
          <w:color w:val="auto"/>
          <w:sz w:val="24"/>
          <w:szCs w:val="24"/>
          <w:highlight w:val="none"/>
        </w:rPr>
        <w:t xml:space="preserve"> 质疑供应商可以委托代理人办理质疑事务。委托代理人应熟悉相关业务情况。代理人办理质疑事务时，除提交质疑书外，还应当提交质疑供应商的授权委托书和委托代理人身份证明复印件</w:t>
      </w:r>
      <w:r>
        <w:rPr>
          <w:rFonts w:hint="eastAsia" w:ascii="宋体" w:hAnsi="宋体" w:cs="宋体"/>
          <w:color w:val="auto"/>
          <w:sz w:val="24"/>
          <w:szCs w:val="24"/>
          <w:highlight w:val="none"/>
        </w:rPr>
        <w:t>。</w:t>
      </w:r>
    </w:p>
    <w:p w14:paraId="35C908A1">
      <w:pPr>
        <w:wordWrap w:val="0"/>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38.2.4 质疑供应商提起质疑应当符合下列条件：</w:t>
      </w:r>
    </w:p>
    <w:p w14:paraId="4F7D7163">
      <w:pPr>
        <w:wordWrap w:val="0"/>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（1）质疑供应商是参与所质疑项目采购活动的供应商（潜在供应商已依法获取可之一的采购文件的，可以对该采购文件质疑）；</w:t>
      </w:r>
    </w:p>
    <w:p w14:paraId="18A02F76">
      <w:pPr>
        <w:wordWrap w:val="0"/>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（2）质疑函内容符合本章第38.2.5项的规定；</w:t>
      </w:r>
    </w:p>
    <w:p w14:paraId="01143A91">
      <w:pPr>
        <w:wordWrap w:val="0"/>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（3）在质疑有效期限内提起质疑；</w:t>
      </w:r>
    </w:p>
    <w:p w14:paraId="0F717919">
      <w:pPr>
        <w:wordWrap w:val="0"/>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（4）属于所质疑的采购人或采购人委托的采购代理机构组织的采购活动；</w:t>
      </w:r>
    </w:p>
    <w:p w14:paraId="7ACC61BE">
      <w:pPr>
        <w:wordWrap w:val="0"/>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 xml:space="preserve">（5）同一质疑事项未经采购人或采购人委托的采购代理机构质疑处理； </w:t>
      </w:r>
    </w:p>
    <w:p w14:paraId="6F143B7E">
      <w:pPr>
        <w:wordWrap w:val="0"/>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（6）供应商对同一采购程序环节的质疑应当在质疑有效期内一次性提出；</w:t>
      </w:r>
    </w:p>
    <w:p w14:paraId="36DDAD4E">
      <w:pPr>
        <w:wordWrap w:val="0"/>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（7）供应商提交质疑应当提交必要的证明材料，证明材料应以合法手段取得；</w:t>
      </w:r>
    </w:p>
    <w:p w14:paraId="4B00D1E9">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bCs/>
          <w:color w:val="auto"/>
          <w:sz w:val="24"/>
          <w:szCs w:val="24"/>
          <w:highlight w:val="none"/>
        </w:rPr>
        <w:t>（8）财政部门规定的其他条件。</w:t>
      </w:r>
    </w:p>
    <w:p w14:paraId="58CAED23">
      <w:pPr>
        <w:wordWrap w:val="0"/>
        <w:spacing w:line="360" w:lineRule="auto"/>
        <w:ind w:firstLine="480" w:firstLineChars="200"/>
        <w:rPr>
          <w:rFonts w:hint="eastAsia" w:ascii="宋体" w:hAnsi="宋体" w:cs="宋体"/>
          <w:b/>
          <w:color w:val="auto"/>
          <w:sz w:val="24"/>
          <w:szCs w:val="24"/>
          <w:highlight w:val="none"/>
        </w:rPr>
      </w:pPr>
      <w:bookmarkStart w:id="99" w:name="_9.2质疑、投诉应当采用书面形式，质疑函、投诉书均应明确阐述招标文件、"/>
      <w:bookmarkEnd w:id="99"/>
      <w:r>
        <w:rPr>
          <w:rFonts w:hint="eastAsia" w:ascii="宋体" w:hAnsi="宋体" w:cs="宋体"/>
          <w:color w:val="auto"/>
          <w:sz w:val="24"/>
          <w:szCs w:val="24"/>
          <w:highlight w:val="none"/>
        </w:rPr>
        <w:t xml:space="preserve"> 38.2.5 </w:t>
      </w:r>
      <w:r>
        <w:rPr>
          <w:rFonts w:hint="eastAsia" w:ascii="宋体" w:hAnsi="宋体" w:cs="宋体"/>
          <w:bCs/>
          <w:color w:val="auto"/>
          <w:sz w:val="24"/>
          <w:szCs w:val="24"/>
          <w:highlight w:val="none"/>
        </w:rPr>
        <w:t>供应商提出质疑应当提交质疑函和必要的证明材料，针对同一采购程序环节的质疑必须在法定质疑期内一次性提出。质疑函应当包括下列内容（质疑函格式后附）：</w:t>
      </w:r>
    </w:p>
    <w:p w14:paraId="78583F3E">
      <w:pPr>
        <w:wordWrap w:val="0"/>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（1）供应商的姓名或者名称、地址、邮编、联系人及联系电话；</w:t>
      </w:r>
    </w:p>
    <w:p w14:paraId="493FA715">
      <w:pPr>
        <w:wordWrap w:val="0"/>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（2）质疑项目的名称、编号；</w:t>
      </w:r>
    </w:p>
    <w:p w14:paraId="7F7E6851">
      <w:pPr>
        <w:wordWrap w:val="0"/>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（3）具体、明确的质疑事项和与质疑事项相关的请求；</w:t>
      </w:r>
    </w:p>
    <w:p w14:paraId="520A3FFD">
      <w:pPr>
        <w:wordWrap w:val="0"/>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（4）事实依据（列明权益受到损害的事实和理由）；</w:t>
      </w:r>
    </w:p>
    <w:p w14:paraId="4FE88920">
      <w:pPr>
        <w:wordWrap w:val="0"/>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（5）必要的法律依据；</w:t>
      </w:r>
    </w:p>
    <w:p w14:paraId="74360F1E">
      <w:pPr>
        <w:wordWrap w:val="0"/>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（6）提出质疑的日期。</w:t>
      </w:r>
    </w:p>
    <w:p w14:paraId="3CC45634">
      <w:pPr>
        <w:wordWrap w:val="0"/>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供应商为自然人的，应当由本人签字；供应商为法人或者其他组织的，应当由法定代表人、主要负责人，或者其委托代理人签字或者盖章，并加盖公章。</w:t>
      </w:r>
    </w:p>
    <w:p w14:paraId="27C7DDDF">
      <w:pPr>
        <w:wordWrap w:val="0"/>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38.2.6采购人或采购人委托的采购代理机构在收到质疑函后7个工作日内作出答复，并以书面形式通知质疑供应商及其他有关供应商。对不符合质疑条件的质疑，答复不予受理，并说明理由；对符合质疑条件的质疑，对质疑事项作出答复</w:t>
      </w:r>
    </w:p>
    <w:p w14:paraId="72B9C130">
      <w:pPr>
        <w:wordWrap w:val="0"/>
        <w:spacing w:line="360" w:lineRule="auto"/>
        <w:ind w:firstLine="480" w:firstLineChars="200"/>
        <w:rPr>
          <w:rFonts w:hint="eastAsia" w:ascii="宋体" w:hAnsi="宋体" w:cs="宋体"/>
          <w:bCs/>
          <w:color w:val="auto"/>
          <w:sz w:val="24"/>
          <w:szCs w:val="24"/>
          <w:highlight w:val="none"/>
        </w:rPr>
      </w:pPr>
      <w:r>
        <w:rPr>
          <w:rFonts w:hint="eastAsia" w:ascii="宋体" w:hAnsi="宋体" w:cs="宋体"/>
          <w:color w:val="auto"/>
          <w:sz w:val="24"/>
          <w:szCs w:val="24"/>
          <w:highlight w:val="none"/>
        </w:rPr>
        <w:t>3</w:t>
      </w:r>
      <w:r>
        <w:rPr>
          <w:rFonts w:hint="eastAsia" w:ascii="宋体" w:hAnsi="宋体" w:cs="宋体"/>
          <w:bCs/>
          <w:color w:val="auto"/>
          <w:sz w:val="24"/>
          <w:szCs w:val="24"/>
          <w:highlight w:val="none"/>
        </w:rPr>
        <w:t>8.2.7采购人、采购代理机构认为供应商质疑不成立，或者成立但未对中标结果构成影响的，继续开展采购活动；认为供应商质疑成立且影响或者可能影响中标结果的，按照下列情况处理：</w:t>
      </w:r>
    </w:p>
    <w:p w14:paraId="14CE3B88">
      <w:pPr>
        <w:wordWrap w:val="0"/>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　　（一）对招标文件提出的质疑，依法通过澄清或者修改可以继续开展采购活动的，澄清或者修改招标文件后继续开展采购活动；否则应当修改招标文件后重新开展采购活动。</w:t>
      </w:r>
    </w:p>
    <w:p w14:paraId="36D214E7">
      <w:pPr>
        <w:wordWrap w:val="0"/>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　　（二）对采购过程、中标结果提出的质疑，合格供应商符合法定数量时，可以从合格的中标候选人中另行确定中标供应商的，应当依法另行确定中标供应商；否则应当重新开展采购活动。</w:t>
      </w:r>
    </w:p>
    <w:p w14:paraId="181EEF3E">
      <w:pPr>
        <w:wordWrap w:val="0"/>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质疑答复导致中标结果改变的，采购人或者采购代理机构应当将有关情况书面报告本级财政部门。</w:t>
      </w:r>
    </w:p>
    <w:p w14:paraId="54CC6093">
      <w:pPr>
        <w:wordWrap w:val="0"/>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38.3投诉</w:t>
      </w:r>
    </w:p>
    <w:p w14:paraId="417701F5">
      <w:pPr>
        <w:wordWrap w:val="0"/>
        <w:spacing w:line="360" w:lineRule="auto"/>
        <w:ind w:firstLine="482" w:firstLineChars="200"/>
        <w:rPr>
          <w:rFonts w:hint="eastAsia" w:ascii="宋体" w:hAnsi="宋体" w:cs="宋体"/>
          <w:bCs/>
          <w:color w:val="auto"/>
          <w:sz w:val="24"/>
          <w:szCs w:val="24"/>
          <w:highlight w:val="none"/>
        </w:rPr>
      </w:pPr>
      <w:r>
        <w:rPr>
          <w:rFonts w:hint="eastAsia" w:ascii="宋体" w:hAnsi="宋体" w:cs="宋体"/>
          <w:b/>
          <w:color w:val="auto"/>
          <w:sz w:val="24"/>
          <w:szCs w:val="24"/>
          <w:highlight w:val="none"/>
        </w:rPr>
        <w:t>38.3</w:t>
      </w:r>
      <w:r>
        <w:rPr>
          <w:rFonts w:hint="eastAsia" w:ascii="宋体" w:hAnsi="宋体" w:cs="宋体"/>
          <w:bCs/>
          <w:color w:val="auto"/>
          <w:sz w:val="24"/>
          <w:szCs w:val="24"/>
          <w:highlight w:val="none"/>
        </w:rPr>
        <w:t>.</w:t>
      </w:r>
      <w:r>
        <w:rPr>
          <w:rFonts w:hint="eastAsia" w:ascii="宋体" w:hAnsi="宋体" w:cs="宋体"/>
          <w:b/>
          <w:bCs/>
          <w:color w:val="auto"/>
          <w:sz w:val="24"/>
          <w:szCs w:val="24"/>
          <w:highlight w:val="none"/>
        </w:rPr>
        <w:t xml:space="preserve">1 </w:t>
      </w:r>
      <w:r>
        <w:rPr>
          <w:rFonts w:hint="eastAsia" w:ascii="宋体" w:hAnsi="宋体" w:cs="宋体"/>
          <w:bCs/>
          <w:color w:val="auto"/>
          <w:sz w:val="24"/>
          <w:szCs w:val="24"/>
          <w:highlight w:val="none"/>
        </w:rPr>
        <w:t xml:space="preserve"> 供应商认为采购文件、采购过程、中标和成交结果使自己的合法权益受到损害的，应当首先依法向采购人或采购人委托的</w:t>
      </w:r>
      <w:r>
        <w:rPr>
          <w:rFonts w:hint="eastAsia" w:ascii="宋体" w:hAnsi="宋体" w:cs="宋体"/>
          <w:color w:val="auto"/>
          <w:sz w:val="24"/>
          <w:szCs w:val="24"/>
          <w:highlight w:val="none"/>
        </w:rPr>
        <w:t>采购代理机构</w:t>
      </w:r>
      <w:r>
        <w:rPr>
          <w:rFonts w:hint="eastAsia" w:ascii="宋体" w:hAnsi="宋体" w:cs="宋体"/>
          <w:bCs/>
          <w:color w:val="auto"/>
          <w:sz w:val="24"/>
          <w:szCs w:val="24"/>
          <w:highlight w:val="none"/>
        </w:rPr>
        <w:t>提出质疑。对采购人、</w:t>
      </w:r>
      <w:r>
        <w:rPr>
          <w:rFonts w:hint="eastAsia" w:ascii="宋体" w:hAnsi="宋体" w:cs="宋体"/>
          <w:color w:val="auto"/>
          <w:sz w:val="24"/>
          <w:szCs w:val="24"/>
          <w:highlight w:val="none"/>
        </w:rPr>
        <w:t>采购代理机构</w:t>
      </w:r>
      <w:r>
        <w:rPr>
          <w:rFonts w:hint="eastAsia" w:ascii="宋体" w:hAnsi="宋体" w:cs="宋体"/>
          <w:bCs/>
          <w:color w:val="auto"/>
          <w:sz w:val="24"/>
          <w:szCs w:val="24"/>
          <w:highlight w:val="none"/>
        </w:rPr>
        <w:t>的答复不满意，或者采购人、</w:t>
      </w:r>
      <w:r>
        <w:rPr>
          <w:rFonts w:hint="eastAsia" w:ascii="宋体" w:hAnsi="宋体" w:cs="宋体"/>
          <w:color w:val="auto"/>
          <w:sz w:val="24"/>
          <w:szCs w:val="24"/>
          <w:highlight w:val="none"/>
        </w:rPr>
        <w:t>采购代理机构</w:t>
      </w:r>
      <w:r>
        <w:rPr>
          <w:rFonts w:hint="eastAsia" w:ascii="宋体" w:hAnsi="宋体" w:cs="宋体"/>
          <w:bCs/>
          <w:color w:val="auto"/>
          <w:sz w:val="24"/>
          <w:szCs w:val="24"/>
          <w:highlight w:val="none"/>
        </w:rPr>
        <w:t>未在规定期限内做出答复的，供应商可以在答复期满后15个工作日内向南宁市政府采购监督管理部门提起投诉，投诉方式见“投标人须知前附表”。</w:t>
      </w:r>
    </w:p>
    <w:p w14:paraId="2BDC04E4">
      <w:pPr>
        <w:wordWrap w:val="0"/>
        <w:spacing w:line="360" w:lineRule="auto"/>
        <w:ind w:firstLine="482" w:firstLineChars="200"/>
        <w:rPr>
          <w:rFonts w:hint="eastAsia" w:ascii="宋体" w:hAnsi="宋体" w:cs="宋体"/>
          <w:bCs/>
          <w:color w:val="auto"/>
          <w:sz w:val="24"/>
          <w:szCs w:val="24"/>
          <w:highlight w:val="none"/>
        </w:rPr>
      </w:pPr>
      <w:r>
        <w:rPr>
          <w:rFonts w:hint="eastAsia" w:ascii="宋体" w:hAnsi="宋体" w:cs="宋体"/>
          <w:b/>
          <w:color w:val="auto"/>
          <w:sz w:val="24"/>
          <w:szCs w:val="24"/>
          <w:highlight w:val="none"/>
        </w:rPr>
        <w:t xml:space="preserve">38.3.2 </w:t>
      </w:r>
      <w:r>
        <w:rPr>
          <w:rFonts w:hint="eastAsia" w:ascii="宋体" w:hAnsi="宋体" w:cs="宋体"/>
          <w:color w:val="auto"/>
          <w:sz w:val="24"/>
          <w:szCs w:val="24"/>
          <w:highlight w:val="none"/>
        </w:rPr>
        <w:t xml:space="preserve"> 投诉人投诉时，应当提交投诉书，并按照被投诉采购人、采购代理机构和与投诉事项有关的供应商数量提供投诉书的副本。投诉书应当包括下列主要内容（如材料中有外文资料应同时附上对应的中文译本）</w:t>
      </w:r>
      <w:r>
        <w:rPr>
          <w:rFonts w:hint="eastAsia" w:ascii="宋体" w:hAnsi="宋体" w:cs="宋体"/>
          <w:bCs/>
          <w:color w:val="auto"/>
          <w:sz w:val="24"/>
          <w:szCs w:val="24"/>
          <w:highlight w:val="none"/>
        </w:rPr>
        <w:t>（投诉书格式后附）</w:t>
      </w:r>
      <w:r>
        <w:rPr>
          <w:rFonts w:hint="eastAsia" w:ascii="宋体" w:hAnsi="宋体" w:cs="宋体"/>
          <w:color w:val="auto"/>
          <w:sz w:val="24"/>
          <w:szCs w:val="24"/>
          <w:highlight w:val="none"/>
        </w:rPr>
        <w:t>：</w:t>
      </w:r>
    </w:p>
    <w:p w14:paraId="0A0AA52D">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（1）投诉人和被投诉人的名称、地址、邮编、联系人及联系电话等； </w:t>
      </w:r>
    </w:p>
    <w:p w14:paraId="14C40CE1">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（2）质疑和质疑答复情况及相关证明材料； </w:t>
      </w:r>
    </w:p>
    <w:p w14:paraId="3182D262">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（3）具体、明确的投诉事项和与投诉事项相关的投诉请求；</w:t>
      </w:r>
    </w:p>
    <w:p w14:paraId="3E6844C0">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（4）事实依据；</w:t>
      </w:r>
    </w:p>
    <w:p w14:paraId="3894A51F">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（5）法律依据；</w:t>
      </w:r>
    </w:p>
    <w:p w14:paraId="2637D971">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（6）提起投诉的日期。</w:t>
      </w:r>
    </w:p>
    <w:p w14:paraId="27231301">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（7）附件材料：营业执照副本内页复印件（要求证件有效并清晰反映企业法人经营范围；近期连续三个月依法缴纳税收和在职职工社会保障资金证明材料（复印件）。</w:t>
      </w:r>
      <w:r>
        <w:rPr>
          <w:rFonts w:hint="eastAsia" w:ascii="宋体" w:hAnsi="宋体" w:cs="宋体"/>
          <w:color w:val="auto"/>
          <w:sz w:val="24"/>
          <w:szCs w:val="24"/>
          <w:highlight w:val="none"/>
        </w:rPr>
        <w:tab/>
      </w:r>
    </w:p>
    <w:p w14:paraId="178B1D13">
      <w:pPr>
        <w:wordWrap w:val="0"/>
        <w:spacing w:line="360" w:lineRule="auto"/>
        <w:ind w:firstLine="482" w:firstLineChars="200"/>
        <w:rPr>
          <w:rFonts w:hint="eastAsia" w:ascii="宋体" w:hAnsi="宋体" w:cs="宋体"/>
          <w:bCs/>
          <w:color w:val="auto"/>
          <w:sz w:val="24"/>
          <w:szCs w:val="24"/>
          <w:highlight w:val="none"/>
        </w:rPr>
      </w:pPr>
      <w:r>
        <w:rPr>
          <w:rFonts w:hint="eastAsia" w:ascii="宋体" w:hAnsi="宋体" w:cs="宋体"/>
          <w:b/>
          <w:color w:val="auto"/>
          <w:sz w:val="24"/>
          <w:szCs w:val="24"/>
          <w:highlight w:val="none"/>
        </w:rPr>
        <w:t xml:space="preserve">38.3.3  </w:t>
      </w:r>
      <w:r>
        <w:rPr>
          <w:rFonts w:hint="eastAsia" w:ascii="宋体" w:hAnsi="宋体" w:cs="宋体"/>
          <w:color w:val="auto"/>
          <w:sz w:val="24"/>
          <w:szCs w:val="24"/>
          <w:highlight w:val="none"/>
        </w:rPr>
        <w:t>投诉人可以委托代理人办理投诉事务。</w:t>
      </w:r>
      <w:r>
        <w:rPr>
          <w:rFonts w:hint="eastAsia" w:ascii="宋体" w:hAnsi="宋体" w:cs="宋体"/>
          <w:bCs/>
          <w:color w:val="auto"/>
          <w:sz w:val="24"/>
          <w:szCs w:val="24"/>
          <w:highlight w:val="none"/>
        </w:rPr>
        <w:t>委托代理人应熟悉相关业务情况。</w:t>
      </w:r>
      <w:r>
        <w:rPr>
          <w:rFonts w:hint="eastAsia" w:ascii="宋体" w:hAnsi="宋体" w:cs="宋体"/>
          <w:color w:val="auto"/>
          <w:sz w:val="24"/>
          <w:szCs w:val="24"/>
          <w:highlight w:val="none"/>
        </w:rPr>
        <w:t>代理人办理投诉事务时，除提交投诉书外，还应当提交投诉人的授权委托书和委托代理人身份证明复印件。</w:t>
      </w:r>
    </w:p>
    <w:p w14:paraId="05EED2C0">
      <w:pPr>
        <w:wordWrap w:val="0"/>
        <w:spacing w:line="360" w:lineRule="auto"/>
        <w:ind w:firstLine="482" w:firstLineChars="200"/>
        <w:rPr>
          <w:rFonts w:hint="eastAsia" w:ascii="宋体" w:hAnsi="宋体" w:cs="宋体"/>
          <w:color w:val="auto"/>
          <w:sz w:val="24"/>
          <w:szCs w:val="24"/>
          <w:highlight w:val="none"/>
        </w:rPr>
      </w:pPr>
      <w:r>
        <w:rPr>
          <w:rFonts w:hint="eastAsia" w:ascii="宋体" w:hAnsi="宋体" w:cs="宋体"/>
          <w:b/>
          <w:color w:val="auto"/>
          <w:sz w:val="24"/>
          <w:szCs w:val="24"/>
          <w:highlight w:val="none"/>
        </w:rPr>
        <w:t>38.3.4</w:t>
      </w:r>
      <w:r>
        <w:rPr>
          <w:rFonts w:hint="eastAsia" w:ascii="宋体" w:hAnsi="宋体" w:cs="宋体"/>
          <w:color w:val="auto"/>
          <w:sz w:val="24"/>
          <w:szCs w:val="24"/>
          <w:highlight w:val="none"/>
        </w:rPr>
        <w:t xml:space="preserve">  投诉人提起投诉应当符合下列条件：</w:t>
      </w:r>
    </w:p>
    <w:p w14:paraId="0A539CB0">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（1）投诉人是参与所投诉政府采购活动的供应商；</w:t>
      </w:r>
    </w:p>
    <w:p w14:paraId="2EF4F46D">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（2）提起投诉前已依法进行质疑；</w:t>
      </w:r>
    </w:p>
    <w:p w14:paraId="7358730F">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（3）投诉书内容符合本章第38.3.2项的规定；</w:t>
      </w:r>
    </w:p>
    <w:p w14:paraId="04B8E172">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（4）在投诉有效期限内提起投诉；</w:t>
      </w:r>
    </w:p>
    <w:p w14:paraId="1703FA18">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（5）属于南宁市政府采购监督管理部门管辖；</w:t>
      </w:r>
    </w:p>
    <w:p w14:paraId="68E4064F">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（6）同一投诉事项未经</w:t>
      </w:r>
      <w:r>
        <w:rPr>
          <w:rFonts w:hint="eastAsia" w:ascii="宋体" w:hAnsi="宋体" w:cs="宋体"/>
          <w:bCs/>
          <w:color w:val="auto"/>
          <w:sz w:val="24"/>
          <w:szCs w:val="24"/>
          <w:highlight w:val="none"/>
        </w:rPr>
        <w:t>南宁市政府采购监督管理部门</w:t>
      </w:r>
      <w:r>
        <w:rPr>
          <w:rFonts w:hint="eastAsia" w:ascii="宋体" w:hAnsi="宋体" w:cs="宋体"/>
          <w:color w:val="auto"/>
          <w:sz w:val="24"/>
          <w:szCs w:val="24"/>
          <w:highlight w:val="none"/>
        </w:rPr>
        <w:t>投诉处理；</w:t>
      </w:r>
    </w:p>
    <w:p w14:paraId="45002C94">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（7）国务院财政部门规定的其他条件。</w:t>
      </w:r>
    </w:p>
    <w:p w14:paraId="4B4CE511">
      <w:pPr>
        <w:wordWrap w:val="0"/>
        <w:spacing w:line="360" w:lineRule="auto"/>
        <w:ind w:firstLine="482" w:firstLineChars="200"/>
        <w:rPr>
          <w:rFonts w:hint="eastAsia" w:ascii="宋体" w:hAnsi="宋体" w:cs="宋体"/>
          <w:color w:val="auto"/>
          <w:sz w:val="24"/>
          <w:szCs w:val="24"/>
          <w:highlight w:val="none"/>
        </w:rPr>
      </w:pPr>
      <w:r>
        <w:rPr>
          <w:rFonts w:hint="eastAsia" w:ascii="宋体" w:hAnsi="宋体" w:cs="宋体"/>
          <w:b/>
          <w:color w:val="auto"/>
          <w:sz w:val="24"/>
          <w:szCs w:val="24"/>
          <w:highlight w:val="none"/>
        </w:rPr>
        <w:t>38.3.5</w:t>
      </w:r>
      <w:r>
        <w:rPr>
          <w:rFonts w:hint="eastAsia" w:ascii="宋体" w:hAnsi="宋体" w:cs="宋体"/>
          <w:color w:val="auto"/>
          <w:sz w:val="24"/>
          <w:szCs w:val="24"/>
          <w:highlight w:val="none"/>
        </w:rPr>
        <w:t xml:space="preserve">  南宁市政府采购监督管理部门自受理投诉之日起30个工作日内，对投诉事项作出处理决定，并以书面形式通知投诉人、被投诉人及其他与投诉处理结果有利害关系的政府采购当事人。并将投诉结果在</w:t>
      </w:r>
      <w:r>
        <w:rPr>
          <w:rFonts w:hint="eastAsia" w:ascii="宋体" w:hAnsi="宋体" w:cs="宋体"/>
          <w:color w:val="auto"/>
          <w:kern w:val="0"/>
          <w:sz w:val="24"/>
          <w:szCs w:val="24"/>
          <w:highlight w:val="none"/>
        </w:rPr>
        <w:t>“广西政府采购网”（http://zfcg.gxzf.gov.cn）</w:t>
      </w:r>
      <w:r>
        <w:rPr>
          <w:rFonts w:hint="eastAsia" w:ascii="宋体" w:hAnsi="宋体" w:cs="宋体"/>
          <w:color w:val="auto"/>
          <w:sz w:val="24"/>
          <w:szCs w:val="24"/>
          <w:highlight w:val="none"/>
        </w:rPr>
        <w:t>发布。</w:t>
      </w:r>
    </w:p>
    <w:p w14:paraId="0BD955FA">
      <w:pPr>
        <w:wordWrap w:val="0"/>
        <w:spacing w:line="360" w:lineRule="auto"/>
        <w:ind w:firstLine="482" w:firstLineChars="200"/>
        <w:rPr>
          <w:rFonts w:hint="eastAsia" w:ascii="宋体" w:hAnsi="宋体" w:cs="宋体"/>
          <w:color w:val="auto"/>
          <w:highlight w:val="none"/>
        </w:rPr>
      </w:pPr>
      <w:r>
        <w:rPr>
          <w:rFonts w:hint="eastAsia" w:ascii="宋体" w:hAnsi="宋体" w:cs="宋体"/>
          <w:b/>
          <w:color w:val="auto"/>
          <w:sz w:val="24"/>
          <w:szCs w:val="24"/>
          <w:highlight w:val="none"/>
        </w:rPr>
        <w:t>38.3.6</w:t>
      </w:r>
      <w:r>
        <w:rPr>
          <w:rFonts w:hint="eastAsia" w:ascii="宋体" w:hAnsi="宋体" w:cs="宋体"/>
          <w:color w:val="auto"/>
          <w:sz w:val="24"/>
          <w:szCs w:val="24"/>
          <w:highlight w:val="none"/>
        </w:rPr>
        <w:t xml:space="preserve">  南宁市政府采购监督管理部门在处理投诉事项期间，可以视具体情况暂停采购活动。</w:t>
      </w:r>
    </w:p>
    <w:p w14:paraId="2AD5DE99">
      <w:pPr>
        <w:wordWrap w:val="0"/>
        <w:snapToGrid w:val="0"/>
        <w:spacing w:line="360" w:lineRule="auto"/>
        <w:ind w:left="120" w:leftChars="57" w:firstLine="482" w:firstLineChars="150"/>
        <w:jc w:val="center"/>
        <w:outlineLvl w:val="2"/>
        <w:rPr>
          <w:rFonts w:hint="eastAsia" w:ascii="宋体" w:hAnsi="宋体" w:cs="宋体"/>
          <w:b/>
          <w:bCs/>
          <w:color w:val="auto"/>
          <w:sz w:val="32"/>
          <w:szCs w:val="32"/>
          <w:highlight w:val="none"/>
        </w:rPr>
      </w:pPr>
      <w:bookmarkStart w:id="100" w:name="_Toc13189"/>
      <w:r>
        <w:rPr>
          <w:rFonts w:hint="eastAsia" w:ascii="宋体" w:hAnsi="宋体" w:cs="宋体"/>
          <w:b/>
          <w:bCs/>
          <w:color w:val="auto"/>
          <w:sz w:val="32"/>
          <w:szCs w:val="32"/>
          <w:highlight w:val="none"/>
        </w:rPr>
        <w:t>八、验收</w:t>
      </w:r>
      <w:bookmarkEnd w:id="100"/>
    </w:p>
    <w:p w14:paraId="732D64E7">
      <w:pPr>
        <w:wordWrap w:val="0"/>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39.验收</w:t>
      </w:r>
    </w:p>
    <w:p w14:paraId="692DA9D0">
      <w:pPr>
        <w:tabs>
          <w:tab w:val="left" w:pos="0"/>
        </w:tabs>
        <w:wordWrap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39.1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038440D4">
      <w:pPr>
        <w:tabs>
          <w:tab w:val="left" w:pos="0"/>
        </w:tabs>
        <w:wordWrap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39.2采购人可以邀请参加本项目的其他投标人或者第三方机构参与验收。参与验收的投标人或者第三方机构的意见作为验收书的参考资料一并存档。</w:t>
      </w:r>
    </w:p>
    <w:p w14:paraId="4B6B75CE">
      <w:pPr>
        <w:tabs>
          <w:tab w:val="left" w:pos="0"/>
        </w:tabs>
        <w:wordWrap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39.3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32C57514">
      <w:pPr>
        <w:tabs>
          <w:tab w:val="left" w:pos="0"/>
        </w:tabs>
        <w:wordWrap w:val="0"/>
        <w:spacing w:line="360" w:lineRule="auto"/>
        <w:ind w:firstLine="480"/>
        <w:rPr>
          <w:rFonts w:hint="eastAsia" w:ascii="宋体" w:hAnsi="宋体" w:cs="宋体"/>
          <w:color w:val="auto"/>
          <w:highlight w:val="none"/>
        </w:rPr>
      </w:pPr>
      <w:r>
        <w:rPr>
          <w:rFonts w:hint="eastAsia" w:ascii="宋体" w:hAnsi="宋体" w:cs="宋体"/>
          <w:color w:val="auto"/>
          <w:sz w:val="24"/>
          <w:szCs w:val="24"/>
          <w:highlight w:val="none"/>
        </w:rPr>
        <w:t>39.4验收合格的项目，采购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1828D0AF">
      <w:pPr>
        <w:pStyle w:val="14"/>
        <w:wordWrap w:val="0"/>
        <w:snapToGrid w:val="0"/>
        <w:spacing w:line="360" w:lineRule="auto"/>
        <w:rPr>
          <w:rFonts w:hint="eastAsia" w:hAnsi="宋体" w:cs="宋体"/>
          <w:color w:val="auto"/>
          <w:highlight w:val="none"/>
        </w:rPr>
      </w:pPr>
    </w:p>
    <w:p w14:paraId="59E8195D">
      <w:pPr>
        <w:pStyle w:val="4"/>
        <w:keepNext w:val="0"/>
        <w:keepLines w:val="0"/>
        <w:wordWrap w:val="0"/>
        <w:spacing w:line="360" w:lineRule="auto"/>
        <w:jc w:val="center"/>
        <w:rPr>
          <w:rFonts w:hint="eastAsia" w:ascii="宋体" w:hAnsi="宋体" w:cs="宋体"/>
          <w:color w:val="auto"/>
          <w:highlight w:val="none"/>
        </w:rPr>
      </w:pPr>
      <w:bookmarkStart w:id="101" w:name="_八、其他事项"/>
      <w:bookmarkEnd w:id="101"/>
      <w:bookmarkStart w:id="102" w:name="_Toc13950"/>
      <w:r>
        <w:rPr>
          <w:rFonts w:hint="eastAsia" w:ascii="宋体" w:hAnsi="宋体" w:cs="宋体"/>
          <w:color w:val="auto"/>
          <w:highlight w:val="none"/>
        </w:rPr>
        <w:t>九、其他事项</w:t>
      </w:r>
      <w:bookmarkEnd w:id="102"/>
    </w:p>
    <w:p w14:paraId="7347DE2A">
      <w:pPr>
        <w:wordWrap w:val="0"/>
        <w:spacing w:line="360" w:lineRule="auto"/>
        <w:ind w:firstLine="480" w:firstLineChars="200"/>
        <w:rPr>
          <w:rFonts w:hint="eastAsia" w:ascii="宋体" w:hAnsi="宋体" w:cs="宋体"/>
          <w:color w:val="auto"/>
          <w:sz w:val="24"/>
          <w:szCs w:val="24"/>
          <w:highlight w:val="none"/>
        </w:rPr>
      </w:pPr>
      <w:bookmarkStart w:id="103" w:name="_42.代理服务费"/>
      <w:bookmarkEnd w:id="103"/>
      <w:r>
        <w:rPr>
          <w:rFonts w:hint="eastAsia" w:ascii="宋体" w:hAnsi="宋体" w:cs="宋体"/>
          <w:color w:val="auto"/>
          <w:sz w:val="24"/>
          <w:szCs w:val="24"/>
          <w:highlight w:val="none"/>
        </w:rPr>
        <w:t>40.代理服务费</w:t>
      </w:r>
    </w:p>
    <w:p w14:paraId="3FD35688">
      <w:pPr>
        <w:wordWrap w:val="0"/>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代理服务收费标准及缴费账户详见“投标人须知前附表”，投标人为联合体的，可以由联合体中的一方或者多方共同交纳代理服务费。</w:t>
      </w:r>
    </w:p>
    <w:p w14:paraId="723D437C">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41. 需要补充的其他内容</w:t>
      </w:r>
    </w:p>
    <w:p w14:paraId="3E8F6EF3">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41.1本招标文件解释规则详见“投标人须知前附表”。</w:t>
      </w:r>
    </w:p>
    <w:p w14:paraId="3F543881">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41.2 其他事项详见“投标人须知前附表”。</w:t>
      </w:r>
    </w:p>
    <w:p w14:paraId="35761251">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41.3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服务的人员为中小企业依照《中华人民共和国劳动合同法》订立劳动合同的从业人员，不对其中涉及的货物的制造商和工程承建商作出要求的，享受本文件规定的中小企业扶持政策。</w:t>
      </w:r>
    </w:p>
    <w:p w14:paraId="371A3912">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以联合体形式参加政府采购活动，联合体各方均为中小企业的，联合体视同中小企业。其中，联合体各方均为小微企业的，联合体视同小微企业。</w:t>
      </w:r>
    </w:p>
    <w:p w14:paraId="338363ED">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依据本文件规定享受扶持政策获得政府采购合同的，小微企业不得将合同分包给大中型企业，中型企业不得将合同分包给大型企业。</w:t>
      </w:r>
    </w:p>
    <w:p w14:paraId="5436089A">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42. 政采贷相关说明</w:t>
      </w:r>
    </w:p>
    <w:p w14:paraId="30ECBC3D">
      <w:pPr>
        <w:numPr>
          <w:ilvl w:val="0"/>
          <w:numId w:val="3"/>
        </w:numPr>
        <w:wordWrap w:val="0"/>
        <w:spacing w:line="360" w:lineRule="auto"/>
        <w:ind w:firstLine="480" w:firstLineChars="200"/>
        <w:jc w:val="left"/>
        <w:rPr>
          <w:rFonts w:hint="eastAsia" w:ascii="宋体" w:hAnsi="宋体" w:cs="宋体"/>
          <w:color w:val="auto"/>
          <w:highlight w:val="none"/>
        </w:rPr>
      </w:pPr>
      <w:r>
        <w:rPr>
          <w:rFonts w:hint="eastAsia" w:ascii="宋体" w:hAnsi="宋体" w:cs="宋体"/>
          <w:color w:val="auto"/>
          <w:sz w:val="24"/>
          <w:szCs w:val="24"/>
          <w:highlight w:val="none"/>
        </w:rPr>
        <w:t>为优化政府采购营商环境，缓解供应商资金难题，南宁市政府采购试行政府采购信用融资制度，中 标供应商如有融资需求，可凭政府采购合同通过以下方式申请政府采购信用融资贷款： （1）线下渠道：在“南宁市公共资源交易中心”官网（网址： http://www.nnggzy.org.cn ）“交易信 息- 政府采购- 政府采购信用融资”中融资银行和南宁市企业融资服务中心专栏信息申请政府采购信用融资 。 （2）线上渠道：登录中征营应收账款融资服务平台（网址：https://www.crcrfsp.com，客服电话： 400-009-0001），选择相关金融产品和银行业金融机构金融融资贷款。具体操作方式见《中国人民银行南宁 中心支行广西壮族自治区财政厅关于推广线上“政采贷”融资模式的通知》（南宁银发〔2021〕258 号）文 （文件公开网址详情见：“广西政府采购网”——http://www.ccgpguangxi.gov.cn/AdministrativeRegulations/AutonomousRegion/9830442.html）</w:t>
      </w:r>
      <w:r>
        <w:rPr>
          <w:rFonts w:hint="eastAsia" w:ascii="宋体" w:hAnsi="宋体" w:cs="宋体"/>
          <w:color w:val="auto"/>
          <w:highlight w:val="none"/>
        </w:rPr>
        <w:br w:type="page"/>
      </w:r>
      <w:bookmarkStart w:id="104" w:name="_Toc532545043"/>
    </w:p>
    <w:p w14:paraId="76461746">
      <w:pPr>
        <w:pStyle w:val="14"/>
        <w:wordWrap w:val="0"/>
        <w:spacing w:line="360" w:lineRule="auto"/>
        <w:ind w:firstLine="723"/>
        <w:jc w:val="center"/>
        <w:outlineLvl w:val="0"/>
        <w:rPr>
          <w:rFonts w:hint="eastAsia" w:hAnsi="宋体" w:cs="宋体"/>
          <w:b/>
          <w:color w:val="auto"/>
          <w:sz w:val="36"/>
          <w:highlight w:val="none"/>
        </w:rPr>
      </w:pPr>
      <w:bookmarkStart w:id="105" w:name="_Toc4997"/>
      <w:r>
        <w:rPr>
          <w:rFonts w:hint="eastAsia" w:hAnsi="宋体" w:cs="宋体"/>
          <w:b/>
          <w:color w:val="auto"/>
          <w:sz w:val="36"/>
          <w:highlight w:val="none"/>
        </w:rPr>
        <w:t>第四章  评标方法</w:t>
      </w:r>
      <w:bookmarkEnd w:id="104"/>
      <w:r>
        <w:rPr>
          <w:rFonts w:hint="eastAsia" w:hAnsi="宋体" w:cs="宋体"/>
          <w:b/>
          <w:color w:val="auto"/>
          <w:sz w:val="36"/>
          <w:highlight w:val="none"/>
        </w:rPr>
        <w:t>及评分标准</w:t>
      </w:r>
      <w:bookmarkEnd w:id="105"/>
    </w:p>
    <w:p w14:paraId="482401EA">
      <w:pPr>
        <w:pStyle w:val="14"/>
        <w:wordWrap w:val="0"/>
        <w:spacing w:line="360" w:lineRule="auto"/>
        <w:ind w:firstLine="643"/>
        <w:jc w:val="center"/>
        <w:outlineLvl w:val="1"/>
        <w:rPr>
          <w:rFonts w:hint="eastAsia" w:hAnsi="宋体" w:cs="宋体"/>
          <w:b/>
          <w:bCs/>
          <w:color w:val="auto"/>
          <w:sz w:val="32"/>
          <w:szCs w:val="32"/>
          <w:highlight w:val="none"/>
        </w:rPr>
      </w:pPr>
      <w:bookmarkStart w:id="106" w:name="_Toc2118"/>
      <w:r>
        <w:rPr>
          <w:rFonts w:hint="eastAsia" w:hAnsi="宋体" w:cs="宋体"/>
          <w:b/>
          <w:bCs/>
          <w:color w:val="auto"/>
          <w:sz w:val="32"/>
          <w:szCs w:val="32"/>
          <w:highlight w:val="none"/>
        </w:rPr>
        <w:t>第一节 评标方法</w:t>
      </w:r>
      <w:bookmarkEnd w:id="106"/>
    </w:p>
    <w:p w14:paraId="7F096B3C">
      <w:pPr>
        <w:pStyle w:val="14"/>
        <w:tabs>
          <w:tab w:val="left" w:pos="2472"/>
        </w:tabs>
        <w:wordWrap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本项目采用</w:t>
      </w:r>
      <w:r>
        <w:rPr>
          <w:rFonts w:hint="eastAsia" w:hAnsi="宋体" w:cs="宋体"/>
          <w:color w:val="auto"/>
          <w:sz w:val="24"/>
          <w:szCs w:val="24"/>
          <w:highlight w:val="none"/>
          <w:u w:val="single"/>
        </w:rPr>
        <w:t xml:space="preserve"> 以下勾选的方式</w:t>
      </w:r>
      <w:r>
        <w:rPr>
          <w:rFonts w:hint="eastAsia" w:hAnsi="宋体" w:cs="宋体"/>
          <w:color w:val="auto"/>
          <w:sz w:val="24"/>
          <w:szCs w:val="24"/>
          <w:highlight w:val="none"/>
        </w:rPr>
        <w:t>进行评审。</w:t>
      </w:r>
    </w:p>
    <w:p w14:paraId="61BAFFA6">
      <w:pPr>
        <w:pStyle w:val="14"/>
        <w:wordWrap w:val="0"/>
        <w:spacing w:line="360" w:lineRule="auto"/>
        <w:ind w:firstLine="480"/>
        <w:rPr>
          <w:rFonts w:hint="eastAsia" w:hAnsi="宋体" w:cs="宋体"/>
          <w:color w:val="auto"/>
          <w:sz w:val="24"/>
          <w:szCs w:val="24"/>
          <w:highlight w:val="none"/>
        </w:rPr>
      </w:pPr>
      <w:r>
        <w:rPr>
          <w:rFonts w:hint="eastAsia" w:hAnsi="宋体" w:cs="宋体"/>
          <w:color w:val="auto"/>
          <w:sz w:val="24"/>
          <w:szCs w:val="24"/>
          <w:highlight w:val="none"/>
        </w:rPr>
        <w:t>□最低评标价法，是指投标文件满足招标文件全部实质性要求，且投标报价最低的投标人为中标候选人的评标方法。</w:t>
      </w:r>
    </w:p>
    <w:p w14:paraId="14BD1241">
      <w:pPr>
        <w:wordWrap w:val="0"/>
        <w:autoSpaceDE w:val="0"/>
        <w:autoSpaceDN w:val="0"/>
        <w:adjustRightIn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sym w:font="Wingdings 2" w:char="0052"/>
      </w:r>
      <w:r>
        <w:rPr>
          <w:rFonts w:hint="eastAsia" w:ascii="宋体" w:hAnsi="宋体" w:cs="宋体"/>
          <w:color w:val="auto"/>
          <w:sz w:val="24"/>
          <w:szCs w:val="24"/>
          <w:highlight w:val="none"/>
        </w:rPr>
        <w:t xml:space="preserve">综合评分法，是指投标文件满足招标文件全部实质性要求，且按照评审因素的量化指标评审得分最高的投标人为中标候选人的评标方法。评标委员会将对各投标人的投标报价、技术和服务方案、投标人的企业实力及资质等方面进行综合评审，对实质上响应招标文件的投标人，由各评委独立记名打分。经统计，得出各投标人的综合得分,按综合得分由高到低顺序排列。若综合得分相同的，按投标报价由低到高顺序排列。若综合得分且投标报价相同的，货物类采购项目以技术性能得分较高者为先，服务类采购项目以实力信誉及业绩得分较高者为先。 </w:t>
      </w:r>
    </w:p>
    <w:p w14:paraId="5072C94D">
      <w:pPr>
        <w:pStyle w:val="14"/>
        <w:wordWrap w:val="0"/>
        <w:spacing w:line="360" w:lineRule="auto"/>
        <w:ind w:firstLine="480"/>
        <w:rPr>
          <w:rFonts w:hint="eastAsia" w:hAnsi="宋体" w:cs="宋体"/>
          <w:color w:val="auto"/>
          <w:highlight w:val="none"/>
        </w:rPr>
      </w:pPr>
    </w:p>
    <w:p w14:paraId="1F7584DA">
      <w:pPr>
        <w:pStyle w:val="14"/>
        <w:tabs>
          <w:tab w:val="left" w:pos="2472"/>
        </w:tabs>
        <w:wordWrap w:val="0"/>
        <w:spacing w:line="360" w:lineRule="auto"/>
        <w:ind w:firstLine="643"/>
        <w:jc w:val="center"/>
        <w:outlineLvl w:val="1"/>
        <w:rPr>
          <w:rFonts w:hint="eastAsia" w:hAnsi="宋体" w:cs="宋体"/>
          <w:b/>
          <w:bCs/>
          <w:color w:val="auto"/>
          <w:sz w:val="32"/>
          <w:szCs w:val="32"/>
          <w:highlight w:val="none"/>
        </w:rPr>
      </w:pPr>
      <w:bookmarkStart w:id="107" w:name="_Toc3444"/>
      <w:r>
        <w:rPr>
          <w:rFonts w:hint="eastAsia" w:hAnsi="宋体" w:cs="宋体"/>
          <w:b/>
          <w:bCs/>
          <w:color w:val="auto"/>
          <w:sz w:val="32"/>
          <w:szCs w:val="32"/>
          <w:highlight w:val="none"/>
        </w:rPr>
        <w:t>第二节 评标程序</w:t>
      </w:r>
      <w:bookmarkEnd w:id="107"/>
    </w:p>
    <w:p w14:paraId="1B34FDAD">
      <w:pPr>
        <w:wordWrap w:val="0"/>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1.符合性审查</w:t>
      </w:r>
    </w:p>
    <w:p w14:paraId="1BD33C67">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评标委员会应当对符合资格的投标人的投标文件进行投标报价、商务、技术等实质性内容符合性审查，以确定其是否满足招标文件的实质性要求。</w:t>
      </w:r>
    </w:p>
    <w:p w14:paraId="33333DEF">
      <w:pPr>
        <w:wordWrap w:val="0"/>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2.符合性审查不通过而导致投标无效的情形</w:t>
      </w:r>
    </w:p>
    <w:p w14:paraId="5E041BC6">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投标人的投标文件中存在对招标文件的任何实质性要求和条件的负偏离，将被视为投标无效。</w:t>
      </w:r>
    </w:p>
    <w:p w14:paraId="33EBC6F4">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2.1在报价评审时，如发现下列情形之一的，将被视为投标无效：</w:t>
      </w:r>
    </w:p>
    <w:p w14:paraId="303885AF">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（1）投标文件未提供“投标人须知前附表”第13.1条规定中“必须提供”的文件资料的;</w:t>
      </w:r>
    </w:p>
    <w:p w14:paraId="3931D71B">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（2）未采用人民币报价或者未按照招标文件标明的币种报价的；</w:t>
      </w:r>
    </w:p>
    <w:p w14:paraId="480A6AD6">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（3）报价超出招标文件规定最高限价，或者超出采购预算金额（包括分项预算）的；</w:t>
      </w:r>
    </w:p>
    <w:p w14:paraId="4E90A611">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投标人未就所投分标进行报价或者存在漏项报价；投标人未就所投分标的单项内容作唯一报价；投标人未就所投分标的全部内容作唯一总价报价；存在有选择、有条件报价的（招标文件允许有备选方案或者其他约定的除外）；</w:t>
      </w:r>
    </w:p>
    <w:p w14:paraId="168C5507">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（5）修正后的报价，投标人不确认的；</w:t>
      </w:r>
    </w:p>
    <w:p w14:paraId="6281DAC3">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（6）投标人属于本章第5条第（2）项情形的。</w:t>
      </w:r>
    </w:p>
    <w:p w14:paraId="5869596F">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2.2在商务评审时，如发现下列情形之一的，将被视为投标无效：</w:t>
      </w:r>
    </w:p>
    <w:p w14:paraId="29AE72B7">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（1）投标文件未按招标文件要求签署、盖章的；</w:t>
      </w:r>
    </w:p>
    <w:p w14:paraId="77FEB930">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（2）委托代理人未能出具有效身份证明或者出具的身份证明与授权委托书中的信息不符的； </w:t>
      </w:r>
    </w:p>
    <w:p w14:paraId="310C56B6">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（3）投标文件未提供“投标人须知前附表”第13.1条规定中“必须提供”或者“委托时必须提供”的文件资料的;</w:t>
      </w:r>
    </w:p>
    <w:p w14:paraId="70102B99">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（4）投标有效期、项目完成时间（交货时间、服务完成时间或者服务期等）、质保期、售后服务等招标文件中标“▲”的商务条款发生负偏离的；</w:t>
      </w:r>
    </w:p>
    <w:p w14:paraId="7BA14895">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（5）商务条款评审允许负偏离的条款数超过“投标人须知前附表”规定项数的。</w:t>
      </w:r>
    </w:p>
    <w:p w14:paraId="44B27275">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（6）投标文件的实质性内容未使用中文表述、使用计量单位不符合招标文件要求的；</w:t>
      </w:r>
    </w:p>
    <w:p w14:paraId="59C15899">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（7）投标文件中的文件资料因填写不齐全或者内容虚假或者出现其他情形而导致被评标委员会认定无效的；</w:t>
      </w:r>
    </w:p>
    <w:p w14:paraId="72481F8B">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（8）投标文件含有采购人不能接受的附加条件的；</w:t>
      </w:r>
    </w:p>
    <w:p w14:paraId="4D757D5F">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（9）未响应招标文件实质性要求的；</w:t>
      </w:r>
    </w:p>
    <w:p w14:paraId="7A3A0B23">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（10）属于投标人须知正文第9.2条情形的；</w:t>
      </w:r>
    </w:p>
    <w:p w14:paraId="0F33CECB">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（11）法律、法规和招标文件规定的其他无效情形。</w:t>
      </w:r>
    </w:p>
    <w:p w14:paraId="13686E13">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2.3在技术评审时，如发现下列情形之一的，将被视为投标无效：</w:t>
      </w:r>
    </w:p>
    <w:p w14:paraId="1ABA403D">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（1）不满足招标文件要求的服务内容、技术要求、安全、质量标准，或者与招标文件中标“▲”的技术需求发生负偏离的；</w:t>
      </w:r>
    </w:p>
    <w:p w14:paraId="4A203D51">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（2）技术需求评审允许负偏离的条款数超过“投标人须知前附表”规定项数的；</w:t>
      </w:r>
    </w:p>
    <w:p w14:paraId="01F58B58">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（3）投标文件未提供“投标人须知前附表”第13.1条规定中“必须提供”的文件资料的;</w:t>
      </w:r>
    </w:p>
    <w:p w14:paraId="301EC72E">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（4）虚假投标，或者出现其他情形而导致被评标委员会认定无效的；</w:t>
      </w:r>
    </w:p>
    <w:p w14:paraId="2B5D96B1">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（5）如招标文件需要提供技术方案的，投标技术方案不明确，招标文件未允许但存在一个或者一个以上备选（替代）投标方案的。</w:t>
      </w:r>
    </w:p>
    <w:p w14:paraId="0964F9AD">
      <w:pPr>
        <w:wordWrap w:val="0"/>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3.澄清补正、说明或者补正</w:t>
      </w:r>
    </w:p>
    <w:p w14:paraId="3E68787B">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对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单位公章后在线上传至评标委员会。投标人的澄清、说明或者补正不得超出投标文件的范围或者改变投标文件的实质性内容。投标人未在规定时间内进行澄清、说明或者补正的，按无效投标处理。</w:t>
      </w:r>
    </w:p>
    <w:p w14:paraId="549A1EE8">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025F5A74">
      <w:pPr>
        <w:wordWrap w:val="0"/>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4.投标文件修正</w:t>
      </w:r>
    </w:p>
    <w:p w14:paraId="637657D5">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4.1投标文件报价出现前后不一致的，按照下列规定修正： </w:t>
      </w:r>
    </w:p>
    <w:p w14:paraId="1F0D369F">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（1）报价文件中“开标一览表”内容与投标文件中相应内容不一致的，以“开标一览表”为准；</w:t>
      </w:r>
    </w:p>
    <w:p w14:paraId="30B17806">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（2）大写金额和小写金额不一致的，以大写金额为准；</w:t>
      </w:r>
    </w:p>
    <w:p w14:paraId="6DEAC02A">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（3）单价金额小数点或者百分比有明显错位的，以开标一览表的总价为准，并修改单价；</w:t>
      </w:r>
    </w:p>
    <w:p w14:paraId="627D7816">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（4）总价金额与按单价汇总金额不一致的，以单价金额计算结果为准。</w:t>
      </w:r>
    </w:p>
    <w:p w14:paraId="5B0D1C06">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同时出现两种以上不一致的，按照以上（1）-（4）规定的顺序修正。修正后的报价经投标人确认后产生约束力，投标人不确认的，其投标无效。</w:t>
      </w:r>
    </w:p>
    <w:p w14:paraId="380A64A5">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4.2经投标人确认修正后的报价若超过采购预算金额或者最高限价，投标人的投标文件作无效投标处理。</w:t>
      </w:r>
    </w:p>
    <w:p w14:paraId="080A8E2C">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4.3经投标人确认修正后的报价作为签订合同的依据，并以此报价计算价格分。</w:t>
      </w:r>
    </w:p>
    <w:p w14:paraId="5E5B18AA">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5.比较与评价</w:t>
      </w:r>
    </w:p>
    <w:p w14:paraId="333502CF">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5.1评标委员会按照招标文件中规定的评标方法和评标标准，对符合性审查合格的投标文件进行商务和技术评估，综合比较与评价。</w:t>
      </w:r>
    </w:p>
    <w:p w14:paraId="707D1680">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5.2评标委员会独立对每个投标人的投标文件进行评价，并汇总每个投标人的得分。</w:t>
      </w:r>
    </w:p>
    <w:p w14:paraId="1D7B7521">
      <w:pPr>
        <w:widowControl/>
        <w:wordWrap w:val="0"/>
        <w:spacing w:line="360" w:lineRule="auto"/>
        <w:ind w:firstLine="480" w:firstLineChars="200"/>
        <w:jc w:val="left"/>
        <w:rPr>
          <w:rFonts w:hint="eastAsia" w:ascii="宋体" w:hAnsi="宋体" w:cs="宋体"/>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rPr>
        <w:t>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14:paraId="34ED9170">
      <w:pPr>
        <w:widowControl/>
        <w:wordWrap w:val="0"/>
        <w:spacing w:line="360" w:lineRule="auto"/>
        <w:ind w:firstLine="480" w:firstLineChars="200"/>
        <w:jc w:val="left"/>
        <w:rPr>
          <w:rFonts w:hint="eastAsia" w:ascii="宋体" w:hAnsi="宋体" w:cs="宋体"/>
          <w:color w:val="auto"/>
          <w:sz w:val="24"/>
          <w:szCs w:val="24"/>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将其作为无效投标处理。</w:t>
      </w:r>
    </w:p>
    <w:p w14:paraId="54F5CC28">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5.3评标委员会按照招标文件中规定的评标方法和标准计算各投标人的报价得分。在计算过程中，不得去掉最高报价或者最低报价。</w:t>
      </w:r>
    </w:p>
    <w:p w14:paraId="6053703E">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5.4各投标人的得分为所有评委的有效评分的算术平均数。</w:t>
      </w:r>
    </w:p>
    <w:p w14:paraId="2B25D47D">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5.5评标委员会按照招标文件中的规定推荐中标候选人。</w:t>
      </w:r>
    </w:p>
    <w:p w14:paraId="17C82786">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应当在评标报告上签署不同意见及理由，否则视为同意评标报告。</w:t>
      </w:r>
    </w:p>
    <w:p w14:paraId="21B41C86">
      <w:pPr>
        <w:wordWrap w:val="0"/>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6.评审复核</w:t>
      </w:r>
    </w:p>
    <w:p w14:paraId="708DA735">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6.1评标报告签署前，评标委员会要对评审结果进行复核，复核意见要体现在评标报告中。</w:t>
      </w:r>
    </w:p>
    <w:p w14:paraId="27BE1B6E">
      <w:pPr>
        <w:widowControl/>
        <w:wordWrap w:val="0"/>
        <w:spacing w:line="360" w:lineRule="auto"/>
        <w:ind w:firstLine="480" w:firstLineChars="200"/>
        <w:jc w:val="left"/>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6.2评标结果汇总完成后，除下列情形外，任何人不得修改评标结果：</w:t>
      </w:r>
    </w:p>
    <w:p w14:paraId="62827F60">
      <w:pPr>
        <w:widowControl/>
        <w:wordWrap w:val="0"/>
        <w:spacing w:line="360" w:lineRule="auto"/>
        <w:jc w:val="left"/>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　　（一）分值汇总计算错误的；</w:t>
      </w:r>
    </w:p>
    <w:p w14:paraId="1A86505D">
      <w:pPr>
        <w:widowControl/>
        <w:wordWrap w:val="0"/>
        <w:spacing w:line="360" w:lineRule="auto"/>
        <w:jc w:val="left"/>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　　（二）分项评分超出评分标准范围的；</w:t>
      </w:r>
    </w:p>
    <w:p w14:paraId="0750B74A">
      <w:pPr>
        <w:widowControl/>
        <w:wordWrap w:val="0"/>
        <w:spacing w:line="360" w:lineRule="auto"/>
        <w:jc w:val="left"/>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　　（三）评标委员会成员对客观评审因素评分不一致的；</w:t>
      </w:r>
    </w:p>
    <w:p w14:paraId="5ED2F16D">
      <w:pPr>
        <w:widowControl/>
        <w:wordWrap w:val="0"/>
        <w:spacing w:line="360" w:lineRule="auto"/>
        <w:jc w:val="left"/>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　　（四）经评标委员会认定评分畸高、畸低的。</w:t>
      </w:r>
    </w:p>
    <w:p w14:paraId="578DC83F">
      <w:pPr>
        <w:wordWrap w:val="0"/>
        <w:spacing w:line="360" w:lineRule="auto"/>
        <w:ind w:firstLine="480" w:firstLineChars="200"/>
        <w:rPr>
          <w:rFonts w:hint="eastAsia" w:ascii="宋体" w:hAnsi="宋体" w:cs="宋体"/>
          <w:color w:val="auto"/>
          <w:highlight w:val="none"/>
        </w:rPr>
      </w:pPr>
      <w:r>
        <w:rPr>
          <w:rFonts w:hint="eastAsia" w:ascii="宋体" w:hAnsi="宋体" w:cs="宋体"/>
          <w:color w:val="auto"/>
          <w:sz w:val="24"/>
          <w:szCs w:val="24"/>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1B880BE5">
      <w:pPr>
        <w:pStyle w:val="3"/>
        <w:wordWrap w:val="0"/>
        <w:spacing w:before="0" w:after="0" w:line="360" w:lineRule="auto"/>
        <w:ind w:firstLine="600"/>
        <w:jc w:val="center"/>
        <w:rPr>
          <w:rFonts w:hint="eastAsia" w:ascii="宋体" w:hAnsi="宋体" w:eastAsia="宋体" w:cs="宋体"/>
          <w:b w:val="0"/>
          <w:color w:val="auto"/>
          <w:sz w:val="30"/>
          <w:szCs w:val="30"/>
          <w:highlight w:val="none"/>
        </w:rPr>
      </w:pPr>
      <w:bookmarkStart w:id="108" w:name="_Toc32456"/>
    </w:p>
    <w:p w14:paraId="28A34D4E">
      <w:pPr>
        <w:rPr>
          <w:rFonts w:hint="eastAsia" w:ascii="宋体" w:hAnsi="宋体" w:eastAsia="宋体" w:cs="宋体"/>
          <w:b w:val="0"/>
          <w:color w:val="auto"/>
          <w:sz w:val="30"/>
          <w:szCs w:val="30"/>
          <w:highlight w:val="none"/>
        </w:rPr>
      </w:pPr>
    </w:p>
    <w:p w14:paraId="7F8DA1B5">
      <w:pPr>
        <w:rPr>
          <w:rFonts w:hint="eastAsia" w:ascii="宋体" w:hAnsi="宋体" w:eastAsia="宋体" w:cs="宋体"/>
          <w:b w:val="0"/>
          <w:color w:val="auto"/>
          <w:sz w:val="30"/>
          <w:szCs w:val="30"/>
          <w:highlight w:val="none"/>
        </w:rPr>
      </w:pPr>
    </w:p>
    <w:p w14:paraId="562EB720">
      <w:pPr>
        <w:pStyle w:val="3"/>
        <w:wordWrap w:val="0"/>
        <w:spacing w:before="0" w:after="0" w:line="360" w:lineRule="auto"/>
        <w:jc w:val="center"/>
        <w:rPr>
          <w:rFonts w:hint="eastAsia" w:ascii="宋体" w:hAnsi="宋体" w:eastAsia="宋体" w:cs="宋体"/>
          <w:b w:val="0"/>
          <w:color w:val="auto"/>
          <w:sz w:val="30"/>
          <w:szCs w:val="30"/>
          <w:highlight w:val="none"/>
        </w:rPr>
        <w:sectPr>
          <w:pgSz w:w="11906" w:h="16838"/>
          <w:pgMar w:top="1440" w:right="1080" w:bottom="1440" w:left="1080" w:header="720" w:footer="720" w:gutter="0"/>
          <w:cols w:space="720" w:num="1"/>
          <w:docGrid w:type="lines" w:linePitch="331" w:charSpace="0"/>
        </w:sectPr>
      </w:pPr>
    </w:p>
    <w:p w14:paraId="429E1B34">
      <w:pPr>
        <w:pStyle w:val="3"/>
        <w:wordWrap w:val="0"/>
        <w:spacing w:before="0" w:after="0" w:line="360" w:lineRule="auto"/>
        <w:jc w:val="center"/>
        <w:rPr>
          <w:rFonts w:hint="eastAsia" w:ascii="宋体" w:hAnsi="宋体" w:eastAsia="宋体" w:cs="宋体"/>
          <w:b w:val="0"/>
          <w:color w:val="auto"/>
          <w:sz w:val="30"/>
          <w:szCs w:val="30"/>
          <w:highlight w:val="none"/>
        </w:rPr>
      </w:pPr>
      <w:r>
        <w:rPr>
          <w:rFonts w:hint="eastAsia" w:ascii="宋体" w:hAnsi="宋体" w:eastAsia="宋体" w:cs="宋体"/>
          <w:b w:val="0"/>
          <w:color w:val="auto"/>
          <w:sz w:val="30"/>
          <w:szCs w:val="30"/>
          <w:highlight w:val="none"/>
        </w:rPr>
        <w:t>第三节 评分标准</w:t>
      </w:r>
      <w:bookmarkEnd w:id="108"/>
    </w:p>
    <w:p w14:paraId="7484F9F5">
      <w:pPr>
        <w:pStyle w:val="14"/>
        <w:widowControl/>
        <w:wordWrap w:val="0"/>
        <w:spacing w:line="360" w:lineRule="auto"/>
        <w:ind w:firstLine="602" w:firstLineChars="200"/>
        <w:jc w:val="center"/>
        <w:rPr>
          <w:rFonts w:hint="eastAsia" w:hAnsi="宋体" w:cs="宋体"/>
          <w:b/>
          <w:color w:val="auto"/>
          <w:sz w:val="30"/>
          <w:szCs w:val="30"/>
          <w:highlight w:val="none"/>
        </w:rPr>
      </w:pPr>
      <w:r>
        <w:rPr>
          <w:rFonts w:hint="eastAsia" w:hAnsi="宋体" w:cs="宋体"/>
          <w:b/>
          <w:color w:val="auto"/>
          <w:sz w:val="30"/>
          <w:szCs w:val="30"/>
          <w:highlight w:val="none"/>
          <w:lang w:val="en-US" w:eastAsia="zh-CN"/>
        </w:rPr>
        <w:t>一</w:t>
      </w:r>
      <w:r>
        <w:rPr>
          <w:rFonts w:hint="eastAsia" w:hAnsi="宋体" w:cs="宋体"/>
          <w:b/>
          <w:color w:val="auto"/>
          <w:sz w:val="30"/>
          <w:szCs w:val="30"/>
          <w:highlight w:val="none"/>
        </w:rPr>
        <w:t>、综合评分法</w:t>
      </w:r>
    </w:p>
    <w:p w14:paraId="4E19067E">
      <w:pPr>
        <w:wordWrap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注：1.计分方法按四舍五入取至百分位。</w:t>
      </w:r>
    </w:p>
    <w:p w14:paraId="1B03CDEF">
      <w:pPr>
        <w:wordWrap w:val="0"/>
        <w:spacing w:line="360" w:lineRule="auto"/>
        <w:ind w:firstLine="960" w:firstLineChars="400"/>
        <w:rPr>
          <w:rFonts w:hint="eastAsia" w:ascii="宋体" w:hAnsi="宋体" w:cs="宋体"/>
          <w:color w:val="auto"/>
          <w:sz w:val="24"/>
          <w:szCs w:val="24"/>
          <w:highlight w:val="none"/>
        </w:rPr>
      </w:pPr>
      <w:r>
        <w:rPr>
          <w:rFonts w:hint="eastAsia" w:ascii="宋体" w:hAnsi="宋体" w:cs="宋体"/>
          <w:color w:val="auto"/>
          <w:sz w:val="24"/>
          <w:szCs w:val="24"/>
          <w:highlight w:val="none"/>
        </w:rPr>
        <w:t>总得分=报价分+技术分+商务分</w:t>
      </w:r>
    </w:p>
    <w:p w14:paraId="47488D28">
      <w:pPr>
        <w:keepNext w:val="0"/>
        <w:keepLines w:val="0"/>
        <w:pageBreakBefore w:val="0"/>
        <w:kinsoku/>
        <w:wordWrap w:val="0"/>
        <w:overflowPunct/>
        <w:topLinePunct w:val="0"/>
        <w:autoSpaceDE/>
        <w:autoSpaceDN/>
        <w:bidi w:val="0"/>
        <w:spacing w:line="500" w:lineRule="exact"/>
        <w:ind w:firstLine="960" w:firstLineChars="400"/>
        <w:rPr>
          <w:rFonts w:hint="eastAsia" w:asciiTheme="minorEastAsia" w:hAnsiTheme="minorEastAsia" w:eastAsiaTheme="minorEastAsia" w:cstheme="minorEastAsia"/>
          <w:bCs/>
          <w:color w:val="auto"/>
          <w:sz w:val="24"/>
          <w:szCs w:val="24"/>
          <w:highlight w:val="none"/>
        </w:rPr>
      </w:pPr>
      <w:r>
        <w:rPr>
          <w:rFonts w:hint="eastAsia" w:ascii="宋体" w:hAnsi="宋体" w:cs="宋体"/>
          <w:color w:val="auto"/>
          <w:sz w:val="24"/>
          <w:szCs w:val="24"/>
          <w:highlight w:val="none"/>
        </w:rPr>
        <w:t>2.</w:t>
      </w:r>
      <w:r>
        <w:rPr>
          <w:rFonts w:hint="eastAsia" w:asciiTheme="minorEastAsia" w:hAnsiTheme="minorEastAsia" w:eastAsiaTheme="minorEastAsia" w:cstheme="minorEastAsia"/>
          <w:color w:val="auto"/>
          <w:sz w:val="24"/>
          <w:szCs w:val="24"/>
          <w:highlight w:val="none"/>
        </w:rPr>
        <w:t>商务技术评审因素为客观评分项的，应在评分项目或评分标准中予以标注为‘客观分’。对投标人的客观评分项目，各评标专家评分应当一致。</w:t>
      </w:r>
      <w:bookmarkStart w:id="109" w:name="PO_TDCUS_ITEM_SM_TITLE_1"/>
    </w:p>
    <w:bookmarkEnd w:id="109"/>
    <w:tbl>
      <w:tblPr>
        <w:tblStyle w:val="25"/>
        <w:tblpPr w:leftFromText="180" w:rightFromText="180" w:vertAnchor="text" w:horzAnchor="page" w:tblpX="1139" w:tblpY="945"/>
        <w:tblOverlap w:val="never"/>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
        <w:gridCol w:w="1481"/>
        <w:gridCol w:w="6554"/>
        <w:gridCol w:w="1410"/>
      </w:tblGrid>
      <w:tr w14:paraId="30079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tcBorders>
              <w:top w:val="single" w:color="auto" w:sz="4" w:space="0"/>
              <w:left w:val="single" w:color="auto" w:sz="4" w:space="0"/>
              <w:bottom w:val="single" w:color="auto" w:sz="4" w:space="0"/>
              <w:right w:val="single" w:color="auto" w:sz="4" w:space="0"/>
            </w:tcBorders>
          </w:tcPr>
          <w:p w14:paraId="7A92E80A">
            <w:pPr>
              <w:pStyle w:val="14"/>
              <w:keepNext w:val="0"/>
              <w:keepLines w:val="0"/>
              <w:pageBreakBefore w:val="0"/>
              <w:widowControl/>
              <w:kinsoku/>
              <w:wordWrap w:val="0"/>
              <w:overflowPunct/>
              <w:topLinePunct w:val="0"/>
              <w:autoSpaceDE/>
              <w:autoSpaceDN/>
              <w:bidi w:val="0"/>
              <w:spacing w:line="500" w:lineRule="exact"/>
              <w:rPr>
                <w:rFonts w:hint="eastAsia" w:asciiTheme="minorEastAsia" w:hAnsiTheme="minorEastAsia" w:eastAsiaTheme="minorEastAsia" w:cstheme="minorEastAsia"/>
                <w:bCs/>
                <w:color w:val="auto"/>
                <w:sz w:val="24"/>
                <w:szCs w:val="24"/>
                <w:highlight w:val="none"/>
              </w:rPr>
            </w:pPr>
            <w:bookmarkStart w:id="110" w:name="PO_TDCUS_ITEM_SM_TABLE_1"/>
            <w:r>
              <w:rPr>
                <w:rFonts w:hint="eastAsia" w:asciiTheme="minorEastAsia" w:hAnsiTheme="minorEastAsia" w:eastAsiaTheme="minorEastAsia" w:cstheme="minorEastAsia"/>
                <w:bCs/>
                <w:color w:val="auto"/>
                <w:sz w:val="24"/>
                <w:szCs w:val="24"/>
                <w:highlight w:val="none"/>
              </w:rPr>
              <w:t>序号</w:t>
            </w:r>
          </w:p>
        </w:tc>
        <w:tc>
          <w:tcPr>
            <w:tcW w:w="1481" w:type="dxa"/>
            <w:tcBorders>
              <w:top w:val="single" w:color="auto" w:sz="4" w:space="0"/>
              <w:left w:val="single" w:color="auto" w:sz="4" w:space="0"/>
              <w:bottom w:val="single" w:color="auto" w:sz="4" w:space="0"/>
              <w:right w:val="single" w:color="auto" w:sz="4" w:space="0"/>
            </w:tcBorders>
          </w:tcPr>
          <w:p w14:paraId="0CBA8923">
            <w:pPr>
              <w:pStyle w:val="14"/>
              <w:keepNext w:val="0"/>
              <w:keepLines w:val="0"/>
              <w:pageBreakBefore w:val="0"/>
              <w:widowControl/>
              <w:kinsoku/>
              <w:wordWrap w:val="0"/>
              <w:overflowPunct/>
              <w:topLinePunct w:val="0"/>
              <w:autoSpaceDE/>
              <w:autoSpaceDN/>
              <w:bidi w:val="0"/>
              <w:spacing w:line="500" w:lineRule="exact"/>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评分类型</w:t>
            </w:r>
          </w:p>
        </w:tc>
        <w:tc>
          <w:tcPr>
            <w:tcW w:w="6554" w:type="dxa"/>
            <w:tcBorders>
              <w:top w:val="single" w:color="auto" w:sz="4" w:space="0"/>
              <w:left w:val="single" w:color="auto" w:sz="4" w:space="0"/>
              <w:bottom w:val="single" w:color="auto" w:sz="4" w:space="0"/>
              <w:right w:val="single" w:color="auto" w:sz="4" w:space="0"/>
            </w:tcBorders>
          </w:tcPr>
          <w:p w14:paraId="1012107A">
            <w:pPr>
              <w:pStyle w:val="14"/>
              <w:keepNext w:val="0"/>
              <w:keepLines w:val="0"/>
              <w:pageBreakBefore w:val="0"/>
              <w:widowControl/>
              <w:kinsoku/>
              <w:wordWrap w:val="0"/>
              <w:overflowPunct/>
              <w:topLinePunct w:val="0"/>
              <w:autoSpaceDE/>
              <w:autoSpaceDN/>
              <w:bidi w:val="0"/>
              <w:spacing w:line="500" w:lineRule="exact"/>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评分标准</w:t>
            </w:r>
          </w:p>
        </w:tc>
        <w:tc>
          <w:tcPr>
            <w:tcW w:w="1410" w:type="dxa"/>
            <w:tcBorders>
              <w:top w:val="single" w:color="auto" w:sz="4" w:space="0"/>
              <w:left w:val="single" w:color="auto" w:sz="4" w:space="0"/>
              <w:bottom w:val="single" w:color="auto" w:sz="4" w:space="0"/>
              <w:right w:val="single" w:color="auto" w:sz="4" w:space="0"/>
            </w:tcBorders>
          </w:tcPr>
          <w:p w14:paraId="0F7C7981">
            <w:pPr>
              <w:pStyle w:val="14"/>
              <w:keepNext w:val="0"/>
              <w:keepLines w:val="0"/>
              <w:pageBreakBefore w:val="0"/>
              <w:widowControl/>
              <w:kinsoku/>
              <w:wordWrap w:val="0"/>
              <w:overflowPunct/>
              <w:topLinePunct w:val="0"/>
              <w:autoSpaceDE/>
              <w:autoSpaceDN/>
              <w:bidi w:val="0"/>
              <w:spacing w:line="500" w:lineRule="exact"/>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分值</w:t>
            </w:r>
          </w:p>
        </w:tc>
      </w:tr>
      <w:tr w14:paraId="4F56A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tcBorders>
              <w:top w:val="single" w:color="auto" w:sz="4" w:space="0"/>
              <w:left w:val="single" w:color="auto" w:sz="4" w:space="0"/>
              <w:bottom w:val="single" w:color="auto" w:sz="4" w:space="0"/>
              <w:right w:val="single" w:color="auto" w:sz="4" w:space="0"/>
            </w:tcBorders>
            <w:vAlign w:val="center"/>
          </w:tcPr>
          <w:p w14:paraId="4296D552">
            <w:pPr>
              <w:pStyle w:val="14"/>
              <w:keepNext w:val="0"/>
              <w:keepLines w:val="0"/>
              <w:pageBreakBefore w:val="0"/>
              <w:widowControl/>
              <w:kinsoku/>
              <w:wordWrap w:val="0"/>
              <w:overflowPunct/>
              <w:topLinePunct w:val="0"/>
              <w:autoSpaceDE/>
              <w:autoSpaceDN/>
              <w:bidi w:val="0"/>
              <w:spacing w:line="500" w:lineRule="exact"/>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w:t>
            </w:r>
          </w:p>
        </w:tc>
        <w:tc>
          <w:tcPr>
            <w:tcW w:w="1481" w:type="dxa"/>
            <w:tcBorders>
              <w:top w:val="single" w:color="auto" w:sz="4" w:space="0"/>
              <w:left w:val="single" w:color="auto" w:sz="4" w:space="0"/>
              <w:bottom w:val="single" w:color="auto" w:sz="4" w:space="0"/>
              <w:right w:val="single" w:color="auto" w:sz="4" w:space="0"/>
            </w:tcBorders>
            <w:vAlign w:val="center"/>
          </w:tcPr>
          <w:p w14:paraId="79006AC8">
            <w:pPr>
              <w:pStyle w:val="14"/>
              <w:keepNext w:val="0"/>
              <w:keepLines w:val="0"/>
              <w:pageBreakBefore w:val="0"/>
              <w:widowControl/>
              <w:kinsoku/>
              <w:wordWrap w:val="0"/>
              <w:overflowPunct/>
              <w:topLinePunct w:val="0"/>
              <w:autoSpaceDE/>
              <w:autoSpaceDN/>
              <w:bidi w:val="0"/>
              <w:spacing w:line="500" w:lineRule="exact"/>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报价分</w:t>
            </w:r>
          </w:p>
        </w:tc>
        <w:tc>
          <w:tcPr>
            <w:tcW w:w="6554" w:type="dxa"/>
            <w:tcBorders>
              <w:top w:val="single" w:color="auto" w:sz="4" w:space="0"/>
              <w:left w:val="single" w:color="auto" w:sz="4" w:space="0"/>
              <w:bottom w:val="single" w:color="auto" w:sz="4" w:space="0"/>
              <w:right w:val="single" w:color="auto" w:sz="4" w:space="0"/>
            </w:tcBorders>
          </w:tcPr>
          <w:p w14:paraId="52D02F28">
            <w:pPr>
              <w:keepNext w:val="0"/>
              <w:keepLines w:val="0"/>
              <w:pageBreakBefore w:val="0"/>
              <w:kinsoku/>
              <w:overflowPunct/>
              <w:topLinePunct w:val="0"/>
              <w:autoSpaceDE/>
              <w:autoSpaceDN/>
              <w:bidi w:val="0"/>
              <w:snapToGrid w:val="0"/>
              <w:spacing w:line="500" w:lineRule="exac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1.☑ 专门面向中小企业采购项目</w:t>
            </w:r>
          </w:p>
          <w:p w14:paraId="5B4E74A5">
            <w:pPr>
              <w:keepNext w:val="0"/>
              <w:keepLines w:val="0"/>
              <w:pageBreakBefore w:val="0"/>
              <w:kinsoku/>
              <w:overflowPunct/>
              <w:topLinePunct w:val="0"/>
              <w:autoSpaceDE/>
              <w:autoSpaceDN/>
              <w:bidi w:val="0"/>
              <w:snapToGrid w:val="0"/>
              <w:spacing w:line="500" w:lineRule="exac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本项目为专门面对中小企业采购项目，小型企业、微型企业、监狱企业、残疾人福利性单位均不再执行价格评审优惠的扶持政策。</w:t>
            </w:r>
          </w:p>
          <w:p w14:paraId="33FD4E66">
            <w:pPr>
              <w:keepNext w:val="0"/>
              <w:keepLines w:val="0"/>
              <w:pageBreakBefore w:val="0"/>
              <w:kinsoku/>
              <w:overflowPunct/>
              <w:topLinePunct w:val="0"/>
              <w:autoSpaceDE/>
              <w:autoSpaceDN/>
              <w:bidi w:val="0"/>
              <w:snapToGrid w:val="0"/>
              <w:spacing w:line="500" w:lineRule="exac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2.□ 本项目为非专门面向中小企业采购项目（政府采购政策性扣除计算方法）：</w:t>
            </w:r>
          </w:p>
          <w:p w14:paraId="6F1476B6">
            <w:pPr>
              <w:pStyle w:val="14"/>
              <w:keepNext w:val="0"/>
              <w:keepLines w:val="0"/>
              <w:pageBreakBefore w:val="0"/>
              <w:kinsoku/>
              <w:wordWrap w:val="0"/>
              <w:overflowPunct/>
              <w:topLinePunct w:val="0"/>
              <w:autoSpaceDE/>
              <w:autoSpaceDN/>
              <w:bidi w:val="0"/>
              <w:spacing w:line="500" w:lineRule="exact"/>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（1）评标报价为投标人的投标报价进行政策性扣除后的价格，评标报价只是作为评标时使用。最终中标供应商的中标金额等于投标报价。</w:t>
            </w:r>
          </w:p>
          <w:p w14:paraId="52B5FDF1">
            <w:pPr>
              <w:pStyle w:val="14"/>
              <w:keepNext w:val="0"/>
              <w:keepLines w:val="0"/>
              <w:pageBreakBefore w:val="0"/>
              <w:kinsoku/>
              <w:wordWrap w:val="0"/>
              <w:overflowPunct/>
              <w:topLinePunct w:val="0"/>
              <w:autoSpaceDE/>
              <w:autoSpaceDN/>
              <w:bidi w:val="0"/>
              <w:spacing w:line="500" w:lineRule="exact"/>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（2）按照《政府采购促进中小企业发展管理办法》（财库〔2020〕46号）的规定，投标人在其投标文件中提供《中小企业声明函》，且其服务为小型和微型企业承接的，对其最后报价给予10%的扣除。</w:t>
            </w:r>
          </w:p>
          <w:p w14:paraId="6FBC89E3">
            <w:pPr>
              <w:pStyle w:val="14"/>
              <w:keepNext w:val="0"/>
              <w:keepLines w:val="0"/>
              <w:pageBreakBefore w:val="0"/>
              <w:kinsoku/>
              <w:wordWrap w:val="0"/>
              <w:overflowPunct/>
              <w:topLinePunct w:val="0"/>
              <w:autoSpaceDE/>
              <w:autoSpaceDN/>
              <w:bidi w:val="0"/>
              <w:spacing w:line="500" w:lineRule="exact"/>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39BE197F">
            <w:pPr>
              <w:pStyle w:val="14"/>
              <w:keepNext w:val="0"/>
              <w:keepLines w:val="0"/>
              <w:pageBreakBefore w:val="0"/>
              <w:kinsoku/>
              <w:wordWrap w:val="0"/>
              <w:overflowPunct/>
              <w:topLinePunct w:val="0"/>
              <w:autoSpaceDE/>
              <w:autoSpaceDN/>
              <w:bidi w:val="0"/>
              <w:spacing w:line="500" w:lineRule="exact"/>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0E7EC3B6">
            <w:pPr>
              <w:pStyle w:val="14"/>
              <w:keepNext w:val="0"/>
              <w:keepLines w:val="0"/>
              <w:pageBreakBefore w:val="0"/>
              <w:kinsoku/>
              <w:wordWrap w:val="0"/>
              <w:overflowPunct/>
              <w:topLinePunct w:val="0"/>
              <w:autoSpaceDE/>
              <w:autoSpaceDN/>
              <w:bidi w:val="0"/>
              <w:spacing w:line="500" w:lineRule="exact"/>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（5）政策性扣除计算方法。</w:t>
            </w:r>
          </w:p>
          <w:p w14:paraId="5036627F">
            <w:pPr>
              <w:pStyle w:val="14"/>
              <w:keepNext w:val="0"/>
              <w:keepLines w:val="0"/>
              <w:pageBreakBefore w:val="0"/>
              <w:kinsoku/>
              <w:wordWrap w:val="0"/>
              <w:overflowPunct/>
              <w:topLinePunct w:val="0"/>
              <w:autoSpaceDE/>
              <w:autoSpaceDN/>
              <w:bidi w:val="0"/>
              <w:spacing w:line="500" w:lineRule="exact"/>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在服务采购项目中，服务由小微企业承接；对符合上述要求的投标人的投标报价给予10%的扣除，扣除后的价格为评标报价，即评标报价=投标报价×（1-10%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3%的扣除，用扣除后的价格参加评审，扣除后的价格为评标报价，即评标报价=投标报价×（1-3%）。除上述情况外，评标报价=投标报价。</w:t>
            </w:r>
          </w:p>
          <w:p w14:paraId="324A0EE8">
            <w:pPr>
              <w:pStyle w:val="14"/>
              <w:keepNext w:val="0"/>
              <w:keepLines w:val="0"/>
              <w:pageBreakBefore w:val="0"/>
              <w:kinsoku/>
              <w:wordWrap w:val="0"/>
              <w:overflowPunct/>
              <w:topLinePunct w:val="0"/>
              <w:autoSpaceDE/>
              <w:autoSpaceDN/>
              <w:bidi w:val="0"/>
              <w:spacing w:line="500" w:lineRule="exact"/>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（6）满足招标文件要求且评标报价最低的评标报价为评标基准价，其价格分为满分。</w:t>
            </w:r>
          </w:p>
          <w:p w14:paraId="2332BA00">
            <w:pPr>
              <w:pStyle w:val="14"/>
              <w:keepNext w:val="0"/>
              <w:keepLines w:val="0"/>
              <w:pageBreakBefore w:val="0"/>
              <w:kinsoku/>
              <w:wordWrap w:val="0"/>
              <w:overflowPunct/>
              <w:topLinePunct w:val="0"/>
              <w:autoSpaceDE/>
              <w:autoSpaceDN/>
              <w:bidi w:val="0"/>
              <w:spacing w:line="500" w:lineRule="exact"/>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 xml:space="preserve">（7）价格分计算公式：        </w:t>
            </w:r>
          </w:p>
          <w:p w14:paraId="45DA0D59">
            <w:pPr>
              <w:pStyle w:val="14"/>
              <w:keepNext w:val="0"/>
              <w:keepLines w:val="0"/>
              <w:pageBreakBefore w:val="0"/>
              <w:widowControl/>
              <w:kinsoku/>
              <w:wordWrap w:val="0"/>
              <w:overflowPunct/>
              <w:topLinePunct w:val="0"/>
              <w:autoSpaceDE/>
              <w:autoSpaceDN/>
              <w:bidi w:val="0"/>
              <w:spacing w:line="500" w:lineRule="exact"/>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价格分=(评标基准价／评标报价)×</w:t>
            </w:r>
            <w:r>
              <w:rPr>
                <w:rFonts w:hint="eastAsia" w:asciiTheme="minorEastAsia" w:hAnsiTheme="minorEastAsia" w:eastAsiaTheme="minorEastAsia" w:cstheme="minorEastAsia"/>
                <w:bCs/>
                <w:color w:val="auto"/>
                <w:sz w:val="24"/>
                <w:szCs w:val="24"/>
                <w:highlight w:val="none"/>
                <w:u w:val="single"/>
              </w:rPr>
              <w:t xml:space="preserve"> 10 </w:t>
            </w:r>
            <w:r>
              <w:rPr>
                <w:rFonts w:hint="eastAsia" w:asciiTheme="minorEastAsia" w:hAnsiTheme="minorEastAsia" w:eastAsiaTheme="minorEastAsia" w:cstheme="minorEastAsia"/>
                <w:bCs/>
                <w:color w:val="auto"/>
                <w:sz w:val="24"/>
                <w:szCs w:val="24"/>
                <w:highlight w:val="none"/>
              </w:rPr>
              <w:t>分</w:t>
            </w:r>
          </w:p>
        </w:tc>
        <w:tc>
          <w:tcPr>
            <w:tcW w:w="1410" w:type="dxa"/>
            <w:tcBorders>
              <w:top w:val="single" w:color="auto" w:sz="4" w:space="0"/>
              <w:left w:val="single" w:color="auto" w:sz="4" w:space="0"/>
              <w:bottom w:val="single" w:color="auto" w:sz="4" w:space="0"/>
              <w:right w:val="single" w:color="auto" w:sz="4" w:space="0"/>
            </w:tcBorders>
            <w:vAlign w:val="center"/>
          </w:tcPr>
          <w:p w14:paraId="170E5916">
            <w:pPr>
              <w:pStyle w:val="14"/>
              <w:keepNext w:val="0"/>
              <w:keepLines w:val="0"/>
              <w:pageBreakBefore w:val="0"/>
              <w:widowControl/>
              <w:kinsoku/>
              <w:wordWrap w:val="0"/>
              <w:overflowPunct/>
              <w:topLinePunct w:val="0"/>
              <w:autoSpaceDE/>
              <w:autoSpaceDN/>
              <w:bidi w:val="0"/>
              <w:spacing w:line="500" w:lineRule="exact"/>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0~10</w:t>
            </w:r>
          </w:p>
        </w:tc>
      </w:tr>
      <w:tr w14:paraId="1A8B7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4"/>
            <w:tcBorders>
              <w:top w:val="single" w:color="auto" w:sz="4" w:space="0"/>
              <w:left w:val="single" w:color="auto" w:sz="4" w:space="0"/>
              <w:right w:val="single" w:color="auto" w:sz="4" w:space="0"/>
            </w:tcBorders>
            <w:vAlign w:val="center"/>
          </w:tcPr>
          <w:p w14:paraId="0F4641EF">
            <w:pPr>
              <w:pStyle w:val="14"/>
              <w:keepNext w:val="0"/>
              <w:keepLines w:val="0"/>
              <w:pageBreakBefore w:val="0"/>
              <w:widowControl/>
              <w:kinsoku/>
              <w:wordWrap w:val="0"/>
              <w:overflowPunct/>
              <w:topLinePunct w:val="0"/>
              <w:autoSpaceDE/>
              <w:autoSpaceDN/>
              <w:bidi w:val="0"/>
              <w:spacing w:line="500" w:lineRule="exac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
                <w:color w:val="auto"/>
                <w:sz w:val="24"/>
                <w:szCs w:val="24"/>
                <w:highlight w:val="none"/>
              </w:rPr>
              <w:t>技术分（满分</w:t>
            </w:r>
            <w:r>
              <w:rPr>
                <w:rFonts w:hint="eastAsia" w:asciiTheme="minorEastAsia" w:hAnsiTheme="minorEastAsia" w:eastAsiaTheme="minorEastAsia" w:cstheme="minorEastAsia"/>
                <w:b/>
                <w:color w:val="auto"/>
                <w:sz w:val="24"/>
                <w:szCs w:val="24"/>
                <w:highlight w:val="none"/>
                <w:lang w:val="en-US" w:eastAsia="zh-CN"/>
              </w:rPr>
              <w:t>78</w:t>
            </w:r>
            <w:r>
              <w:rPr>
                <w:rFonts w:hint="eastAsia" w:asciiTheme="minorEastAsia" w:hAnsiTheme="minorEastAsia" w:eastAsiaTheme="minorEastAsia" w:cstheme="minorEastAsia"/>
                <w:b/>
                <w:color w:val="auto"/>
                <w:sz w:val="24"/>
                <w:szCs w:val="24"/>
                <w:highlight w:val="none"/>
              </w:rPr>
              <w:t>分）</w:t>
            </w:r>
          </w:p>
        </w:tc>
      </w:tr>
      <w:tr w14:paraId="60A63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restart"/>
            <w:tcBorders>
              <w:top w:val="single" w:color="auto" w:sz="4" w:space="0"/>
              <w:left w:val="single" w:color="auto" w:sz="4" w:space="0"/>
              <w:right w:val="single" w:color="auto" w:sz="4" w:space="0"/>
            </w:tcBorders>
            <w:vAlign w:val="center"/>
          </w:tcPr>
          <w:p w14:paraId="19439FCD">
            <w:pPr>
              <w:pStyle w:val="14"/>
              <w:keepNext w:val="0"/>
              <w:keepLines w:val="0"/>
              <w:pageBreakBefore w:val="0"/>
              <w:widowControl/>
              <w:kinsoku/>
              <w:wordWrap w:val="0"/>
              <w:overflowPunct/>
              <w:topLinePunct w:val="0"/>
              <w:autoSpaceDE/>
              <w:autoSpaceDN/>
              <w:bidi w:val="0"/>
              <w:spacing w:line="500" w:lineRule="exact"/>
              <w:jc w:val="center"/>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lang w:val="en-US" w:eastAsia="zh-CN"/>
              </w:rPr>
              <w:t>2</w:t>
            </w:r>
          </w:p>
        </w:tc>
        <w:tc>
          <w:tcPr>
            <w:tcW w:w="8035" w:type="dxa"/>
            <w:gridSpan w:val="2"/>
            <w:tcBorders>
              <w:top w:val="single" w:color="auto" w:sz="4" w:space="0"/>
              <w:left w:val="single" w:color="auto" w:sz="4" w:space="0"/>
              <w:bottom w:val="single" w:color="auto" w:sz="4" w:space="0"/>
              <w:right w:val="single" w:color="auto" w:sz="4" w:space="0"/>
            </w:tcBorders>
          </w:tcPr>
          <w:p w14:paraId="66C3808B">
            <w:pPr>
              <w:pStyle w:val="14"/>
              <w:keepNext w:val="0"/>
              <w:keepLines w:val="0"/>
              <w:pageBreakBefore w:val="0"/>
              <w:widowControl/>
              <w:kinsoku/>
              <w:wordWrap w:val="0"/>
              <w:overflowPunct/>
              <w:topLinePunct w:val="0"/>
              <w:autoSpaceDE/>
              <w:autoSpaceDN/>
              <w:bidi w:val="0"/>
              <w:spacing w:line="500" w:lineRule="exact"/>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评审因素</w:t>
            </w:r>
          </w:p>
        </w:tc>
        <w:tc>
          <w:tcPr>
            <w:tcW w:w="1410" w:type="dxa"/>
            <w:tcBorders>
              <w:top w:val="single" w:color="auto" w:sz="4" w:space="0"/>
              <w:left w:val="single" w:color="auto" w:sz="4" w:space="0"/>
              <w:bottom w:val="single" w:color="auto" w:sz="4" w:space="0"/>
              <w:right w:val="single" w:color="auto" w:sz="4" w:space="0"/>
            </w:tcBorders>
          </w:tcPr>
          <w:p w14:paraId="610474A6">
            <w:pPr>
              <w:pStyle w:val="14"/>
              <w:keepNext w:val="0"/>
              <w:keepLines w:val="0"/>
              <w:pageBreakBefore w:val="0"/>
              <w:widowControl/>
              <w:kinsoku/>
              <w:wordWrap w:val="0"/>
              <w:overflowPunct/>
              <w:topLinePunct w:val="0"/>
              <w:autoSpaceDE/>
              <w:autoSpaceDN/>
              <w:bidi w:val="0"/>
              <w:spacing w:line="500" w:lineRule="exact"/>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分值</w:t>
            </w:r>
          </w:p>
        </w:tc>
      </w:tr>
      <w:tr w14:paraId="7F26E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8" w:hRule="atLeast"/>
        </w:trPr>
        <w:tc>
          <w:tcPr>
            <w:tcW w:w="517" w:type="dxa"/>
            <w:vMerge w:val="continue"/>
            <w:tcBorders>
              <w:left w:val="single" w:color="auto" w:sz="4" w:space="0"/>
              <w:right w:val="single" w:color="auto" w:sz="4" w:space="0"/>
            </w:tcBorders>
          </w:tcPr>
          <w:p w14:paraId="4540E03A">
            <w:pPr>
              <w:pStyle w:val="14"/>
              <w:keepNext w:val="0"/>
              <w:keepLines w:val="0"/>
              <w:pageBreakBefore w:val="0"/>
              <w:widowControl/>
              <w:kinsoku/>
              <w:wordWrap w:val="0"/>
              <w:overflowPunct/>
              <w:topLinePunct w:val="0"/>
              <w:autoSpaceDE/>
              <w:autoSpaceDN/>
              <w:bidi w:val="0"/>
              <w:spacing w:line="500" w:lineRule="exact"/>
              <w:rPr>
                <w:rFonts w:hint="eastAsia" w:asciiTheme="minorEastAsia" w:hAnsiTheme="minorEastAsia" w:eastAsiaTheme="minorEastAsia" w:cstheme="minorEastAsia"/>
                <w:bCs/>
                <w:color w:val="auto"/>
                <w:sz w:val="24"/>
                <w:szCs w:val="24"/>
                <w:highlight w:val="none"/>
              </w:rPr>
            </w:pPr>
          </w:p>
        </w:tc>
        <w:tc>
          <w:tcPr>
            <w:tcW w:w="1481" w:type="dxa"/>
            <w:tcBorders>
              <w:top w:val="single" w:color="auto" w:sz="4" w:space="0"/>
              <w:left w:val="single" w:color="auto" w:sz="4" w:space="0"/>
              <w:right w:val="single" w:color="auto" w:sz="4" w:space="0"/>
            </w:tcBorders>
            <w:vAlign w:val="center"/>
          </w:tcPr>
          <w:p w14:paraId="58764FCA">
            <w:pPr>
              <w:keepNext w:val="0"/>
              <w:keepLines w:val="0"/>
              <w:pageBreakBefore w:val="0"/>
              <w:tabs>
                <w:tab w:val="left" w:pos="2472"/>
              </w:tabs>
              <w:kinsoku/>
              <w:overflowPunct/>
              <w:topLinePunct w:val="0"/>
              <w:autoSpaceDE/>
              <w:autoSpaceDN/>
              <w:bidi w:val="0"/>
              <w:spacing w:line="500" w:lineRule="exact"/>
              <w:ind w:firstLine="480" w:firstLineChars="200"/>
              <w:jc w:val="left"/>
              <w:rPr>
                <w:rFonts w:hint="eastAsia" w:asciiTheme="minorEastAsia" w:hAnsiTheme="minorEastAsia" w:eastAsiaTheme="minorEastAsia" w:cstheme="minorEastAsia"/>
                <w:bCs/>
                <w:color w:val="auto"/>
                <w:kern w:val="0"/>
                <w:sz w:val="24"/>
                <w:szCs w:val="24"/>
                <w:highlight w:val="none"/>
              </w:rPr>
            </w:pP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lang w:val="en-US" w:eastAsia="zh-CN"/>
              </w:rPr>
              <w:t>1</w:t>
            </w: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rPr>
              <w:t>南宁市电子政务云平台二期</w:t>
            </w:r>
            <w:r>
              <w:rPr>
                <w:rFonts w:hint="eastAsia" w:asciiTheme="minorEastAsia" w:hAnsiTheme="minorEastAsia" w:eastAsiaTheme="minorEastAsia" w:cstheme="minorEastAsia"/>
                <w:bCs/>
                <w:color w:val="auto"/>
                <w:sz w:val="24"/>
                <w:szCs w:val="24"/>
                <w:highlight w:val="none"/>
                <w:lang w:val="en-US" w:eastAsia="zh-CN"/>
              </w:rPr>
              <w:t>技术服务</w:t>
            </w:r>
            <w:r>
              <w:rPr>
                <w:rFonts w:hint="eastAsia" w:asciiTheme="minorEastAsia" w:hAnsiTheme="minorEastAsia" w:eastAsiaTheme="minorEastAsia" w:cstheme="minorEastAsia"/>
                <w:bCs/>
                <w:color w:val="auto"/>
                <w:sz w:val="24"/>
                <w:szCs w:val="24"/>
                <w:highlight w:val="none"/>
              </w:rPr>
              <w:t>方案分</w:t>
            </w: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满分2</w:t>
            </w:r>
            <w:r>
              <w:rPr>
                <w:rFonts w:hint="eastAsia" w:asciiTheme="minorEastAsia" w:hAnsiTheme="minorEastAsia" w:eastAsiaTheme="minorEastAsia" w:cstheme="minorEastAsia"/>
                <w:color w:val="auto"/>
                <w:sz w:val="24"/>
                <w:szCs w:val="24"/>
                <w:highlight w:val="none"/>
                <w:lang w:val="en-US" w:eastAsia="zh-CN"/>
              </w:rPr>
              <w:t>5分</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bCs/>
                <w:color w:val="auto"/>
                <w:sz w:val="24"/>
                <w:szCs w:val="24"/>
                <w:highlight w:val="none"/>
              </w:rPr>
              <w:t>不提供或不满足一档不得分。</w:t>
            </w:r>
            <w:r>
              <w:rPr>
                <w:rFonts w:hint="eastAsia" w:asciiTheme="minorEastAsia" w:hAnsiTheme="minorEastAsia" w:eastAsiaTheme="minorEastAsia" w:cstheme="minorEastAsia"/>
                <w:bCs/>
                <w:color w:val="auto"/>
                <w:sz w:val="24"/>
                <w:szCs w:val="24"/>
                <w:highlight w:val="none"/>
                <w:lang w:eastAsia="zh-CN"/>
              </w:rPr>
              <w:t>）</w:t>
            </w:r>
          </w:p>
        </w:tc>
        <w:tc>
          <w:tcPr>
            <w:tcW w:w="6554" w:type="dxa"/>
            <w:tcBorders>
              <w:top w:val="single" w:color="auto" w:sz="4" w:space="0"/>
              <w:left w:val="single" w:color="auto" w:sz="4" w:space="0"/>
              <w:bottom w:val="single" w:color="auto" w:sz="4" w:space="0"/>
              <w:right w:val="single" w:color="auto" w:sz="4" w:space="0"/>
            </w:tcBorders>
            <w:vAlign w:val="center"/>
          </w:tcPr>
          <w:p w14:paraId="145F8C20">
            <w:pPr>
              <w:pStyle w:val="14"/>
              <w:keepNext w:val="0"/>
              <w:keepLines w:val="0"/>
              <w:pageBreakBefore w:val="0"/>
              <w:kinsoku/>
              <w:overflowPunct/>
              <w:topLinePunct w:val="0"/>
              <w:autoSpaceDE/>
              <w:autoSpaceDN/>
              <w:bidi w:val="0"/>
              <w:spacing w:line="500" w:lineRule="exact"/>
              <w:ind w:firstLine="446" w:firstLineChars="186"/>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一档（</w:t>
            </w:r>
            <w:r>
              <w:rPr>
                <w:rFonts w:hint="eastAsia" w:asciiTheme="minorEastAsia" w:hAnsiTheme="minorEastAsia" w:eastAsiaTheme="minorEastAsia" w:cstheme="minorEastAsia"/>
                <w:bCs/>
                <w:color w:val="auto"/>
                <w:sz w:val="24"/>
                <w:szCs w:val="24"/>
                <w:highlight w:val="none"/>
                <w:lang w:val="en-US" w:eastAsia="zh-CN"/>
              </w:rPr>
              <w:t>9</w:t>
            </w:r>
            <w:r>
              <w:rPr>
                <w:rFonts w:hint="eastAsia" w:asciiTheme="minorEastAsia" w:hAnsiTheme="minorEastAsia" w:eastAsiaTheme="minorEastAsia" w:cstheme="minorEastAsia"/>
                <w:bCs/>
                <w:color w:val="auto"/>
                <w:sz w:val="24"/>
                <w:szCs w:val="24"/>
                <w:highlight w:val="none"/>
              </w:rPr>
              <w:t xml:space="preserve">分）：投标人提供电子政务云平台基本技术服务方案，响应的服务参数满足招标文件要求。 </w:t>
            </w:r>
          </w:p>
          <w:p w14:paraId="32719E64">
            <w:pPr>
              <w:pStyle w:val="14"/>
              <w:keepNext w:val="0"/>
              <w:keepLines w:val="0"/>
              <w:pageBreakBefore w:val="0"/>
              <w:kinsoku/>
              <w:overflowPunct/>
              <w:topLinePunct w:val="0"/>
              <w:autoSpaceDE/>
              <w:autoSpaceDN/>
              <w:bidi w:val="0"/>
              <w:spacing w:line="500" w:lineRule="exact"/>
              <w:ind w:firstLine="446" w:firstLineChars="186"/>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二档（1</w:t>
            </w:r>
            <w:r>
              <w:rPr>
                <w:rFonts w:hint="eastAsia" w:asciiTheme="minorEastAsia" w:hAnsiTheme="minorEastAsia" w:eastAsiaTheme="minorEastAsia" w:cstheme="minorEastAsia"/>
                <w:bCs/>
                <w:color w:val="auto"/>
                <w:sz w:val="24"/>
                <w:szCs w:val="24"/>
                <w:highlight w:val="none"/>
                <w:lang w:val="en-US" w:eastAsia="zh-CN"/>
              </w:rPr>
              <w:t>7</w:t>
            </w:r>
            <w:r>
              <w:rPr>
                <w:rFonts w:hint="eastAsia" w:asciiTheme="minorEastAsia" w:hAnsiTheme="minorEastAsia" w:eastAsiaTheme="minorEastAsia" w:cstheme="minorEastAsia"/>
                <w:bCs/>
                <w:color w:val="auto"/>
                <w:sz w:val="24"/>
                <w:szCs w:val="24"/>
                <w:highlight w:val="none"/>
              </w:rPr>
              <w:t>分）：投标人在满足一档基础上，描述项目环境与现状，分析项目技术需求、项目实施技术难点，并分析平台所用机房基础环境、云平台技术架构，技术方案可满足常规运维需求。</w:t>
            </w:r>
          </w:p>
          <w:p w14:paraId="0427C949">
            <w:pPr>
              <w:keepNext w:val="0"/>
              <w:keepLines w:val="0"/>
              <w:pageBreakBefore w:val="0"/>
              <w:widowControl/>
              <w:kinsoku/>
              <w:overflowPunct/>
              <w:topLinePunct w:val="0"/>
              <w:autoSpaceDE/>
              <w:autoSpaceDN/>
              <w:bidi w:val="0"/>
              <w:spacing w:line="500" w:lineRule="exact"/>
              <w:ind w:firstLine="480" w:firstLineChars="200"/>
              <w:rPr>
                <w:rFonts w:hint="eastAsia" w:asciiTheme="minorEastAsia" w:hAnsiTheme="minorEastAsia" w:eastAsiaTheme="minorEastAsia" w:cstheme="minorEastAsia"/>
                <w:bCs/>
                <w:color w:val="auto"/>
                <w:kern w:val="0"/>
                <w:sz w:val="24"/>
                <w:szCs w:val="24"/>
                <w:highlight w:val="none"/>
              </w:rPr>
            </w:pPr>
            <w:r>
              <w:rPr>
                <w:rFonts w:hint="eastAsia" w:asciiTheme="minorEastAsia" w:hAnsiTheme="minorEastAsia" w:eastAsiaTheme="minorEastAsia" w:cstheme="minorEastAsia"/>
                <w:bCs/>
                <w:color w:val="auto"/>
                <w:sz w:val="24"/>
                <w:szCs w:val="24"/>
                <w:highlight w:val="none"/>
              </w:rPr>
              <w:t>三档（2</w:t>
            </w:r>
            <w:r>
              <w:rPr>
                <w:rFonts w:hint="eastAsia" w:asciiTheme="minorEastAsia" w:hAnsiTheme="minorEastAsia" w:eastAsiaTheme="minorEastAsia" w:cstheme="minorEastAsia"/>
                <w:bCs/>
                <w:color w:val="auto"/>
                <w:sz w:val="24"/>
                <w:szCs w:val="24"/>
                <w:highlight w:val="none"/>
                <w:lang w:val="en-US" w:eastAsia="zh-CN"/>
              </w:rPr>
              <w:t>5</w:t>
            </w:r>
            <w:r>
              <w:rPr>
                <w:rFonts w:hint="eastAsia" w:asciiTheme="minorEastAsia" w:hAnsiTheme="minorEastAsia" w:eastAsiaTheme="minorEastAsia" w:cstheme="minorEastAsia"/>
                <w:bCs/>
                <w:color w:val="auto"/>
                <w:sz w:val="24"/>
                <w:szCs w:val="24"/>
                <w:highlight w:val="none"/>
              </w:rPr>
              <w:t>分）：投标人在满足二档的基础上，提出针对整体机房设备、机房现状适配、机房承载能力、新增设备兼容、政务云安全合规、资源弹性扩展的整体技术服务方案，</w:t>
            </w:r>
            <w:r>
              <w:rPr>
                <w:rFonts w:hint="eastAsia" w:asciiTheme="minorEastAsia" w:hAnsiTheme="minorEastAsia" w:eastAsiaTheme="minorEastAsia" w:cstheme="minorEastAsia"/>
                <w:bCs/>
                <w:color w:val="auto"/>
                <w:sz w:val="24"/>
                <w:szCs w:val="24"/>
                <w:highlight w:val="none"/>
                <w:lang w:val="en-US" w:eastAsia="zh-CN"/>
              </w:rPr>
              <w:t>结合</w:t>
            </w:r>
            <w:r>
              <w:rPr>
                <w:rFonts w:hint="eastAsia" w:asciiTheme="minorEastAsia" w:hAnsiTheme="minorEastAsia" w:eastAsiaTheme="minorEastAsia" w:cstheme="minorEastAsia"/>
                <w:bCs/>
                <w:color w:val="auto"/>
                <w:sz w:val="24"/>
                <w:szCs w:val="24"/>
                <w:highlight w:val="none"/>
              </w:rPr>
              <w:t>环境</w:t>
            </w:r>
            <w:r>
              <w:rPr>
                <w:rFonts w:hint="eastAsia" w:asciiTheme="minorEastAsia" w:hAnsiTheme="minorEastAsia" w:eastAsiaTheme="minorEastAsia" w:cstheme="minorEastAsia"/>
                <w:bCs/>
                <w:color w:val="auto"/>
                <w:sz w:val="24"/>
                <w:szCs w:val="24"/>
                <w:highlight w:val="none"/>
                <w:lang w:val="en-US" w:eastAsia="zh-CN"/>
              </w:rPr>
              <w:t>图纸</w:t>
            </w:r>
            <w:r>
              <w:rPr>
                <w:rFonts w:hint="eastAsia" w:asciiTheme="minorEastAsia" w:hAnsiTheme="minorEastAsia" w:eastAsiaTheme="minorEastAsia" w:cstheme="minorEastAsia"/>
                <w:bCs/>
                <w:color w:val="auto"/>
                <w:sz w:val="24"/>
                <w:szCs w:val="24"/>
                <w:highlight w:val="none"/>
              </w:rPr>
              <w:t>与拓扑图开展项目技术要点分析与风险点评估，针对政务云平台云架构、云业务、云系统制定专项技术方案。</w:t>
            </w:r>
          </w:p>
        </w:tc>
        <w:tc>
          <w:tcPr>
            <w:tcW w:w="1410" w:type="dxa"/>
            <w:tcBorders>
              <w:top w:val="single" w:color="auto" w:sz="4" w:space="0"/>
              <w:left w:val="single" w:color="auto" w:sz="4" w:space="0"/>
              <w:bottom w:val="single" w:color="auto" w:sz="4" w:space="0"/>
              <w:right w:val="single" w:color="auto" w:sz="4" w:space="0"/>
            </w:tcBorders>
            <w:vAlign w:val="center"/>
          </w:tcPr>
          <w:p w14:paraId="13669028">
            <w:pPr>
              <w:pStyle w:val="14"/>
              <w:keepNext w:val="0"/>
              <w:keepLines w:val="0"/>
              <w:pageBreakBefore w:val="0"/>
              <w:widowControl/>
              <w:kinsoku/>
              <w:wordWrap w:val="0"/>
              <w:overflowPunct/>
              <w:topLinePunct w:val="0"/>
              <w:autoSpaceDE/>
              <w:autoSpaceDN/>
              <w:bidi w:val="0"/>
              <w:spacing w:line="5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kern w:val="0"/>
                <w:sz w:val="24"/>
                <w:szCs w:val="24"/>
                <w:highlight w:val="none"/>
              </w:rPr>
              <w:t>0~</w:t>
            </w:r>
            <w:r>
              <w:rPr>
                <w:rFonts w:hint="eastAsia" w:asciiTheme="minorEastAsia" w:hAnsiTheme="minorEastAsia" w:eastAsiaTheme="minorEastAsia" w:cstheme="minorEastAsia"/>
                <w:bCs/>
                <w:color w:val="auto"/>
                <w:kern w:val="0"/>
                <w:sz w:val="24"/>
                <w:szCs w:val="24"/>
                <w:highlight w:val="none"/>
                <w:lang w:val="en-US" w:eastAsia="zh-CN"/>
              </w:rPr>
              <w:t>25</w:t>
            </w:r>
            <w:r>
              <w:rPr>
                <w:rFonts w:hint="eastAsia" w:asciiTheme="minorEastAsia" w:hAnsiTheme="minorEastAsia" w:eastAsiaTheme="minorEastAsia" w:cstheme="minorEastAsia"/>
                <w:bCs/>
                <w:color w:val="auto"/>
                <w:kern w:val="0"/>
                <w:sz w:val="24"/>
                <w:szCs w:val="24"/>
                <w:highlight w:val="none"/>
              </w:rPr>
              <w:t>分</w:t>
            </w:r>
            <w:r>
              <w:rPr>
                <w:rFonts w:hint="eastAsia" w:asciiTheme="minorEastAsia" w:hAnsiTheme="minorEastAsia" w:eastAsiaTheme="minorEastAsia" w:cstheme="minorEastAsia"/>
                <w:bCs/>
                <w:color w:val="auto"/>
                <w:kern w:val="0"/>
                <w:sz w:val="24"/>
                <w:szCs w:val="24"/>
                <w:highlight w:val="none"/>
                <w:lang w:eastAsia="zh-CN"/>
              </w:rPr>
              <w:t>（</w:t>
            </w:r>
            <w:r>
              <w:rPr>
                <w:rFonts w:hint="eastAsia" w:asciiTheme="minorEastAsia" w:hAnsiTheme="minorEastAsia" w:eastAsiaTheme="minorEastAsia" w:cstheme="minorEastAsia"/>
                <w:bCs/>
                <w:color w:val="auto"/>
                <w:kern w:val="0"/>
                <w:sz w:val="24"/>
                <w:szCs w:val="24"/>
                <w:highlight w:val="none"/>
                <w:lang w:val="en-US" w:eastAsia="zh-CN"/>
              </w:rPr>
              <w:t>主观分</w:t>
            </w:r>
            <w:r>
              <w:rPr>
                <w:rFonts w:hint="eastAsia" w:asciiTheme="minorEastAsia" w:hAnsiTheme="minorEastAsia" w:eastAsiaTheme="minorEastAsia" w:cstheme="minorEastAsia"/>
                <w:bCs/>
                <w:color w:val="auto"/>
                <w:kern w:val="0"/>
                <w:sz w:val="24"/>
                <w:szCs w:val="24"/>
                <w:highlight w:val="none"/>
                <w:lang w:eastAsia="zh-CN"/>
              </w:rPr>
              <w:t>）</w:t>
            </w:r>
          </w:p>
        </w:tc>
      </w:tr>
      <w:tr w14:paraId="315D0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8" w:hRule="atLeast"/>
        </w:trPr>
        <w:tc>
          <w:tcPr>
            <w:tcW w:w="517" w:type="dxa"/>
            <w:vMerge w:val="continue"/>
            <w:tcBorders>
              <w:left w:val="single" w:color="auto" w:sz="4" w:space="0"/>
              <w:right w:val="single" w:color="auto" w:sz="4" w:space="0"/>
            </w:tcBorders>
          </w:tcPr>
          <w:p w14:paraId="13F20EAB">
            <w:pPr>
              <w:pStyle w:val="14"/>
              <w:keepNext w:val="0"/>
              <w:keepLines w:val="0"/>
              <w:pageBreakBefore w:val="0"/>
              <w:widowControl/>
              <w:kinsoku/>
              <w:wordWrap w:val="0"/>
              <w:overflowPunct/>
              <w:topLinePunct w:val="0"/>
              <w:autoSpaceDE/>
              <w:autoSpaceDN/>
              <w:bidi w:val="0"/>
              <w:spacing w:line="500" w:lineRule="exact"/>
              <w:rPr>
                <w:rFonts w:hint="eastAsia" w:asciiTheme="minorEastAsia" w:hAnsiTheme="minorEastAsia" w:eastAsiaTheme="minorEastAsia" w:cstheme="minorEastAsia"/>
                <w:bCs/>
                <w:color w:val="auto"/>
                <w:sz w:val="24"/>
                <w:szCs w:val="24"/>
                <w:highlight w:val="none"/>
              </w:rPr>
            </w:pPr>
          </w:p>
        </w:tc>
        <w:tc>
          <w:tcPr>
            <w:tcW w:w="1481" w:type="dxa"/>
            <w:tcBorders>
              <w:top w:val="single" w:color="auto" w:sz="4" w:space="0"/>
              <w:left w:val="single" w:color="auto" w:sz="4" w:space="0"/>
              <w:right w:val="single" w:color="auto" w:sz="4" w:space="0"/>
            </w:tcBorders>
            <w:vAlign w:val="center"/>
          </w:tcPr>
          <w:p w14:paraId="48297A61">
            <w:pPr>
              <w:keepNext w:val="0"/>
              <w:keepLines w:val="0"/>
              <w:pageBreakBefore w:val="0"/>
              <w:tabs>
                <w:tab w:val="left" w:pos="2472"/>
              </w:tabs>
              <w:kinsoku/>
              <w:overflowPunct/>
              <w:topLinePunct w:val="0"/>
              <w:autoSpaceDE/>
              <w:autoSpaceDN/>
              <w:bidi w:val="0"/>
              <w:spacing w:line="500" w:lineRule="exact"/>
              <w:ind w:firstLine="480" w:firstLineChars="200"/>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rPr>
              <w:t>2</w:t>
            </w: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rPr>
              <w:t>南宁市电子政务云平台二期运维服务方案分</w:t>
            </w: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满分</w:t>
            </w:r>
            <w:r>
              <w:rPr>
                <w:rFonts w:hint="eastAsia" w:asciiTheme="minorEastAsia" w:hAnsiTheme="minorEastAsia" w:eastAsiaTheme="minorEastAsia" w:cstheme="minorEastAsia"/>
                <w:color w:val="auto"/>
                <w:sz w:val="24"/>
                <w:szCs w:val="24"/>
                <w:highlight w:val="none"/>
                <w:lang w:val="en-US" w:eastAsia="zh-CN"/>
              </w:rPr>
              <w:t>18分</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bCs/>
                <w:color w:val="auto"/>
                <w:sz w:val="24"/>
                <w:szCs w:val="24"/>
                <w:highlight w:val="none"/>
              </w:rPr>
              <w:t>不提供或不满足一档不得分。</w:t>
            </w:r>
            <w:r>
              <w:rPr>
                <w:rFonts w:hint="eastAsia" w:asciiTheme="minorEastAsia" w:hAnsiTheme="minorEastAsia" w:eastAsiaTheme="minorEastAsia" w:cstheme="minorEastAsia"/>
                <w:bCs/>
                <w:color w:val="auto"/>
                <w:sz w:val="24"/>
                <w:szCs w:val="24"/>
                <w:highlight w:val="none"/>
                <w:lang w:eastAsia="zh-CN"/>
              </w:rPr>
              <w:t>）</w:t>
            </w:r>
          </w:p>
        </w:tc>
        <w:tc>
          <w:tcPr>
            <w:tcW w:w="6554" w:type="dxa"/>
            <w:tcBorders>
              <w:top w:val="single" w:color="auto" w:sz="4" w:space="0"/>
              <w:left w:val="single" w:color="auto" w:sz="4" w:space="0"/>
              <w:bottom w:val="single" w:color="auto" w:sz="4" w:space="0"/>
              <w:right w:val="single" w:color="auto" w:sz="4" w:space="0"/>
            </w:tcBorders>
            <w:vAlign w:val="center"/>
          </w:tcPr>
          <w:p w14:paraId="6446FD5A">
            <w:pPr>
              <w:pStyle w:val="14"/>
              <w:keepNext w:val="0"/>
              <w:keepLines w:val="0"/>
              <w:pageBreakBefore w:val="0"/>
              <w:kinsoku/>
              <w:overflowPunct/>
              <w:topLinePunct w:val="0"/>
              <w:autoSpaceDE/>
              <w:autoSpaceDN/>
              <w:bidi w:val="0"/>
              <w:spacing w:line="500" w:lineRule="exact"/>
              <w:ind w:firstLine="446" w:firstLineChars="186"/>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一档（</w:t>
            </w:r>
            <w:r>
              <w:rPr>
                <w:rFonts w:hint="eastAsia" w:asciiTheme="minorEastAsia" w:hAnsiTheme="minorEastAsia" w:eastAsiaTheme="minorEastAsia" w:cstheme="minorEastAsia"/>
                <w:bCs/>
                <w:color w:val="auto"/>
                <w:sz w:val="24"/>
                <w:szCs w:val="24"/>
                <w:highlight w:val="none"/>
                <w:lang w:val="en-US" w:eastAsia="zh-CN"/>
              </w:rPr>
              <w:t>6</w:t>
            </w:r>
            <w:r>
              <w:rPr>
                <w:rFonts w:hint="eastAsia" w:asciiTheme="minorEastAsia" w:hAnsiTheme="minorEastAsia" w:eastAsiaTheme="minorEastAsia" w:cstheme="minorEastAsia"/>
                <w:bCs/>
                <w:color w:val="auto"/>
                <w:sz w:val="24"/>
                <w:szCs w:val="24"/>
                <w:highlight w:val="none"/>
              </w:rPr>
              <w:t>分）：</w:t>
            </w:r>
            <w:r>
              <w:rPr>
                <w:rFonts w:hint="eastAsia" w:asciiTheme="minorEastAsia" w:hAnsiTheme="minorEastAsia" w:eastAsiaTheme="minorEastAsia" w:cstheme="minorEastAsia"/>
                <w:bCs/>
                <w:color w:val="auto"/>
                <w:sz w:val="24"/>
                <w:szCs w:val="24"/>
                <w:highlight w:val="none"/>
                <w:lang w:eastAsia="zh-CN"/>
              </w:rPr>
              <w:t>投标人</w:t>
            </w:r>
            <w:r>
              <w:rPr>
                <w:rFonts w:hint="eastAsia" w:asciiTheme="minorEastAsia" w:hAnsiTheme="minorEastAsia" w:eastAsiaTheme="minorEastAsia" w:cstheme="minorEastAsia"/>
                <w:bCs/>
                <w:color w:val="auto"/>
                <w:sz w:val="24"/>
                <w:szCs w:val="24"/>
                <w:highlight w:val="none"/>
              </w:rPr>
              <w:t>提供电子政务云平台基本运维服务方案和平台安全方案，</w:t>
            </w:r>
            <w:r>
              <w:rPr>
                <w:rFonts w:hint="eastAsia" w:asciiTheme="minorEastAsia" w:hAnsiTheme="minorEastAsia" w:eastAsiaTheme="minorEastAsia" w:cstheme="minorEastAsia"/>
                <w:bCs/>
                <w:color w:val="auto"/>
                <w:sz w:val="24"/>
                <w:szCs w:val="24"/>
                <w:highlight w:val="none"/>
                <w:lang w:eastAsia="zh-CN"/>
              </w:rPr>
              <w:t>响应的</w:t>
            </w:r>
            <w:r>
              <w:rPr>
                <w:rFonts w:hint="eastAsia" w:asciiTheme="minorEastAsia" w:hAnsiTheme="minorEastAsia" w:eastAsiaTheme="minorEastAsia" w:cstheme="minorEastAsia"/>
                <w:bCs/>
                <w:color w:val="auto"/>
                <w:sz w:val="24"/>
                <w:szCs w:val="24"/>
                <w:highlight w:val="none"/>
              </w:rPr>
              <w:t xml:space="preserve">服务参数满足招标文件要求。 </w:t>
            </w:r>
          </w:p>
          <w:p w14:paraId="140A8738">
            <w:pPr>
              <w:pStyle w:val="14"/>
              <w:keepNext w:val="0"/>
              <w:keepLines w:val="0"/>
              <w:pageBreakBefore w:val="0"/>
              <w:kinsoku/>
              <w:overflowPunct/>
              <w:topLinePunct w:val="0"/>
              <w:autoSpaceDE/>
              <w:autoSpaceDN/>
              <w:bidi w:val="0"/>
              <w:spacing w:line="500" w:lineRule="exact"/>
              <w:ind w:firstLine="446" w:firstLineChars="186"/>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二档（</w:t>
            </w:r>
            <w:r>
              <w:rPr>
                <w:rFonts w:hint="eastAsia" w:asciiTheme="minorEastAsia" w:hAnsiTheme="minorEastAsia" w:eastAsiaTheme="minorEastAsia" w:cstheme="minorEastAsia"/>
                <w:bCs/>
                <w:color w:val="auto"/>
                <w:sz w:val="24"/>
                <w:szCs w:val="24"/>
                <w:highlight w:val="none"/>
                <w:lang w:val="en-US" w:eastAsia="zh-CN"/>
              </w:rPr>
              <w:t>12</w:t>
            </w:r>
            <w:r>
              <w:rPr>
                <w:rFonts w:hint="eastAsia" w:asciiTheme="minorEastAsia" w:hAnsiTheme="minorEastAsia" w:eastAsiaTheme="minorEastAsia" w:cstheme="minorEastAsia"/>
                <w:bCs/>
                <w:color w:val="auto"/>
                <w:sz w:val="24"/>
                <w:szCs w:val="24"/>
                <w:highlight w:val="none"/>
              </w:rPr>
              <w:t>分）：</w:t>
            </w:r>
            <w:r>
              <w:rPr>
                <w:rFonts w:hint="eastAsia" w:asciiTheme="minorEastAsia" w:hAnsiTheme="minorEastAsia" w:eastAsiaTheme="minorEastAsia" w:cstheme="minorEastAsia"/>
                <w:bCs/>
                <w:color w:val="auto"/>
                <w:kern w:val="2"/>
                <w:sz w:val="24"/>
                <w:szCs w:val="24"/>
                <w:highlight w:val="none"/>
              </w:rPr>
              <w:t>投标人在满足一档的基础上，</w:t>
            </w:r>
            <w:r>
              <w:rPr>
                <w:rFonts w:hint="eastAsia" w:asciiTheme="minorEastAsia" w:hAnsiTheme="minorEastAsia" w:eastAsiaTheme="minorEastAsia" w:cstheme="minorEastAsia"/>
                <w:bCs/>
                <w:color w:val="auto"/>
                <w:sz w:val="24"/>
                <w:szCs w:val="24"/>
                <w:highlight w:val="none"/>
                <w:lang w:eastAsia="zh-CN"/>
              </w:rPr>
              <w:t>描述</w:t>
            </w:r>
            <w:r>
              <w:rPr>
                <w:rFonts w:hint="eastAsia" w:asciiTheme="minorEastAsia" w:hAnsiTheme="minorEastAsia" w:eastAsiaTheme="minorEastAsia" w:cstheme="minorEastAsia"/>
                <w:bCs/>
                <w:color w:val="auto"/>
                <w:sz w:val="24"/>
                <w:szCs w:val="24"/>
                <w:highlight w:val="none"/>
              </w:rPr>
              <w:t>项目环境及情况</w:t>
            </w: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bCs/>
                <w:color w:val="auto"/>
                <w:sz w:val="24"/>
                <w:szCs w:val="24"/>
                <w:highlight w:val="none"/>
                <w:lang w:eastAsia="zh-CN"/>
              </w:rPr>
              <w:t>对项目</w:t>
            </w:r>
            <w:r>
              <w:rPr>
                <w:rFonts w:hint="eastAsia" w:asciiTheme="minorEastAsia" w:hAnsiTheme="minorEastAsia" w:eastAsiaTheme="minorEastAsia" w:cstheme="minorEastAsia"/>
                <w:bCs/>
                <w:color w:val="auto"/>
                <w:sz w:val="24"/>
                <w:szCs w:val="24"/>
                <w:highlight w:val="none"/>
              </w:rPr>
              <w:t>需求</w:t>
            </w: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rPr>
              <w:t>项目实施的重难点</w:t>
            </w:r>
            <w:r>
              <w:rPr>
                <w:rFonts w:hint="eastAsia" w:asciiTheme="minorEastAsia" w:hAnsiTheme="minorEastAsia" w:eastAsiaTheme="minorEastAsia" w:cstheme="minorEastAsia"/>
                <w:bCs/>
                <w:color w:val="auto"/>
                <w:sz w:val="24"/>
                <w:szCs w:val="24"/>
                <w:highlight w:val="none"/>
                <w:lang w:eastAsia="zh-CN"/>
              </w:rPr>
              <w:t>进行</w:t>
            </w:r>
            <w:r>
              <w:rPr>
                <w:rFonts w:hint="eastAsia" w:asciiTheme="minorEastAsia" w:hAnsiTheme="minorEastAsia" w:eastAsiaTheme="minorEastAsia" w:cstheme="minorEastAsia"/>
                <w:bCs/>
                <w:color w:val="auto"/>
                <w:sz w:val="24"/>
                <w:szCs w:val="24"/>
                <w:highlight w:val="none"/>
              </w:rPr>
              <w:t>分析，</w:t>
            </w:r>
            <w:r>
              <w:rPr>
                <w:rFonts w:hint="eastAsia" w:asciiTheme="minorEastAsia" w:hAnsiTheme="minorEastAsia" w:eastAsiaTheme="minorEastAsia" w:cstheme="minorEastAsia"/>
                <w:bCs/>
                <w:color w:val="auto"/>
                <w:sz w:val="24"/>
                <w:szCs w:val="24"/>
                <w:highlight w:val="none"/>
                <w:lang w:eastAsia="zh-CN"/>
              </w:rPr>
              <w:t>建立</w:t>
            </w:r>
            <w:r>
              <w:rPr>
                <w:rFonts w:hint="eastAsia" w:asciiTheme="minorEastAsia" w:hAnsiTheme="minorEastAsia" w:eastAsiaTheme="minorEastAsia" w:cstheme="minorEastAsia"/>
                <w:bCs/>
                <w:color w:val="auto"/>
                <w:sz w:val="24"/>
                <w:szCs w:val="24"/>
                <w:highlight w:val="none"/>
              </w:rPr>
              <w:t>运维组织体系、分级响应机制和典型故障场景处置流程</w:t>
            </w: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针对政务云平台特点制定了相应的运维措施，能够满足政务云服务的常规运维需求</w:t>
            </w:r>
            <w:r>
              <w:rPr>
                <w:rFonts w:hint="eastAsia" w:asciiTheme="minorEastAsia" w:hAnsiTheme="minorEastAsia" w:eastAsiaTheme="minorEastAsia" w:cstheme="minorEastAsia"/>
                <w:bCs/>
                <w:color w:val="auto"/>
                <w:sz w:val="24"/>
                <w:szCs w:val="24"/>
                <w:highlight w:val="none"/>
              </w:rPr>
              <w:t>。</w:t>
            </w:r>
          </w:p>
          <w:p w14:paraId="5D4561CA">
            <w:pPr>
              <w:keepNext w:val="0"/>
              <w:keepLines w:val="0"/>
              <w:pageBreakBefore w:val="0"/>
              <w:widowControl/>
              <w:kinsoku/>
              <w:overflowPunct/>
              <w:topLinePunct w:val="0"/>
              <w:autoSpaceDE/>
              <w:autoSpaceDN/>
              <w:bidi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sz w:val="24"/>
                <w:szCs w:val="24"/>
                <w:highlight w:val="none"/>
              </w:rPr>
              <w:t>三档（</w:t>
            </w:r>
            <w:r>
              <w:rPr>
                <w:rFonts w:hint="eastAsia" w:asciiTheme="minorEastAsia" w:hAnsiTheme="minorEastAsia" w:eastAsiaTheme="minorEastAsia" w:cstheme="minorEastAsia"/>
                <w:bCs/>
                <w:color w:val="auto"/>
                <w:sz w:val="24"/>
                <w:szCs w:val="24"/>
                <w:highlight w:val="none"/>
                <w:lang w:val="en-US" w:eastAsia="zh-CN"/>
              </w:rPr>
              <w:t>18</w:t>
            </w:r>
            <w:r>
              <w:rPr>
                <w:rFonts w:hint="eastAsia" w:asciiTheme="minorEastAsia" w:hAnsiTheme="minorEastAsia" w:eastAsiaTheme="minorEastAsia" w:cstheme="minorEastAsia"/>
                <w:bCs/>
                <w:color w:val="auto"/>
                <w:sz w:val="24"/>
                <w:szCs w:val="24"/>
                <w:highlight w:val="none"/>
              </w:rPr>
              <w:t>分）：</w:t>
            </w:r>
            <w:r>
              <w:rPr>
                <w:rFonts w:hint="eastAsia" w:asciiTheme="minorEastAsia" w:hAnsiTheme="minorEastAsia" w:eastAsiaTheme="minorEastAsia" w:cstheme="minorEastAsia"/>
                <w:bCs/>
                <w:color w:val="auto"/>
                <w:kern w:val="2"/>
                <w:sz w:val="24"/>
                <w:szCs w:val="24"/>
                <w:highlight w:val="none"/>
              </w:rPr>
              <w:t>投标人在满足</w:t>
            </w:r>
            <w:r>
              <w:rPr>
                <w:rFonts w:hint="eastAsia" w:asciiTheme="minorEastAsia" w:hAnsiTheme="minorEastAsia" w:eastAsiaTheme="minorEastAsia" w:cstheme="minorEastAsia"/>
                <w:bCs/>
                <w:color w:val="auto"/>
                <w:kern w:val="2"/>
                <w:sz w:val="24"/>
                <w:szCs w:val="24"/>
                <w:highlight w:val="none"/>
                <w:lang w:eastAsia="zh-CN"/>
              </w:rPr>
              <w:t>二</w:t>
            </w:r>
            <w:r>
              <w:rPr>
                <w:rFonts w:hint="eastAsia" w:asciiTheme="minorEastAsia" w:hAnsiTheme="minorEastAsia" w:eastAsiaTheme="minorEastAsia" w:cstheme="minorEastAsia"/>
                <w:bCs/>
                <w:color w:val="auto"/>
                <w:kern w:val="2"/>
                <w:sz w:val="24"/>
                <w:szCs w:val="24"/>
                <w:highlight w:val="none"/>
              </w:rPr>
              <w:t>档的基础上，</w:t>
            </w:r>
            <w:r>
              <w:rPr>
                <w:rFonts w:hint="eastAsia" w:asciiTheme="minorEastAsia" w:hAnsiTheme="minorEastAsia" w:eastAsiaTheme="minorEastAsia" w:cstheme="minorEastAsia"/>
                <w:bCs/>
                <w:color w:val="auto"/>
                <w:sz w:val="24"/>
                <w:szCs w:val="24"/>
                <w:highlight w:val="none"/>
              </w:rPr>
              <w:t>提出了针对整体机房设备、环境</w:t>
            </w:r>
            <w:r>
              <w:rPr>
                <w:rFonts w:hint="eastAsia" w:asciiTheme="minorEastAsia" w:hAnsiTheme="minorEastAsia" w:eastAsiaTheme="minorEastAsia" w:cstheme="minorEastAsia"/>
                <w:bCs/>
                <w:color w:val="auto"/>
                <w:sz w:val="24"/>
                <w:szCs w:val="24"/>
                <w:highlight w:val="none"/>
                <w:lang w:val="en-US" w:eastAsia="zh-CN"/>
              </w:rPr>
              <w:t>图纸</w:t>
            </w:r>
            <w:r>
              <w:rPr>
                <w:rFonts w:hint="eastAsia" w:asciiTheme="minorEastAsia" w:hAnsiTheme="minorEastAsia" w:eastAsiaTheme="minorEastAsia" w:cstheme="minorEastAsia"/>
                <w:bCs/>
                <w:color w:val="auto"/>
                <w:sz w:val="24"/>
                <w:szCs w:val="24"/>
                <w:highlight w:val="none"/>
              </w:rPr>
              <w:t>与拓扑图的整体技术服务方案，</w:t>
            </w:r>
            <w:r>
              <w:rPr>
                <w:rFonts w:hint="eastAsia" w:asciiTheme="minorEastAsia" w:hAnsiTheme="minorEastAsia" w:eastAsiaTheme="minorEastAsia" w:cstheme="minorEastAsia"/>
                <w:bCs/>
                <w:color w:val="auto"/>
                <w:sz w:val="24"/>
                <w:szCs w:val="24"/>
                <w:highlight w:val="none"/>
                <w:lang w:eastAsia="zh-CN"/>
              </w:rPr>
              <w:t>进行</w:t>
            </w:r>
            <w:r>
              <w:rPr>
                <w:rFonts w:hint="eastAsia" w:asciiTheme="minorEastAsia" w:hAnsiTheme="minorEastAsia" w:eastAsiaTheme="minorEastAsia" w:cstheme="minorEastAsia"/>
                <w:bCs/>
                <w:color w:val="auto"/>
                <w:sz w:val="24"/>
                <w:szCs w:val="24"/>
                <w:highlight w:val="none"/>
              </w:rPr>
              <w:t>项目运维要点分析和风险点评估，</w:t>
            </w:r>
            <w:r>
              <w:rPr>
                <w:rFonts w:hint="eastAsia" w:asciiTheme="minorEastAsia" w:hAnsiTheme="minorEastAsia" w:eastAsiaTheme="minorEastAsia" w:cstheme="minorEastAsia"/>
                <w:bCs/>
                <w:color w:val="auto"/>
                <w:sz w:val="24"/>
                <w:szCs w:val="24"/>
                <w:highlight w:val="none"/>
                <w:lang w:eastAsia="zh-CN"/>
              </w:rPr>
              <w:t>提出</w:t>
            </w:r>
            <w:r>
              <w:rPr>
                <w:rFonts w:hint="eastAsia" w:asciiTheme="minorEastAsia" w:hAnsiTheme="minorEastAsia" w:eastAsiaTheme="minorEastAsia" w:cstheme="minorEastAsia"/>
                <w:bCs/>
                <w:color w:val="auto"/>
                <w:sz w:val="24"/>
                <w:szCs w:val="24"/>
                <w:highlight w:val="none"/>
              </w:rPr>
              <w:t>维护思路</w:t>
            </w:r>
            <w:r>
              <w:rPr>
                <w:rFonts w:hint="eastAsia" w:asciiTheme="minorEastAsia" w:hAnsiTheme="minorEastAsia" w:eastAsiaTheme="minorEastAsia" w:cstheme="minorEastAsia"/>
                <w:bCs/>
                <w:color w:val="auto"/>
                <w:sz w:val="24"/>
                <w:szCs w:val="24"/>
                <w:highlight w:val="none"/>
                <w:lang w:eastAsia="zh-CN"/>
              </w:rPr>
              <w:t>、培训计划，针对政务云平台的</w:t>
            </w:r>
            <w:r>
              <w:rPr>
                <w:rFonts w:hint="eastAsia" w:asciiTheme="minorEastAsia" w:hAnsiTheme="minorEastAsia" w:eastAsiaTheme="minorEastAsia" w:cstheme="minorEastAsia"/>
                <w:bCs/>
                <w:color w:val="auto"/>
                <w:sz w:val="24"/>
                <w:szCs w:val="24"/>
                <w:highlight w:val="none"/>
                <w:lang w:val="en-US" w:eastAsia="zh-CN"/>
              </w:rPr>
              <w:t>云系统、</w:t>
            </w:r>
            <w:r>
              <w:rPr>
                <w:rFonts w:hint="eastAsia" w:asciiTheme="minorEastAsia" w:hAnsiTheme="minorEastAsia" w:eastAsiaTheme="minorEastAsia" w:cstheme="minorEastAsia"/>
                <w:bCs/>
                <w:color w:val="auto"/>
                <w:sz w:val="24"/>
                <w:szCs w:val="24"/>
                <w:highlight w:val="none"/>
                <w:lang w:eastAsia="zh-CN"/>
              </w:rPr>
              <w:t>关键业务系统和数据安全制定了专项运维方案，提出日常巡检方案</w:t>
            </w:r>
            <w:r>
              <w:rPr>
                <w:rFonts w:hint="eastAsia" w:asciiTheme="minorEastAsia" w:hAnsiTheme="minorEastAsia" w:eastAsiaTheme="minorEastAsia" w:cstheme="minorEastAsia"/>
                <w:color w:val="auto"/>
                <w:kern w:val="0"/>
                <w:sz w:val="24"/>
                <w:szCs w:val="24"/>
                <w:highlight w:val="none"/>
                <w:shd w:val="clear" w:color="auto" w:fill="FFFFFF"/>
              </w:rPr>
              <w:t>。</w:t>
            </w:r>
          </w:p>
        </w:tc>
        <w:tc>
          <w:tcPr>
            <w:tcW w:w="1410" w:type="dxa"/>
            <w:tcBorders>
              <w:top w:val="single" w:color="auto" w:sz="4" w:space="0"/>
              <w:left w:val="single" w:color="auto" w:sz="4" w:space="0"/>
              <w:bottom w:val="single" w:color="auto" w:sz="4" w:space="0"/>
              <w:right w:val="single" w:color="auto" w:sz="4" w:space="0"/>
            </w:tcBorders>
            <w:vAlign w:val="center"/>
          </w:tcPr>
          <w:p w14:paraId="55121283">
            <w:pPr>
              <w:pStyle w:val="14"/>
              <w:keepNext w:val="0"/>
              <w:keepLines w:val="0"/>
              <w:pageBreakBefore w:val="0"/>
              <w:widowControl/>
              <w:kinsoku/>
              <w:wordWrap w:val="0"/>
              <w:overflowPunct/>
              <w:topLinePunct w:val="0"/>
              <w:autoSpaceDE/>
              <w:autoSpaceDN/>
              <w:bidi w:val="0"/>
              <w:spacing w:line="5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kern w:val="0"/>
                <w:sz w:val="24"/>
                <w:szCs w:val="24"/>
                <w:highlight w:val="none"/>
              </w:rPr>
              <w:t>0~</w:t>
            </w:r>
            <w:r>
              <w:rPr>
                <w:rFonts w:hint="eastAsia" w:asciiTheme="minorEastAsia" w:hAnsiTheme="minorEastAsia" w:eastAsiaTheme="minorEastAsia" w:cstheme="minorEastAsia"/>
                <w:bCs/>
                <w:color w:val="auto"/>
                <w:kern w:val="0"/>
                <w:sz w:val="24"/>
                <w:szCs w:val="24"/>
                <w:highlight w:val="none"/>
                <w:lang w:val="en-US" w:eastAsia="zh-CN"/>
              </w:rPr>
              <w:t>18</w:t>
            </w:r>
            <w:r>
              <w:rPr>
                <w:rFonts w:hint="eastAsia" w:asciiTheme="minorEastAsia" w:hAnsiTheme="minorEastAsia" w:eastAsiaTheme="minorEastAsia" w:cstheme="minorEastAsia"/>
                <w:bCs/>
                <w:color w:val="auto"/>
                <w:kern w:val="0"/>
                <w:sz w:val="24"/>
                <w:szCs w:val="24"/>
                <w:highlight w:val="none"/>
              </w:rPr>
              <w:t>分</w:t>
            </w:r>
            <w:r>
              <w:rPr>
                <w:rFonts w:hint="eastAsia" w:asciiTheme="minorEastAsia" w:hAnsiTheme="minorEastAsia" w:eastAsiaTheme="minorEastAsia" w:cstheme="minorEastAsia"/>
                <w:bCs/>
                <w:color w:val="auto"/>
                <w:kern w:val="0"/>
                <w:sz w:val="24"/>
                <w:szCs w:val="24"/>
                <w:highlight w:val="none"/>
                <w:lang w:eastAsia="zh-CN"/>
              </w:rPr>
              <w:t>（</w:t>
            </w:r>
            <w:r>
              <w:rPr>
                <w:rFonts w:hint="eastAsia" w:asciiTheme="minorEastAsia" w:hAnsiTheme="minorEastAsia" w:eastAsiaTheme="minorEastAsia" w:cstheme="minorEastAsia"/>
                <w:bCs/>
                <w:color w:val="auto"/>
                <w:kern w:val="0"/>
                <w:sz w:val="24"/>
                <w:szCs w:val="24"/>
                <w:highlight w:val="none"/>
                <w:lang w:val="en-US" w:eastAsia="zh-CN"/>
              </w:rPr>
              <w:t>主观分</w:t>
            </w:r>
            <w:r>
              <w:rPr>
                <w:rFonts w:hint="eastAsia" w:asciiTheme="minorEastAsia" w:hAnsiTheme="minorEastAsia" w:eastAsiaTheme="minorEastAsia" w:cstheme="minorEastAsia"/>
                <w:bCs/>
                <w:color w:val="auto"/>
                <w:kern w:val="0"/>
                <w:sz w:val="24"/>
                <w:szCs w:val="24"/>
                <w:highlight w:val="none"/>
                <w:lang w:eastAsia="zh-CN"/>
              </w:rPr>
              <w:t>）</w:t>
            </w:r>
          </w:p>
        </w:tc>
      </w:tr>
      <w:tr w14:paraId="59DBE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7" w:type="dxa"/>
            <w:vMerge w:val="continue"/>
            <w:tcBorders>
              <w:left w:val="single" w:color="auto" w:sz="4" w:space="0"/>
              <w:right w:val="single" w:color="auto" w:sz="4" w:space="0"/>
            </w:tcBorders>
          </w:tcPr>
          <w:p w14:paraId="5A7C4CE3">
            <w:pPr>
              <w:pStyle w:val="14"/>
              <w:keepNext w:val="0"/>
              <w:keepLines w:val="0"/>
              <w:pageBreakBefore w:val="0"/>
              <w:widowControl/>
              <w:kinsoku/>
              <w:wordWrap w:val="0"/>
              <w:overflowPunct/>
              <w:topLinePunct w:val="0"/>
              <w:autoSpaceDE/>
              <w:autoSpaceDN/>
              <w:bidi w:val="0"/>
              <w:spacing w:line="500" w:lineRule="exact"/>
              <w:rPr>
                <w:rFonts w:hint="eastAsia" w:asciiTheme="minorEastAsia" w:hAnsiTheme="minorEastAsia" w:eastAsiaTheme="minorEastAsia" w:cstheme="minorEastAsia"/>
                <w:bCs/>
                <w:color w:val="auto"/>
                <w:sz w:val="24"/>
                <w:szCs w:val="24"/>
                <w:highlight w:val="none"/>
              </w:rPr>
            </w:pPr>
          </w:p>
        </w:tc>
        <w:tc>
          <w:tcPr>
            <w:tcW w:w="1481" w:type="dxa"/>
            <w:tcBorders>
              <w:top w:val="single" w:color="auto" w:sz="4" w:space="0"/>
              <w:left w:val="single" w:color="auto" w:sz="4" w:space="0"/>
              <w:bottom w:val="single" w:color="auto" w:sz="4" w:space="0"/>
              <w:right w:val="single" w:color="auto" w:sz="4" w:space="0"/>
            </w:tcBorders>
            <w:vAlign w:val="center"/>
          </w:tcPr>
          <w:p w14:paraId="4E060DE4">
            <w:pPr>
              <w:keepNext w:val="0"/>
              <w:keepLines w:val="0"/>
              <w:pageBreakBefore w:val="0"/>
              <w:kinsoku/>
              <w:overflowPunct/>
              <w:topLinePunct w:val="0"/>
              <w:autoSpaceDE/>
              <w:autoSpaceDN/>
              <w:bidi w:val="0"/>
              <w:snapToGrid w:val="0"/>
              <w:spacing w:line="500" w:lineRule="exact"/>
              <w:jc w:val="center"/>
              <w:rPr>
                <w:rFonts w:hint="eastAsia" w:asciiTheme="minorEastAsia" w:hAnsiTheme="minorEastAsia" w:eastAsiaTheme="minorEastAsia" w:cstheme="minorEastAsia"/>
                <w:bCs/>
                <w:color w:val="auto"/>
                <w:kern w:val="0"/>
                <w:sz w:val="24"/>
                <w:szCs w:val="24"/>
                <w:highlight w:val="none"/>
              </w:rPr>
            </w:pP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lang w:val="en-US" w:eastAsia="zh-CN"/>
              </w:rPr>
              <w:t>3</w:t>
            </w: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rPr>
              <w:t>南宁市电子政务云平台二期运维服务</w:t>
            </w:r>
            <w:r>
              <w:rPr>
                <w:rFonts w:hint="eastAsia" w:asciiTheme="minorEastAsia" w:hAnsiTheme="minorEastAsia" w:eastAsiaTheme="minorEastAsia" w:cstheme="minorEastAsia"/>
                <w:bCs/>
                <w:color w:val="auto"/>
                <w:sz w:val="24"/>
                <w:szCs w:val="24"/>
                <w:highlight w:val="none"/>
                <w:lang w:eastAsia="zh-CN"/>
              </w:rPr>
              <w:t>应急处置</w:t>
            </w:r>
            <w:r>
              <w:rPr>
                <w:rFonts w:hint="eastAsia" w:asciiTheme="minorEastAsia" w:hAnsiTheme="minorEastAsia" w:eastAsiaTheme="minorEastAsia" w:cstheme="minorEastAsia"/>
                <w:bCs/>
                <w:color w:val="auto"/>
                <w:sz w:val="24"/>
                <w:szCs w:val="24"/>
                <w:highlight w:val="none"/>
              </w:rPr>
              <w:t>方案分</w:t>
            </w: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满分</w:t>
            </w:r>
            <w:r>
              <w:rPr>
                <w:rFonts w:hint="eastAsia" w:asciiTheme="minorEastAsia" w:hAnsiTheme="minorEastAsia" w:eastAsiaTheme="minorEastAsia" w:cstheme="minorEastAsia"/>
                <w:bCs/>
                <w:color w:val="auto"/>
                <w:sz w:val="24"/>
                <w:szCs w:val="24"/>
                <w:highlight w:val="none"/>
                <w:lang w:val="en-US" w:eastAsia="zh-CN"/>
              </w:rPr>
              <w:t>1</w:t>
            </w:r>
            <w:r>
              <w:rPr>
                <w:rFonts w:hint="eastAsia" w:asciiTheme="minorEastAsia" w:hAnsiTheme="minorEastAsia" w:eastAsiaTheme="minorEastAsia" w:cstheme="minorEastAsia"/>
                <w:bCs/>
                <w:color w:val="auto"/>
                <w:sz w:val="24"/>
                <w:szCs w:val="24"/>
                <w:highlight w:val="none"/>
                <w:lang w:eastAsia="zh-CN"/>
              </w:rPr>
              <w:t>0</w:t>
            </w:r>
            <w:r>
              <w:rPr>
                <w:rFonts w:hint="eastAsia" w:asciiTheme="minorEastAsia" w:hAnsiTheme="minorEastAsia" w:eastAsiaTheme="minorEastAsia" w:cstheme="minorEastAsia"/>
                <w:color w:val="auto"/>
                <w:sz w:val="24"/>
                <w:szCs w:val="24"/>
                <w:highlight w:val="none"/>
                <w:lang w:val="en-US" w:eastAsia="zh-CN"/>
              </w:rPr>
              <w:t>分，</w:t>
            </w:r>
            <w:r>
              <w:rPr>
                <w:rFonts w:hint="eastAsia" w:asciiTheme="minorEastAsia" w:hAnsiTheme="minorEastAsia" w:eastAsiaTheme="minorEastAsia" w:cstheme="minorEastAsia"/>
                <w:bCs/>
                <w:color w:val="auto"/>
                <w:sz w:val="24"/>
                <w:szCs w:val="24"/>
                <w:highlight w:val="none"/>
              </w:rPr>
              <w:t>不提供或不满足一档不得分。</w:t>
            </w:r>
            <w:r>
              <w:rPr>
                <w:rFonts w:hint="eastAsia" w:asciiTheme="minorEastAsia" w:hAnsiTheme="minorEastAsia" w:eastAsiaTheme="minorEastAsia" w:cstheme="minorEastAsia"/>
                <w:bCs/>
                <w:color w:val="auto"/>
                <w:sz w:val="24"/>
                <w:szCs w:val="24"/>
                <w:highlight w:val="none"/>
                <w:lang w:eastAsia="zh-CN"/>
              </w:rPr>
              <w:t>）</w:t>
            </w:r>
          </w:p>
        </w:tc>
        <w:tc>
          <w:tcPr>
            <w:tcW w:w="6554" w:type="dxa"/>
            <w:tcBorders>
              <w:top w:val="single" w:color="auto" w:sz="4" w:space="0"/>
              <w:left w:val="single" w:color="auto" w:sz="4" w:space="0"/>
              <w:bottom w:val="single" w:color="auto" w:sz="4" w:space="0"/>
              <w:right w:val="single" w:color="auto" w:sz="4" w:space="0"/>
            </w:tcBorders>
            <w:vAlign w:val="center"/>
          </w:tcPr>
          <w:p w14:paraId="3569C4B2">
            <w:pPr>
              <w:keepNext w:val="0"/>
              <w:keepLines w:val="0"/>
              <w:pageBreakBefore w:val="0"/>
              <w:tabs>
                <w:tab w:val="left" w:pos="2472"/>
              </w:tabs>
              <w:kinsoku/>
              <w:overflowPunct/>
              <w:topLinePunct w:val="0"/>
              <w:autoSpaceDE/>
              <w:autoSpaceDN/>
              <w:bidi w:val="0"/>
              <w:spacing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一档（5分）：提供服务应急</w:t>
            </w:r>
            <w:r>
              <w:rPr>
                <w:rFonts w:hint="eastAsia" w:asciiTheme="minorEastAsia" w:hAnsiTheme="minorEastAsia" w:eastAsiaTheme="minorEastAsia" w:cstheme="minorEastAsia"/>
                <w:color w:val="auto"/>
                <w:sz w:val="24"/>
                <w:szCs w:val="24"/>
                <w:highlight w:val="none"/>
                <w:lang w:eastAsia="zh-CN"/>
              </w:rPr>
              <w:t>处置方案</w:t>
            </w:r>
            <w:r>
              <w:rPr>
                <w:rFonts w:hint="eastAsia" w:asciiTheme="minorEastAsia" w:hAnsiTheme="minorEastAsia" w:eastAsiaTheme="minorEastAsia" w:cstheme="minorEastAsia"/>
                <w:color w:val="auto"/>
                <w:sz w:val="24"/>
                <w:szCs w:val="24"/>
                <w:highlight w:val="none"/>
              </w:rPr>
              <w:t>。提供包含基础要素的应急预案，至少包括：常见故障分类、值班联络表、基本处置流程</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流程符合政务云基础运维规范。</w:t>
            </w:r>
          </w:p>
          <w:p w14:paraId="15C10C8C">
            <w:pPr>
              <w:keepNext w:val="0"/>
              <w:keepLines w:val="0"/>
              <w:pageBreakBefore w:val="0"/>
              <w:tabs>
                <w:tab w:val="left" w:pos="2472"/>
              </w:tabs>
              <w:kinsoku/>
              <w:overflowPunct/>
              <w:topLinePunct w:val="0"/>
              <w:autoSpaceDE/>
              <w:autoSpaceDN/>
              <w:bidi w:val="0"/>
              <w:spacing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二档（7分）：</w:t>
            </w:r>
            <w:r>
              <w:rPr>
                <w:rFonts w:hint="eastAsia" w:asciiTheme="minorEastAsia" w:hAnsiTheme="minorEastAsia" w:eastAsiaTheme="minorEastAsia" w:cstheme="minorEastAsia"/>
                <w:bCs/>
                <w:color w:val="auto"/>
                <w:kern w:val="2"/>
                <w:sz w:val="24"/>
                <w:szCs w:val="24"/>
                <w:highlight w:val="none"/>
              </w:rPr>
              <w:t>投标人在满足一档的基础上，</w:t>
            </w:r>
            <w:r>
              <w:rPr>
                <w:rFonts w:hint="eastAsia" w:asciiTheme="minorEastAsia" w:hAnsiTheme="minorEastAsia" w:eastAsiaTheme="minorEastAsia" w:cstheme="minorEastAsia"/>
                <w:color w:val="auto"/>
                <w:sz w:val="24"/>
                <w:szCs w:val="24"/>
                <w:highlight w:val="none"/>
              </w:rPr>
              <w:t>形成</w:t>
            </w:r>
            <w:r>
              <w:rPr>
                <w:rFonts w:hint="eastAsia" w:asciiTheme="minorEastAsia" w:hAnsiTheme="minorEastAsia" w:eastAsiaTheme="minorEastAsia" w:cstheme="minorEastAsia"/>
                <w:color w:val="auto"/>
                <w:sz w:val="24"/>
                <w:szCs w:val="24"/>
                <w:highlight w:val="none"/>
                <w:lang w:eastAsia="zh-CN"/>
              </w:rPr>
              <w:t>详细</w:t>
            </w:r>
            <w:r>
              <w:rPr>
                <w:rFonts w:hint="eastAsia" w:asciiTheme="minorEastAsia" w:hAnsiTheme="minorEastAsia" w:eastAsiaTheme="minorEastAsia" w:cstheme="minorEastAsia"/>
                <w:color w:val="auto"/>
                <w:sz w:val="24"/>
                <w:szCs w:val="24"/>
                <w:highlight w:val="none"/>
              </w:rPr>
              <w:t>的应急方案，</w:t>
            </w:r>
            <w:r>
              <w:rPr>
                <w:rFonts w:hint="eastAsia" w:asciiTheme="minorEastAsia" w:hAnsiTheme="minorEastAsia" w:eastAsiaTheme="minorEastAsia" w:cstheme="minorEastAsia"/>
                <w:color w:val="auto"/>
                <w:sz w:val="24"/>
                <w:szCs w:val="24"/>
                <w:highlight w:val="none"/>
                <w:lang w:eastAsia="zh-CN"/>
              </w:rPr>
              <w:t>提供应急团队</w:t>
            </w:r>
            <w:r>
              <w:rPr>
                <w:rFonts w:hint="eastAsia" w:asciiTheme="minorEastAsia" w:hAnsiTheme="minorEastAsia" w:eastAsiaTheme="minorEastAsia" w:cstheme="minorEastAsia"/>
                <w:color w:val="auto"/>
                <w:sz w:val="24"/>
                <w:szCs w:val="24"/>
                <w:highlight w:val="none"/>
              </w:rPr>
              <w:t>组织架构</w:t>
            </w:r>
            <w:r>
              <w:rPr>
                <w:rFonts w:hint="eastAsia" w:asciiTheme="minorEastAsia" w:hAnsiTheme="minorEastAsia" w:eastAsiaTheme="minorEastAsia" w:cstheme="minorEastAsia"/>
                <w:color w:val="auto"/>
                <w:sz w:val="24"/>
                <w:szCs w:val="24"/>
                <w:highlight w:val="none"/>
                <w:lang w:eastAsia="zh-CN"/>
              </w:rPr>
              <w:t>，提出</w:t>
            </w:r>
            <w:r>
              <w:rPr>
                <w:rFonts w:hint="eastAsia" w:asciiTheme="minorEastAsia" w:hAnsiTheme="minorEastAsia" w:eastAsiaTheme="minorEastAsia" w:cstheme="minorEastAsia"/>
                <w:color w:val="auto"/>
                <w:sz w:val="24"/>
                <w:szCs w:val="24"/>
                <w:highlight w:val="none"/>
              </w:rPr>
              <w:t>分级响应机制、资源调度方案、事后处理流程</w:t>
            </w:r>
            <w:r>
              <w:rPr>
                <w:rFonts w:hint="eastAsia" w:asciiTheme="minorEastAsia" w:hAnsiTheme="minorEastAsia" w:eastAsiaTheme="minorEastAsia" w:cstheme="minorEastAsia"/>
                <w:color w:val="auto"/>
                <w:sz w:val="24"/>
                <w:szCs w:val="24"/>
                <w:highlight w:val="none"/>
                <w:lang w:val="en-US" w:eastAsia="zh-CN"/>
              </w:rPr>
              <w:t>等</w:t>
            </w:r>
            <w:r>
              <w:rPr>
                <w:rFonts w:hint="eastAsia" w:asciiTheme="minorEastAsia" w:hAnsiTheme="minorEastAsia" w:eastAsiaTheme="minorEastAsia" w:cstheme="minorEastAsia"/>
                <w:color w:val="auto"/>
                <w:sz w:val="24"/>
                <w:szCs w:val="24"/>
                <w:highlight w:val="none"/>
              </w:rPr>
              <w:t>。</w:t>
            </w:r>
          </w:p>
          <w:p w14:paraId="36E6D9ED">
            <w:pPr>
              <w:keepNext w:val="0"/>
              <w:keepLines w:val="0"/>
              <w:pageBreakBefore w:val="0"/>
              <w:widowControl/>
              <w:tabs>
                <w:tab w:val="left" w:pos="2472"/>
              </w:tabs>
              <w:kinsoku/>
              <w:overflowPunct/>
              <w:topLinePunct w:val="0"/>
              <w:autoSpaceDE/>
              <w:autoSpaceDN/>
              <w:bidi w:val="0"/>
              <w:spacing w:line="500" w:lineRule="exact"/>
              <w:ind w:firstLine="480" w:firstLineChars="200"/>
              <w:jc w:val="left"/>
              <w:rPr>
                <w:rFonts w:hint="eastAsia" w:asciiTheme="minorEastAsia" w:hAnsiTheme="minorEastAsia" w:eastAsiaTheme="minorEastAsia" w:cstheme="minorEastAsia"/>
                <w:bCs/>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三档（10分）：</w:t>
            </w:r>
            <w:r>
              <w:rPr>
                <w:rFonts w:hint="eastAsia" w:asciiTheme="minorEastAsia" w:hAnsiTheme="minorEastAsia" w:eastAsiaTheme="minorEastAsia" w:cstheme="minorEastAsia"/>
                <w:bCs/>
                <w:color w:val="auto"/>
                <w:kern w:val="2"/>
                <w:sz w:val="24"/>
                <w:szCs w:val="24"/>
                <w:highlight w:val="none"/>
              </w:rPr>
              <w:t>投标人在满足</w:t>
            </w:r>
            <w:r>
              <w:rPr>
                <w:rFonts w:hint="eastAsia" w:asciiTheme="minorEastAsia" w:hAnsiTheme="minorEastAsia" w:eastAsiaTheme="minorEastAsia" w:cstheme="minorEastAsia"/>
                <w:bCs/>
                <w:color w:val="auto"/>
                <w:kern w:val="2"/>
                <w:sz w:val="24"/>
                <w:szCs w:val="24"/>
                <w:highlight w:val="none"/>
                <w:lang w:eastAsia="zh-CN"/>
              </w:rPr>
              <w:t>二</w:t>
            </w:r>
            <w:r>
              <w:rPr>
                <w:rFonts w:hint="eastAsia" w:asciiTheme="minorEastAsia" w:hAnsiTheme="minorEastAsia" w:eastAsiaTheme="minorEastAsia" w:cstheme="minorEastAsia"/>
                <w:bCs/>
                <w:color w:val="auto"/>
                <w:kern w:val="2"/>
                <w:sz w:val="24"/>
                <w:szCs w:val="24"/>
                <w:highlight w:val="none"/>
              </w:rPr>
              <w:t>档的基础上，</w:t>
            </w:r>
            <w:r>
              <w:rPr>
                <w:rFonts w:hint="eastAsia" w:asciiTheme="minorEastAsia" w:hAnsiTheme="minorEastAsia" w:eastAsiaTheme="minorEastAsia" w:cstheme="minorEastAsia"/>
                <w:color w:val="auto"/>
                <w:sz w:val="24"/>
                <w:szCs w:val="24"/>
                <w:highlight w:val="none"/>
              </w:rPr>
              <w:t>明确详细的处置流程、风险点控制措施</w:t>
            </w:r>
            <w:r>
              <w:rPr>
                <w:rFonts w:hint="eastAsia" w:asciiTheme="minorEastAsia" w:hAnsiTheme="minorEastAsia" w:eastAsiaTheme="minorEastAsia" w:cstheme="minorEastAsia"/>
                <w:color w:val="auto"/>
                <w:sz w:val="24"/>
                <w:szCs w:val="24"/>
                <w:highlight w:val="none"/>
                <w:lang w:eastAsia="zh-CN"/>
              </w:rPr>
              <w:t>，提供应急演练方案，</w:t>
            </w:r>
            <w:r>
              <w:rPr>
                <w:rFonts w:hint="eastAsia" w:asciiTheme="minorEastAsia" w:hAnsiTheme="minorEastAsia" w:eastAsiaTheme="minorEastAsia" w:cstheme="minorEastAsia"/>
                <w:bCs/>
                <w:color w:val="auto"/>
                <w:sz w:val="24"/>
                <w:szCs w:val="24"/>
                <w:highlight w:val="none"/>
                <w:lang w:eastAsia="zh-CN"/>
              </w:rPr>
              <w:t>应急处置分析</w:t>
            </w:r>
            <w:r>
              <w:rPr>
                <w:rFonts w:hint="eastAsia" w:asciiTheme="minorEastAsia" w:hAnsiTheme="minorEastAsia" w:eastAsiaTheme="minorEastAsia" w:cstheme="minorEastAsia"/>
                <w:color w:val="auto"/>
                <w:sz w:val="24"/>
                <w:szCs w:val="24"/>
                <w:highlight w:val="none"/>
              </w:rPr>
              <w:t>覆盖主要故障场景。</w:t>
            </w:r>
          </w:p>
        </w:tc>
        <w:tc>
          <w:tcPr>
            <w:tcW w:w="1410" w:type="dxa"/>
            <w:tcBorders>
              <w:top w:val="single" w:color="auto" w:sz="4" w:space="0"/>
              <w:left w:val="single" w:color="auto" w:sz="4" w:space="0"/>
              <w:bottom w:val="single" w:color="auto" w:sz="4" w:space="0"/>
              <w:right w:val="single" w:color="auto" w:sz="4" w:space="0"/>
            </w:tcBorders>
            <w:vAlign w:val="center"/>
          </w:tcPr>
          <w:p w14:paraId="19AB0030">
            <w:pPr>
              <w:pStyle w:val="14"/>
              <w:keepNext w:val="0"/>
              <w:keepLines w:val="0"/>
              <w:pageBreakBefore w:val="0"/>
              <w:widowControl/>
              <w:kinsoku/>
              <w:wordWrap w:val="0"/>
              <w:overflowPunct/>
              <w:topLinePunct w:val="0"/>
              <w:autoSpaceDE/>
              <w:autoSpaceDN/>
              <w:bidi w:val="0"/>
              <w:spacing w:line="5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kern w:val="0"/>
                <w:sz w:val="24"/>
                <w:szCs w:val="24"/>
                <w:highlight w:val="none"/>
              </w:rPr>
              <w:t>0~</w:t>
            </w:r>
            <w:r>
              <w:rPr>
                <w:rFonts w:hint="eastAsia" w:asciiTheme="minorEastAsia" w:hAnsiTheme="minorEastAsia" w:eastAsiaTheme="minorEastAsia" w:cstheme="minorEastAsia"/>
                <w:bCs/>
                <w:color w:val="auto"/>
                <w:kern w:val="0"/>
                <w:sz w:val="24"/>
                <w:szCs w:val="24"/>
                <w:highlight w:val="none"/>
                <w:lang w:val="en-US" w:eastAsia="zh-CN"/>
              </w:rPr>
              <w:t>10</w:t>
            </w:r>
            <w:r>
              <w:rPr>
                <w:rFonts w:hint="eastAsia" w:asciiTheme="minorEastAsia" w:hAnsiTheme="minorEastAsia" w:eastAsiaTheme="minorEastAsia" w:cstheme="minorEastAsia"/>
                <w:bCs/>
                <w:color w:val="auto"/>
                <w:kern w:val="0"/>
                <w:sz w:val="24"/>
                <w:szCs w:val="24"/>
                <w:highlight w:val="none"/>
              </w:rPr>
              <w:t>分</w:t>
            </w:r>
            <w:r>
              <w:rPr>
                <w:rFonts w:hint="eastAsia" w:asciiTheme="minorEastAsia" w:hAnsiTheme="minorEastAsia" w:eastAsiaTheme="minorEastAsia" w:cstheme="minorEastAsia"/>
                <w:bCs/>
                <w:color w:val="auto"/>
                <w:kern w:val="0"/>
                <w:sz w:val="24"/>
                <w:szCs w:val="24"/>
                <w:highlight w:val="none"/>
                <w:lang w:eastAsia="zh-CN"/>
              </w:rPr>
              <w:t>（</w:t>
            </w:r>
            <w:r>
              <w:rPr>
                <w:rFonts w:hint="eastAsia" w:asciiTheme="minorEastAsia" w:hAnsiTheme="minorEastAsia" w:eastAsiaTheme="minorEastAsia" w:cstheme="minorEastAsia"/>
                <w:bCs/>
                <w:color w:val="auto"/>
                <w:kern w:val="0"/>
                <w:sz w:val="24"/>
                <w:szCs w:val="24"/>
                <w:highlight w:val="none"/>
                <w:lang w:val="en-US" w:eastAsia="zh-CN"/>
              </w:rPr>
              <w:t>主观分</w:t>
            </w:r>
            <w:r>
              <w:rPr>
                <w:rFonts w:hint="eastAsia" w:asciiTheme="minorEastAsia" w:hAnsiTheme="minorEastAsia" w:eastAsiaTheme="minorEastAsia" w:cstheme="minorEastAsia"/>
                <w:bCs/>
                <w:color w:val="auto"/>
                <w:kern w:val="0"/>
                <w:sz w:val="24"/>
                <w:szCs w:val="24"/>
                <w:highlight w:val="none"/>
                <w:lang w:eastAsia="zh-CN"/>
              </w:rPr>
              <w:t>）</w:t>
            </w:r>
          </w:p>
        </w:tc>
      </w:tr>
      <w:tr w14:paraId="37A12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7" w:type="dxa"/>
            <w:vMerge w:val="continue"/>
            <w:tcBorders>
              <w:left w:val="single" w:color="auto" w:sz="4" w:space="0"/>
              <w:right w:val="single" w:color="auto" w:sz="4" w:space="0"/>
            </w:tcBorders>
          </w:tcPr>
          <w:p w14:paraId="1B8175AF">
            <w:pPr>
              <w:pStyle w:val="14"/>
              <w:keepNext w:val="0"/>
              <w:keepLines w:val="0"/>
              <w:pageBreakBefore w:val="0"/>
              <w:widowControl/>
              <w:kinsoku/>
              <w:wordWrap w:val="0"/>
              <w:overflowPunct/>
              <w:topLinePunct w:val="0"/>
              <w:autoSpaceDE/>
              <w:autoSpaceDN/>
              <w:bidi w:val="0"/>
              <w:spacing w:line="500" w:lineRule="exact"/>
              <w:rPr>
                <w:rFonts w:hint="eastAsia" w:asciiTheme="minorEastAsia" w:hAnsiTheme="minorEastAsia" w:eastAsiaTheme="minorEastAsia" w:cstheme="minorEastAsia"/>
                <w:bCs/>
                <w:color w:val="auto"/>
                <w:sz w:val="24"/>
                <w:szCs w:val="24"/>
                <w:highlight w:val="none"/>
              </w:rPr>
            </w:pPr>
          </w:p>
        </w:tc>
        <w:tc>
          <w:tcPr>
            <w:tcW w:w="1481" w:type="dxa"/>
            <w:tcBorders>
              <w:top w:val="single" w:color="auto" w:sz="4" w:space="0"/>
              <w:left w:val="single" w:color="auto" w:sz="4" w:space="0"/>
              <w:bottom w:val="single" w:color="auto" w:sz="4" w:space="0"/>
              <w:right w:val="single" w:color="auto" w:sz="4" w:space="0"/>
            </w:tcBorders>
            <w:vAlign w:val="center"/>
          </w:tcPr>
          <w:p w14:paraId="0A5191CB">
            <w:pPr>
              <w:keepNext w:val="0"/>
              <w:keepLines w:val="0"/>
              <w:pageBreakBefore w:val="0"/>
              <w:kinsoku/>
              <w:overflowPunct/>
              <w:topLinePunct w:val="0"/>
              <w:autoSpaceDE/>
              <w:autoSpaceDN/>
              <w:bidi w:val="0"/>
              <w:snapToGrid w:val="0"/>
              <w:spacing w:line="500" w:lineRule="exact"/>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lang w:val="en-US" w:eastAsia="zh-CN"/>
              </w:rPr>
              <w:t>4</w:t>
            </w: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南宁市电子政务云云平台多云监管平台运维服务</w:t>
            </w:r>
            <w:r>
              <w:rPr>
                <w:rFonts w:hint="eastAsia" w:asciiTheme="minorEastAsia" w:hAnsiTheme="minorEastAsia" w:eastAsiaTheme="minorEastAsia" w:cstheme="minorEastAsia"/>
                <w:color w:val="auto"/>
                <w:sz w:val="24"/>
                <w:szCs w:val="24"/>
                <w:highlight w:val="none"/>
                <w:lang w:eastAsia="zh-CN"/>
              </w:rPr>
              <w:t>方案分（</w:t>
            </w:r>
            <w:r>
              <w:rPr>
                <w:rFonts w:hint="eastAsia" w:asciiTheme="minorEastAsia" w:hAnsiTheme="minorEastAsia" w:eastAsiaTheme="minorEastAsia" w:cstheme="minorEastAsia"/>
                <w:color w:val="auto"/>
                <w:sz w:val="24"/>
                <w:szCs w:val="24"/>
                <w:highlight w:val="none"/>
              </w:rPr>
              <w:t>满分</w:t>
            </w:r>
            <w:r>
              <w:rPr>
                <w:rFonts w:hint="eastAsia" w:asciiTheme="minorEastAsia" w:hAnsiTheme="minorEastAsia" w:eastAsiaTheme="minorEastAsia" w:cstheme="minorEastAsia"/>
                <w:color w:val="auto"/>
                <w:sz w:val="24"/>
                <w:szCs w:val="24"/>
                <w:highlight w:val="none"/>
                <w:lang w:val="en-US" w:eastAsia="zh-CN"/>
              </w:rPr>
              <w:t>15分，</w:t>
            </w:r>
            <w:r>
              <w:rPr>
                <w:rFonts w:hint="eastAsia" w:asciiTheme="minorEastAsia" w:hAnsiTheme="minorEastAsia" w:eastAsiaTheme="minorEastAsia" w:cstheme="minorEastAsia"/>
                <w:bCs/>
                <w:color w:val="auto"/>
                <w:sz w:val="24"/>
                <w:szCs w:val="24"/>
                <w:highlight w:val="none"/>
              </w:rPr>
              <w:t>不提供或不满足一档不得分。</w:t>
            </w:r>
            <w:r>
              <w:rPr>
                <w:rFonts w:hint="eastAsia" w:asciiTheme="minorEastAsia" w:hAnsiTheme="minorEastAsia" w:eastAsiaTheme="minorEastAsia" w:cstheme="minorEastAsia"/>
                <w:color w:val="auto"/>
                <w:sz w:val="24"/>
                <w:szCs w:val="24"/>
                <w:highlight w:val="none"/>
                <w:lang w:eastAsia="zh-CN"/>
              </w:rPr>
              <w:t>）</w:t>
            </w:r>
          </w:p>
        </w:tc>
        <w:tc>
          <w:tcPr>
            <w:tcW w:w="6554" w:type="dxa"/>
            <w:tcBorders>
              <w:top w:val="single" w:color="auto" w:sz="4" w:space="0"/>
              <w:left w:val="single" w:color="auto" w:sz="4" w:space="0"/>
              <w:bottom w:val="single" w:color="auto" w:sz="4" w:space="0"/>
              <w:right w:val="single" w:color="auto" w:sz="4" w:space="0"/>
            </w:tcBorders>
            <w:vAlign w:val="center"/>
          </w:tcPr>
          <w:p w14:paraId="2658AA36">
            <w:pPr>
              <w:keepNext w:val="0"/>
              <w:keepLines w:val="0"/>
              <w:pageBreakBefore w:val="0"/>
              <w:tabs>
                <w:tab w:val="left" w:pos="2472"/>
              </w:tabs>
              <w:kinsoku/>
              <w:overflowPunct/>
              <w:topLinePunct w:val="0"/>
              <w:autoSpaceDE/>
              <w:autoSpaceDN/>
              <w:bidi w:val="0"/>
              <w:spacing w:line="500" w:lineRule="exact"/>
              <w:ind w:firstLine="480" w:firstLineChars="200"/>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一档（</w:t>
            </w:r>
            <w:r>
              <w:rPr>
                <w:rFonts w:hint="eastAsia" w:asciiTheme="minorEastAsia" w:hAnsiTheme="minorEastAsia" w:eastAsiaTheme="minorEastAsia" w:cstheme="minorEastAsia"/>
                <w:bCs/>
                <w:color w:val="auto"/>
                <w:sz w:val="24"/>
                <w:szCs w:val="24"/>
                <w:highlight w:val="none"/>
                <w:lang w:val="en-US" w:eastAsia="zh-CN"/>
              </w:rPr>
              <w:t>5</w:t>
            </w:r>
            <w:r>
              <w:rPr>
                <w:rFonts w:hint="eastAsia" w:asciiTheme="minorEastAsia" w:hAnsiTheme="minorEastAsia" w:eastAsiaTheme="minorEastAsia" w:cstheme="minorEastAsia"/>
                <w:bCs/>
                <w:color w:val="auto"/>
                <w:sz w:val="24"/>
                <w:szCs w:val="24"/>
                <w:highlight w:val="none"/>
              </w:rPr>
              <w:t>分）：</w:t>
            </w:r>
            <w:r>
              <w:rPr>
                <w:rFonts w:hint="eastAsia" w:asciiTheme="minorEastAsia" w:hAnsiTheme="minorEastAsia" w:eastAsiaTheme="minorEastAsia" w:cstheme="minorEastAsia"/>
                <w:bCs/>
                <w:color w:val="auto"/>
                <w:sz w:val="24"/>
                <w:szCs w:val="24"/>
                <w:highlight w:val="none"/>
                <w:lang w:eastAsia="zh-CN"/>
              </w:rPr>
              <w:t>投标人</w:t>
            </w:r>
            <w:r>
              <w:rPr>
                <w:rFonts w:hint="eastAsia" w:asciiTheme="minorEastAsia" w:hAnsiTheme="minorEastAsia" w:eastAsiaTheme="minorEastAsia" w:cstheme="minorEastAsia"/>
                <w:bCs/>
                <w:color w:val="auto"/>
                <w:sz w:val="24"/>
                <w:szCs w:val="24"/>
                <w:highlight w:val="none"/>
              </w:rPr>
              <w:t>提供运维服务方案，对项目现状与需求</w:t>
            </w:r>
            <w:r>
              <w:rPr>
                <w:rFonts w:hint="eastAsia" w:asciiTheme="minorEastAsia" w:hAnsiTheme="minorEastAsia" w:eastAsiaTheme="minorEastAsia" w:cstheme="minorEastAsia"/>
                <w:bCs/>
                <w:color w:val="auto"/>
                <w:sz w:val="24"/>
                <w:szCs w:val="24"/>
                <w:highlight w:val="none"/>
                <w:lang w:eastAsia="zh-CN"/>
              </w:rPr>
              <w:t>进行分析</w:t>
            </w: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bCs/>
                <w:color w:val="auto"/>
                <w:sz w:val="24"/>
                <w:szCs w:val="24"/>
                <w:highlight w:val="none"/>
                <w:lang w:eastAsia="zh-CN"/>
              </w:rPr>
              <w:t>有</w:t>
            </w:r>
            <w:r>
              <w:rPr>
                <w:rFonts w:hint="eastAsia" w:asciiTheme="minorEastAsia" w:hAnsiTheme="minorEastAsia" w:eastAsiaTheme="minorEastAsia" w:cstheme="minorEastAsia"/>
                <w:bCs/>
                <w:color w:val="auto"/>
                <w:sz w:val="24"/>
                <w:szCs w:val="24"/>
                <w:highlight w:val="none"/>
              </w:rPr>
              <w:t>具体执行计划和保障措施，</w:t>
            </w:r>
            <w:r>
              <w:rPr>
                <w:rFonts w:hint="eastAsia" w:asciiTheme="minorEastAsia" w:hAnsiTheme="minorEastAsia" w:eastAsiaTheme="minorEastAsia" w:cstheme="minorEastAsia"/>
                <w:bCs/>
                <w:color w:val="auto"/>
                <w:sz w:val="24"/>
                <w:szCs w:val="24"/>
                <w:highlight w:val="none"/>
                <w:lang w:eastAsia="zh-CN"/>
              </w:rPr>
              <w:t>响应的</w:t>
            </w:r>
            <w:r>
              <w:rPr>
                <w:rFonts w:hint="eastAsia" w:asciiTheme="minorEastAsia" w:hAnsiTheme="minorEastAsia" w:eastAsiaTheme="minorEastAsia" w:cstheme="minorEastAsia"/>
                <w:bCs/>
                <w:color w:val="auto"/>
                <w:sz w:val="24"/>
                <w:szCs w:val="24"/>
                <w:highlight w:val="none"/>
              </w:rPr>
              <w:t>服务参数满足招标文件要求。</w:t>
            </w:r>
          </w:p>
          <w:p w14:paraId="34C72869">
            <w:pPr>
              <w:keepNext w:val="0"/>
              <w:keepLines w:val="0"/>
              <w:pageBreakBefore w:val="0"/>
              <w:tabs>
                <w:tab w:val="left" w:pos="2472"/>
              </w:tabs>
              <w:kinsoku/>
              <w:overflowPunct/>
              <w:topLinePunct w:val="0"/>
              <w:autoSpaceDE/>
              <w:autoSpaceDN/>
              <w:bidi w:val="0"/>
              <w:spacing w:line="500" w:lineRule="exact"/>
              <w:ind w:firstLine="480" w:firstLineChars="200"/>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二档（1</w:t>
            </w:r>
            <w:r>
              <w:rPr>
                <w:rFonts w:hint="eastAsia" w:asciiTheme="minorEastAsia" w:hAnsiTheme="minorEastAsia" w:eastAsiaTheme="minorEastAsia" w:cstheme="minorEastAsia"/>
                <w:bCs/>
                <w:color w:val="auto"/>
                <w:sz w:val="24"/>
                <w:szCs w:val="24"/>
                <w:highlight w:val="none"/>
                <w:lang w:val="en-US" w:eastAsia="zh-CN"/>
              </w:rPr>
              <w:t>0</w:t>
            </w:r>
            <w:r>
              <w:rPr>
                <w:rFonts w:hint="eastAsia" w:asciiTheme="minorEastAsia" w:hAnsiTheme="minorEastAsia" w:eastAsiaTheme="minorEastAsia" w:cstheme="minorEastAsia"/>
                <w:bCs/>
                <w:color w:val="auto"/>
                <w:sz w:val="24"/>
                <w:szCs w:val="24"/>
                <w:highlight w:val="none"/>
              </w:rPr>
              <w:t>分）：</w:t>
            </w:r>
            <w:r>
              <w:rPr>
                <w:rFonts w:hint="eastAsia" w:asciiTheme="minorEastAsia" w:hAnsiTheme="minorEastAsia" w:eastAsiaTheme="minorEastAsia" w:cstheme="minorEastAsia"/>
                <w:bCs/>
                <w:color w:val="auto"/>
                <w:kern w:val="2"/>
                <w:sz w:val="24"/>
                <w:szCs w:val="24"/>
                <w:highlight w:val="none"/>
              </w:rPr>
              <w:t>投标人在满足一档的基础上，</w:t>
            </w:r>
            <w:r>
              <w:rPr>
                <w:rFonts w:hint="eastAsia" w:asciiTheme="minorEastAsia" w:hAnsiTheme="minorEastAsia" w:eastAsiaTheme="minorEastAsia" w:cstheme="minorEastAsia"/>
                <w:bCs/>
                <w:color w:val="auto"/>
                <w:sz w:val="24"/>
                <w:szCs w:val="24"/>
                <w:highlight w:val="none"/>
              </w:rPr>
              <w:t>提供服务承诺、运维质量保证措施，能够对云业务咨询、开通、性能调优等方面提供解决方案，并承诺中标后提供多云管理平台软件原厂商运维服务授权。</w:t>
            </w:r>
          </w:p>
          <w:p w14:paraId="3C16D88B">
            <w:pPr>
              <w:keepNext w:val="0"/>
              <w:keepLines w:val="0"/>
              <w:pageBreakBefore w:val="0"/>
              <w:widowControl/>
              <w:kinsoku/>
              <w:overflowPunct/>
              <w:topLinePunct w:val="0"/>
              <w:autoSpaceDE/>
              <w:autoSpaceDN/>
              <w:bidi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sz w:val="24"/>
                <w:szCs w:val="24"/>
                <w:highlight w:val="none"/>
              </w:rPr>
              <w:t>三档（</w:t>
            </w:r>
            <w:r>
              <w:rPr>
                <w:rFonts w:hint="eastAsia" w:asciiTheme="minorEastAsia" w:hAnsiTheme="minorEastAsia" w:eastAsiaTheme="minorEastAsia" w:cstheme="minorEastAsia"/>
                <w:bCs/>
                <w:color w:val="auto"/>
                <w:sz w:val="24"/>
                <w:szCs w:val="24"/>
                <w:highlight w:val="none"/>
                <w:lang w:val="en-US" w:eastAsia="zh-CN"/>
              </w:rPr>
              <w:t>1</w:t>
            </w:r>
            <w:r>
              <w:rPr>
                <w:rFonts w:hint="eastAsia" w:asciiTheme="minorEastAsia" w:hAnsiTheme="minorEastAsia" w:eastAsiaTheme="minorEastAsia" w:cstheme="minorEastAsia"/>
                <w:bCs/>
                <w:color w:val="auto"/>
                <w:sz w:val="24"/>
                <w:szCs w:val="24"/>
                <w:highlight w:val="none"/>
              </w:rPr>
              <w:t>5分）：</w:t>
            </w:r>
            <w:r>
              <w:rPr>
                <w:rFonts w:hint="eastAsia" w:asciiTheme="minorEastAsia" w:hAnsiTheme="minorEastAsia" w:eastAsiaTheme="minorEastAsia" w:cstheme="minorEastAsia"/>
                <w:bCs/>
                <w:color w:val="auto"/>
                <w:kern w:val="2"/>
                <w:sz w:val="24"/>
                <w:szCs w:val="24"/>
                <w:highlight w:val="none"/>
              </w:rPr>
              <w:t>投标人在满足</w:t>
            </w:r>
            <w:r>
              <w:rPr>
                <w:rFonts w:hint="eastAsia" w:asciiTheme="minorEastAsia" w:hAnsiTheme="minorEastAsia" w:eastAsiaTheme="minorEastAsia" w:cstheme="minorEastAsia"/>
                <w:bCs/>
                <w:color w:val="auto"/>
                <w:kern w:val="2"/>
                <w:sz w:val="24"/>
                <w:szCs w:val="24"/>
                <w:highlight w:val="none"/>
                <w:lang w:eastAsia="zh-CN"/>
              </w:rPr>
              <w:t>二</w:t>
            </w:r>
            <w:r>
              <w:rPr>
                <w:rFonts w:hint="eastAsia" w:asciiTheme="minorEastAsia" w:hAnsiTheme="minorEastAsia" w:eastAsiaTheme="minorEastAsia" w:cstheme="minorEastAsia"/>
                <w:bCs/>
                <w:color w:val="auto"/>
                <w:kern w:val="2"/>
                <w:sz w:val="24"/>
                <w:szCs w:val="24"/>
                <w:highlight w:val="none"/>
              </w:rPr>
              <w:t>档的基础上</w:t>
            </w: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bCs/>
                <w:color w:val="auto"/>
                <w:sz w:val="24"/>
                <w:szCs w:val="24"/>
                <w:highlight w:val="none"/>
                <w:lang w:eastAsia="zh-CN"/>
              </w:rPr>
              <w:t>提供</w:t>
            </w:r>
            <w:r>
              <w:rPr>
                <w:rFonts w:hint="eastAsia" w:asciiTheme="minorEastAsia" w:hAnsiTheme="minorEastAsia" w:eastAsiaTheme="minorEastAsia" w:cstheme="minorEastAsia"/>
                <w:bCs/>
                <w:color w:val="auto"/>
                <w:sz w:val="24"/>
                <w:szCs w:val="24"/>
                <w:highlight w:val="none"/>
              </w:rPr>
              <w:t>运维组织体系、明确的运维流程</w:t>
            </w:r>
            <w:r>
              <w:rPr>
                <w:rFonts w:hint="eastAsia" w:asciiTheme="minorEastAsia" w:hAnsiTheme="minorEastAsia" w:eastAsiaTheme="minorEastAsia" w:cstheme="minorEastAsia"/>
                <w:bCs/>
                <w:color w:val="auto"/>
                <w:sz w:val="24"/>
                <w:szCs w:val="24"/>
                <w:highlight w:val="none"/>
                <w:lang w:eastAsia="zh-CN"/>
              </w:rPr>
              <w:t>，提出</w:t>
            </w:r>
            <w:r>
              <w:rPr>
                <w:rFonts w:hint="eastAsia" w:asciiTheme="minorEastAsia" w:hAnsiTheme="minorEastAsia" w:eastAsiaTheme="minorEastAsia" w:cstheme="minorEastAsia"/>
                <w:b w:val="0"/>
                <w:color w:val="auto"/>
                <w:sz w:val="24"/>
                <w:szCs w:val="24"/>
                <w:highlight w:val="none"/>
              </w:rPr>
              <w:t>巡查巡检服务</w:t>
            </w:r>
            <w:r>
              <w:rPr>
                <w:rFonts w:hint="eastAsia" w:asciiTheme="minorEastAsia" w:hAnsiTheme="minorEastAsia" w:eastAsiaTheme="minorEastAsia" w:cstheme="minorEastAsia"/>
                <w:bCs/>
                <w:color w:val="auto"/>
                <w:sz w:val="24"/>
                <w:szCs w:val="24"/>
                <w:highlight w:val="none"/>
                <w:lang w:eastAsia="zh-CN"/>
              </w:rPr>
              <w:t>方案</w:t>
            </w:r>
            <w:r>
              <w:rPr>
                <w:rFonts w:hint="eastAsia" w:asciiTheme="minorEastAsia" w:hAnsiTheme="minorEastAsia" w:eastAsiaTheme="minorEastAsia" w:cstheme="minorEastAsia"/>
                <w:bCs/>
                <w:color w:val="auto"/>
                <w:sz w:val="24"/>
                <w:szCs w:val="24"/>
                <w:highlight w:val="none"/>
              </w:rPr>
              <w:t>和培训方案</w:t>
            </w:r>
            <w:r>
              <w:rPr>
                <w:rFonts w:hint="eastAsia" w:asciiTheme="minorEastAsia" w:hAnsiTheme="minorEastAsia" w:eastAsiaTheme="minorEastAsia" w:cstheme="minorEastAsia"/>
                <w:bCs/>
                <w:color w:val="auto"/>
                <w:sz w:val="24"/>
                <w:szCs w:val="24"/>
                <w:highlight w:val="none"/>
                <w:lang w:eastAsia="zh-CN"/>
              </w:rPr>
              <w:t>。</w:t>
            </w:r>
          </w:p>
        </w:tc>
        <w:tc>
          <w:tcPr>
            <w:tcW w:w="1410" w:type="dxa"/>
            <w:tcBorders>
              <w:top w:val="single" w:color="auto" w:sz="4" w:space="0"/>
              <w:left w:val="single" w:color="auto" w:sz="4" w:space="0"/>
              <w:bottom w:val="single" w:color="auto" w:sz="4" w:space="0"/>
              <w:right w:val="single" w:color="auto" w:sz="4" w:space="0"/>
            </w:tcBorders>
            <w:vAlign w:val="center"/>
          </w:tcPr>
          <w:p w14:paraId="61E8DB36">
            <w:pPr>
              <w:pStyle w:val="14"/>
              <w:keepNext w:val="0"/>
              <w:keepLines w:val="0"/>
              <w:pageBreakBefore w:val="0"/>
              <w:widowControl/>
              <w:kinsoku/>
              <w:wordWrap w:val="0"/>
              <w:overflowPunct/>
              <w:topLinePunct w:val="0"/>
              <w:autoSpaceDE/>
              <w:autoSpaceDN/>
              <w:bidi w:val="0"/>
              <w:spacing w:line="500" w:lineRule="exact"/>
              <w:jc w:val="center"/>
              <w:rPr>
                <w:rFonts w:hint="eastAsia" w:asciiTheme="minorEastAsia" w:hAnsiTheme="minorEastAsia" w:eastAsiaTheme="minorEastAsia" w:cstheme="minorEastAsia"/>
                <w:bCs/>
                <w:color w:val="auto"/>
                <w:kern w:val="0"/>
                <w:sz w:val="24"/>
                <w:szCs w:val="24"/>
                <w:highlight w:val="none"/>
              </w:rPr>
            </w:pPr>
            <w:r>
              <w:rPr>
                <w:rFonts w:hint="eastAsia" w:asciiTheme="minorEastAsia" w:hAnsiTheme="minorEastAsia" w:eastAsiaTheme="minorEastAsia" w:cstheme="minorEastAsia"/>
                <w:bCs/>
                <w:color w:val="auto"/>
                <w:kern w:val="0"/>
                <w:sz w:val="24"/>
                <w:szCs w:val="24"/>
                <w:highlight w:val="none"/>
              </w:rPr>
              <w:t>0~15分</w:t>
            </w:r>
            <w:r>
              <w:rPr>
                <w:rFonts w:hint="eastAsia" w:asciiTheme="minorEastAsia" w:hAnsiTheme="minorEastAsia" w:eastAsiaTheme="minorEastAsia" w:cstheme="minorEastAsia"/>
                <w:bCs/>
                <w:color w:val="auto"/>
                <w:kern w:val="0"/>
                <w:sz w:val="24"/>
                <w:szCs w:val="24"/>
                <w:highlight w:val="none"/>
                <w:lang w:eastAsia="zh-CN"/>
              </w:rPr>
              <w:t>（</w:t>
            </w:r>
            <w:r>
              <w:rPr>
                <w:rFonts w:hint="eastAsia" w:asciiTheme="minorEastAsia" w:hAnsiTheme="minorEastAsia" w:eastAsiaTheme="minorEastAsia" w:cstheme="minorEastAsia"/>
                <w:bCs/>
                <w:color w:val="auto"/>
                <w:kern w:val="0"/>
                <w:sz w:val="24"/>
                <w:szCs w:val="24"/>
                <w:highlight w:val="none"/>
                <w:lang w:val="en-US" w:eastAsia="zh-CN"/>
              </w:rPr>
              <w:t>主观分</w:t>
            </w:r>
            <w:r>
              <w:rPr>
                <w:rFonts w:hint="eastAsia" w:asciiTheme="minorEastAsia" w:hAnsiTheme="minorEastAsia" w:eastAsiaTheme="minorEastAsia" w:cstheme="minorEastAsia"/>
                <w:bCs/>
                <w:color w:val="auto"/>
                <w:kern w:val="0"/>
                <w:sz w:val="24"/>
                <w:szCs w:val="24"/>
                <w:highlight w:val="none"/>
                <w:lang w:eastAsia="zh-CN"/>
              </w:rPr>
              <w:t>）</w:t>
            </w:r>
          </w:p>
        </w:tc>
      </w:tr>
      <w:tr w14:paraId="14334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7" w:type="dxa"/>
            <w:vMerge w:val="continue"/>
            <w:tcBorders>
              <w:left w:val="single" w:color="auto" w:sz="4" w:space="0"/>
              <w:right w:val="single" w:color="auto" w:sz="4" w:space="0"/>
            </w:tcBorders>
          </w:tcPr>
          <w:p w14:paraId="2ECD6415">
            <w:pPr>
              <w:pStyle w:val="14"/>
              <w:keepNext w:val="0"/>
              <w:keepLines w:val="0"/>
              <w:pageBreakBefore w:val="0"/>
              <w:widowControl/>
              <w:kinsoku/>
              <w:wordWrap w:val="0"/>
              <w:overflowPunct/>
              <w:topLinePunct w:val="0"/>
              <w:autoSpaceDE/>
              <w:autoSpaceDN/>
              <w:bidi w:val="0"/>
              <w:spacing w:line="500" w:lineRule="exact"/>
              <w:rPr>
                <w:rFonts w:hint="eastAsia" w:asciiTheme="minorEastAsia" w:hAnsiTheme="minorEastAsia" w:eastAsiaTheme="minorEastAsia" w:cstheme="minorEastAsia"/>
                <w:bCs/>
                <w:color w:val="auto"/>
                <w:sz w:val="24"/>
                <w:szCs w:val="24"/>
                <w:highlight w:val="none"/>
              </w:rPr>
            </w:pPr>
          </w:p>
        </w:tc>
        <w:tc>
          <w:tcPr>
            <w:tcW w:w="1481" w:type="dxa"/>
            <w:tcBorders>
              <w:top w:val="single" w:color="auto" w:sz="4" w:space="0"/>
              <w:left w:val="single" w:color="auto" w:sz="4" w:space="0"/>
              <w:bottom w:val="single" w:color="auto" w:sz="4" w:space="0"/>
              <w:right w:val="single" w:color="auto" w:sz="4" w:space="0"/>
            </w:tcBorders>
            <w:vAlign w:val="center"/>
          </w:tcPr>
          <w:p w14:paraId="7F5C8AF3">
            <w:pPr>
              <w:keepNext w:val="0"/>
              <w:keepLines w:val="0"/>
              <w:pageBreakBefore w:val="0"/>
              <w:tabs>
                <w:tab w:val="left" w:pos="2472"/>
              </w:tabs>
              <w:kinsoku/>
              <w:overflowPunct/>
              <w:topLinePunct w:val="0"/>
              <w:autoSpaceDE/>
              <w:autoSpaceDN/>
              <w:bidi w:val="0"/>
              <w:spacing w:line="500" w:lineRule="exact"/>
              <w:ind w:firstLine="0" w:firstLineChars="0"/>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Cs/>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南宁市电子政务云云平台多云监管平台</w:t>
            </w:r>
            <w:r>
              <w:rPr>
                <w:rFonts w:hint="eastAsia" w:asciiTheme="minorEastAsia" w:hAnsiTheme="minorEastAsia" w:eastAsiaTheme="minorEastAsia" w:cstheme="minorEastAsia"/>
                <w:bCs/>
                <w:color w:val="auto"/>
                <w:sz w:val="24"/>
                <w:szCs w:val="24"/>
                <w:highlight w:val="none"/>
                <w:lang w:eastAsia="zh-CN"/>
              </w:rPr>
              <w:t>应急处置</w:t>
            </w:r>
            <w:r>
              <w:rPr>
                <w:rFonts w:hint="eastAsia" w:asciiTheme="minorEastAsia" w:hAnsiTheme="minorEastAsia" w:eastAsiaTheme="minorEastAsia" w:cstheme="minorEastAsia"/>
                <w:bCs/>
                <w:color w:val="auto"/>
                <w:sz w:val="24"/>
                <w:szCs w:val="24"/>
                <w:highlight w:val="none"/>
              </w:rPr>
              <w:t>方案分</w:t>
            </w: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满分10</w:t>
            </w:r>
            <w:r>
              <w:rPr>
                <w:rFonts w:hint="eastAsia" w:asciiTheme="minorEastAsia" w:hAnsiTheme="minorEastAsia" w:eastAsiaTheme="minorEastAsia" w:cstheme="minorEastAsia"/>
                <w:color w:val="auto"/>
                <w:sz w:val="24"/>
                <w:szCs w:val="24"/>
                <w:highlight w:val="none"/>
                <w:lang w:val="en-US" w:eastAsia="zh-CN"/>
              </w:rPr>
              <w:t>分，</w:t>
            </w:r>
            <w:r>
              <w:rPr>
                <w:rFonts w:hint="eastAsia" w:asciiTheme="minorEastAsia" w:hAnsiTheme="minorEastAsia" w:eastAsiaTheme="minorEastAsia" w:cstheme="minorEastAsia"/>
                <w:bCs/>
                <w:color w:val="auto"/>
                <w:sz w:val="24"/>
                <w:szCs w:val="24"/>
                <w:highlight w:val="none"/>
              </w:rPr>
              <w:t>不提供或不满足一档不得分。</w:t>
            </w:r>
            <w:r>
              <w:rPr>
                <w:rFonts w:hint="eastAsia" w:asciiTheme="minorEastAsia" w:hAnsiTheme="minorEastAsia" w:eastAsiaTheme="minorEastAsia" w:cstheme="minorEastAsia"/>
                <w:bCs/>
                <w:color w:val="auto"/>
                <w:sz w:val="24"/>
                <w:szCs w:val="24"/>
                <w:highlight w:val="none"/>
                <w:lang w:eastAsia="zh-CN"/>
              </w:rPr>
              <w:t>）</w:t>
            </w:r>
          </w:p>
        </w:tc>
        <w:tc>
          <w:tcPr>
            <w:tcW w:w="6554" w:type="dxa"/>
            <w:tcBorders>
              <w:top w:val="single" w:color="auto" w:sz="4" w:space="0"/>
              <w:left w:val="single" w:color="auto" w:sz="4" w:space="0"/>
              <w:bottom w:val="single" w:color="auto" w:sz="4" w:space="0"/>
              <w:right w:val="single" w:color="auto" w:sz="4" w:space="0"/>
            </w:tcBorders>
            <w:vAlign w:val="center"/>
          </w:tcPr>
          <w:p w14:paraId="592B52E0">
            <w:pPr>
              <w:keepNext w:val="0"/>
              <w:keepLines w:val="0"/>
              <w:pageBreakBefore w:val="0"/>
              <w:tabs>
                <w:tab w:val="left" w:pos="2472"/>
              </w:tabs>
              <w:kinsoku/>
              <w:overflowPunct/>
              <w:topLinePunct w:val="0"/>
              <w:autoSpaceDE/>
              <w:autoSpaceDN/>
              <w:bidi w:val="0"/>
              <w:spacing w:line="500" w:lineRule="exact"/>
              <w:ind w:firstLine="480" w:firstLineChars="200"/>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color w:val="auto"/>
                <w:sz w:val="24"/>
                <w:szCs w:val="24"/>
                <w:highlight w:val="none"/>
              </w:rPr>
              <w:t>一</w:t>
            </w:r>
            <w:r>
              <w:rPr>
                <w:rFonts w:hint="eastAsia" w:asciiTheme="minorEastAsia" w:hAnsiTheme="minorEastAsia" w:eastAsiaTheme="minorEastAsia" w:cstheme="minorEastAsia"/>
                <w:bCs/>
                <w:color w:val="auto"/>
                <w:sz w:val="24"/>
                <w:szCs w:val="24"/>
                <w:highlight w:val="none"/>
              </w:rPr>
              <w:t>档（</w:t>
            </w:r>
            <w:r>
              <w:rPr>
                <w:rFonts w:hint="eastAsia" w:asciiTheme="minorEastAsia" w:hAnsiTheme="minorEastAsia" w:eastAsiaTheme="minorEastAsia" w:cstheme="minorEastAsia"/>
                <w:bCs/>
                <w:color w:val="auto"/>
                <w:sz w:val="24"/>
                <w:szCs w:val="24"/>
                <w:highlight w:val="none"/>
                <w:lang w:val="en-US" w:eastAsia="zh-CN"/>
              </w:rPr>
              <w:t>4</w:t>
            </w:r>
            <w:r>
              <w:rPr>
                <w:rFonts w:hint="eastAsia" w:asciiTheme="minorEastAsia" w:hAnsiTheme="minorEastAsia" w:eastAsiaTheme="minorEastAsia" w:cstheme="minorEastAsia"/>
                <w:bCs/>
                <w:color w:val="auto"/>
                <w:sz w:val="24"/>
                <w:szCs w:val="24"/>
                <w:highlight w:val="none"/>
              </w:rPr>
              <w:t>分）：提供服务应急</w:t>
            </w:r>
            <w:r>
              <w:rPr>
                <w:rFonts w:hint="eastAsia" w:asciiTheme="minorEastAsia" w:hAnsiTheme="minorEastAsia" w:eastAsiaTheme="minorEastAsia" w:cstheme="minorEastAsia"/>
                <w:bCs/>
                <w:color w:val="auto"/>
                <w:sz w:val="24"/>
                <w:szCs w:val="24"/>
                <w:highlight w:val="none"/>
                <w:lang w:eastAsia="zh-CN"/>
              </w:rPr>
              <w:t>处置方案</w:t>
            </w:r>
            <w:r>
              <w:rPr>
                <w:rFonts w:hint="eastAsia" w:asciiTheme="minorEastAsia" w:hAnsiTheme="minorEastAsia" w:eastAsiaTheme="minorEastAsia" w:cstheme="minorEastAsia"/>
                <w:bCs/>
                <w:color w:val="auto"/>
                <w:sz w:val="24"/>
                <w:szCs w:val="24"/>
                <w:highlight w:val="none"/>
              </w:rPr>
              <w:t>。提供包含基础要素的应急预案，至少包括：常见故障分类、值班联络表、基本处置流程</w:t>
            </w: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rPr>
              <w:t>流程符合多云监管平台基础运维规范。</w:t>
            </w:r>
          </w:p>
          <w:p w14:paraId="5EA220CD">
            <w:pPr>
              <w:keepNext w:val="0"/>
              <w:keepLines w:val="0"/>
              <w:pageBreakBefore w:val="0"/>
              <w:tabs>
                <w:tab w:val="left" w:pos="2472"/>
              </w:tabs>
              <w:kinsoku/>
              <w:overflowPunct/>
              <w:topLinePunct w:val="0"/>
              <w:autoSpaceDE/>
              <w:autoSpaceDN/>
              <w:bidi w:val="0"/>
              <w:spacing w:line="500" w:lineRule="exact"/>
              <w:ind w:firstLine="480" w:firstLineChars="200"/>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二档（</w:t>
            </w:r>
            <w:r>
              <w:rPr>
                <w:rFonts w:hint="eastAsia" w:asciiTheme="minorEastAsia" w:hAnsiTheme="minorEastAsia" w:eastAsiaTheme="minorEastAsia" w:cstheme="minorEastAsia"/>
                <w:bCs/>
                <w:color w:val="auto"/>
                <w:sz w:val="24"/>
                <w:szCs w:val="24"/>
                <w:highlight w:val="none"/>
                <w:lang w:val="en-US" w:eastAsia="zh-CN"/>
              </w:rPr>
              <w:t>6</w:t>
            </w:r>
            <w:r>
              <w:rPr>
                <w:rFonts w:hint="eastAsia" w:asciiTheme="minorEastAsia" w:hAnsiTheme="minorEastAsia" w:eastAsiaTheme="minorEastAsia" w:cstheme="minorEastAsia"/>
                <w:bCs/>
                <w:color w:val="auto"/>
                <w:sz w:val="24"/>
                <w:szCs w:val="24"/>
                <w:highlight w:val="none"/>
              </w:rPr>
              <w:t>分）：投标人在满足一档的基础上，形成系统化的应急方案，</w:t>
            </w:r>
            <w:r>
              <w:rPr>
                <w:rFonts w:hint="eastAsia" w:asciiTheme="minorEastAsia" w:hAnsiTheme="minorEastAsia" w:eastAsiaTheme="minorEastAsia" w:cstheme="minorEastAsia"/>
                <w:bCs/>
                <w:color w:val="auto"/>
                <w:sz w:val="24"/>
                <w:szCs w:val="24"/>
                <w:highlight w:val="none"/>
                <w:lang w:eastAsia="zh-CN"/>
              </w:rPr>
              <w:t>提供应急团队</w:t>
            </w:r>
            <w:r>
              <w:rPr>
                <w:rFonts w:hint="eastAsia" w:asciiTheme="minorEastAsia" w:hAnsiTheme="minorEastAsia" w:eastAsiaTheme="minorEastAsia" w:cstheme="minorEastAsia"/>
                <w:bCs/>
                <w:color w:val="auto"/>
                <w:sz w:val="24"/>
                <w:szCs w:val="24"/>
                <w:highlight w:val="none"/>
              </w:rPr>
              <w:t>组织架构</w:t>
            </w:r>
            <w:r>
              <w:rPr>
                <w:rFonts w:hint="eastAsia" w:asciiTheme="minorEastAsia" w:hAnsiTheme="minorEastAsia" w:eastAsiaTheme="minorEastAsia" w:cstheme="minorEastAsia"/>
                <w:bCs/>
                <w:color w:val="auto"/>
                <w:sz w:val="24"/>
                <w:szCs w:val="24"/>
                <w:highlight w:val="none"/>
                <w:lang w:eastAsia="zh-CN"/>
              </w:rPr>
              <w:t>，提出</w:t>
            </w:r>
            <w:r>
              <w:rPr>
                <w:rFonts w:hint="eastAsia" w:asciiTheme="minorEastAsia" w:hAnsiTheme="minorEastAsia" w:eastAsiaTheme="minorEastAsia" w:cstheme="minorEastAsia"/>
                <w:bCs/>
                <w:color w:val="auto"/>
                <w:sz w:val="24"/>
                <w:szCs w:val="24"/>
                <w:highlight w:val="none"/>
              </w:rPr>
              <w:t>分级响应机制、资源调度方案、事后处理流程</w:t>
            </w:r>
            <w:r>
              <w:rPr>
                <w:rFonts w:hint="eastAsia" w:asciiTheme="minorEastAsia" w:hAnsiTheme="minorEastAsia" w:eastAsiaTheme="minorEastAsia" w:cstheme="minorEastAsia"/>
                <w:bCs/>
                <w:color w:val="auto"/>
                <w:sz w:val="24"/>
                <w:szCs w:val="24"/>
                <w:highlight w:val="none"/>
                <w:lang w:val="en-US" w:eastAsia="zh-CN"/>
              </w:rPr>
              <w:t>等</w:t>
            </w:r>
            <w:r>
              <w:rPr>
                <w:rFonts w:hint="eastAsia" w:asciiTheme="minorEastAsia" w:hAnsiTheme="minorEastAsia" w:eastAsiaTheme="minorEastAsia" w:cstheme="minorEastAsia"/>
                <w:bCs/>
                <w:color w:val="auto"/>
                <w:sz w:val="24"/>
                <w:szCs w:val="24"/>
                <w:highlight w:val="none"/>
              </w:rPr>
              <w:t>。</w:t>
            </w:r>
          </w:p>
          <w:p w14:paraId="44CEDEF9">
            <w:pPr>
              <w:keepNext w:val="0"/>
              <w:keepLines w:val="0"/>
              <w:pageBreakBefore w:val="0"/>
              <w:tabs>
                <w:tab w:val="left" w:pos="2472"/>
              </w:tabs>
              <w:kinsoku/>
              <w:overflowPunct/>
              <w:topLinePunct w:val="0"/>
              <w:autoSpaceDE/>
              <w:autoSpaceDN/>
              <w:bidi w:val="0"/>
              <w:spacing w:line="5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sz w:val="24"/>
                <w:szCs w:val="24"/>
                <w:highlight w:val="none"/>
              </w:rPr>
              <w:t>三档（10分）：投标人在满足</w:t>
            </w:r>
            <w:r>
              <w:rPr>
                <w:rFonts w:hint="eastAsia" w:asciiTheme="minorEastAsia" w:hAnsiTheme="minorEastAsia" w:eastAsiaTheme="minorEastAsia" w:cstheme="minorEastAsia"/>
                <w:bCs/>
                <w:color w:val="auto"/>
                <w:sz w:val="24"/>
                <w:szCs w:val="24"/>
                <w:highlight w:val="none"/>
                <w:lang w:eastAsia="zh-CN"/>
              </w:rPr>
              <w:t>二</w:t>
            </w:r>
            <w:r>
              <w:rPr>
                <w:rFonts w:hint="eastAsia" w:asciiTheme="minorEastAsia" w:hAnsiTheme="minorEastAsia" w:eastAsiaTheme="minorEastAsia" w:cstheme="minorEastAsia"/>
                <w:bCs/>
                <w:color w:val="auto"/>
                <w:sz w:val="24"/>
                <w:szCs w:val="24"/>
                <w:highlight w:val="none"/>
              </w:rPr>
              <w:t>档的基础上，明确详细的处置流程、风险点控制措施</w:t>
            </w:r>
            <w:r>
              <w:rPr>
                <w:rFonts w:hint="eastAsia" w:asciiTheme="minorEastAsia" w:hAnsiTheme="minorEastAsia" w:eastAsiaTheme="minorEastAsia" w:cstheme="minorEastAsia"/>
                <w:bCs/>
                <w:color w:val="auto"/>
                <w:sz w:val="24"/>
                <w:szCs w:val="24"/>
                <w:highlight w:val="none"/>
                <w:lang w:eastAsia="zh-CN"/>
              </w:rPr>
              <w:t>，提供应急演练方案，应急处置分析</w:t>
            </w:r>
            <w:r>
              <w:rPr>
                <w:rFonts w:hint="eastAsia" w:asciiTheme="minorEastAsia" w:hAnsiTheme="minorEastAsia" w:eastAsiaTheme="minorEastAsia" w:cstheme="minorEastAsia"/>
                <w:bCs/>
                <w:color w:val="auto"/>
                <w:sz w:val="24"/>
                <w:szCs w:val="24"/>
                <w:highlight w:val="none"/>
              </w:rPr>
              <w:t>覆盖主要故障场景。</w:t>
            </w:r>
          </w:p>
        </w:tc>
        <w:tc>
          <w:tcPr>
            <w:tcW w:w="1410" w:type="dxa"/>
            <w:tcBorders>
              <w:top w:val="single" w:color="auto" w:sz="4" w:space="0"/>
              <w:left w:val="single" w:color="auto" w:sz="4" w:space="0"/>
              <w:bottom w:val="single" w:color="auto" w:sz="4" w:space="0"/>
              <w:right w:val="single" w:color="auto" w:sz="4" w:space="0"/>
            </w:tcBorders>
            <w:vAlign w:val="center"/>
          </w:tcPr>
          <w:p w14:paraId="1A880223">
            <w:pPr>
              <w:pStyle w:val="14"/>
              <w:keepNext w:val="0"/>
              <w:keepLines w:val="0"/>
              <w:pageBreakBefore w:val="0"/>
              <w:widowControl/>
              <w:kinsoku/>
              <w:wordWrap w:val="0"/>
              <w:overflowPunct/>
              <w:topLinePunct w:val="0"/>
              <w:autoSpaceDE/>
              <w:autoSpaceDN/>
              <w:bidi w:val="0"/>
              <w:spacing w:line="500" w:lineRule="exact"/>
              <w:jc w:val="center"/>
              <w:rPr>
                <w:rFonts w:hint="eastAsia" w:asciiTheme="minorEastAsia" w:hAnsiTheme="minorEastAsia" w:eastAsiaTheme="minorEastAsia" w:cstheme="minorEastAsia"/>
                <w:bCs/>
                <w:color w:val="auto"/>
                <w:kern w:val="0"/>
                <w:sz w:val="24"/>
                <w:szCs w:val="24"/>
                <w:highlight w:val="none"/>
              </w:rPr>
            </w:pPr>
            <w:r>
              <w:rPr>
                <w:rFonts w:hint="eastAsia" w:asciiTheme="minorEastAsia" w:hAnsiTheme="minorEastAsia" w:eastAsiaTheme="minorEastAsia" w:cstheme="minorEastAsia"/>
                <w:bCs/>
                <w:color w:val="auto"/>
                <w:kern w:val="0"/>
                <w:sz w:val="24"/>
                <w:szCs w:val="24"/>
                <w:highlight w:val="none"/>
              </w:rPr>
              <w:t>0~1</w:t>
            </w:r>
            <w:r>
              <w:rPr>
                <w:rFonts w:hint="eastAsia" w:asciiTheme="minorEastAsia" w:hAnsiTheme="minorEastAsia" w:eastAsiaTheme="minorEastAsia" w:cstheme="minorEastAsia"/>
                <w:bCs/>
                <w:color w:val="auto"/>
                <w:kern w:val="0"/>
                <w:sz w:val="24"/>
                <w:szCs w:val="24"/>
                <w:highlight w:val="none"/>
                <w:lang w:val="en-US" w:eastAsia="zh-CN"/>
              </w:rPr>
              <w:t>0</w:t>
            </w:r>
            <w:r>
              <w:rPr>
                <w:rFonts w:hint="eastAsia" w:asciiTheme="minorEastAsia" w:hAnsiTheme="minorEastAsia" w:eastAsiaTheme="minorEastAsia" w:cstheme="minorEastAsia"/>
                <w:bCs/>
                <w:color w:val="auto"/>
                <w:kern w:val="0"/>
                <w:sz w:val="24"/>
                <w:szCs w:val="24"/>
                <w:highlight w:val="none"/>
              </w:rPr>
              <w:t>分</w:t>
            </w:r>
            <w:r>
              <w:rPr>
                <w:rFonts w:hint="eastAsia" w:asciiTheme="minorEastAsia" w:hAnsiTheme="minorEastAsia" w:eastAsiaTheme="minorEastAsia" w:cstheme="minorEastAsia"/>
                <w:bCs/>
                <w:color w:val="auto"/>
                <w:kern w:val="0"/>
                <w:sz w:val="24"/>
                <w:szCs w:val="24"/>
                <w:highlight w:val="none"/>
                <w:lang w:eastAsia="zh-CN"/>
              </w:rPr>
              <w:t>（</w:t>
            </w:r>
            <w:r>
              <w:rPr>
                <w:rFonts w:hint="eastAsia" w:asciiTheme="minorEastAsia" w:hAnsiTheme="minorEastAsia" w:eastAsiaTheme="minorEastAsia" w:cstheme="minorEastAsia"/>
                <w:bCs/>
                <w:color w:val="auto"/>
                <w:kern w:val="0"/>
                <w:sz w:val="24"/>
                <w:szCs w:val="24"/>
                <w:highlight w:val="none"/>
                <w:lang w:val="en-US" w:eastAsia="zh-CN"/>
              </w:rPr>
              <w:t>主观分</w:t>
            </w:r>
            <w:r>
              <w:rPr>
                <w:rFonts w:hint="eastAsia" w:asciiTheme="minorEastAsia" w:hAnsiTheme="minorEastAsia" w:eastAsiaTheme="minorEastAsia" w:cstheme="minorEastAsia"/>
                <w:bCs/>
                <w:color w:val="auto"/>
                <w:kern w:val="0"/>
                <w:sz w:val="24"/>
                <w:szCs w:val="24"/>
                <w:highlight w:val="none"/>
                <w:lang w:eastAsia="zh-CN"/>
              </w:rPr>
              <w:t>）</w:t>
            </w:r>
          </w:p>
        </w:tc>
      </w:tr>
      <w:tr w14:paraId="204D3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4"/>
            <w:tcBorders>
              <w:top w:val="single" w:color="auto" w:sz="4" w:space="0"/>
              <w:left w:val="single" w:color="auto" w:sz="4" w:space="0"/>
              <w:right w:val="single" w:color="auto" w:sz="4" w:space="0"/>
            </w:tcBorders>
            <w:vAlign w:val="center"/>
          </w:tcPr>
          <w:p w14:paraId="4F937431">
            <w:pPr>
              <w:pStyle w:val="14"/>
              <w:keepNext w:val="0"/>
              <w:keepLines w:val="0"/>
              <w:pageBreakBefore w:val="0"/>
              <w:widowControl/>
              <w:kinsoku/>
              <w:wordWrap w:val="0"/>
              <w:overflowPunct/>
              <w:topLinePunct w:val="0"/>
              <w:autoSpaceDE/>
              <w:autoSpaceDN/>
              <w:bidi w:val="0"/>
              <w:spacing w:line="500" w:lineRule="exact"/>
              <w:ind w:firstLine="482"/>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商务分（满分</w:t>
            </w:r>
            <w:r>
              <w:rPr>
                <w:rFonts w:hint="eastAsia" w:asciiTheme="minorEastAsia" w:hAnsiTheme="minorEastAsia" w:eastAsiaTheme="minorEastAsia" w:cstheme="minorEastAsia"/>
                <w:b/>
                <w:color w:val="auto"/>
                <w:sz w:val="24"/>
                <w:szCs w:val="24"/>
                <w:highlight w:val="none"/>
                <w:lang w:val="en-US" w:eastAsia="zh-CN"/>
              </w:rPr>
              <w:t>12</w:t>
            </w:r>
            <w:r>
              <w:rPr>
                <w:rFonts w:hint="eastAsia" w:asciiTheme="minorEastAsia" w:hAnsiTheme="minorEastAsia" w:eastAsiaTheme="minorEastAsia" w:cstheme="minorEastAsia"/>
                <w:b/>
                <w:color w:val="auto"/>
                <w:sz w:val="24"/>
                <w:szCs w:val="24"/>
                <w:highlight w:val="none"/>
              </w:rPr>
              <w:t>分）</w:t>
            </w:r>
          </w:p>
        </w:tc>
      </w:tr>
      <w:tr w14:paraId="6A5F2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restart"/>
            <w:tcBorders>
              <w:top w:val="single" w:color="auto" w:sz="4" w:space="0"/>
              <w:left w:val="single" w:color="auto" w:sz="4" w:space="0"/>
              <w:right w:val="single" w:color="auto" w:sz="4" w:space="0"/>
            </w:tcBorders>
            <w:vAlign w:val="center"/>
          </w:tcPr>
          <w:p w14:paraId="0712A70A">
            <w:pPr>
              <w:pStyle w:val="14"/>
              <w:keepNext w:val="0"/>
              <w:keepLines w:val="0"/>
              <w:pageBreakBefore w:val="0"/>
              <w:widowControl/>
              <w:kinsoku/>
              <w:wordWrap w:val="0"/>
              <w:overflowPunct/>
              <w:topLinePunct w:val="0"/>
              <w:autoSpaceDE/>
              <w:autoSpaceDN/>
              <w:bidi w:val="0"/>
              <w:spacing w:line="500" w:lineRule="exact"/>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3</w:t>
            </w:r>
          </w:p>
        </w:tc>
        <w:tc>
          <w:tcPr>
            <w:tcW w:w="8035" w:type="dxa"/>
            <w:gridSpan w:val="2"/>
            <w:tcBorders>
              <w:top w:val="single" w:color="auto" w:sz="4" w:space="0"/>
              <w:left w:val="single" w:color="auto" w:sz="4" w:space="0"/>
              <w:bottom w:val="single" w:color="auto" w:sz="4" w:space="0"/>
              <w:right w:val="single" w:color="auto" w:sz="4" w:space="0"/>
            </w:tcBorders>
          </w:tcPr>
          <w:p w14:paraId="070C8F62">
            <w:pPr>
              <w:pStyle w:val="14"/>
              <w:keepNext w:val="0"/>
              <w:keepLines w:val="0"/>
              <w:pageBreakBefore w:val="0"/>
              <w:widowControl/>
              <w:kinsoku/>
              <w:wordWrap w:val="0"/>
              <w:overflowPunct/>
              <w:topLinePunct w:val="0"/>
              <w:autoSpaceDE/>
              <w:autoSpaceDN/>
              <w:bidi w:val="0"/>
              <w:spacing w:line="500" w:lineRule="exact"/>
              <w:ind w:firstLine="482"/>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评审因素</w:t>
            </w:r>
          </w:p>
        </w:tc>
        <w:tc>
          <w:tcPr>
            <w:tcW w:w="1410" w:type="dxa"/>
            <w:tcBorders>
              <w:top w:val="single" w:color="auto" w:sz="4" w:space="0"/>
              <w:left w:val="single" w:color="auto" w:sz="4" w:space="0"/>
              <w:bottom w:val="single" w:color="auto" w:sz="4" w:space="0"/>
              <w:right w:val="single" w:color="auto" w:sz="4" w:space="0"/>
            </w:tcBorders>
            <w:vAlign w:val="center"/>
          </w:tcPr>
          <w:p w14:paraId="6D36A738">
            <w:pPr>
              <w:pStyle w:val="14"/>
              <w:keepNext w:val="0"/>
              <w:keepLines w:val="0"/>
              <w:pageBreakBefore w:val="0"/>
              <w:widowControl/>
              <w:kinsoku/>
              <w:wordWrap w:val="0"/>
              <w:overflowPunct/>
              <w:topLinePunct w:val="0"/>
              <w:autoSpaceDE/>
              <w:autoSpaceDN/>
              <w:bidi w:val="0"/>
              <w:spacing w:line="500" w:lineRule="exact"/>
              <w:jc w:val="both"/>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分值</w:t>
            </w:r>
          </w:p>
        </w:tc>
      </w:tr>
      <w:tr w14:paraId="17749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517" w:type="dxa"/>
            <w:vMerge w:val="continue"/>
            <w:tcBorders>
              <w:left w:val="single" w:color="auto" w:sz="4" w:space="0"/>
              <w:right w:val="single" w:color="auto" w:sz="4" w:space="0"/>
            </w:tcBorders>
          </w:tcPr>
          <w:p w14:paraId="65DDCF42">
            <w:pPr>
              <w:pStyle w:val="14"/>
              <w:keepNext w:val="0"/>
              <w:keepLines w:val="0"/>
              <w:pageBreakBefore w:val="0"/>
              <w:widowControl/>
              <w:kinsoku/>
              <w:wordWrap w:val="0"/>
              <w:overflowPunct/>
              <w:topLinePunct w:val="0"/>
              <w:autoSpaceDE/>
              <w:autoSpaceDN/>
              <w:bidi w:val="0"/>
              <w:spacing w:line="500" w:lineRule="exact"/>
              <w:rPr>
                <w:rFonts w:hint="eastAsia" w:asciiTheme="minorEastAsia" w:hAnsiTheme="minorEastAsia" w:eastAsiaTheme="minorEastAsia" w:cstheme="minorEastAsia"/>
                <w:bCs/>
                <w:color w:val="auto"/>
                <w:sz w:val="24"/>
                <w:szCs w:val="24"/>
                <w:highlight w:val="none"/>
              </w:rPr>
            </w:pPr>
          </w:p>
        </w:tc>
        <w:tc>
          <w:tcPr>
            <w:tcW w:w="1481" w:type="dxa"/>
            <w:tcBorders>
              <w:top w:val="single" w:color="auto" w:sz="4" w:space="0"/>
              <w:left w:val="single" w:color="auto" w:sz="4" w:space="0"/>
              <w:right w:val="single" w:color="auto" w:sz="4" w:space="0"/>
            </w:tcBorders>
            <w:vAlign w:val="center"/>
          </w:tcPr>
          <w:p w14:paraId="4ACB270B">
            <w:pPr>
              <w:keepNext w:val="0"/>
              <w:keepLines w:val="0"/>
              <w:pageBreakBefore w:val="0"/>
              <w:kinsoku/>
              <w:overflowPunct/>
              <w:topLinePunct w:val="0"/>
              <w:autoSpaceDE/>
              <w:autoSpaceDN/>
              <w:bidi w:val="0"/>
              <w:adjustRightInd w:val="0"/>
              <w:snapToGrid w:val="0"/>
              <w:spacing w:line="500" w:lineRule="exact"/>
              <w:textAlignment w:val="baseline"/>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rPr>
              <w:t>1</w:t>
            </w: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rPr>
              <w:t>资质</w:t>
            </w:r>
            <w:r>
              <w:rPr>
                <w:rFonts w:hint="eastAsia" w:asciiTheme="minorEastAsia" w:hAnsiTheme="minorEastAsia" w:eastAsiaTheme="minorEastAsia" w:cstheme="minorEastAsia"/>
                <w:bCs/>
                <w:color w:val="auto"/>
                <w:sz w:val="24"/>
                <w:szCs w:val="24"/>
                <w:highlight w:val="none"/>
                <w:lang w:val="en-US" w:eastAsia="zh-CN"/>
              </w:rPr>
              <w:t>能力</w:t>
            </w:r>
            <w:r>
              <w:rPr>
                <w:rFonts w:hint="eastAsia" w:asciiTheme="minorEastAsia" w:hAnsiTheme="minorEastAsia" w:eastAsiaTheme="minorEastAsia" w:cstheme="minorEastAsia"/>
                <w:bCs/>
                <w:color w:val="auto"/>
                <w:sz w:val="24"/>
                <w:szCs w:val="24"/>
                <w:highlight w:val="none"/>
              </w:rPr>
              <w:t>分（满分</w:t>
            </w:r>
            <w:r>
              <w:rPr>
                <w:rFonts w:hint="eastAsia" w:asciiTheme="minorEastAsia" w:hAnsiTheme="minorEastAsia" w:eastAsiaTheme="minorEastAsia" w:cstheme="minorEastAsia"/>
                <w:bCs/>
                <w:color w:val="auto"/>
                <w:sz w:val="24"/>
                <w:szCs w:val="24"/>
                <w:highlight w:val="none"/>
                <w:lang w:val="en-US" w:eastAsia="zh-CN"/>
              </w:rPr>
              <w:t>3</w:t>
            </w:r>
            <w:r>
              <w:rPr>
                <w:rFonts w:hint="eastAsia" w:asciiTheme="minorEastAsia" w:hAnsiTheme="minorEastAsia" w:eastAsiaTheme="minorEastAsia" w:cstheme="minorEastAsia"/>
                <w:bCs/>
                <w:color w:val="auto"/>
                <w:sz w:val="24"/>
                <w:szCs w:val="24"/>
                <w:highlight w:val="none"/>
              </w:rPr>
              <w:t>分）</w:t>
            </w:r>
          </w:p>
        </w:tc>
        <w:tc>
          <w:tcPr>
            <w:tcW w:w="6554" w:type="dxa"/>
            <w:tcBorders>
              <w:top w:val="single" w:color="auto" w:sz="4" w:space="0"/>
              <w:left w:val="single" w:color="auto" w:sz="4" w:space="0"/>
              <w:right w:val="single" w:color="auto" w:sz="4" w:space="0"/>
            </w:tcBorders>
            <w:vAlign w:val="center"/>
          </w:tcPr>
          <w:p w14:paraId="4324781F">
            <w:pPr>
              <w:keepNext w:val="0"/>
              <w:keepLines w:val="0"/>
              <w:pageBreakBefore w:val="0"/>
              <w:kinsoku/>
              <w:overflowPunct/>
              <w:topLinePunct w:val="0"/>
              <w:autoSpaceDE/>
              <w:autoSpaceDN/>
              <w:bidi w:val="0"/>
              <w:adjustRightInd w:val="0"/>
              <w:snapToGrid w:val="0"/>
              <w:spacing w:line="500" w:lineRule="exact"/>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w:t>
            </w:r>
            <w:r>
              <w:rPr>
                <w:rFonts w:hint="eastAsia" w:asciiTheme="minorEastAsia" w:hAnsiTheme="minorEastAsia" w:eastAsiaTheme="minorEastAsia" w:cstheme="minorEastAsia"/>
                <w:color w:val="auto"/>
                <w:sz w:val="24"/>
                <w:szCs w:val="24"/>
                <w:highlight w:val="none"/>
                <w:lang w:val="en-US" w:eastAsia="zh-CN"/>
              </w:rPr>
              <w:t>获得</w:t>
            </w:r>
            <w:r>
              <w:rPr>
                <w:rFonts w:hint="eastAsia" w:asciiTheme="minorEastAsia" w:hAnsiTheme="minorEastAsia" w:eastAsiaTheme="minorEastAsia" w:cstheme="minorEastAsia"/>
                <w:color w:val="auto"/>
                <w:sz w:val="24"/>
                <w:szCs w:val="24"/>
                <w:highlight w:val="none"/>
              </w:rPr>
              <w:t>ISO9001质量管理体系认证、ISO27001信息安全管理体系认证和ISO20000信息技术服务管理体系认证的（投标文件中提供证书</w:t>
            </w:r>
            <w:r>
              <w:rPr>
                <w:rFonts w:hint="eastAsia" w:asciiTheme="minorEastAsia" w:hAnsiTheme="minorEastAsia" w:eastAsiaTheme="minorEastAsia" w:cstheme="minorEastAsia"/>
                <w:color w:val="auto"/>
                <w:sz w:val="24"/>
                <w:szCs w:val="24"/>
                <w:highlight w:val="none"/>
                <w:lang w:val="en-US" w:eastAsia="zh-CN"/>
              </w:rPr>
              <w:t>原件（或</w:t>
            </w:r>
            <w:r>
              <w:rPr>
                <w:rFonts w:hint="eastAsia" w:asciiTheme="minorEastAsia" w:hAnsiTheme="minorEastAsia" w:eastAsiaTheme="minorEastAsia" w:cstheme="minorEastAsia"/>
                <w:color w:val="auto"/>
                <w:sz w:val="24"/>
                <w:szCs w:val="24"/>
                <w:highlight w:val="none"/>
              </w:rPr>
              <w:t>复印件</w:t>
            </w:r>
            <w:r>
              <w:rPr>
                <w:rFonts w:hint="eastAsia" w:asciiTheme="minorEastAsia" w:hAnsiTheme="minorEastAsia" w:eastAsiaTheme="minorEastAsia" w:cstheme="minorEastAsia"/>
                <w:color w:val="auto"/>
                <w:sz w:val="24"/>
                <w:szCs w:val="24"/>
                <w:highlight w:val="none"/>
                <w:lang w:val="en-US" w:eastAsia="zh-CN"/>
              </w:rPr>
              <w:t>）扫描件</w:t>
            </w:r>
            <w:r>
              <w:rPr>
                <w:rFonts w:hint="eastAsia" w:asciiTheme="minorEastAsia" w:hAnsiTheme="minorEastAsia" w:eastAsiaTheme="minorEastAsia" w:cstheme="minorEastAsia"/>
                <w:color w:val="auto"/>
                <w:sz w:val="24"/>
                <w:szCs w:val="24"/>
                <w:highlight w:val="none"/>
              </w:rPr>
              <w:t>并加盖投标人公章），每</w:t>
            </w:r>
            <w:r>
              <w:rPr>
                <w:rFonts w:hint="eastAsia" w:asciiTheme="minorEastAsia" w:hAnsiTheme="minorEastAsia" w:eastAsiaTheme="minorEastAsia" w:cstheme="minorEastAsia"/>
                <w:color w:val="auto"/>
                <w:sz w:val="24"/>
                <w:szCs w:val="24"/>
                <w:highlight w:val="none"/>
                <w:lang w:val="en-US" w:eastAsia="zh-CN"/>
              </w:rPr>
              <w:t>提供1</w:t>
            </w:r>
            <w:r>
              <w:rPr>
                <w:rFonts w:hint="eastAsia" w:asciiTheme="minorEastAsia" w:hAnsiTheme="minorEastAsia" w:eastAsiaTheme="minorEastAsia" w:cstheme="minorEastAsia"/>
                <w:color w:val="auto"/>
                <w:sz w:val="24"/>
                <w:szCs w:val="24"/>
                <w:highlight w:val="none"/>
              </w:rPr>
              <w:t>个得1分，满分3分。</w:t>
            </w:r>
          </w:p>
        </w:tc>
        <w:tc>
          <w:tcPr>
            <w:tcW w:w="1410" w:type="dxa"/>
            <w:tcBorders>
              <w:top w:val="single" w:color="auto" w:sz="4" w:space="0"/>
              <w:left w:val="single" w:color="auto" w:sz="4" w:space="0"/>
              <w:bottom w:val="single" w:color="auto" w:sz="4" w:space="0"/>
              <w:right w:val="single" w:color="auto" w:sz="4" w:space="0"/>
            </w:tcBorders>
            <w:vAlign w:val="center"/>
          </w:tcPr>
          <w:p w14:paraId="7401076F">
            <w:pPr>
              <w:pStyle w:val="14"/>
              <w:keepNext w:val="0"/>
              <w:keepLines w:val="0"/>
              <w:pageBreakBefore w:val="0"/>
              <w:widowControl/>
              <w:kinsoku/>
              <w:wordWrap w:val="0"/>
              <w:overflowPunct/>
              <w:topLinePunct w:val="0"/>
              <w:autoSpaceDE/>
              <w:autoSpaceDN/>
              <w:bidi w:val="0"/>
              <w:spacing w:line="500" w:lineRule="exact"/>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0~</w:t>
            </w:r>
            <w:r>
              <w:rPr>
                <w:rFonts w:hint="eastAsia" w:asciiTheme="minorEastAsia" w:hAnsiTheme="minorEastAsia" w:eastAsiaTheme="minorEastAsia" w:cstheme="minorEastAsia"/>
                <w:bCs/>
                <w:color w:val="auto"/>
                <w:sz w:val="24"/>
                <w:szCs w:val="24"/>
                <w:highlight w:val="none"/>
                <w:lang w:val="en-US" w:eastAsia="zh-CN"/>
              </w:rPr>
              <w:t>3</w:t>
            </w:r>
            <w:r>
              <w:rPr>
                <w:rFonts w:hint="eastAsia" w:asciiTheme="minorEastAsia" w:hAnsiTheme="minorEastAsia" w:eastAsiaTheme="minorEastAsia" w:cstheme="minorEastAsia"/>
                <w:bCs/>
                <w:color w:val="auto"/>
                <w:sz w:val="24"/>
                <w:szCs w:val="24"/>
                <w:highlight w:val="none"/>
              </w:rPr>
              <w:t>分</w:t>
            </w:r>
          </w:p>
          <w:p w14:paraId="48FF3747">
            <w:pPr>
              <w:pStyle w:val="14"/>
              <w:keepNext w:val="0"/>
              <w:keepLines w:val="0"/>
              <w:pageBreakBefore w:val="0"/>
              <w:widowControl/>
              <w:kinsoku/>
              <w:wordWrap w:val="0"/>
              <w:overflowPunct/>
              <w:topLinePunct w:val="0"/>
              <w:autoSpaceDE/>
              <w:autoSpaceDN/>
              <w:bidi w:val="0"/>
              <w:spacing w:line="500" w:lineRule="exact"/>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color w:val="auto"/>
                <w:sz w:val="24"/>
                <w:szCs w:val="24"/>
                <w:highlight w:val="none"/>
              </w:rPr>
              <w:t>客观分</w:t>
            </w:r>
            <w:r>
              <w:rPr>
                <w:rFonts w:hint="eastAsia" w:asciiTheme="minorEastAsia" w:hAnsiTheme="minorEastAsia" w:eastAsiaTheme="minorEastAsia" w:cstheme="minorEastAsia"/>
                <w:bCs/>
                <w:color w:val="auto"/>
                <w:sz w:val="24"/>
                <w:szCs w:val="24"/>
                <w:highlight w:val="none"/>
              </w:rPr>
              <w:t>）</w:t>
            </w:r>
          </w:p>
        </w:tc>
      </w:tr>
      <w:tr w14:paraId="601D4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517" w:type="dxa"/>
            <w:vMerge w:val="continue"/>
            <w:tcBorders>
              <w:left w:val="single" w:color="auto" w:sz="4" w:space="0"/>
              <w:right w:val="single" w:color="auto" w:sz="4" w:space="0"/>
            </w:tcBorders>
          </w:tcPr>
          <w:p w14:paraId="138BA475">
            <w:pPr>
              <w:pStyle w:val="14"/>
              <w:keepNext w:val="0"/>
              <w:keepLines w:val="0"/>
              <w:pageBreakBefore w:val="0"/>
              <w:widowControl/>
              <w:kinsoku/>
              <w:wordWrap w:val="0"/>
              <w:overflowPunct/>
              <w:topLinePunct w:val="0"/>
              <w:autoSpaceDE/>
              <w:autoSpaceDN/>
              <w:bidi w:val="0"/>
              <w:spacing w:line="500" w:lineRule="exact"/>
              <w:rPr>
                <w:rFonts w:hint="eastAsia" w:asciiTheme="minorEastAsia" w:hAnsiTheme="minorEastAsia" w:eastAsiaTheme="minorEastAsia" w:cstheme="minorEastAsia"/>
                <w:bCs/>
                <w:color w:val="auto"/>
                <w:sz w:val="24"/>
                <w:szCs w:val="24"/>
                <w:highlight w:val="none"/>
              </w:rPr>
            </w:pPr>
          </w:p>
        </w:tc>
        <w:tc>
          <w:tcPr>
            <w:tcW w:w="1481" w:type="dxa"/>
            <w:tcBorders>
              <w:top w:val="single" w:color="auto" w:sz="4" w:space="0"/>
              <w:left w:val="single" w:color="auto" w:sz="4" w:space="0"/>
              <w:right w:val="single" w:color="auto" w:sz="4" w:space="0"/>
            </w:tcBorders>
            <w:vAlign w:val="center"/>
          </w:tcPr>
          <w:p w14:paraId="36B46A31">
            <w:pPr>
              <w:keepNext w:val="0"/>
              <w:keepLines w:val="0"/>
              <w:pageBreakBefore w:val="0"/>
              <w:kinsoku/>
              <w:overflowPunct/>
              <w:topLinePunct w:val="0"/>
              <w:autoSpaceDE/>
              <w:autoSpaceDN/>
              <w:bidi w:val="0"/>
              <w:adjustRightInd w:val="0"/>
              <w:snapToGrid w:val="0"/>
              <w:spacing w:line="500" w:lineRule="exact"/>
              <w:textAlignment w:val="baseline"/>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rPr>
              <w:t>2</w:t>
            </w: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rPr>
              <w:t>业绩分（满分4分）</w:t>
            </w:r>
          </w:p>
        </w:tc>
        <w:tc>
          <w:tcPr>
            <w:tcW w:w="6554" w:type="dxa"/>
            <w:tcBorders>
              <w:top w:val="single" w:color="auto" w:sz="4" w:space="0"/>
              <w:left w:val="single" w:color="auto" w:sz="4" w:space="0"/>
              <w:right w:val="single" w:color="auto" w:sz="4" w:space="0"/>
            </w:tcBorders>
            <w:vAlign w:val="center"/>
          </w:tcPr>
          <w:p w14:paraId="089A1E65">
            <w:pPr>
              <w:keepNext w:val="0"/>
              <w:keepLines w:val="0"/>
              <w:pageBreakBefore w:val="0"/>
              <w:kinsoku/>
              <w:overflowPunct/>
              <w:topLinePunct w:val="0"/>
              <w:autoSpaceDE/>
              <w:autoSpaceDN/>
              <w:bidi w:val="0"/>
              <w:adjustRightInd w:val="0"/>
              <w:snapToGrid w:val="0"/>
              <w:spacing w:line="500" w:lineRule="exact"/>
              <w:textAlignment w:val="baseline"/>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投标人2022年以来具有同类运维服务经验，每提供一份有效证明文件，得1分，满分</w:t>
            </w:r>
            <w:r>
              <w:rPr>
                <w:rFonts w:hint="eastAsia" w:asciiTheme="minorEastAsia" w:hAnsiTheme="minorEastAsia" w:eastAsiaTheme="minorEastAsia" w:cstheme="minorEastAsia"/>
                <w:color w:val="auto"/>
                <w:kern w:val="0"/>
                <w:sz w:val="24"/>
                <w:szCs w:val="24"/>
                <w:highlight w:val="none"/>
                <w:lang w:eastAsia="zh-CN"/>
              </w:rPr>
              <w:t>4</w:t>
            </w:r>
            <w:r>
              <w:rPr>
                <w:rFonts w:hint="eastAsia" w:asciiTheme="minorEastAsia" w:hAnsiTheme="minorEastAsia" w:eastAsiaTheme="minorEastAsia" w:cstheme="minorEastAsia"/>
                <w:color w:val="auto"/>
                <w:kern w:val="0"/>
                <w:sz w:val="24"/>
                <w:szCs w:val="24"/>
                <w:highlight w:val="none"/>
                <w:lang w:val="en-US" w:eastAsia="zh-CN"/>
              </w:rPr>
              <w:t>分【需提供中标</w:t>
            </w:r>
            <w:r>
              <w:rPr>
                <w:rFonts w:hint="eastAsia" w:asciiTheme="minorEastAsia" w:hAnsiTheme="minorEastAsia" w:eastAsiaTheme="minorEastAsia" w:cstheme="minorEastAsia"/>
                <w:color w:val="auto"/>
                <w:kern w:val="0"/>
                <w:sz w:val="24"/>
                <w:szCs w:val="24"/>
                <w:highlight w:val="none"/>
                <w:lang w:val="en-US" w:eastAsia="zh-CN"/>
              </w:rPr>
              <w:t>（成交）</w:t>
            </w:r>
            <w:r>
              <w:rPr>
                <w:rFonts w:hint="eastAsia" w:asciiTheme="minorEastAsia" w:hAnsiTheme="minorEastAsia" w:eastAsiaTheme="minorEastAsia" w:cstheme="minorEastAsia"/>
                <w:color w:val="auto"/>
                <w:kern w:val="0"/>
                <w:sz w:val="24"/>
                <w:szCs w:val="24"/>
                <w:highlight w:val="none"/>
                <w:lang w:val="en-US" w:eastAsia="zh-CN"/>
              </w:rPr>
              <w:t>通知书或合同</w:t>
            </w:r>
            <w:r>
              <w:rPr>
                <w:rFonts w:hint="eastAsia" w:asciiTheme="minorEastAsia" w:hAnsiTheme="minorEastAsia" w:eastAsiaTheme="minorEastAsia" w:cstheme="minorEastAsia"/>
                <w:color w:val="auto"/>
                <w:sz w:val="24"/>
                <w:szCs w:val="24"/>
                <w:highlight w:val="none"/>
                <w:lang w:val="en-US" w:eastAsia="zh-CN"/>
              </w:rPr>
              <w:t>原件（或</w:t>
            </w:r>
            <w:r>
              <w:rPr>
                <w:rFonts w:hint="eastAsia" w:asciiTheme="minorEastAsia" w:hAnsiTheme="minorEastAsia" w:eastAsiaTheme="minorEastAsia" w:cstheme="minorEastAsia"/>
                <w:color w:val="auto"/>
                <w:sz w:val="24"/>
                <w:szCs w:val="24"/>
                <w:highlight w:val="none"/>
              </w:rPr>
              <w:t>复印件</w:t>
            </w:r>
            <w:r>
              <w:rPr>
                <w:rFonts w:hint="eastAsia" w:asciiTheme="minorEastAsia" w:hAnsiTheme="minorEastAsia" w:eastAsiaTheme="minorEastAsia" w:cstheme="minorEastAsia"/>
                <w:color w:val="auto"/>
                <w:sz w:val="24"/>
                <w:szCs w:val="24"/>
                <w:highlight w:val="none"/>
                <w:lang w:val="en-US" w:eastAsia="zh-CN"/>
              </w:rPr>
              <w:t>）扫描件</w:t>
            </w:r>
            <w:r>
              <w:rPr>
                <w:rFonts w:hint="eastAsia" w:asciiTheme="minorEastAsia" w:hAnsiTheme="minorEastAsia" w:eastAsiaTheme="minorEastAsia" w:cstheme="minorEastAsia"/>
                <w:color w:val="auto"/>
                <w:sz w:val="24"/>
                <w:szCs w:val="24"/>
                <w:highlight w:val="none"/>
              </w:rPr>
              <w:t>并加盖投标人公章</w:t>
            </w:r>
            <w:r>
              <w:rPr>
                <w:rFonts w:hint="eastAsia" w:asciiTheme="minorEastAsia" w:hAnsiTheme="minorEastAsia" w:eastAsiaTheme="minorEastAsia" w:cstheme="minorEastAsia"/>
                <w:color w:val="auto"/>
                <w:kern w:val="0"/>
                <w:sz w:val="24"/>
                <w:szCs w:val="24"/>
                <w:highlight w:val="none"/>
                <w:lang w:val="en-US" w:eastAsia="zh-CN"/>
              </w:rPr>
              <w:t>】</w:t>
            </w:r>
            <w:r>
              <w:rPr>
                <w:rFonts w:hint="eastAsia" w:asciiTheme="minorEastAsia" w:hAnsiTheme="minorEastAsia" w:eastAsiaTheme="minorEastAsia" w:cstheme="minorEastAsia"/>
                <w:color w:val="auto"/>
                <w:kern w:val="0"/>
                <w:sz w:val="24"/>
                <w:szCs w:val="24"/>
                <w:highlight w:val="none"/>
                <w:lang w:eastAsia="zh-CN"/>
              </w:rPr>
              <w:t>。</w:t>
            </w:r>
          </w:p>
        </w:tc>
        <w:tc>
          <w:tcPr>
            <w:tcW w:w="1410" w:type="dxa"/>
            <w:tcBorders>
              <w:top w:val="single" w:color="auto" w:sz="4" w:space="0"/>
              <w:left w:val="single" w:color="auto" w:sz="4" w:space="0"/>
              <w:bottom w:val="single" w:color="auto" w:sz="4" w:space="0"/>
              <w:right w:val="single" w:color="auto" w:sz="4" w:space="0"/>
            </w:tcBorders>
            <w:vAlign w:val="center"/>
          </w:tcPr>
          <w:p w14:paraId="286714AB">
            <w:pPr>
              <w:pStyle w:val="14"/>
              <w:keepNext w:val="0"/>
              <w:keepLines w:val="0"/>
              <w:pageBreakBefore w:val="0"/>
              <w:widowControl/>
              <w:kinsoku/>
              <w:wordWrap w:val="0"/>
              <w:overflowPunct/>
              <w:topLinePunct w:val="0"/>
              <w:autoSpaceDE/>
              <w:autoSpaceDN/>
              <w:bidi w:val="0"/>
              <w:spacing w:line="500" w:lineRule="exact"/>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0~</w:t>
            </w:r>
            <w:r>
              <w:rPr>
                <w:rFonts w:hint="eastAsia" w:asciiTheme="minorEastAsia" w:hAnsiTheme="minorEastAsia" w:eastAsiaTheme="minorEastAsia" w:cstheme="minorEastAsia"/>
                <w:bCs/>
                <w:color w:val="auto"/>
                <w:sz w:val="24"/>
                <w:szCs w:val="24"/>
                <w:highlight w:val="none"/>
                <w:lang w:val="en-US" w:eastAsia="zh-CN"/>
              </w:rPr>
              <w:t>4</w:t>
            </w:r>
            <w:r>
              <w:rPr>
                <w:rFonts w:hint="eastAsia" w:asciiTheme="minorEastAsia" w:hAnsiTheme="minorEastAsia" w:eastAsiaTheme="minorEastAsia" w:cstheme="minorEastAsia"/>
                <w:bCs/>
                <w:color w:val="auto"/>
                <w:sz w:val="24"/>
                <w:szCs w:val="24"/>
                <w:highlight w:val="none"/>
              </w:rPr>
              <w:t>分</w:t>
            </w:r>
          </w:p>
          <w:p w14:paraId="798823AE">
            <w:pPr>
              <w:pStyle w:val="14"/>
              <w:keepNext w:val="0"/>
              <w:keepLines w:val="0"/>
              <w:pageBreakBefore w:val="0"/>
              <w:widowControl/>
              <w:kinsoku/>
              <w:wordWrap w:val="0"/>
              <w:overflowPunct/>
              <w:topLinePunct w:val="0"/>
              <w:autoSpaceDE/>
              <w:autoSpaceDN/>
              <w:bidi w:val="0"/>
              <w:spacing w:line="500" w:lineRule="exact"/>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color w:val="auto"/>
                <w:sz w:val="24"/>
                <w:szCs w:val="24"/>
                <w:highlight w:val="none"/>
              </w:rPr>
              <w:t>客观分</w:t>
            </w:r>
            <w:r>
              <w:rPr>
                <w:rFonts w:hint="eastAsia" w:asciiTheme="minorEastAsia" w:hAnsiTheme="minorEastAsia" w:eastAsiaTheme="minorEastAsia" w:cstheme="minorEastAsia"/>
                <w:bCs/>
                <w:color w:val="auto"/>
                <w:sz w:val="24"/>
                <w:szCs w:val="24"/>
                <w:highlight w:val="none"/>
              </w:rPr>
              <w:t>）</w:t>
            </w:r>
          </w:p>
        </w:tc>
      </w:tr>
      <w:tr w14:paraId="5923F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517" w:type="dxa"/>
            <w:vMerge w:val="continue"/>
            <w:tcBorders>
              <w:left w:val="single" w:color="auto" w:sz="4" w:space="0"/>
              <w:right w:val="single" w:color="auto" w:sz="4" w:space="0"/>
            </w:tcBorders>
          </w:tcPr>
          <w:p w14:paraId="55C3AC6C">
            <w:pPr>
              <w:pStyle w:val="14"/>
              <w:keepNext w:val="0"/>
              <w:keepLines w:val="0"/>
              <w:pageBreakBefore w:val="0"/>
              <w:widowControl/>
              <w:kinsoku/>
              <w:wordWrap w:val="0"/>
              <w:overflowPunct/>
              <w:topLinePunct w:val="0"/>
              <w:autoSpaceDE/>
              <w:autoSpaceDN/>
              <w:bidi w:val="0"/>
              <w:spacing w:line="500" w:lineRule="exact"/>
              <w:rPr>
                <w:rFonts w:hint="eastAsia" w:asciiTheme="minorEastAsia" w:hAnsiTheme="minorEastAsia" w:eastAsiaTheme="minorEastAsia" w:cstheme="minorEastAsia"/>
                <w:bCs/>
                <w:color w:val="auto"/>
                <w:sz w:val="24"/>
                <w:szCs w:val="24"/>
                <w:highlight w:val="none"/>
              </w:rPr>
            </w:pPr>
          </w:p>
        </w:tc>
        <w:tc>
          <w:tcPr>
            <w:tcW w:w="1481" w:type="dxa"/>
            <w:tcBorders>
              <w:top w:val="single" w:color="auto" w:sz="4" w:space="0"/>
              <w:left w:val="single" w:color="auto" w:sz="4" w:space="0"/>
              <w:right w:val="single" w:color="auto" w:sz="4" w:space="0"/>
            </w:tcBorders>
            <w:vAlign w:val="center"/>
          </w:tcPr>
          <w:p w14:paraId="1693D1BC">
            <w:pPr>
              <w:keepNext w:val="0"/>
              <w:keepLines w:val="0"/>
              <w:pageBreakBefore w:val="0"/>
              <w:kinsoku/>
              <w:overflowPunct/>
              <w:topLinePunct w:val="0"/>
              <w:autoSpaceDE/>
              <w:autoSpaceDN/>
              <w:bidi w:val="0"/>
              <w:adjustRightInd w:val="0"/>
              <w:snapToGrid w:val="0"/>
              <w:spacing w:line="500" w:lineRule="exact"/>
              <w:ind w:left="0" w:leftChars="0" w:firstLine="0" w:firstLineChars="0"/>
              <w:textAlignment w:val="baseline"/>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lang w:val="en-US" w:eastAsia="zh-CN"/>
              </w:rPr>
              <w:t>3</w:t>
            </w: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rPr>
              <w:t>人员团队分（满分</w:t>
            </w:r>
            <w:r>
              <w:rPr>
                <w:rFonts w:hint="eastAsia" w:asciiTheme="minorEastAsia" w:hAnsiTheme="minorEastAsia" w:eastAsiaTheme="minorEastAsia" w:cstheme="minorEastAsia"/>
                <w:bCs/>
                <w:color w:val="auto"/>
                <w:sz w:val="24"/>
                <w:szCs w:val="24"/>
                <w:highlight w:val="none"/>
                <w:lang w:val="en-US" w:eastAsia="zh-CN"/>
              </w:rPr>
              <w:t>5</w:t>
            </w:r>
            <w:r>
              <w:rPr>
                <w:rFonts w:hint="eastAsia" w:asciiTheme="minorEastAsia" w:hAnsiTheme="minorEastAsia" w:eastAsiaTheme="minorEastAsia" w:cstheme="minorEastAsia"/>
                <w:bCs/>
                <w:color w:val="auto"/>
                <w:sz w:val="24"/>
                <w:szCs w:val="24"/>
                <w:highlight w:val="none"/>
              </w:rPr>
              <w:t>分）</w:t>
            </w:r>
          </w:p>
        </w:tc>
        <w:tc>
          <w:tcPr>
            <w:tcW w:w="6554" w:type="dxa"/>
            <w:tcBorders>
              <w:top w:val="single" w:color="auto" w:sz="4" w:space="0"/>
              <w:left w:val="single" w:color="auto" w:sz="4" w:space="0"/>
              <w:right w:val="single" w:color="auto" w:sz="4" w:space="0"/>
            </w:tcBorders>
            <w:vAlign w:val="center"/>
          </w:tcPr>
          <w:p w14:paraId="4C1A0FFA">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500" w:lineRule="exact"/>
              <w:ind w:left="0" w:leftChars="0" w:right="0" w:firstLine="0" w:firstLineChars="0"/>
              <w:jc w:val="both"/>
              <w:textAlignment w:val="baseline"/>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①投标人拟投入本项目的项目负责人具有10年以上（含）工作经验（以毕业证时间为准），同时具有信息系统项目管理师（高级）的得</w:t>
            </w:r>
            <w:r>
              <w:rPr>
                <w:rFonts w:hint="eastAsia" w:asciiTheme="minorEastAsia" w:hAnsiTheme="minorEastAsia" w:eastAsiaTheme="minorEastAsia" w:cstheme="minorEastAsia"/>
                <w:color w:val="auto"/>
                <w:kern w:val="0"/>
                <w:sz w:val="24"/>
                <w:szCs w:val="24"/>
                <w:highlight w:val="none"/>
                <w:lang w:eastAsia="zh-CN" w:bidi="ar"/>
              </w:rPr>
              <w:t>1</w:t>
            </w:r>
            <w:r>
              <w:rPr>
                <w:rFonts w:hint="eastAsia" w:asciiTheme="minorEastAsia" w:hAnsiTheme="minorEastAsia" w:eastAsiaTheme="minorEastAsia" w:cstheme="minorEastAsia"/>
                <w:color w:val="auto"/>
                <w:kern w:val="0"/>
                <w:sz w:val="24"/>
                <w:szCs w:val="24"/>
                <w:highlight w:val="none"/>
                <w:lang w:val="en-US" w:eastAsia="zh-CN" w:bidi="ar"/>
              </w:rPr>
              <w:t>分，满分</w:t>
            </w:r>
            <w:r>
              <w:rPr>
                <w:rFonts w:hint="eastAsia" w:asciiTheme="minorEastAsia" w:hAnsiTheme="minorEastAsia" w:eastAsiaTheme="minorEastAsia" w:cstheme="minorEastAsia"/>
                <w:color w:val="auto"/>
                <w:kern w:val="0"/>
                <w:sz w:val="24"/>
                <w:szCs w:val="24"/>
                <w:highlight w:val="none"/>
                <w:lang w:eastAsia="zh-CN" w:bidi="ar"/>
              </w:rPr>
              <w:t>1</w:t>
            </w:r>
            <w:r>
              <w:rPr>
                <w:rFonts w:hint="eastAsia" w:asciiTheme="minorEastAsia" w:hAnsiTheme="minorEastAsia" w:eastAsiaTheme="minorEastAsia" w:cstheme="minorEastAsia"/>
                <w:color w:val="auto"/>
                <w:kern w:val="0"/>
                <w:sz w:val="24"/>
                <w:szCs w:val="24"/>
                <w:highlight w:val="none"/>
                <w:lang w:val="en-US" w:eastAsia="zh-CN" w:bidi="ar"/>
              </w:rPr>
              <w:t>分。【需提供毕业证、信息系统项目管理师（高级）证书</w:t>
            </w:r>
            <w:r>
              <w:rPr>
                <w:rFonts w:hint="eastAsia" w:asciiTheme="minorEastAsia" w:hAnsiTheme="minorEastAsia" w:eastAsiaTheme="minorEastAsia" w:cstheme="minorEastAsia"/>
                <w:color w:val="auto"/>
                <w:sz w:val="24"/>
                <w:szCs w:val="24"/>
                <w:highlight w:val="none"/>
                <w:lang w:val="en-US" w:eastAsia="zh-CN"/>
              </w:rPr>
              <w:t>原件（或</w:t>
            </w:r>
            <w:r>
              <w:rPr>
                <w:rFonts w:hint="eastAsia" w:asciiTheme="minorEastAsia" w:hAnsiTheme="minorEastAsia" w:eastAsiaTheme="minorEastAsia" w:cstheme="minorEastAsia"/>
                <w:color w:val="auto"/>
                <w:sz w:val="24"/>
                <w:szCs w:val="24"/>
                <w:highlight w:val="none"/>
              </w:rPr>
              <w:t>复印件</w:t>
            </w:r>
            <w:r>
              <w:rPr>
                <w:rFonts w:hint="eastAsia" w:asciiTheme="minorEastAsia" w:hAnsiTheme="minorEastAsia" w:eastAsiaTheme="minorEastAsia" w:cstheme="minorEastAsia"/>
                <w:color w:val="auto"/>
                <w:sz w:val="24"/>
                <w:szCs w:val="24"/>
                <w:highlight w:val="none"/>
                <w:lang w:val="en-US" w:eastAsia="zh-CN"/>
              </w:rPr>
              <w:t>）扫描件</w:t>
            </w:r>
            <w:r>
              <w:rPr>
                <w:rFonts w:hint="eastAsia" w:asciiTheme="minorEastAsia" w:hAnsiTheme="minorEastAsia" w:eastAsiaTheme="minorEastAsia" w:cstheme="minorEastAsia"/>
                <w:color w:val="auto"/>
                <w:kern w:val="0"/>
                <w:sz w:val="24"/>
                <w:szCs w:val="24"/>
                <w:highlight w:val="none"/>
                <w:lang w:val="en-US" w:eastAsia="zh-CN" w:bidi="ar"/>
              </w:rPr>
              <w:t>加盖公章，否则不得分）】。</w:t>
            </w:r>
          </w:p>
          <w:p w14:paraId="31561327">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500" w:lineRule="exact"/>
              <w:ind w:left="0" w:leftChars="0" w:right="0" w:rightChars="0" w:firstLine="0" w:firstLineChars="0"/>
              <w:jc w:val="both"/>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val="en-US" w:eastAsia="zh-CN" w:bidi="ar"/>
              </w:rPr>
              <w:t>②投标人拟投入项目团队</w:t>
            </w:r>
            <w:r>
              <w:rPr>
                <w:rFonts w:hint="eastAsia" w:asciiTheme="minorEastAsia" w:hAnsiTheme="minorEastAsia" w:eastAsiaTheme="minorEastAsia" w:cstheme="minorEastAsia"/>
                <w:color w:val="auto"/>
                <w:kern w:val="0"/>
                <w:sz w:val="24"/>
                <w:szCs w:val="24"/>
                <w:highlight w:val="none"/>
                <w:lang w:val="en-US" w:eastAsia="zh-CN" w:bidi="ar"/>
              </w:rPr>
              <w:t>（除项目负责人外）</w:t>
            </w:r>
            <w:r>
              <w:rPr>
                <w:rFonts w:hint="eastAsia" w:asciiTheme="minorEastAsia" w:hAnsiTheme="minorEastAsia" w:eastAsiaTheme="minorEastAsia" w:cstheme="minorEastAsia"/>
                <w:color w:val="auto"/>
                <w:kern w:val="0"/>
                <w:sz w:val="24"/>
                <w:szCs w:val="24"/>
                <w:highlight w:val="none"/>
                <w:lang w:val="en-US" w:eastAsia="zh-CN" w:bidi="ar"/>
              </w:rPr>
              <w:t>每有 1名计算机类高级及以上职称或通过软考的高级及以上证书人员，得1分，最多得2分；每有1名计算机类中级及以上职称或通过软考的中级及以上证书人员，得 0.5分，最多得2分。满分4分【以上人员不重复计分，提供职称证书</w:t>
            </w:r>
            <w:r>
              <w:rPr>
                <w:rFonts w:hint="eastAsia" w:asciiTheme="minorEastAsia" w:hAnsiTheme="minorEastAsia" w:eastAsiaTheme="minorEastAsia" w:cstheme="minorEastAsia"/>
                <w:color w:val="auto"/>
                <w:sz w:val="24"/>
                <w:szCs w:val="24"/>
                <w:highlight w:val="none"/>
                <w:lang w:val="en-US" w:eastAsia="zh-CN"/>
              </w:rPr>
              <w:t>原件（或</w:t>
            </w:r>
            <w:r>
              <w:rPr>
                <w:rFonts w:hint="eastAsia" w:asciiTheme="minorEastAsia" w:hAnsiTheme="minorEastAsia" w:eastAsiaTheme="minorEastAsia" w:cstheme="minorEastAsia"/>
                <w:color w:val="auto"/>
                <w:sz w:val="24"/>
                <w:szCs w:val="24"/>
                <w:highlight w:val="none"/>
              </w:rPr>
              <w:t>复印件</w:t>
            </w:r>
            <w:r>
              <w:rPr>
                <w:rFonts w:hint="eastAsia" w:asciiTheme="minorEastAsia" w:hAnsiTheme="minorEastAsia" w:eastAsiaTheme="minorEastAsia" w:cstheme="minorEastAsia"/>
                <w:color w:val="auto"/>
                <w:sz w:val="24"/>
                <w:szCs w:val="24"/>
                <w:highlight w:val="none"/>
                <w:lang w:val="en-US" w:eastAsia="zh-CN"/>
              </w:rPr>
              <w:t>）扫描件</w:t>
            </w:r>
            <w:r>
              <w:rPr>
                <w:rFonts w:hint="eastAsia" w:asciiTheme="minorEastAsia" w:hAnsiTheme="minorEastAsia" w:eastAsiaTheme="minorEastAsia" w:cstheme="minorEastAsia"/>
                <w:color w:val="auto"/>
                <w:kern w:val="0"/>
                <w:sz w:val="24"/>
                <w:szCs w:val="24"/>
                <w:highlight w:val="none"/>
                <w:lang w:val="en-US" w:eastAsia="zh-CN" w:bidi="ar"/>
              </w:rPr>
              <w:t>并加盖公章，否则不得分】。</w:t>
            </w:r>
          </w:p>
        </w:tc>
        <w:tc>
          <w:tcPr>
            <w:tcW w:w="1410" w:type="dxa"/>
            <w:tcBorders>
              <w:top w:val="single" w:color="auto" w:sz="4" w:space="0"/>
              <w:left w:val="single" w:color="auto" w:sz="4" w:space="0"/>
              <w:bottom w:val="single" w:color="auto" w:sz="4" w:space="0"/>
              <w:right w:val="single" w:color="auto" w:sz="4" w:space="0"/>
            </w:tcBorders>
            <w:vAlign w:val="center"/>
          </w:tcPr>
          <w:p w14:paraId="1CAF6528">
            <w:pPr>
              <w:pStyle w:val="14"/>
              <w:keepNext w:val="0"/>
              <w:keepLines w:val="0"/>
              <w:pageBreakBefore w:val="0"/>
              <w:widowControl/>
              <w:kinsoku/>
              <w:wordWrap w:val="0"/>
              <w:overflowPunct/>
              <w:topLinePunct w:val="0"/>
              <w:autoSpaceDE/>
              <w:autoSpaceDN/>
              <w:bidi w:val="0"/>
              <w:spacing w:line="500" w:lineRule="exact"/>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0~</w:t>
            </w:r>
            <w:r>
              <w:rPr>
                <w:rFonts w:hint="eastAsia" w:asciiTheme="minorEastAsia" w:hAnsiTheme="minorEastAsia" w:eastAsiaTheme="minorEastAsia" w:cstheme="minorEastAsia"/>
                <w:bCs/>
                <w:color w:val="auto"/>
                <w:sz w:val="24"/>
                <w:szCs w:val="24"/>
                <w:highlight w:val="none"/>
                <w:lang w:val="en-US" w:eastAsia="zh-CN"/>
              </w:rPr>
              <w:t>5</w:t>
            </w:r>
            <w:r>
              <w:rPr>
                <w:rFonts w:hint="eastAsia" w:asciiTheme="minorEastAsia" w:hAnsiTheme="minorEastAsia" w:eastAsiaTheme="minorEastAsia" w:cstheme="minorEastAsia"/>
                <w:bCs/>
                <w:color w:val="auto"/>
                <w:sz w:val="24"/>
                <w:szCs w:val="24"/>
                <w:highlight w:val="none"/>
              </w:rPr>
              <w:t>分</w:t>
            </w:r>
          </w:p>
          <w:p w14:paraId="1C760AED">
            <w:pPr>
              <w:pStyle w:val="14"/>
              <w:keepNext w:val="0"/>
              <w:keepLines w:val="0"/>
              <w:pageBreakBefore w:val="0"/>
              <w:widowControl/>
              <w:kinsoku/>
              <w:wordWrap w:val="0"/>
              <w:overflowPunct/>
              <w:topLinePunct w:val="0"/>
              <w:autoSpaceDE/>
              <w:autoSpaceDN/>
              <w:bidi w:val="0"/>
              <w:spacing w:line="500" w:lineRule="exact"/>
              <w:jc w:val="center"/>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color w:val="auto"/>
                <w:sz w:val="24"/>
                <w:szCs w:val="24"/>
                <w:highlight w:val="none"/>
              </w:rPr>
              <w:t>客观分</w:t>
            </w:r>
            <w:r>
              <w:rPr>
                <w:rFonts w:hint="eastAsia" w:asciiTheme="minorEastAsia" w:hAnsiTheme="minorEastAsia" w:eastAsiaTheme="minorEastAsia" w:cstheme="minorEastAsia"/>
                <w:bCs/>
                <w:color w:val="auto"/>
                <w:sz w:val="24"/>
                <w:szCs w:val="24"/>
                <w:highlight w:val="none"/>
              </w:rPr>
              <w:t>）</w:t>
            </w:r>
          </w:p>
        </w:tc>
      </w:tr>
    </w:tbl>
    <w:p w14:paraId="3633C60C">
      <w:pPr>
        <w:wordWrap w:val="0"/>
        <w:spacing w:line="360" w:lineRule="auto"/>
        <w:rPr>
          <w:rFonts w:hint="eastAsia" w:ascii="宋体" w:hAnsi="宋体" w:eastAsia="宋体" w:cs="宋体"/>
          <w:color w:val="auto"/>
          <w:sz w:val="24"/>
          <w:szCs w:val="24"/>
          <w:highlight w:val="none"/>
        </w:rPr>
      </w:pPr>
    </w:p>
    <w:p w14:paraId="7CDD279A">
      <w:pPr>
        <w:pStyle w:val="14"/>
        <w:wordWrap w:val="0"/>
        <w:spacing w:line="360" w:lineRule="auto"/>
        <w:ind w:firstLine="480"/>
        <w:rPr>
          <w:rFonts w:hint="eastAsia" w:hAnsi="宋体" w:cs="宋体"/>
          <w:bCs/>
          <w:color w:val="auto"/>
          <w:sz w:val="24"/>
          <w:szCs w:val="24"/>
          <w:highlight w:val="none"/>
        </w:rPr>
        <w:sectPr>
          <w:pgSz w:w="11906" w:h="16838"/>
          <w:pgMar w:top="1440" w:right="1080" w:bottom="1440" w:left="1080" w:header="720" w:footer="720" w:gutter="0"/>
          <w:cols w:space="720" w:num="1"/>
          <w:docGrid w:type="lines" w:linePitch="331" w:charSpace="0"/>
        </w:sectPr>
      </w:pPr>
    </w:p>
    <w:bookmarkEnd w:id="110"/>
    <w:p w14:paraId="3FE9BF80">
      <w:pPr>
        <w:pStyle w:val="3"/>
        <w:wordWrap w:val="0"/>
        <w:spacing w:before="0" w:after="0" w:line="360" w:lineRule="auto"/>
        <w:ind w:firstLine="600"/>
        <w:jc w:val="center"/>
        <w:rPr>
          <w:rFonts w:hint="eastAsia" w:ascii="宋体" w:hAnsi="宋体" w:eastAsia="宋体" w:cs="宋体"/>
          <w:b w:val="0"/>
          <w:color w:val="auto"/>
          <w:sz w:val="30"/>
          <w:szCs w:val="30"/>
          <w:highlight w:val="none"/>
        </w:rPr>
      </w:pPr>
      <w:bookmarkStart w:id="111" w:name="_Toc26276"/>
      <w:r>
        <w:rPr>
          <w:rFonts w:hint="eastAsia" w:ascii="宋体" w:hAnsi="宋体" w:eastAsia="宋体" w:cs="宋体"/>
          <w:b w:val="0"/>
          <w:color w:val="auto"/>
          <w:sz w:val="30"/>
          <w:szCs w:val="30"/>
          <w:highlight w:val="none"/>
        </w:rPr>
        <w:t>第四节 中标候选人推荐原则</w:t>
      </w:r>
      <w:bookmarkEnd w:id="111"/>
    </w:p>
    <w:p w14:paraId="60BF9079">
      <w:pPr>
        <w:pStyle w:val="14"/>
        <w:numPr>
          <w:ilvl w:val="0"/>
          <w:numId w:val="0"/>
        </w:numPr>
        <w:wordWrap w:val="0"/>
        <w:spacing w:line="360" w:lineRule="auto"/>
        <w:ind w:firstLine="482" w:firstLineChars="200"/>
        <w:contextualSpacing/>
        <w:rPr>
          <w:rFonts w:hint="eastAsia" w:hAnsi="宋体" w:cs="宋体"/>
          <w:b/>
          <w:bCs/>
          <w:color w:val="auto"/>
          <w:sz w:val="24"/>
          <w:szCs w:val="24"/>
          <w:highlight w:val="none"/>
        </w:rPr>
      </w:pPr>
      <w:r>
        <w:rPr>
          <w:rFonts w:hint="eastAsia" w:hAnsi="宋体" w:cs="宋体"/>
          <w:b/>
          <w:bCs/>
          <w:color w:val="auto"/>
          <w:sz w:val="24"/>
          <w:szCs w:val="24"/>
          <w:highlight w:val="none"/>
          <w:lang w:eastAsia="zh-CN"/>
        </w:rPr>
        <w:t>（</w:t>
      </w:r>
      <w:r>
        <w:rPr>
          <w:rFonts w:hint="eastAsia" w:hAnsi="宋体" w:cs="宋体"/>
          <w:b/>
          <w:bCs/>
          <w:color w:val="auto"/>
          <w:sz w:val="24"/>
          <w:szCs w:val="24"/>
          <w:highlight w:val="none"/>
          <w:lang w:val="en-US" w:eastAsia="zh-CN"/>
        </w:rPr>
        <w:t>一</w:t>
      </w:r>
      <w:r>
        <w:rPr>
          <w:rFonts w:hint="eastAsia" w:hAnsi="宋体" w:cs="宋体"/>
          <w:b/>
          <w:bCs/>
          <w:color w:val="auto"/>
          <w:sz w:val="24"/>
          <w:szCs w:val="24"/>
          <w:highlight w:val="none"/>
          <w:lang w:eastAsia="zh-CN"/>
        </w:rPr>
        <w:t>）</w:t>
      </w:r>
      <w:r>
        <w:rPr>
          <w:rFonts w:hint="eastAsia" w:hAnsi="宋体" w:cs="宋体"/>
          <w:b/>
          <w:bCs/>
          <w:color w:val="auto"/>
          <w:sz w:val="24"/>
          <w:szCs w:val="24"/>
          <w:highlight w:val="none"/>
        </w:rPr>
        <w:t>综合评分法</w:t>
      </w:r>
    </w:p>
    <w:p w14:paraId="6CEB381D">
      <w:pPr>
        <w:pStyle w:val="14"/>
        <w:wordWrap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评标委员会将根据总得分由高到低排列次序并推荐中标候选人。总得分相同的，以投标报价由低到高顺序排列。得分相同且投标报价相同的并列，投标文件满足招标文件全部实质性要求，且按照评审因素的量化指标评审得分最高的投标人为排名第一的中标候选人。</w:t>
      </w:r>
    </w:p>
    <w:p w14:paraId="20063DEE">
      <w:pPr>
        <w:pStyle w:val="3"/>
        <w:wordWrap w:val="0"/>
        <w:spacing w:before="0" w:after="0" w:line="360" w:lineRule="auto"/>
        <w:ind w:firstLine="600" w:firstLineChars="200"/>
        <w:jc w:val="center"/>
        <w:rPr>
          <w:rFonts w:hint="eastAsia" w:ascii="宋体" w:hAnsi="宋体" w:eastAsia="宋体" w:cs="宋体"/>
          <w:b w:val="0"/>
          <w:color w:val="auto"/>
          <w:sz w:val="30"/>
          <w:szCs w:val="30"/>
          <w:highlight w:val="none"/>
        </w:rPr>
      </w:pPr>
      <w:bookmarkStart w:id="112" w:name="_Toc52"/>
      <w:r>
        <w:rPr>
          <w:rFonts w:hint="eastAsia" w:ascii="宋体" w:hAnsi="宋体" w:eastAsia="宋体" w:cs="宋体"/>
          <w:b w:val="0"/>
          <w:color w:val="auto"/>
          <w:sz w:val="30"/>
          <w:szCs w:val="30"/>
          <w:highlight w:val="none"/>
        </w:rPr>
        <w:t>第五节 评标报告</w:t>
      </w:r>
      <w:bookmarkEnd w:id="112"/>
    </w:p>
    <w:p w14:paraId="405843CC">
      <w:pPr>
        <w:pStyle w:val="37"/>
        <w:wordWrap w:val="0"/>
        <w:spacing w:before="0"/>
        <w:ind w:firstLine="482"/>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（一）评标报告与推荐中标候选人</w:t>
      </w:r>
    </w:p>
    <w:p w14:paraId="01D51FD6">
      <w:pPr>
        <w:pStyle w:val="14"/>
        <w:tabs>
          <w:tab w:val="left" w:pos="2472"/>
        </w:tabs>
        <w:wordWrap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评标委员会根据原始评标记录和评标结果编写评标报告，并通过电子交易平台向采购人、采购代理机构提交。</w:t>
      </w:r>
    </w:p>
    <w:p w14:paraId="3621688D">
      <w:pPr>
        <w:widowControl/>
        <w:wordWrap w:val="0"/>
        <w:spacing w:line="360" w:lineRule="auto"/>
        <w:ind w:firstLine="482" w:firstLineChars="200"/>
        <w:jc w:val="left"/>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（二）评标争议事项处理</w:t>
      </w:r>
    </w:p>
    <w:p w14:paraId="1E600742">
      <w:pPr>
        <w:pStyle w:val="14"/>
        <w:tabs>
          <w:tab w:val="left" w:pos="2472"/>
        </w:tabs>
        <w:wordWrap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评标委员会成员对需要共同认定的事项存在争议的，应当按照少数服从多数的原则作出结论。持不同意见的评标委员会成员应当在评标报告上签署不同意见及理由，否则视为同意评标报告。</w:t>
      </w:r>
    </w:p>
    <w:p w14:paraId="2A8530E1">
      <w:pPr>
        <w:widowControl/>
        <w:wordWrap w:val="0"/>
        <w:spacing w:line="360" w:lineRule="auto"/>
        <w:ind w:firstLine="723"/>
        <w:jc w:val="left"/>
        <w:rPr>
          <w:rFonts w:hint="eastAsia" w:ascii="宋体" w:hAnsi="宋体" w:cs="宋体"/>
          <w:b/>
          <w:color w:val="auto"/>
          <w:sz w:val="36"/>
          <w:szCs w:val="20"/>
          <w:highlight w:val="none"/>
        </w:rPr>
        <w:sectPr>
          <w:pgSz w:w="11906" w:h="16838"/>
          <w:pgMar w:top="1440" w:right="1080" w:bottom="1440" w:left="1080" w:header="720" w:footer="720" w:gutter="0"/>
          <w:cols w:space="720" w:num="1"/>
          <w:docGrid w:type="lines" w:linePitch="331" w:charSpace="0"/>
        </w:sectPr>
      </w:pPr>
    </w:p>
    <w:p w14:paraId="2C5FEE4F">
      <w:pPr>
        <w:pStyle w:val="14"/>
        <w:tabs>
          <w:tab w:val="left" w:pos="2472"/>
        </w:tabs>
        <w:wordWrap w:val="0"/>
        <w:spacing w:line="360" w:lineRule="auto"/>
        <w:ind w:firstLine="723"/>
        <w:jc w:val="center"/>
        <w:rPr>
          <w:rFonts w:hint="eastAsia" w:hAnsi="宋体" w:cs="宋体"/>
          <w:b/>
          <w:color w:val="auto"/>
          <w:sz w:val="36"/>
          <w:highlight w:val="none"/>
        </w:rPr>
      </w:pPr>
    </w:p>
    <w:p w14:paraId="05E4D05C">
      <w:pPr>
        <w:pStyle w:val="14"/>
        <w:tabs>
          <w:tab w:val="left" w:pos="2472"/>
        </w:tabs>
        <w:wordWrap w:val="0"/>
        <w:spacing w:line="360" w:lineRule="auto"/>
        <w:ind w:firstLine="723"/>
        <w:jc w:val="center"/>
        <w:rPr>
          <w:rFonts w:hint="eastAsia" w:hAnsi="宋体" w:cs="宋体"/>
          <w:b/>
          <w:color w:val="auto"/>
          <w:sz w:val="36"/>
          <w:highlight w:val="none"/>
        </w:rPr>
      </w:pPr>
    </w:p>
    <w:p w14:paraId="71ABDA7E">
      <w:pPr>
        <w:pStyle w:val="14"/>
        <w:tabs>
          <w:tab w:val="left" w:pos="2472"/>
        </w:tabs>
        <w:wordWrap w:val="0"/>
        <w:spacing w:line="360" w:lineRule="auto"/>
        <w:ind w:firstLine="723"/>
        <w:jc w:val="center"/>
        <w:rPr>
          <w:rFonts w:hint="eastAsia" w:hAnsi="宋体" w:cs="宋体"/>
          <w:b/>
          <w:color w:val="auto"/>
          <w:sz w:val="36"/>
          <w:highlight w:val="none"/>
        </w:rPr>
      </w:pPr>
    </w:p>
    <w:p w14:paraId="1FBD725D">
      <w:pPr>
        <w:pStyle w:val="14"/>
        <w:tabs>
          <w:tab w:val="left" w:pos="2472"/>
        </w:tabs>
        <w:wordWrap w:val="0"/>
        <w:spacing w:line="360" w:lineRule="auto"/>
        <w:ind w:firstLine="723"/>
        <w:jc w:val="center"/>
        <w:rPr>
          <w:rFonts w:hint="eastAsia" w:hAnsi="宋体" w:cs="宋体"/>
          <w:b/>
          <w:color w:val="auto"/>
          <w:sz w:val="36"/>
          <w:highlight w:val="none"/>
        </w:rPr>
      </w:pPr>
    </w:p>
    <w:p w14:paraId="5FEF1023">
      <w:pPr>
        <w:pStyle w:val="14"/>
        <w:tabs>
          <w:tab w:val="left" w:pos="2472"/>
        </w:tabs>
        <w:wordWrap w:val="0"/>
        <w:spacing w:line="360" w:lineRule="auto"/>
        <w:ind w:firstLine="723"/>
        <w:jc w:val="center"/>
        <w:rPr>
          <w:rFonts w:hint="eastAsia" w:hAnsi="宋体" w:cs="宋体"/>
          <w:b/>
          <w:color w:val="auto"/>
          <w:sz w:val="36"/>
          <w:highlight w:val="none"/>
        </w:rPr>
      </w:pPr>
    </w:p>
    <w:p w14:paraId="0B023951">
      <w:pPr>
        <w:pStyle w:val="14"/>
        <w:tabs>
          <w:tab w:val="left" w:pos="2472"/>
        </w:tabs>
        <w:wordWrap w:val="0"/>
        <w:spacing w:line="360" w:lineRule="auto"/>
        <w:ind w:firstLine="723"/>
        <w:jc w:val="center"/>
        <w:rPr>
          <w:rFonts w:hint="eastAsia" w:hAnsi="宋体" w:cs="宋体"/>
          <w:b/>
          <w:color w:val="auto"/>
          <w:sz w:val="36"/>
          <w:highlight w:val="none"/>
        </w:rPr>
      </w:pPr>
    </w:p>
    <w:p w14:paraId="6E117DAB">
      <w:pPr>
        <w:pStyle w:val="14"/>
        <w:tabs>
          <w:tab w:val="left" w:pos="2472"/>
        </w:tabs>
        <w:wordWrap w:val="0"/>
        <w:spacing w:line="360" w:lineRule="auto"/>
        <w:ind w:firstLine="723"/>
        <w:jc w:val="center"/>
        <w:rPr>
          <w:rFonts w:hint="eastAsia" w:hAnsi="宋体" w:cs="宋体"/>
          <w:b/>
          <w:color w:val="auto"/>
          <w:sz w:val="36"/>
          <w:highlight w:val="none"/>
        </w:rPr>
      </w:pPr>
    </w:p>
    <w:p w14:paraId="19A05BA1">
      <w:pPr>
        <w:pStyle w:val="14"/>
        <w:tabs>
          <w:tab w:val="left" w:pos="2472"/>
        </w:tabs>
        <w:wordWrap w:val="0"/>
        <w:spacing w:line="360" w:lineRule="auto"/>
        <w:ind w:firstLine="723"/>
        <w:jc w:val="center"/>
        <w:rPr>
          <w:rFonts w:hint="eastAsia" w:hAnsi="宋体" w:cs="宋体"/>
          <w:b/>
          <w:color w:val="auto"/>
          <w:sz w:val="36"/>
          <w:highlight w:val="none"/>
        </w:rPr>
      </w:pPr>
    </w:p>
    <w:p w14:paraId="4B946E41">
      <w:pPr>
        <w:pStyle w:val="14"/>
        <w:tabs>
          <w:tab w:val="left" w:pos="2472"/>
        </w:tabs>
        <w:wordWrap w:val="0"/>
        <w:spacing w:line="360" w:lineRule="auto"/>
        <w:ind w:firstLine="723"/>
        <w:jc w:val="center"/>
        <w:rPr>
          <w:rFonts w:hint="eastAsia" w:hAnsi="宋体" w:cs="宋体"/>
          <w:b/>
          <w:color w:val="auto"/>
          <w:sz w:val="36"/>
          <w:highlight w:val="none"/>
        </w:rPr>
      </w:pPr>
    </w:p>
    <w:p w14:paraId="6AA3665D">
      <w:pPr>
        <w:pStyle w:val="14"/>
        <w:tabs>
          <w:tab w:val="left" w:pos="2472"/>
        </w:tabs>
        <w:wordWrap w:val="0"/>
        <w:spacing w:line="360" w:lineRule="auto"/>
        <w:ind w:firstLine="723"/>
        <w:jc w:val="center"/>
        <w:rPr>
          <w:rFonts w:hint="eastAsia" w:hAnsi="宋体" w:cs="宋体"/>
          <w:b/>
          <w:color w:val="auto"/>
          <w:sz w:val="36"/>
          <w:highlight w:val="none"/>
        </w:rPr>
      </w:pPr>
    </w:p>
    <w:p w14:paraId="1B4B3208">
      <w:pPr>
        <w:pStyle w:val="14"/>
        <w:tabs>
          <w:tab w:val="left" w:pos="2472"/>
        </w:tabs>
        <w:wordWrap w:val="0"/>
        <w:spacing w:line="360" w:lineRule="auto"/>
        <w:ind w:firstLine="723"/>
        <w:jc w:val="center"/>
        <w:rPr>
          <w:rFonts w:hint="eastAsia" w:hAnsi="宋体" w:cs="宋体"/>
          <w:b/>
          <w:color w:val="auto"/>
          <w:sz w:val="36"/>
          <w:highlight w:val="none"/>
        </w:rPr>
      </w:pPr>
    </w:p>
    <w:p w14:paraId="7DD52539">
      <w:pPr>
        <w:pStyle w:val="14"/>
        <w:tabs>
          <w:tab w:val="left" w:pos="2472"/>
        </w:tabs>
        <w:wordWrap w:val="0"/>
        <w:spacing w:line="360" w:lineRule="auto"/>
        <w:ind w:firstLine="723"/>
        <w:jc w:val="center"/>
        <w:rPr>
          <w:rFonts w:hint="eastAsia" w:hAnsi="宋体" w:cs="宋体"/>
          <w:b/>
          <w:color w:val="auto"/>
          <w:sz w:val="36"/>
          <w:highlight w:val="none"/>
        </w:rPr>
      </w:pPr>
    </w:p>
    <w:p w14:paraId="20A83313">
      <w:pPr>
        <w:pStyle w:val="14"/>
        <w:tabs>
          <w:tab w:val="left" w:pos="2472"/>
        </w:tabs>
        <w:wordWrap w:val="0"/>
        <w:spacing w:line="360" w:lineRule="auto"/>
        <w:ind w:firstLine="723"/>
        <w:jc w:val="center"/>
        <w:rPr>
          <w:rFonts w:hint="eastAsia" w:hAnsi="宋体" w:cs="宋体"/>
          <w:b/>
          <w:color w:val="auto"/>
          <w:sz w:val="36"/>
          <w:highlight w:val="none"/>
        </w:rPr>
      </w:pPr>
    </w:p>
    <w:p w14:paraId="6F4C0F38">
      <w:pPr>
        <w:pStyle w:val="14"/>
        <w:tabs>
          <w:tab w:val="left" w:pos="2472"/>
        </w:tabs>
        <w:wordWrap w:val="0"/>
        <w:spacing w:line="360" w:lineRule="auto"/>
        <w:ind w:firstLine="723"/>
        <w:jc w:val="center"/>
        <w:outlineLvl w:val="0"/>
        <w:rPr>
          <w:rFonts w:hint="eastAsia" w:hAnsi="宋体" w:cs="宋体"/>
          <w:b/>
          <w:color w:val="auto"/>
          <w:sz w:val="36"/>
          <w:highlight w:val="none"/>
        </w:rPr>
      </w:pPr>
      <w:bookmarkStart w:id="113" w:name="_Toc29194"/>
      <w:r>
        <w:rPr>
          <w:rFonts w:hint="eastAsia" w:hAnsi="宋体" w:cs="宋体"/>
          <w:b/>
          <w:color w:val="auto"/>
          <w:sz w:val="36"/>
          <w:highlight w:val="none"/>
        </w:rPr>
        <w:t>第五章 拟签订的合同文本</w:t>
      </w:r>
      <w:bookmarkEnd w:id="113"/>
    </w:p>
    <w:p w14:paraId="06C1A44F">
      <w:pPr>
        <w:widowControl/>
        <w:wordWrap w:val="0"/>
        <w:spacing w:line="360" w:lineRule="auto"/>
        <w:jc w:val="left"/>
        <w:rPr>
          <w:rFonts w:hint="eastAsia" w:ascii="宋体" w:hAnsi="宋体" w:cs="宋体"/>
          <w:bCs/>
          <w:color w:val="auto"/>
          <w:szCs w:val="20"/>
          <w:highlight w:val="none"/>
        </w:rPr>
        <w:sectPr>
          <w:pgSz w:w="11906" w:h="16838"/>
          <w:pgMar w:top="1440" w:right="1080" w:bottom="1440" w:left="1080" w:header="720" w:footer="720" w:gutter="0"/>
          <w:cols w:space="720" w:num="1"/>
          <w:docGrid w:type="lines" w:linePitch="331" w:charSpace="0"/>
        </w:sectPr>
      </w:pPr>
    </w:p>
    <w:p w14:paraId="40329A33">
      <w:pPr>
        <w:wordWrap w:val="0"/>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广西政府采购云平台合同编号：</w:t>
      </w:r>
      <w:r>
        <w:rPr>
          <w:rFonts w:hint="eastAsia" w:ascii="宋体" w:hAnsi="宋体" w:cs="宋体"/>
          <w:color w:val="auto"/>
          <w:sz w:val="24"/>
          <w:highlight w:val="none"/>
          <w:u w:val="single"/>
        </w:rPr>
        <w:t xml:space="preserve">           </w:t>
      </w:r>
    </w:p>
    <w:p w14:paraId="6112601E">
      <w:pPr>
        <w:wordWrap w:val="0"/>
        <w:spacing w:line="360" w:lineRule="auto"/>
        <w:ind w:firstLine="1044"/>
        <w:jc w:val="center"/>
        <w:rPr>
          <w:rFonts w:hint="eastAsia" w:ascii="宋体" w:hAnsi="宋体" w:cs="宋体"/>
          <w:b/>
          <w:bCs/>
          <w:color w:val="auto"/>
          <w:sz w:val="52"/>
          <w:highlight w:val="none"/>
        </w:rPr>
      </w:pPr>
    </w:p>
    <w:p w14:paraId="1BC00218">
      <w:pPr>
        <w:wordWrap w:val="0"/>
        <w:spacing w:line="360" w:lineRule="auto"/>
        <w:ind w:firstLine="1044"/>
        <w:jc w:val="center"/>
        <w:rPr>
          <w:rFonts w:hint="eastAsia" w:ascii="宋体" w:hAnsi="宋体" w:cs="宋体"/>
          <w:b/>
          <w:bCs/>
          <w:color w:val="auto"/>
          <w:sz w:val="52"/>
          <w:highlight w:val="none"/>
        </w:rPr>
      </w:pPr>
    </w:p>
    <w:p w14:paraId="641D9617">
      <w:pPr>
        <w:wordWrap w:val="0"/>
        <w:spacing w:line="360" w:lineRule="auto"/>
        <w:ind w:firstLine="1044"/>
        <w:jc w:val="center"/>
        <w:rPr>
          <w:rFonts w:hint="eastAsia" w:ascii="宋体" w:hAnsi="宋体" w:cs="宋体"/>
          <w:b/>
          <w:bCs/>
          <w:color w:val="auto"/>
          <w:sz w:val="52"/>
          <w:highlight w:val="none"/>
        </w:rPr>
      </w:pPr>
      <w:r>
        <w:rPr>
          <w:rFonts w:hint="eastAsia" w:ascii="宋体" w:hAnsi="宋体" w:cs="宋体"/>
          <w:b/>
          <w:bCs/>
          <w:color w:val="auto"/>
          <w:sz w:val="52"/>
          <w:highlight w:val="none"/>
        </w:rPr>
        <w:t>南 宁 市 政 府 采 购</w:t>
      </w:r>
    </w:p>
    <w:p w14:paraId="07087427">
      <w:pPr>
        <w:wordWrap w:val="0"/>
        <w:spacing w:line="360" w:lineRule="auto"/>
        <w:ind w:firstLine="420" w:firstLineChars="200"/>
        <w:rPr>
          <w:rFonts w:hint="eastAsia" w:ascii="宋体" w:hAnsi="宋体" w:cs="宋体"/>
          <w:color w:val="auto"/>
          <w:highlight w:val="none"/>
        </w:rPr>
      </w:pPr>
    </w:p>
    <w:p w14:paraId="05065C16">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 xml:space="preserve">                                                 </w:t>
      </w:r>
    </w:p>
    <w:p w14:paraId="433B5D1F">
      <w:pPr>
        <w:wordWrap w:val="0"/>
        <w:spacing w:line="360" w:lineRule="auto"/>
        <w:ind w:firstLine="883"/>
        <w:jc w:val="center"/>
        <w:rPr>
          <w:rFonts w:hint="eastAsia" w:ascii="宋体" w:hAnsi="宋体" w:cs="宋体"/>
          <w:b/>
          <w:bCs/>
          <w:color w:val="auto"/>
          <w:sz w:val="44"/>
          <w:highlight w:val="none"/>
        </w:rPr>
      </w:pPr>
      <w:r>
        <w:rPr>
          <w:rFonts w:hint="eastAsia" w:ascii="宋体" w:hAnsi="宋体" w:cs="宋体"/>
          <w:b/>
          <w:bCs/>
          <w:color w:val="auto"/>
          <w:sz w:val="44"/>
          <w:highlight w:val="none"/>
          <w:u w:val="single"/>
        </w:rPr>
        <w:t xml:space="preserve">           </w:t>
      </w:r>
      <w:r>
        <w:rPr>
          <w:rFonts w:hint="eastAsia" w:ascii="宋体" w:hAnsi="宋体" w:cs="宋体"/>
          <w:b/>
          <w:bCs/>
          <w:color w:val="auto"/>
          <w:sz w:val="44"/>
          <w:highlight w:val="none"/>
        </w:rPr>
        <w:t>合同</w:t>
      </w:r>
    </w:p>
    <w:p w14:paraId="4DB424EB">
      <w:pPr>
        <w:wordWrap w:val="0"/>
        <w:spacing w:line="360" w:lineRule="auto"/>
        <w:ind w:firstLine="3507" w:firstLineChars="794"/>
        <w:rPr>
          <w:rFonts w:hint="eastAsia" w:ascii="宋体" w:hAnsi="宋体" w:cs="宋体"/>
          <w:b/>
          <w:bCs/>
          <w:color w:val="auto"/>
          <w:sz w:val="44"/>
          <w:highlight w:val="none"/>
        </w:rPr>
      </w:pPr>
    </w:p>
    <w:p w14:paraId="61D1937E">
      <w:pPr>
        <w:wordWrap w:val="0"/>
        <w:spacing w:line="360" w:lineRule="auto"/>
        <w:ind w:firstLine="1063" w:firstLineChars="294"/>
        <w:jc w:val="left"/>
        <w:rPr>
          <w:rFonts w:hint="eastAsia" w:ascii="宋体" w:hAnsi="宋体" w:cs="宋体"/>
          <w:b/>
          <w:color w:val="auto"/>
          <w:sz w:val="36"/>
          <w:szCs w:val="36"/>
          <w:highlight w:val="none"/>
        </w:rPr>
      </w:pPr>
      <w:r>
        <w:rPr>
          <w:rFonts w:hint="eastAsia" w:ascii="宋体" w:hAnsi="宋体" w:cs="宋体"/>
          <w:b/>
          <w:color w:val="auto"/>
          <w:sz w:val="36"/>
          <w:szCs w:val="36"/>
          <w:highlight w:val="none"/>
        </w:rPr>
        <w:t xml:space="preserve">项目编号：   </w:t>
      </w:r>
    </w:p>
    <w:p w14:paraId="1AE5AA4C">
      <w:pPr>
        <w:wordWrap w:val="0"/>
        <w:spacing w:line="360" w:lineRule="auto"/>
        <w:ind w:firstLine="1063" w:firstLineChars="294"/>
        <w:jc w:val="left"/>
        <w:rPr>
          <w:rFonts w:hint="eastAsia" w:ascii="宋体" w:hAnsi="宋体" w:cs="宋体"/>
          <w:b/>
          <w:color w:val="auto"/>
          <w:sz w:val="36"/>
          <w:szCs w:val="36"/>
          <w:highlight w:val="none"/>
        </w:rPr>
      </w:pPr>
      <w:r>
        <w:rPr>
          <w:rFonts w:hint="eastAsia" w:ascii="宋体" w:hAnsi="宋体" w:cs="宋体"/>
          <w:b/>
          <w:color w:val="auto"/>
          <w:sz w:val="36"/>
          <w:szCs w:val="36"/>
          <w:highlight w:val="none"/>
        </w:rPr>
        <w:t>计划编号：</w:t>
      </w:r>
    </w:p>
    <w:p w14:paraId="546137D4">
      <w:pPr>
        <w:tabs>
          <w:tab w:val="left" w:pos="7200"/>
        </w:tabs>
        <w:wordWrap w:val="0"/>
        <w:spacing w:line="360" w:lineRule="auto"/>
        <w:ind w:firstLine="1995" w:firstLineChars="552"/>
        <w:rPr>
          <w:rFonts w:hint="eastAsia" w:ascii="宋体" w:hAnsi="宋体" w:cs="宋体"/>
          <w:b/>
          <w:color w:val="auto"/>
          <w:sz w:val="36"/>
          <w:szCs w:val="36"/>
          <w:highlight w:val="none"/>
        </w:rPr>
      </w:pPr>
    </w:p>
    <w:p w14:paraId="7DF8F7CB">
      <w:pPr>
        <w:pStyle w:val="11"/>
        <w:spacing w:after="0" w:line="360" w:lineRule="auto"/>
        <w:rPr>
          <w:color w:val="auto"/>
          <w:highlight w:val="none"/>
        </w:rPr>
      </w:pPr>
    </w:p>
    <w:p w14:paraId="181E5E52">
      <w:pPr>
        <w:tabs>
          <w:tab w:val="left" w:pos="7200"/>
        </w:tabs>
        <w:wordWrap w:val="0"/>
        <w:spacing w:line="360" w:lineRule="auto"/>
        <w:ind w:firstLine="1995" w:firstLineChars="552"/>
        <w:rPr>
          <w:rFonts w:hint="eastAsia" w:ascii="宋体" w:hAnsi="宋体" w:cs="宋体"/>
          <w:b/>
          <w:color w:val="auto"/>
          <w:sz w:val="36"/>
          <w:szCs w:val="36"/>
          <w:highlight w:val="none"/>
          <w:u w:val="single"/>
        </w:rPr>
      </w:pPr>
      <w:r>
        <w:rPr>
          <w:rFonts w:hint="eastAsia" w:ascii="宋体" w:hAnsi="宋体" w:cs="宋体"/>
          <w:b/>
          <w:color w:val="auto"/>
          <w:sz w:val="36"/>
          <w:szCs w:val="36"/>
          <w:highlight w:val="none"/>
        </w:rPr>
        <w:t>采购人：</w:t>
      </w:r>
      <w:r>
        <w:rPr>
          <w:rFonts w:hint="eastAsia" w:ascii="宋体" w:hAnsi="宋体" w:cs="宋体"/>
          <w:b/>
          <w:color w:val="auto"/>
          <w:sz w:val="36"/>
          <w:szCs w:val="36"/>
          <w:highlight w:val="none"/>
          <w:u w:val="single"/>
        </w:rPr>
        <w:t xml:space="preserve">                      </w:t>
      </w:r>
    </w:p>
    <w:p w14:paraId="45985827">
      <w:pPr>
        <w:tabs>
          <w:tab w:val="left" w:pos="7380"/>
        </w:tabs>
        <w:wordWrap w:val="0"/>
        <w:spacing w:line="360" w:lineRule="auto"/>
        <w:ind w:firstLine="1995" w:firstLineChars="552"/>
        <w:rPr>
          <w:rFonts w:hint="eastAsia" w:ascii="宋体" w:hAnsi="宋体" w:cs="宋体"/>
          <w:b/>
          <w:bCs/>
          <w:color w:val="auto"/>
          <w:sz w:val="44"/>
          <w:highlight w:val="none"/>
        </w:rPr>
      </w:pPr>
      <w:r>
        <w:rPr>
          <w:rFonts w:hint="eastAsia" w:ascii="宋体" w:hAnsi="宋体" w:cs="宋体"/>
          <w:b/>
          <w:color w:val="auto"/>
          <w:sz w:val="36"/>
          <w:szCs w:val="36"/>
          <w:highlight w:val="none"/>
        </w:rPr>
        <w:t>中标供应商：</w:t>
      </w:r>
      <w:r>
        <w:rPr>
          <w:rFonts w:hint="eastAsia" w:ascii="宋体" w:hAnsi="宋体" w:cs="宋体"/>
          <w:b/>
          <w:color w:val="auto"/>
          <w:sz w:val="36"/>
          <w:szCs w:val="36"/>
          <w:highlight w:val="none"/>
          <w:u w:val="single"/>
        </w:rPr>
        <w:t xml:space="preserve">                   </w:t>
      </w:r>
    </w:p>
    <w:p w14:paraId="61E266AC">
      <w:pPr>
        <w:tabs>
          <w:tab w:val="left" w:pos="7380"/>
        </w:tabs>
        <w:wordWrap w:val="0"/>
        <w:spacing w:line="360" w:lineRule="auto"/>
        <w:ind w:firstLine="883"/>
        <w:rPr>
          <w:rFonts w:hint="eastAsia" w:ascii="宋体" w:hAnsi="宋体" w:cs="宋体"/>
          <w:b/>
          <w:bCs/>
          <w:color w:val="auto"/>
          <w:sz w:val="44"/>
          <w:highlight w:val="none"/>
        </w:rPr>
      </w:pPr>
    </w:p>
    <w:p w14:paraId="626D7D74">
      <w:pPr>
        <w:wordWrap w:val="0"/>
        <w:spacing w:line="360" w:lineRule="auto"/>
        <w:rPr>
          <w:rFonts w:hint="eastAsia" w:ascii="宋体" w:hAnsi="宋体" w:cs="宋体"/>
          <w:color w:val="auto"/>
          <w:sz w:val="24"/>
          <w:highlight w:val="none"/>
        </w:rPr>
      </w:pPr>
    </w:p>
    <w:p w14:paraId="27B5E58B">
      <w:pPr>
        <w:wordWrap w:val="0"/>
        <w:spacing w:line="360" w:lineRule="auto"/>
        <w:ind w:firstLine="2280" w:firstLineChars="950"/>
        <w:rPr>
          <w:rFonts w:hint="eastAsia" w:ascii="宋体" w:hAnsi="宋体" w:cs="宋体"/>
          <w:b/>
          <w:bCs/>
          <w:color w:val="auto"/>
          <w:sz w:val="44"/>
          <w:highlight w:val="none"/>
        </w:rPr>
      </w:pPr>
      <w:r>
        <w:rPr>
          <w:rFonts w:hint="eastAsia" w:ascii="宋体" w:hAnsi="宋体" w:cs="宋体"/>
          <w:color w:val="auto"/>
          <w:sz w:val="24"/>
          <w:highlight w:val="none"/>
        </w:rPr>
        <w:t>签订日期：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67EB1590">
      <w:pPr>
        <w:wordWrap w:val="0"/>
        <w:snapToGrid w:val="0"/>
        <w:spacing w:line="360" w:lineRule="auto"/>
        <w:ind w:firstLine="883"/>
        <w:jc w:val="center"/>
        <w:rPr>
          <w:rFonts w:hint="eastAsia" w:ascii="宋体" w:hAnsi="宋体" w:cs="宋体"/>
          <w:b/>
          <w:bCs/>
          <w:color w:val="auto"/>
          <w:sz w:val="44"/>
          <w:highlight w:val="none"/>
        </w:rPr>
      </w:pPr>
      <w:r>
        <w:rPr>
          <w:rFonts w:hint="eastAsia" w:ascii="宋体" w:hAnsi="宋体" w:cs="宋体"/>
          <w:b/>
          <w:bCs/>
          <w:color w:val="auto"/>
          <w:sz w:val="44"/>
          <w:highlight w:val="none"/>
        </w:rPr>
        <w:br w:type="page"/>
      </w:r>
    </w:p>
    <w:p w14:paraId="6CCA32A4">
      <w:pPr>
        <w:wordWrap w:val="0"/>
        <w:snapToGrid w:val="0"/>
        <w:spacing w:line="360" w:lineRule="auto"/>
        <w:ind w:firstLine="883"/>
        <w:jc w:val="center"/>
        <w:rPr>
          <w:rFonts w:hint="eastAsia" w:ascii="宋体" w:hAnsi="宋体" w:cs="宋体"/>
          <w:b/>
          <w:bCs/>
          <w:color w:val="auto"/>
          <w:sz w:val="44"/>
          <w:highlight w:val="none"/>
        </w:rPr>
      </w:pPr>
    </w:p>
    <w:p w14:paraId="484DC986">
      <w:pPr>
        <w:wordWrap w:val="0"/>
        <w:snapToGrid w:val="0"/>
        <w:spacing w:line="360" w:lineRule="auto"/>
        <w:ind w:firstLine="482"/>
        <w:jc w:val="center"/>
        <w:rPr>
          <w:rFonts w:hint="eastAsia" w:ascii="宋体" w:hAnsi="宋体" w:cs="宋体"/>
          <w:b/>
          <w:color w:val="auto"/>
          <w:sz w:val="24"/>
          <w:highlight w:val="none"/>
        </w:rPr>
      </w:pPr>
      <w:r>
        <w:rPr>
          <w:rFonts w:hint="eastAsia" w:ascii="宋体" w:hAnsi="宋体" w:cs="宋体"/>
          <w:b/>
          <w:color w:val="auto"/>
          <w:sz w:val="24"/>
          <w:highlight w:val="none"/>
        </w:rPr>
        <w:t>合同目录</w:t>
      </w:r>
    </w:p>
    <w:p w14:paraId="766CC45C">
      <w:pPr>
        <w:wordWrap w:val="0"/>
        <w:snapToGrid w:val="0"/>
        <w:spacing w:line="360" w:lineRule="auto"/>
        <w:ind w:firstLine="883"/>
        <w:jc w:val="center"/>
        <w:rPr>
          <w:rFonts w:hint="eastAsia" w:ascii="宋体" w:hAnsi="宋体" w:cs="宋体"/>
          <w:b/>
          <w:bCs/>
          <w:color w:val="auto"/>
          <w:sz w:val="44"/>
          <w:highlight w:val="none"/>
        </w:rPr>
      </w:pPr>
    </w:p>
    <w:p w14:paraId="1939EF53">
      <w:pPr>
        <w:wordWrap w:val="0"/>
        <w:snapToGrid w:val="0"/>
        <w:spacing w:line="360" w:lineRule="auto"/>
        <w:ind w:firstLine="420" w:firstLineChars="175"/>
        <w:rPr>
          <w:rFonts w:hint="eastAsia" w:ascii="宋体" w:hAnsi="宋体" w:cs="宋体"/>
          <w:color w:val="auto"/>
          <w:kern w:val="0"/>
          <w:sz w:val="24"/>
          <w:highlight w:val="none"/>
        </w:rPr>
      </w:pPr>
      <w:r>
        <w:rPr>
          <w:rFonts w:hint="eastAsia" w:ascii="宋体" w:hAnsi="宋体" w:cs="宋体"/>
          <w:color w:val="auto"/>
          <w:kern w:val="0"/>
          <w:sz w:val="24"/>
          <w:highlight w:val="none"/>
        </w:rPr>
        <w:t>一、</w:t>
      </w:r>
      <w:r>
        <w:rPr>
          <w:rFonts w:hint="eastAsia" w:ascii="宋体" w:hAnsi="宋体" w:cs="宋体"/>
          <w:color w:val="auto"/>
          <w:sz w:val="24"/>
          <w:highlight w:val="none"/>
        </w:rPr>
        <w:t>第一部分 合同书</w:t>
      </w:r>
      <w:r>
        <w:rPr>
          <w:rFonts w:hint="eastAsia" w:ascii="宋体" w:hAnsi="宋体" w:cs="宋体"/>
          <w:color w:val="auto"/>
          <w:kern w:val="0"/>
          <w:sz w:val="24"/>
          <w:highlight w:val="none"/>
        </w:rPr>
        <w:t>……………………………………………………………（页码）</w:t>
      </w:r>
    </w:p>
    <w:p w14:paraId="74DF8B48">
      <w:pPr>
        <w:wordWrap w:val="0"/>
        <w:snapToGrid w:val="0"/>
        <w:spacing w:line="360" w:lineRule="auto"/>
        <w:ind w:firstLine="420" w:firstLineChars="175"/>
        <w:rPr>
          <w:rFonts w:hint="eastAsia" w:ascii="宋体" w:hAnsi="宋体" w:cs="宋体"/>
          <w:color w:val="auto"/>
          <w:kern w:val="0"/>
          <w:sz w:val="24"/>
          <w:highlight w:val="none"/>
        </w:rPr>
      </w:pPr>
      <w:r>
        <w:rPr>
          <w:rFonts w:hint="eastAsia" w:ascii="宋体" w:hAnsi="宋体" w:cs="宋体"/>
          <w:color w:val="auto"/>
          <w:kern w:val="0"/>
          <w:sz w:val="24"/>
          <w:highlight w:val="none"/>
        </w:rPr>
        <w:t>二、第二部分 合同一般条款……………………………………………………（页码）</w:t>
      </w:r>
    </w:p>
    <w:p w14:paraId="2D90E0BD">
      <w:pPr>
        <w:wordWrap w:val="0"/>
        <w:snapToGrid w:val="0"/>
        <w:spacing w:line="360" w:lineRule="auto"/>
        <w:ind w:firstLine="420" w:firstLineChars="175"/>
        <w:rPr>
          <w:rFonts w:hint="eastAsia" w:ascii="宋体" w:hAnsi="宋体" w:cs="宋体"/>
          <w:color w:val="auto"/>
          <w:kern w:val="0"/>
          <w:sz w:val="24"/>
          <w:highlight w:val="none"/>
        </w:rPr>
      </w:pPr>
      <w:r>
        <w:rPr>
          <w:rFonts w:hint="eastAsia" w:ascii="宋体" w:hAnsi="宋体" w:cs="宋体"/>
          <w:color w:val="auto"/>
          <w:kern w:val="0"/>
          <w:sz w:val="24"/>
          <w:highlight w:val="none"/>
        </w:rPr>
        <w:t>三、第三部分 合同专用条款……………………………………………………（页码）</w:t>
      </w:r>
    </w:p>
    <w:p w14:paraId="452D197C">
      <w:pPr>
        <w:wordWrap w:val="0"/>
        <w:snapToGrid w:val="0"/>
        <w:spacing w:line="360" w:lineRule="auto"/>
        <w:ind w:firstLine="420" w:firstLineChars="175"/>
        <w:rPr>
          <w:rFonts w:hint="eastAsia" w:ascii="宋体" w:hAnsi="宋体" w:cs="宋体"/>
          <w:color w:val="auto"/>
          <w:kern w:val="0"/>
          <w:sz w:val="24"/>
          <w:highlight w:val="none"/>
        </w:rPr>
      </w:pPr>
      <w:r>
        <w:rPr>
          <w:rFonts w:hint="eastAsia" w:ascii="宋体" w:hAnsi="宋体" w:cs="宋体"/>
          <w:color w:val="auto"/>
          <w:kern w:val="0"/>
          <w:sz w:val="24"/>
          <w:highlight w:val="none"/>
        </w:rPr>
        <w:t>四、</w:t>
      </w:r>
      <w:r>
        <w:rPr>
          <w:rFonts w:hint="eastAsia" w:ascii="宋体" w:hAnsi="宋体" w:cs="宋体"/>
          <w:color w:val="auto"/>
          <w:sz w:val="24"/>
          <w:highlight w:val="none"/>
        </w:rPr>
        <w:t>第四部分 合同附件</w:t>
      </w:r>
      <w:r>
        <w:rPr>
          <w:rFonts w:hint="eastAsia" w:ascii="宋体" w:hAnsi="宋体" w:cs="宋体"/>
          <w:color w:val="auto"/>
          <w:kern w:val="0"/>
          <w:sz w:val="24"/>
          <w:highlight w:val="none"/>
        </w:rPr>
        <w:t>…………………………………………………………（页码）</w:t>
      </w:r>
    </w:p>
    <w:p w14:paraId="71CB8D29">
      <w:pPr>
        <w:wordWrap w:val="0"/>
        <w:snapToGrid w:val="0"/>
        <w:spacing w:line="360" w:lineRule="auto"/>
        <w:ind w:firstLine="420" w:firstLineChars="175"/>
        <w:rPr>
          <w:rFonts w:hint="eastAsia" w:ascii="宋体" w:hAnsi="宋体" w:cs="宋体"/>
          <w:color w:val="auto"/>
          <w:kern w:val="0"/>
          <w:sz w:val="24"/>
          <w:highlight w:val="none"/>
        </w:rPr>
      </w:pPr>
      <w:r>
        <w:rPr>
          <w:rFonts w:hint="eastAsia" w:ascii="宋体" w:hAnsi="宋体" w:cs="宋体"/>
          <w:color w:val="auto"/>
          <w:kern w:val="0"/>
          <w:sz w:val="24"/>
          <w:highlight w:val="none"/>
        </w:rPr>
        <w:t>4.1中标通知书 …………………………………………………………………（页码）</w:t>
      </w:r>
    </w:p>
    <w:p w14:paraId="63002E64">
      <w:pPr>
        <w:wordWrap w:val="0"/>
        <w:snapToGrid w:val="0"/>
        <w:spacing w:line="360" w:lineRule="auto"/>
        <w:ind w:firstLine="420" w:firstLineChars="175"/>
        <w:rPr>
          <w:rFonts w:hint="eastAsia" w:ascii="宋体" w:hAnsi="宋体" w:cs="宋体"/>
          <w:color w:val="auto"/>
          <w:kern w:val="0"/>
          <w:sz w:val="24"/>
          <w:highlight w:val="none"/>
        </w:rPr>
      </w:pPr>
      <w:r>
        <w:rPr>
          <w:rFonts w:hint="eastAsia" w:ascii="宋体" w:hAnsi="宋体" w:cs="宋体"/>
          <w:color w:val="auto"/>
          <w:kern w:val="0"/>
          <w:sz w:val="24"/>
          <w:highlight w:val="none"/>
        </w:rPr>
        <w:t>4.2招标文件服务需求一览表 …………………………………………………（页码）</w:t>
      </w:r>
    </w:p>
    <w:p w14:paraId="52319C7B">
      <w:pPr>
        <w:wordWrap w:val="0"/>
        <w:snapToGrid w:val="0"/>
        <w:spacing w:line="360" w:lineRule="auto"/>
        <w:ind w:firstLine="420" w:firstLineChars="175"/>
        <w:rPr>
          <w:rFonts w:hint="eastAsia" w:ascii="宋体" w:hAnsi="宋体" w:cs="宋体"/>
          <w:color w:val="auto"/>
          <w:kern w:val="0"/>
          <w:sz w:val="24"/>
          <w:highlight w:val="none"/>
        </w:rPr>
      </w:pPr>
      <w:r>
        <w:rPr>
          <w:rFonts w:hint="eastAsia" w:ascii="宋体" w:hAnsi="宋体" w:cs="宋体"/>
          <w:color w:val="auto"/>
          <w:kern w:val="0"/>
          <w:sz w:val="24"/>
          <w:highlight w:val="none"/>
        </w:rPr>
        <w:t>4.3招标文件的更改通知（如有） ……………………………………………（页码）</w:t>
      </w:r>
    </w:p>
    <w:p w14:paraId="00098B1C">
      <w:pPr>
        <w:wordWrap w:val="0"/>
        <w:snapToGrid w:val="0"/>
        <w:spacing w:line="360" w:lineRule="auto"/>
        <w:ind w:firstLine="420" w:firstLineChars="175"/>
        <w:rPr>
          <w:rFonts w:hint="eastAsia" w:ascii="宋体" w:hAnsi="宋体" w:cs="宋体"/>
          <w:color w:val="auto"/>
          <w:kern w:val="0"/>
          <w:sz w:val="24"/>
          <w:highlight w:val="none"/>
        </w:rPr>
      </w:pPr>
      <w:r>
        <w:rPr>
          <w:rFonts w:hint="eastAsia" w:ascii="宋体" w:hAnsi="宋体" w:cs="宋体"/>
          <w:color w:val="auto"/>
          <w:kern w:val="0"/>
          <w:sz w:val="24"/>
          <w:highlight w:val="none"/>
        </w:rPr>
        <w:t>4.4投标函 ………………………………………………………………………（页码）</w:t>
      </w:r>
    </w:p>
    <w:p w14:paraId="75B44600">
      <w:pPr>
        <w:wordWrap w:val="0"/>
        <w:snapToGrid w:val="0"/>
        <w:spacing w:line="360" w:lineRule="auto"/>
        <w:ind w:firstLine="420" w:firstLineChars="175"/>
        <w:rPr>
          <w:rFonts w:hint="eastAsia" w:ascii="宋体" w:hAnsi="宋体" w:cs="宋体"/>
          <w:color w:val="auto"/>
          <w:kern w:val="0"/>
          <w:sz w:val="24"/>
          <w:highlight w:val="none"/>
        </w:rPr>
      </w:pPr>
      <w:r>
        <w:rPr>
          <w:rFonts w:hint="eastAsia" w:ascii="宋体" w:hAnsi="宋体" w:cs="宋体"/>
          <w:color w:val="auto"/>
          <w:kern w:val="0"/>
          <w:sz w:val="24"/>
          <w:highlight w:val="none"/>
        </w:rPr>
        <w:t>4.5报价表 ………………………………………………………………………（页码）</w:t>
      </w:r>
    </w:p>
    <w:p w14:paraId="749B7A28">
      <w:pPr>
        <w:wordWrap w:val="0"/>
        <w:snapToGrid w:val="0"/>
        <w:spacing w:line="360" w:lineRule="auto"/>
        <w:ind w:firstLine="420" w:firstLineChars="175"/>
        <w:rPr>
          <w:rFonts w:hint="eastAsia" w:ascii="宋体" w:hAnsi="宋体" w:cs="宋体"/>
          <w:color w:val="auto"/>
          <w:kern w:val="0"/>
          <w:sz w:val="24"/>
          <w:highlight w:val="none"/>
        </w:rPr>
      </w:pPr>
      <w:r>
        <w:rPr>
          <w:rFonts w:hint="eastAsia" w:ascii="宋体" w:hAnsi="宋体" w:cs="宋体"/>
          <w:color w:val="auto"/>
          <w:kern w:val="0"/>
          <w:sz w:val="24"/>
          <w:highlight w:val="none"/>
        </w:rPr>
        <w:t>4.6投标服务技术资料表 ………………………………………………………（页码）</w:t>
      </w:r>
    </w:p>
    <w:p w14:paraId="3358BD33">
      <w:pPr>
        <w:wordWrap w:val="0"/>
        <w:snapToGrid w:val="0"/>
        <w:spacing w:line="360" w:lineRule="auto"/>
        <w:ind w:firstLine="420" w:firstLineChars="175"/>
        <w:rPr>
          <w:rFonts w:hint="eastAsia" w:ascii="宋体" w:hAnsi="宋体" w:cs="宋体"/>
          <w:color w:val="auto"/>
          <w:kern w:val="0"/>
          <w:sz w:val="24"/>
          <w:highlight w:val="none"/>
        </w:rPr>
      </w:pPr>
      <w:r>
        <w:rPr>
          <w:rFonts w:hint="eastAsia" w:ascii="宋体" w:hAnsi="宋体" w:cs="宋体"/>
          <w:color w:val="auto"/>
          <w:kern w:val="0"/>
          <w:sz w:val="24"/>
          <w:highlight w:val="none"/>
        </w:rPr>
        <w:t>4.7商务条款偏离表 ……………………………………………………………（页码）</w:t>
      </w:r>
    </w:p>
    <w:p w14:paraId="32EFD6C1">
      <w:pPr>
        <w:wordWrap w:val="0"/>
        <w:snapToGrid w:val="0"/>
        <w:spacing w:line="360" w:lineRule="auto"/>
        <w:ind w:firstLine="420" w:firstLineChars="175"/>
        <w:rPr>
          <w:rFonts w:hint="eastAsia" w:ascii="宋体" w:hAnsi="宋体" w:cs="宋体"/>
          <w:color w:val="auto"/>
          <w:kern w:val="0"/>
          <w:sz w:val="24"/>
          <w:highlight w:val="none"/>
        </w:rPr>
      </w:pPr>
      <w:r>
        <w:rPr>
          <w:rFonts w:hint="eastAsia" w:ascii="宋体" w:hAnsi="宋体" w:cs="宋体"/>
          <w:color w:val="auto"/>
          <w:kern w:val="0"/>
          <w:sz w:val="24"/>
          <w:highlight w:val="none"/>
        </w:rPr>
        <w:t>4.8中标供应商澄清函（如有请提供） ………………………………………（页码）</w:t>
      </w:r>
    </w:p>
    <w:p w14:paraId="40AD9035">
      <w:pPr>
        <w:wordWrap w:val="0"/>
        <w:snapToGrid w:val="0"/>
        <w:spacing w:line="360" w:lineRule="auto"/>
        <w:ind w:firstLine="420" w:firstLineChars="175"/>
        <w:rPr>
          <w:rFonts w:hint="eastAsia" w:ascii="宋体" w:hAnsi="宋体" w:cs="宋体"/>
          <w:color w:val="auto"/>
          <w:kern w:val="0"/>
          <w:sz w:val="24"/>
          <w:highlight w:val="none"/>
        </w:rPr>
      </w:pPr>
      <w:r>
        <w:rPr>
          <w:rFonts w:hint="eastAsia" w:ascii="宋体" w:hAnsi="宋体" w:cs="宋体"/>
          <w:color w:val="auto"/>
          <w:kern w:val="0"/>
          <w:sz w:val="24"/>
          <w:highlight w:val="none"/>
        </w:rPr>
        <w:t>4.9其他与本合同相关的资料（如有请提供） ………………………………（页码）</w:t>
      </w:r>
    </w:p>
    <w:p w14:paraId="7FA6607B">
      <w:pPr>
        <w:wordWrap w:val="0"/>
        <w:snapToGrid w:val="0"/>
        <w:spacing w:line="360" w:lineRule="auto"/>
        <w:rPr>
          <w:rFonts w:hint="eastAsia" w:ascii="宋体" w:hAnsi="宋体" w:cs="宋体"/>
          <w:color w:val="auto"/>
          <w:kern w:val="0"/>
          <w:sz w:val="24"/>
          <w:highlight w:val="none"/>
        </w:rPr>
      </w:pPr>
    </w:p>
    <w:p w14:paraId="77103AE5">
      <w:pPr>
        <w:widowControl/>
        <w:wordWrap w:val="0"/>
        <w:spacing w:line="360" w:lineRule="auto"/>
        <w:ind w:firstLine="344"/>
        <w:jc w:val="left"/>
        <w:rPr>
          <w:rFonts w:hint="eastAsia" w:ascii="宋体" w:hAnsi="宋体" w:cs="宋体"/>
          <w:color w:val="auto"/>
          <w:spacing w:val="-4"/>
          <w:sz w:val="18"/>
          <w:szCs w:val="20"/>
          <w:highlight w:val="none"/>
        </w:rPr>
        <w:sectPr>
          <w:pgSz w:w="11906" w:h="16838"/>
          <w:pgMar w:top="1440" w:right="1080" w:bottom="1440" w:left="1080" w:header="720" w:footer="720" w:gutter="0"/>
          <w:cols w:space="720" w:num="1"/>
          <w:docGrid w:type="lines" w:linePitch="331" w:charSpace="0"/>
        </w:sectPr>
      </w:pPr>
    </w:p>
    <w:p w14:paraId="4078DD7B">
      <w:pPr>
        <w:pStyle w:val="38"/>
        <w:wordWrap w:val="0"/>
        <w:spacing w:after="0"/>
        <w:ind w:firstLine="562"/>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第一部分 合同书</w:t>
      </w:r>
    </w:p>
    <w:p w14:paraId="7F6ACC6B">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年</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月</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日</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南宁市信息网络管理中心</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以</w:t>
      </w:r>
      <w:r>
        <w:rPr>
          <w:rFonts w:hint="eastAsia" w:ascii="宋体" w:hAnsi="宋体" w:cs="宋体"/>
          <w:color w:val="auto"/>
          <w:sz w:val="24"/>
          <w:highlight w:val="none"/>
          <w:u w:val="single"/>
        </w:rPr>
        <w:t xml:space="preserve">   公开招标方式  </w:t>
      </w:r>
      <w:r>
        <w:rPr>
          <w:rFonts w:hint="eastAsia" w:ascii="宋体" w:hAnsi="宋体" w:cs="宋体"/>
          <w:color w:val="auto"/>
          <w:sz w:val="24"/>
          <w:highlight w:val="none"/>
        </w:rPr>
        <w:t>对</w:t>
      </w:r>
      <w:r>
        <w:rPr>
          <w:color w:val="auto"/>
          <w:highlight w:val="none"/>
        </w:rPr>
        <w:fldChar w:fldCharType="begin"/>
      </w:r>
      <w:r>
        <w:rPr>
          <w:color w:val="auto"/>
          <w:highlight w:val="none"/>
        </w:rPr>
        <w:instrText xml:space="preserve"> HYPERLINK "https://pay.gcy.zfcg.gxzf.gov.cn/purchaseplan_front/" \l "/plan/list/_blank" \t "https://pay.gcy.zfcg.gxzf.gov.cn/purchaseplan_front/" </w:instrText>
      </w:r>
      <w:r>
        <w:rPr>
          <w:color w:val="auto"/>
          <w:highlight w:val="none"/>
        </w:rPr>
        <w:fldChar w:fldCharType="separate"/>
      </w:r>
      <w:r>
        <w:rPr>
          <w:rFonts w:hint="eastAsia" w:ascii="宋体" w:hAnsi="宋体" w:cs="宋体"/>
          <w:color w:val="auto"/>
          <w:sz w:val="24"/>
          <w:highlight w:val="none"/>
          <w:u w:val="single"/>
          <w:lang w:eastAsia="zh-CN"/>
        </w:rPr>
        <w:t>南宁市电子政务云平台（二期）运维服务项目</w:t>
      </w:r>
      <w:r>
        <w:rPr>
          <w:rFonts w:hint="eastAsia" w:ascii="宋体" w:hAnsi="宋体" w:cs="宋体"/>
          <w:color w:val="auto"/>
          <w:sz w:val="24"/>
          <w:highlight w:val="none"/>
          <w:u w:val="single"/>
        </w:rPr>
        <w:fldChar w:fldCharType="end"/>
      </w:r>
      <w:r>
        <w:rPr>
          <w:rFonts w:hint="eastAsia" w:ascii="宋体" w:hAnsi="宋体" w:cs="宋体"/>
          <w:color w:val="auto"/>
          <w:sz w:val="24"/>
          <w:highlight w:val="none"/>
        </w:rPr>
        <w:t>项目进行了采购。经</w:t>
      </w:r>
      <w:r>
        <w:rPr>
          <w:rFonts w:hint="eastAsia" w:ascii="宋体" w:hAnsi="宋体" w:cs="宋体"/>
          <w:color w:val="auto"/>
          <w:sz w:val="24"/>
          <w:highlight w:val="none"/>
          <w:u w:val="single"/>
        </w:rPr>
        <w:t xml:space="preserve">  评标委员会  </w:t>
      </w:r>
      <w:r>
        <w:rPr>
          <w:rFonts w:hint="eastAsia" w:ascii="宋体" w:hAnsi="宋体" w:cs="宋体"/>
          <w:color w:val="auto"/>
          <w:sz w:val="24"/>
          <w:highlight w:val="none"/>
        </w:rPr>
        <w:t>评定，</w:t>
      </w:r>
      <w:r>
        <w:rPr>
          <w:rFonts w:hint="eastAsia" w:ascii="宋体" w:hAnsi="宋体" w:cs="宋体"/>
          <w:color w:val="auto"/>
          <w:sz w:val="24"/>
          <w:highlight w:val="none"/>
          <w:u w:val="single"/>
        </w:rPr>
        <w:t xml:space="preserve">   （中标供应商名称）  </w:t>
      </w:r>
      <w:r>
        <w:rPr>
          <w:rFonts w:hint="eastAsia" w:ascii="宋体" w:hAnsi="宋体" w:cs="宋体"/>
          <w:color w:val="auto"/>
          <w:sz w:val="24"/>
          <w:highlight w:val="none"/>
        </w:rPr>
        <w:t>为该项目中标供应商。现于中标通知书发出之日起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日内（根据项目实际情况填写，不能超过25日），按照采购文件确定的事项签订本合同。</w:t>
      </w:r>
    </w:p>
    <w:p w14:paraId="5BBDF736">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zh-CN"/>
        </w:rPr>
        <w:t>根据《中华人民共和国民法典》、《中华人民共和国政府采购法》等相关法律法规之规定，按照平等、自愿、公平和诚实信用的原则，经</w:t>
      </w:r>
      <w:r>
        <w:rPr>
          <w:rFonts w:hint="eastAsia" w:ascii="宋体" w:hAnsi="宋体" w:cs="宋体"/>
          <w:color w:val="auto"/>
          <w:sz w:val="24"/>
          <w:highlight w:val="none"/>
          <w:u w:val="single"/>
        </w:rPr>
        <w:t xml:space="preserve">               </w:t>
      </w:r>
      <w:r>
        <w:rPr>
          <w:rFonts w:hint="eastAsia" w:ascii="宋体" w:hAnsi="宋体" w:cs="宋体"/>
          <w:color w:val="auto"/>
          <w:sz w:val="24"/>
          <w:highlight w:val="none"/>
          <w:lang w:val="zh-CN"/>
        </w:rPr>
        <w:t>(以下简称：甲方)和</w:t>
      </w:r>
      <w:r>
        <w:rPr>
          <w:rFonts w:hint="eastAsia" w:ascii="宋体" w:hAnsi="宋体" w:cs="宋体"/>
          <w:color w:val="auto"/>
          <w:sz w:val="24"/>
          <w:highlight w:val="none"/>
          <w:u w:val="single"/>
        </w:rPr>
        <w:t xml:space="preserve">   （中标供应商名称）   </w:t>
      </w:r>
      <w:r>
        <w:rPr>
          <w:rFonts w:hint="eastAsia" w:ascii="宋体" w:hAnsi="宋体" w:cs="宋体"/>
          <w:color w:val="auto"/>
          <w:sz w:val="24"/>
          <w:highlight w:val="none"/>
          <w:lang w:val="zh-CN"/>
        </w:rPr>
        <w:t>(以下简称：乙方)协商一致，约定以下合同</w:t>
      </w:r>
      <w:r>
        <w:rPr>
          <w:rFonts w:hint="eastAsia" w:ascii="宋体" w:hAnsi="宋体" w:cs="宋体"/>
          <w:color w:val="auto"/>
          <w:sz w:val="24"/>
          <w:highlight w:val="none"/>
        </w:rPr>
        <w:t>条款，以兹共同遵守、全面履行。</w:t>
      </w:r>
    </w:p>
    <w:p w14:paraId="2795ADF7">
      <w:pPr>
        <w:wordWrap w:val="0"/>
        <w:spacing w:line="360" w:lineRule="auto"/>
        <w:ind w:firstLine="482" w:firstLineChars="200"/>
        <w:rPr>
          <w:rFonts w:hint="eastAsia" w:ascii="宋体" w:hAnsi="宋体" w:cs="宋体"/>
          <w:b/>
          <w:color w:val="auto"/>
          <w:sz w:val="24"/>
          <w:highlight w:val="none"/>
        </w:rPr>
      </w:pPr>
      <w:bookmarkStart w:id="114" w:name="_Toc3029"/>
      <w:bookmarkStart w:id="115" w:name="_Toc2232"/>
      <w:bookmarkStart w:id="116" w:name="_Toc24059"/>
      <w:r>
        <w:rPr>
          <w:rFonts w:hint="eastAsia" w:ascii="宋体" w:hAnsi="宋体" w:cs="宋体"/>
          <w:b/>
          <w:color w:val="auto"/>
          <w:sz w:val="24"/>
          <w:highlight w:val="none"/>
        </w:rPr>
        <w:t>1.1 合同组成部分</w:t>
      </w:r>
      <w:bookmarkEnd w:id="114"/>
      <w:bookmarkEnd w:id="115"/>
      <w:bookmarkEnd w:id="116"/>
    </w:p>
    <w:p w14:paraId="104C662A">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下列文件为本合同的组成部分，并构成一个整体，需综合解释、相互补充。如果下列文件内容出现不一致的情形，在保证按照采购文件确定的事项的前提下，组成本合同的多个文件的优先适用顺序如下：</w:t>
      </w:r>
    </w:p>
    <w:p w14:paraId="296954FA">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1.1.1 本合同及其补充合同、变更协议；</w:t>
      </w:r>
    </w:p>
    <w:p w14:paraId="03604DE3">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1.1.2 中标通知书；</w:t>
      </w:r>
    </w:p>
    <w:p w14:paraId="1F8AE402">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1.1.3 投标文件及“投标报价”（含澄清或者说明文件）；</w:t>
      </w:r>
    </w:p>
    <w:p w14:paraId="50891426">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1.1.4 招标文件（含澄清或者修改文件）；</w:t>
      </w:r>
    </w:p>
    <w:p w14:paraId="6B58309A">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1.1.5 其他相关采购文件。</w:t>
      </w:r>
    </w:p>
    <w:p w14:paraId="1A0DFEDC">
      <w:pPr>
        <w:wordWrap w:val="0"/>
        <w:spacing w:line="360" w:lineRule="auto"/>
        <w:ind w:firstLine="482" w:firstLineChars="200"/>
        <w:rPr>
          <w:rFonts w:hint="eastAsia" w:ascii="宋体" w:hAnsi="宋体" w:cs="宋体"/>
          <w:b/>
          <w:color w:val="auto"/>
          <w:sz w:val="24"/>
          <w:highlight w:val="none"/>
        </w:rPr>
      </w:pPr>
      <w:bookmarkStart w:id="117" w:name="_Toc27126"/>
      <w:bookmarkStart w:id="118" w:name="_Toc24300"/>
      <w:bookmarkStart w:id="119" w:name="_Toc21295"/>
      <w:r>
        <w:rPr>
          <w:rFonts w:hint="eastAsia" w:ascii="宋体" w:hAnsi="宋体" w:cs="宋体"/>
          <w:b/>
          <w:color w:val="auto"/>
          <w:sz w:val="24"/>
          <w:highlight w:val="none"/>
        </w:rPr>
        <w:t>1.2 标的物</w:t>
      </w:r>
      <w:bookmarkEnd w:id="117"/>
      <w:bookmarkEnd w:id="118"/>
      <w:bookmarkEnd w:id="119"/>
    </w:p>
    <w:p w14:paraId="6D2216D1">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1.2.1 标的物1信息</w:t>
      </w:r>
    </w:p>
    <w:p w14:paraId="06F0D281">
      <w:pPr>
        <w:wordWrap w:val="0"/>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1.2.1.1名称：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49077AB6">
      <w:pPr>
        <w:wordWrap w:val="0"/>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1.2.1.2数量：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48A055E6">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1.2.1.3质量：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19FC5B66">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w:t>
      </w:r>
    </w:p>
    <w:p w14:paraId="5F8CF1BE">
      <w:pPr>
        <w:wordWrap w:val="0"/>
        <w:spacing w:line="360" w:lineRule="auto"/>
        <w:ind w:firstLine="482" w:firstLineChars="200"/>
        <w:rPr>
          <w:rFonts w:hint="eastAsia" w:ascii="宋体" w:hAnsi="宋体" w:cs="宋体"/>
          <w:b/>
          <w:color w:val="auto"/>
          <w:sz w:val="24"/>
          <w:highlight w:val="none"/>
        </w:rPr>
      </w:pPr>
      <w:bookmarkStart w:id="120" w:name="_Toc21551"/>
      <w:bookmarkStart w:id="121" w:name="_Toc21631"/>
      <w:bookmarkStart w:id="122" w:name="_Toc23292"/>
      <w:r>
        <w:rPr>
          <w:rFonts w:hint="eastAsia" w:ascii="宋体" w:hAnsi="宋体" w:cs="宋体"/>
          <w:b/>
          <w:color w:val="auto"/>
          <w:sz w:val="24"/>
          <w:highlight w:val="none"/>
        </w:rPr>
        <w:t>1.3 价款</w:t>
      </w:r>
      <w:bookmarkEnd w:id="120"/>
      <w:bookmarkEnd w:id="121"/>
      <w:bookmarkEnd w:id="122"/>
    </w:p>
    <w:p w14:paraId="0AEFCE37">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本合同总价为：大写人民币</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），含税。</w:t>
      </w:r>
    </w:p>
    <w:p w14:paraId="4E69874B">
      <w:pPr>
        <w:wordWrap w:val="0"/>
        <w:spacing w:line="360" w:lineRule="auto"/>
        <w:ind w:firstLine="480" w:firstLineChars="200"/>
        <w:rPr>
          <w:rFonts w:hint="eastAsia" w:ascii="宋体" w:hAnsi="宋体" w:cs="宋体"/>
          <w:color w:val="auto"/>
          <w:sz w:val="24"/>
          <w:highlight w:val="none"/>
        </w:rPr>
      </w:pPr>
    </w:p>
    <w:p w14:paraId="6142859C">
      <w:pPr>
        <w:wordWrap w:val="0"/>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分项价格：</w:t>
      </w:r>
    </w:p>
    <w:tbl>
      <w:tblPr>
        <w:tblStyle w:val="25"/>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0251E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1A161D14">
            <w:pPr>
              <w:wordWrap w:val="0"/>
              <w:spacing w:line="360" w:lineRule="auto"/>
              <w:ind w:firstLine="480" w:firstLineChars="200"/>
              <w:rPr>
                <w:rFonts w:hint="eastAsia" w:ascii="宋体" w:hAnsi="宋体" w:cs="宋体"/>
                <w:color w:val="auto"/>
                <w:sz w:val="24"/>
                <w:highlight w:val="none"/>
              </w:rPr>
            </w:pPr>
            <w:bookmarkStart w:id="123" w:name="_Toc22618"/>
            <w:bookmarkStart w:id="124" w:name="_Toc1814"/>
            <w:bookmarkStart w:id="125" w:name="_Toc10340"/>
            <w:r>
              <w:rPr>
                <w:rFonts w:hint="eastAsia" w:ascii="宋体" w:hAnsi="宋体" w:cs="宋体"/>
                <w:color w:val="auto"/>
                <w:sz w:val="24"/>
                <w:highlight w:val="none"/>
              </w:rPr>
              <w:t>序号</w:t>
            </w:r>
          </w:p>
        </w:tc>
        <w:tc>
          <w:tcPr>
            <w:tcW w:w="3402" w:type="dxa"/>
            <w:tcBorders>
              <w:top w:val="single" w:color="auto" w:sz="4" w:space="0"/>
              <w:left w:val="single" w:color="auto" w:sz="4" w:space="0"/>
              <w:bottom w:val="single" w:color="auto" w:sz="4" w:space="0"/>
              <w:right w:val="single" w:color="auto" w:sz="4" w:space="0"/>
            </w:tcBorders>
            <w:vAlign w:val="center"/>
          </w:tcPr>
          <w:p w14:paraId="1B988D23">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分项名称</w:t>
            </w:r>
          </w:p>
        </w:tc>
        <w:tc>
          <w:tcPr>
            <w:tcW w:w="2552" w:type="dxa"/>
            <w:tcBorders>
              <w:top w:val="single" w:color="auto" w:sz="4" w:space="0"/>
              <w:left w:val="single" w:color="auto" w:sz="4" w:space="0"/>
              <w:bottom w:val="single" w:color="auto" w:sz="4" w:space="0"/>
              <w:right w:val="single" w:color="auto" w:sz="4" w:space="0"/>
            </w:tcBorders>
            <w:vAlign w:val="center"/>
          </w:tcPr>
          <w:p w14:paraId="050428CC">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分项价格</w:t>
            </w:r>
          </w:p>
        </w:tc>
      </w:tr>
      <w:tr w14:paraId="4A670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78F0B488">
            <w:pPr>
              <w:wordWrap w:val="0"/>
              <w:spacing w:line="360" w:lineRule="auto"/>
              <w:ind w:firstLine="480" w:firstLineChars="200"/>
              <w:rPr>
                <w:rFonts w:hint="eastAsia" w:ascii="宋体" w:hAnsi="宋体" w:cs="宋体"/>
                <w:color w:val="auto"/>
                <w:sz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054082BE">
            <w:pPr>
              <w:wordWrap w:val="0"/>
              <w:spacing w:line="360" w:lineRule="auto"/>
              <w:ind w:firstLine="480" w:firstLineChars="200"/>
              <w:rPr>
                <w:rFonts w:hint="eastAsia" w:ascii="宋体" w:hAnsi="宋体" w:cs="宋体"/>
                <w:color w:val="auto"/>
                <w:sz w:val="24"/>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14:paraId="08DD13C6">
            <w:pPr>
              <w:wordWrap w:val="0"/>
              <w:spacing w:line="360" w:lineRule="auto"/>
              <w:ind w:firstLine="480" w:firstLineChars="200"/>
              <w:rPr>
                <w:rFonts w:hint="eastAsia" w:ascii="宋体" w:hAnsi="宋体" w:cs="宋体"/>
                <w:color w:val="auto"/>
                <w:sz w:val="24"/>
                <w:highlight w:val="none"/>
              </w:rPr>
            </w:pPr>
          </w:p>
        </w:tc>
      </w:tr>
      <w:tr w14:paraId="59303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22B87B5E">
            <w:pPr>
              <w:wordWrap w:val="0"/>
              <w:spacing w:line="360" w:lineRule="auto"/>
              <w:ind w:firstLine="480" w:firstLineChars="200"/>
              <w:rPr>
                <w:rFonts w:hint="eastAsia" w:ascii="宋体" w:hAnsi="宋体" w:cs="宋体"/>
                <w:color w:val="auto"/>
                <w:sz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131AB46A">
            <w:pPr>
              <w:wordWrap w:val="0"/>
              <w:spacing w:line="360" w:lineRule="auto"/>
              <w:ind w:firstLine="480" w:firstLineChars="200"/>
              <w:rPr>
                <w:rFonts w:hint="eastAsia" w:ascii="宋体" w:hAnsi="宋体" w:cs="宋体"/>
                <w:color w:val="auto"/>
                <w:sz w:val="24"/>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14:paraId="4D57F777">
            <w:pPr>
              <w:wordWrap w:val="0"/>
              <w:spacing w:line="360" w:lineRule="auto"/>
              <w:ind w:firstLine="480" w:firstLineChars="200"/>
              <w:rPr>
                <w:rFonts w:hint="eastAsia" w:ascii="宋体" w:hAnsi="宋体" w:cs="宋体"/>
                <w:color w:val="auto"/>
                <w:sz w:val="24"/>
                <w:highlight w:val="none"/>
              </w:rPr>
            </w:pPr>
          </w:p>
        </w:tc>
      </w:tr>
      <w:tr w14:paraId="20F29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5538E85C">
            <w:pPr>
              <w:wordWrap w:val="0"/>
              <w:spacing w:line="360" w:lineRule="auto"/>
              <w:ind w:firstLine="480" w:firstLineChars="200"/>
              <w:rPr>
                <w:rFonts w:hint="eastAsia" w:ascii="宋体" w:hAnsi="宋体" w:cs="宋体"/>
                <w:color w:val="auto"/>
                <w:sz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6881CD9D">
            <w:pPr>
              <w:wordWrap w:val="0"/>
              <w:spacing w:line="360" w:lineRule="auto"/>
              <w:ind w:firstLine="480" w:firstLineChars="200"/>
              <w:rPr>
                <w:rFonts w:hint="eastAsia" w:ascii="宋体" w:hAnsi="宋体" w:cs="宋体"/>
                <w:color w:val="auto"/>
                <w:sz w:val="24"/>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14:paraId="03D4535A">
            <w:pPr>
              <w:wordWrap w:val="0"/>
              <w:spacing w:line="360" w:lineRule="auto"/>
              <w:ind w:firstLine="480" w:firstLineChars="200"/>
              <w:rPr>
                <w:rFonts w:hint="eastAsia" w:ascii="宋体" w:hAnsi="宋体" w:cs="宋体"/>
                <w:color w:val="auto"/>
                <w:sz w:val="24"/>
                <w:highlight w:val="none"/>
              </w:rPr>
            </w:pPr>
          </w:p>
        </w:tc>
      </w:tr>
      <w:tr w14:paraId="32EED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tcBorders>
              <w:top w:val="single" w:color="auto" w:sz="4" w:space="0"/>
              <w:left w:val="single" w:color="auto" w:sz="4" w:space="0"/>
              <w:bottom w:val="single" w:color="auto" w:sz="4" w:space="0"/>
              <w:right w:val="single" w:color="auto" w:sz="4" w:space="0"/>
            </w:tcBorders>
            <w:vAlign w:val="center"/>
          </w:tcPr>
          <w:p w14:paraId="4C2CA3ED">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总价</w:t>
            </w:r>
          </w:p>
        </w:tc>
        <w:tc>
          <w:tcPr>
            <w:tcW w:w="2552" w:type="dxa"/>
            <w:tcBorders>
              <w:top w:val="single" w:color="auto" w:sz="4" w:space="0"/>
              <w:left w:val="single" w:color="auto" w:sz="4" w:space="0"/>
              <w:bottom w:val="single" w:color="auto" w:sz="4" w:space="0"/>
              <w:right w:val="single" w:color="auto" w:sz="4" w:space="0"/>
            </w:tcBorders>
            <w:vAlign w:val="center"/>
          </w:tcPr>
          <w:p w14:paraId="4336AFFD">
            <w:pPr>
              <w:wordWrap w:val="0"/>
              <w:spacing w:line="360" w:lineRule="auto"/>
              <w:ind w:firstLine="480" w:firstLineChars="200"/>
              <w:rPr>
                <w:rFonts w:hint="eastAsia" w:ascii="宋体" w:hAnsi="宋体" w:cs="宋体"/>
                <w:color w:val="auto"/>
                <w:sz w:val="24"/>
                <w:highlight w:val="none"/>
              </w:rPr>
            </w:pPr>
          </w:p>
        </w:tc>
      </w:tr>
    </w:tbl>
    <w:p w14:paraId="3FD30C39">
      <w:pPr>
        <w:wordWrap w:val="0"/>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1.4 付款方式和发票开具方式</w:t>
      </w:r>
      <w:bookmarkEnd w:id="123"/>
      <w:bookmarkEnd w:id="124"/>
      <w:bookmarkEnd w:id="125"/>
    </w:p>
    <w:p w14:paraId="20D2C3A0">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1.4.1 付款方式：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55F2D373">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1.4.2 发票开具方式：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7CEE81F0">
      <w:pPr>
        <w:wordWrap w:val="0"/>
        <w:spacing w:line="360" w:lineRule="auto"/>
        <w:ind w:firstLine="482" w:firstLineChars="200"/>
        <w:rPr>
          <w:rFonts w:hint="eastAsia" w:ascii="宋体" w:hAnsi="宋体" w:cs="宋体"/>
          <w:b/>
          <w:color w:val="auto"/>
          <w:sz w:val="24"/>
          <w:highlight w:val="none"/>
        </w:rPr>
      </w:pPr>
      <w:bookmarkStart w:id="126" w:name="_Toc32071"/>
      <w:bookmarkStart w:id="127" w:name="_Toc2846"/>
      <w:bookmarkStart w:id="128" w:name="_Toc19304"/>
      <w:r>
        <w:rPr>
          <w:rFonts w:hint="eastAsia" w:ascii="宋体" w:hAnsi="宋体" w:cs="宋体"/>
          <w:b/>
          <w:color w:val="auto"/>
          <w:sz w:val="24"/>
          <w:highlight w:val="none"/>
        </w:rPr>
        <w:t>1.5 标的物交付期限、地点、方式</w:t>
      </w:r>
      <w:bookmarkEnd w:id="126"/>
      <w:bookmarkEnd w:id="127"/>
      <w:bookmarkEnd w:id="128"/>
      <w:r>
        <w:rPr>
          <w:rFonts w:hint="eastAsia" w:ascii="宋体" w:hAnsi="宋体" w:cs="宋体"/>
          <w:b/>
          <w:color w:val="auto"/>
          <w:sz w:val="24"/>
          <w:highlight w:val="none"/>
        </w:rPr>
        <w:t>和服务期限</w:t>
      </w:r>
    </w:p>
    <w:p w14:paraId="79B09469">
      <w:pPr>
        <w:wordWrap w:val="0"/>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1.5.1 服务</w:t>
      </w:r>
      <w:r>
        <w:rPr>
          <w:rFonts w:hint="eastAsia" w:ascii="宋体" w:hAnsi="宋体" w:cs="宋体"/>
          <w:color w:val="auto"/>
          <w:sz w:val="24"/>
          <w:highlight w:val="none"/>
          <w:lang w:val="en-US" w:eastAsia="zh-CN"/>
        </w:rPr>
        <w:t>期限</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p>
    <w:p w14:paraId="26245657">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1.5.2 提交服务成果地点：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4E64ED52">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1.5.3 交付方式：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5133B2CF">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1.5.4 服务及质保期限：</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7E441653">
      <w:pPr>
        <w:wordWrap w:val="0"/>
        <w:spacing w:line="360" w:lineRule="auto"/>
        <w:ind w:firstLine="482" w:firstLineChars="200"/>
        <w:rPr>
          <w:rFonts w:hint="eastAsia" w:ascii="宋体" w:hAnsi="宋体" w:cs="宋体"/>
          <w:b/>
          <w:color w:val="auto"/>
          <w:sz w:val="24"/>
          <w:highlight w:val="none"/>
        </w:rPr>
      </w:pPr>
      <w:bookmarkStart w:id="129" w:name="_Toc19554"/>
      <w:bookmarkStart w:id="130" w:name="_Toc21423"/>
      <w:bookmarkStart w:id="131" w:name="_Toc27250"/>
      <w:r>
        <w:rPr>
          <w:rFonts w:hint="eastAsia" w:ascii="宋体" w:hAnsi="宋体" w:cs="宋体"/>
          <w:b/>
          <w:color w:val="auto"/>
          <w:sz w:val="24"/>
          <w:highlight w:val="none"/>
        </w:rPr>
        <w:t>1.6 违约责任</w:t>
      </w:r>
      <w:bookmarkEnd w:id="129"/>
      <w:bookmarkEnd w:id="130"/>
      <w:bookmarkEnd w:id="131"/>
    </w:p>
    <w:p w14:paraId="1A92EC58">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1.6.1 除不可抗力外，如果乙方没有按照本合同约定的期限、地点和方式交付标的物，甲方可要求乙方支付违约金，违约金按每迟延交付标的物一日的应交付而未交付标的物价格的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（根据项目实际填写，一般为万分之五）计算，最高限额为本合同总价的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%（根据项目实际填写，一般为20%）；迟延超过【  】（根据项目实际填写）日的，甲方有权在要求乙方支付违约金的同时，书面通知乙方解除本合同，乙方应退回全部已收取的合同价款并按合同总金额的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（根据项目实际填写，一般为20%）向甲方支付违约金；</w:t>
      </w:r>
    </w:p>
    <w:p w14:paraId="01205918">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1.6.2 除不可抗力外，如果甲方没有按照本合同约定的付款方式付款，乙方可要求甲方支付违约金，违约金按每迟延付款一日的应付而未付款的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（根据项目实际填写，一般为万分之五）计算，最高限额为欠付金额的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%（根据项目实际填写，一般为20%）；迟延付款的违约金计算数额达到前述最高限额之日起，乙方有权在要求甲方支付违约金的同时，书面通知甲方解除本合同；</w:t>
      </w:r>
    </w:p>
    <w:p w14:paraId="21523B46">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005F658A">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1.6.4乙方在质保期内未按承诺提供售后等服务的，每发生一次向甲方支付违约金额</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元。（根据项目实际填写）</w:t>
      </w:r>
    </w:p>
    <w:p w14:paraId="065FCAD9">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1.6.5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726ADD75">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1.6.6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52B512EA">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1.6.7 如果出现政府采购监督管理部门在处理投诉事项期间，书面通知甲方暂停采购活动的情形，或者询问或质疑事项可能影响中标结果的，导致甲方中止履行合同的情形，均不视为甲方违约。</w:t>
      </w:r>
    </w:p>
    <w:p w14:paraId="19791A72">
      <w:pPr>
        <w:wordWrap w:val="0"/>
        <w:spacing w:line="360" w:lineRule="auto"/>
        <w:ind w:firstLine="482" w:firstLineChars="200"/>
        <w:rPr>
          <w:rFonts w:hint="eastAsia" w:ascii="宋体" w:hAnsi="宋体" w:cs="宋体"/>
          <w:b/>
          <w:color w:val="auto"/>
          <w:sz w:val="24"/>
          <w:highlight w:val="none"/>
        </w:rPr>
      </w:pPr>
      <w:bookmarkStart w:id="132" w:name="_Toc16021"/>
      <w:bookmarkStart w:id="133" w:name="_Toc15583"/>
      <w:bookmarkStart w:id="134" w:name="_Toc28375"/>
      <w:r>
        <w:rPr>
          <w:rFonts w:hint="eastAsia" w:ascii="宋体" w:hAnsi="宋体" w:cs="宋体"/>
          <w:b/>
          <w:color w:val="auto"/>
          <w:sz w:val="24"/>
          <w:highlight w:val="none"/>
        </w:rPr>
        <w:t>1.7 合同争议的解决</w:t>
      </w:r>
      <w:bookmarkEnd w:id="132"/>
      <w:bookmarkEnd w:id="133"/>
      <w:bookmarkEnd w:id="134"/>
    </w:p>
    <w:p w14:paraId="05D4E509">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本合同履行过程中发生的任何争议，双方当事人均应通过友好协商的方式和解或者调解解决；不愿和解、调解或者和解、调解不成的，可以选择下列第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种方式解决：</w:t>
      </w:r>
    </w:p>
    <w:p w14:paraId="131987EE">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1.7.1 将争议提交</w:t>
      </w:r>
      <w:r>
        <w:rPr>
          <w:rFonts w:hint="eastAsia" w:ascii="宋体" w:hAnsi="宋体" w:cs="宋体"/>
          <w:color w:val="auto"/>
          <w:sz w:val="24"/>
          <w:highlight w:val="none"/>
          <w:u w:val="single"/>
        </w:rPr>
        <w:t>南宁市</w:t>
      </w:r>
      <w:r>
        <w:rPr>
          <w:rFonts w:hint="eastAsia" w:ascii="宋体" w:hAnsi="宋体" w:cs="宋体"/>
          <w:color w:val="auto"/>
          <w:sz w:val="24"/>
          <w:highlight w:val="none"/>
        </w:rPr>
        <w:t>仲裁委员会依申请仲裁时其现行有效的仲裁规则裁决；</w:t>
      </w:r>
    </w:p>
    <w:p w14:paraId="2253B721">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1.7.2 向</w:t>
      </w:r>
      <w:r>
        <w:rPr>
          <w:rFonts w:hint="eastAsia" w:ascii="宋体" w:hAnsi="宋体" w:cs="宋体"/>
          <w:color w:val="auto"/>
          <w:sz w:val="24"/>
          <w:highlight w:val="none"/>
          <w:u w:val="single"/>
        </w:rPr>
        <w:t xml:space="preserve">   甲方所在地    有管辖权的</w:t>
      </w:r>
      <w:r>
        <w:rPr>
          <w:rFonts w:hint="eastAsia" w:ascii="宋体" w:hAnsi="宋体" w:cs="宋体"/>
          <w:color w:val="auto"/>
          <w:sz w:val="24"/>
          <w:highlight w:val="none"/>
        </w:rPr>
        <w:t>人民法院起诉。</w:t>
      </w:r>
    </w:p>
    <w:p w14:paraId="36F67C94">
      <w:pPr>
        <w:wordWrap w:val="0"/>
        <w:spacing w:line="360" w:lineRule="auto"/>
        <w:ind w:firstLine="482" w:firstLineChars="200"/>
        <w:rPr>
          <w:rFonts w:hint="eastAsia" w:ascii="宋体" w:hAnsi="宋体" w:cs="宋体"/>
          <w:b/>
          <w:color w:val="auto"/>
          <w:sz w:val="24"/>
          <w:highlight w:val="none"/>
        </w:rPr>
      </w:pPr>
      <w:bookmarkStart w:id="135" w:name="_Toc11173"/>
      <w:bookmarkStart w:id="136" w:name="_Toc7245"/>
      <w:bookmarkStart w:id="137" w:name="_Toc15322"/>
      <w:r>
        <w:rPr>
          <w:rFonts w:hint="eastAsia" w:ascii="宋体" w:hAnsi="宋体" w:cs="宋体"/>
          <w:b/>
          <w:color w:val="auto"/>
          <w:sz w:val="24"/>
          <w:highlight w:val="none"/>
        </w:rPr>
        <w:t>1.8 合同生效</w:t>
      </w:r>
      <w:bookmarkEnd w:id="135"/>
      <w:bookmarkEnd w:id="136"/>
      <w:bookmarkEnd w:id="137"/>
    </w:p>
    <w:p w14:paraId="36CFE21D">
      <w:pPr>
        <w:wordWrap w:val="0"/>
        <w:spacing w:line="360" w:lineRule="auto"/>
        <w:ind w:firstLine="480" w:firstLineChars="200"/>
        <w:rPr>
          <w:rFonts w:hint="eastAsia" w:ascii="宋体" w:hAnsi="宋体" w:cs="宋体"/>
          <w:b/>
          <w:color w:val="auto"/>
          <w:sz w:val="24"/>
          <w:highlight w:val="none"/>
        </w:rPr>
      </w:pPr>
      <w:r>
        <w:rPr>
          <w:rFonts w:hint="eastAsia" w:ascii="宋体" w:hAnsi="宋体"/>
          <w:color w:val="auto"/>
          <w:sz w:val="24"/>
          <w:highlight w:val="none"/>
        </w:rPr>
        <w:t>本合同自双方当事人加盖有效公章或合同专用章时生效。</w:t>
      </w:r>
    </w:p>
    <w:p w14:paraId="59A31A7A">
      <w:pPr>
        <w:wordWrap w:val="0"/>
        <w:spacing w:line="360" w:lineRule="auto"/>
        <w:ind w:firstLine="470" w:firstLineChars="195"/>
        <w:rPr>
          <w:rFonts w:hint="eastAsia" w:ascii="宋体" w:hAnsi="宋体" w:cs="宋体"/>
          <w:color w:val="auto"/>
          <w:sz w:val="24"/>
          <w:highlight w:val="none"/>
          <w:lang w:val="zh-CN"/>
        </w:rPr>
      </w:pPr>
      <w:r>
        <w:rPr>
          <w:rFonts w:hint="eastAsia" w:ascii="宋体" w:hAnsi="宋体"/>
          <w:b/>
          <w:color w:val="auto"/>
          <w:sz w:val="24"/>
          <w:highlight w:val="none"/>
        </w:rPr>
        <w:t>1</w:t>
      </w:r>
      <w:r>
        <w:rPr>
          <w:rFonts w:ascii="宋体" w:hAnsi="宋体"/>
          <w:b/>
          <w:color w:val="auto"/>
          <w:sz w:val="24"/>
          <w:highlight w:val="none"/>
        </w:rPr>
        <w:t xml:space="preserve">.9 </w:t>
      </w:r>
      <w:r>
        <w:rPr>
          <w:rFonts w:hint="eastAsia" w:ascii="宋体" w:hAnsi="宋体"/>
          <w:b/>
          <w:color w:val="auto"/>
          <w:sz w:val="24"/>
          <w:highlight w:val="none"/>
        </w:rPr>
        <w:t>合同延续年限、条件和方式：</w:t>
      </w:r>
      <w:r>
        <w:rPr>
          <w:rFonts w:hint="eastAsia" w:ascii="宋体" w:hAnsi="宋体"/>
          <w:bCs/>
          <w:color w:val="auto"/>
          <w:sz w:val="24"/>
          <w:highlight w:val="none"/>
        </w:rPr>
        <w:t>本项目合同到期后不续签。</w:t>
      </w:r>
      <w:r>
        <w:rPr>
          <w:rFonts w:hint="eastAsia" w:ascii="宋体" w:hAnsi="宋体"/>
          <w:b/>
          <w:color w:val="auto"/>
          <w:sz w:val="24"/>
          <w:highlight w:val="none"/>
        </w:rPr>
        <w:t xml:space="preserve"> </w:t>
      </w:r>
      <w:r>
        <w:rPr>
          <w:rFonts w:ascii="宋体" w:hAnsi="宋体"/>
          <w:b/>
          <w:color w:val="auto"/>
          <w:sz w:val="24"/>
          <w:highlight w:val="none"/>
        </w:rPr>
        <w:t xml:space="preserve"> </w:t>
      </w:r>
    </w:p>
    <w:p w14:paraId="1D94BFFD">
      <w:pPr>
        <w:wordWrap w:val="0"/>
        <w:spacing w:line="360" w:lineRule="auto"/>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甲方：                                  乙方：</w:t>
      </w:r>
    </w:p>
    <w:p w14:paraId="390C598A">
      <w:pPr>
        <w:wordWrap w:val="0"/>
        <w:spacing w:line="360" w:lineRule="auto"/>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统一社会信用代码：                      统一社会信用代码或身份证号码：</w:t>
      </w:r>
    </w:p>
    <w:p w14:paraId="6FB96AD4">
      <w:pPr>
        <w:wordWrap w:val="0"/>
        <w:spacing w:line="360" w:lineRule="auto"/>
        <w:ind w:firstLine="480"/>
        <w:rPr>
          <w:rFonts w:hint="eastAsia" w:ascii="宋体" w:hAnsi="宋体" w:cs="宋体"/>
          <w:color w:val="auto"/>
          <w:sz w:val="24"/>
          <w:highlight w:val="none"/>
          <w:lang w:val="zh-CN"/>
        </w:rPr>
      </w:pPr>
    </w:p>
    <w:p w14:paraId="61B9C772">
      <w:pPr>
        <w:wordWrap w:val="0"/>
        <w:spacing w:line="360" w:lineRule="auto"/>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住所：                                   住所：</w:t>
      </w:r>
    </w:p>
    <w:p w14:paraId="765864C1">
      <w:pPr>
        <w:wordWrap w:val="0"/>
        <w:spacing w:line="360" w:lineRule="auto"/>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法定代表人或                             法定代表人</w:t>
      </w:r>
    </w:p>
    <w:p w14:paraId="636C65B0">
      <w:pPr>
        <w:wordWrap w:val="0"/>
        <w:spacing w:line="360" w:lineRule="auto"/>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 xml:space="preserve">授权代表（签字）：                       或授权代表（签字）: </w:t>
      </w:r>
    </w:p>
    <w:p w14:paraId="3F822F82">
      <w:pPr>
        <w:wordWrap w:val="0"/>
        <w:spacing w:line="360" w:lineRule="auto"/>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联系人：                                 联系人：</w:t>
      </w:r>
    </w:p>
    <w:p w14:paraId="7DB783B8">
      <w:pPr>
        <w:wordWrap w:val="0"/>
        <w:spacing w:line="360" w:lineRule="auto"/>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约定送达地址：                           约定送达地址：</w:t>
      </w:r>
    </w:p>
    <w:p w14:paraId="4911A1D5">
      <w:pPr>
        <w:wordWrap w:val="0"/>
        <w:spacing w:line="360" w:lineRule="auto"/>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邮政编码：                               邮政编码：</w:t>
      </w:r>
    </w:p>
    <w:p w14:paraId="34868C02">
      <w:pPr>
        <w:wordWrap w:val="0"/>
        <w:spacing w:line="360" w:lineRule="auto"/>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 xml:space="preserve">电话:                                    电话: </w:t>
      </w:r>
    </w:p>
    <w:p w14:paraId="6C775269">
      <w:pPr>
        <w:wordWrap w:val="0"/>
        <w:spacing w:line="360" w:lineRule="auto"/>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传真:                                    传真:</w:t>
      </w:r>
    </w:p>
    <w:p w14:paraId="4659ACD5">
      <w:pPr>
        <w:wordWrap w:val="0"/>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lang w:val="zh-CN"/>
        </w:rPr>
        <w:t>电子邮箱：                               电子邮箱：</w:t>
      </w:r>
    </w:p>
    <w:p w14:paraId="68FE4578">
      <w:pPr>
        <w:wordWrap w:val="0"/>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 xml:space="preserve">开户银行：                               开户银行： </w:t>
      </w:r>
    </w:p>
    <w:p w14:paraId="07CF7593">
      <w:pPr>
        <w:wordWrap w:val="0"/>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 xml:space="preserve">开户名称：                               开户名称： </w:t>
      </w:r>
    </w:p>
    <w:p w14:paraId="0374ADDA">
      <w:pPr>
        <w:wordWrap w:val="0"/>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开户账号：</w:t>
      </w:r>
      <w:r>
        <w:rPr>
          <w:rFonts w:hint="eastAsia" w:ascii="宋体" w:hAnsi="宋体" w:cs="宋体"/>
          <w:color w:val="auto"/>
          <w:sz w:val="24"/>
          <w:highlight w:val="none"/>
          <w:lang w:val="zh-CN"/>
        </w:rPr>
        <w:t xml:space="preserve">                               </w:t>
      </w:r>
      <w:r>
        <w:rPr>
          <w:rFonts w:hint="eastAsia" w:ascii="宋体" w:hAnsi="宋体" w:cs="宋体"/>
          <w:color w:val="auto"/>
          <w:sz w:val="24"/>
          <w:highlight w:val="none"/>
        </w:rPr>
        <w:t>开户账号：</w:t>
      </w:r>
    </w:p>
    <w:p w14:paraId="12B735CF">
      <w:pPr>
        <w:wordWrap w:val="0"/>
        <w:spacing w:line="360" w:lineRule="auto"/>
        <w:ind w:firstLine="482"/>
        <w:jc w:val="center"/>
        <w:rPr>
          <w:rFonts w:hint="eastAsia" w:ascii="宋体" w:hAnsi="宋体" w:cs="宋体"/>
          <w:b/>
          <w:color w:val="auto"/>
          <w:sz w:val="28"/>
          <w:szCs w:val="28"/>
          <w:highlight w:val="none"/>
        </w:rPr>
      </w:pPr>
      <w:r>
        <w:rPr>
          <w:rFonts w:hint="eastAsia" w:ascii="宋体" w:hAnsi="宋体" w:cs="宋体"/>
          <w:b/>
          <w:color w:val="auto"/>
          <w:highlight w:val="none"/>
        </w:rPr>
        <w:br w:type="page"/>
      </w:r>
      <w:bookmarkStart w:id="138" w:name="_Toc331685783"/>
      <w:r>
        <w:rPr>
          <w:rFonts w:hint="eastAsia" w:ascii="宋体" w:hAnsi="宋体" w:cs="宋体"/>
          <w:b/>
          <w:color w:val="auto"/>
          <w:sz w:val="28"/>
          <w:szCs w:val="28"/>
          <w:highlight w:val="none"/>
        </w:rPr>
        <w:t>第二部分 合同一般条款</w:t>
      </w:r>
      <w:bookmarkEnd w:id="138"/>
    </w:p>
    <w:p w14:paraId="0DDABABF">
      <w:pPr>
        <w:wordWrap w:val="0"/>
        <w:spacing w:line="360" w:lineRule="auto"/>
        <w:ind w:firstLine="482" w:firstLineChars="200"/>
        <w:rPr>
          <w:rFonts w:hint="eastAsia" w:ascii="宋体" w:hAnsi="宋体" w:cs="宋体"/>
          <w:b/>
          <w:color w:val="auto"/>
          <w:sz w:val="24"/>
          <w:highlight w:val="none"/>
        </w:rPr>
      </w:pPr>
      <w:bookmarkStart w:id="139" w:name="_Toc19614"/>
      <w:bookmarkStart w:id="140" w:name="_Ref467378404"/>
      <w:bookmarkStart w:id="141" w:name="_Ref467379109"/>
      <w:bookmarkStart w:id="142" w:name="_Ref467378463"/>
      <w:bookmarkStart w:id="143" w:name="_Ref467379214"/>
      <w:bookmarkStart w:id="144" w:name="_Ref467379225"/>
      <w:bookmarkStart w:id="145" w:name="_Ref467379094"/>
      <w:bookmarkStart w:id="146" w:name="_Toc259093669"/>
      <w:bookmarkStart w:id="147" w:name="_Ref467379101"/>
      <w:bookmarkStart w:id="148" w:name="_Ref467379205"/>
      <w:bookmarkStart w:id="149" w:name="_Toc487900349"/>
      <w:bookmarkStart w:id="150" w:name="_Toc28763"/>
      <w:bookmarkStart w:id="151" w:name="_Ref467379195"/>
      <w:bookmarkStart w:id="152" w:name="_Toc16917"/>
      <w:bookmarkStart w:id="153" w:name="_Toc279701240"/>
      <w:bookmarkStart w:id="154" w:name="_Ref467378499"/>
      <w:r>
        <w:rPr>
          <w:rFonts w:hint="eastAsia" w:ascii="宋体" w:hAnsi="宋体" w:cs="宋体"/>
          <w:b/>
          <w:color w:val="auto"/>
          <w:sz w:val="24"/>
          <w:highlight w:val="none"/>
        </w:rPr>
        <w:t>2.1 定义</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14:paraId="41709D32">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本合同中的下列词语应按以下内容进行解释：</w:t>
      </w:r>
    </w:p>
    <w:p w14:paraId="61384C2D">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2.1.1 “合同”系指采购人和中标供应商签订的载明双方当事人所达成的协议，并包括所有的附件、附录和构成合同的其他文件。</w:t>
      </w:r>
    </w:p>
    <w:p w14:paraId="028F0EEA">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2.1.2 “合同价”系指根据合同约定，中标供应商在完全履行合同义务后，采购人应支付给中标供应商的价格。</w:t>
      </w:r>
    </w:p>
    <w:p w14:paraId="3B3CBC01">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2.1.3 “标的物”系指中标供应商根据合同约定应向采购人交付的一切各种形态和种类的货物、服务和工程，包括但不限于原材料、燃料、设备、机械、仪表、备件、计算机软件、信息化系统、信息化维保、物业服务、产品等，并包括工具、手册等其他相关资料。</w:t>
      </w:r>
    </w:p>
    <w:p w14:paraId="5BF10D05">
      <w:pPr>
        <w:wordWrap w:val="0"/>
        <w:spacing w:line="360" w:lineRule="auto"/>
        <w:ind w:firstLine="480" w:firstLineChars="200"/>
        <w:rPr>
          <w:rFonts w:hint="eastAsia" w:ascii="宋体" w:hAnsi="宋体" w:cs="宋体"/>
          <w:color w:val="auto"/>
          <w:sz w:val="24"/>
          <w:highlight w:val="none"/>
        </w:rPr>
      </w:pPr>
      <w:bookmarkStart w:id="155" w:name="_Ref467378840"/>
      <w:r>
        <w:rPr>
          <w:rFonts w:hint="eastAsia" w:ascii="宋体" w:hAnsi="宋体" w:cs="宋体"/>
          <w:color w:val="auto"/>
          <w:sz w:val="24"/>
          <w:highlight w:val="none"/>
        </w:rPr>
        <w:t>2.1.4 “甲方”系指与中标供应商签署合同的采购人</w:t>
      </w:r>
      <w:bookmarkEnd w:id="155"/>
      <w:r>
        <w:rPr>
          <w:rFonts w:hint="eastAsia" w:ascii="宋体" w:hAnsi="宋体" w:cs="宋体"/>
          <w:color w:val="auto"/>
          <w:sz w:val="24"/>
          <w:highlight w:val="none"/>
        </w:rPr>
        <w:t>；采购人委托采购机构代表其与乙方签订合同的，采购人的授权委托书作为合同附件。</w:t>
      </w:r>
    </w:p>
    <w:p w14:paraId="74B06689">
      <w:pPr>
        <w:wordWrap w:val="0"/>
        <w:spacing w:line="360" w:lineRule="auto"/>
        <w:ind w:firstLine="480" w:firstLineChars="200"/>
        <w:rPr>
          <w:rFonts w:hint="eastAsia" w:ascii="宋体" w:hAnsi="宋体" w:cs="宋体"/>
          <w:color w:val="auto"/>
          <w:sz w:val="24"/>
          <w:highlight w:val="none"/>
        </w:rPr>
      </w:pPr>
      <w:bookmarkStart w:id="156" w:name="_Ref467379400"/>
      <w:r>
        <w:rPr>
          <w:rFonts w:hint="eastAsia" w:ascii="宋体" w:hAnsi="宋体" w:cs="宋体"/>
          <w:color w:val="auto"/>
          <w:sz w:val="24"/>
          <w:highlight w:val="none"/>
        </w:rPr>
        <w:t>2.1.5 “乙方”系指根据合同约定交付标的物的</w:t>
      </w:r>
      <w:bookmarkEnd w:id="156"/>
      <w:r>
        <w:rPr>
          <w:rFonts w:hint="eastAsia" w:ascii="宋体" w:hAnsi="宋体" w:cs="宋体"/>
          <w:color w:val="auto"/>
          <w:sz w:val="24"/>
          <w:highlight w:val="none"/>
        </w:rPr>
        <w:t>中标供应商；两个以上的自然人、法人或者其他组织组成一个联合体，以一个供应商的身份共同参加政府采购的，联合体各方均应为乙方或者与乙方相同地位的合同当事人，并就合同约定的事项对甲方承担连带责任。</w:t>
      </w:r>
    </w:p>
    <w:p w14:paraId="4F6594BF">
      <w:pPr>
        <w:wordWrap w:val="0"/>
        <w:spacing w:line="360" w:lineRule="auto"/>
        <w:ind w:firstLine="480" w:firstLineChars="200"/>
        <w:rPr>
          <w:rFonts w:hint="eastAsia" w:ascii="宋体" w:hAnsi="宋体" w:cs="宋体"/>
          <w:color w:val="auto"/>
          <w:sz w:val="24"/>
          <w:highlight w:val="none"/>
        </w:rPr>
      </w:pPr>
      <w:bookmarkStart w:id="157" w:name="_Ref467379436"/>
      <w:r>
        <w:rPr>
          <w:rFonts w:hint="eastAsia" w:ascii="宋体" w:hAnsi="宋体" w:cs="宋体"/>
          <w:color w:val="auto"/>
          <w:sz w:val="24"/>
          <w:highlight w:val="none"/>
        </w:rPr>
        <w:t>2.1.6 “现场”系指合同约定标的物将要运至或者实施或者安装的地点。</w:t>
      </w:r>
      <w:bookmarkEnd w:id="157"/>
    </w:p>
    <w:p w14:paraId="67B1B654">
      <w:pPr>
        <w:wordWrap w:val="0"/>
        <w:spacing w:line="360" w:lineRule="auto"/>
        <w:ind w:firstLine="482" w:firstLineChars="200"/>
        <w:rPr>
          <w:rFonts w:hint="eastAsia" w:ascii="宋体" w:hAnsi="宋体" w:cs="宋体"/>
          <w:b/>
          <w:color w:val="auto"/>
          <w:sz w:val="24"/>
          <w:highlight w:val="none"/>
        </w:rPr>
      </w:pPr>
      <w:bookmarkStart w:id="158" w:name="_Toc27635"/>
      <w:bookmarkStart w:id="159" w:name="_Toc13336"/>
      <w:bookmarkStart w:id="160" w:name="_Toc487900350"/>
      <w:bookmarkStart w:id="161" w:name="_Toc279701241"/>
      <w:bookmarkStart w:id="162" w:name="_Toc32504"/>
      <w:bookmarkStart w:id="163" w:name="_Toc259093670"/>
      <w:r>
        <w:rPr>
          <w:rFonts w:hint="eastAsia" w:ascii="宋体" w:hAnsi="宋体" w:cs="宋体"/>
          <w:b/>
          <w:color w:val="auto"/>
          <w:sz w:val="24"/>
          <w:highlight w:val="none"/>
        </w:rPr>
        <w:t>2.2 技术规范</w:t>
      </w:r>
      <w:bookmarkEnd w:id="158"/>
      <w:bookmarkEnd w:id="159"/>
      <w:bookmarkEnd w:id="160"/>
      <w:bookmarkEnd w:id="161"/>
      <w:bookmarkEnd w:id="162"/>
      <w:bookmarkEnd w:id="163"/>
    </w:p>
    <w:p w14:paraId="227E1B6C">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标的物所应遵守的技术规范应与采购文件规定的技术规范和技术规范附件(如果有的话)及其技术规范偏差表(如果被甲方接受的话)相一致；如果采购文件中没有技术规范的相应说明，应以国家有关部门最新颁布的相应标准和规范为准。</w:t>
      </w:r>
    </w:p>
    <w:p w14:paraId="4B6926E8">
      <w:pPr>
        <w:wordWrap w:val="0"/>
        <w:spacing w:line="360" w:lineRule="auto"/>
        <w:ind w:firstLine="482" w:firstLineChars="200"/>
        <w:rPr>
          <w:rFonts w:hint="eastAsia" w:ascii="宋体" w:hAnsi="宋体" w:cs="宋体"/>
          <w:b/>
          <w:color w:val="auto"/>
          <w:sz w:val="24"/>
          <w:highlight w:val="none"/>
        </w:rPr>
      </w:pPr>
      <w:bookmarkStart w:id="164" w:name="_Toc259093671"/>
      <w:bookmarkStart w:id="165" w:name="_Toc279701242"/>
      <w:bookmarkStart w:id="166" w:name="_Toc9829"/>
      <w:bookmarkStart w:id="167" w:name="_Toc27853"/>
      <w:bookmarkStart w:id="168" w:name="_Toc487900351"/>
      <w:bookmarkStart w:id="169" w:name="_Toc31634"/>
      <w:r>
        <w:rPr>
          <w:rFonts w:hint="eastAsia" w:ascii="宋体" w:hAnsi="宋体" w:cs="宋体"/>
          <w:b/>
          <w:color w:val="auto"/>
          <w:sz w:val="24"/>
          <w:highlight w:val="none"/>
        </w:rPr>
        <w:t>2.3 知识产权</w:t>
      </w:r>
      <w:bookmarkEnd w:id="164"/>
      <w:bookmarkEnd w:id="165"/>
      <w:bookmarkEnd w:id="166"/>
      <w:bookmarkEnd w:id="167"/>
      <w:bookmarkEnd w:id="168"/>
      <w:bookmarkEnd w:id="169"/>
    </w:p>
    <w:p w14:paraId="7E8F77AF">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2.3.1 乙方应保证甲方在使用该标的物或其任何一部分时不受任何第三方提出的侵犯其著作权、商标权、专利权等知识产权方面的起诉；如果任何第三方提出侵权指控，乙方须与该第三方交涉并承担由此发生的一切责任、费用和赔偿；</w:t>
      </w:r>
    </w:p>
    <w:p w14:paraId="2AA388E5">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2.3.2具有知识产权的计算机软件等标的物的知识产权归属，详见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2C905B87">
      <w:pPr>
        <w:wordWrap w:val="0"/>
        <w:spacing w:line="360" w:lineRule="auto"/>
        <w:ind w:firstLine="482" w:firstLineChars="200"/>
        <w:rPr>
          <w:rFonts w:hint="eastAsia" w:ascii="宋体" w:hAnsi="宋体" w:cs="宋体"/>
          <w:b/>
          <w:color w:val="auto"/>
          <w:sz w:val="24"/>
          <w:highlight w:val="none"/>
        </w:rPr>
      </w:pPr>
      <w:bookmarkStart w:id="170" w:name="_Toc4194"/>
      <w:bookmarkStart w:id="171" w:name="_Toc11932"/>
      <w:bookmarkStart w:id="172" w:name="_Toc29149"/>
      <w:r>
        <w:rPr>
          <w:rFonts w:hint="eastAsia" w:ascii="宋体" w:hAnsi="宋体" w:cs="宋体"/>
          <w:b/>
          <w:color w:val="auto"/>
          <w:sz w:val="24"/>
          <w:highlight w:val="none"/>
        </w:rPr>
        <w:t>2.4 包装和装运</w:t>
      </w:r>
      <w:bookmarkEnd w:id="170"/>
      <w:bookmarkEnd w:id="171"/>
      <w:bookmarkEnd w:id="172"/>
    </w:p>
    <w:p w14:paraId="7AE010D1">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2.4.1除</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另有约定外,乙方交付的全部标的物,均应采用本行业通用的方式进行包装，没有通用方式的，应当采取足以保护标的物的包装方式，且该包装应符合国家有关包装的法律、法规的规定。如有必要，包装应适用于远距离运输、防潮、防震、防锈和防粗暴装卸，确保标的物安全无损地运抵现场。由于包装不善所引起的标的物锈蚀、损坏和损失等一切风险均由乙方承担。</w:t>
      </w:r>
    </w:p>
    <w:p w14:paraId="2E2A20B7">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2.4.2 装运标的物的要求和通知，详见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2AD4BBED">
      <w:pPr>
        <w:wordWrap w:val="0"/>
        <w:spacing w:line="360" w:lineRule="auto"/>
        <w:ind w:firstLine="482" w:firstLineChars="200"/>
        <w:rPr>
          <w:rFonts w:hint="eastAsia" w:ascii="宋体" w:hAnsi="宋体" w:cs="宋体"/>
          <w:b/>
          <w:color w:val="auto"/>
          <w:sz w:val="24"/>
          <w:highlight w:val="none"/>
        </w:rPr>
      </w:pPr>
      <w:bookmarkStart w:id="173" w:name="_Ref467379527"/>
      <w:bookmarkStart w:id="174" w:name="_Ref467379542"/>
      <w:bookmarkStart w:id="175" w:name="_Toc259093674"/>
      <w:bookmarkStart w:id="176" w:name="_Ref467378541"/>
      <w:bookmarkStart w:id="177" w:name="_Toc279701245"/>
      <w:bookmarkStart w:id="178" w:name="_Ref467379536"/>
      <w:bookmarkStart w:id="179" w:name="_Toc487900354"/>
      <w:bookmarkStart w:id="180" w:name="_Ref467378591"/>
      <w:bookmarkStart w:id="181" w:name="_Toc19074"/>
      <w:bookmarkStart w:id="182" w:name="_Toc26182"/>
      <w:bookmarkStart w:id="183" w:name="_Toc30272"/>
      <w:r>
        <w:rPr>
          <w:rFonts w:hint="eastAsia" w:ascii="宋体" w:hAnsi="宋体" w:cs="宋体"/>
          <w:b/>
          <w:color w:val="auto"/>
          <w:sz w:val="24"/>
          <w:highlight w:val="none"/>
        </w:rPr>
        <w:t>2.</w:t>
      </w:r>
      <w:bookmarkEnd w:id="173"/>
      <w:bookmarkEnd w:id="174"/>
      <w:bookmarkEnd w:id="175"/>
      <w:bookmarkEnd w:id="176"/>
      <w:bookmarkEnd w:id="177"/>
      <w:bookmarkEnd w:id="178"/>
      <w:bookmarkEnd w:id="179"/>
      <w:bookmarkEnd w:id="180"/>
      <w:r>
        <w:rPr>
          <w:rFonts w:hint="eastAsia" w:ascii="宋体" w:hAnsi="宋体" w:cs="宋体"/>
          <w:b/>
          <w:color w:val="auto"/>
          <w:sz w:val="24"/>
          <w:highlight w:val="none"/>
        </w:rPr>
        <w:t>5 履约检查和问题反馈</w:t>
      </w:r>
      <w:bookmarkEnd w:id="181"/>
      <w:bookmarkEnd w:id="182"/>
      <w:bookmarkEnd w:id="183"/>
    </w:p>
    <w:p w14:paraId="43568321">
      <w:pPr>
        <w:wordWrap w:val="0"/>
        <w:spacing w:line="360" w:lineRule="auto"/>
        <w:ind w:firstLine="480" w:firstLineChars="200"/>
        <w:rPr>
          <w:rFonts w:hint="eastAsia" w:ascii="宋体" w:hAnsi="宋体" w:cs="宋体"/>
          <w:color w:val="auto"/>
          <w:sz w:val="24"/>
          <w:highlight w:val="none"/>
        </w:rPr>
      </w:pPr>
      <w:bookmarkStart w:id="184" w:name="_Ref467379657"/>
      <w:r>
        <w:rPr>
          <w:rFonts w:hint="eastAsia" w:ascii="宋体" w:hAnsi="宋体" w:cs="宋体"/>
          <w:color w:val="auto"/>
          <w:sz w:val="24"/>
          <w:highlight w:val="none"/>
        </w:rPr>
        <w:t>2.5.1</w:t>
      </w:r>
      <w:bookmarkEnd w:id="184"/>
      <w:bookmarkStart w:id="185" w:name="_Toc186431854"/>
      <w:bookmarkStart w:id="186" w:name="_Ref467379793"/>
      <w:bookmarkStart w:id="187" w:name="_Toc487900357"/>
      <w:bookmarkStart w:id="188" w:name="_Ref467379807"/>
      <w:bookmarkStart w:id="189" w:name="_Toc259093676"/>
      <w:bookmarkStart w:id="190" w:name="_Toc279701247"/>
      <w:r>
        <w:rPr>
          <w:rFonts w:hint="eastAsia" w:ascii="宋体" w:hAnsi="宋体" w:cs="宋体"/>
          <w:color w:val="auto"/>
          <w:sz w:val="24"/>
          <w:highlight w:val="none"/>
        </w:rPr>
        <w:t>甲方有权在其认为必要时，对乙方是否能够按照合同约定交付标的物进行履约检查，以确保乙方所交付的标的物能够依约满足甲方之项目需求，但不得因履约检查妨碍乙方的正常工作，乙方应予积极配合；</w:t>
      </w:r>
    </w:p>
    <w:p w14:paraId="2478E620">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2.5.2 合同履行期间，甲方有权将履行过程中出现的问题反馈给乙方，双方当事人应以书面形式约定需要完善和改进的内容</w:t>
      </w:r>
      <w:bookmarkEnd w:id="185"/>
      <w:bookmarkStart w:id="191" w:name="_Toc186431855"/>
      <w:r>
        <w:rPr>
          <w:rFonts w:hint="eastAsia" w:ascii="宋体" w:hAnsi="宋体" w:cs="宋体"/>
          <w:color w:val="auto"/>
          <w:sz w:val="24"/>
          <w:highlight w:val="none"/>
        </w:rPr>
        <w:t>。</w:t>
      </w:r>
    </w:p>
    <w:bookmarkEnd w:id="191"/>
    <w:p w14:paraId="2B919CC6">
      <w:pPr>
        <w:wordWrap w:val="0"/>
        <w:spacing w:line="360" w:lineRule="auto"/>
        <w:ind w:firstLine="482" w:firstLineChars="200"/>
        <w:rPr>
          <w:rFonts w:hint="eastAsia" w:ascii="宋体" w:hAnsi="宋体" w:cs="宋体"/>
          <w:b/>
          <w:color w:val="auto"/>
          <w:sz w:val="24"/>
          <w:highlight w:val="none"/>
        </w:rPr>
      </w:pPr>
      <w:bookmarkStart w:id="192" w:name="_Toc28451"/>
      <w:bookmarkStart w:id="193" w:name="_Toc7836"/>
      <w:bookmarkStart w:id="194" w:name="_Toc19219"/>
      <w:r>
        <w:rPr>
          <w:rFonts w:hint="eastAsia" w:ascii="宋体" w:hAnsi="宋体" w:cs="宋体"/>
          <w:b/>
          <w:color w:val="auto"/>
          <w:sz w:val="24"/>
          <w:highlight w:val="none"/>
        </w:rPr>
        <w:t>2.6 结算方式和付款条件</w:t>
      </w:r>
      <w:bookmarkEnd w:id="186"/>
      <w:bookmarkEnd w:id="187"/>
      <w:bookmarkEnd w:id="188"/>
      <w:bookmarkEnd w:id="189"/>
      <w:bookmarkEnd w:id="190"/>
      <w:bookmarkEnd w:id="192"/>
      <w:bookmarkEnd w:id="193"/>
      <w:bookmarkEnd w:id="194"/>
    </w:p>
    <w:p w14:paraId="4A3AC50A">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15751C3A">
      <w:pPr>
        <w:wordWrap w:val="0"/>
        <w:spacing w:line="360" w:lineRule="auto"/>
        <w:ind w:firstLine="482" w:firstLineChars="200"/>
        <w:rPr>
          <w:rFonts w:hint="eastAsia" w:ascii="宋体" w:hAnsi="宋体" w:cs="宋体"/>
          <w:b/>
          <w:color w:val="auto"/>
          <w:sz w:val="24"/>
          <w:highlight w:val="none"/>
        </w:rPr>
      </w:pPr>
      <w:bookmarkStart w:id="195" w:name="_Ref467379852"/>
      <w:bookmarkStart w:id="196" w:name="_Toc487900358"/>
      <w:bookmarkStart w:id="197" w:name="_Toc279701248"/>
      <w:bookmarkStart w:id="198" w:name="_Toc259093677"/>
      <w:bookmarkStart w:id="199" w:name="_Ref467379923"/>
      <w:bookmarkStart w:id="200" w:name="_Ref467379863"/>
      <w:bookmarkStart w:id="201" w:name="_Toc774"/>
      <w:bookmarkStart w:id="202" w:name="_Toc3225"/>
      <w:bookmarkStart w:id="203" w:name="_Toc16110"/>
      <w:r>
        <w:rPr>
          <w:rFonts w:hint="eastAsia" w:ascii="宋体" w:hAnsi="宋体" w:cs="宋体"/>
          <w:b/>
          <w:color w:val="auto"/>
          <w:sz w:val="24"/>
          <w:highlight w:val="none"/>
        </w:rPr>
        <w:t>2.7 技术资料</w:t>
      </w:r>
      <w:bookmarkEnd w:id="195"/>
      <w:bookmarkEnd w:id="196"/>
      <w:bookmarkEnd w:id="197"/>
      <w:bookmarkEnd w:id="198"/>
      <w:bookmarkEnd w:id="199"/>
      <w:bookmarkEnd w:id="200"/>
      <w:r>
        <w:rPr>
          <w:rFonts w:hint="eastAsia" w:ascii="宋体" w:hAnsi="宋体" w:cs="宋体"/>
          <w:b/>
          <w:color w:val="auto"/>
          <w:sz w:val="24"/>
          <w:highlight w:val="none"/>
        </w:rPr>
        <w:t>和保密义务</w:t>
      </w:r>
      <w:bookmarkEnd w:id="201"/>
      <w:bookmarkEnd w:id="202"/>
      <w:bookmarkEnd w:id="203"/>
    </w:p>
    <w:p w14:paraId="174FCC6C">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2.7.1 乙方有权依据合同约定和项目需要，向甲方了解有关情况，调阅有关资料等，甲方应予积极配合；</w:t>
      </w:r>
    </w:p>
    <w:p w14:paraId="571EA566">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2.7.2 乙方有义务妥善保管和保护由甲方提供的前款信息和资料等；</w:t>
      </w:r>
    </w:p>
    <w:p w14:paraId="7BFEDBD6">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及方式防止任何第三方接触到对方当事人的上述保密信息和资料。</w:t>
      </w:r>
    </w:p>
    <w:p w14:paraId="4D88A19F">
      <w:pPr>
        <w:wordWrap w:val="0"/>
        <w:spacing w:line="360" w:lineRule="auto"/>
        <w:ind w:firstLine="482" w:firstLineChars="200"/>
        <w:rPr>
          <w:rFonts w:hint="eastAsia" w:ascii="宋体" w:hAnsi="宋体" w:cs="宋体"/>
          <w:b/>
          <w:color w:val="auto"/>
          <w:sz w:val="24"/>
          <w:highlight w:val="none"/>
        </w:rPr>
      </w:pPr>
      <w:bookmarkStart w:id="204" w:name="_Toc7860"/>
      <w:r>
        <w:rPr>
          <w:rFonts w:hint="eastAsia" w:ascii="宋体" w:hAnsi="宋体" w:cs="宋体"/>
          <w:b/>
          <w:color w:val="auto"/>
          <w:sz w:val="24"/>
          <w:highlight w:val="none"/>
        </w:rPr>
        <w:t>2.8 质量保证</w:t>
      </w:r>
      <w:bookmarkEnd w:id="204"/>
    </w:p>
    <w:p w14:paraId="6EF6DCDD">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2.8.1 乙方应建立和完善履行合同的内部质量保证体系，并提供相关内部规章制度给甲方，以便甲方进行监督检查；</w:t>
      </w:r>
    </w:p>
    <w:p w14:paraId="1D327E12">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2.8.2 乙方应保证履行合同的人员数量和素质、软件和硬件设备的配置、场地、环境和设施等满足全面履行合同的要求，并应接受甲方的监督检查。</w:t>
      </w:r>
    </w:p>
    <w:p w14:paraId="3B4F9D65">
      <w:pPr>
        <w:wordWrap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sz w:val="24"/>
          <w:highlight w:val="none"/>
        </w:rPr>
        <w:t>2.8.3乙方应确保项目技术人员的数量和水平与投标文件一致。未经甲方书面同意，乙方不得擅自更换投标文件中注明的项目经理和技术负责人。否则</w:t>
      </w:r>
      <w:r>
        <w:rPr>
          <w:rFonts w:hint="eastAsia" w:ascii="宋体" w:hAnsi="宋体" w:cs="宋体"/>
          <w:color w:val="auto"/>
          <w:kern w:val="0"/>
          <w:sz w:val="24"/>
          <w:highlight w:val="none"/>
        </w:rPr>
        <w:t>甲方有权放弃或终止合同，并没收履约保证金。</w:t>
      </w:r>
    </w:p>
    <w:p w14:paraId="022F151E">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2.8.4因乙方原因造成甲方其他系统不能正常运行，酿成重大事故（工作日系统中断一天以上）的，乙方应承担全部法律责任，并赔偿经济损失，赔偿金额为项目总价的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（根据项目实际情况填写，一般为30%）。</w:t>
      </w:r>
    </w:p>
    <w:p w14:paraId="3AFB9EBB">
      <w:pPr>
        <w:wordWrap w:val="0"/>
        <w:spacing w:line="360" w:lineRule="auto"/>
        <w:ind w:firstLine="482" w:firstLineChars="200"/>
        <w:rPr>
          <w:rFonts w:hint="eastAsia" w:ascii="宋体" w:hAnsi="宋体" w:cs="宋体"/>
          <w:b/>
          <w:color w:val="auto"/>
          <w:sz w:val="24"/>
          <w:highlight w:val="none"/>
        </w:rPr>
      </w:pPr>
      <w:bookmarkStart w:id="205" w:name="_Toc17244"/>
      <w:bookmarkStart w:id="206" w:name="_Toc279701252"/>
      <w:bookmarkStart w:id="207" w:name="_Toc487900362"/>
      <w:bookmarkStart w:id="208" w:name="_Toc259093681"/>
      <w:r>
        <w:rPr>
          <w:rFonts w:hint="eastAsia" w:ascii="宋体" w:hAnsi="宋体" w:cs="宋体"/>
          <w:b/>
          <w:color w:val="auto"/>
          <w:sz w:val="24"/>
          <w:highlight w:val="none"/>
        </w:rPr>
        <w:t>2.9 标的物的风险负担</w:t>
      </w:r>
      <w:bookmarkEnd w:id="205"/>
    </w:p>
    <w:p w14:paraId="3C0CAA22">
      <w:pPr>
        <w:wordWrap w:val="0"/>
        <w:spacing w:line="360" w:lineRule="auto"/>
        <w:ind w:firstLine="480" w:firstLineChars="200"/>
        <w:rPr>
          <w:rFonts w:hint="eastAsia" w:ascii="宋体" w:hAnsi="宋体" w:cs="宋体"/>
          <w:b/>
          <w:color w:val="auto"/>
          <w:sz w:val="24"/>
          <w:highlight w:val="none"/>
        </w:rPr>
      </w:pPr>
      <w:r>
        <w:rPr>
          <w:rFonts w:hint="eastAsia" w:ascii="宋体" w:hAnsi="宋体" w:cs="宋体"/>
          <w:color w:val="auto"/>
          <w:sz w:val="24"/>
          <w:highlight w:val="none"/>
        </w:rPr>
        <w:t>标的物或者在途标的物或者交付给第一承运人后的标的物毁损、灭失的风险负担详见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65CF78E1">
      <w:pPr>
        <w:wordWrap w:val="0"/>
        <w:spacing w:line="360" w:lineRule="auto"/>
        <w:ind w:firstLine="482" w:firstLineChars="200"/>
        <w:rPr>
          <w:rFonts w:hint="eastAsia" w:ascii="宋体" w:hAnsi="宋体" w:cs="宋体"/>
          <w:b/>
          <w:color w:val="auto"/>
          <w:sz w:val="24"/>
          <w:highlight w:val="none"/>
        </w:rPr>
      </w:pPr>
      <w:bookmarkStart w:id="209" w:name="_Toc14055"/>
      <w:r>
        <w:rPr>
          <w:rFonts w:hint="eastAsia" w:ascii="宋体" w:hAnsi="宋体" w:cs="宋体"/>
          <w:b/>
          <w:color w:val="auto"/>
          <w:sz w:val="24"/>
          <w:highlight w:val="none"/>
        </w:rPr>
        <w:t>2.10 延迟交货</w:t>
      </w:r>
      <w:bookmarkEnd w:id="206"/>
      <w:bookmarkEnd w:id="207"/>
      <w:bookmarkEnd w:id="208"/>
      <w:bookmarkEnd w:id="209"/>
      <w:r>
        <w:rPr>
          <w:rFonts w:hint="eastAsia" w:ascii="宋体" w:hAnsi="宋体" w:cs="宋体"/>
          <w:b/>
          <w:color w:val="auto"/>
          <w:sz w:val="24"/>
          <w:highlight w:val="none"/>
        </w:rPr>
        <w:t>/交付</w:t>
      </w:r>
    </w:p>
    <w:p w14:paraId="12E1F07F">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在合同履行过程中，如果乙方遇到不能按时交付标的物的情况，应及时以书面形式将不能按时交付标的物的理由、预期延误时间通知甲方；甲方收到乙方通知后，认为其理由正当的，可以书面形式酌情同意乙方可以延长交货的具体时间。</w:t>
      </w:r>
    </w:p>
    <w:p w14:paraId="5A75CFE0">
      <w:pPr>
        <w:wordWrap w:val="0"/>
        <w:spacing w:line="360" w:lineRule="auto"/>
        <w:ind w:firstLine="482" w:firstLineChars="200"/>
        <w:rPr>
          <w:rFonts w:hint="eastAsia" w:ascii="宋体" w:hAnsi="宋体" w:cs="宋体"/>
          <w:b/>
          <w:color w:val="auto"/>
          <w:sz w:val="24"/>
          <w:highlight w:val="none"/>
        </w:rPr>
      </w:pPr>
      <w:bookmarkStart w:id="210" w:name="_Toc7502"/>
      <w:bookmarkStart w:id="211" w:name="_Ref467378121"/>
      <w:bookmarkStart w:id="212" w:name="_Toc259093683"/>
      <w:bookmarkStart w:id="213" w:name="_Toc487900364"/>
      <w:bookmarkStart w:id="214" w:name="_Toc279701254"/>
      <w:r>
        <w:rPr>
          <w:rFonts w:hint="eastAsia" w:ascii="宋体" w:hAnsi="宋体" w:cs="宋体"/>
          <w:b/>
          <w:color w:val="auto"/>
          <w:sz w:val="24"/>
          <w:highlight w:val="none"/>
        </w:rPr>
        <w:t>2.11 合同变更</w:t>
      </w:r>
      <w:bookmarkEnd w:id="210"/>
    </w:p>
    <w:p w14:paraId="03B076BE">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2.11.1双方当事人协商一致，可以签订书面补充合同的形式变更合同，但不得违背采购文件确定的事项。如果系追加与合同标的相同的标的物的，那么需经采购监督管理部门同意，且所有补充合同的采购金额不得超过原合同价的10%；</w:t>
      </w:r>
    </w:p>
    <w:p w14:paraId="178C0823">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2.11.2 合同继续履行将损害国家利益和社会公共利益的，双方当事人应当以书面形式变更合同。有过错的一方应当承担赔偿责任，双方当事人都有过错的，各自承担相应的责任。</w:t>
      </w:r>
      <w:bookmarkStart w:id="215" w:name="_Toc487900369"/>
      <w:bookmarkStart w:id="216" w:name="_Toc279701259"/>
      <w:bookmarkStart w:id="217" w:name="_Toc259093688"/>
    </w:p>
    <w:p w14:paraId="56397209">
      <w:pPr>
        <w:wordWrap w:val="0"/>
        <w:spacing w:line="360" w:lineRule="auto"/>
        <w:ind w:firstLine="482" w:firstLineChars="200"/>
        <w:rPr>
          <w:rFonts w:hint="eastAsia" w:ascii="宋体" w:hAnsi="宋体" w:cs="宋体"/>
          <w:b/>
          <w:color w:val="auto"/>
          <w:sz w:val="24"/>
          <w:highlight w:val="none"/>
        </w:rPr>
      </w:pPr>
      <w:bookmarkStart w:id="218" w:name="_Toc10366"/>
      <w:bookmarkStart w:id="219" w:name="_Toc22955"/>
      <w:bookmarkStart w:id="220" w:name="_Toc15237"/>
      <w:r>
        <w:rPr>
          <w:rFonts w:hint="eastAsia" w:ascii="宋体" w:hAnsi="宋体" w:cs="宋体"/>
          <w:b/>
          <w:color w:val="auto"/>
          <w:sz w:val="24"/>
          <w:highlight w:val="none"/>
        </w:rPr>
        <w:t>2.12 合同转让</w:t>
      </w:r>
      <w:bookmarkEnd w:id="215"/>
      <w:bookmarkEnd w:id="216"/>
      <w:bookmarkEnd w:id="217"/>
      <w:r>
        <w:rPr>
          <w:rFonts w:hint="eastAsia" w:ascii="宋体" w:hAnsi="宋体" w:cs="宋体"/>
          <w:b/>
          <w:color w:val="auto"/>
          <w:sz w:val="24"/>
          <w:highlight w:val="none"/>
        </w:rPr>
        <w:t>和分包</w:t>
      </w:r>
      <w:bookmarkEnd w:id="218"/>
      <w:bookmarkEnd w:id="219"/>
      <w:bookmarkEnd w:id="220"/>
    </w:p>
    <w:p w14:paraId="3A328790">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合同的权利义务依法不得转让，但经甲方书面同意，乙方可以依法采取分包方式履行合同，即：依法可以将合同项下的部分非主体、非关键性工作分包给他人完成，接受分包的供应商应当具备相应的资格条件，并不得再次分包，且乙方应就分包项目向甲方负责，并与分包供应商就分包项目向甲方承担连带责任。</w:t>
      </w:r>
    </w:p>
    <w:p w14:paraId="7813E67D">
      <w:pPr>
        <w:wordWrap w:val="0"/>
        <w:spacing w:line="360" w:lineRule="auto"/>
        <w:ind w:firstLine="482" w:firstLineChars="200"/>
        <w:rPr>
          <w:rFonts w:hint="eastAsia" w:ascii="宋体" w:hAnsi="宋体" w:cs="宋体"/>
          <w:b/>
          <w:color w:val="auto"/>
          <w:sz w:val="24"/>
          <w:highlight w:val="none"/>
        </w:rPr>
      </w:pPr>
      <w:bookmarkStart w:id="221" w:name="_Toc13566"/>
      <w:bookmarkStart w:id="222" w:name="_Toc14066"/>
      <w:bookmarkStart w:id="223" w:name="_Toc16508"/>
      <w:r>
        <w:rPr>
          <w:rFonts w:hint="eastAsia" w:ascii="宋体" w:hAnsi="宋体" w:cs="宋体"/>
          <w:b/>
          <w:color w:val="auto"/>
          <w:sz w:val="24"/>
          <w:highlight w:val="none"/>
        </w:rPr>
        <w:t>2.13 不可抗力</w:t>
      </w:r>
      <w:bookmarkEnd w:id="221"/>
      <w:bookmarkEnd w:id="222"/>
      <w:bookmarkEnd w:id="223"/>
    </w:p>
    <w:p w14:paraId="7BE5B09B">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2.13.1如果任何一方遭遇法律规定的不可抗力，致使合同履行受阻时，履行合同的期限应予延长，延长的期限应相当于不可抗力所影响的时间；</w:t>
      </w:r>
    </w:p>
    <w:p w14:paraId="359C67A2">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2.13.2受不可抗力影响的一方在不可抗力发生后，应在</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约定时间内以书面形式通知对方当事人，并在</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约定时间内，将有关部门出具的证明文件送达对方当事人。</w:t>
      </w:r>
    </w:p>
    <w:p w14:paraId="51783AD9">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2.13.3 因不可抗力致使不能实现合同目的的，当事人可以解除合同；</w:t>
      </w:r>
    </w:p>
    <w:p w14:paraId="5F06E28C">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2.13.4 因不可抗力致使合同有变更必要的，双方当事人应在</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约定时间内以书面形式变更合同；</w:t>
      </w:r>
    </w:p>
    <w:p w14:paraId="04417B94">
      <w:pPr>
        <w:wordWrap w:val="0"/>
        <w:spacing w:line="360" w:lineRule="auto"/>
        <w:ind w:firstLine="482" w:firstLineChars="200"/>
        <w:rPr>
          <w:rFonts w:hint="eastAsia" w:ascii="宋体" w:hAnsi="宋体" w:cs="宋体"/>
          <w:b/>
          <w:color w:val="auto"/>
          <w:sz w:val="24"/>
          <w:highlight w:val="none"/>
        </w:rPr>
      </w:pPr>
      <w:bookmarkStart w:id="224" w:name="_Toc487900365"/>
      <w:bookmarkStart w:id="225" w:name="_Toc689"/>
      <w:bookmarkStart w:id="226" w:name="_Toc6969"/>
      <w:bookmarkStart w:id="227" w:name="_Toc279701255"/>
      <w:bookmarkStart w:id="228" w:name="_Toc259093684"/>
      <w:bookmarkStart w:id="229" w:name="_Toc30676"/>
      <w:r>
        <w:rPr>
          <w:rFonts w:hint="eastAsia" w:ascii="宋体" w:hAnsi="宋体" w:cs="宋体"/>
          <w:b/>
          <w:color w:val="auto"/>
          <w:sz w:val="24"/>
          <w:highlight w:val="none"/>
        </w:rPr>
        <w:t>2.14 税费</w:t>
      </w:r>
      <w:bookmarkEnd w:id="224"/>
      <w:bookmarkEnd w:id="225"/>
      <w:bookmarkEnd w:id="226"/>
      <w:bookmarkEnd w:id="227"/>
      <w:bookmarkEnd w:id="228"/>
      <w:bookmarkEnd w:id="229"/>
    </w:p>
    <w:p w14:paraId="360FF62C">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与合同有关的一切税费，均按照中华人民共和国法律的相关规定执行。</w:t>
      </w:r>
    </w:p>
    <w:p w14:paraId="7E0D607C">
      <w:pPr>
        <w:wordWrap w:val="0"/>
        <w:spacing w:line="360" w:lineRule="auto"/>
        <w:ind w:firstLine="482" w:firstLineChars="200"/>
        <w:rPr>
          <w:rFonts w:hint="eastAsia" w:ascii="宋体" w:hAnsi="宋体" w:cs="宋体"/>
          <w:b/>
          <w:color w:val="auto"/>
          <w:sz w:val="24"/>
          <w:highlight w:val="none"/>
        </w:rPr>
      </w:pPr>
      <w:bookmarkStart w:id="230" w:name="_Toc16959"/>
      <w:bookmarkStart w:id="231" w:name="_Toc7102"/>
      <w:bookmarkStart w:id="232" w:name="_Toc8298"/>
      <w:bookmarkStart w:id="233" w:name="_Toc259093687"/>
      <w:bookmarkStart w:id="234" w:name="_Toc487900368"/>
      <w:bookmarkStart w:id="235" w:name="_Toc279701258"/>
      <w:r>
        <w:rPr>
          <w:rFonts w:hint="eastAsia" w:ascii="宋体" w:hAnsi="宋体" w:cs="宋体"/>
          <w:b/>
          <w:color w:val="auto"/>
          <w:sz w:val="24"/>
          <w:highlight w:val="none"/>
        </w:rPr>
        <w:t>2.15 乙方破产</w:t>
      </w:r>
      <w:bookmarkEnd w:id="230"/>
      <w:bookmarkEnd w:id="231"/>
      <w:bookmarkEnd w:id="232"/>
      <w:bookmarkEnd w:id="233"/>
      <w:bookmarkEnd w:id="234"/>
      <w:bookmarkEnd w:id="235"/>
    </w:p>
    <w:p w14:paraId="798D2F40">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3D976B3F">
      <w:pPr>
        <w:wordWrap w:val="0"/>
        <w:spacing w:line="360" w:lineRule="auto"/>
        <w:ind w:firstLine="482" w:firstLineChars="200"/>
        <w:rPr>
          <w:rFonts w:hint="eastAsia" w:ascii="宋体" w:hAnsi="宋体" w:cs="宋体"/>
          <w:b/>
          <w:color w:val="auto"/>
          <w:sz w:val="24"/>
          <w:highlight w:val="none"/>
        </w:rPr>
      </w:pPr>
      <w:bookmarkStart w:id="236" w:name="_Toc29333"/>
      <w:bookmarkStart w:id="237" w:name="_Toc6134"/>
      <w:bookmarkStart w:id="238" w:name="_Toc15387"/>
      <w:r>
        <w:rPr>
          <w:rFonts w:hint="eastAsia" w:ascii="宋体" w:hAnsi="宋体" w:cs="宋体"/>
          <w:b/>
          <w:color w:val="auto"/>
          <w:sz w:val="24"/>
          <w:highlight w:val="none"/>
        </w:rPr>
        <w:t>2.16 合同中止、终止</w:t>
      </w:r>
      <w:bookmarkEnd w:id="236"/>
      <w:bookmarkEnd w:id="237"/>
      <w:bookmarkEnd w:id="238"/>
    </w:p>
    <w:p w14:paraId="27228BDC">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2.16.1 双方当事人不得擅自中止或者终止合同；</w:t>
      </w:r>
    </w:p>
    <w:p w14:paraId="3501D89A">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2.16.2合同继续履行将损害国家利益和社会公共利益的，双方当事人应当中止或者终止合同。有过错的一方应当承担赔偿责任，双方当事人都有过错的，各自承担相应的责任。</w:t>
      </w:r>
    </w:p>
    <w:p w14:paraId="3050C6AD">
      <w:pPr>
        <w:wordWrap w:val="0"/>
        <w:spacing w:line="360" w:lineRule="auto"/>
        <w:ind w:firstLine="482" w:firstLineChars="200"/>
        <w:rPr>
          <w:rFonts w:hint="eastAsia" w:ascii="宋体" w:hAnsi="宋体" w:cs="宋体"/>
          <w:b/>
          <w:color w:val="auto"/>
          <w:sz w:val="24"/>
          <w:highlight w:val="none"/>
        </w:rPr>
      </w:pPr>
      <w:bookmarkStart w:id="239" w:name="_Toc6596"/>
      <w:bookmarkStart w:id="240" w:name="_Toc14563"/>
      <w:bookmarkStart w:id="241" w:name="_Toc1125"/>
      <w:r>
        <w:rPr>
          <w:rFonts w:hint="eastAsia" w:ascii="宋体" w:hAnsi="宋体" w:cs="宋体"/>
          <w:b/>
          <w:color w:val="auto"/>
          <w:sz w:val="24"/>
          <w:highlight w:val="none"/>
        </w:rPr>
        <w:t>2.17 检验和验收</w:t>
      </w:r>
      <w:bookmarkEnd w:id="239"/>
      <w:bookmarkEnd w:id="240"/>
      <w:bookmarkEnd w:id="241"/>
    </w:p>
    <w:p w14:paraId="4DCF08DA">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2.17.1标的物交付前，乙方应对标的物的质量、数量等方面进行详细、全面的检验，并向甲方出具证明标的物符合合同约定的文件；标的物交付时，乙方在</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约定时间内组织验收，并可依法邀请相关方参加，验收应出具验收书。</w:t>
      </w:r>
    </w:p>
    <w:p w14:paraId="057853F5">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1C653A80">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2.17.3 检验和验收标准、程序等具体内容以及前述验收书的效力详见</w:t>
      </w:r>
      <w:r>
        <w:rPr>
          <w:rFonts w:hint="eastAsia" w:ascii="宋体" w:hAnsi="宋体" w:cs="宋体"/>
          <w:b/>
          <w:i/>
          <w:color w:val="auto"/>
          <w:sz w:val="24"/>
          <w:highlight w:val="none"/>
          <w:u w:val="single"/>
        </w:rPr>
        <w:t>合同专用条款</w:t>
      </w:r>
      <w:r>
        <w:rPr>
          <w:rFonts w:hint="eastAsia" w:ascii="宋体" w:hAnsi="宋体" w:cs="宋体"/>
          <w:i/>
          <w:color w:val="auto"/>
          <w:sz w:val="24"/>
          <w:highlight w:val="none"/>
        </w:rPr>
        <w:t>。</w:t>
      </w:r>
    </w:p>
    <w:bookmarkEnd w:id="211"/>
    <w:bookmarkEnd w:id="212"/>
    <w:bookmarkEnd w:id="213"/>
    <w:bookmarkEnd w:id="214"/>
    <w:p w14:paraId="1027FC9A">
      <w:pPr>
        <w:wordWrap w:val="0"/>
        <w:spacing w:line="360" w:lineRule="auto"/>
        <w:ind w:firstLine="482" w:firstLineChars="200"/>
        <w:rPr>
          <w:rFonts w:hint="eastAsia" w:ascii="宋体" w:hAnsi="宋体" w:cs="宋体"/>
          <w:b/>
          <w:color w:val="auto"/>
          <w:sz w:val="24"/>
          <w:highlight w:val="none"/>
        </w:rPr>
      </w:pPr>
      <w:bookmarkStart w:id="242" w:name="_Toc487900371"/>
      <w:bookmarkStart w:id="243" w:name="_Toc279701261"/>
      <w:bookmarkStart w:id="244" w:name="_Toc259093690"/>
      <w:bookmarkStart w:id="245" w:name="_Toc25182"/>
      <w:bookmarkStart w:id="246" w:name="_Toc11284"/>
      <w:bookmarkStart w:id="247" w:name="_Toc19604"/>
      <w:r>
        <w:rPr>
          <w:rFonts w:hint="eastAsia" w:ascii="宋体" w:hAnsi="宋体" w:cs="宋体"/>
          <w:b/>
          <w:color w:val="auto"/>
          <w:sz w:val="24"/>
          <w:highlight w:val="none"/>
        </w:rPr>
        <w:t>2.18 通知</w:t>
      </w:r>
      <w:bookmarkEnd w:id="242"/>
      <w:bookmarkEnd w:id="243"/>
      <w:bookmarkEnd w:id="244"/>
      <w:r>
        <w:rPr>
          <w:rFonts w:hint="eastAsia" w:ascii="宋体" w:hAnsi="宋体" w:cs="宋体"/>
          <w:b/>
          <w:color w:val="auto"/>
          <w:sz w:val="24"/>
          <w:highlight w:val="none"/>
        </w:rPr>
        <w:t>和送达</w:t>
      </w:r>
      <w:bookmarkEnd w:id="245"/>
      <w:bookmarkEnd w:id="246"/>
      <w:bookmarkEnd w:id="247"/>
    </w:p>
    <w:p w14:paraId="0024CE64">
      <w:pPr>
        <w:wordWrap w:val="0"/>
        <w:spacing w:line="360" w:lineRule="auto"/>
        <w:ind w:firstLine="480" w:firstLineChars="200"/>
        <w:rPr>
          <w:rFonts w:hint="eastAsia" w:ascii="宋体" w:hAnsi="宋体" w:cs="宋体"/>
          <w:color w:val="auto"/>
          <w:sz w:val="24"/>
          <w:highlight w:val="none"/>
        </w:rPr>
      </w:pPr>
      <w:bookmarkStart w:id="248" w:name="_Toc6698"/>
      <w:bookmarkStart w:id="249" w:name="_Toc3135"/>
      <w:bookmarkStart w:id="250" w:name="_Toc487900372"/>
      <w:bookmarkStart w:id="251" w:name="_Toc259093691"/>
      <w:bookmarkStart w:id="252" w:name="_Toc279701262"/>
      <w:r>
        <w:rPr>
          <w:rFonts w:hint="eastAsia" w:ascii="宋体" w:hAnsi="宋体" w:cs="宋体"/>
          <w:color w:val="auto"/>
          <w:sz w:val="24"/>
          <w:highlight w:val="none"/>
        </w:rPr>
        <w:t>2.18.1 任何一方因履行合同而以合同第一部分尾部所列明的</w:t>
      </w:r>
      <w:r>
        <w:rPr>
          <w:rFonts w:hint="eastAsia" w:ascii="宋体" w:hAnsi="宋体" w:cs="宋体"/>
          <w:color w:val="auto"/>
          <w:sz w:val="24"/>
          <w:highlight w:val="none"/>
          <w:u w:val="single"/>
        </w:rPr>
        <w:t>“约定送达地址”</w:t>
      </w:r>
      <w:r>
        <w:rPr>
          <w:rFonts w:hint="eastAsia" w:ascii="宋体" w:hAnsi="宋体" w:cs="宋体"/>
          <w:color w:val="auto"/>
          <w:sz w:val="24"/>
          <w:highlight w:val="none"/>
        </w:rPr>
        <w:t>为收件地址的所有通知、文件、材料，均视为已向对方当事人送达；任何一方变更上述送达方式或者地址的，应于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个工作日（根据项目实际情况填写）内书面通知对方当事人，在对方当事人收到有关变更通知之前，变更前的约定送达方式或者地址仍视为有效。</w:t>
      </w:r>
      <w:bookmarkEnd w:id="248"/>
      <w:bookmarkEnd w:id="249"/>
    </w:p>
    <w:p w14:paraId="6FF58361">
      <w:pPr>
        <w:wordWrap w:val="0"/>
        <w:spacing w:line="360" w:lineRule="auto"/>
        <w:ind w:firstLine="480" w:firstLineChars="200"/>
        <w:rPr>
          <w:rFonts w:hint="eastAsia" w:ascii="宋体" w:hAnsi="宋体" w:cs="宋体"/>
          <w:color w:val="auto"/>
          <w:sz w:val="24"/>
          <w:highlight w:val="none"/>
        </w:rPr>
      </w:pPr>
      <w:bookmarkStart w:id="253" w:name="_Toc23294"/>
      <w:bookmarkStart w:id="254" w:name="_Toc23128"/>
      <w:r>
        <w:rPr>
          <w:rFonts w:hint="eastAsia" w:ascii="宋体" w:hAnsi="宋体" w:cs="宋体"/>
          <w:color w:val="auto"/>
          <w:sz w:val="24"/>
          <w:highlight w:val="none"/>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253"/>
      <w:bookmarkEnd w:id="254"/>
    </w:p>
    <w:p w14:paraId="5F55414E">
      <w:pPr>
        <w:wordWrap w:val="0"/>
        <w:spacing w:line="360" w:lineRule="auto"/>
        <w:ind w:firstLine="482" w:firstLineChars="200"/>
        <w:rPr>
          <w:rFonts w:hint="eastAsia" w:ascii="宋体" w:hAnsi="宋体" w:cs="宋体"/>
          <w:b/>
          <w:color w:val="auto"/>
          <w:sz w:val="24"/>
          <w:highlight w:val="none"/>
        </w:rPr>
      </w:pPr>
      <w:bookmarkStart w:id="255" w:name="_Toc30599"/>
      <w:bookmarkStart w:id="256" w:name="_Toc4355"/>
      <w:bookmarkStart w:id="257" w:name="_Toc18540"/>
      <w:r>
        <w:rPr>
          <w:rFonts w:hint="eastAsia" w:ascii="宋体" w:hAnsi="宋体" w:cs="宋体"/>
          <w:b/>
          <w:color w:val="auto"/>
          <w:sz w:val="24"/>
          <w:highlight w:val="none"/>
        </w:rPr>
        <w:t>2.19 计量单位</w:t>
      </w:r>
      <w:bookmarkEnd w:id="250"/>
      <w:bookmarkEnd w:id="251"/>
      <w:bookmarkEnd w:id="252"/>
      <w:bookmarkEnd w:id="255"/>
      <w:bookmarkEnd w:id="256"/>
      <w:bookmarkEnd w:id="257"/>
    </w:p>
    <w:p w14:paraId="4177487A">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除技术规范中另有规定外,合同的计量单位均使用国家法定计量单位。</w:t>
      </w:r>
    </w:p>
    <w:p w14:paraId="11C47F9B">
      <w:pPr>
        <w:wordWrap w:val="0"/>
        <w:spacing w:line="360" w:lineRule="auto"/>
        <w:ind w:firstLine="482" w:firstLineChars="200"/>
        <w:rPr>
          <w:rFonts w:hint="eastAsia" w:ascii="宋体" w:hAnsi="宋体" w:cs="宋体"/>
          <w:b/>
          <w:color w:val="auto"/>
          <w:sz w:val="24"/>
          <w:highlight w:val="none"/>
        </w:rPr>
      </w:pPr>
      <w:bookmarkStart w:id="258" w:name="_Toc259093692"/>
      <w:bookmarkStart w:id="259" w:name="_Toc18567"/>
      <w:bookmarkStart w:id="260" w:name="_Toc279701263"/>
      <w:bookmarkStart w:id="261" w:name="_Toc12773"/>
      <w:bookmarkStart w:id="262" w:name="_Toc487900373"/>
      <w:bookmarkStart w:id="263" w:name="_Toc10330"/>
      <w:r>
        <w:rPr>
          <w:rFonts w:hint="eastAsia" w:ascii="宋体" w:hAnsi="宋体" w:cs="宋体"/>
          <w:b/>
          <w:color w:val="auto"/>
          <w:sz w:val="24"/>
          <w:highlight w:val="none"/>
        </w:rPr>
        <w:t>2.20 合同使用的文字和适用的法律</w:t>
      </w:r>
      <w:bookmarkEnd w:id="258"/>
      <w:bookmarkEnd w:id="259"/>
      <w:bookmarkEnd w:id="260"/>
      <w:bookmarkEnd w:id="261"/>
      <w:bookmarkEnd w:id="262"/>
      <w:bookmarkEnd w:id="263"/>
    </w:p>
    <w:p w14:paraId="6E905966">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2.20.1 合同使用汉语书就、变更和解释；</w:t>
      </w:r>
    </w:p>
    <w:p w14:paraId="4FEC5C05">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2.20.2 合同适用中华人民共和国法律。</w:t>
      </w:r>
    </w:p>
    <w:p w14:paraId="28DC5304">
      <w:pPr>
        <w:wordWrap w:val="0"/>
        <w:spacing w:line="360" w:lineRule="auto"/>
        <w:ind w:firstLine="482" w:firstLineChars="200"/>
        <w:rPr>
          <w:rFonts w:hint="eastAsia" w:ascii="宋体" w:hAnsi="宋体" w:cs="宋体"/>
          <w:b/>
          <w:color w:val="auto"/>
          <w:sz w:val="24"/>
          <w:highlight w:val="none"/>
        </w:rPr>
      </w:pPr>
      <w:bookmarkStart w:id="264" w:name="_Toc279701264"/>
      <w:bookmarkStart w:id="265" w:name="_Toc3148"/>
      <w:bookmarkStart w:id="266" w:name="_Toc16673"/>
      <w:bookmarkStart w:id="267" w:name="_Toc259093693"/>
      <w:bookmarkStart w:id="268" w:name="_Toc12004"/>
      <w:bookmarkStart w:id="269" w:name="_Toc487900374"/>
      <w:r>
        <w:rPr>
          <w:rFonts w:hint="eastAsia" w:ascii="宋体" w:hAnsi="宋体" w:cs="宋体"/>
          <w:b/>
          <w:color w:val="auto"/>
          <w:sz w:val="24"/>
          <w:highlight w:val="none"/>
        </w:rPr>
        <w:t>2.21 履约保证金</w:t>
      </w:r>
      <w:bookmarkEnd w:id="264"/>
      <w:bookmarkEnd w:id="265"/>
      <w:bookmarkEnd w:id="266"/>
      <w:bookmarkEnd w:id="267"/>
      <w:bookmarkEnd w:id="268"/>
    </w:p>
    <w:p w14:paraId="6E64F17C">
      <w:pPr>
        <w:wordWrap w:val="0"/>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color w:val="auto"/>
          <w:sz w:val="24"/>
          <w:highlight w:val="none"/>
        </w:rPr>
        <w:t>本项目不收取履约保证金</w:t>
      </w:r>
    </w:p>
    <w:p w14:paraId="7BCBD09D">
      <w:pPr>
        <w:wordWrap w:val="0"/>
        <w:spacing w:line="360" w:lineRule="auto"/>
        <w:ind w:firstLine="482" w:firstLineChars="200"/>
        <w:rPr>
          <w:rFonts w:hint="eastAsia" w:ascii="宋体" w:hAnsi="宋体" w:cs="宋体"/>
          <w:color w:val="auto"/>
          <w:kern w:val="0"/>
          <w:sz w:val="24"/>
          <w:highlight w:val="none"/>
          <w:lang w:val="zh-CN"/>
        </w:rPr>
      </w:pPr>
      <w:r>
        <w:rPr>
          <w:rFonts w:hint="eastAsia" w:ascii="宋体" w:hAnsi="宋体" w:cs="宋体"/>
          <w:b/>
          <w:color w:val="auto"/>
          <w:sz w:val="24"/>
          <w:highlight w:val="none"/>
        </w:rPr>
        <w:t>2.22 中小企业政策</w:t>
      </w:r>
    </w:p>
    <w:p w14:paraId="2926A271">
      <w:pPr>
        <w:wordWrap w:val="0"/>
        <w:spacing w:line="360" w:lineRule="auto"/>
        <w:ind w:firstLine="480" w:firstLineChars="20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2.22.1本合同（□是  □否）为中小企业“政采贷”可融资合同，关于中小企业信用融资事项见采购文件“投标人须知正文”。</w:t>
      </w:r>
    </w:p>
    <w:p w14:paraId="6B14DA21">
      <w:pPr>
        <w:wordWrap w:val="0"/>
        <w:spacing w:line="360" w:lineRule="auto"/>
        <w:ind w:firstLine="480" w:firstLineChars="20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2.22.2本合同（□是  □否）为中小企业预留合同。</w:t>
      </w:r>
    </w:p>
    <w:bookmarkEnd w:id="269"/>
    <w:p w14:paraId="65118C9E">
      <w:pPr>
        <w:wordWrap w:val="0"/>
        <w:spacing w:line="360" w:lineRule="auto"/>
        <w:ind w:firstLine="482" w:firstLineChars="200"/>
        <w:rPr>
          <w:rFonts w:hint="eastAsia" w:ascii="宋体" w:hAnsi="宋体" w:cs="宋体"/>
          <w:b/>
          <w:color w:val="auto"/>
          <w:sz w:val="24"/>
          <w:highlight w:val="none"/>
        </w:rPr>
      </w:pPr>
      <w:bookmarkStart w:id="270" w:name="_Toc14001"/>
      <w:bookmarkStart w:id="271" w:name="_Toc19890"/>
      <w:bookmarkStart w:id="272" w:name="_Toc6885"/>
      <w:r>
        <w:rPr>
          <w:rFonts w:hint="eastAsia" w:ascii="宋体" w:hAnsi="宋体" w:cs="宋体"/>
          <w:b/>
          <w:color w:val="auto"/>
          <w:sz w:val="24"/>
          <w:highlight w:val="none"/>
        </w:rPr>
        <w:t>2.23 合同份数</w:t>
      </w:r>
      <w:bookmarkEnd w:id="270"/>
      <w:bookmarkEnd w:id="271"/>
      <w:bookmarkEnd w:id="272"/>
    </w:p>
    <w:p w14:paraId="18594003">
      <w:pPr>
        <w:wordWrap w:val="0"/>
        <w:spacing w:line="360" w:lineRule="auto"/>
        <w:jc w:val="center"/>
        <w:rPr>
          <w:rFonts w:hint="eastAsia" w:ascii="宋体" w:hAnsi="宋体" w:cs="宋体"/>
          <w:b/>
          <w:color w:val="auto"/>
          <w:sz w:val="28"/>
          <w:szCs w:val="28"/>
          <w:highlight w:val="none"/>
        </w:rPr>
      </w:pPr>
      <w:r>
        <w:rPr>
          <w:rFonts w:hint="eastAsia" w:ascii="宋体" w:hAnsi="宋体"/>
          <w:color w:val="auto"/>
          <w:sz w:val="24"/>
          <w:highlight w:val="none"/>
        </w:rPr>
        <w:t>本合同壹式</w:t>
      </w:r>
      <w:r>
        <w:rPr>
          <w:rFonts w:hint="eastAsia" w:ascii="宋体" w:hAnsi="宋体"/>
          <w:color w:val="auto"/>
          <w:sz w:val="24"/>
          <w:highlight w:val="none"/>
          <w:u w:val="single"/>
        </w:rPr>
        <w:t xml:space="preserve">   </w:t>
      </w:r>
      <w:r>
        <w:rPr>
          <w:rFonts w:hint="eastAsia" w:ascii="宋体" w:hAnsi="宋体"/>
          <w:color w:val="auto"/>
          <w:sz w:val="24"/>
          <w:highlight w:val="none"/>
        </w:rPr>
        <w:t>份，甲方执</w:t>
      </w:r>
      <w:r>
        <w:rPr>
          <w:rFonts w:hint="eastAsia" w:ascii="宋体" w:hAnsi="宋体"/>
          <w:color w:val="auto"/>
          <w:sz w:val="24"/>
          <w:highlight w:val="none"/>
          <w:u w:val="single"/>
        </w:rPr>
        <w:t xml:space="preserve">   </w:t>
      </w:r>
      <w:r>
        <w:rPr>
          <w:rFonts w:hint="eastAsia" w:ascii="宋体" w:hAnsi="宋体"/>
          <w:color w:val="auto"/>
          <w:sz w:val="24"/>
          <w:highlight w:val="none"/>
        </w:rPr>
        <w:t>份，乙方执</w:t>
      </w:r>
      <w:r>
        <w:rPr>
          <w:rFonts w:hint="eastAsia" w:ascii="宋体" w:hAnsi="宋体"/>
          <w:color w:val="auto"/>
          <w:sz w:val="24"/>
          <w:highlight w:val="none"/>
          <w:u w:val="single"/>
        </w:rPr>
        <w:t xml:space="preserve">   </w:t>
      </w:r>
      <w:r>
        <w:rPr>
          <w:rFonts w:hint="eastAsia" w:ascii="宋体" w:hAnsi="宋体"/>
          <w:color w:val="auto"/>
          <w:sz w:val="24"/>
          <w:highlight w:val="none"/>
        </w:rPr>
        <w:t>份，代理机构执</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份。每份均具有同等法律效力。</w:t>
      </w:r>
      <w:r>
        <w:rPr>
          <w:rFonts w:hint="eastAsia" w:ascii="宋体" w:hAnsi="宋体" w:cs="宋体"/>
          <w:color w:val="auto"/>
          <w:highlight w:val="none"/>
        </w:rPr>
        <w:br w:type="page"/>
      </w:r>
      <w:bookmarkStart w:id="273" w:name="_Toc331685784"/>
      <w:r>
        <w:rPr>
          <w:rFonts w:hint="eastAsia" w:ascii="宋体" w:hAnsi="宋体" w:cs="宋体"/>
          <w:b/>
          <w:color w:val="auto"/>
          <w:sz w:val="28"/>
          <w:szCs w:val="28"/>
          <w:highlight w:val="none"/>
        </w:rPr>
        <w:t>第三部分  合同专用条款</w:t>
      </w:r>
      <w:bookmarkEnd w:id="273"/>
    </w:p>
    <w:p w14:paraId="12A1A486">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p w14:paraId="058D83CE">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3.1具有知识产权的标的物知识产权归属：</w:t>
      </w:r>
    </w:p>
    <w:p w14:paraId="388E9B91">
      <w:pPr>
        <w:wordWrap w:val="0"/>
        <w:spacing w:line="360" w:lineRule="auto"/>
        <w:ind w:firstLine="480" w:firstLineChars="200"/>
        <w:rPr>
          <w:rFonts w:hint="eastAsia" w:ascii="宋体" w:hAnsi="宋体" w:cs="宋体"/>
          <w:color w:val="auto"/>
          <w:sz w:val="24"/>
          <w:highlight w:val="none"/>
        </w:rPr>
      </w:pPr>
    </w:p>
    <w:p w14:paraId="1B3B4DEA">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3.2包装和装运专用条款（如果有）：</w:t>
      </w:r>
    </w:p>
    <w:p w14:paraId="625EFE57">
      <w:pPr>
        <w:wordWrap w:val="0"/>
        <w:spacing w:line="360" w:lineRule="auto"/>
        <w:ind w:firstLine="480" w:firstLineChars="200"/>
        <w:rPr>
          <w:rFonts w:hint="eastAsia" w:ascii="宋体" w:hAnsi="宋体" w:cs="宋体"/>
          <w:color w:val="auto"/>
          <w:sz w:val="24"/>
          <w:highlight w:val="none"/>
        </w:rPr>
      </w:pPr>
    </w:p>
    <w:p w14:paraId="0912F461">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3.3装运标的物的要求和通知：</w:t>
      </w:r>
    </w:p>
    <w:p w14:paraId="76284D11">
      <w:pPr>
        <w:wordWrap w:val="0"/>
        <w:spacing w:line="360" w:lineRule="auto"/>
        <w:ind w:firstLine="480" w:firstLineChars="200"/>
        <w:rPr>
          <w:rFonts w:hint="eastAsia" w:ascii="宋体" w:hAnsi="宋体" w:cs="宋体"/>
          <w:color w:val="auto"/>
          <w:sz w:val="24"/>
          <w:highlight w:val="none"/>
        </w:rPr>
      </w:pPr>
    </w:p>
    <w:p w14:paraId="73E22F8A">
      <w:pPr>
        <w:wordWrap w:val="0"/>
        <w:spacing w:line="360" w:lineRule="auto"/>
        <w:ind w:firstLine="480" w:firstLineChars="200"/>
        <w:rPr>
          <w:rFonts w:hint="eastAsia" w:ascii="宋体" w:hAnsi="宋体" w:cs="宋体"/>
          <w:b/>
          <w:color w:val="auto"/>
          <w:sz w:val="24"/>
          <w:highlight w:val="none"/>
        </w:rPr>
      </w:pPr>
      <w:bookmarkStart w:id="274" w:name="_Hlk162970729"/>
      <w:r>
        <w:rPr>
          <w:rFonts w:hint="eastAsia" w:ascii="宋体" w:hAnsi="宋体" w:cs="宋体"/>
          <w:color w:val="auto"/>
          <w:sz w:val="24"/>
          <w:highlight w:val="none"/>
        </w:rPr>
        <w:t>3.4</w:t>
      </w:r>
      <w:r>
        <w:rPr>
          <w:rFonts w:hint="eastAsia" w:ascii="宋体" w:hAnsi="宋体" w:cs="宋体"/>
          <w:b/>
          <w:color w:val="auto"/>
          <w:sz w:val="24"/>
          <w:highlight w:val="none"/>
        </w:rPr>
        <w:t>结算方式和付款条件</w:t>
      </w:r>
    </w:p>
    <w:p w14:paraId="7DA631E5">
      <w:pPr>
        <w:wordWrap w:val="0"/>
        <w:spacing w:line="360" w:lineRule="auto"/>
        <w:ind w:firstLine="480" w:firstLineChars="20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本次项目合同总价为大写人民币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 xml:space="preserve">    元）。</w:t>
      </w:r>
    </w:p>
    <w:bookmarkEnd w:id="274"/>
    <w:p w14:paraId="21E79E5C">
      <w:pPr>
        <w:wordWrap w:val="0"/>
        <w:spacing w:line="360" w:lineRule="auto"/>
        <w:ind w:firstLine="480" w:firstLineChars="20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本项目采用以下勾选结算方式进行支付：</w:t>
      </w:r>
    </w:p>
    <w:p w14:paraId="6DDC042E">
      <w:pPr>
        <w:wordWrap w:val="0"/>
        <w:spacing w:line="360" w:lineRule="auto"/>
        <w:ind w:firstLine="480" w:firstLineChars="20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□采用一次性支付方式，付款条件为：</w:t>
      </w:r>
      <w:r>
        <w:rPr>
          <w:rFonts w:hint="eastAsia" w:ascii="宋体" w:hAnsi="宋体" w:cs="宋体"/>
          <w:color w:val="auto"/>
          <w:kern w:val="0"/>
          <w:sz w:val="24"/>
          <w:highlight w:val="none"/>
          <w:u w:val="single"/>
        </w:rPr>
        <w:t xml:space="preserve">           </w:t>
      </w:r>
    </w:p>
    <w:p w14:paraId="3A43CEE4">
      <w:pPr>
        <w:wordWrap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□采用分期付款方式，付款条件为</w:t>
      </w:r>
      <w:r>
        <w:rPr>
          <w:rFonts w:hint="eastAsia" w:ascii="宋体" w:hAnsi="宋体" w:cs="宋体"/>
          <w:color w:val="auto"/>
          <w:kern w:val="0"/>
          <w:sz w:val="24"/>
          <w:highlight w:val="none"/>
        </w:rPr>
        <w:t>：</w:t>
      </w:r>
    </w:p>
    <w:p w14:paraId="375D4B29">
      <w:pPr>
        <w:wordWrap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第一期付款</w:t>
      </w:r>
      <w:r>
        <w:rPr>
          <w:rFonts w:hint="eastAsia" w:ascii="宋体" w:hAnsi="宋体" w:cs="宋体"/>
          <w:color w:val="auto"/>
          <w:kern w:val="0"/>
          <w:sz w:val="24"/>
          <w:highlight w:val="none"/>
        </w:rPr>
        <w:t>：</w:t>
      </w:r>
      <w:r>
        <w:rPr>
          <w:rFonts w:hint="eastAsia" w:ascii="宋体" w:hAnsi="宋体" w:cs="宋体"/>
          <w:color w:val="auto"/>
          <w:kern w:val="0"/>
          <w:sz w:val="24"/>
          <w:highlight w:val="none"/>
          <w:u w:val="single"/>
        </w:rPr>
        <w:t xml:space="preserve">                                        </w:t>
      </w:r>
    </w:p>
    <w:p w14:paraId="4A02F5D9">
      <w:pPr>
        <w:wordWrap w:val="0"/>
        <w:spacing w:line="360" w:lineRule="auto"/>
        <w:ind w:firstLine="480" w:firstLineChars="200"/>
        <w:rPr>
          <w:rFonts w:hint="eastAsia" w:ascii="宋体" w:hAnsi="宋体" w:cs="宋体"/>
          <w:color w:val="auto"/>
          <w:kern w:val="0"/>
          <w:sz w:val="24"/>
          <w:highlight w:val="none"/>
          <w:u w:val="single"/>
        </w:rPr>
      </w:pPr>
      <w:r>
        <w:rPr>
          <w:rFonts w:hint="eastAsia" w:ascii="宋体" w:hAnsi="宋体" w:cs="宋体"/>
          <w:color w:val="auto"/>
          <w:kern w:val="0"/>
          <w:sz w:val="24"/>
          <w:highlight w:val="none"/>
          <w:lang w:val="zh-CN"/>
        </w:rPr>
        <w:t>第</w:t>
      </w:r>
      <w:r>
        <w:rPr>
          <w:rFonts w:hint="eastAsia" w:ascii="宋体" w:hAnsi="宋体" w:cs="宋体"/>
          <w:color w:val="auto"/>
          <w:kern w:val="0"/>
          <w:sz w:val="24"/>
          <w:highlight w:val="none"/>
        </w:rPr>
        <w:t>二</w:t>
      </w:r>
      <w:r>
        <w:rPr>
          <w:rFonts w:hint="eastAsia" w:ascii="宋体" w:hAnsi="宋体" w:cs="宋体"/>
          <w:color w:val="auto"/>
          <w:kern w:val="0"/>
          <w:sz w:val="24"/>
          <w:highlight w:val="none"/>
          <w:lang w:val="zh-CN"/>
        </w:rPr>
        <w:t>期付款</w:t>
      </w:r>
      <w:r>
        <w:rPr>
          <w:rFonts w:hint="eastAsia" w:ascii="宋体" w:hAnsi="宋体" w:cs="宋体"/>
          <w:color w:val="auto"/>
          <w:kern w:val="0"/>
          <w:sz w:val="24"/>
          <w:highlight w:val="none"/>
        </w:rPr>
        <w:t>：</w:t>
      </w:r>
      <w:r>
        <w:rPr>
          <w:rFonts w:hint="eastAsia" w:ascii="宋体" w:hAnsi="宋体" w:cs="宋体"/>
          <w:color w:val="auto"/>
          <w:kern w:val="0"/>
          <w:sz w:val="24"/>
          <w:highlight w:val="none"/>
          <w:u w:val="single"/>
        </w:rPr>
        <w:t xml:space="preserve">                                        </w:t>
      </w:r>
    </w:p>
    <w:p w14:paraId="62D56084">
      <w:pPr>
        <w:wordWrap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w:t>
      </w:r>
    </w:p>
    <w:p w14:paraId="4B286872">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甲方无故逾期支付服务费用的，按照每逾期一日支付欠付服务费额度的（根据项目实际填写，一般为万分之五）</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承担违约责任，违约金上限按照《合同书》约定执行。</w:t>
      </w:r>
    </w:p>
    <w:p w14:paraId="6738A7C6">
      <w:pPr>
        <w:wordWrap w:val="0"/>
        <w:spacing w:line="360" w:lineRule="auto"/>
        <w:ind w:firstLine="480" w:firstLineChars="200"/>
        <w:rPr>
          <w:rFonts w:hint="eastAsia" w:ascii="宋体" w:hAnsi="宋体" w:cs="宋体"/>
          <w:b/>
          <w:color w:val="auto"/>
          <w:sz w:val="24"/>
          <w:highlight w:val="none"/>
        </w:rPr>
      </w:pPr>
      <w:r>
        <w:rPr>
          <w:rFonts w:hint="eastAsia" w:ascii="宋体" w:hAnsi="宋体" w:cs="宋体"/>
          <w:color w:val="auto"/>
          <w:sz w:val="24"/>
          <w:highlight w:val="none"/>
        </w:rPr>
        <w:t>3.5</w:t>
      </w:r>
      <w:r>
        <w:rPr>
          <w:rFonts w:hint="eastAsia" w:ascii="宋体" w:hAnsi="宋体" w:cs="宋体"/>
          <w:b/>
          <w:color w:val="auto"/>
          <w:sz w:val="24"/>
          <w:highlight w:val="none"/>
        </w:rPr>
        <w:t>标的物的风险负担</w:t>
      </w:r>
    </w:p>
    <w:p w14:paraId="2AF2AA42">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标的物或者在途标的物或者交付给第一承运人后的标的物毁损、灭失的风险负担：</w:t>
      </w:r>
    </w:p>
    <w:p w14:paraId="2B3508FD">
      <w:pPr>
        <w:wordWrap w:val="0"/>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rPr>
        <w:t xml:space="preserve">乙方                                                                       </w:t>
      </w:r>
    </w:p>
    <w:p w14:paraId="3ED1D477">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3.5.1受不可抗力影响的一方在不可抗力发生后，应在日内（根据项目实际填写）以书面形式通知对方当事人，并在日内，将有关部门出具的证明文件送达对方当事人。</w:t>
      </w:r>
    </w:p>
    <w:p w14:paraId="0D67C905">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3.5.2因不可抗力致使合同有变更必要的，双方当事人应在日内（根据项目实际填写）以书面形式变更合同；</w:t>
      </w:r>
    </w:p>
    <w:p w14:paraId="6457FAD9">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3.5.3标的物交付前，乙方应对标的物的质量、数量等方面进行详细、全面的检验，并向甲方出具证明标的物符合合同约定的文件；标的物交付时，乙方在日内发（根据项目实际填写）起验收，并可依法邀请相关方参加，验收应出具验收书。</w:t>
      </w:r>
    </w:p>
    <w:p w14:paraId="16699BF0">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3.5.4 检验和验收标准、程序等具体内容以及前述验收书的效力：</w:t>
      </w:r>
    </w:p>
    <w:p w14:paraId="2AEFB7ED">
      <w:pPr>
        <w:wordWrap w:val="0"/>
        <w:spacing w:line="360" w:lineRule="auto"/>
        <w:ind w:firstLine="480" w:firstLineChars="200"/>
        <w:rPr>
          <w:rFonts w:hint="eastAsia" w:ascii="宋体" w:hAnsi="宋体" w:cs="宋体"/>
          <w:color w:val="auto"/>
          <w:sz w:val="24"/>
          <w:highlight w:val="none"/>
        </w:rPr>
      </w:pPr>
    </w:p>
    <w:p w14:paraId="2D98C325">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3.5.5 其他：</w:t>
      </w:r>
    </w:p>
    <w:p w14:paraId="13096356">
      <w:pPr>
        <w:wordWrap w:val="0"/>
        <w:spacing w:line="360" w:lineRule="auto"/>
        <w:ind w:firstLine="480" w:firstLineChars="200"/>
        <w:rPr>
          <w:rFonts w:hint="eastAsia" w:ascii="宋体" w:hAnsi="宋体" w:cs="宋体"/>
          <w:b/>
          <w:color w:val="auto"/>
          <w:sz w:val="24"/>
          <w:highlight w:val="none"/>
        </w:rPr>
      </w:pPr>
      <w:r>
        <w:rPr>
          <w:rFonts w:hint="eastAsia" w:ascii="宋体" w:hAnsi="宋体" w:cs="宋体"/>
          <w:color w:val="auto"/>
          <w:sz w:val="24"/>
          <w:highlight w:val="none"/>
        </w:rPr>
        <w:t>3.6</w:t>
      </w:r>
      <w:r>
        <w:rPr>
          <w:rFonts w:hint="eastAsia" w:ascii="宋体" w:hAnsi="宋体" w:cs="宋体"/>
          <w:b/>
          <w:color w:val="auto"/>
          <w:sz w:val="24"/>
          <w:highlight w:val="none"/>
        </w:rPr>
        <w:t>项目验收：</w:t>
      </w:r>
    </w:p>
    <w:p w14:paraId="599C9070">
      <w:pPr>
        <w:tabs>
          <w:tab w:val="left" w:pos="904"/>
        </w:tabs>
        <w:wordWrap w:val="0"/>
        <w:snapToGri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3.6.1甲方参照《南宁市政府采购供应商履约验收评价管理办法》（南财采[2019]217号）规定组织对乙方履约的验收。验收方成员应当在验收书上签字，并承担相应的法律责任。如果发现与合同中要求不符，乙方须承担由此发生的一切损失和费用，并接受相应的处理。</w:t>
      </w:r>
    </w:p>
    <w:p w14:paraId="5278C83B">
      <w:pPr>
        <w:tabs>
          <w:tab w:val="left" w:pos="904"/>
        </w:tabs>
        <w:wordWrap w:val="0"/>
        <w:snapToGri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3.6.2严格按照采购合同开展履约验收。甲方成立验收小组，按照采购合同的约定对供应商履约情况进行验收，验收时，按照采购合同的约定对每一项技术、服务、安全标准的履约情况进行确认，出具验收报告并经验收小组全体成员签字。甲方根据验收报告形成验收意见并经甲方与乙方签字盖章生效。验收结果与采购合同约定的资金支付条件挂钩。履约验收的各项资料应当存档备查。</w:t>
      </w:r>
    </w:p>
    <w:p w14:paraId="64236E0A">
      <w:pPr>
        <w:tabs>
          <w:tab w:val="left" w:pos="904"/>
        </w:tabs>
        <w:wordWrap w:val="0"/>
        <w:snapToGri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3.6.3验收合格的项目，甲方将根据采购合同的约定及时向供应商支付采购资金。验收不合格的项目，甲方将依法及时处理。采购合同的履行、违约责任和解决争议的方式等适用《中华人民共和国民法典》，并按照《合同书》约定执行。</w:t>
      </w:r>
    </w:p>
    <w:p w14:paraId="226E7C2F">
      <w:pPr>
        <w:tabs>
          <w:tab w:val="left" w:pos="904"/>
        </w:tabs>
        <w:wordWrap w:val="0"/>
        <w:snapToGri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3.6.4验收产生的费用：</w:t>
      </w:r>
    </w:p>
    <w:p w14:paraId="34D1B19D">
      <w:pPr>
        <w:tabs>
          <w:tab w:val="left" w:pos="904"/>
        </w:tabs>
        <w:wordWrap w:val="0"/>
        <w:snapToGri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olor w:val="auto"/>
          <w:sz w:val="24"/>
          <w:highlight w:val="none"/>
        </w:rPr>
        <w:t>验收产生的费用由乙方承担。</w:t>
      </w:r>
    </w:p>
    <w:p w14:paraId="744ABE9C">
      <w:pPr>
        <w:tabs>
          <w:tab w:val="left" w:pos="904"/>
        </w:tabs>
        <w:wordWrap w:val="0"/>
        <w:snapToGri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3.6.5验收内容及资料要求：</w:t>
      </w:r>
    </w:p>
    <w:p w14:paraId="4B689D44">
      <w:pPr>
        <w:tabs>
          <w:tab w:val="left" w:pos="904"/>
        </w:tabs>
        <w:wordWrap w:val="0"/>
        <w:snapToGri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根根据采购文件确定的技术指标或者服务要求确定验收指标和标准。未进行相应约定的，应当符合国家强制性规定、政策要求、安全标准、行业或企业有关标准等。</w:t>
      </w:r>
    </w:p>
    <w:p w14:paraId="34630A31">
      <w:pPr>
        <w:tabs>
          <w:tab w:val="left" w:pos="904"/>
        </w:tabs>
        <w:wordWrap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kern w:val="0"/>
          <w:sz w:val="24"/>
          <w:highlight w:val="none"/>
        </w:rPr>
        <w:t>3.6.6</w:t>
      </w:r>
      <w:r>
        <w:rPr>
          <w:rFonts w:hint="eastAsia" w:ascii="宋体" w:hAnsi="宋体" w:cs="宋体"/>
          <w:color w:val="auto"/>
          <w:sz w:val="24"/>
          <w:highlight w:val="none"/>
        </w:rPr>
        <w:t>验收内容</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
        <w:gridCol w:w="1814"/>
        <w:gridCol w:w="5621"/>
      </w:tblGrid>
      <w:tr w14:paraId="38E6D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7" w:type="dxa"/>
            <w:vAlign w:val="center"/>
          </w:tcPr>
          <w:p w14:paraId="4B889EBC">
            <w:pPr>
              <w:widowControl/>
              <w:spacing w:line="360" w:lineRule="auto"/>
              <w:rPr>
                <w:rFonts w:hint="eastAsia" w:ascii="宋体" w:hAnsi="宋体" w:cs="仿宋"/>
                <w:bCs/>
                <w:color w:val="auto"/>
                <w:kern w:val="0"/>
                <w:sz w:val="24"/>
                <w:highlight w:val="none"/>
              </w:rPr>
            </w:pPr>
            <w:r>
              <w:rPr>
                <w:rFonts w:hint="eastAsia" w:ascii="宋体" w:hAnsi="宋体" w:cs="仿宋"/>
                <w:bCs/>
                <w:color w:val="auto"/>
                <w:kern w:val="0"/>
                <w:sz w:val="24"/>
                <w:highlight w:val="none"/>
              </w:rPr>
              <w:t>序号</w:t>
            </w:r>
          </w:p>
        </w:tc>
        <w:tc>
          <w:tcPr>
            <w:tcW w:w="1814" w:type="dxa"/>
            <w:vAlign w:val="center"/>
          </w:tcPr>
          <w:p w14:paraId="16D3976D">
            <w:pPr>
              <w:widowControl/>
              <w:spacing w:line="360" w:lineRule="auto"/>
              <w:ind w:firstLine="480"/>
              <w:jc w:val="center"/>
              <w:rPr>
                <w:rFonts w:hint="eastAsia" w:ascii="宋体" w:hAnsi="宋体" w:cs="仿宋"/>
                <w:bCs/>
                <w:color w:val="auto"/>
                <w:kern w:val="0"/>
                <w:sz w:val="24"/>
                <w:highlight w:val="none"/>
              </w:rPr>
            </w:pPr>
            <w:r>
              <w:rPr>
                <w:rFonts w:hint="eastAsia" w:ascii="宋体" w:hAnsi="宋体" w:cs="仿宋"/>
                <w:bCs/>
                <w:color w:val="auto"/>
                <w:kern w:val="0"/>
                <w:sz w:val="24"/>
                <w:highlight w:val="none"/>
              </w:rPr>
              <w:t>验收内容</w:t>
            </w:r>
          </w:p>
        </w:tc>
        <w:tc>
          <w:tcPr>
            <w:tcW w:w="5621" w:type="dxa"/>
            <w:vAlign w:val="center"/>
          </w:tcPr>
          <w:p w14:paraId="2434A385">
            <w:pPr>
              <w:widowControl/>
              <w:spacing w:line="360" w:lineRule="auto"/>
              <w:ind w:firstLine="480"/>
              <w:jc w:val="center"/>
              <w:rPr>
                <w:rFonts w:hint="eastAsia" w:ascii="宋体" w:hAnsi="宋体" w:cs="仿宋"/>
                <w:bCs/>
                <w:color w:val="auto"/>
                <w:kern w:val="0"/>
                <w:sz w:val="24"/>
                <w:highlight w:val="none"/>
              </w:rPr>
            </w:pPr>
            <w:r>
              <w:rPr>
                <w:rFonts w:hint="eastAsia" w:ascii="宋体" w:hAnsi="宋体" w:cs="仿宋"/>
                <w:bCs/>
                <w:color w:val="auto"/>
                <w:kern w:val="0"/>
                <w:sz w:val="24"/>
                <w:highlight w:val="none"/>
              </w:rPr>
              <w:t xml:space="preserve"> 验收标准</w:t>
            </w:r>
          </w:p>
        </w:tc>
      </w:tr>
      <w:tr w14:paraId="34A6E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637" w:type="dxa"/>
            <w:vAlign w:val="center"/>
          </w:tcPr>
          <w:p w14:paraId="6BF5E290">
            <w:pPr>
              <w:widowControl/>
              <w:spacing w:line="360" w:lineRule="auto"/>
              <w:rPr>
                <w:rFonts w:hint="eastAsia" w:ascii="宋体" w:hAnsi="宋体" w:cs="仿宋"/>
                <w:bCs/>
                <w:color w:val="auto"/>
                <w:kern w:val="0"/>
                <w:sz w:val="24"/>
                <w:highlight w:val="none"/>
              </w:rPr>
            </w:pPr>
            <w:r>
              <w:rPr>
                <w:rFonts w:hint="eastAsia" w:ascii="宋体" w:hAnsi="宋体" w:cs="仿宋"/>
                <w:bCs/>
                <w:color w:val="auto"/>
                <w:kern w:val="0"/>
                <w:sz w:val="24"/>
                <w:highlight w:val="none"/>
              </w:rPr>
              <w:t>1</w:t>
            </w:r>
          </w:p>
        </w:tc>
        <w:tc>
          <w:tcPr>
            <w:tcW w:w="1814" w:type="dxa"/>
            <w:vAlign w:val="center"/>
          </w:tcPr>
          <w:p w14:paraId="286B87C1">
            <w:pPr>
              <w:widowControl/>
              <w:spacing w:line="360" w:lineRule="auto"/>
              <w:ind w:firstLine="200"/>
              <w:jc w:val="center"/>
              <w:rPr>
                <w:rFonts w:hint="eastAsia" w:ascii="宋体" w:hAnsi="宋体" w:cs="仿宋"/>
                <w:bCs/>
                <w:color w:val="auto"/>
                <w:kern w:val="0"/>
                <w:sz w:val="24"/>
                <w:highlight w:val="none"/>
              </w:rPr>
            </w:pPr>
            <w:r>
              <w:rPr>
                <w:rFonts w:hint="eastAsia" w:ascii="宋体" w:hAnsi="宋体" w:cs="仿宋"/>
                <w:bCs/>
                <w:color w:val="auto"/>
                <w:kern w:val="0"/>
                <w:sz w:val="24"/>
                <w:highlight w:val="none"/>
              </w:rPr>
              <w:t>服务的数量</w:t>
            </w:r>
          </w:p>
        </w:tc>
        <w:tc>
          <w:tcPr>
            <w:tcW w:w="5621" w:type="dxa"/>
            <w:vAlign w:val="center"/>
          </w:tcPr>
          <w:p w14:paraId="4E9CBF31">
            <w:pPr>
              <w:widowControl/>
              <w:spacing w:line="360" w:lineRule="auto"/>
              <w:ind w:firstLine="200"/>
              <w:jc w:val="center"/>
              <w:rPr>
                <w:rFonts w:hint="eastAsia" w:ascii="宋体" w:hAnsi="宋体" w:cs="仿宋"/>
                <w:color w:val="auto"/>
                <w:kern w:val="0"/>
                <w:sz w:val="24"/>
                <w:highlight w:val="none"/>
              </w:rPr>
            </w:pPr>
            <w:r>
              <w:rPr>
                <w:rFonts w:hint="eastAsia" w:ascii="宋体" w:hAnsi="宋体" w:cs="仿宋"/>
                <w:color w:val="auto"/>
                <w:kern w:val="0"/>
                <w:sz w:val="24"/>
                <w:highlight w:val="none"/>
              </w:rPr>
              <w:t>按项目招标文件要求和投标（响应）文件执行</w:t>
            </w:r>
          </w:p>
        </w:tc>
      </w:tr>
      <w:tr w14:paraId="0CDA5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637" w:type="dxa"/>
            <w:vAlign w:val="center"/>
          </w:tcPr>
          <w:p w14:paraId="647AAD77">
            <w:pPr>
              <w:widowControl/>
              <w:spacing w:line="360" w:lineRule="auto"/>
              <w:rPr>
                <w:rFonts w:hint="eastAsia" w:ascii="宋体" w:hAnsi="宋体" w:cs="仿宋"/>
                <w:bCs/>
                <w:color w:val="auto"/>
                <w:kern w:val="0"/>
                <w:sz w:val="24"/>
                <w:highlight w:val="none"/>
              </w:rPr>
            </w:pPr>
            <w:r>
              <w:rPr>
                <w:rFonts w:hint="eastAsia" w:ascii="宋体" w:hAnsi="宋体" w:cs="仿宋"/>
                <w:bCs/>
                <w:color w:val="auto"/>
                <w:kern w:val="0"/>
                <w:sz w:val="24"/>
                <w:highlight w:val="none"/>
              </w:rPr>
              <w:t>2</w:t>
            </w:r>
          </w:p>
        </w:tc>
        <w:tc>
          <w:tcPr>
            <w:tcW w:w="1814" w:type="dxa"/>
            <w:vAlign w:val="center"/>
          </w:tcPr>
          <w:p w14:paraId="6C3120BF">
            <w:pPr>
              <w:widowControl/>
              <w:spacing w:line="360" w:lineRule="auto"/>
              <w:ind w:firstLine="200"/>
              <w:jc w:val="center"/>
              <w:rPr>
                <w:rFonts w:hint="eastAsia" w:ascii="宋体" w:hAnsi="宋体" w:cs="仿宋"/>
                <w:bCs/>
                <w:color w:val="auto"/>
                <w:kern w:val="0"/>
                <w:sz w:val="24"/>
                <w:highlight w:val="none"/>
              </w:rPr>
            </w:pPr>
            <w:r>
              <w:rPr>
                <w:rFonts w:hint="eastAsia" w:ascii="宋体" w:hAnsi="宋体" w:cs="仿宋"/>
                <w:bCs/>
                <w:color w:val="auto"/>
                <w:kern w:val="0"/>
                <w:sz w:val="24"/>
                <w:highlight w:val="none"/>
              </w:rPr>
              <w:t>服务标的的质量文件</w:t>
            </w:r>
          </w:p>
        </w:tc>
        <w:tc>
          <w:tcPr>
            <w:tcW w:w="5621" w:type="dxa"/>
            <w:vAlign w:val="center"/>
          </w:tcPr>
          <w:p w14:paraId="31AE1F34">
            <w:pPr>
              <w:widowControl/>
              <w:spacing w:line="360" w:lineRule="auto"/>
              <w:ind w:firstLine="200"/>
              <w:jc w:val="center"/>
              <w:rPr>
                <w:rFonts w:hint="eastAsia" w:ascii="宋体" w:hAnsi="宋体" w:cs="仿宋"/>
                <w:color w:val="auto"/>
                <w:kern w:val="0"/>
                <w:sz w:val="24"/>
                <w:highlight w:val="none"/>
              </w:rPr>
            </w:pPr>
            <w:r>
              <w:rPr>
                <w:rFonts w:hint="eastAsia" w:ascii="宋体" w:hAnsi="宋体" w:cs="仿宋"/>
                <w:color w:val="auto"/>
                <w:kern w:val="0"/>
                <w:sz w:val="24"/>
                <w:highlight w:val="none"/>
              </w:rPr>
              <w:t>按项目招标文件要求和投标（响应）文件执行</w:t>
            </w:r>
          </w:p>
        </w:tc>
      </w:tr>
      <w:tr w14:paraId="35E53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637" w:type="dxa"/>
            <w:vAlign w:val="center"/>
          </w:tcPr>
          <w:p w14:paraId="082D1D3E">
            <w:pPr>
              <w:widowControl/>
              <w:spacing w:line="360" w:lineRule="auto"/>
              <w:rPr>
                <w:rFonts w:hint="eastAsia" w:ascii="宋体" w:hAnsi="宋体" w:cs="仿宋"/>
                <w:bCs/>
                <w:color w:val="auto"/>
                <w:kern w:val="0"/>
                <w:sz w:val="24"/>
                <w:highlight w:val="none"/>
              </w:rPr>
            </w:pPr>
            <w:r>
              <w:rPr>
                <w:rFonts w:ascii="宋体" w:hAnsi="宋体" w:cs="仿宋"/>
                <w:bCs/>
                <w:color w:val="auto"/>
                <w:kern w:val="0"/>
                <w:sz w:val="24"/>
                <w:highlight w:val="none"/>
              </w:rPr>
              <w:t>3</w:t>
            </w:r>
          </w:p>
        </w:tc>
        <w:tc>
          <w:tcPr>
            <w:tcW w:w="1814" w:type="dxa"/>
            <w:vAlign w:val="center"/>
          </w:tcPr>
          <w:p w14:paraId="187C7987">
            <w:pPr>
              <w:spacing w:line="360" w:lineRule="auto"/>
              <w:ind w:firstLine="200"/>
              <w:jc w:val="center"/>
              <w:rPr>
                <w:rFonts w:hint="eastAsia" w:ascii="宋体" w:hAnsi="宋体" w:cs="仿宋"/>
                <w:bCs/>
                <w:color w:val="auto"/>
                <w:kern w:val="0"/>
                <w:sz w:val="24"/>
                <w:highlight w:val="none"/>
              </w:rPr>
            </w:pPr>
            <w:r>
              <w:rPr>
                <w:rFonts w:hint="eastAsia" w:ascii="宋体" w:hAnsi="宋体" w:cs="仿宋"/>
                <w:bCs/>
                <w:color w:val="auto"/>
                <w:kern w:val="0"/>
                <w:sz w:val="24"/>
                <w:highlight w:val="none"/>
              </w:rPr>
              <w:t xml:space="preserve">服务标的技术、性能指标 </w:t>
            </w:r>
          </w:p>
        </w:tc>
        <w:tc>
          <w:tcPr>
            <w:tcW w:w="5621" w:type="dxa"/>
            <w:vAlign w:val="center"/>
          </w:tcPr>
          <w:p w14:paraId="1D031D5D">
            <w:pPr>
              <w:spacing w:line="360" w:lineRule="auto"/>
              <w:ind w:firstLine="480" w:firstLineChars="200"/>
              <w:jc w:val="left"/>
              <w:rPr>
                <w:rFonts w:hint="eastAsia" w:ascii="宋体" w:hAnsi="宋体" w:cs="仿宋"/>
                <w:color w:val="auto"/>
                <w:highlight w:val="none"/>
              </w:rPr>
            </w:pPr>
            <w:r>
              <w:rPr>
                <w:rFonts w:hint="eastAsia" w:ascii="宋体" w:hAnsi="宋体" w:cs="仿宋"/>
                <w:color w:val="auto"/>
                <w:kern w:val="0"/>
                <w:sz w:val="24"/>
                <w:highlight w:val="none"/>
              </w:rPr>
              <w:t>按项目招标文件要求和投标（响应）文件执行</w:t>
            </w:r>
          </w:p>
        </w:tc>
      </w:tr>
      <w:tr w14:paraId="71633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637" w:type="dxa"/>
            <w:vAlign w:val="center"/>
          </w:tcPr>
          <w:p w14:paraId="17ECCD93">
            <w:pPr>
              <w:widowControl/>
              <w:spacing w:line="360" w:lineRule="auto"/>
              <w:rPr>
                <w:rFonts w:hint="eastAsia" w:ascii="宋体" w:hAnsi="宋体" w:cs="仿宋"/>
                <w:color w:val="auto"/>
                <w:kern w:val="0"/>
                <w:sz w:val="24"/>
                <w:highlight w:val="none"/>
              </w:rPr>
            </w:pPr>
            <w:r>
              <w:rPr>
                <w:rFonts w:ascii="宋体" w:hAnsi="宋体" w:cs="仿宋"/>
                <w:color w:val="auto"/>
                <w:kern w:val="0"/>
                <w:sz w:val="24"/>
                <w:highlight w:val="none"/>
              </w:rPr>
              <w:t>4</w:t>
            </w:r>
          </w:p>
        </w:tc>
        <w:tc>
          <w:tcPr>
            <w:tcW w:w="1814" w:type="dxa"/>
            <w:vAlign w:val="center"/>
          </w:tcPr>
          <w:p w14:paraId="5929AA23">
            <w:pPr>
              <w:spacing w:line="360" w:lineRule="auto"/>
              <w:ind w:firstLine="200"/>
              <w:jc w:val="center"/>
              <w:rPr>
                <w:rFonts w:hint="eastAsia" w:ascii="宋体" w:hAnsi="宋体" w:cs="仿宋"/>
                <w:color w:val="auto"/>
                <w:sz w:val="24"/>
                <w:highlight w:val="none"/>
              </w:rPr>
            </w:pPr>
            <w:r>
              <w:rPr>
                <w:rFonts w:hint="eastAsia" w:ascii="宋体" w:hAnsi="宋体" w:cs="仿宋"/>
                <w:color w:val="auto"/>
                <w:sz w:val="24"/>
                <w:highlight w:val="none"/>
              </w:rPr>
              <w:t>售后服务</w:t>
            </w:r>
          </w:p>
          <w:p w14:paraId="6CDC26DC">
            <w:pPr>
              <w:widowControl/>
              <w:spacing w:line="360" w:lineRule="auto"/>
              <w:ind w:firstLine="200"/>
              <w:jc w:val="center"/>
              <w:rPr>
                <w:rFonts w:hint="eastAsia" w:ascii="宋体" w:hAnsi="宋体" w:cs="仿宋"/>
                <w:bCs/>
                <w:color w:val="auto"/>
                <w:kern w:val="0"/>
                <w:sz w:val="24"/>
                <w:highlight w:val="none"/>
              </w:rPr>
            </w:pPr>
            <w:r>
              <w:rPr>
                <w:rFonts w:hint="eastAsia" w:ascii="宋体" w:hAnsi="宋体" w:cs="仿宋"/>
                <w:color w:val="auto"/>
                <w:sz w:val="24"/>
                <w:highlight w:val="none"/>
              </w:rPr>
              <w:t>承诺</w:t>
            </w:r>
          </w:p>
        </w:tc>
        <w:tc>
          <w:tcPr>
            <w:tcW w:w="5621" w:type="dxa"/>
            <w:vAlign w:val="center"/>
          </w:tcPr>
          <w:p w14:paraId="3A933E60">
            <w:pPr>
              <w:widowControl/>
              <w:spacing w:line="360" w:lineRule="auto"/>
              <w:ind w:firstLine="200"/>
              <w:jc w:val="center"/>
              <w:rPr>
                <w:rFonts w:hint="eastAsia" w:ascii="宋体" w:hAnsi="宋体" w:cs="仿宋"/>
                <w:color w:val="auto"/>
                <w:kern w:val="0"/>
                <w:sz w:val="24"/>
                <w:highlight w:val="none"/>
              </w:rPr>
            </w:pPr>
            <w:r>
              <w:rPr>
                <w:rFonts w:hint="eastAsia" w:ascii="宋体" w:hAnsi="宋体" w:cs="仿宋"/>
                <w:color w:val="auto"/>
                <w:kern w:val="0"/>
                <w:sz w:val="24"/>
                <w:highlight w:val="none"/>
              </w:rPr>
              <w:t>按项目招标文件要求和投标（响应）文件执行</w:t>
            </w:r>
          </w:p>
        </w:tc>
      </w:tr>
      <w:tr w14:paraId="35447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637" w:type="dxa"/>
            <w:vAlign w:val="center"/>
          </w:tcPr>
          <w:p w14:paraId="48B7F06E">
            <w:pPr>
              <w:widowControl/>
              <w:spacing w:line="360" w:lineRule="auto"/>
              <w:rPr>
                <w:rFonts w:hint="eastAsia" w:ascii="宋体" w:hAnsi="宋体" w:cs="仿宋"/>
                <w:bCs/>
                <w:color w:val="auto"/>
                <w:kern w:val="0"/>
                <w:sz w:val="24"/>
                <w:highlight w:val="none"/>
              </w:rPr>
            </w:pPr>
            <w:r>
              <w:rPr>
                <w:rFonts w:ascii="宋体" w:hAnsi="宋体" w:cs="仿宋"/>
                <w:bCs/>
                <w:color w:val="auto"/>
                <w:kern w:val="0"/>
                <w:sz w:val="24"/>
                <w:highlight w:val="none"/>
              </w:rPr>
              <w:t>5</w:t>
            </w:r>
          </w:p>
        </w:tc>
        <w:tc>
          <w:tcPr>
            <w:tcW w:w="1814" w:type="dxa"/>
            <w:vAlign w:val="center"/>
          </w:tcPr>
          <w:p w14:paraId="77C34C0F">
            <w:pPr>
              <w:widowControl/>
              <w:spacing w:line="360" w:lineRule="auto"/>
              <w:ind w:firstLine="200"/>
              <w:jc w:val="center"/>
              <w:rPr>
                <w:rFonts w:hint="eastAsia" w:ascii="宋体" w:hAnsi="宋体" w:cs="仿宋"/>
                <w:bCs/>
                <w:color w:val="auto"/>
                <w:kern w:val="0"/>
                <w:sz w:val="24"/>
                <w:highlight w:val="none"/>
              </w:rPr>
            </w:pPr>
            <w:r>
              <w:rPr>
                <w:rFonts w:hint="eastAsia" w:ascii="宋体" w:hAnsi="宋体" w:cs="仿宋"/>
                <w:bCs/>
                <w:color w:val="auto"/>
                <w:kern w:val="0"/>
                <w:sz w:val="24"/>
                <w:highlight w:val="none"/>
              </w:rPr>
              <w:t>其他工作</w:t>
            </w:r>
          </w:p>
        </w:tc>
        <w:tc>
          <w:tcPr>
            <w:tcW w:w="5621" w:type="dxa"/>
            <w:vAlign w:val="center"/>
          </w:tcPr>
          <w:p w14:paraId="085BCDE6">
            <w:pPr>
              <w:widowControl/>
              <w:spacing w:line="360" w:lineRule="auto"/>
              <w:ind w:firstLine="480" w:firstLineChars="200"/>
              <w:jc w:val="left"/>
              <w:rPr>
                <w:rFonts w:hint="eastAsia" w:ascii="宋体" w:hAnsi="宋体" w:cs="仿宋"/>
                <w:color w:val="auto"/>
                <w:kern w:val="0"/>
                <w:sz w:val="24"/>
                <w:highlight w:val="none"/>
              </w:rPr>
            </w:pPr>
            <w:r>
              <w:rPr>
                <w:rFonts w:hint="eastAsia" w:ascii="宋体" w:hAnsi="宋体" w:cs="仿宋"/>
                <w:color w:val="auto"/>
                <w:kern w:val="0"/>
                <w:sz w:val="24"/>
                <w:highlight w:val="none"/>
              </w:rPr>
              <w:t>按项目招标文件要求和投标（响应）文件执行</w:t>
            </w:r>
          </w:p>
        </w:tc>
      </w:tr>
    </w:tbl>
    <w:p w14:paraId="40C8A4AC">
      <w:pPr>
        <w:tabs>
          <w:tab w:val="left" w:pos="904"/>
        </w:tabs>
        <w:wordWrap w:val="0"/>
        <w:snapToGrid w:val="0"/>
        <w:spacing w:line="360" w:lineRule="auto"/>
        <w:ind w:firstLine="480" w:firstLineChars="200"/>
        <w:jc w:val="left"/>
        <w:rPr>
          <w:rFonts w:hint="eastAsia" w:ascii="宋体" w:hAnsi="宋体" w:cs="宋体"/>
          <w:color w:val="auto"/>
          <w:sz w:val="24"/>
          <w:highlight w:val="none"/>
        </w:rPr>
      </w:pPr>
    </w:p>
    <w:p w14:paraId="6B6E3EDE">
      <w:pPr>
        <w:tabs>
          <w:tab w:val="left" w:pos="904"/>
        </w:tabs>
        <w:wordWrap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3.6.7验收资料要求</w:t>
      </w:r>
    </w:p>
    <w:p w14:paraId="14F6DDC1">
      <w:pPr>
        <w:tabs>
          <w:tab w:val="left" w:pos="904"/>
        </w:tabs>
        <w:wordWrap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验收资料要求包括（不限于）以下内容：</w:t>
      </w:r>
    </w:p>
    <w:p w14:paraId="1443A546">
      <w:pPr>
        <w:tabs>
          <w:tab w:val="left" w:pos="904"/>
        </w:tabs>
        <w:wordWrap w:val="0"/>
        <w:adjustRightInd w:val="0"/>
        <w:snapToGrid w:val="0"/>
        <w:spacing w:line="360" w:lineRule="auto"/>
        <w:ind w:firstLine="240" w:firstLineChars="100"/>
        <w:jc w:val="left"/>
        <w:rPr>
          <w:rFonts w:hint="eastAsia" w:ascii="宋体" w:hAnsi="宋体" w:cs="宋体"/>
          <w:color w:val="auto"/>
          <w:sz w:val="24"/>
          <w:highlight w:val="none"/>
        </w:rPr>
      </w:pPr>
      <w:r>
        <w:rPr>
          <w:rFonts w:hint="eastAsia" w:ascii="宋体" w:hAnsi="宋体" w:cs="宋体"/>
          <w:color w:val="auto"/>
          <w:sz w:val="24"/>
          <w:highlight w:val="none"/>
        </w:rPr>
        <w:t>（1）采购文件；</w:t>
      </w:r>
    </w:p>
    <w:p w14:paraId="2FFCEFEB">
      <w:pPr>
        <w:tabs>
          <w:tab w:val="left" w:pos="904"/>
        </w:tabs>
        <w:wordWrap w:val="0"/>
        <w:adjustRightInd w:val="0"/>
        <w:snapToGrid w:val="0"/>
        <w:spacing w:line="360" w:lineRule="auto"/>
        <w:ind w:firstLine="240" w:firstLineChars="100"/>
        <w:jc w:val="left"/>
        <w:rPr>
          <w:rFonts w:hint="eastAsia" w:ascii="宋体" w:hAnsi="宋体" w:cs="宋体"/>
          <w:color w:val="auto"/>
          <w:sz w:val="24"/>
          <w:highlight w:val="none"/>
        </w:rPr>
      </w:pPr>
      <w:r>
        <w:rPr>
          <w:rFonts w:hint="eastAsia" w:ascii="宋体" w:hAnsi="宋体" w:cs="宋体"/>
          <w:color w:val="auto"/>
          <w:sz w:val="24"/>
          <w:highlight w:val="none"/>
        </w:rPr>
        <w:t>（2）投标文件；</w:t>
      </w:r>
    </w:p>
    <w:p w14:paraId="71178126">
      <w:pPr>
        <w:tabs>
          <w:tab w:val="left" w:pos="904"/>
        </w:tabs>
        <w:wordWrap w:val="0"/>
        <w:adjustRightInd w:val="0"/>
        <w:snapToGrid w:val="0"/>
        <w:spacing w:line="360" w:lineRule="auto"/>
        <w:ind w:firstLine="240" w:firstLineChars="100"/>
        <w:jc w:val="left"/>
        <w:rPr>
          <w:rFonts w:hint="eastAsia" w:ascii="宋体" w:hAnsi="宋体" w:cs="宋体"/>
          <w:color w:val="auto"/>
          <w:sz w:val="24"/>
          <w:highlight w:val="none"/>
        </w:rPr>
      </w:pPr>
      <w:r>
        <w:rPr>
          <w:rFonts w:hint="eastAsia" w:ascii="宋体" w:hAnsi="宋体" w:cs="宋体"/>
          <w:color w:val="auto"/>
          <w:sz w:val="24"/>
          <w:highlight w:val="none"/>
        </w:rPr>
        <w:t>（3）采购合同；</w:t>
      </w:r>
    </w:p>
    <w:p w14:paraId="4604E673">
      <w:pPr>
        <w:tabs>
          <w:tab w:val="left" w:pos="904"/>
        </w:tabs>
        <w:wordWrap w:val="0"/>
        <w:adjustRightInd w:val="0"/>
        <w:snapToGrid w:val="0"/>
        <w:spacing w:line="360" w:lineRule="auto"/>
        <w:ind w:firstLine="240" w:firstLineChars="100"/>
        <w:jc w:val="left"/>
        <w:rPr>
          <w:rFonts w:hint="eastAsia" w:ascii="宋体" w:hAnsi="宋体" w:cs="宋体"/>
          <w:b/>
          <w:color w:val="auto"/>
          <w:sz w:val="36"/>
          <w:szCs w:val="20"/>
          <w:highlight w:val="none"/>
        </w:rPr>
      </w:pPr>
      <w:r>
        <w:rPr>
          <w:rFonts w:hint="eastAsia" w:ascii="宋体" w:hAnsi="宋体" w:cs="宋体"/>
          <w:color w:val="auto"/>
          <w:sz w:val="24"/>
          <w:highlight w:val="none"/>
        </w:rPr>
        <w:t>（4）其他需提供的相关材料：（业主根据项目实际增减第（4）点验收资料内容）。</w:t>
      </w:r>
    </w:p>
    <w:p w14:paraId="5BB2DBEB">
      <w:pPr>
        <w:widowControl/>
        <w:wordWrap w:val="0"/>
        <w:spacing w:line="360" w:lineRule="auto"/>
        <w:jc w:val="left"/>
        <w:rPr>
          <w:rFonts w:hint="eastAsia" w:ascii="宋体" w:hAnsi="宋体" w:cs="宋体"/>
          <w:color w:val="auto"/>
          <w:highlight w:val="none"/>
        </w:rPr>
        <w:sectPr>
          <w:pgSz w:w="11906" w:h="16838"/>
          <w:pgMar w:top="1440" w:right="1080" w:bottom="1440" w:left="1080" w:header="720" w:footer="720" w:gutter="0"/>
          <w:cols w:space="720" w:num="1"/>
          <w:docGrid w:type="lines" w:linePitch="331" w:charSpace="0"/>
        </w:sectPr>
      </w:pPr>
    </w:p>
    <w:p w14:paraId="61B0F868">
      <w:pPr>
        <w:pStyle w:val="14"/>
        <w:tabs>
          <w:tab w:val="left" w:pos="2472"/>
        </w:tabs>
        <w:wordWrap w:val="0"/>
        <w:spacing w:line="360" w:lineRule="auto"/>
        <w:ind w:firstLine="723"/>
        <w:rPr>
          <w:rFonts w:hint="eastAsia" w:hAnsi="宋体" w:cs="宋体"/>
          <w:b/>
          <w:color w:val="auto"/>
          <w:sz w:val="36"/>
          <w:highlight w:val="none"/>
        </w:rPr>
      </w:pPr>
    </w:p>
    <w:p w14:paraId="2777A436">
      <w:pPr>
        <w:pStyle w:val="14"/>
        <w:tabs>
          <w:tab w:val="left" w:pos="2472"/>
        </w:tabs>
        <w:wordWrap w:val="0"/>
        <w:spacing w:line="360" w:lineRule="auto"/>
        <w:ind w:firstLine="723"/>
        <w:rPr>
          <w:rFonts w:hint="eastAsia" w:hAnsi="宋体" w:cs="宋体"/>
          <w:b/>
          <w:color w:val="auto"/>
          <w:sz w:val="36"/>
          <w:highlight w:val="none"/>
        </w:rPr>
      </w:pPr>
    </w:p>
    <w:p w14:paraId="7A9EB817">
      <w:pPr>
        <w:pStyle w:val="14"/>
        <w:tabs>
          <w:tab w:val="left" w:pos="2472"/>
        </w:tabs>
        <w:wordWrap w:val="0"/>
        <w:spacing w:line="360" w:lineRule="auto"/>
        <w:ind w:firstLine="723"/>
        <w:rPr>
          <w:rFonts w:hint="eastAsia" w:hAnsi="宋体" w:cs="宋体"/>
          <w:b/>
          <w:color w:val="auto"/>
          <w:sz w:val="36"/>
          <w:highlight w:val="none"/>
        </w:rPr>
      </w:pPr>
    </w:p>
    <w:p w14:paraId="2D2240C8">
      <w:pPr>
        <w:pStyle w:val="14"/>
        <w:tabs>
          <w:tab w:val="left" w:pos="2472"/>
        </w:tabs>
        <w:wordWrap w:val="0"/>
        <w:spacing w:line="360" w:lineRule="auto"/>
        <w:ind w:firstLine="723"/>
        <w:rPr>
          <w:rFonts w:hint="eastAsia" w:hAnsi="宋体" w:cs="宋体"/>
          <w:b/>
          <w:color w:val="auto"/>
          <w:sz w:val="36"/>
          <w:highlight w:val="none"/>
        </w:rPr>
      </w:pPr>
    </w:p>
    <w:p w14:paraId="01E011CE">
      <w:pPr>
        <w:pStyle w:val="14"/>
        <w:tabs>
          <w:tab w:val="left" w:pos="2472"/>
        </w:tabs>
        <w:wordWrap w:val="0"/>
        <w:spacing w:line="360" w:lineRule="auto"/>
        <w:ind w:firstLine="723"/>
        <w:rPr>
          <w:rFonts w:hint="eastAsia" w:hAnsi="宋体" w:cs="宋体"/>
          <w:b/>
          <w:color w:val="auto"/>
          <w:sz w:val="36"/>
          <w:highlight w:val="none"/>
        </w:rPr>
      </w:pPr>
    </w:p>
    <w:p w14:paraId="445272A0">
      <w:pPr>
        <w:pStyle w:val="14"/>
        <w:tabs>
          <w:tab w:val="left" w:pos="2472"/>
        </w:tabs>
        <w:wordWrap w:val="0"/>
        <w:spacing w:line="360" w:lineRule="auto"/>
        <w:ind w:firstLine="723"/>
        <w:rPr>
          <w:rFonts w:hint="eastAsia" w:hAnsi="宋体" w:cs="宋体"/>
          <w:b/>
          <w:color w:val="auto"/>
          <w:sz w:val="36"/>
          <w:highlight w:val="none"/>
        </w:rPr>
      </w:pPr>
    </w:p>
    <w:p w14:paraId="19E2E056">
      <w:pPr>
        <w:pStyle w:val="14"/>
        <w:tabs>
          <w:tab w:val="left" w:pos="2472"/>
        </w:tabs>
        <w:wordWrap w:val="0"/>
        <w:spacing w:line="360" w:lineRule="auto"/>
        <w:ind w:firstLine="723"/>
        <w:rPr>
          <w:rFonts w:hint="eastAsia" w:hAnsi="宋体" w:cs="宋体"/>
          <w:b/>
          <w:color w:val="auto"/>
          <w:sz w:val="36"/>
          <w:highlight w:val="none"/>
        </w:rPr>
      </w:pPr>
    </w:p>
    <w:p w14:paraId="364679C8">
      <w:pPr>
        <w:pStyle w:val="14"/>
        <w:tabs>
          <w:tab w:val="left" w:pos="2472"/>
        </w:tabs>
        <w:wordWrap w:val="0"/>
        <w:spacing w:line="360" w:lineRule="auto"/>
        <w:ind w:firstLine="723"/>
        <w:jc w:val="center"/>
        <w:outlineLvl w:val="0"/>
        <w:rPr>
          <w:rFonts w:hint="eastAsia" w:hAnsi="宋体" w:cs="宋体"/>
          <w:b/>
          <w:color w:val="auto"/>
          <w:sz w:val="36"/>
          <w:highlight w:val="none"/>
        </w:rPr>
      </w:pPr>
      <w:bookmarkStart w:id="275" w:name="_Toc2856"/>
      <w:r>
        <w:rPr>
          <w:rFonts w:hint="eastAsia" w:hAnsi="宋体" w:cs="宋体"/>
          <w:b/>
          <w:color w:val="auto"/>
          <w:sz w:val="36"/>
          <w:highlight w:val="none"/>
        </w:rPr>
        <w:t>第六章 投标文件格式</w:t>
      </w:r>
      <w:bookmarkEnd w:id="275"/>
    </w:p>
    <w:p w14:paraId="242AD8CB">
      <w:pPr>
        <w:widowControl/>
        <w:wordWrap w:val="0"/>
        <w:spacing w:line="360" w:lineRule="auto"/>
        <w:jc w:val="left"/>
        <w:rPr>
          <w:rFonts w:hint="eastAsia" w:ascii="宋体" w:hAnsi="宋体" w:cs="宋体"/>
          <w:color w:val="auto"/>
          <w:szCs w:val="20"/>
          <w:highlight w:val="none"/>
        </w:rPr>
        <w:sectPr>
          <w:pgSz w:w="11906" w:h="16838"/>
          <w:pgMar w:top="1440" w:right="1080" w:bottom="1440" w:left="1080" w:header="720" w:footer="720" w:gutter="0"/>
          <w:cols w:space="720" w:num="1"/>
          <w:docGrid w:type="lines" w:linePitch="331" w:charSpace="0"/>
        </w:sectPr>
      </w:pPr>
    </w:p>
    <w:p w14:paraId="6C411F56">
      <w:pPr>
        <w:pStyle w:val="14"/>
        <w:wordWrap w:val="0"/>
        <w:spacing w:line="360" w:lineRule="auto"/>
        <w:ind w:firstLine="551" w:firstLineChars="196"/>
        <w:jc w:val="center"/>
        <w:outlineLvl w:val="1"/>
        <w:rPr>
          <w:rFonts w:hint="eastAsia" w:hAnsi="宋体" w:cs="宋体"/>
          <w:b/>
          <w:bCs/>
          <w:color w:val="auto"/>
          <w:sz w:val="28"/>
          <w:szCs w:val="28"/>
          <w:highlight w:val="none"/>
        </w:rPr>
      </w:pPr>
      <w:bookmarkStart w:id="276" w:name="_Toc13658"/>
      <w:r>
        <w:rPr>
          <w:rFonts w:hint="eastAsia" w:hAnsi="宋体" w:cs="宋体"/>
          <w:b/>
          <w:bCs/>
          <w:color w:val="auto"/>
          <w:sz w:val="28"/>
          <w:szCs w:val="28"/>
          <w:highlight w:val="none"/>
        </w:rPr>
        <w:t>第一节 投标文件外层包装封面</w:t>
      </w:r>
      <w:bookmarkEnd w:id="276"/>
    </w:p>
    <w:p w14:paraId="54EBAF5B">
      <w:pPr>
        <w:wordWrap w:val="0"/>
        <w:spacing w:line="360" w:lineRule="auto"/>
        <w:ind w:firstLine="960"/>
        <w:jc w:val="center"/>
        <w:rPr>
          <w:rFonts w:hint="eastAsia" w:ascii="宋体" w:hAnsi="宋体" w:cs="宋体"/>
          <w:color w:val="auto"/>
          <w:spacing w:val="20"/>
          <w:sz w:val="44"/>
          <w:szCs w:val="44"/>
          <w:highlight w:val="none"/>
        </w:rPr>
      </w:pPr>
    </w:p>
    <w:p w14:paraId="07778212">
      <w:pPr>
        <w:wordWrap w:val="0"/>
        <w:spacing w:line="360" w:lineRule="auto"/>
        <w:ind w:firstLine="960"/>
        <w:jc w:val="center"/>
        <w:rPr>
          <w:rFonts w:hint="eastAsia" w:ascii="宋体" w:hAnsi="宋体" w:cs="宋体"/>
          <w:color w:val="auto"/>
          <w:spacing w:val="20"/>
          <w:sz w:val="44"/>
          <w:szCs w:val="44"/>
          <w:highlight w:val="none"/>
        </w:rPr>
      </w:pPr>
    </w:p>
    <w:p w14:paraId="66F7112D">
      <w:pPr>
        <w:wordWrap w:val="0"/>
        <w:spacing w:line="360" w:lineRule="auto"/>
        <w:ind w:firstLine="960"/>
        <w:jc w:val="center"/>
        <w:rPr>
          <w:rFonts w:hint="eastAsia" w:ascii="宋体" w:hAnsi="宋体" w:cs="宋体"/>
          <w:color w:val="auto"/>
          <w:spacing w:val="20"/>
          <w:sz w:val="44"/>
          <w:szCs w:val="44"/>
          <w:highlight w:val="none"/>
        </w:rPr>
      </w:pPr>
    </w:p>
    <w:p w14:paraId="0251B013">
      <w:pPr>
        <w:wordWrap w:val="0"/>
        <w:spacing w:line="360" w:lineRule="auto"/>
        <w:ind w:firstLine="960"/>
        <w:jc w:val="center"/>
        <w:rPr>
          <w:rFonts w:hint="eastAsia" w:ascii="宋体" w:hAnsi="宋体" w:cs="宋体"/>
          <w:color w:val="auto"/>
          <w:spacing w:val="20"/>
          <w:sz w:val="44"/>
          <w:szCs w:val="44"/>
          <w:highlight w:val="none"/>
        </w:rPr>
      </w:pPr>
    </w:p>
    <w:p w14:paraId="0DE5C655">
      <w:pPr>
        <w:wordWrap w:val="0"/>
        <w:spacing w:line="360" w:lineRule="auto"/>
        <w:ind w:firstLine="960"/>
        <w:jc w:val="center"/>
        <w:rPr>
          <w:rFonts w:hint="eastAsia" w:ascii="宋体" w:hAnsi="宋体" w:cs="宋体"/>
          <w:color w:val="auto"/>
          <w:spacing w:val="20"/>
          <w:sz w:val="44"/>
          <w:szCs w:val="44"/>
          <w:highlight w:val="none"/>
        </w:rPr>
      </w:pPr>
      <w:r>
        <w:rPr>
          <w:rFonts w:hint="eastAsia" w:ascii="宋体" w:hAnsi="宋体" w:cs="宋体"/>
          <w:color w:val="auto"/>
          <w:spacing w:val="20"/>
          <w:sz w:val="44"/>
          <w:szCs w:val="44"/>
          <w:highlight w:val="none"/>
          <w:u w:val="single"/>
        </w:rPr>
        <w:t xml:space="preserve">             </w:t>
      </w:r>
      <w:r>
        <w:rPr>
          <w:rFonts w:hint="eastAsia" w:ascii="宋体" w:hAnsi="宋体" w:cs="宋体"/>
          <w:color w:val="auto"/>
          <w:spacing w:val="20"/>
          <w:sz w:val="44"/>
          <w:szCs w:val="44"/>
          <w:highlight w:val="none"/>
        </w:rPr>
        <w:t>项目</w:t>
      </w:r>
    </w:p>
    <w:p w14:paraId="3DA7ADE6">
      <w:pPr>
        <w:wordWrap w:val="0"/>
        <w:spacing w:line="360" w:lineRule="auto"/>
        <w:ind w:firstLine="1123"/>
        <w:jc w:val="center"/>
        <w:rPr>
          <w:rFonts w:hint="eastAsia" w:ascii="宋体" w:hAnsi="宋体" w:cs="宋体"/>
          <w:color w:val="auto"/>
          <w:spacing w:val="40"/>
          <w:w w:val="110"/>
          <w:sz w:val="44"/>
          <w:szCs w:val="44"/>
          <w:highlight w:val="none"/>
        </w:rPr>
      </w:pPr>
      <w:r>
        <w:rPr>
          <w:rFonts w:hint="eastAsia" w:ascii="宋体" w:hAnsi="宋体" w:cs="宋体"/>
          <w:color w:val="auto"/>
          <w:spacing w:val="40"/>
          <w:w w:val="110"/>
          <w:sz w:val="44"/>
          <w:szCs w:val="44"/>
          <w:highlight w:val="none"/>
        </w:rPr>
        <w:t>投标文件</w:t>
      </w:r>
    </w:p>
    <w:p w14:paraId="4E789E0D">
      <w:pPr>
        <w:wordWrap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（电子投标文件）</w:t>
      </w:r>
    </w:p>
    <w:tbl>
      <w:tblPr>
        <w:tblStyle w:val="25"/>
        <w:tblW w:w="7773" w:type="dxa"/>
        <w:jc w:val="center"/>
        <w:tblLayout w:type="fixed"/>
        <w:tblCellMar>
          <w:top w:w="0" w:type="dxa"/>
          <w:left w:w="108" w:type="dxa"/>
          <w:bottom w:w="0" w:type="dxa"/>
          <w:right w:w="108" w:type="dxa"/>
        </w:tblCellMar>
      </w:tblPr>
      <w:tblGrid>
        <w:gridCol w:w="1601"/>
        <w:gridCol w:w="6172"/>
      </w:tblGrid>
      <w:tr w14:paraId="73E3D369">
        <w:tblPrEx>
          <w:tblCellMar>
            <w:top w:w="0" w:type="dxa"/>
            <w:left w:w="108" w:type="dxa"/>
            <w:bottom w:w="0" w:type="dxa"/>
            <w:right w:w="108" w:type="dxa"/>
          </w:tblCellMar>
        </w:tblPrEx>
        <w:trPr>
          <w:jc w:val="center"/>
        </w:trPr>
        <w:tc>
          <w:tcPr>
            <w:tcW w:w="1601" w:type="dxa"/>
            <w:vAlign w:val="bottom"/>
          </w:tcPr>
          <w:p w14:paraId="60DAF524">
            <w:pPr>
              <w:wordWrap w:val="0"/>
              <w:spacing w:line="360" w:lineRule="auto"/>
              <w:jc w:val="distribute"/>
              <w:rPr>
                <w:rFonts w:hint="eastAsia" w:ascii="宋体" w:hAnsi="宋体" w:cs="宋体"/>
                <w:color w:val="auto"/>
                <w:sz w:val="24"/>
                <w:highlight w:val="none"/>
              </w:rPr>
            </w:pPr>
            <w:r>
              <w:rPr>
                <w:rFonts w:hint="eastAsia" w:ascii="宋体" w:hAnsi="宋体" w:cs="宋体"/>
                <w:color w:val="auto"/>
                <w:sz w:val="24"/>
                <w:highlight w:val="none"/>
              </w:rPr>
              <w:t>项目名称：</w:t>
            </w:r>
          </w:p>
        </w:tc>
        <w:tc>
          <w:tcPr>
            <w:tcW w:w="6172" w:type="dxa"/>
            <w:tcBorders>
              <w:top w:val="nil"/>
              <w:left w:val="nil"/>
              <w:bottom w:val="single" w:color="000000" w:sz="4" w:space="0"/>
              <w:right w:val="nil"/>
            </w:tcBorders>
            <w:vAlign w:val="bottom"/>
          </w:tcPr>
          <w:p w14:paraId="414C6EAA">
            <w:pPr>
              <w:wordWrap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 xml:space="preserve"> </w:t>
            </w:r>
          </w:p>
        </w:tc>
      </w:tr>
      <w:tr w14:paraId="0452A0EF">
        <w:tblPrEx>
          <w:tblCellMar>
            <w:top w:w="0" w:type="dxa"/>
            <w:left w:w="108" w:type="dxa"/>
            <w:bottom w:w="0" w:type="dxa"/>
            <w:right w:w="108" w:type="dxa"/>
          </w:tblCellMar>
        </w:tblPrEx>
        <w:trPr>
          <w:jc w:val="center"/>
        </w:trPr>
        <w:tc>
          <w:tcPr>
            <w:tcW w:w="1601" w:type="dxa"/>
            <w:vAlign w:val="bottom"/>
          </w:tcPr>
          <w:p w14:paraId="73C70BB4">
            <w:pPr>
              <w:wordWrap w:val="0"/>
              <w:spacing w:line="360" w:lineRule="auto"/>
              <w:jc w:val="distribute"/>
              <w:rPr>
                <w:rFonts w:hint="eastAsia" w:ascii="宋体" w:hAnsi="宋体" w:cs="宋体"/>
                <w:color w:val="auto"/>
                <w:sz w:val="24"/>
                <w:highlight w:val="none"/>
              </w:rPr>
            </w:pPr>
            <w:r>
              <w:rPr>
                <w:rFonts w:hint="eastAsia" w:ascii="宋体" w:hAnsi="宋体" w:cs="宋体"/>
                <w:color w:val="auto"/>
                <w:sz w:val="24"/>
                <w:highlight w:val="none"/>
              </w:rPr>
              <w:t>采购人式：</w:t>
            </w:r>
          </w:p>
        </w:tc>
        <w:tc>
          <w:tcPr>
            <w:tcW w:w="6172" w:type="dxa"/>
            <w:tcBorders>
              <w:top w:val="single" w:color="000000" w:sz="4" w:space="0"/>
              <w:left w:val="nil"/>
              <w:bottom w:val="single" w:color="000000" w:sz="4" w:space="0"/>
              <w:right w:val="nil"/>
            </w:tcBorders>
            <w:vAlign w:val="bottom"/>
          </w:tcPr>
          <w:p w14:paraId="4F8F040A">
            <w:pPr>
              <w:wordWrap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 xml:space="preserve"> </w:t>
            </w:r>
          </w:p>
        </w:tc>
      </w:tr>
      <w:tr w14:paraId="48EA19A7">
        <w:tblPrEx>
          <w:tblCellMar>
            <w:top w:w="0" w:type="dxa"/>
            <w:left w:w="108" w:type="dxa"/>
            <w:bottom w:w="0" w:type="dxa"/>
            <w:right w:w="108" w:type="dxa"/>
          </w:tblCellMar>
        </w:tblPrEx>
        <w:trPr>
          <w:jc w:val="center"/>
        </w:trPr>
        <w:tc>
          <w:tcPr>
            <w:tcW w:w="1601" w:type="dxa"/>
            <w:vAlign w:val="bottom"/>
          </w:tcPr>
          <w:p w14:paraId="00D785F1">
            <w:pPr>
              <w:wordWrap w:val="0"/>
              <w:spacing w:line="360" w:lineRule="auto"/>
              <w:jc w:val="distribute"/>
              <w:rPr>
                <w:rFonts w:hint="eastAsia" w:ascii="宋体" w:hAnsi="宋体" w:cs="宋体"/>
                <w:color w:val="auto"/>
                <w:sz w:val="24"/>
                <w:highlight w:val="none"/>
              </w:rPr>
            </w:pPr>
            <w:r>
              <w:rPr>
                <w:rFonts w:hint="eastAsia" w:ascii="宋体" w:hAnsi="宋体" w:cs="宋体"/>
                <w:color w:val="auto"/>
                <w:sz w:val="24"/>
                <w:highlight w:val="none"/>
              </w:rPr>
              <w:t>项目编号：</w:t>
            </w:r>
          </w:p>
        </w:tc>
        <w:tc>
          <w:tcPr>
            <w:tcW w:w="6172" w:type="dxa"/>
            <w:tcBorders>
              <w:top w:val="single" w:color="000000" w:sz="4" w:space="0"/>
              <w:left w:val="nil"/>
              <w:bottom w:val="single" w:color="000000" w:sz="4" w:space="0"/>
              <w:right w:val="nil"/>
            </w:tcBorders>
            <w:vAlign w:val="bottom"/>
          </w:tcPr>
          <w:p w14:paraId="6B7DD163">
            <w:pPr>
              <w:wordWrap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 xml:space="preserve"> </w:t>
            </w:r>
          </w:p>
        </w:tc>
      </w:tr>
      <w:tr w14:paraId="30223B28">
        <w:tblPrEx>
          <w:tblCellMar>
            <w:top w:w="0" w:type="dxa"/>
            <w:left w:w="108" w:type="dxa"/>
            <w:bottom w:w="0" w:type="dxa"/>
            <w:right w:w="108" w:type="dxa"/>
          </w:tblCellMar>
        </w:tblPrEx>
        <w:trPr>
          <w:jc w:val="center"/>
        </w:trPr>
        <w:tc>
          <w:tcPr>
            <w:tcW w:w="1601" w:type="dxa"/>
            <w:vAlign w:val="bottom"/>
          </w:tcPr>
          <w:p w14:paraId="296FA4F2">
            <w:pPr>
              <w:wordWrap w:val="0"/>
              <w:spacing w:line="360" w:lineRule="auto"/>
              <w:jc w:val="distribute"/>
              <w:rPr>
                <w:rFonts w:hint="eastAsia" w:ascii="宋体" w:hAnsi="宋体" w:cs="宋体"/>
                <w:color w:val="auto"/>
                <w:sz w:val="24"/>
                <w:highlight w:val="none"/>
              </w:rPr>
            </w:pPr>
            <w:r>
              <w:rPr>
                <w:rFonts w:hint="eastAsia" w:ascii="宋体" w:hAnsi="宋体" w:cs="宋体"/>
                <w:color w:val="auto"/>
                <w:sz w:val="24"/>
                <w:highlight w:val="none"/>
              </w:rPr>
              <w:t>所投分标：</w:t>
            </w:r>
          </w:p>
        </w:tc>
        <w:tc>
          <w:tcPr>
            <w:tcW w:w="6172" w:type="dxa"/>
            <w:tcBorders>
              <w:top w:val="single" w:color="000000" w:sz="4" w:space="0"/>
              <w:left w:val="nil"/>
              <w:bottom w:val="single" w:color="000000" w:sz="4" w:space="0"/>
              <w:right w:val="nil"/>
            </w:tcBorders>
            <w:vAlign w:val="bottom"/>
          </w:tcPr>
          <w:p w14:paraId="55E6015C">
            <w:pPr>
              <w:wordWrap w:val="0"/>
              <w:spacing w:line="360" w:lineRule="auto"/>
              <w:jc w:val="left"/>
              <w:rPr>
                <w:rFonts w:hint="eastAsia" w:ascii="宋体" w:hAnsi="宋体" w:cs="宋体"/>
                <w:color w:val="auto"/>
                <w:sz w:val="24"/>
                <w:highlight w:val="none"/>
              </w:rPr>
            </w:pPr>
          </w:p>
        </w:tc>
      </w:tr>
      <w:tr w14:paraId="6B0E3E46">
        <w:tblPrEx>
          <w:tblCellMar>
            <w:top w:w="0" w:type="dxa"/>
            <w:left w:w="108" w:type="dxa"/>
            <w:bottom w:w="0" w:type="dxa"/>
            <w:right w:w="108" w:type="dxa"/>
          </w:tblCellMar>
        </w:tblPrEx>
        <w:trPr>
          <w:jc w:val="center"/>
        </w:trPr>
        <w:tc>
          <w:tcPr>
            <w:tcW w:w="1601" w:type="dxa"/>
            <w:vAlign w:val="bottom"/>
          </w:tcPr>
          <w:p w14:paraId="343A7A7F">
            <w:pPr>
              <w:wordWrap w:val="0"/>
              <w:spacing w:line="360" w:lineRule="auto"/>
              <w:jc w:val="distribute"/>
              <w:rPr>
                <w:rFonts w:hint="eastAsia" w:ascii="宋体" w:hAnsi="宋体" w:cs="宋体"/>
                <w:color w:val="auto"/>
                <w:sz w:val="24"/>
                <w:highlight w:val="none"/>
              </w:rPr>
            </w:pPr>
            <w:r>
              <w:rPr>
                <w:rFonts w:hint="eastAsia" w:ascii="宋体" w:hAnsi="宋体" w:cs="宋体"/>
                <w:color w:val="auto"/>
                <w:sz w:val="24"/>
                <w:highlight w:val="none"/>
              </w:rPr>
              <w:t>投标人名称：</w:t>
            </w:r>
          </w:p>
        </w:tc>
        <w:tc>
          <w:tcPr>
            <w:tcW w:w="6172" w:type="dxa"/>
            <w:tcBorders>
              <w:top w:val="single" w:color="000000" w:sz="4" w:space="0"/>
              <w:left w:val="nil"/>
              <w:bottom w:val="single" w:color="000000" w:sz="4" w:space="0"/>
              <w:right w:val="nil"/>
            </w:tcBorders>
            <w:vAlign w:val="bottom"/>
          </w:tcPr>
          <w:p w14:paraId="1CE16179">
            <w:pPr>
              <w:wordWrap w:val="0"/>
              <w:spacing w:line="360" w:lineRule="auto"/>
              <w:jc w:val="left"/>
              <w:rPr>
                <w:rFonts w:hint="eastAsia" w:ascii="宋体" w:hAnsi="宋体" w:cs="宋体"/>
                <w:color w:val="auto"/>
                <w:sz w:val="24"/>
                <w:highlight w:val="none"/>
              </w:rPr>
            </w:pPr>
          </w:p>
        </w:tc>
      </w:tr>
      <w:tr w14:paraId="55584594">
        <w:tblPrEx>
          <w:tblCellMar>
            <w:top w:w="0" w:type="dxa"/>
            <w:left w:w="108" w:type="dxa"/>
            <w:bottom w:w="0" w:type="dxa"/>
            <w:right w:w="108" w:type="dxa"/>
          </w:tblCellMar>
        </w:tblPrEx>
        <w:trPr>
          <w:jc w:val="center"/>
        </w:trPr>
        <w:tc>
          <w:tcPr>
            <w:tcW w:w="1601" w:type="dxa"/>
            <w:vAlign w:val="bottom"/>
          </w:tcPr>
          <w:p w14:paraId="2F5E3853">
            <w:pPr>
              <w:wordWrap w:val="0"/>
              <w:spacing w:line="360" w:lineRule="auto"/>
              <w:jc w:val="distribute"/>
              <w:rPr>
                <w:rFonts w:hint="eastAsia" w:ascii="宋体" w:hAnsi="宋体" w:cs="宋体"/>
                <w:color w:val="auto"/>
                <w:sz w:val="24"/>
                <w:highlight w:val="none"/>
              </w:rPr>
            </w:pPr>
            <w:r>
              <w:rPr>
                <w:rFonts w:hint="eastAsia" w:ascii="宋体" w:hAnsi="宋体" w:cs="宋体"/>
                <w:color w:val="auto"/>
                <w:sz w:val="24"/>
                <w:highlight w:val="none"/>
              </w:rPr>
              <w:t>投标人地址：</w:t>
            </w:r>
          </w:p>
        </w:tc>
        <w:tc>
          <w:tcPr>
            <w:tcW w:w="6172" w:type="dxa"/>
            <w:tcBorders>
              <w:top w:val="single" w:color="000000" w:sz="4" w:space="0"/>
              <w:left w:val="nil"/>
              <w:bottom w:val="single" w:color="000000" w:sz="4" w:space="0"/>
              <w:right w:val="nil"/>
            </w:tcBorders>
            <w:vAlign w:val="bottom"/>
          </w:tcPr>
          <w:p w14:paraId="1B8CBB34">
            <w:pPr>
              <w:wordWrap w:val="0"/>
              <w:spacing w:line="360" w:lineRule="auto"/>
              <w:jc w:val="left"/>
              <w:rPr>
                <w:rFonts w:hint="eastAsia" w:ascii="宋体" w:hAnsi="宋体" w:cs="宋体"/>
                <w:color w:val="auto"/>
                <w:sz w:val="24"/>
                <w:highlight w:val="none"/>
              </w:rPr>
            </w:pPr>
          </w:p>
        </w:tc>
      </w:tr>
    </w:tbl>
    <w:p w14:paraId="4DA813AE">
      <w:pPr>
        <w:wordWrap w:val="0"/>
        <w:spacing w:line="360" w:lineRule="auto"/>
        <w:ind w:firstLine="4200" w:firstLineChars="1750"/>
        <w:rPr>
          <w:rFonts w:hint="eastAsia" w:ascii="宋体" w:hAnsi="宋体" w:cs="宋体"/>
          <w:color w:val="auto"/>
          <w:sz w:val="24"/>
          <w:highlight w:val="none"/>
        </w:rPr>
      </w:pPr>
    </w:p>
    <w:p w14:paraId="50F5DF90">
      <w:pPr>
        <w:wordWrap w:val="0"/>
        <w:spacing w:line="360" w:lineRule="auto"/>
        <w:ind w:firstLine="4200" w:firstLineChars="1750"/>
        <w:rPr>
          <w:rFonts w:hint="eastAsia" w:ascii="宋体" w:hAnsi="宋体" w:cs="宋体"/>
          <w:color w:val="auto"/>
          <w:sz w:val="24"/>
          <w:highlight w:val="none"/>
        </w:rPr>
      </w:pPr>
    </w:p>
    <w:p w14:paraId="34E9FCB1">
      <w:pPr>
        <w:wordWrap w:val="0"/>
        <w:spacing w:line="360" w:lineRule="auto"/>
        <w:ind w:firstLine="4200" w:firstLineChars="1750"/>
        <w:rPr>
          <w:rFonts w:hint="eastAsia" w:ascii="宋体" w:hAnsi="宋体" w:cs="宋体"/>
          <w:color w:val="auto"/>
          <w:sz w:val="24"/>
          <w:highlight w:val="none"/>
        </w:rPr>
      </w:pPr>
    </w:p>
    <w:p w14:paraId="18FD43CE">
      <w:pPr>
        <w:wordWrap w:val="0"/>
        <w:spacing w:line="360" w:lineRule="auto"/>
        <w:ind w:firstLine="5880" w:firstLineChars="2450"/>
        <w:rPr>
          <w:rFonts w:hint="eastAsia" w:ascii="宋体" w:hAnsi="宋体" w:cs="宋体"/>
          <w:color w:val="auto"/>
          <w:sz w:val="24"/>
          <w:highlight w:val="none"/>
        </w:rPr>
      </w:pPr>
      <w:r>
        <w:rPr>
          <w:rFonts w:hint="eastAsia" w:ascii="宋体" w:hAnsi="宋体" w:cs="宋体"/>
          <w:color w:val="auto"/>
          <w:sz w:val="24"/>
          <w:highlight w:val="none"/>
        </w:rPr>
        <w:t>投标截止时间前不得解密</w:t>
      </w:r>
    </w:p>
    <w:p w14:paraId="1992A9CC">
      <w:pPr>
        <w:wordWrap w:val="0"/>
        <w:spacing w:line="360" w:lineRule="auto"/>
        <w:ind w:firstLine="6480" w:firstLineChars="2700"/>
        <w:rPr>
          <w:rFonts w:hint="eastAsia" w:ascii="宋体" w:hAnsi="宋体" w:cs="宋体"/>
          <w:color w:val="auto"/>
          <w:sz w:val="24"/>
          <w:highlight w:val="none"/>
        </w:rPr>
      </w:pPr>
      <w:r>
        <w:rPr>
          <w:rFonts w:hint="eastAsia" w:ascii="宋体" w:hAnsi="宋体" w:cs="宋体"/>
          <w:color w:val="auto"/>
          <w:sz w:val="24"/>
          <w:highlight w:val="none"/>
        </w:rPr>
        <w:t>年   月   日</w:t>
      </w:r>
    </w:p>
    <w:p w14:paraId="1F163179">
      <w:pPr>
        <w:widowControl/>
        <w:wordWrap w:val="0"/>
        <w:spacing w:line="360" w:lineRule="auto"/>
        <w:jc w:val="left"/>
        <w:rPr>
          <w:rFonts w:hint="eastAsia" w:ascii="宋体" w:hAnsi="宋体" w:cs="宋体"/>
          <w:color w:val="auto"/>
          <w:sz w:val="24"/>
          <w:highlight w:val="none"/>
        </w:rPr>
        <w:sectPr>
          <w:pgSz w:w="11907" w:h="16840"/>
          <w:pgMar w:top="1440" w:right="1080" w:bottom="1440" w:left="1080" w:header="720" w:footer="720" w:gutter="0"/>
          <w:cols w:space="720" w:num="1"/>
        </w:sectPr>
      </w:pPr>
    </w:p>
    <w:p w14:paraId="3576A669">
      <w:pPr>
        <w:pStyle w:val="14"/>
        <w:wordWrap w:val="0"/>
        <w:spacing w:line="360" w:lineRule="auto"/>
        <w:ind w:firstLine="562"/>
        <w:jc w:val="center"/>
        <w:outlineLvl w:val="1"/>
        <w:rPr>
          <w:rFonts w:hint="eastAsia" w:hAnsi="宋体" w:cs="宋体"/>
          <w:b/>
          <w:bCs/>
          <w:color w:val="auto"/>
          <w:sz w:val="28"/>
          <w:szCs w:val="28"/>
          <w:highlight w:val="none"/>
        </w:rPr>
      </w:pPr>
      <w:bookmarkStart w:id="277" w:name="_Toc20946"/>
      <w:r>
        <w:rPr>
          <w:rFonts w:hint="eastAsia" w:hAnsi="宋体" w:cs="宋体"/>
          <w:b/>
          <w:bCs/>
          <w:color w:val="auto"/>
          <w:sz w:val="28"/>
          <w:szCs w:val="28"/>
          <w:highlight w:val="none"/>
        </w:rPr>
        <w:t>第二节 资格证明文件格式</w:t>
      </w:r>
      <w:bookmarkEnd w:id="277"/>
    </w:p>
    <w:p w14:paraId="3F5437FB">
      <w:pPr>
        <w:pStyle w:val="14"/>
        <w:wordWrap w:val="0"/>
        <w:spacing w:line="360" w:lineRule="auto"/>
        <w:ind w:firstLine="600"/>
        <w:rPr>
          <w:rFonts w:hint="eastAsia" w:hAnsi="宋体" w:cs="宋体"/>
          <w:color w:val="auto"/>
          <w:sz w:val="30"/>
          <w:highlight w:val="none"/>
        </w:rPr>
      </w:pPr>
    </w:p>
    <w:p w14:paraId="627197FC">
      <w:pPr>
        <w:wordWrap w:val="0"/>
        <w:snapToGrid w:val="0"/>
        <w:spacing w:line="360" w:lineRule="auto"/>
        <w:rPr>
          <w:rFonts w:hint="eastAsia" w:ascii="宋体" w:hAnsi="宋体" w:cs="宋体"/>
          <w:bCs/>
          <w:color w:val="auto"/>
          <w:sz w:val="32"/>
          <w:szCs w:val="20"/>
          <w:highlight w:val="none"/>
        </w:rPr>
      </w:pPr>
      <w:r>
        <w:rPr>
          <w:rFonts w:hint="eastAsia" w:ascii="宋体" w:hAnsi="宋体" w:cs="宋体"/>
          <w:color w:val="auto"/>
          <w:sz w:val="24"/>
          <w:highlight w:val="none"/>
        </w:rPr>
        <w:t xml:space="preserve">                                                         </w:t>
      </w:r>
      <w:r>
        <w:rPr>
          <w:rFonts w:hint="eastAsia" w:ascii="宋体" w:hAnsi="宋体" w:cs="宋体"/>
          <w:bCs/>
          <w:color w:val="auto"/>
          <w:highlight w:val="none"/>
        </w:rPr>
        <w:t>电子投标文件</w:t>
      </w:r>
    </w:p>
    <w:p w14:paraId="6609458D">
      <w:pPr>
        <w:wordWrap w:val="0"/>
        <w:snapToGrid w:val="0"/>
        <w:spacing w:line="360" w:lineRule="auto"/>
        <w:rPr>
          <w:rFonts w:hint="eastAsia" w:ascii="宋体" w:hAnsi="宋体" w:cs="宋体"/>
          <w:color w:val="auto"/>
          <w:sz w:val="24"/>
          <w:szCs w:val="20"/>
          <w:highlight w:val="none"/>
        </w:rPr>
      </w:pPr>
    </w:p>
    <w:p w14:paraId="5F126F53">
      <w:pPr>
        <w:wordWrap w:val="0"/>
        <w:snapToGrid w:val="0"/>
        <w:spacing w:line="360" w:lineRule="auto"/>
        <w:ind w:firstLine="643"/>
        <w:jc w:val="center"/>
        <w:rPr>
          <w:rFonts w:hint="eastAsia" w:ascii="宋体" w:hAnsi="宋体" w:cs="宋体"/>
          <w:b/>
          <w:color w:val="auto"/>
          <w:sz w:val="24"/>
          <w:szCs w:val="20"/>
          <w:highlight w:val="none"/>
        </w:rPr>
      </w:pPr>
      <w:r>
        <w:rPr>
          <w:rFonts w:hint="eastAsia" w:ascii="宋体" w:hAnsi="宋体" w:cs="宋体"/>
          <w:b/>
          <w:color w:val="auto"/>
          <w:sz w:val="32"/>
          <w:szCs w:val="32"/>
          <w:highlight w:val="none"/>
        </w:rPr>
        <w:t>资格证明文件（封面）</w:t>
      </w:r>
    </w:p>
    <w:p w14:paraId="5E95DEB9">
      <w:pPr>
        <w:wordWrap w:val="0"/>
        <w:snapToGrid w:val="0"/>
        <w:spacing w:line="360" w:lineRule="auto"/>
        <w:rPr>
          <w:rFonts w:hint="eastAsia" w:ascii="宋体" w:hAnsi="宋体" w:cs="宋体"/>
          <w:bCs/>
          <w:color w:val="auto"/>
          <w:sz w:val="24"/>
          <w:szCs w:val="20"/>
          <w:highlight w:val="none"/>
        </w:rPr>
      </w:pPr>
    </w:p>
    <w:p w14:paraId="76F1DBCB">
      <w:pPr>
        <w:wordWrap w:val="0"/>
        <w:snapToGrid w:val="0"/>
        <w:spacing w:line="360" w:lineRule="auto"/>
        <w:rPr>
          <w:rFonts w:hint="eastAsia" w:ascii="宋体" w:hAnsi="宋体" w:cs="宋体"/>
          <w:bCs/>
          <w:color w:val="auto"/>
          <w:sz w:val="24"/>
          <w:szCs w:val="20"/>
          <w:highlight w:val="none"/>
        </w:rPr>
      </w:pPr>
    </w:p>
    <w:p w14:paraId="2E693D48">
      <w:pPr>
        <w:wordWrap w:val="0"/>
        <w:snapToGrid w:val="0"/>
        <w:spacing w:line="360" w:lineRule="auto"/>
        <w:rPr>
          <w:rFonts w:hint="eastAsia" w:ascii="宋体" w:hAnsi="宋体" w:cs="宋体"/>
          <w:bCs/>
          <w:color w:val="auto"/>
          <w:sz w:val="24"/>
          <w:szCs w:val="20"/>
          <w:highlight w:val="none"/>
        </w:rPr>
      </w:pPr>
    </w:p>
    <w:p w14:paraId="3AC4F437">
      <w:pPr>
        <w:wordWrap w:val="0"/>
        <w:snapToGrid w:val="0"/>
        <w:spacing w:line="360" w:lineRule="auto"/>
        <w:rPr>
          <w:rFonts w:hint="eastAsia" w:ascii="宋体" w:hAnsi="宋体" w:cs="宋体"/>
          <w:bCs/>
          <w:color w:val="auto"/>
          <w:sz w:val="24"/>
          <w:szCs w:val="20"/>
          <w:highlight w:val="none"/>
        </w:rPr>
      </w:pPr>
    </w:p>
    <w:p w14:paraId="3F604AB4">
      <w:pPr>
        <w:wordWrap w:val="0"/>
        <w:snapToGrid w:val="0"/>
        <w:spacing w:line="360" w:lineRule="auto"/>
        <w:rPr>
          <w:rFonts w:hint="eastAsia" w:ascii="宋体" w:hAnsi="宋体" w:cs="宋体"/>
          <w:bCs/>
          <w:color w:val="auto"/>
          <w:sz w:val="24"/>
          <w:szCs w:val="20"/>
          <w:highlight w:val="none"/>
        </w:rPr>
      </w:pPr>
    </w:p>
    <w:p w14:paraId="427B1FD3">
      <w:pPr>
        <w:wordWrap w:val="0"/>
        <w:snapToGrid w:val="0"/>
        <w:spacing w:line="360" w:lineRule="auto"/>
        <w:rPr>
          <w:rFonts w:hint="eastAsia" w:ascii="宋体" w:hAnsi="宋体" w:cs="宋体"/>
          <w:bCs/>
          <w:color w:val="auto"/>
          <w:sz w:val="24"/>
          <w:szCs w:val="20"/>
          <w:highlight w:val="none"/>
        </w:rPr>
      </w:pPr>
    </w:p>
    <w:p w14:paraId="0D4E384F">
      <w:pPr>
        <w:wordWrap w:val="0"/>
        <w:snapToGrid w:val="0"/>
        <w:spacing w:line="360" w:lineRule="auto"/>
        <w:rPr>
          <w:rFonts w:hint="eastAsia" w:ascii="宋体" w:hAnsi="宋体" w:cs="宋体"/>
          <w:bCs/>
          <w:color w:val="auto"/>
          <w:sz w:val="24"/>
          <w:szCs w:val="20"/>
          <w:highlight w:val="none"/>
        </w:rPr>
      </w:pPr>
    </w:p>
    <w:p w14:paraId="58B955F5">
      <w:pPr>
        <w:wordWrap w:val="0"/>
        <w:snapToGrid w:val="0"/>
        <w:spacing w:line="360" w:lineRule="auto"/>
        <w:ind w:firstLine="540" w:firstLineChars="225"/>
        <w:rPr>
          <w:rFonts w:hint="eastAsia" w:ascii="宋体" w:hAnsi="宋体" w:cs="宋体"/>
          <w:bCs/>
          <w:color w:val="auto"/>
          <w:sz w:val="24"/>
          <w:highlight w:val="none"/>
        </w:rPr>
      </w:pPr>
      <w:r>
        <w:rPr>
          <w:rFonts w:hint="eastAsia" w:ascii="宋体" w:hAnsi="宋体" w:cs="宋体"/>
          <w:bCs/>
          <w:color w:val="auto"/>
          <w:sz w:val="24"/>
          <w:highlight w:val="none"/>
        </w:rPr>
        <w:t xml:space="preserve">项目名称： </w:t>
      </w:r>
    </w:p>
    <w:p w14:paraId="4CDAEEA8">
      <w:pPr>
        <w:wordWrap w:val="0"/>
        <w:snapToGrid w:val="0"/>
        <w:spacing w:line="360" w:lineRule="auto"/>
        <w:ind w:firstLine="540" w:firstLineChars="225"/>
        <w:rPr>
          <w:rFonts w:hint="eastAsia" w:ascii="宋体" w:hAnsi="宋体" w:cs="宋体"/>
          <w:bCs/>
          <w:color w:val="auto"/>
          <w:sz w:val="24"/>
          <w:szCs w:val="20"/>
          <w:highlight w:val="none"/>
        </w:rPr>
      </w:pPr>
    </w:p>
    <w:p w14:paraId="792049FB">
      <w:pPr>
        <w:wordWrap w:val="0"/>
        <w:snapToGrid w:val="0"/>
        <w:spacing w:line="360" w:lineRule="auto"/>
        <w:ind w:firstLine="540" w:firstLineChars="225"/>
        <w:rPr>
          <w:rFonts w:hint="eastAsia" w:ascii="宋体" w:hAnsi="宋体" w:cs="宋体"/>
          <w:bCs/>
          <w:color w:val="auto"/>
          <w:sz w:val="24"/>
          <w:highlight w:val="none"/>
        </w:rPr>
      </w:pPr>
      <w:r>
        <w:rPr>
          <w:rFonts w:hint="eastAsia" w:ascii="宋体" w:hAnsi="宋体" w:cs="宋体"/>
          <w:bCs/>
          <w:color w:val="auto"/>
          <w:sz w:val="24"/>
          <w:highlight w:val="none"/>
        </w:rPr>
        <w:t>项目编号：</w:t>
      </w:r>
      <w:r>
        <w:rPr>
          <w:rFonts w:hint="eastAsia" w:ascii="宋体" w:hAnsi="宋体" w:cs="宋体"/>
          <w:color w:val="auto"/>
          <w:sz w:val="24"/>
          <w:highlight w:val="none"/>
        </w:rPr>
        <w:t xml:space="preserve"> </w:t>
      </w:r>
    </w:p>
    <w:p w14:paraId="7EE633DA">
      <w:pPr>
        <w:wordWrap w:val="0"/>
        <w:snapToGrid w:val="0"/>
        <w:spacing w:line="360" w:lineRule="auto"/>
        <w:ind w:firstLine="540" w:firstLineChars="225"/>
        <w:rPr>
          <w:rFonts w:hint="eastAsia" w:ascii="宋体" w:hAnsi="宋体" w:cs="宋体"/>
          <w:bCs/>
          <w:color w:val="auto"/>
          <w:sz w:val="24"/>
          <w:szCs w:val="20"/>
          <w:highlight w:val="none"/>
        </w:rPr>
      </w:pPr>
      <w:r>
        <w:rPr>
          <w:rFonts w:hint="eastAsia" w:ascii="宋体" w:hAnsi="宋体" w:cs="宋体"/>
          <w:bCs/>
          <w:color w:val="auto"/>
          <w:sz w:val="24"/>
          <w:highlight w:val="none"/>
        </w:rPr>
        <w:t xml:space="preserve"> </w:t>
      </w:r>
    </w:p>
    <w:p w14:paraId="59F03F49">
      <w:pPr>
        <w:wordWrap w:val="0"/>
        <w:snapToGrid w:val="0"/>
        <w:spacing w:line="360" w:lineRule="auto"/>
        <w:ind w:firstLine="540" w:firstLineChars="225"/>
        <w:rPr>
          <w:rFonts w:hint="eastAsia" w:ascii="宋体" w:hAnsi="宋体" w:cs="宋体"/>
          <w:bCs/>
          <w:color w:val="auto"/>
          <w:sz w:val="24"/>
          <w:highlight w:val="none"/>
        </w:rPr>
      </w:pPr>
      <w:r>
        <w:rPr>
          <w:rFonts w:hint="eastAsia" w:ascii="宋体" w:hAnsi="宋体" w:cs="宋体"/>
          <w:bCs/>
          <w:color w:val="auto"/>
          <w:sz w:val="24"/>
          <w:highlight w:val="none"/>
        </w:rPr>
        <w:t>所投分标：</w:t>
      </w:r>
    </w:p>
    <w:p w14:paraId="1FE65025">
      <w:pPr>
        <w:pStyle w:val="9"/>
        <w:wordWrap w:val="0"/>
        <w:snapToGrid w:val="0"/>
        <w:spacing w:line="360" w:lineRule="auto"/>
        <w:ind w:firstLine="540" w:firstLineChars="225"/>
        <w:rPr>
          <w:rFonts w:hint="eastAsia" w:ascii="宋体" w:hAnsi="宋体" w:cs="宋体"/>
          <w:bCs/>
          <w:color w:val="auto"/>
          <w:sz w:val="24"/>
          <w:szCs w:val="24"/>
          <w:highlight w:val="none"/>
        </w:rPr>
      </w:pPr>
    </w:p>
    <w:p w14:paraId="3C6EEBEE">
      <w:pPr>
        <w:pStyle w:val="9"/>
        <w:wordWrap w:val="0"/>
        <w:snapToGrid w:val="0"/>
        <w:spacing w:line="360" w:lineRule="auto"/>
        <w:ind w:firstLine="540" w:firstLineChars="225"/>
        <w:rPr>
          <w:rFonts w:hint="eastAsia" w:ascii="宋体" w:hAnsi="宋体" w:cs="宋体"/>
          <w:bCs/>
          <w:color w:val="auto"/>
          <w:sz w:val="24"/>
          <w:szCs w:val="24"/>
          <w:highlight w:val="none"/>
        </w:rPr>
      </w:pPr>
      <w:r>
        <w:rPr>
          <w:rFonts w:hint="eastAsia" w:ascii="宋体" w:hAnsi="宋体" w:cs="宋体"/>
          <w:bCs/>
          <w:color w:val="auto"/>
          <w:sz w:val="24"/>
          <w:szCs w:val="24"/>
          <w:highlight w:val="none"/>
        </w:rPr>
        <w:t>投标人名称：</w:t>
      </w:r>
    </w:p>
    <w:p w14:paraId="6D815C7E">
      <w:pPr>
        <w:pStyle w:val="9"/>
        <w:wordWrap w:val="0"/>
        <w:snapToGrid w:val="0"/>
        <w:spacing w:line="360" w:lineRule="auto"/>
        <w:ind w:firstLine="540" w:firstLineChars="225"/>
        <w:rPr>
          <w:rFonts w:hint="eastAsia" w:ascii="宋体" w:hAnsi="宋体" w:cs="宋体"/>
          <w:bCs/>
          <w:color w:val="auto"/>
          <w:sz w:val="24"/>
          <w:szCs w:val="24"/>
          <w:highlight w:val="none"/>
        </w:rPr>
      </w:pPr>
    </w:p>
    <w:p w14:paraId="26B6A5D9">
      <w:pPr>
        <w:pStyle w:val="9"/>
        <w:wordWrap w:val="0"/>
        <w:snapToGrid w:val="0"/>
        <w:spacing w:line="360" w:lineRule="auto"/>
        <w:ind w:firstLine="960" w:firstLineChars="400"/>
        <w:rPr>
          <w:rFonts w:hint="eastAsia" w:ascii="宋体" w:hAnsi="宋体" w:cs="宋体"/>
          <w:bCs/>
          <w:color w:val="auto"/>
          <w:sz w:val="24"/>
          <w:szCs w:val="24"/>
          <w:highlight w:val="none"/>
        </w:rPr>
      </w:pPr>
    </w:p>
    <w:p w14:paraId="26326AB7">
      <w:pPr>
        <w:wordWrap w:val="0"/>
        <w:snapToGrid w:val="0"/>
        <w:spacing w:line="360" w:lineRule="auto"/>
        <w:ind w:firstLine="480"/>
        <w:jc w:val="center"/>
        <w:rPr>
          <w:rFonts w:hint="eastAsia" w:ascii="宋体" w:hAnsi="宋体" w:cs="宋体"/>
          <w:color w:val="auto"/>
          <w:sz w:val="24"/>
          <w:highlight w:val="none"/>
        </w:rPr>
      </w:pPr>
      <w:r>
        <w:rPr>
          <w:rFonts w:hint="eastAsia" w:ascii="宋体" w:hAnsi="宋体" w:cs="宋体"/>
          <w:color w:val="auto"/>
          <w:sz w:val="24"/>
          <w:highlight w:val="none"/>
        </w:rPr>
        <w:t>年  月  日</w:t>
      </w:r>
    </w:p>
    <w:p w14:paraId="6EEF3095">
      <w:pPr>
        <w:widowControl/>
        <w:wordWrap w:val="0"/>
        <w:spacing w:line="360" w:lineRule="auto"/>
        <w:ind w:firstLine="600"/>
        <w:jc w:val="left"/>
        <w:rPr>
          <w:rFonts w:hint="eastAsia" w:ascii="宋体" w:hAnsi="宋体" w:cs="宋体"/>
          <w:color w:val="auto"/>
          <w:sz w:val="30"/>
          <w:szCs w:val="20"/>
          <w:highlight w:val="none"/>
        </w:rPr>
        <w:sectPr>
          <w:pgSz w:w="11906" w:h="16838"/>
          <w:pgMar w:top="1440" w:right="1080" w:bottom="1440" w:left="1080" w:header="720" w:footer="720" w:gutter="0"/>
          <w:cols w:space="720" w:num="1"/>
          <w:docGrid w:type="lines" w:linePitch="331" w:charSpace="0"/>
        </w:sectPr>
      </w:pPr>
    </w:p>
    <w:p w14:paraId="1AF5D13E">
      <w:pPr>
        <w:wordWrap w:val="0"/>
        <w:spacing w:line="360" w:lineRule="auto"/>
        <w:ind w:firstLine="723"/>
        <w:jc w:val="center"/>
        <w:rPr>
          <w:rFonts w:hint="eastAsia" w:ascii="宋体" w:hAnsi="宋体" w:cs="宋体"/>
          <w:b/>
          <w:color w:val="auto"/>
          <w:kern w:val="0"/>
          <w:sz w:val="36"/>
          <w:szCs w:val="36"/>
          <w:highlight w:val="none"/>
        </w:rPr>
      </w:pPr>
      <w:r>
        <w:rPr>
          <w:rFonts w:hint="eastAsia" w:ascii="宋体" w:hAnsi="宋体" w:cs="宋体"/>
          <w:b/>
          <w:color w:val="auto"/>
          <w:kern w:val="0"/>
          <w:sz w:val="36"/>
          <w:szCs w:val="36"/>
          <w:highlight w:val="none"/>
        </w:rPr>
        <w:t>资格证明文件目录</w:t>
      </w:r>
    </w:p>
    <w:p w14:paraId="3312FF2E">
      <w:pPr>
        <w:wordWrap w:val="0"/>
        <w:snapToGrid w:val="0"/>
        <w:spacing w:line="360" w:lineRule="auto"/>
        <w:rPr>
          <w:rFonts w:hint="eastAsia" w:ascii="宋体" w:hAnsi="宋体" w:cs="宋体"/>
          <w:color w:val="auto"/>
          <w:kern w:val="0"/>
          <w:sz w:val="24"/>
          <w:highlight w:val="none"/>
        </w:rPr>
      </w:pPr>
    </w:p>
    <w:p w14:paraId="0BACCED7">
      <w:pPr>
        <w:wordWrap w:val="0"/>
        <w:snapToGrid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一、</w:t>
      </w:r>
      <w:r>
        <w:rPr>
          <w:rFonts w:hint="eastAsia" w:ascii="宋体" w:hAnsi="宋体" w:cs="宋体"/>
          <w:color w:val="auto"/>
          <w:sz w:val="24"/>
          <w:highlight w:val="none"/>
        </w:rPr>
        <w:t>营业执照(或事业法人登记证或其他工商等登记证明材料)复印件（投标人为自然人的，须提供</w:t>
      </w:r>
      <w:r>
        <w:rPr>
          <w:rFonts w:hint="eastAsia" w:ascii="宋体" w:hAnsi="宋体" w:cs="宋体"/>
          <w:color w:val="auto"/>
          <w:kern w:val="0"/>
          <w:sz w:val="24"/>
          <w:highlight w:val="none"/>
        </w:rPr>
        <w:t>自然人的身份证明</w:t>
      </w:r>
      <w:r>
        <w:rPr>
          <w:rFonts w:hint="eastAsia" w:ascii="宋体" w:hAnsi="宋体" w:cs="宋体"/>
          <w:color w:val="auto"/>
          <w:sz w:val="24"/>
          <w:highlight w:val="none"/>
        </w:rPr>
        <w:t>）</w:t>
      </w:r>
      <w:r>
        <w:rPr>
          <w:rFonts w:hint="eastAsia" w:ascii="宋体" w:hAnsi="宋体" w:cs="宋体"/>
          <w:color w:val="auto"/>
          <w:kern w:val="0"/>
          <w:sz w:val="24"/>
          <w:highlight w:val="none"/>
        </w:rPr>
        <w:t>……………………………………………………………（页码）</w:t>
      </w:r>
    </w:p>
    <w:p w14:paraId="37E943AD">
      <w:pPr>
        <w:wordWrap w:val="0"/>
        <w:snapToGrid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二、符合参与政府采购活动的资格条件依法缴纳税收、社会保障资金等方面的材料…………………………………………………………………………………………（页码）</w:t>
      </w:r>
    </w:p>
    <w:p w14:paraId="02B69369">
      <w:pPr>
        <w:wordWrap w:val="0"/>
        <w:snapToGrid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三、财务状况报告方面的材料…………………………………………………………（页码）</w:t>
      </w:r>
    </w:p>
    <w:p w14:paraId="7EBB115C">
      <w:pPr>
        <w:wordWrap w:val="0"/>
        <w:snapToGrid w:val="0"/>
        <w:spacing w:line="360" w:lineRule="auto"/>
        <w:rPr>
          <w:rFonts w:hint="eastAsia" w:ascii="宋体" w:hAnsi="宋体" w:cs="宋体"/>
          <w:color w:val="auto"/>
          <w:kern w:val="0"/>
          <w:sz w:val="24"/>
          <w:highlight w:val="none"/>
        </w:rPr>
      </w:pPr>
      <w:r>
        <w:rPr>
          <w:rFonts w:hint="eastAsia" w:ascii="宋体" w:hAnsi="宋体" w:cs="宋体"/>
          <w:color w:val="auto"/>
          <w:sz w:val="24"/>
          <w:highlight w:val="none"/>
        </w:rPr>
        <w:t>四、投标人直接控股股东信息</w:t>
      </w:r>
      <w:r>
        <w:rPr>
          <w:rFonts w:hint="eastAsia" w:ascii="宋体" w:hAnsi="宋体" w:cs="宋体"/>
          <w:color w:val="auto"/>
          <w:kern w:val="0"/>
          <w:sz w:val="24"/>
          <w:highlight w:val="none"/>
        </w:rPr>
        <w:t>…………………………………………………………（页码）</w:t>
      </w:r>
    </w:p>
    <w:p w14:paraId="5813F941">
      <w:pPr>
        <w:wordWrap w:val="0"/>
        <w:snapToGrid w:val="0"/>
        <w:spacing w:line="360" w:lineRule="auto"/>
        <w:rPr>
          <w:rFonts w:hint="eastAsia" w:ascii="宋体" w:hAnsi="宋体" w:cs="宋体"/>
          <w:color w:val="auto"/>
          <w:kern w:val="0"/>
          <w:sz w:val="24"/>
          <w:highlight w:val="none"/>
        </w:rPr>
      </w:pPr>
      <w:r>
        <w:rPr>
          <w:rFonts w:hint="eastAsia" w:ascii="宋体" w:hAnsi="宋体" w:cs="宋体"/>
          <w:color w:val="auto"/>
          <w:sz w:val="24"/>
          <w:highlight w:val="none"/>
        </w:rPr>
        <w:t>五、投标人直接管理关系信息表</w:t>
      </w:r>
      <w:r>
        <w:rPr>
          <w:rFonts w:hint="eastAsia" w:ascii="宋体" w:hAnsi="宋体" w:cs="宋体"/>
          <w:color w:val="auto"/>
          <w:kern w:val="0"/>
          <w:sz w:val="24"/>
          <w:highlight w:val="none"/>
        </w:rPr>
        <w:t>………………………………………………………（页码）</w:t>
      </w:r>
    </w:p>
    <w:p w14:paraId="65ED1A84">
      <w:pPr>
        <w:wordWrap w:val="0"/>
        <w:snapToGrid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六、投标资格声明函……………………………………………………………………（页码）</w:t>
      </w:r>
    </w:p>
    <w:p w14:paraId="3235DBC4">
      <w:pPr>
        <w:wordWrap w:val="0"/>
        <w:snapToGrid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七、联合体协议书（</w:t>
      </w:r>
      <w:r>
        <w:rPr>
          <w:rFonts w:hint="eastAsia" w:ascii="宋体" w:hAnsi="宋体" w:cs="宋体"/>
          <w:color w:val="auto"/>
          <w:sz w:val="24"/>
          <w:highlight w:val="none"/>
        </w:rPr>
        <w:t>以联合体形式投标的，提供联合体协议；本项目不接受联合体投标或者投标人不以联合体形式投标的，则不需要提供</w:t>
      </w:r>
      <w:r>
        <w:rPr>
          <w:rFonts w:hint="eastAsia" w:ascii="宋体" w:hAnsi="宋体" w:cs="宋体"/>
          <w:color w:val="auto"/>
          <w:kern w:val="0"/>
          <w:sz w:val="24"/>
          <w:highlight w:val="none"/>
        </w:rPr>
        <w:t>）………………………………………（页码）</w:t>
      </w:r>
    </w:p>
    <w:p w14:paraId="3CA64D81">
      <w:pPr>
        <w:wordWrap w:val="0"/>
        <w:snapToGrid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八、中小企业声明函……………………………………………………………………（页码）</w:t>
      </w:r>
    </w:p>
    <w:p w14:paraId="752B46CA">
      <w:pPr>
        <w:wordWrap w:val="0"/>
        <w:snapToGrid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九、除招标文件规定必须提供以外，投标人认为需要提供的其他证明材料………（页码）</w:t>
      </w:r>
    </w:p>
    <w:p w14:paraId="0E7A7105">
      <w:pPr>
        <w:wordWrap w:val="0"/>
        <w:spacing w:line="360" w:lineRule="auto"/>
        <w:ind w:firstLine="482"/>
        <w:rPr>
          <w:rFonts w:hint="eastAsia" w:ascii="宋体" w:hAnsi="宋体" w:cs="宋体"/>
          <w:b/>
          <w:bCs/>
          <w:color w:val="auto"/>
          <w:sz w:val="24"/>
          <w:highlight w:val="none"/>
        </w:rPr>
      </w:pPr>
      <w:r>
        <w:rPr>
          <w:rFonts w:hint="eastAsia" w:ascii="宋体" w:hAnsi="宋体" w:cs="宋体"/>
          <w:b/>
          <w:bCs/>
          <w:color w:val="auto"/>
          <w:sz w:val="24"/>
          <w:highlight w:val="none"/>
        </w:rPr>
        <w:t>注：以上目录是基本格式要求，各投标人可根据自身情况进一步向下增加内容或细化。</w:t>
      </w:r>
    </w:p>
    <w:p w14:paraId="030DBC76">
      <w:pPr>
        <w:widowControl/>
        <w:wordWrap w:val="0"/>
        <w:spacing w:line="360" w:lineRule="auto"/>
        <w:ind w:firstLine="600"/>
        <w:jc w:val="left"/>
        <w:rPr>
          <w:rFonts w:hint="eastAsia" w:ascii="宋体" w:hAnsi="宋体" w:cs="宋体"/>
          <w:color w:val="auto"/>
          <w:sz w:val="30"/>
          <w:szCs w:val="20"/>
          <w:highlight w:val="none"/>
        </w:rPr>
        <w:sectPr>
          <w:pgSz w:w="11906" w:h="16838"/>
          <w:pgMar w:top="1440" w:right="1080" w:bottom="1440" w:left="1080" w:header="720" w:footer="720" w:gutter="0"/>
          <w:cols w:space="720" w:num="1"/>
          <w:docGrid w:type="lines" w:linePitch="331" w:charSpace="0"/>
        </w:sectPr>
      </w:pPr>
    </w:p>
    <w:p w14:paraId="0E85559B">
      <w:pPr>
        <w:wordWrap w:val="0"/>
        <w:snapToGrid w:val="0"/>
        <w:spacing w:line="360" w:lineRule="auto"/>
        <w:ind w:firstLine="643"/>
        <w:rPr>
          <w:rFonts w:hint="eastAsia" w:ascii="宋体" w:hAnsi="宋体" w:cs="宋体"/>
          <w:b/>
          <w:color w:val="auto"/>
          <w:kern w:val="0"/>
          <w:sz w:val="32"/>
          <w:szCs w:val="32"/>
          <w:highlight w:val="none"/>
          <w:lang w:val="zh-CN"/>
        </w:rPr>
      </w:pPr>
    </w:p>
    <w:p w14:paraId="5B62F104">
      <w:pPr>
        <w:wordWrap w:val="0"/>
        <w:spacing w:line="360" w:lineRule="auto"/>
        <w:ind w:firstLine="643"/>
        <w:jc w:val="center"/>
        <w:rPr>
          <w:rFonts w:hint="eastAsia" w:ascii="宋体" w:hAnsi="宋体" w:cs="宋体"/>
          <w:b/>
          <w:color w:val="auto"/>
          <w:sz w:val="30"/>
          <w:szCs w:val="30"/>
          <w:highlight w:val="none"/>
        </w:rPr>
      </w:pPr>
      <w:r>
        <w:rPr>
          <w:rFonts w:hint="eastAsia" w:ascii="宋体" w:hAnsi="宋体" w:cs="宋体"/>
          <w:b/>
          <w:color w:val="auto"/>
          <w:kern w:val="0"/>
          <w:sz w:val="32"/>
          <w:szCs w:val="32"/>
          <w:highlight w:val="none"/>
          <w:lang w:val="zh-CN"/>
        </w:rPr>
        <w:t>一、</w:t>
      </w:r>
      <w:r>
        <w:rPr>
          <w:rFonts w:hint="eastAsia" w:ascii="宋体" w:hAnsi="宋体" w:cs="宋体"/>
          <w:b/>
          <w:color w:val="auto"/>
          <w:sz w:val="30"/>
          <w:szCs w:val="30"/>
          <w:highlight w:val="none"/>
        </w:rPr>
        <w:t>营业执照(或事业法人登记证或其他工商等登记证明材料)复印件（投标人为自然人的，提供自然人的身份证明）</w:t>
      </w:r>
    </w:p>
    <w:p w14:paraId="78ED858A">
      <w:pPr>
        <w:wordWrap w:val="0"/>
        <w:spacing w:line="360" w:lineRule="auto"/>
        <w:ind w:firstLine="602"/>
        <w:rPr>
          <w:rFonts w:hint="eastAsia" w:ascii="宋体" w:hAnsi="宋体" w:cs="宋体"/>
          <w:b/>
          <w:color w:val="auto"/>
          <w:sz w:val="30"/>
          <w:szCs w:val="30"/>
          <w:highlight w:val="none"/>
        </w:rPr>
      </w:pPr>
    </w:p>
    <w:p w14:paraId="6E9EF3F3">
      <w:pPr>
        <w:wordWrap w:val="0"/>
        <w:snapToGrid w:val="0"/>
        <w:spacing w:line="360" w:lineRule="auto"/>
        <w:ind w:firstLine="480"/>
        <w:jc w:val="center"/>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投标人名称(电子签章)：                              </w:t>
      </w:r>
    </w:p>
    <w:p w14:paraId="2EE27D7B">
      <w:pPr>
        <w:wordWrap w:val="0"/>
        <w:spacing w:line="360" w:lineRule="auto"/>
        <w:jc w:val="center"/>
        <w:rPr>
          <w:rFonts w:hint="eastAsia" w:ascii="宋体" w:hAnsi="宋体" w:cs="宋体"/>
          <w:b/>
          <w:color w:val="auto"/>
          <w:sz w:val="30"/>
          <w:szCs w:val="30"/>
          <w:highlight w:val="none"/>
        </w:rPr>
      </w:pPr>
      <w:r>
        <w:rPr>
          <w:rFonts w:hint="eastAsia" w:ascii="宋体" w:hAnsi="宋体" w:cs="宋体"/>
          <w:color w:val="auto"/>
          <w:kern w:val="0"/>
          <w:sz w:val="24"/>
          <w:highlight w:val="none"/>
          <w:lang w:val="zh-CN"/>
        </w:rPr>
        <w:t xml:space="preserve">                   日期：  年  月</w:t>
      </w:r>
    </w:p>
    <w:p w14:paraId="164A30D2">
      <w:pPr>
        <w:wordWrap w:val="0"/>
        <w:spacing w:line="360" w:lineRule="auto"/>
        <w:ind w:firstLine="602"/>
        <w:jc w:val="center"/>
        <w:rPr>
          <w:rFonts w:hint="eastAsia" w:ascii="宋体" w:hAnsi="宋体" w:cs="宋体"/>
          <w:b/>
          <w:color w:val="auto"/>
          <w:sz w:val="30"/>
          <w:szCs w:val="30"/>
          <w:highlight w:val="none"/>
        </w:rPr>
      </w:pPr>
    </w:p>
    <w:p w14:paraId="46AAC3C0">
      <w:pPr>
        <w:wordWrap w:val="0"/>
        <w:snapToGrid w:val="0"/>
        <w:spacing w:line="360" w:lineRule="auto"/>
        <w:ind w:right="480" w:firstLine="602"/>
        <w:jc w:val="center"/>
        <w:rPr>
          <w:rFonts w:hint="eastAsia" w:ascii="宋体" w:hAnsi="宋体" w:cs="宋体"/>
          <w:b/>
          <w:color w:val="auto"/>
          <w:kern w:val="0"/>
          <w:sz w:val="32"/>
          <w:szCs w:val="32"/>
          <w:highlight w:val="none"/>
        </w:rPr>
      </w:pPr>
      <w:r>
        <w:rPr>
          <w:rFonts w:hint="eastAsia" w:ascii="宋体" w:hAnsi="宋体" w:cs="宋体"/>
          <w:b/>
          <w:color w:val="auto"/>
          <w:sz w:val="30"/>
          <w:szCs w:val="30"/>
          <w:highlight w:val="none"/>
        </w:rPr>
        <w:t>二、</w:t>
      </w:r>
      <w:r>
        <w:rPr>
          <w:rFonts w:hint="eastAsia" w:ascii="宋体" w:hAnsi="宋体" w:cs="宋体"/>
          <w:b/>
          <w:color w:val="auto"/>
          <w:kern w:val="0"/>
          <w:sz w:val="32"/>
          <w:szCs w:val="32"/>
          <w:highlight w:val="none"/>
        </w:rPr>
        <w:t>符合参与政府采购活动的资格条件依法缴纳税收、社会保障资金等方面的材料</w:t>
      </w:r>
    </w:p>
    <w:p w14:paraId="19B26162">
      <w:pPr>
        <w:wordWrap w:val="0"/>
        <w:snapToGrid w:val="0"/>
        <w:spacing w:line="360" w:lineRule="auto"/>
        <w:ind w:firstLine="480" w:firstLineChars="200"/>
        <w:rPr>
          <w:rFonts w:hint="eastAsia" w:ascii="宋体" w:hAnsi="宋体" w:cs="宋体"/>
          <w:color w:val="auto"/>
          <w:sz w:val="24"/>
          <w:highlight w:val="none"/>
        </w:rPr>
      </w:pPr>
    </w:p>
    <w:p w14:paraId="6F01B8F8">
      <w:pPr>
        <w:wordWrap w:val="0"/>
        <w:snapToGrid w:val="0"/>
        <w:spacing w:line="360" w:lineRule="auto"/>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371A2D55">
      <w:pPr>
        <w:wordWrap w:val="0"/>
        <w:snapToGrid w:val="0"/>
        <w:spacing w:line="360" w:lineRule="auto"/>
        <w:ind w:firstLine="5040" w:firstLineChars="210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 xml:space="preserve"> 投标人名称(电子签章)：</w:t>
      </w:r>
    </w:p>
    <w:p w14:paraId="4F8CD303">
      <w:pPr>
        <w:wordWrap w:val="0"/>
        <w:snapToGrid w:val="0"/>
        <w:spacing w:line="360" w:lineRule="auto"/>
        <w:ind w:firstLine="5160" w:firstLineChars="215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72880899">
      <w:pPr>
        <w:wordWrap w:val="0"/>
        <w:snapToGrid w:val="0"/>
        <w:spacing w:line="360" w:lineRule="auto"/>
        <w:ind w:right="480" w:firstLine="602"/>
        <w:jc w:val="center"/>
        <w:rPr>
          <w:rFonts w:hint="eastAsia" w:ascii="宋体" w:hAnsi="宋体" w:cs="宋体"/>
          <w:b/>
          <w:color w:val="auto"/>
          <w:kern w:val="0"/>
          <w:sz w:val="32"/>
          <w:szCs w:val="32"/>
          <w:highlight w:val="none"/>
        </w:rPr>
      </w:pPr>
      <w:r>
        <w:rPr>
          <w:rFonts w:hint="eastAsia" w:ascii="宋体" w:hAnsi="宋体" w:cs="宋体"/>
          <w:b/>
          <w:color w:val="auto"/>
          <w:sz w:val="30"/>
          <w:szCs w:val="30"/>
          <w:highlight w:val="none"/>
        </w:rPr>
        <w:t>三、</w:t>
      </w:r>
      <w:r>
        <w:rPr>
          <w:rFonts w:hint="eastAsia" w:ascii="宋体" w:hAnsi="宋体" w:cs="宋体"/>
          <w:b/>
          <w:color w:val="auto"/>
          <w:kern w:val="0"/>
          <w:sz w:val="32"/>
          <w:szCs w:val="32"/>
          <w:highlight w:val="none"/>
        </w:rPr>
        <w:t>财务状况报告方面的材料</w:t>
      </w:r>
    </w:p>
    <w:p w14:paraId="46059128">
      <w:pPr>
        <w:wordWrap w:val="0"/>
        <w:snapToGrid w:val="0"/>
        <w:spacing w:line="360" w:lineRule="auto"/>
        <w:ind w:firstLine="480" w:firstLineChars="200"/>
        <w:rPr>
          <w:rFonts w:hint="eastAsia" w:ascii="宋体" w:hAnsi="宋体" w:cs="宋体"/>
          <w:color w:val="auto"/>
          <w:sz w:val="24"/>
          <w:highlight w:val="none"/>
        </w:rPr>
      </w:pPr>
    </w:p>
    <w:p w14:paraId="4AF921FE">
      <w:pPr>
        <w:wordWrap w:val="0"/>
        <w:snapToGrid w:val="0"/>
        <w:spacing w:line="360" w:lineRule="auto"/>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2A4C2DD6">
      <w:pPr>
        <w:wordWrap w:val="0"/>
        <w:snapToGrid w:val="0"/>
        <w:spacing w:line="360" w:lineRule="auto"/>
        <w:ind w:firstLine="5040" w:firstLineChars="210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 xml:space="preserve"> 投标人名称(电子签章)：</w:t>
      </w:r>
    </w:p>
    <w:p w14:paraId="597DA90F">
      <w:pPr>
        <w:wordWrap w:val="0"/>
        <w:snapToGrid w:val="0"/>
        <w:spacing w:line="360" w:lineRule="auto"/>
        <w:ind w:firstLine="5160" w:firstLineChars="215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5B73A58A">
      <w:pPr>
        <w:wordWrap w:val="0"/>
        <w:snapToGrid w:val="0"/>
        <w:spacing w:line="360" w:lineRule="auto"/>
        <w:ind w:firstLine="5160" w:firstLineChars="2150"/>
        <w:rPr>
          <w:rFonts w:hint="eastAsia" w:ascii="宋体" w:hAnsi="宋体" w:cs="宋体"/>
          <w:color w:val="auto"/>
          <w:kern w:val="0"/>
          <w:sz w:val="24"/>
          <w:highlight w:val="none"/>
          <w:lang w:val="zh-CN"/>
        </w:rPr>
      </w:pPr>
    </w:p>
    <w:p w14:paraId="7E28DBEF">
      <w:pPr>
        <w:wordWrap w:val="0"/>
        <w:snapToGrid w:val="0"/>
        <w:spacing w:line="360" w:lineRule="auto"/>
        <w:ind w:right="480" w:firstLine="643"/>
        <w:jc w:val="center"/>
        <w:rPr>
          <w:rFonts w:hint="eastAsia" w:ascii="宋体" w:hAnsi="宋体" w:cs="宋体"/>
          <w:b/>
          <w:color w:val="auto"/>
          <w:kern w:val="0"/>
          <w:sz w:val="32"/>
          <w:szCs w:val="32"/>
          <w:highlight w:val="none"/>
          <w:lang w:val="zh-CN"/>
        </w:rPr>
      </w:pPr>
    </w:p>
    <w:p w14:paraId="2831013B">
      <w:pPr>
        <w:wordWrap w:val="0"/>
        <w:snapToGrid w:val="0"/>
        <w:spacing w:line="360" w:lineRule="auto"/>
        <w:ind w:right="480" w:firstLine="643"/>
        <w:jc w:val="center"/>
        <w:rPr>
          <w:rFonts w:hint="eastAsia" w:ascii="宋体" w:hAnsi="宋体" w:cs="宋体"/>
          <w:b/>
          <w:color w:val="auto"/>
          <w:sz w:val="28"/>
          <w:szCs w:val="28"/>
          <w:highlight w:val="none"/>
        </w:rPr>
      </w:pPr>
      <w:r>
        <w:rPr>
          <w:rFonts w:hint="eastAsia" w:ascii="宋体" w:hAnsi="宋体" w:cs="宋体"/>
          <w:b/>
          <w:color w:val="auto"/>
          <w:kern w:val="0"/>
          <w:sz w:val="32"/>
          <w:szCs w:val="32"/>
          <w:highlight w:val="none"/>
        </w:rPr>
        <w:br w:type="page"/>
      </w:r>
    </w:p>
    <w:p w14:paraId="4206D862">
      <w:pPr>
        <w:wordWrap w:val="0"/>
        <w:snapToGrid w:val="0"/>
        <w:spacing w:line="360" w:lineRule="auto"/>
        <w:ind w:firstLine="643"/>
        <w:jc w:val="center"/>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t>四、投标人直接控股股东信息表</w:t>
      </w:r>
    </w:p>
    <w:tbl>
      <w:tblPr>
        <w:tblStyle w:val="25"/>
        <w:tblW w:w="9476" w:type="dxa"/>
        <w:tblInd w:w="125"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0FF1925E">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1640B00">
            <w:pPr>
              <w:wordWrap w:val="0"/>
              <w:spacing w:line="360" w:lineRule="auto"/>
              <w:ind w:firstLine="482"/>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62A210D">
            <w:pPr>
              <w:wordWrap w:val="0"/>
              <w:spacing w:line="360" w:lineRule="auto"/>
              <w:ind w:firstLine="482"/>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06D8375">
            <w:pPr>
              <w:wordWrap w:val="0"/>
              <w:spacing w:line="360" w:lineRule="auto"/>
              <w:ind w:firstLine="482"/>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2FF3812">
            <w:pPr>
              <w:wordWrap w:val="0"/>
              <w:spacing w:line="360" w:lineRule="auto"/>
              <w:ind w:firstLine="482"/>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FDC7B3B">
            <w:pPr>
              <w:wordWrap w:val="0"/>
              <w:spacing w:line="360" w:lineRule="auto"/>
              <w:ind w:firstLine="482"/>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19660C40">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FE984E6">
            <w:pPr>
              <w:wordWrap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3423687">
            <w:pPr>
              <w:wordWrap w:val="0"/>
              <w:spacing w:line="360" w:lineRule="auto"/>
              <w:jc w:val="center"/>
              <w:rPr>
                <w:rFonts w:hint="eastAsia"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60BA09D">
            <w:pPr>
              <w:wordWrap w:val="0"/>
              <w:spacing w:line="360" w:lineRule="auto"/>
              <w:jc w:val="center"/>
              <w:rPr>
                <w:rFonts w:hint="eastAsia"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9EE38A8">
            <w:pPr>
              <w:wordWrap w:val="0"/>
              <w:spacing w:line="360" w:lineRule="auto"/>
              <w:jc w:val="center"/>
              <w:rPr>
                <w:rFonts w:hint="eastAsia"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5126D30">
            <w:pPr>
              <w:wordWrap w:val="0"/>
              <w:spacing w:line="360" w:lineRule="auto"/>
              <w:jc w:val="center"/>
              <w:rPr>
                <w:rFonts w:hint="eastAsia" w:ascii="宋体" w:hAnsi="宋体" w:cs="宋体"/>
                <w:color w:val="auto"/>
                <w:kern w:val="0"/>
                <w:sz w:val="24"/>
                <w:highlight w:val="none"/>
              </w:rPr>
            </w:pPr>
          </w:p>
        </w:tc>
      </w:tr>
      <w:tr w14:paraId="177731D4">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25220DE">
            <w:pPr>
              <w:wordWrap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475BE61">
            <w:pPr>
              <w:wordWrap w:val="0"/>
              <w:spacing w:line="360" w:lineRule="auto"/>
              <w:jc w:val="center"/>
              <w:rPr>
                <w:rFonts w:hint="eastAsia"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4AE1830">
            <w:pPr>
              <w:wordWrap w:val="0"/>
              <w:spacing w:line="360" w:lineRule="auto"/>
              <w:jc w:val="center"/>
              <w:rPr>
                <w:rFonts w:hint="eastAsia"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D442186">
            <w:pPr>
              <w:wordWrap w:val="0"/>
              <w:spacing w:line="360" w:lineRule="auto"/>
              <w:jc w:val="center"/>
              <w:rPr>
                <w:rFonts w:hint="eastAsia"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FF74590">
            <w:pPr>
              <w:wordWrap w:val="0"/>
              <w:spacing w:line="360" w:lineRule="auto"/>
              <w:jc w:val="center"/>
              <w:rPr>
                <w:rFonts w:hint="eastAsia" w:ascii="宋体" w:hAnsi="宋体" w:cs="宋体"/>
                <w:color w:val="auto"/>
                <w:kern w:val="0"/>
                <w:sz w:val="24"/>
                <w:highlight w:val="none"/>
              </w:rPr>
            </w:pPr>
          </w:p>
        </w:tc>
      </w:tr>
      <w:tr w14:paraId="016DA879">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FD463B6">
            <w:pPr>
              <w:wordWrap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9A43528">
            <w:pPr>
              <w:wordWrap w:val="0"/>
              <w:spacing w:line="360" w:lineRule="auto"/>
              <w:jc w:val="center"/>
              <w:rPr>
                <w:rFonts w:hint="eastAsia"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833D513">
            <w:pPr>
              <w:wordWrap w:val="0"/>
              <w:spacing w:line="360" w:lineRule="auto"/>
              <w:jc w:val="center"/>
              <w:rPr>
                <w:rFonts w:hint="eastAsia"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55FECF8">
            <w:pPr>
              <w:wordWrap w:val="0"/>
              <w:spacing w:line="360" w:lineRule="auto"/>
              <w:jc w:val="center"/>
              <w:rPr>
                <w:rFonts w:hint="eastAsia"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F27B072">
            <w:pPr>
              <w:wordWrap w:val="0"/>
              <w:spacing w:line="360" w:lineRule="auto"/>
              <w:jc w:val="center"/>
              <w:rPr>
                <w:rFonts w:hint="eastAsia" w:ascii="宋体" w:hAnsi="宋体" w:cs="宋体"/>
                <w:color w:val="auto"/>
                <w:kern w:val="0"/>
                <w:sz w:val="24"/>
                <w:highlight w:val="none"/>
              </w:rPr>
            </w:pPr>
          </w:p>
        </w:tc>
      </w:tr>
      <w:tr w14:paraId="4D23573F">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68FB67E">
            <w:pPr>
              <w:wordWrap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E83A029">
            <w:pPr>
              <w:wordWrap w:val="0"/>
              <w:spacing w:line="360" w:lineRule="auto"/>
              <w:jc w:val="center"/>
              <w:rPr>
                <w:rFonts w:hint="eastAsia"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834435A">
            <w:pPr>
              <w:wordWrap w:val="0"/>
              <w:spacing w:line="360" w:lineRule="auto"/>
              <w:jc w:val="center"/>
              <w:rPr>
                <w:rFonts w:hint="eastAsia"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AA7B026">
            <w:pPr>
              <w:wordWrap w:val="0"/>
              <w:spacing w:line="360" w:lineRule="auto"/>
              <w:jc w:val="center"/>
              <w:rPr>
                <w:rFonts w:hint="eastAsia"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1584F38">
            <w:pPr>
              <w:wordWrap w:val="0"/>
              <w:spacing w:line="360" w:lineRule="auto"/>
              <w:jc w:val="center"/>
              <w:rPr>
                <w:rFonts w:hint="eastAsia" w:ascii="宋体" w:hAnsi="宋体" w:cs="宋体"/>
                <w:color w:val="auto"/>
                <w:kern w:val="0"/>
                <w:sz w:val="24"/>
                <w:highlight w:val="none"/>
              </w:rPr>
            </w:pPr>
          </w:p>
        </w:tc>
      </w:tr>
    </w:tbl>
    <w:p w14:paraId="5CA3E272">
      <w:pPr>
        <w:wordWrap w:val="0"/>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注：</w:t>
      </w:r>
    </w:p>
    <w:p w14:paraId="5E567902">
      <w:pPr>
        <w:wordWrap w:val="0"/>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1926EE45">
      <w:pPr>
        <w:wordWrap w:val="0"/>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2.本表所指的控股关系仅限于直接控股关系，不包括间接的控股关系。公司实际控制人与公司之间的关系不属于本表所指的直接控股关系。</w:t>
      </w:r>
    </w:p>
    <w:p w14:paraId="50E14598">
      <w:pPr>
        <w:wordWrap w:val="0"/>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3.供应商不存在直接控股股东的，则填“无”。</w:t>
      </w:r>
    </w:p>
    <w:p w14:paraId="1E02F0CE">
      <w:pPr>
        <w:wordWrap w:val="0"/>
        <w:snapToGrid w:val="0"/>
        <w:spacing w:line="360" w:lineRule="auto"/>
        <w:jc w:val="left"/>
        <w:rPr>
          <w:rFonts w:hint="eastAsia" w:ascii="宋体" w:hAnsi="宋体" w:cs="宋体"/>
          <w:color w:val="auto"/>
          <w:sz w:val="24"/>
          <w:highlight w:val="none"/>
        </w:rPr>
      </w:pPr>
    </w:p>
    <w:p w14:paraId="195F00F5">
      <w:pPr>
        <w:wordWrap w:val="0"/>
        <w:snapToGrid w:val="0"/>
        <w:spacing w:line="360" w:lineRule="auto"/>
        <w:jc w:val="left"/>
        <w:rPr>
          <w:rFonts w:hint="eastAsia" w:ascii="宋体" w:hAnsi="宋体" w:cs="宋体"/>
          <w:color w:val="auto"/>
          <w:sz w:val="24"/>
          <w:highlight w:val="none"/>
        </w:rPr>
      </w:pPr>
    </w:p>
    <w:p w14:paraId="6FC4149E">
      <w:pPr>
        <w:wordWrap w:val="0"/>
        <w:snapToGrid w:val="0"/>
        <w:spacing w:line="360" w:lineRule="auto"/>
        <w:jc w:val="left"/>
        <w:rPr>
          <w:rFonts w:hint="eastAsia" w:ascii="宋体" w:hAnsi="宋体" w:cs="宋体"/>
          <w:color w:val="auto"/>
          <w:sz w:val="24"/>
          <w:highlight w:val="none"/>
        </w:rPr>
      </w:pPr>
    </w:p>
    <w:p w14:paraId="057A6F74">
      <w:pPr>
        <w:wordWrap w:val="0"/>
        <w:snapToGrid w:val="0"/>
        <w:spacing w:line="360" w:lineRule="auto"/>
        <w:jc w:val="left"/>
        <w:rPr>
          <w:rFonts w:hint="eastAsia" w:ascii="宋体" w:hAnsi="宋体" w:cs="宋体"/>
          <w:color w:val="auto"/>
          <w:sz w:val="24"/>
          <w:highlight w:val="none"/>
        </w:rPr>
      </w:pPr>
    </w:p>
    <w:p w14:paraId="537DBD54">
      <w:pPr>
        <w:wordWrap w:val="0"/>
        <w:snapToGrid w:val="0"/>
        <w:spacing w:line="360" w:lineRule="auto"/>
        <w:jc w:val="left"/>
        <w:rPr>
          <w:rFonts w:hint="eastAsia" w:ascii="宋体" w:hAnsi="宋体" w:cs="宋体"/>
          <w:color w:val="auto"/>
          <w:sz w:val="24"/>
          <w:highlight w:val="none"/>
        </w:rPr>
      </w:pPr>
    </w:p>
    <w:p w14:paraId="22B54B23">
      <w:pPr>
        <w:wordWrap w:val="0"/>
        <w:snapToGrid w:val="0"/>
        <w:spacing w:line="360" w:lineRule="auto"/>
        <w:ind w:firstLine="5040" w:firstLineChars="210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投标人名称(电子签章)：</w:t>
      </w:r>
    </w:p>
    <w:p w14:paraId="5F90AD6A">
      <w:pPr>
        <w:wordWrap w:val="0"/>
        <w:snapToGrid w:val="0"/>
        <w:spacing w:line="360" w:lineRule="auto"/>
        <w:ind w:firstLine="5160" w:firstLineChars="215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4FABB4B6">
      <w:pPr>
        <w:wordWrap w:val="0"/>
        <w:snapToGrid w:val="0"/>
        <w:spacing w:line="360" w:lineRule="auto"/>
        <w:ind w:firstLine="562"/>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br w:type="page"/>
      </w:r>
    </w:p>
    <w:p w14:paraId="5DAF2495">
      <w:pPr>
        <w:wordWrap w:val="0"/>
        <w:snapToGrid w:val="0"/>
        <w:spacing w:line="360" w:lineRule="auto"/>
        <w:ind w:firstLine="643"/>
        <w:jc w:val="center"/>
        <w:rPr>
          <w:rFonts w:hint="eastAsia" w:ascii="宋体" w:hAnsi="宋体" w:cs="宋体"/>
          <w:color w:val="auto"/>
          <w:sz w:val="32"/>
          <w:szCs w:val="32"/>
          <w:highlight w:val="none"/>
        </w:rPr>
      </w:pPr>
      <w:r>
        <w:rPr>
          <w:rFonts w:hint="eastAsia" w:ascii="宋体" w:hAnsi="宋体" w:cs="宋体"/>
          <w:b/>
          <w:color w:val="auto"/>
          <w:sz w:val="32"/>
          <w:szCs w:val="32"/>
          <w:highlight w:val="none"/>
        </w:rPr>
        <w:t>五、投标人直接管理关系信息表</w:t>
      </w:r>
    </w:p>
    <w:tbl>
      <w:tblPr>
        <w:tblStyle w:val="25"/>
        <w:tblW w:w="9652" w:type="dxa"/>
        <w:tblInd w:w="125" w:type="dxa"/>
        <w:shd w:val="clear" w:color="auto" w:fill="FBFBFB"/>
        <w:tblLayout w:type="fixed"/>
        <w:tblCellMar>
          <w:top w:w="0" w:type="dxa"/>
          <w:left w:w="0" w:type="dxa"/>
          <w:bottom w:w="0" w:type="dxa"/>
          <w:right w:w="0" w:type="dxa"/>
        </w:tblCellMar>
      </w:tblPr>
      <w:tblGrid>
        <w:gridCol w:w="1005"/>
        <w:gridCol w:w="2659"/>
        <w:gridCol w:w="3924"/>
        <w:gridCol w:w="2064"/>
      </w:tblGrid>
      <w:tr w14:paraId="018DA899">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78F7ACC">
            <w:pPr>
              <w:wordWrap w:val="0"/>
              <w:spacing w:line="360" w:lineRule="auto"/>
              <w:ind w:firstLine="482"/>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2CFF166">
            <w:pPr>
              <w:wordWrap w:val="0"/>
              <w:spacing w:line="360" w:lineRule="auto"/>
              <w:ind w:firstLine="482"/>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EAB89A6">
            <w:pPr>
              <w:wordWrap w:val="0"/>
              <w:spacing w:line="360" w:lineRule="auto"/>
              <w:ind w:firstLine="482"/>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1E24F58">
            <w:pPr>
              <w:wordWrap w:val="0"/>
              <w:spacing w:line="360" w:lineRule="auto"/>
              <w:ind w:firstLine="482"/>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5A206E6B">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6F0A7EB">
            <w:pPr>
              <w:wordWrap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FEB7DA9">
            <w:pPr>
              <w:wordWrap w:val="0"/>
              <w:spacing w:line="360" w:lineRule="auto"/>
              <w:jc w:val="center"/>
              <w:rPr>
                <w:rFonts w:hint="eastAsia"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1606FB7">
            <w:pPr>
              <w:wordWrap w:val="0"/>
              <w:spacing w:line="360" w:lineRule="auto"/>
              <w:jc w:val="center"/>
              <w:rPr>
                <w:rFonts w:hint="eastAsia"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658300E">
            <w:pPr>
              <w:wordWrap w:val="0"/>
              <w:spacing w:line="360" w:lineRule="auto"/>
              <w:jc w:val="center"/>
              <w:rPr>
                <w:rFonts w:hint="eastAsia" w:ascii="宋体" w:hAnsi="宋体" w:cs="宋体"/>
                <w:color w:val="auto"/>
                <w:kern w:val="0"/>
                <w:sz w:val="24"/>
                <w:highlight w:val="none"/>
              </w:rPr>
            </w:pPr>
          </w:p>
        </w:tc>
      </w:tr>
      <w:tr w14:paraId="7FCA6213">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83503AA">
            <w:pPr>
              <w:wordWrap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4B6D066">
            <w:pPr>
              <w:wordWrap w:val="0"/>
              <w:spacing w:line="360" w:lineRule="auto"/>
              <w:jc w:val="center"/>
              <w:rPr>
                <w:rFonts w:hint="eastAsia"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CF428AD">
            <w:pPr>
              <w:wordWrap w:val="0"/>
              <w:spacing w:line="360" w:lineRule="auto"/>
              <w:jc w:val="center"/>
              <w:rPr>
                <w:rFonts w:hint="eastAsia"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C2D4841">
            <w:pPr>
              <w:wordWrap w:val="0"/>
              <w:spacing w:line="360" w:lineRule="auto"/>
              <w:jc w:val="center"/>
              <w:rPr>
                <w:rFonts w:hint="eastAsia" w:ascii="宋体" w:hAnsi="宋体" w:cs="宋体"/>
                <w:color w:val="auto"/>
                <w:kern w:val="0"/>
                <w:sz w:val="24"/>
                <w:highlight w:val="none"/>
              </w:rPr>
            </w:pPr>
          </w:p>
        </w:tc>
      </w:tr>
      <w:tr w14:paraId="28E2921B">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197DC56">
            <w:pPr>
              <w:wordWrap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5ED2D5A">
            <w:pPr>
              <w:wordWrap w:val="0"/>
              <w:spacing w:line="360" w:lineRule="auto"/>
              <w:jc w:val="center"/>
              <w:rPr>
                <w:rFonts w:hint="eastAsia"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486FF99">
            <w:pPr>
              <w:wordWrap w:val="0"/>
              <w:spacing w:line="360" w:lineRule="auto"/>
              <w:jc w:val="center"/>
              <w:rPr>
                <w:rFonts w:hint="eastAsia"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A47C8F1">
            <w:pPr>
              <w:wordWrap w:val="0"/>
              <w:spacing w:line="360" w:lineRule="auto"/>
              <w:jc w:val="center"/>
              <w:rPr>
                <w:rFonts w:hint="eastAsia" w:ascii="宋体" w:hAnsi="宋体" w:cs="宋体"/>
                <w:color w:val="auto"/>
                <w:kern w:val="0"/>
                <w:sz w:val="24"/>
                <w:highlight w:val="none"/>
              </w:rPr>
            </w:pPr>
          </w:p>
        </w:tc>
      </w:tr>
      <w:tr w14:paraId="54C8B9AD">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28FAD7D">
            <w:pPr>
              <w:wordWrap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DCE8A20">
            <w:pPr>
              <w:wordWrap w:val="0"/>
              <w:spacing w:line="360" w:lineRule="auto"/>
              <w:jc w:val="center"/>
              <w:rPr>
                <w:rFonts w:hint="eastAsia"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CA44860">
            <w:pPr>
              <w:wordWrap w:val="0"/>
              <w:spacing w:line="360" w:lineRule="auto"/>
              <w:jc w:val="center"/>
              <w:rPr>
                <w:rFonts w:hint="eastAsia"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5DB34A9">
            <w:pPr>
              <w:wordWrap w:val="0"/>
              <w:spacing w:line="360" w:lineRule="auto"/>
              <w:jc w:val="center"/>
              <w:rPr>
                <w:rFonts w:hint="eastAsia" w:ascii="宋体" w:hAnsi="宋体" w:cs="宋体"/>
                <w:color w:val="auto"/>
                <w:kern w:val="0"/>
                <w:sz w:val="24"/>
                <w:highlight w:val="none"/>
              </w:rPr>
            </w:pPr>
          </w:p>
        </w:tc>
      </w:tr>
    </w:tbl>
    <w:p w14:paraId="08CA19C4">
      <w:pPr>
        <w:wordWrap w:val="0"/>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注：</w:t>
      </w:r>
    </w:p>
    <w:p w14:paraId="0545EB97">
      <w:pPr>
        <w:wordWrap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1.管理关系：是指不具有出资持股关系的其他单位之间存在的管理与被管理关系，如一些上下级关系的事业单位和团体组织。</w:t>
      </w:r>
    </w:p>
    <w:p w14:paraId="7A858BD4">
      <w:pPr>
        <w:wordWrap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pacing w:val="-6"/>
          <w:sz w:val="24"/>
          <w:highlight w:val="none"/>
        </w:rPr>
        <w:t>本表所指的管理关系仅限于直接管理关系，不包括间接的管理关系。</w:t>
      </w:r>
    </w:p>
    <w:p w14:paraId="07A57763">
      <w:pPr>
        <w:wordWrap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3.供应商不存在直接管理关系的，则填“无”。</w:t>
      </w:r>
    </w:p>
    <w:p w14:paraId="699C0641">
      <w:pPr>
        <w:wordWrap w:val="0"/>
        <w:snapToGrid w:val="0"/>
        <w:spacing w:line="360" w:lineRule="auto"/>
        <w:jc w:val="left"/>
        <w:rPr>
          <w:rFonts w:hint="eastAsia" w:ascii="宋体" w:hAnsi="宋体" w:cs="宋体"/>
          <w:color w:val="auto"/>
          <w:sz w:val="24"/>
          <w:highlight w:val="none"/>
        </w:rPr>
      </w:pPr>
    </w:p>
    <w:p w14:paraId="119A2723">
      <w:pPr>
        <w:wordWrap w:val="0"/>
        <w:snapToGrid w:val="0"/>
        <w:spacing w:line="360" w:lineRule="auto"/>
        <w:jc w:val="left"/>
        <w:rPr>
          <w:rFonts w:hint="eastAsia" w:ascii="宋体" w:hAnsi="宋体" w:cs="宋体"/>
          <w:color w:val="auto"/>
          <w:sz w:val="24"/>
          <w:highlight w:val="none"/>
        </w:rPr>
      </w:pPr>
    </w:p>
    <w:p w14:paraId="0259A510">
      <w:pPr>
        <w:wordWrap w:val="0"/>
        <w:snapToGrid w:val="0"/>
        <w:spacing w:line="360" w:lineRule="auto"/>
        <w:jc w:val="left"/>
        <w:rPr>
          <w:rFonts w:hint="eastAsia" w:ascii="宋体" w:hAnsi="宋体" w:cs="宋体"/>
          <w:color w:val="auto"/>
          <w:sz w:val="24"/>
          <w:highlight w:val="none"/>
        </w:rPr>
      </w:pPr>
    </w:p>
    <w:p w14:paraId="4E7D416E">
      <w:pPr>
        <w:wordWrap w:val="0"/>
        <w:snapToGrid w:val="0"/>
        <w:spacing w:line="360" w:lineRule="auto"/>
        <w:jc w:val="left"/>
        <w:rPr>
          <w:rFonts w:hint="eastAsia" w:ascii="宋体" w:hAnsi="宋体" w:cs="宋体"/>
          <w:color w:val="auto"/>
          <w:sz w:val="24"/>
          <w:highlight w:val="none"/>
        </w:rPr>
      </w:pPr>
    </w:p>
    <w:p w14:paraId="4BCE2FDD">
      <w:pPr>
        <w:wordWrap w:val="0"/>
        <w:snapToGrid w:val="0"/>
        <w:spacing w:line="360" w:lineRule="auto"/>
        <w:jc w:val="left"/>
        <w:rPr>
          <w:rFonts w:hint="eastAsia" w:ascii="宋体" w:hAnsi="宋体" w:cs="宋体"/>
          <w:color w:val="auto"/>
          <w:sz w:val="24"/>
          <w:highlight w:val="none"/>
        </w:rPr>
      </w:pPr>
    </w:p>
    <w:p w14:paraId="7182A586">
      <w:pPr>
        <w:wordWrap w:val="0"/>
        <w:snapToGrid w:val="0"/>
        <w:spacing w:line="360" w:lineRule="auto"/>
        <w:jc w:val="left"/>
        <w:rPr>
          <w:rFonts w:hint="eastAsia" w:ascii="宋体" w:hAnsi="宋体" w:cs="宋体"/>
          <w:color w:val="auto"/>
          <w:sz w:val="24"/>
          <w:highlight w:val="none"/>
        </w:rPr>
      </w:pPr>
    </w:p>
    <w:p w14:paraId="5181D8D9">
      <w:pPr>
        <w:wordWrap w:val="0"/>
        <w:snapToGrid w:val="0"/>
        <w:spacing w:line="360" w:lineRule="auto"/>
        <w:jc w:val="left"/>
        <w:rPr>
          <w:rFonts w:hint="eastAsia" w:ascii="宋体" w:hAnsi="宋体" w:cs="宋体"/>
          <w:color w:val="auto"/>
          <w:sz w:val="24"/>
          <w:highlight w:val="none"/>
        </w:rPr>
      </w:pPr>
    </w:p>
    <w:p w14:paraId="7075A6A1">
      <w:pPr>
        <w:wordWrap w:val="0"/>
        <w:snapToGrid w:val="0"/>
        <w:spacing w:line="360" w:lineRule="auto"/>
        <w:jc w:val="left"/>
        <w:rPr>
          <w:rFonts w:hint="eastAsia" w:ascii="宋体" w:hAnsi="宋体" w:cs="宋体"/>
          <w:color w:val="auto"/>
          <w:sz w:val="24"/>
          <w:highlight w:val="none"/>
        </w:rPr>
      </w:pPr>
    </w:p>
    <w:p w14:paraId="2A8D62A3">
      <w:pPr>
        <w:wordWrap w:val="0"/>
        <w:snapToGrid w:val="0"/>
        <w:spacing w:line="360" w:lineRule="auto"/>
        <w:ind w:firstLine="5040" w:firstLineChars="210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投标人名称(电子签章)：</w:t>
      </w:r>
    </w:p>
    <w:p w14:paraId="5063BDC1">
      <w:pPr>
        <w:wordWrap w:val="0"/>
        <w:snapToGrid w:val="0"/>
        <w:spacing w:line="360" w:lineRule="auto"/>
        <w:ind w:firstLine="5160" w:firstLineChars="215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0FC8D8CB">
      <w:pPr>
        <w:wordWrap w:val="0"/>
        <w:snapToGrid w:val="0"/>
        <w:spacing w:line="360" w:lineRule="auto"/>
        <w:jc w:val="left"/>
        <w:rPr>
          <w:rFonts w:hint="eastAsia" w:ascii="宋体" w:hAnsi="宋体" w:cs="宋体"/>
          <w:color w:val="auto"/>
          <w:szCs w:val="21"/>
          <w:highlight w:val="none"/>
        </w:rPr>
      </w:pPr>
    </w:p>
    <w:p w14:paraId="2E303EEB">
      <w:pPr>
        <w:wordWrap w:val="0"/>
        <w:snapToGrid w:val="0"/>
        <w:spacing w:line="360" w:lineRule="auto"/>
        <w:ind w:firstLine="482"/>
        <w:jc w:val="left"/>
        <w:rPr>
          <w:rFonts w:hint="eastAsia" w:ascii="宋体" w:hAnsi="宋体" w:cs="宋体"/>
          <w:b/>
          <w:color w:val="auto"/>
          <w:sz w:val="24"/>
          <w:szCs w:val="20"/>
          <w:highlight w:val="none"/>
        </w:rPr>
      </w:pPr>
    </w:p>
    <w:p w14:paraId="5A6542E4">
      <w:pPr>
        <w:wordWrap w:val="0"/>
        <w:snapToGrid w:val="0"/>
        <w:spacing w:line="360" w:lineRule="auto"/>
        <w:ind w:firstLine="482"/>
        <w:jc w:val="left"/>
        <w:rPr>
          <w:rFonts w:hint="eastAsia" w:ascii="宋体" w:hAnsi="宋体" w:cs="宋体"/>
          <w:b/>
          <w:color w:val="auto"/>
          <w:sz w:val="24"/>
          <w:highlight w:val="none"/>
        </w:rPr>
      </w:pPr>
    </w:p>
    <w:p w14:paraId="670F739D">
      <w:pPr>
        <w:wordWrap w:val="0"/>
        <w:snapToGrid w:val="0"/>
        <w:spacing w:line="360" w:lineRule="auto"/>
        <w:ind w:firstLine="482"/>
        <w:jc w:val="left"/>
        <w:rPr>
          <w:rFonts w:hint="eastAsia" w:ascii="宋体" w:hAnsi="宋体" w:cs="宋体"/>
          <w:b/>
          <w:color w:val="auto"/>
          <w:sz w:val="24"/>
          <w:szCs w:val="20"/>
          <w:highlight w:val="none"/>
        </w:rPr>
      </w:pPr>
      <w:r>
        <w:rPr>
          <w:rFonts w:hint="eastAsia" w:ascii="宋体" w:hAnsi="宋体" w:cs="宋体"/>
          <w:b/>
          <w:color w:val="auto"/>
          <w:sz w:val="24"/>
          <w:szCs w:val="20"/>
          <w:highlight w:val="none"/>
        </w:rPr>
        <w:t xml:space="preserve"> </w:t>
      </w:r>
    </w:p>
    <w:p w14:paraId="7483207D">
      <w:pPr>
        <w:wordWrap w:val="0"/>
        <w:snapToGrid w:val="0"/>
        <w:spacing w:line="360" w:lineRule="auto"/>
        <w:ind w:firstLine="482"/>
        <w:jc w:val="left"/>
        <w:rPr>
          <w:rFonts w:hint="eastAsia" w:ascii="宋体" w:hAnsi="宋体" w:cs="宋体"/>
          <w:b/>
          <w:color w:val="auto"/>
          <w:sz w:val="24"/>
          <w:szCs w:val="20"/>
          <w:highlight w:val="none"/>
        </w:rPr>
      </w:pPr>
    </w:p>
    <w:p w14:paraId="49C0752F">
      <w:pPr>
        <w:wordWrap w:val="0"/>
        <w:snapToGrid w:val="0"/>
        <w:spacing w:line="360" w:lineRule="auto"/>
        <w:jc w:val="left"/>
        <w:rPr>
          <w:rFonts w:hint="eastAsia" w:ascii="宋体" w:hAnsi="宋体" w:cs="宋体"/>
          <w:color w:val="auto"/>
          <w:highlight w:val="none"/>
        </w:rPr>
      </w:pPr>
    </w:p>
    <w:p w14:paraId="306D496D">
      <w:pPr>
        <w:wordWrap w:val="0"/>
        <w:snapToGrid w:val="0"/>
        <w:spacing w:line="360" w:lineRule="auto"/>
        <w:ind w:firstLine="643"/>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六、投标资格声明函</w:t>
      </w:r>
    </w:p>
    <w:p w14:paraId="496F1939">
      <w:pPr>
        <w:tabs>
          <w:tab w:val="left" w:pos="7200"/>
        </w:tabs>
        <w:wordWrap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致：</w:t>
      </w:r>
      <w:bookmarkStart w:id="278" w:name="PO_3000001866_PM031_5"/>
      <w:r>
        <w:rPr>
          <w:rFonts w:hint="eastAsia" w:ascii="宋体" w:hAnsi="宋体" w:cs="宋体"/>
          <w:color w:val="auto"/>
          <w:szCs w:val="21"/>
          <w:highlight w:val="none"/>
          <w:u w:val="single"/>
        </w:rPr>
        <w:t>广西邕政采购代理有限公司</w:t>
      </w:r>
      <w:bookmarkEnd w:id="278"/>
      <w:r>
        <w:rPr>
          <w:rFonts w:hint="eastAsia" w:ascii="宋体" w:hAnsi="宋体" w:cs="宋体"/>
          <w:color w:val="auto"/>
          <w:szCs w:val="21"/>
          <w:highlight w:val="none"/>
          <w:u w:val="single"/>
        </w:rPr>
        <w:t xml:space="preserve"> </w:t>
      </w:r>
    </w:p>
    <w:p w14:paraId="5925C52C">
      <w:pPr>
        <w:wordWrap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我方愿意参加贵方组织的_</w:t>
      </w:r>
      <w:r>
        <w:rPr>
          <w:rFonts w:hint="eastAsia" w:ascii="宋体" w:hAnsi="宋体" w:cs="宋体"/>
          <w:color w:val="auto"/>
          <w:szCs w:val="21"/>
          <w:highlight w:val="none"/>
          <w:u w:val="single"/>
        </w:rPr>
        <w:t xml:space="preserve">    （项目名称）          </w:t>
      </w:r>
      <w:r>
        <w:rPr>
          <w:rFonts w:hint="eastAsia" w:ascii="宋体" w:hAnsi="宋体" w:cs="宋体"/>
          <w:color w:val="auto"/>
          <w:szCs w:val="21"/>
          <w:highlight w:val="none"/>
        </w:rPr>
        <w:t>（项目编号：         ）项目的投标，为便于贵方公正、择优地确定中标供应商，我方就本次投标有关事项郑重声明如下：</w:t>
      </w:r>
    </w:p>
    <w:p w14:paraId="5775EC62">
      <w:pPr>
        <w:wordWrap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我方承诺已经具备《中华人民共和国政府采购法》第二十二条中规定的参加政府采购活动的供应商应当具备的条件并按本项目投标文件“第三章”“第二节投标人须知前附表”中“资格证明文件组成”完整提供证明材料。</w:t>
      </w:r>
    </w:p>
    <w:p w14:paraId="6CC2DD2F">
      <w:pPr>
        <w:wordWrap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 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05166D79">
      <w:pPr>
        <w:wordWrap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3.经查询，在“信用中国”和“中国政府采购网”网站我方未被列入失信被执行人、重大税收违法失信主体、政府采购严重违法失信行为记录名单。</w:t>
      </w:r>
    </w:p>
    <w:p w14:paraId="77D77E0C">
      <w:pPr>
        <w:wordWrap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4.以上事项如有虚假或隐瞒，我方愿意承担一切后果，并不再寻求任何旨在减轻或免除法律责任的辩解。 </w:t>
      </w:r>
    </w:p>
    <w:p w14:paraId="7868FD10">
      <w:pPr>
        <w:tabs>
          <w:tab w:val="left" w:pos="7200"/>
        </w:tabs>
        <w:wordWrap w:val="0"/>
        <w:spacing w:line="360" w:lineRule="auto"/>
        <w:ind w:firstLine="360" w:firstLineChars="150"/>
        <w:rPr>
          <w:rFonts w:hint="eastAsia" w:ascii="宋体" w:hAnsi="宋体" w:cs="宋体"/>
          <w:color w:val="auto"/>
          <w:sz w:val="24"/>
          <w:highlight w:val="none"/>
        </w:rPr>
      </w:pPr>
      <w:r>
        <w:rPr>
          <w:rFonts w:hint="eastAsia" w:ascii="宋体" w:hAnsi="宋体" w:cs="宋体"/>
          <w:color w:val="auto"/>
          <w:sz w:val="24"/>
          <w:highlight w:val="none"/>
        </w:rPr>
        <w:t>说明：</w:t>
      </w:r>
    </w:p>
    <w:p w14:paraId="77A1605B">
      <w:pPr>
        <w:wordWrap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1.投标人应当通过 “信用中国”（www.creditchina.gov.cn）和“中国政府采购网”网站（www.ccgp.gov.cn）查询投标人相关主体的信用记录。查询时间为本项目投标截止时间前10日至投标截止时间中任意一天。对列入失信被执行人、重大税收违法失信主体、政府采购严重违法失信行为记录名单的投标人，将被拒绝参与本项目政府采购活动。</w:t>
      </w:r>
    </w:p>
    <w:p w14:paraId="107F38F6">
      <w:pPr>
        <w:wordWrap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4AB159C7">
      <w:pPr>
        <w:wordWrap w:val="0"/>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b/>
          <w:color w:val="auto"/>
          <w:sz w:val="24"/>
          <w:highlight w:val="none"/>
        </w:rPr>
        <w:t xml:space="preserve">  3.如为联合体投标，盖章处须加盖联合体各方公章并由联合体各方法定代表人分别签署，否则投标无效。</w:t>
      </w:r>
    </w:p>
    <w:p w14:paraId="22DECB6A">
      <w:pPr>
        <w:wordWrap w:val="0"/>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3278F3B9">
      <w:pPr>
        <w:wordWrap w:val="0"/>
        <w:snapToGrid w:val="0"/>
        <w:spacing w:line="360" w:lineRule="auto"/>
        <w:ind w:left="7428" w:leftChars="2223" w:hanging="2760" w:hangingChars="1150"/>
        <w:jc w:val="left"/>
        <w:rPr>
          <w:rFonts w:hint="eastAsia" w:ascii="宋体" w:hAnsi="宋体" w:cs="宋体"/>
          <w:color w:val="auto"/>
          <w:kern w:val="0"/>
          <w:sz w:val="24"/>
          <w:highlight w:val="none"/>
          <w:lang w:val="zh-CN"/>
        </w:rPr>
      </w:pPr>
      <w:r>
        <w:rPr>
          <w:rFonts w:hint="eastAsia" w:ascii="宋体" w:hAnsi="宋体" w:cs="宋体"/>
          <w:color w:val="auto"/>
          <w:sz w:val="24"/>
          <w:highlight w:val="none"/>
        </w:rPr>
        <w:t xml:space="preserve">  </w:t>
      </w:r>
      <w:r>
        <w:rPr>
          <w:rFonts w:hint="eastAsia" w:ascii="宋体" w:hAnsi="宋体" w:cs="宋体"/>
          <w:color w:val="auto"/>
          <w:kern w:val="0"/>
          <w:sz w:val="24"/>
          <w:highlight w:val="none"/>
          <w:lang w:val="zh-CN"/>
        </w:rPr>
        <w:t>投标人名称(电子签章)：</w:t>
      </w:r>
      <w:r>
        <w:rPr>
          <w:rFonts w:hint="eastAsia" w:ascii="宋体" w:hAnsi="宋体" w:cs="宋体"/>
          <w:color w:val="auto"/>
          <w:szCs w:val="21"/>
          <w:highlight w:val="none"/>
        </w:rPr>
        <w:t xml:space="preserve">                       年    月    日</w:t>
      </w:r>
    </w:p>
    <w:p w14:paraId="6A3A6388">
      <w:pPr>
        <w:widowControl/>
        <w:wordWrap w:val="0"/>
        <w:spacing w:line="360" w:lineRule="auto"/>
        <w:ind w:firstLine="602"/>
        <w:jc w:val="left"/>
        <w:rPr>
          <w:rFonts w:hint="eastAsia" w:ascii="宋体" w:hAnsi="宋体" w:cs="宋体"/>
          <w:b/>
          <w:bCs/>
          <w:color w:val="auto"/>
          <w:sz w:val="30"/>
          <w:szCs w:val="30"/>
          <w:highlight w:val="none"/>
        </w:rPr>
        <w:sectPr>
          <w:pgSz w:w="11906" w:h="16838"/>
          <w:pgMar w:top="1440" w:right="1080" w:bottom="1440" w:left="1080" w:header="720" w:footer="720" w:gutter="0"/>
          <w:cols w:space="720" w:num="1"/>
          <w:docGrid w:type="lines" w:linePitch="331" w:charSpace="0"/>
        </w:sectPr>
      </w:pPr>
    </w:p>
    <w:p w14:paraId="515BB62C">
      <w:pPr>
        <w:pStyle w:val="11"/>
        <w:wordWrap w:val="0"/>
        <w:spacing w:after="0" w:line="360" w:lineRule="auto"/>
        <w:rPr>
          <w:rFonts w:hint="eastAsia" w:hAnsi="宋体" w:cs="宋体"/>
          <w:b/>
          <w:bCs/>
          <w:color w:val="auto"/>
          <w:sz w:val="30"/>
          <w:szCs w:val="30"/>
          <w:highlight w:val="none"/>
        </w:rPr>
      </w:pPr>
      <w:bookmarkStart w:id="279" w:name="_Toc19686838"/>
    </w:p>
    <w:p w14:paraId="45650239">
      <w:pPr>
        <w:pStyle w:val="14"/>
        <w:wordWrap w:val="0"/>
        <w:spacing w:line="360" w:lineRule="auto"/>
        <w:ind w:firstLine="602"/>
        <w:jc w:val="center"/>
        <w:rPr>
          <w:rFonts w:hint="eastAsia" w:hAnsi="宋体" w:cs="宋体"/>
          <w:color w:val="auto"/>
          <w:highlight w:val="none"/>
        </w:rPr>
      </w:pPr>
      <w:bookmarkStart w:id="280" w:name="_Toc30766"/>
      <w:r>
        <w:rPr>
          <w:rFonts w:hint="eastAsia" w:hAnsi="宋体" w:cs="宋体"/>
          <w:color w:val="auto"/>
          <w:kern w:val="0"/>
          <w:sz w:val="30"/>
          <w:szCs w:val="30"/>
          <w:highlight w:val="none"/>
        </w:rPr>
        <w:t>七、</w:t>
      </w:r>
      <w:r>
        <w:rPr>
          <w:rFonts w:hint="eastAsia" w:hAnsi="宋体" w:cs="宋体"/>
          <w:b/>
          <w:bCs/>
          <w:color w:val="auto"/>
          <w:sz w:val="30"/>
          <w:szCs w:val="30"/>
          <w:highlight w:val="none"/>
        </w:rPr>
        <w:t>联合体协议书</w:t>
      </w:r>
    </w:p>
    <w:p w14:paraId="183C1D5A">
      <w:pPr>
        <w:wordWrap w:val="0"/>
        <w:autoSpaceDE w:val="0"/>
        <w:autoSpaceDN w:val="0"/>
        <w:adjustRightInd w:val="0"/>
        <w:spacing w:line="360" w:lineRule="auto"/>
        <w:jc w:val="left"/>
        <w:rPr>
          <w:rFonts w:hint="eastAsia" w:ascii="宋体" w:hAnsi="宋体" w:cs="宋体"/>
          <w:color w:val="auto"/>
          <w:kern w:val="0"/>
          <w:szCs w:val="21"/>
          <w:highlight w:val="none"/>
          <w:u w:val="single"/>
        </w:rPr>
      </w:pPr>
    </w:p>
    <w:p w14:paraId="23FE209E">
      <w:pPr>
        <w:wordWrap w:val="0"/>
        <w:autoSpaceDE w:val="0"/>
        <w:autoSpaceDN w:val="0"/>
        <w:adjustRightInd w:val="0"/>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（所有成员单位名称）自愿组成联合体，共同参加</w:t>
      </w:r>
      <w:r>
        <w:rPr>
          <w:rFonts w:hint="eastAsia" w:ascii="宋体" w:hAnsi="宋体" w:cs="宋体"/>
          <w:color w:val="auto"/>
          <w:kern w:val="0"/>
          <w:szCs w:val="21"/>
          <w:highlight w:val="none"/>
          <w:u w:val="single"/>
        </w:rPr>
        <w:t xml:space="preserve">     广西邕政采购代理有限公司  </w:t>
      </w:r>
      <w:r>
        <w:rPr>
          <w:rFonts w:hint="eastAsia" w:ascii="宋体" w:hAnsi="宋体" w:cs="宋体"/>
          <w:color w:val="auto"/>
          <w:kern w:val="0"/>
          <w:szCs w:val="21"/>
          <w:highlight w:val="none"/>
        </w:rPr>
        <w:t>组织的</w:t>
      </w:r>
      <w:r>
        <w:rPr>
          <w:rFonts w:hint="eastAsia" w:ascii="宋体" w:hAnsi="宋体" w:cs="宋体"/>
          <w:color w:val="auto"/>
          <w:kern w:val="0"/>
          <w:szCs w:val="21"/>
          <w:highlight w:val="none"/>
          <w:u w:val="single"/>
        </w:rPr>
        <w:t xml:space="preserve">     </w:t>
      </w:r>
      <w:r>
        <w:rPr>
          <w:rFonts w:hint="eastAsia" w:ascii="宋体" w:hAnsi="宋体" w:cs="宋体"/>
          <w:color w:val="auto"/>
          <w:szCs w:val="21"/>
          <w:highlight w:val="none"/>
          <w:u w:val="single"/>
        </w:rPr>
        <w:t xml:space="preserve">（项目名称）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（项目编号：</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）投标。现就联合体投标事宜订立如下协议：</w:t>
      </w:r>
    </w:p>
    <w:p w14:paraId="591F0527">
      <w:pPr>
        <w:wordWrap w:val="0"/>
        <w:autoSpaceDE w:val="0"/>
        <w:autoSpaceDN w:val="0"/>
        <w:adjustRightIn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w:t>
      </w:r>
      <w:r>
        <w:rPr>
          <w:rFonts w:hint="eastAsia" w:ascii="宋体" w:hAnsi="宋体" w:cs="宋体"/>
          <w:color w:val="auto"/>
          <w:highlight w:val="none"/>
        </w:rPr>
        <w:t>________________________</w:t>
      </w:r>
      <w:r>
        <w:rPr>
          <w:rFonts w:hint="eastAsia" w:ascii="宋体" w:hAnsi="宋体" w:cs="宋体"/>
          <w:color w:val="auto"/>
          <w:kern w:val="0"/>
          <w:szCs w:val="21"/>
          <w:highlight w:val="none"/>
        </w:rPr>
        <w:t>（某成员单位名称）为联合体名称牵头人。</w:t>
      </w:r>
    </w:p>
    <w:p w14:paraId="243105F3">
      <w:pPr>
        <w:wordWrap w:val="0"/>
        <w:autoSpaceDE w:val="0"/>
        <w:autoSpaceDN w:val="0"/>
        <w:adjustRightIn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14:paraId="552AAC43">
      <w:pPr>
        <w:wordWrap w:val="0"/>
        <w:autoSpaceDE w:val="0"/>
        <w:autoSpaceDN w:val="0"/>
        <w:adjustRightIn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3、联合体牵头人在本项目中签署和盖章的一切文件和处理的一切事宜，联合体各成员均予以承认。 联合体各成员将严格按照招标文件、投标文件和合同的要求全面履行义务，并向招标人承担连带责任。</w:t>
      </w:r>
    </w:p>
    <w:p w14:paraId="4B052CEF">
      <w:pPr>
        <w:wordWrap w:val="0"/>
        <w:autoSpaceDE w:val="0"/>
        <w:autoSpaceDN w:val="0"/>
        <w:adjustRightIn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4、联合体各成员单位内部的职责分工如下</w:t>
      </w:r>
      <w:r>
        <w:rPr>
          <w:rFonts w:hint="eastAsia" w:ascii="宋体" w:hAnsi="宋体" w:cs="宋体"/>
          <w:color w:val="auto"/>
          <w:kern w:val="0"/>
          <w:szCs w:val="21"/>
          <w:highlight w:val="none"/>
          <w:u w:val="single"/>
        </w:rPr>
        <w:t>：</w:t>
      </w:r>
      <w:r>
        <w:rPr>
          <w:rFonts w:hint="eastAsia" w:ascii="宋体" w:hAnsi="宋体" w:cs="宋体"/>
          <w:color w:val="auto"/>
          <w:szCs w:val="21"/>
          <w:highlight w:val="none"/>
          <w:u w:val="single"/>
        </w:rPr>
        <w:t>________________________________________________</w:t>
      </w:r>
      <w:r>
        <w:rPr>
          <w:rFonts w:hint="eastAsia" w:ascii="宋体" w:hAnsi="宋体" w:cs="宋体"/>
          <w:color w:val="auto"/>
          <w:kern w:val="0"/>
          <w:szCs w:val="21"/>
          <w:highlight w:val="none"/>
        </w:rPr>
        <w:t>。</w:t>
      </w:r>
    </w:p>
    <w:p w14:paraId="42576A53">
      <w:pPr>
        <w:pStyle w:val="14"/>
        <w:wordWrap w:val="0"/>
        <w:spacing w:line="360" w:lineRule="auto"/>
        <w:ind w:firstLine="420" w:firstLineChars="200"/>
        <w:rPr>
          <w:rFonts w:hint="eastAsia" w:hAnsi="宋体" w:cs="宋体"/>
          <w:color w:val="auto"/>
          <w:szCs w:val="21"/>
          <w:highlight w:val="none"/>
        </w:rPr>
      </w:pPr>
      <w:r>
        <w:rPr>
          <w:rFonts w:hint="eastAsia" w:hAnsi="宋体" w:cs="宋体"/>
          <w:color w:val="auto"/>
          <w:kern w:val="0"/>
          <w:highlight w:val="none"/>
        </w:rPr>
        <w:t>5、本联合体中</w:t>
      </w:r>
      <w:r>
        <w:rPr>
          <w:rFonts w:hint="eastAsia" w:hAnsi="宋体" w:cs="宋体"/>
          <w:color w:val="auto"/>
          <w:kern w:val="0"/>
          <w:highlight w:val="none"/>
          <w:u w:val="single"/>
        </w:rPr>
        <w:t>，</w:t>
      </w:r>
      <w:r>
        <w:rPr>
          <w:rFonts w:hint="eastAsia" w:hAnsi="宋体" w:cs="宋体"/>
          <w:color w:val="auto"/>
          <w:highlight w:val="none"/>
          <w:u w:val="single"/>
        </w:rPr>
        <w:t>________________________</w:t>
      </w:r>
      <w:r>
        <w:rPr>
          <w:rFonts w:hint="eastAsia" w:hAnsi="宋体" w:cs="宋体"/>
          <w:color w:val="auto"/>
          <w:kern w:val="0"/>
          <w:highlight w:val="none"/>
          <w:u w:val="single"/>
        </w:rPr>
        <w:t>（某成员单位名称）为</w:t>
      </w:r>
      <w:r>
        <w:rPr>
          <w:rFonts w:hint="eastAsia" w:hAnsi="宋体" w:cs="宋体"/>
          <w:color w:val="auto"/>
          <w:highlight w:val="none"/>
          <w:u w:val="single"/>
        </w:rPr>
        <w:t>______</w:t>
      </w:r>
      <w:r>
        <w:rPr>
          <w:rFonts w:hint="eastAsia" w:hAnsi="宋体" w:cs="宋体"/>
          <w:color w:val="auto"/>
          <w:highlight w:val="none"/>
        </w:rPr>
        <w:t>（请填写：中型、小型、微型）企业，其协议合同金额占联合体协议合同总金额的</w:t>
      </w:r>
      <w:r>
        <w:rPr>
          <w:rFonts w:hint="eastAsia" w:hAnsi="宋体" w:cs="宋体"/>
          <w:color w:val="auto"/>
          <w:highlight w:val="none"/>
          <w:u w:val="single"/>
        </w:rPr>
        <w:t>______</w:t>
      </w:r>
      <w:r>
        <w:rPr>
          <w:rFonts w:hint="eastAsia" w:hAnsi="宋体" w:cs="宋体"/>
          <w:color w:val="auto"/>
          <w:highlight w:val="none"/>
        </w:rPr>
        <w:t>%。【如联合体成员中有小型、微型企业的，请填写此条，否则无需填写；如联合体成员中有多个小型、微型企业的，请逐一列出。】</w:t>
      </w:r>
    </w:p>
    <w:p w14:paraId="53235960">
      <w:pPr>
        <w:wordWrap w:val="0"/>
        <w:autoSpaceDE w:val="0"/>
        <w:autoSpaceDN w:val="0"/>
        <w:adjustRightIn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6、本协议书自签署之日起生效，合同履行完毕后自动失效。</w:t>
      </w:r>
    </w:p>
    <w:p w14:paraId="127A0302">
      <w:pPr>
        <w:wordWrap w:val="0"/>
        <w:autoSpaceDE w:val="0"/>
        <w:autoSpaceDN w:val="0"/>
        <w:adjustRightIn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7、本协议书一式</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份，联合体成员和采购代理机构各执一份。</w:t>
      </w:r>
    </w:p>
    <w:p w14:paraId="7E2ABE5E">
      <w:pPr>
        <w:wordWrap w:val="0"/>
        <w:autoSpaceDE w:val="0"/>
        <w:autoSpaceDN w:val="0"/>
        <w:adjustRightIn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注：本协议书由法定代表人签字的，应附法定代表人身份证明；本协议书由委托代理人签字的，应附法定代表人授权委托书。</w:t>
      </w:r>
    </w:p>
    <w:p w14:paraId="39C63D0B">
      <w:pPr>
        <w:wordWrap w:val="0"/>
        <w:autoSpaceDE w:val="0"/>
        <w:autoSpaceDN w:val="0"/>
        <w:adjustRightInd w:val="0"/>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牵头人名称：</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（公章/电子签章）</w:t>
      </w:r>
    </w:p>
    <w:p w14:paraId="4A856B0B">
      <w:pPr>
        <w:wordWrap w:val="0"/>
        <w:autoSpaceDE w:val="0"/>
        <w:autoSpaceDN w:val="0"/>
        <w:adjustRightInd w:val="0"/>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法定代表人或其委托代理人：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（手写签名/电子签名）</w:t>
      </w:r>
    </w:p>
    <w:p w14:paraId="7F6C906E">
      <w:pPr>
        <w:wordWrap w:val="0"/>
        <w:autoSpaceDE w:val="0"/>
        <w:autoSpaceDN w:val="0"/>
        <w:adjustRightInd w:val="0"/>
        <w:spacing w:line="360" w:lineRule="auto"/>
        <w:jc w:val="left"/>
        <w:rPr>
          <w:rFonts w:hint="eastAsia" w:ascii="宋体" w:hAnsi="宋体" w:cs="宋体"/>
          <w:color w:val="auto"/>
          <w:kern w:val="0"/>
          <w:szCs w:val="21"/>
          <w:highlight w:val="none"/>
        </w:rPr>
      </w:pPr>
    </w:p>
    <w:p w14:paraId="2F02D4FB">
      <w:pPr>
        <w:wordWrap w:val="0"/>
        <w:autoSpaceDE w:val="0"/>
        <w:autoSpaceDN w:val="0"/>
        <w:adjustRightInd w:val="0"/>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成员一名称：</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（公章/电子签章）</w:t>
      </w:r>
    </w:p>
    <w:p w14:paraId="6D893829">
      <w:pPr>
        <w:wordWrap w:val="0"/>
        <w:autoSpaceDE w:val="0"/>
        <w:autoSpaceDN w:val="0"/>
        <w:adjustRightInd w:val="0"/>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法定代表人或其委托代理人：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（手写签名/电子签名）</w:t>
      </w:r>
    </w:p>
    <w:p w14:paraId="08D416D3">
      <w:pPr>
        <w:wordWrap w:val="0"/>
        <w:autoSpaceDE w:val="0"/>
        <w:autoSpaceDN w:val="0"/>
        <w:adjustRightInd w:val="0"/>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成员二名称：</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（公章/电子签章）</w:t>
      </w:r>
    </w:p>
    <w:p w14:paraId="1E2A963C">
      <w:pPr>
        <w:pStyle w:val="14"/>
        <w:wordWrap w:val="0"/>
        <w:spacing w:line="360" w:lineRule="auto"/>
        <w:rPr>
          <w:rFonts w:hint="eastAsia" w:hAnsi="宋体" w:cs="宋体"/>
          <w:color w:val="auto"/>
          <w:szCs w:val="21"/>
          <w:highlight w:val="none"/>
        </w:rPr>
      </w:pPr>
      <w:r>
        <w:rPr>
          <w:rFonts w:hint="eastAsia" w:hAnsi="宋体" w:cs="宋体"/>
          <w:color w:val="auto"/>
          <w:kern w:val="0"/>
          <w:szCs w:val="21"/>
          <w:highlight w:val="none"/>
        </w:rPr>
        <w:t>法定代表人或其委托代理人：</w:t>
      </w:r>
      <w:r>
        <w:rPr>
          <w:rFonts w:hint="eastAsia" w:hAnsi="宋体" w:cs="宋体"/>
          <w:color w:val="auto"/>
          <w:kern w:val="0"/>
          <w:szCs w:val="21"/>
          <w:highlight w:val="none"/>
          <w:u w:val="single"/>
        </w:rPr>
        <w:t xml:space="preserve">                         </w:t>
      </w:r>
      <w:r>
        <w:rPr>
          <w:rFonts w:hint="eastAsia" w:hAnsi="宋体" w:cs="宋体"/>
          <w:color w:val="auto"/>
          <w:kern w:val="0"/>
          <w:szCs w:val="21"/>
          <w:highlight w:val="none"/>
        </w:rPr>
        <w:t>（手写签名/电子签名）</w:t>
      </w:r>
    </w:p>
    <w:p w14:paraId="5586D867">
      <w:pPr>
        <w:wordWrap w:val="0"/>
        <w:snapToGrid w:val="0"/>
        <w:spacing w:line="360" w:lineRule="auto"/>
        <w:rPr>
          <w:rFonts w:hint="eastAsia" w:ascii="宋体" w:hAnsi="宋体" w:cs="宋体"/>
          <w:color w:val="auto"/>
          <w:kern w:val="0"/>
          <w:sz w:val="30"/>
          <w:szCs w:val="30"/>
          <w:highlight w:val="none"/>
        </w:rPr>
        <w:sectPr>
          <w:pgSz w:w="11906" w:h="16838"/>
          <w:pgMar w:top="1440" w:right="1080" w:bottom="1440" w:left="1080" w:header="720" w:footer="720" w:gutter="0"/>
          <w:cols w:space="720" w:num="1"/>
          <w:docGrid w:type="lines" w:linePitch="331" w:charSpace="0"/>
        </w:sectPr>
      </w:pPr>
    </w:p>
    <w:p w14:paraId="5D6B5155">
      <w:pPr>
        <w:wordWrap w:val="0"/>
        <w:snapToGrid w:val="0"/>
        <w:spacing w:line="360" w:lineRule="auto"/>
        <w:jc w:val="center"/>
        <w:rPr>
          <w:rFonts w:hint="eastAsia" w:hAnsi="宋体" w:cs="宋体"/>
          <w:b/>
          <w:color w:val="auto"/>
          <w:sz w:val="30"/>
          <w:szCs w:val="30"/>
          <w:highlight w:val="none"/>
        </w:rPr>
      </w:pPr>
      <w:r>
        <w:rPr>
          <w:rFonts w:hint="eastAsia" w:hAnsi="宋体" w:cs="宋体"/>
          <w:b/>
          <w:color w:val="auto"/>
          <w:sz w:val="30"/>
          <w:szCs w:val="30"/>
          <w:highlight w:val="none"/>
        </w:rPr>
        <w:t>八、中小企业声明函</w:t>
      </w:r>
    </w:p>
    <w:p w14:paraId="41FA35E4">
      <w:pPr>
        <w:pStyle w:val="12"/>
        <w:wordWrap w:val="0"/>
        <w:spacing w:line="360" w:lineRule="auto"/>
        <w:ind w:firstLine="404"/>
        <w:rPr>
          <w:rFonts w:hint="eastAsia" w:hAnsi="宋体" w:cs="宋体"/>
          <w:color w:val="auto"/>
          <w:sz w:val="24"/>
          <w:szCs w:val="24"/>
          <w:highlight w:val="none"/>
        </w:rPr>
      </w:pPr>
      <w:r>
        <w:rPr>
          <w:rFonts w:hint="eastAsia" w:hAnsi="宋体" w:cs="宋体"/>
          <w:color w:val="auto"/>
          <w:sz w:val="24"/>
          <w:szCs w:val="24"/>
          <w:highlight w:val="none"/>
        </w:rPr>
        <w:t>说明：</w:t>
      </w:r>
    </w:p>
    <w:p w14:paraId="06EFF621">
      <w:pPr>
        <w:pStyle w:val="12"/>
        <w:wordWrap w:val="0"/>
        <w:spacing w:line="360" w:lineRule="auto"/>
        <w:ind w:firstLine="464" w:firstLineChars="200"/>
        <w:rPr>
          <w:rFonts w:hint="eastAsia" w:hAnsi="宋体" w:cs="宋体"/>
          <w:color w:val="auto"/>
          <w:sz w:val="24"/>
          <w:szCs w:val="24"/>
          <w:highlight w:val="none"/>
        </w:rPr>
      </w:pPr>
      <w:r>
        <w:rPr>
          <w:rFonts w:hint="eastAsia" w:hAnsi="宋体" w:cs="宋体"/>
          <w:color w:val="auto"/>
          <w:sz w:val="24"/>
          <w:szCs w:val="24"/>
          <w:highlight w:val="none"/>
        </w:rPr>
        <w:t>1、本声明函主要供参加政府采购活动的中小企业填写，非中小企业无需填写。</w:t>
      </w:r>
    </w:p>
    <w:p w14:paraId="37D5693B">
      <w:pPr>
        <w:pStyle w:val="12"/>
        <w:wordWrap w:val="0"/>
        <w:spacing w:line="360" w:lineRule="auto"/>
        <w:ind w:firstLine="464" w:firstLineChars="200"/>
        <w:rPr>
          <w:rFonts w:hint="eastAsia" w:hAnsi="宋体" w:cs="宋体"/>
          <w:color w:val="auto"/>
          <w:sz w:val="24"/>
          <w:szCs w:val="24"/>
          <w:highlight w:val="none"/>
        </w:rPr>
      </w:pPr>
      <w:r>
        <w:rPr>
          <w:rFonts w:hint="eastAsia" w:hAnsi="宋体" w:cs="宋体"/>
          <w:color w:val="auto"/>
          <w:sz w:val="24"/>
          <w:szCs w:val="24"/>
          <w:highlight w:val="none"/>
        </w:rPr>
        <w:t>2、小型、微型企业提供中型企业提供的服务的，视同为中型企业。</w:t>
      </w:r>
    </w:p>
    <w:p w14:paraId="289CCB45">
      <w:pPr>
        <w:pStyle w:val="12"/>
        <w:wordWrap w:val="0"/>
        <w:spacing w:line="360" w:lineRule="auto"/>
        <w:ind w:firstLine="464" w:firstLineChars="200"/>
        <w:rPr>
          <w:rFonts w:hint="eastAsia" w:hAnsi="宋体" w:cs="宋体"/>
          <w:color w:val="auto"/>
          <w:sz w:val="24"/>
          <w:szCs w:val="24"/>
          <w:highlight w:val="none"/>
        </w:rPr>
      </w:pPr>
    </w:p>
    <w:p w14:paraId="03325DDE">
      <w:pPr>
        <w:pStyle w:val="11"/>
        <w:wordWrap w:val="0"/>
        <w:spacing w:after="0" w:line="360" w:lineRule="auto"/>
        <w:ind w:right="142"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本公司（联合体）郑重声明，根据《政府采购促进中小企业发展管理办法》（财库﹝2020﹞46号）的规定，本公司（联合体）参加</w:t>
      </w:r>
      <w:r>
        <w:rPr>
          <w:rFonts w:hint="eastAsia" w:ascii="宋体" w:hAnsi="宋体" w:cs="宋体"/>
          <w:color w:val="auto"/>
          <w:sz w:val="24"/>
          <w:szCs w:val="24"/>
          <w:highlight w:val="none"/>
          <w:u w:val="single"/>
        </w:rPr>
        <w:t xml:space="preserve">   （采购人名称）           </w:t>
      </w:r>
      <w:r>
        <w:rPr>
          <w:rFonts w:hint="eastAsia" w:ascii="宋体" w:hAnsi="宋体" w:cs="宋体"/>
          <w:color w:val="auto"/>
          <w:sz w:val="24"/>
          <w:szCs w:val="24"/>
          <w:highlight w:val="none"/>
        </w:rPr>
        <w:t>的</w:t>
      </w:r>
      <w:r>
        <w:rPr>
          <w:rFonts w:hint="eastAsia" w:ascii="宋体" w:hAnsi="宋体" w:cs="宋体"/>
          <w:color w:val="auto"/>
          <w:sz w:val="24"/>
          <w:szCs w:val="24"/>
          <w:highlight w:val="none"/>
          <w:u w:val="single"/>
        </w:rPr>
        <w:t>（项目名称）</w:t>
      </w:r>
      <w:r>
        <w:rPr>
          <w:rFonts w:hint="eastAsia" w:ascii="宋体" w:hAnsi="宋体" w:cs="宋体"/>
          <w:color w:val="auto"/>
          <w:sz w:val="24"/>
          <w:szCs w:val="24"/>
          <w:highlight w:val="none"/>
        </w:rPr>
        <w:t>采购活动，服务全部由符合政策要求的中小企业承接。相关企业（含联合体中的中小企业、签订分包意向协议的中小企业）的具体情况如下：</w:t>
      </w:r>
    </w:p>
    <w:p w14:paraId="7A5989E1">
      <w:pPr>
        <w:tabs>
          <w:tab w:val="left" w:pos="1384"/>
          <w:tab w:val="left" w:pos="4562"/>
          <w:tab w:val="left" w:pos="6803"/>
        </w:tabs>
        <w:wordWrap w:val="0"/>
        <w:spacing w:line="360" w:lineRule="auto"/>
        <w:ind w:right="142" w:firstLine="720" w:firstLineChars="300"/>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u w:val="single"/>
        </w:rPr>
        <w:t>（标的名称）</w:t>
      </w:r>
      <w:r>
        <w:rPr>
          <w:rFonts w:hint="eastAsia" w:ascii="宋体" w:hAnsi="宋体" w:cs="宋体"/>
          <w:color w:val="auto"/>
          <w:sz w:val="24"/>
          <w:szCs w:val="24"/>
          <w:highlight w:val="none"/>
        </w:rPr>
        <w:t>，属于</w:t>
      </w:r>
      <w:r>
        <w:rPr>
          <w:rFonts w:hint="eastAsia" w:ascii="宋体" w:hAnsi="宋体" w:cs="宋体"/>
          <w:color w:val="auto"/>
          <w:sz w:val="24"/>
          <w:szCs w:val="24"/>
          <w:highlight w:val="none"/>
          <w:u w:val="single"/>
        </w:rPr>
        <w:t>（采购文件中明确的所属行业）</w:t>
      </w:r>
      <w:r>
        <w:rPr>
          <w:rFonts w:hint="eastAsia" w:ascii="宋体" w:hAnsi="宋体" w:cs="宋体"/>
          <w:color w:val="auto"/>
          <w:sz w:val="24"/>
          <w:szCs w:val="24"/>
          <w:highlight w:val="none"/>
        </w:rPr>
        <w:t>；承接企业为</w:t>
      </w:r>
      <w:r>
        <w:rPr>
          <w:rFonts w:hint="eastAsia" w:ascii="宋体" w:hAnsi="宋体" w:cs="宋体"/>
          <w:color w:val="auto"/>
          <w:sz w:val="24"/>
          <w:szCs w:val="24"/>
          <w:highlight w:val="none"/>
          <w:u w:val="single"/>
        </w:rPr>
        <w:t>（企业名称）</w:t>
      </w:r>
      <w:r>
        <w:rPr>
          <w:rFonts w:hint="eastAsia" w:ascii="宋体" w:hAnsi="宋体" w:cs="宋体"/>
          <w:color w:val="auto"/>
          <w:sz w:val="24"/>
          <w:szCs w:val="24"/>
          <w:highlight w:val="none"/>
        </w:rPr>
        <w:t>，从业人员</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人，营业收入为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万元，资产总额为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万元，属于</w:t>
      </w:r>
      <w:r>
        <w:rPr>
          <w:rFonts w:hint="eastAsia" w:ascii="宋体" w:hAnsi="宋体" w:cs="宋体"/>
          <w:color w:val="auto"/>
          <w:sz w:val="24"/>
          <w:szCs w:val="24"/>
          <w:highlight w:val="none"/>
          <w:u w:val="single"/>
        </w:rPr>
        <w:t xml:space="preserve">       （中型企业、小型企业、微型企业）</w:t>
      </w:r>
      <w:r>
        <w:rPr>
          <w:rFonts w:hint="eastAsia" w:ascii="宋体" w:hAnsi="宋体" w:cs="宋体"/>
          <w:color w:val="auto"/>
          <w:sz w:val="24"/>
          <w:szCs w:val="24"/>
          <w:highlight w:val="none"/>
        </w:rPr>
        <w:t>；</w:t>
      </w:r>
    </w:p>
    <w:p w14:paraId="1AF31C2E">
      <w:pPr>
        <w:tabs>
          <w:tab w:val="left" w:pos="1065"/>
          <w:tab w:val="left" w:pos="4262"/>
          <w:tab w:val="left" w:pos="6477"/>
        </w:tabs>
        <w:wordWrap w:val="0"/>
        <w:spacing w:line="360" w:lineRule="auto"/>
        <w:ind w:right="84" w:firstLine="686" w:firstLineChars="286"/>
        <w:rPr>
          <w:rFonts w:hint="eastAsia"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u w:val="single"/>
        </w:rPr>
        <w:t>（标的名称）</w:t>
      </w:r>
      <w:r>
        <w:rPr>
          <w:rFonts w:hint="eastAsia" w:ascii="宋体" w:hAnsi="宋体" w:cs="宋体"/>
          <w:color w:val="auto"/>
          <w:sz w:val="24"/>
          <w:szCs w:val="24"/>
          <w:highlight w:val="none"/>
        </w:rPr>
        <w:t>，属于</w:t>
      </w:r>
      <w:r>
        <w:rPr>
          <w:rFonts w:hint="eastAsia" w:ascii="宋体" w:hAnsi="宋体" w:cs="宋体"/>
          <w:color w:val="auto"/>
          <w:sz w:val="24"/>
          <w:szCs w:val="24"/>
          <w:highlight w:val="none"/>
          <w:u w:val="single"/>
        </w:rPr>
        <w:t>（采购文件中明确的所属行业）</w:t>
      </w:r>
      <w:r>
        <w:rPr>
          <w:rFonts w:hint="eastAsia" w:ascii="宋体" w:hAnsi="宋体" w:cs="宋体"/>
          <w:color w:val="auto"/>
          <w:sz w:val="24"/>
          <w:szCs w:val="24"/>
          <w:highlight w:val="none"/>
        </w:rPr>
        <w:t>；承接企业为</w:t>
      </w:r>
      <w:r>
        <w:rPr>
          <w:rFonts w:hint="eastAsia" w:ascii="宋体" w:hAnsi="宋体" w:cs="宋体"/>
          <w:color w:val="auto"/>
          <w:sz w:val="24"/>
          <w:szCs w:val="24"/>
          <w:highlight w:val="none"/>
          <w:u w:val="single"/>
        </w:rPr>
        <w:t>（企业名称）</w:t>
      </w:r>
      <w:r>
        <w:rPr>
          <w:rFonts w:hint="eastAsia" w:ascii="宋体" w:hAnsi="宋体" w:cs="宋体"/>
          <w:color w:val="auto"/>
          <w:sz w:val="24"/>
          <w:szCs w:val="24"/>
          <w:highlight w:val="none"/>
        </w:rPr>
        <w:t>，从业人员</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人，营业收入为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万元，资产总额为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万元，属于</w:t>
      </w:r>
      <w:r>
        <w:rPr>
          <w:rFonts w:hint="eastAsia" w:ascii="宋体" w:hAnsi="宋体" w:cs="宋体"/>
          <w:color w:val="auto"/>
          <w:sz w:val="24"/>
          <w:szCs w:val="24"/>
          <w:highlight w:val="none"/>
          <w:u w:val="single"/>
        </w:rPr>
        <w:t>（中型企业、小型企业、微型企业）</w:t>
      </w:r>
      <w:r>
        <w:rPr>
          <w:rFonts w:hint="eastAsia" w:ascii="宋体" w:hAnsi="宋体" w:cs="宋体"/>
          <w:color w:val="auto"/>
          <w:sz w:val="24"/>
          <w:szCs w:val="24"/>
          <w:highlight w:val="none"/>
        </w:rPr>
        <w:t>；</w:t>
      </w:r>
    </w:p>
    <w:p w14:paraId="5D5A3916">
      <w:pPr>
        <w:pStyle w:val="11"/>
        <w:wordWrap w:val="0"/>
        <w:spacing w:after="0" w:line="360" w:lineRule="auto"/>
        <w:ind w:left="765" w:right="142"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p>
    <w:p w14:paraId="0170F4DC">
      <w:pPr>
        <w:pStyle w:val="11"/>
        <w:wordWrap w:val="0"/>
        <w:spacing w:after="0" w:line="360" w:lineRule="auto"/>
        <w:ind w:right="142"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以上企业，不属于大企业的分支机构，不存在控股股东为大企业的情形，也不存在与大企业的负责人为同一人的情形。</w:t>
      </w:r>
    </w:p>
    <w:p w14:paraId="347B528D">
      <w:pPr>
        <w:pStyle w:val="11"/>
        <w:wordWrap w:val="0"/>
        <w:spacing w:after="0" w:line="360" w:lineRule="auto"/>
        <w:ind w:right="142" w:firstLine="480" w:firstLineChars="200"/>
        <w:rPr>
          <w:rFonts w:hint="eastAsia" w:hAnsi="宋体" w:cs="宋体"/>
          <w:color w:val="auto"/>
          <w:sz w:val="24"/>
          <w:szCs w:val="24"/>
          <w:highlight w:val="none"/>
        </w:rPr>
      </w:pPr>
      <w:r>
        <w:rPr>
          <w:rFonts w:hint="eastAsia" w:ascii="宋体" w:hAnsi="宋体" w:cs="宋体"/>
          <w:color w:val="auto"/>
          <w:sz w:val="24"/>
          <w:szCs w:val="24"/>
          <w:highlight w:val="none"/>
        </w:rPr>
        <w:t>本企业对上述声明内容的真实性负责。如有虚假，将依法承担相应责任。</w:t>
      </w:r>
    </w:p>
    <w:p w14:paraId="51E53FD0">
      <w:pPr>
        <w:pStyle w:val="14"/>
        <w:wordWrap w:val="0"/>
        <w:spacing w:line="360" w:lineRule="auto"/>
        <w:ind w:firstLine="420" w:firstLineChars="200"/>
        <w:rPr>
          <w:rFonts w:hint="eastAsia" w:hAnsi="宋体" w:cs="宋体"/>
          <w:color w:val="auto"/>
          <w:szCs w:val="21"/>
          <w:highlight w:val="none"/>
        </w:rPr>
      </w:pPr>
    </w:p>
    <w:p w14:paraId="59088BBE">
      <w:pPr>
        <w:wordWrap w:val="0"/>
        <w:snapToGrid w:val="0"/>
        <w:spacing w:line="360" w:lineRule="auto"/>
        <w:ind w:firstLine="5040" w:firstLineChars="210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投标人名称(电子签章)：</w:t>
      </w:r>
    </w:p>
    <w:p w14:paraId="23756A2D">
      <w:pPr>
        <w:wordWrap w:val="0"/>
        <w:snapToGrid w:val="0"/>
        <w:spacing w:line="360" w:lineRule="auto"/>
        <w:ind w:firstLine="5160" w:firstLineChars="215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41719CC1">
      <w:pPr>
        <w:pStyle w:val="14"/>
        <w:wordWrap w:val="0"/>
        <w:spacing w:line="360" w:lineRule="auto"/>
        <w:ind w:firstLine="420" w:firstLineChars="200"/>
        <w:rPr>
          <w:rFonts w:hint="eastAsia" w:hAnsi="宋体" w:cs="宋体"/>
          <w:color w:val="auto"/>
          <w:szCs w:val="21"/>
          <w:highlight w:val="none"/>
        </w:rPr>
      </w:pPr>
    </w:p>
    <w:p w14:paraId="54C69A9A">
      <w:pPr>
        <w:wordWrap w:val="0"/>
        <w:snapToGrid w:val="0"/>
        <w:spacing w:line="360" w:lineRule="auto"/>
        <w:ind w:firstLine="400"/>
        <w:jc w:val="left"/>
        <w:rPr>
          <w:rFonts w:hint="eastAsia" w:ascii="宋体" w:hAnsi="宋体" w:cs="宋体"/>
          <w:color w:val="auto"/>
          <w:sz w:val="20"/>
          <w:highlight w:val="none"/>
        </w:rPr>
      </w:pPr>
      <w:r>
        <w:rPr>
          <w:rFonts w:hint="eastAsia" w:ascii="宋体" w:hAnsi="宋体" w:cs="宋体"/>
          <w:color w:val="auto"/>
          <w:sz w:val="20"/>
          <w:highlight w:val="none"/>
        </w:rPr>
        <w:t>注：</w:t>
      </w:r>
    </w:p>
    <w:p w14:paraId="321B0A26">
      <w:pPr>
        <w:numPr>
          <w:ilvl w:val="0"/>
          <w:numId w:val="4"/>
        </w:numPr>
        <w:wordWrap w:val="0"/>
        <w:snapToGrid w:val="0"/>
        <w:spacing w:line="360" w:lineRule="auto"/>
        <w:ind w:firstLine="400"/>
        <w:jc w:val="left"/>
        <w:rPr>
          <w:rFonts w:hint="eastAsia" w:ascii="宋体" w:hAnsi="宋体" w:cs="宋体"/>
          <w:color w:val="auto"/>
          <w:sz w:val="20"/>
          <w:highlight w:val="none"/>
        </w:rPr>
      </w:pPr>
      <w:r>
        <w:rPr>
          <w:rFonts w:hint="eastAsia" w:ascii="宋体" w:hAnsi="宋体" w:cs="宋体"/>
          <w:color w:val="auto"/>
          <w:sz w:val="20"/>
          <w:highlight w:val="none"/>
        </w:rPr>
        <w:t>从业人员、营业收入、资产总额填报上一年度数据，无上一年度数据的新成立企业可不填报。</w:t>
      </w:r>
    </w:p>
    <w:p w14:paraId="0192DA02">
      <w:pPr>
        <w:wordWrap w:val="0"/>
        <w:snapToGrid w:val="0"/>
        <w:spacing w:line="360" w:lineRule="auto"/>
        <w:rPr>
          <w:rFonts w:hint="eastAsia" w:ascii="宋体" w:hAnsi="宋体" w:cs="宋体"/>
          <w:color w:val="auto"/>
          <w:kern w:val="0"/>
          <w:sz w:val="30"/>
          <w:szCs w:val="30"/>
          <w:highlight w:val="none"/>
        </w:rPr>
        <w:sectPr>
          <w:pgSz w:w="11906" w:h="16838"/>
          <w:pgMar w:top="1440" w:right="1080" w:bottom="1440" w:left="1080" w:header="720" w:footer="720" w:gutter="0"/>
          <w:cols w:space="720" w:num="1"/>
          <w:docGrid w:type="lines" w:linePitch="331" w:charSpace="0"/>
        </w:sectPr>
      </w:pPr>
      <w:r>
        <w:rPr>
          <w:rFonts w:hint="eastAsia" w:hAnsi="宋体" w:cs="宋体"/>
          <w:color w:val="auto"/>
          <w:sz w:val="20"/>
          <w:highlight w:val="none"/>
        </w:rPr>
        <w:t>2、请根据自己的真实情况出具《中小企业声明函》。依法享受中小企业优惠政策的，采购人或者采购代理机构在公告中标结果时，同时公告其《中小企业声明函》，接受社会监督。</w:t>
      </w:r>
    </w:p>
    <w:p w14:paraId="16C1F941">
      <w:pPr>
        <w:wordWrap w:val="0"/>
        <w:snapToGrid w:val="0"/>
        <w:spacing w:line="360" w:lineRule="auto"/>
        <w:rPr>
          <w:rFonts w:hint="eastAsia" w:ascii="宋体" w:hAnsi="宋体" w:cs="宋体"/>
          <w:color w:val="auto"/>
          <w:kern w:val="0"/>
          <w:sz w:val="30"/>
          <w:szCs w:val="30"/>
          <w:highlight w:val="none"/>
        </w:rPr>
      </w:pPr>
      <w:r>
        <w:rPr>
          <w:rFonts w:hint="eastAsia" w:ascii="宋体" w:hAnsi="宋体" w:cs="宋体"/>
          <w:color w:val="auto"/>
          <w:kern w:val="0"/>
          <w:sz w:val="30"/>
          <w:szCs w:val="30"/>
          <w:highlight w:val="none"/>
        </w:rPr>
        <w:t>九、除招标文件规定必须提供以外，投标人认为需要提供的其他证明材料</w:t>
      </w:r>
    </w:p>
    <w:p w14:paraId="16D58441">
      <w:pPr>
        <w:pStyle w:val="14"/>
        <w:wordWrap w:val="0"/>
        <w:spacing w:line="360" w:lineRule="auto"/>
        <w:ind w:firstLine="562"/>
        <w:jc w:val="center"/>
        <w:outlineLvl w:val="1"/>
        <w:rPr>
          <w:rFonts w:hint="eastAsia" w:hAnsi="宋体" w:cs="宋体"/>
          <w:b/>
          <w:bCs/>
          <w:color w:val="auto"/>
          <w:sz w:val="28"/>
          <w:szCs w:val="28"/>
          <w:highlight w:val="none"/>
        </w:rPr>
        <w:sectPr>
          <w:pgSz w:w="11906" w:h="16838"/>
          <w:pgMar w:top="1440" w:right="1080" w:bottom="1440" w:left="1080" w:header="720" w:footer="720" w:gutter="0"/>
          <w:cols w:space="720" w:num="1"/>
          <w:docGrid w:type="lines" w:linePitch="331" w:charSpace="0"/>
        </w:sectPr>
      </w:pPr>
    </w:p>
    <w:p w14:paraId="7395A3E4">
      <w:pPr>
        <w:pStyle w:val="14"/>
        <w:wordWrap w:val="0"/>
        <w:spacing w:line="360" w:lineRule="auto"/>
        <w:ind w:firstLine="562"/>
        <w:jc w:val="center"/>
        <w:outlineLvl w:val="1"/>
        <w:rPr>
          <w:rFonts w:hint="eastAsia" w:hAnsi="宋体" w:cs="宋体"/>
          <w:b/>
          <w:bCs/>
          <w:color w:val="auto"/>
          <w:sz w:val="28"/>
          <w:szCs w:val="28"/>
          <w:highlight w:val="none"/>
        </w:rPr>
      </w:pPr>
      <w:r>
        <w:rPr>
          <w:rFonts w:hint="eastAsia" w:hAnsi="宋体" w:cs="宋体"/>
          <w:b/>
          <w:bCs/>
          <w:color w:val="auto"/>
          <w:sz w:val="28"/>
          <w:szCs w:val="28"/>
          <w:highlight w:val="none"/>
        </w:rPr>
        <w:t>第三节 商务文件格式</w:t>
      </w:r>
      <w:bookmarkEnd w:id="279"/>
      <w:bookmarkEnd w:id="280"/>
    </w:p>
    <w:p w14:paraId="567A5EB2">
      <w:pPr>
        <w:wordWrap w:val="0"/>
        <w:snapToGrid w:val="0"/>
        <w:spacing w:line="360" w:lineRule="auto"/>
        <w:ind w:firstLine="600"/>
        <w:rPr>
          <w:rFonts w:hint="eastAsia" w:ascii="宋体" w:hAnsi="宋体" w:cs="宋体"/>
          <w:color w:val="auto"/>
          <w:sz w:val="30"/>
          <w:szCs w:val="20"/>
          <w:highlight w:val="none"/>
        </w:rPr>
      </w:pPr>
    </w:p>
    <w:p w14:paraId="15A13E24">
      <w:pPr>
        <w:wordWrap w:val="0"/>
        <w:snapToGrid w:val="0"/>
        <w:spacing w:line="360" w:lineRule="auto"/>
        <w:rPr>
          <w:rFonts w:hint="eastAsia" w:ascii="宋体" w:hAnsi="宋体" w:cs="宋体"/>
          <w:bCs/>
          <w:color w:val="auto"/>
          <w:sz w:val="32"/>
          <w:szCs w:val="20"/>
          <w:highlight w:val="none"/>
        </w:rPr>
      </w:pPr>
      <w:r>
        <w:rPr>
          <w:rFonts w:hint="eastAsia" w:ascii="宋体" w:hAnsi="宋体" w:cs="宋体"/>
          <w:color w:val="auto"/>
          <w:sz w:val="24"/>
          <w:highlight w:val="none"/>
        </w:rPr>
        <w:t xml:space="preserve">                                                  </w:t>
      </w:r>
      <w:r>
        <w:rPr>
          <w:rFonts w:hint="eastAsia" w:ascii="宋体" w:hAnsi="宋体" w:cs="宋体"/>
          <w:bCs/>
          <w:color w:val="auto"/>
          <w:highlight w:val="none"/>
        </w:rPr>
        <w:t xml:space="preserve">             电子投标文件</w:t>
      </w:r>
    </w:p>
    <w:p w14:paraId="0CB33D84">
      <w:pPr>
        <w:wordWrap w:val="0"/>
        <w:snapToGrid w:val="0"/>
        <w:spacing w:line="360" w:lineRule="auto"/>
        <w:rPr>
          <w:rFonts w:hint="eastAsia" w:ascii="宋体" w:hAnsi="宋体" w:cs="宋体"/>
          <w:color w:val="auto"/>
          <w:sz w:val="24"/>
          <w:szCs w:val="20"/>
          <w:highlight w:val="none"/>
        </w:rPr>
      </w:pPr>
    </w:p>
    <w:p w14:paraId="779EE607">
      <w:pPr>
        <w:wordWrap w:val="0"/>
        <w:snapToGrid w:val="0"/>
        <w:spacing w:line="360" w:lineRule="auto"/>
        <w:ind w:firstLine="643"/>
        <w:jc w:val="center"/>
        <w:rPr>
          <w:rFonts w:hint="eastAsia" w:ascii="宋体" w:hAnsi="宋体" w:cs="宋体"/>
          <w:b/>
          <w:color w:val="auto"/>
          <w:sz w:val="24"/>
          <w:szCs w:val="20"/>
          <w:highlight w:val="none"/>
        </w:rPr>
      </w:pPr>
      <w:r>
        <w:rPr>
          <w:rFonts w:hint="eastAsia" w:ascii="宋体" w:hAnsi="宋体" w:cs="宋体"/>
          <w:b/>
          <w:color w:val="auto"/>
          <w:sz w:val="32"/>
          <w:szCs w:val="32"/>
          <w:highlight w:val="none"/>
        </w:rPr>
        <w:t>商务文件（封面）</w:t>
      </w:r>
    </w:p>
    <w:p w14:paraId="7DEF0FE1">
      <w:pPr>
        <w:wordWrap w:val="0"/>
        <w:snapToGrid w:val="0"/>
        <w:spacing w:line="360" w:lineRule="auto"/>
        <w:rPr>
          <w:rFonts w:hint="eastAsia" w:ascii="宋体" w:hAnsi="宋体" w:cs="宋体"/>
          <w:bCs/>
          <w:color w:val="auto"/>
          <w:sz w:val="24"/>
          <w:szCs w:val="20"/>
          <w:highlight w:val="none"/>
        </w:rPr>
      </w:pPr>
    </w:p>
    <w:p w14:paraId="0EBC7972">
      <w:pPr>
        <w:wordWrap w:val="0"/>
        <w:snapToGrid w:val="0"/>
        <w:spacing w:line="360" w:lineRule="auto"/>
        <w:ind w:firstLine="540" w:firstLineChars="225"/>
        <w:rPr>
          <w:rFonts w:hint="eastAsia" w:ascii="宋体" w:hAnsi="宋体" w:cs="宋体"/>
          <w:bCs/>
          <w:color w:val="auto"/>
          <w:sz w:val="24"/>
          <w:highlight w:val="none"/>
        </w:rPr>
      </w:pPr>
      <w:r>
        <w:rPr>
          <w:rFonts w:hint="eastAsia" w:ascii="宋体" w:hAnsi="宋体" w:cs="宋体"/>
          <w:bCs/>
          <w:color w:val="auto"/>
          <w:sz w:val="24"/>
          <w:highlight w:val="none"/>
        </w:rPr>
        <w:t xml:space="preserve">项目名称： </w:t>
      </w:r>
    </w:p>
    <w:p w14:paraId="3C9EA242">
      <w:pPr>
        <w:wordWrap w:val="0"/>
        <w:snapToGrid w:val="0"/>
        <w:spacing w:line="360" w:lineRule="auto"/>
        <w:ind w:firstLine="540" w:firstLineChars="225"/>
        <w:rPr>
          <w:rFonts w:hint="eastAsia" w:ascii="宋体" w:hAnsi="宋体" w:cs="宋体"/>
          <w:bCs/>
          <w:color w:val="auto"/>
          <w:sz w:val="24"/>
          <w:szCs w:val="20"/>
          <w:highlight w:val="none"/>
        </w:rPr>
      </w:pPr>
    </w:p>
    <w:p w14:paraId="0589E9C6">
      <w:pPr>
        <w:wordWrap w:val="0"/>
        <w:snapToGrid w:val="0"/>
        <w:spacing w:line="360" w:lineRule="auto"/>
        <w:ind w:firstLine="540" w:firstLineChars="225"/>
        <w:rPr>
          <w:rFonts w:hint="eastAsia" w:ascii="宋体" w:hAnsi="宋体" w:cs="宋体"/>
          <w:bCs/>
          <w:color w:val="auto"/>
          <w:sz w:val="24"/>
          <w:highlight w:val="none"/>
        </w:rPr>
      </w:pPr>
      <w:r>
        <w:rPr>
          <w:rFonts w:hint="eastAsia" w:ascii="宋体" w:hAnsi="宋体" w:cs="宋体"/>
          <w:bCs/>
          <w:color w:val="auto"/>
          <w:sz w:val="24"/>
          <w:highlight w:val="none"/>
        </w:rPr>
        <w:t xml:space="preserve">项目编号： </w:t>
      </w:r>
      <w:r>
        <w:rPr>
          <w:rFonts w:hint="eastAsia" w:ascii="宋体" w:hAnsi="宋体" w:cs="宋体"/>
          <w:color w:val="auto"/>
          <w:sz w:val="24"/>
          <w:highlight w:val="none"/>
        </w:rPr>
        <w:t xml:space="preserve"> </w:t>
      </w:r>
    </w:p>
    <w:p w14:paraId="2A684A3B">
      <w:pPr>
        <w:wordWrap w:val="0"/>
        <w:snapToGrid w:val="0"/>
        <w:spacing w:line="360" w:lineRule="auto"/>
        <w:ind w:firstLine="540" w:firstLineChars="225"/>
        <w:rPr>
          <w:rFonts w:hint="eastAsia" w:ascii="宋体" w:hAnsi="宋体" w:cs="宋体"/>
          <w:bCs/>
          <w:color w:val="auto"/>
          <w:sz w:val="24"/>
          <w:szCs w:val="20"/>
          <w:highlight w:val="none"/>
        </w:rPr>
      </w:pPr>
      <w:r>
        <w:rPr>
          <w:rFonts w:hint="eastAsia" w:ascii="宋体" w:hAnsi="宋体" w:cs="宋体"/>
          <w:bCs/>
          <w:color w:val="auto"/>
          <w:sz w:val="24"/>
          <w:highlight w:val="none"/>
        </w:rPr>
        <w:t xml:space="preserve"> </w:t>
      </w:r>
    </w:p>
    <w:p w14:paraId="2FD36F76">
      <w:pPr>
        <w:wordWrap w:val="0"/>
        <w:snapToGrid w:val="0"/>
        <w:spacing w:line="360" w:lineRule="auto"/>
        <w:ind w:firstLine="540" w:firstLineChars="225"/>
        <w:rPr>
          <w:rFonts w:hint="eastAsia" w:ascii="宋体" w:hAnsi="宋体" w:cs="宋体"/>
          <w:bCs/>
          <w:color w:val="auto"/>
          <w:sz w:val="24"/>
          <w:highlight w:val="none"/>
        </w:rPr>
      </w:pPr>
      <w:r>
        <w:rPr>
          <w:rFonts w:hint="eastAsia" w:ascii="宋体" w:hAnsi="宋体" w:cs="宋体"/>
          <w:bCs/>
          <w:color w:val="auto"/>
          <w:sz w:val="24"/>
          <w:highlight w:val="none"/>
        </w:rPr>
        <w:t>所投分标：</w:t>
      </w:r>
    </w:p>
    <w:p w14:paraId="1427B6CB">
      <w:pPr>
        <w:wordWrap w:val="0"/>
        <w:snapToGrid w:val="0"/>
        <w:spacing w:line="360" w:lineRule="auto"/>
        <w:ind w:firstLine="540" w:firstLineChars="225"/>
        <w:rPr>
          <w:rFonts w:hint="eastAsia" w:ascii="宋体" w:hAnsi="宋体" w:cs="宋体"/>
          <w:bCs/>
          <w:color w:val="auto"/>
          <w:sz w:val="24"/>
          <w:szCs w:val="20"/>
          <w:highlight w:val="none"/>
        </w:rPr>
      </w:pPr>
    </w:p>
    <w:p w14:paraId="404D7899">
      <w:pPr>
        <w:pStyle w:val="9"/>
        <w:wordWrap w:val="0"/>
        <w:snapToGrid w:val="0"/>
        <w:spacing w:line="360" w:lineRule="auto"/>
        <w:ind w:firstLine="540" w:firstLineChars="225"/>
        <w:rPr>
          <w:rFonts w:hint="eastAsia" w:ascii="宋体" w:hAnsi="宋体" w:cs="宋体"/>
          <w:bCs/>
          <w:color w:val="auto"/>
          <w:sz w:val="24"/>
          <w:szCs w:val="24"/>
          <w:highlight w:val="none"/>
        </w:rPr>
      </w:pPr>
      <w:r>
        <w:rPr>
          <w:rFonts w:hint="eastAsia" w:ascii="宋体" w:hAnsi="宋体" w:cs="宋体"/>
          <w:bCs/>
          <w:color w:val="auto"/>
          <w:sz w:val="24"/>
          <w:szCs w:val="24"/>
          <w:highlight w:val="none"/>
        </w:rPr>
        <w:t>投标人名称：</w:t>
      </w:r>
    </w:p>
    <w:p w14:paraId="79EABD1D">
      <w:pPr>
        <w:pStyle w:val="9"/>
        <w:wordWrap w:val="0"/>
        <w:snapToGrid w:val="0"/>
        <w:spacing w:line="360" w:lineRule="auto"/>
        <w:ind w:firstLine="540" w:firstLineChars="225"/>
        <w:rPr>
          <w:rFonts w:hint="eastAsia" w:ascii="宋体" w:hAnsi="宋体" w:cs="宋体"/>
          <w:bCs/>
          <w:color w:val="auto"/>
          <w:sz w:val="24"/>
          <w:szCs w:val="24"/>
          <w:highlight w:val="none"/>
        </w:rPr>
      </w:pPr>
    </w:p>
    <w:p w14:paraId="649176D4">
      <w:pPr>
        <w:pStyle w:val="9"/>
        <w:wordWrap w:val="0"/>
        <w:snapToGrid w:val="0"/>
        <w:spacing w:line="360" w:lineRule="auto"/>
        <w:ind w:firstLine="540" w:firstLineChars="225"/>
        <w:rPr>
          <w:rFonts w:hint="eastAsia" w:ascii="宋体" w:hAnsi="宋体" w:cs="宋体"/>
          <w:bCs/>
          <w:color w:val="auto"/>
          <w:sz w:val="24"/>
          <w:szCs w:val="24"/>
          <w:highlight w:val="none"/>
        </w:rPr>
      </w:pPr>
      <w:r>
        <w:rPr>
          <w:rFonts w:hint="eastAsia" w:ascii="宋体" w:hAnsi="宋体" w:cs="宋体"/>
          <w:bCs/>
          <w:color w:val="auto"/>
          <w:sz w:val="24"/>
          <w:szCs w:val="24"/>
          <w:highlight w:val="none"/>
        </w:rPr>
        <w:t>投标人地址：</w:t>
      </w:r>
    </w:p>
    <w:p w14:paraId="1992D344">
      <w:pPr>
        <w:pStyle w:val="9"/>
        <w:wordWrap w:val="0"/>
        <w:snapToGrid w:val="0"/>
        <w:spacing w:line="360" w:lineRule="auto"/>
        <w:ind w:firstLine="960" w:firstLineChars="400"/>
        <w:rPr>
          <w:rFonts w:hint="eastAsia" w:ascii="宋体" w:hAnsi="宋体" w:cs="宋体"/>
          <w:bCs/>
          <w:color w:val="auto"/>
          <w:sz w:val="24"/>
          <w:szCs w:val="24"/>
          <w:highlight w:val="none"/>
        </w:rPr>
      </w:pPr>
    </w:p>
    <w:p w14:paraId="38D6E55A">
      <w:pPr>
        <w:wordWrap w:val="0"/>
        <w:snapToGrid w:val="0"/>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 xml:space="preserve">                        年  月  日</w:t>
      </w:r>
    </w:p>
    <w:p w14:paraId="7F4CE3A2">
      <w:pPr>
        <w:wordWrap w:val="0"/>
        <w:snapToGrid w:val="0"/>
        <w:spacing w:line="360" w:lineRule="auto"/>
        <w:rPr>
          <w:rFonts w:hint="eastAsia" w:ascii="宋体" w:hAnsi="宋体" w:cs="宋体"/>
          <w:color w:val="auto"/>
          <w:sz w:val="24"/>
          <w:szCs w:val="20"/>
          <w:highlight w:val="none"/>
        </w:rPr>
      </w:pPr>
      <w:r>
        <w:rPr>
          <w:rFonts w:hint="eastAsia" w:ascii="宋体" w:hAnsi="宋体" w:cs="宋体"/>
          <w:color w:val="auto"/>
          <w:sz w:val="24"/>
          <w:szCs w:val="20"/>
          <w:highlight w:val="none"/>
        </w:rPr>
        <w:t xml:space="preserve"> </w:t>
      </w:r>
    </w:p>
    <w:p w14:paraId="4BBF5F90">
      <w:pPr>
        <w:wordWrap w:val="0"/>
        <w:spacing w:line="360" w:lineRule="auto"/>
        <w:ind w:right="420"/>
        <w:rPr>
          <w:rFonts w:hint="eastAsia" w:ascii="宋体" w:hAnsi="宋体" w:cs="宋体"/>
          <w:color w:val="auto"/>
          <w:sz w:val="24"/>
          <w:szCs w:val="20"/>
          <w:highlight w:val="none"/>
        </w:rPr>
      </w:pPr>
    </w:p>
    <w:p w14:paraId="27E0184E">
      <w:pPr>
        <w:wordWrap w:val="0"/>
        <w:spacing w:line="360" w:lineRule="auto"/>
        <w:ind w:right="420"/>
        <w:rPr>
          <w:rFonts w:hint="eastAsia" w:ascii="宋体" w:hAnsi="宋体" w:cs="宋体"/>
          <w:color w:val="auto"/>
          <w:sz w:val="24"/>
          <w:szCs w:val="20"/>
          <w:highlight w:val="none"/>
        </w:rPr>
      </w:pPr>
    </w:p>
    <w:p w14:paraId="0AE2B0D6">
      <w:pPr>
        <w:wordWrap w:val="0"/>
        <w:spacing w:line="360" w:lineRule="auto"/>
        <w:ind w:right="420"/>
        <w:rPr>
          <w:rFonts w:hint="eastAsia" w:ascii="宋体" w:hAnsi="宋体" w:cs="宋体"/>
          <w:color w:val="auto"/>
          <w:sz w:val="24"/>
          <w:szCs w:val="20"/>
          <w:highlight w:val="none"/>
        </w:rPr>
      </w:pPr>
    </w:p>
    <w:p w14:paraId="256C83C6">
      <w:pPr>
        <w:wordWrap w:val="0"/>
        <w:spacing w:line="360" w:lineRule="auto"/>
        <w:ind w:right="420"/>
        <w:rPr>
          <w:rFonts w:hint="eastAsia" w:ascii="宋体" w:hAnsi="宋体" w:cs="宋体"/>
          <w:color w:val="auto"/>
          <w:sz w:val="24"/>
          <w:szCs w:val="20"/>
          <w:highlight w:val="none"/>
        </w:rPr>
      </w:pPr>
    </w:p>
    <w:p w14:paraId="468E8FE6">
      <w:pPr>
        <w:wordWrap w:val="0"/>
        <w:spacing w:line="360" w:lineRule="auto"/>
        <w:ind w:right="420"/>
        <w:rPr>
          <w:rFonts w:hint="eastAsia" w:ascii="宋体" w:hAnsi="宋体" w:cs="宋体"/>
          <w:color w:val="auto"/>
          <w:sz w:val="24"/>
          <w:szCs w:val="20"/>
          <w:highlight w:val="none"/>
        </w:rPr>
      </w:pPr>
    </w:p>
    <w:p w14:paraId="21A7CB8D">
      <w:pPr>
        <w:wordWrap w:val="0"/>
        <w:spacing w:line="360" w:lineRule="auto"/>
        <w:ind w:right="420"/>
        <w:rPr>
          <w:rFonts w:hint="eastAsia" w:ascii="宋体" w:hAnsi="宋体" w:cs="宋体"/>
          <w:color w:val="auto"/>
          <w:sz w:val="24"/>
          <w:szCs w:val="20"/>
          <w:highlight w:val="none"/>
        </w:rPr>
      </w:pPr>
    </w:p>
    <w:p w14:paraId="35311592">
      <w:pPr>
        <w:wordWrap w:val="0"/>
        <w:spacing w:line="360" w:lineRule="auto"/>
        <w:ind w:right="420"/>
        <w:rPr>
          <w:rFonts w:hint="eastAsia" w:ascii="宋体" w:hAnsi="宋体" w:cs="宋体"/>
          <w:color w:val="auto"/>
          <w:sz w:val="24"/>
          <w:szCs w:val="20"/>
          <w:highlight w:val="none"/>
        </w:rPr>
      </w:pPr>
    </w:p>
    <w:p w14:paraId="3AF0D964">
      <w:pPr>
        <w:wordWrap w:val="0"/>
        <w:spacing w:line="360" w:lineRule="auto"/>
        <w:ind w:right="420"/>
        <w:rPr>
          <w:rFonts w:hint="eastAsia" w:ascii="宋体" w:hAnsi="宋体" w:cs="宋体"/>
          <w:color w:val="auto"/>
          <w:sz w:val="24"/>
          <w:szCs w:val="20"/>
          <w:highlight w:val="none"/>
        </w:rPr>
      </w:pPr>
    </w:p>
    <w:p w14:paraId="1022D0D5">
      <w:pPr>
        <w:wordWrap w:val="0"/>
        <w:spacing w:line="360" w:lineRule="auto"/>
        <w:ind w:right="420"/>
        <w:rPr>
          <w:rFonts w:hint="eastAsia" w:ascii="宋体" w:hAnsi="宋体" w:cs="宋体"/>
          <w:color w:val="auto"/>
          <w:sz w:val="24"/>
          <w:szCs w:val="20"/>
          <w:highlight w:val="none"/>
        </w:rPr>
      </w:pPr>
    </w:p>
    <w:p w14:paraId="3B221E94">
      <w:pPr>
        <w:wordWrap w:val="0"/>
        <w:spacing w:line="360" w:lineRule="auto"/>
        <w:ind w:right="420" w:firstLine="723"/>
        <w:rPr>
          <w:rFonts w:hint="eastAsia" w:ascii="宋体" w:hAnsi="宋体" w:cs="宋体"/>
          <w:b/>
          <w:color w:val="auto"/>
          <w:kern w:val="0"/>
          <w:sz w:val="36"/>
          <w:szCs w:val="36"/>
          <w:highlight w:val="none"/>
        </w:rPr>
      </w:pPr>
      <w:r>
        <w:rPr>
          <w:rFonts w:hint="eastAsia" w:ascii="宋体" w:hAnsi="宋体" w:cs="宋体"/>
          <w:b/>
          <w:color w:val="auto"/>
          <w:kern w:val="0"/>
          <w:sz w:val="36"/>
          <w:szCs w:val="36"/>
          <w:highlight w:val="none"/>
        </w:rPr>
        <w:t xml:space="preserve"> </w:t>
      </w:r>
    </w:p>
    <w:p w14:paraId="5A8F13AD">
      <w:pPr>
        <w:wordWrap w:val="0"/>
        <w:spacing w:line="360" w:lineRule="auto"/>
        <w:ind w:firstLine="482"/>
        <w:rPr>
          <w:rFonts w:hint="eastAsia" w:ascii="宋体" w:hAnsi="宋体" w:cs="宋体"/>
          <w:b/>
          <w:color w:val="auto"/>
          <w:kern w:val="0"/>
          <w:sz w:val="24"/>
          <w:highlight w:val="none"/>
        </w:rPr>
      </w:pPr>
    </w:p>
    <w:p w14:paraId="389F1E17">
      <w:pPr>
        <w:wordWrap w:val="0"/>
        <w:spacing w:line="360" w:lineRule="auto"/>
        <w:ind w:firstLine="562"/>
        <w:jc w:val="center"/>
        <w:rPr>
          <w:rFonts w:hint="eastAsia" w:ascii="宋体" w:hAnsi="宋体" w:cs="宋体"/>
          <w:b/>
          <w:color w:val="auto"/>
          <w:kern w:val="0"/>
          <w:sz w:val="28"/>
          <w:szCs w:val="28"/>
          <w:highlight w:val="none"/>
        </w:rPr>
      </w:pPr>
      <w:r>
        <w:rPr>
          <w:rFonts w:hint="eastAsia" w:ascii="宋体" w:hAnsi="宋体" w:cs="宋体"/>
          <w:b/>
          <w:color w:val="auto"/>
          <w:kern w:val="0"/>
          <w:sz w:val="28"/>
          <w:szCs w:val="28"/>
          <w:highlight w:val="none"/>
        </w:rPr>
        <w:t>商务文件目录</w:t>
      </w:r>
    </w:p>
    <w:p w14:paraId="66474658">
      <w:pPr>
        <w:pStyle w:val="39"/>
        <w:wordWrap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一、无串通投标行为的承诺函……………………………………………………………（页码）</w:t>
      </w:r>
    </w:p>
    <w:p w14:paraId="1DCF9595">
      <w:pPr>
        <w:pStyle w:val="39"/>
        <w:wordWrap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二、法定代表人身份证明及法定代表人有效身份证正反面复印件…………………（页码）</w:t>
      </w:r>
    </w:p>
    <w:p w14:paraId="6B78325F">
      <w:pPr>
        <w:pStyle w:val="39"/>
        <w:wordWrap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三、法定代表人授权委托书及委托代理人有效身份证正反面复印件（如有委托时）……………………………………………………………………………………………（页码）</w:t>
      </w:r>
    </w:p>
    <w:p w14:paraId="13EEFC54">
      <w:pPr>
        <w:pStyle w:val="39"/>
        <w:wordWrap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四、</w:t>
      </w:r>
      <w:r>
        <w:rPr>
          <w:rFonts w:hint="eastAsia" w:ascii="宋体" w:hAnsi="宋体" w:eastAsia="宋体" w:cs="宋体"/>
          <w:color w:val="auto"/>
          <w:highlight w:val="none"/>
          <w:lang w:val="zh-CN"/>
        </w:rPr>
        <w:t>商务条款偏离表………………………………</w:t>
      </w:r>
      <w:r>
        <w:rPr>
          <w:rFonts w:hint="eastAsia" w:ascii="宋体" w:hAnsi="宋体" w:eastAsia="宋体" w:cs="宋体"/>
          <w:color w:val="auto"/>
          <w:highlight w:val="none"/>
        </w:rPr>
        <w:t>……………………………………（页码）</w:t>
      </w:r>
    </w:p>
    <w:p w14:paraId="365FA837">
      <w:pPr>
        <w:pStyle w:val="39"/>
        <w:wordWrap w:val="0"/>
        <w:spacing w:line="360" w:lineRule="auto"/>
        <w:rPr>
          <w:rFonts w:hint="eastAsia" w:ascii="宋体" w:hAnsi="宋体" w:eastAsia="宋体" w:cs="宋体"/>
          <w:color w:val="auto"/>
          <w:highlight w:val="none"/>
        </w:rPr>
      </w:pPr>
      <w:bookmarkStart w:id="281" w:name="OLE_LINK6"/>
      <w:bookmarkStart w:id="282" w:name="OLE_LINK7"/>
      <w:bookmarkStart w:id="283" w:name="OLE_LINK5"/>
      <w:r>
        <w:rPr>
          <w:rFonts w:hint="eastAsia" w:ascii="宋体" w:hAnsi="宋体" w:eastAsia="宋体" w:cs="宋体"/>
          <w:color w:val="auto"/>
          <w:highlight w:val="none"/>
        </w:rPr>
        <w:t>五、投标人情况介绍</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542924B6">
      <w:pPr>
        <w:pStyle w:val="39"/>
        <w:wordWrap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六、投标人类似业绩的证明文件（如有要求）</w:t>
      </w:r>
      <w:r>
        <w:rPr>
          <w:rFonts w:hint="eastAsia" w:ascii="宋体" w:hAnsi="宋体" w:eastAsia="宋体" w:cs="宋体"/>
          <w:color w:val="auto"/>
          <w:highlight w:val="none"/>
          <w:lang w:val="zh-CN"/>
        </w:rPr>
        <w:t>………</w:t>
      </w:r>
      <w:r>
        <w:rPr>
          <w:rFonts w:hint="eastAsia" w:ascii="宋体" w:hAnsi="宋体" w:eastAsia="宋体" w:cs="宋体"/>
          <w:color w:val="auto"/>
          <w:highlight w:val="none"/>
        </w:rPr>
        <w:t>…s……</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bookmarkEnd w:id="281"/>
      <w:bookmarkEnd w:id="282"/>
    </w:p>
    <w:p w14:paraId="546EB6CA">
      <w:pPr>
        <w:pStyle w:val="39"/>
        <w:wordWrap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七、其他商务文件或说明</w:t>
      </w:r>
      <w:r>
        <w:rPr>
          <w:rFonts w:hint="eastAsia" w:ascii="宋体" w:hAnsi="宋体" w:eastAsia="宋体" w:cs="宋体"/>
          <w:color w:val="auto"/>
          <w:highlight w:val="none"/>
          <w:lang w:val="zh-CN"/>
        </w:rPr>
        <w:t>…………………………………</w:t>
      </w:r>
      <w:r>
        <w:rPr>
          <w:rFonts w:hint="eastAsia" w:ascii="宋体" w:hAnsi="宋体" w:eastAsia="宋体" w:cs="宋体"/>
          <w:color w:val="auto"/>
          <w:highlight w:val="none"/>
        </w:rPr>
        <w:t>…</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bookmarkEnd w:id="283"/>
    <w:p w14:paraId="090E25B4">
      <w:pPr>
        <w:wordWrap w:val="0"/>
        <w:spacing w:line="360" w:lineRule="auto"/>
        <w:ind w:firstLine="482"/>
        <w:rPr>
          <w:rFonts w:hint="eastAsia" w:ascii="宋体" w:hAnsi="宋体" w:cs="宋体"/>
          <w:b/>
          <w:bCs/>
          <w:color w:val="auto"/>
          <w:sz w:val="24"/>
          <w:highlight w:val="none"/>
        </w:rPr>
      </w:pPr>
      <w:r>
        <w:rPr>
          <w:rFonts w:hint="eastAsia" w:ascii="宋体" w:hAnsi="宋体" w:cs="宋体"/>
          <w:b/>
          <w:bCs/>
          <w:color w:val="auto"/>
          <w:sz w:val="24"/>
          <w:highlight w:val="none"/>
        </w:rPr>
        <w:t>注：以上目录是基本格式要求，各投标人可根据自身情况进一步向下增加内容或细化。</w:t>
      </w:r>
    </w:p>
    <w:p w14:paraId="5494FAAC">
      <w:pPr>
        <w:widowControl/>
        <w:wordWrap w:val="0"/>
        <w:spacing w:line="360" w:lineRule="auto"/>
        <w:jc w:val="left"/>
        <w:rPr>
          <w:rFonts w:hint="eastAsia" w:ascii="宋体" w:hAnsi="宋体" w:cs="宋体"/>
          <w:color w:val="auto"/>
          <w:highlight w:val="none"/>
        </w:rPr>
        <w:sectPr>
          <w:pgSz w:w="11906" w:h="16838"/>
          <w:pgMar w:top="1440" w:right="1080" w:bottom="1440" w:left="1080" w:header="720" w:footer="720" w:gutter="0"/>
          <w:cols w:space="720" w:num="1"/>
          <w:docGrid w:type="lines" w:linePitch="331" w:charSpace="0"/>
        </w:sectPr>
      </w:pPr>
    </w:p>
    <w:p w14:paraId="18EB75CF">
      <w:pPr>
        <w:wordWrap w:val="0"/>
        <w:snapToGrid w:val="0"/>
        <w:spacing w:line="360" w:lineRule="auto"/>
        <w:ind w:left="420" w:firstLine="602"/>
        <w:jc w:val="center"/>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t>一、无串通投标行为的承诺函</w:t>
      </w:r>
    </w:p>
    <w:p w14:paraId="432E7FDB">
      <w:pPr>
        <w:wordWrap w:val="0"/>
        <w:snapToGrid w:val="0"/>
        <w:spacing w:line="360" w:lineRule="auto"/>
        <w:ind w:left="420" w:firstLine="643"/>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投标人参加本项目无串通投标行为的承诺函</w:t>
      </w:r>
    </w:p>
    <w:p w14:paraId="64850041">
      <w:pPr>
        <w:wordWrap w:val="0"/>
        <w:snapToGrid w:val="0"/>
        <w:spacing w:line="360" w:lineRule="auto"/>
        <w:ind w:firstLine="482"/>
        <w:rPr>
          <w:rFonts w:hint="eastAsia" w:ascii="宋体" w:hAnsi="宋体" w:cs="宋体"/>
          <w:b/>
          <w:color w:val="auto"/>
          <w:szCs w:val="21"/>
          <w:highlight w:val="none"/>
        </w:rPr>
      </w:pPr>
    </w:p>
    <w:p w14:paraId="04B55D78">
      <w:pPr>
        <w:wordWrap w:val="0"/>
        <w:snapToGrid w:val="0"/>
        <w:spacing w:line="360" w:lineRule="auto"/>
        <w:ind w:firstLine="482"/>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rPr>
        <w:t>一、我方承诺无下列相互串通投标的情形：</w:t>
      </w:r>
    </w:p>
    <w:p w14:paraId="2C0CB94F">
      <w:pPr>
        <w:wordWrap w:val="0"/>
        <w:snapToGrid w:val="0"/>
        <w:spacing w:line="360" w:lineRule="auto"/>
        <w:ind w:firstLine="470" w:firstLineChars="196"/>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1.不同投标人的投标文件由同一单位或者个人编制；或者不同投标人报名的IP地址一致的；或者编制标书硬件设备CPU编号、硬盘编号、网卡地址一致的情况。</w:t>
      </w:r>
    </w:p>
    <w:p w14:paraId="710DB785">
      <w:pPr>
        <w:wordWrap w:val="0"/>
        <w:snapToGrid w:val="0"/>
        <w:spacing w:line="360" w:lineRule="auto"/>
        <w:ind w:firstLine="470" w:firstLineChars="196"/>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2.不同投标人委托同一单位或者个人办理投标事宜；</w:t>
      </w:r>
    </w:p>
    <w:p w14:paraId="7826EC81">
      <w:pPr>
        <w:wordWrap w:val="0"/>
        <w:snapToGrid w:val="0"/>
        <w:spacing w:line="360" w:lineRule="auto"/>
        <w:ind w:firstLine="470" w:firstLineChars="196"/>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3.不同的投标人的投标文件载明的项目管理员为同一个人；</w:t>
      </w:r>
    </w:p>
    <w:p w14:paraId="3E198F9B">
      <w:pPr>
        <w:wordWrap w:val="0"/>
        <w:snapToGrid w:val="0"/>
        <w:spacing w:line="360" w:lineRule="auto"/>
        <w:ind w:firstLine="470" w:firstLineChars="196"/>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4.不同投标人的投标文件异常一致或者投标报价呈规律性差异；</w:t>
      </w:r>
    </w:p>
    <w:p w14:paraId="21726C2B">
      <w:pPr>
        <w:wordWrap w:val="0"/>
        <w:snapToGrid w:val="0"/>
        <w:spacing w:line="360" w:lineRule="auto"/>
        <w:ind w:firstLine="470" w:firstLineChars="196"/>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5.不同投标人的投标文件相互混装；</w:t>
      </w:r>
    </w:p>
    <w:p w14:paraId="32671FD1">
      <w:pPr>
        <w:wordWrap w:val="0"/>
        <w:snapToGrid w:val="0"/>
        <w:spacing w:line="360" w:lineRule="auto"/>
        <w:ind w:firstLine="470" w:firstLineChars="196"/>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6.不同投标人的投标保证金从同一单位或者个人账户转出。</w:t>
      </w:r>
    </w:p>
    <w:p w14:paraId="1284A8C0">
      <w:pPr>
        <w:wordWrap w:val="0"/>
        <w:snapToGrid w:val="0"/>
        <w:spacing w:line="360" w:lineRule="auto"/>
        <w:ind w:firstLine="482"/>
        <w:jc w:val="left"/>
        <w:rPr>
          <w:rFonts w:hint="eastAsia" w:ascii="宋体" w:hAnsi="宋体" w:cs="宋体"/>
          <w:color w:val="auto"/>
          <w:sz w:val="24"/>
          <w:szCs w:val="24"/>
          <w:highlight w:val="none"/>
        </w:rPr>
      </w:pPr>
      <w:r>
        <w:rPr>
          <w:rFonts w:hint="eastAsia" w:ascii="宋体" w:hAnsi="宋体" w:cs="宋体"/>
          <w:b/>
          <w:color w:val="auto"/>
          <w:sz w:val="24"/>
          <w:szCs w:val="24"/>
          <w:highlight w:val="none"/>
        </w:rPr>
        <w:t>二、我方承诺无下列恶意串通的情形：</w:t>
      </w:r>
    </w:p>
    <w:p w14:paraId="4558E379">
      <w:pPr>
        <w:wordWrap w:val="0"/>
        <w:snapToGrid w:val="0"/>
        <w:spacing w:line="360" w:lineRule="auto"/>
        <w:ind w:firstLine="470" w:firstLineChars="196"/>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1.投标人直接或者间接从采购人或者采购代理机构处获得其他投标人的相关信息并修改其投标文件或者投标文件；</w:t>
      </w:r>
    </w:p>
    <w:p w14:paraId="5595BC2B">
      <w:pPr>
        <w:wordWrap w:val="0"/>
        <w:snapToGrid w:val="0"/>
        <w:spacing w:line="360" w:lineRule="auto"/>
        <w:ind w:firstLine="470" w:firstLineChars="196"/>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2.投标人按照采购人或者采购代理机构的授意撤换、修改投标文件或者投标文件；</w:t>
      </w:r>
    </w:p>
    <w:p w14:paraId="3724F945">
      <w:pPr>
        <w:wordWrap w:val="0"/>
        <w:snapToGrid w:val="0"/>
        <w:spacing w:line="360" w:lineRule="auto"/>
        <w:ind w:firstLine="470" w:firstLineChars="196"/>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3.投标人之间协商报价、技术方案等投标文件或者投标文件的实质性内容；</w:t>
      </w:r>
    </w:p>
    <w:p w14:paraId="1407D2AC">
      <w:pPr>
        <w:wordWrap w:val="0"/>
        <w:snapToGrid w:val="0"/>
        <w:spacing w:line="360" w:lineRule="auto"/>
        <w:ind w:firstLine="470" w:firstLineChars="196"/>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4.属于同一集团、协会、商会等组织成员的投标人按照该组织要求协同参加政府采购活动；</w:t>
      </w:r>
    </w:p>
    <w:p w14:paraId="1C1E6A72">
      <w:pPr>
        <w:wordWrap w:val="0"/>
        <w:snapToGrid w:val="0"/>
        <w:spacing w:line="360" w:lineRule="auto"/>
        <w:ind w:firstLine="470" w:firstLineChars="196"/>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5.投标人之间事先约定一致抬高或者压低投标报价，或者在招标项目中事先约定轮流以高价位或者低价位中标，或者事先约定由某一特定投标人中标，然后再参加投标；</w:t>
      </w:r>
    </w:p>
    <w:p w14:paraId="13B9EA7C">
      <w:pPr>
        <w:wordWrap w:val="0"/>
        <w:snapToGrid w:val="0"/>
        <w:spacing w:line="360" w:lineRule="auto"/>
        <w:ind w:firstLine="470" w:firstLineChars="196"/>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6.投标人之间商定部分投标人放弃参加政府采购活动或者放弃中标；</w:t>
      </w:r>
    </w:p>
    <w:p w14:paraId="594BFE18">
      <w:pPr>
        <w:wordWrap w:val="0"/>
        <w:snapToGrid w:val="0"/>
        <w:spacing w:line="360" w:lineRule="auto"/>
        <w:ind w:firstLine="470" w:firstLineChars="196"/>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7.投标人与采购人或者采购代理机构之间、投标人相互之间，为谋求特定投标人中标或者排斥其他投标人的其他串通行为。</w:t>
      </w:r>
    </w:p>
    <w:p w14:paraId="3C87D0D3">
      <w:pPr>
        <w:wordWrap w:val="0"/>
        <w:snapToGrid w:val="0"/>
        <w:spacing w:line="360" w:lineRule="auto"/>
        <w:ind w:firstLine="472" w:firstLineChars="196"/>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rPr>
        <w:t>以上情形一经核查属实，我方愿意承担一切后果，接受政府采购监管部门对我方认定存在围标串标行为，并不再寻求任何旨在减轻或者免除法律责任的辩解。</w:t>
      </w:r>
    </w:p>
    <w:p w14:paraId="7AA5FDC0">
      <w:pPr>
        <w:wordWrap w:val="0"/>
        <w:snapToGrid w:val="0"/>
        <w:spacing w:line="360" w:lineRule="auto"/>
        <w:ind w:firstLine="4935" w:firstLineChars="2350"/>
        <w:rPr>
          <w:rFonts w:hint="eastAsia" w:ascii="宋体" w:hAnsi="宋体" w:cs="宋体"/>
          <w:color w:val="auto"/>
          <w:kern w:val="0"/>
          <w:sz w:val="24"/>
          <w:highlight w:val="none"/>
        </w:rPr>
      </w:pPr>
      <w:r>
        <w:rPr>
          <w:rFonts w:hint="eastAsia" w:ascii="宋体" w:hAnsi="宋体" w:cs="宋体"/>
          <w:color w:val="auto"/>
          <w:szCs w:val="21"/>
          <w:highlight w:val="none"/>
        </w:rPr>
        <w:t xml:space="preserve">  </w:t>
      </w:r>
      <w:r>
        <w:rPr>
          <w:rFonts w:hint="eastAsia" w:ascii="宋体" w:hAnsi="宋体" w:cs="宋体"/>
          <w:color w:val="auto"/>
          <w:kern w:val="0"/>
          <w:sz w:val="24"/>
          <w:highlight w:val="none"/>
          <w:lang w:val="zh-CN"/>
        </w:rPr>
        <w:t>投标人名称(电子签章)：</w:t>
      </w:r>
    </w:p>
    <w:p w14:paraId="36ABE71D">
      <w:pPr>
        <w:wordWrap w:val="0"/>
        <w:snapToGrid w:val="0"/>
        <w:spacing w:line="360" w:lineRule="auto"/>
        <w:ind w:firstLine="5160" w:firstLineChars="215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103952DC">
      <w:pPr>
        <w:pStyle w:val="14"/>
        <w:wordWrap w:val="0"/>
        <w:snapToGrid w:val="0"/>
        <w:spacing w:line="360" w:lineRule="auto"/>
        <w:ind w:firstLine="482"/>
        <w:jc w:val="center"/>
        <w:rPr>
          <w:rFonts w:hint="eastAsia" w:hAnsi="宋体" w:cs="宋体"/>
          <w:b/>
          <w:color w:val="auto"/>
          <w:sz w:val="24"/>
          <w:highlight w:val="none"/>
        </w:rPr>
      </w:pPr>
      <w:r>
        <w:rPr>
          <w:rFonts w:hint="eastAsia" w:hAnsi="宋体" w:cs="宋体"/>
          <w:b/>
          <w:color w:val="auto"/>
          <w:sz w:val="24"/>
          <w:highlight w:val="none"/>
        </w:rPr>
        <w:br w:type="page"/>
      </w:r>
      <w:r>
        <w:rPr>
          <w:rFonts w:hint="eastAsia" w:hAnsi="宋体" w:cs="宋体"/>
          <w:b/>
          <w:bCs/>
          <w:color w:val="auto"/>
          <w:sz w:val="30"/>
          <w:szCs w:val="30"/>
          <w:highlight w:val="none"/>
        </w:rPr>
        <w:t>二、法定代表人身份证明及法定代表人有效身份证正反面复印件</w:t>
      </w:r>
    </w:p>
    <w:p w14:paraId="74D663E5">
      <w:pPr>
        <w:wordWrap w:val="0"/>
        <w:spacing w:line="360" w:lineRule="auto"/>
        <w:ind w:left="540" w:firstLine="643"/>
        <w:jc w:val="center"/>
        <w:rPr>
          <w:rFonts w:hint="eastAsia" w:ascii="宋体" w:hAnsi="宋体" w:cs="宋体"/>
          <w:b/>
          <w:color w:val="auto"/>
          <w:sz w:val="32"/>
          <w:szCs w:val="32"/>
          <w:highlight w:val="none"/>
        </w:rPr>
      </w:pPr>
    </w:p>
    <w:p w14:paraId="11281EAF">
      <w:pPr>
        <w:wordWrap w:val="0"/>
        <w:spacing w:line="360" w:lineRule="auto"/>
        <w:ind w:left="540" w:firstLine="643"/>
        <w:jc w:val="center"/>
        <w:rPr>
          <w:rFonts w:hint="eastAsia" w:ascii="宋体" w:hAnsi="宋体" w:cs="宋体"/>
          <w:color w:val="auto"/>
          <w:sz w:val="32"/>
          <w:szCs w:val="32"/>
          <w:highlight w:val="none"/>
        </w:rPr>
      </w:pPr>
      <w:r>
        <w:rPr>
          <w:rFonts w:hint="eastAsia" w:ascii="宋体" w:hAnsi="宋体" w:cs="宋体"/>
          <w:b/>
          <w:color w:val="auto"/>
          <w:sz w:val="32"/>
          <w:szCs w:val="32"/>
          <w:highlight w:val="none"/>
        </w:rPr>
        <w:t>法定代表人身份证明</w:t>
      </w:r>
    </w:p>
    <w:p w14:paraId="456844D3">
      <w:pPr>
        <w:wordWrap w:val="0"/>
        <w:spacing w:line="360" w:lineRule="auto"/>
        <w:ind w:left="540"/>
        <w:rPr>
          <w:rFonts w:hint="eastAsia" w:ascii="宋体" w:hAnsi="宋体" w:cs="宋体"/>
          <w:color w:val="auto"/>
          <w:sz w:val="24"/>
          <w:highlight w:val="none"/>
        </w:rPr>
      </w:pPr>
      <w:r>
        <w:rPr>
          <w:rFonts w:hint="eastAsia" w:ascii="宋体" w:hAnsi="宋体" w:cs="宋体"/>
          <w:color w:val="auto"/>
          <w:sz w:val="24"/>
          <w:highlight w:val="none"/>
        </w:rPr>
        <w:t>投 标 人：</w:t>
      </w:r>
      <w:r>
        <w:rPr>
          <w:rFonts w:hint="eastAsia" w:ascii="宋体" w:hAnsi="宋体" w:cs="宋体"/>
          <w:color w:val="auto"/>
          <w:sz w:val="24"/>
          <w:highlight w:val="none"/>
          <w:u w:val="single"/>
        </w:rPr>
        <w:t xml:space="preserve">                                                        </w:t>
      </w:r>
    </w:p>
    <w:p w14:paraId="20684F9D">
      <w:pPr>
        <w:wordWrap w:val="0"/>
        <w:spacing w:line="360" w:lineRule="auto"/>
        <w:ind w:left="540"/>
        <w:rPr>
          <w:rFonts w:hint="eastAsia"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w:t>
      </w:r>
    </w:p>
    <w:p w14:paraId="3703B8DD">
      <w:pPr>
        <w:wordWrap w:val="0"/>
        <w:spacing w:line="360" w:lineRule="auto"/>
        <w:ind w:left="540"/>
        <w:rPr>
          <w:rFonts w:hint="eastAsia" w:ascii="宋体" w:hAnsi="宋体" w:cs="宋体"/>
          <w:color w:val="auto"/>
          <w:sz w:val="24"/>
          <w:highlight w:val="none"/>
        </w:rPr>
      </w:pPr>
      <w:r>
        <w:rPr>
          <w:rFonts w:hint="eastAsia" w:ascii="宋体" w:hAnsi="宋体" w:cs="宋体"/>
          <w:color w:val="auto"/>
          <w:sz w:val="24"/>
          <w:highlight w:val="none"/>
        </w:rPr>
        <w:t>姓    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性      别：</w:t>
      </w:r>
      <w:r>
        <w:rPr>
          <w:rFonts w:hint="eastAsia" w:ascii="宋体" w:hAnsi="宋体" w:cs="宋体"/>
          <w:color w:val="auto"/>
          <w:sz w:val="24"/>
          <w:highlight w:val="none"/>
          <w:u w:val="single"/>
        </w:rPr>
        <w:t xml:space="preserve">                </w:t>
      </w:r>
    </w:p>
    <w:p w14:paraId="0DEA1C5F">
      <w:pPr>
        <w:wordWrap w:val="0"/>
        <w:spacing w:line="360" w:lineRule="auto"/>
        <w:ind w:left="540"/>
        <w:rPr>
          <w:rFonts w:hint="eastAsia" w:ascii="宋体" w:hAnsi="宋体" w:cs="宋体"/>
          <w:color w:val="auto"/>
          <w:sz w:val="24"/>
          <w:highlight w:val="none"/>
          <w:u w:val="single"/>
        </w:rPr>
      </w:pPr>
      <w:r>
        <w:rPr>
          <w:rFonts w:hint="eastAsia" w:ascii="宋体" w:hAnsi="宋体" w:cs="宋体"/>
          <w:color w:val="auto"/>
          <w:sz w:val="24"/>
          <w:highlight w:val="none"/>
        </w:rPr>
        <w:t>年    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      务：</w:t>
      </w:r>
      <w:r>
        <w:rPr>
          <w:rFonts w:hint="eastAsia" w:ascii="宋体" w:hAnsi="宋体" w:cs="宋体"/>
          <w:color w:val="auto"/>
          <w:sz w:val="24"/>
          <w:highlight w:val="none"/>
          <w:u w:val="single"/>
        </w:rPr>
        <w:t xml:space="preserve">                </w:t>
      </w:r>
    </w:p>
    <w:p w14:paraId="171A7106">
      <w:pPr>
        <w:wordWrap w:val="0"/>
        <w:spacing w:line="360" w:lineRule="auto"/>
        <w:ind w:left="540"/>
        <w:rPr>
          <w:rFonts w:hint="eastAsia" w:ascii="宋体" w:hAnsi="宋体" w:cs="宋体"/>
          <w:color w:val="auto"/>
          <w:sz w:val="24"/>
          <w:highlight w:val="none"/>
        </w:rPr>
      </w:pPr>
      <w:r>
        <w:rPr>
          <w:rFonts w:hint="eastAsia" w:ascii="宋体" w:hAnsi="宋体" w:cs="宋体"/>
          <w:color w:val="auto"/>
          <w:sz w:val="24"/>
          <w:highlight w:val="none"/>
        </w:rPr>
        <w:t>身份证号码：</w:t>
      </w:r>
      <w:r>
        <w:rPr>
          <w:rFonts w:hint="eastAsia" w:ascii="宋体" w:hAnsi="宋体" w:cs="宋体"/>
          <w:color w:val="auto"/>
          <w:sz w:val="24"/>
          <w:highlight w:val="none"/>
          <w:u w:val="single"/>
        </w:rPr>
        <w:t xml:space="preserve">                                 </w:t>
      </w:r>
    </w:p>
    <w:p w14:paraId="301A03F8">
      <w:pPr>
        <w:wordWrap w:val="0"/>
        <w:spacing w:line="360" w:lineRule="auto"/>
        <w:ind w:left="540"/>
        <w:rPr>
          <w:rFonts w:hint="eastAsia" w:ascii="宋体" w:hAnsi="宋体" w:cs="宋体"/>
          <w:color w:val="auto"/>
          <w:sz w:val="24"/>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（投标人名称）              </w:t>
      </w:r>
      <w:r>
        <w:rPr>
          <w:rFonts w:hint="eastAsia" w:ascii="宋体" w:hAnsi="宋体" w:cs="宋体"/>
          <w:color w:val="auto"/>
          <w:sz w:val="24"/>
          <w:highlight w:val="none"/>
        </w:rPr>
        <w:t>的法定代表人。</w:t>
      </w:r>
    </w:p>
    <w:p w14:paraId="2D384B60">
      <w:pPr>
        <w:wordWrap w:val="0"/>
        <w:spacing w:line="360" w:lineRule="auto"/>
        <w:ind w:left="540"/>
        <w:rPr>
          <w:rFonts w:hint="eastAsia" w:ascii="宋体" w:hAnsi="宋体" w:cs="宋体"/>
          <w:color w:val="auto"/>
          <w:sz w:val="24"/>
          <w:highlight w:val="none"/>
        </w:rPr>
      </w:pPr>
      <w:r>
        <w:rPr>
          <w:rFonts w:hint="eastAsia" w:ascii="宋体" w:hAnsi="宋体" w:cs="宋体"/>
          <w:color w:val="auto"/>
          <w:sz w:val="24"/>
          <w:highlight w:val="none"/>
        </w:rPr>
        <w:t>特此证明。</w:t>
      </w:r>
    </w:p>
    <w:p w14:paraId="4FB995B7">
      <w:pPr>
        <w:wordWrap w:val="0"/>
        <w:spacing w:line="360" w:lineRule="auto"/>
        <w:ind w:left="540"/>
        <w:rPr>
          <w:rFonts w:hint="eastAsia" w:ascii="宋体" w:hAnsi="宋体" w:cs="宋体"/>
          <w:color w:val="auto"/>
          <w:sz w:val="24"/>
          <w:highlight w:val="none"/>
        </w:rPr>
      </w:pPr>
    </w:p>
    <w:p w14:paraId="2969D40E">
      <w:pPr>
        <w:wordWrap w:val="0"/>
        <w:spacing w:line="360" w:lineRule="auto"/>
        <w:ind w:left="540"/>
        <w:rPr>
          <w:rFonts w:hint="eastAsia" w:ascii="宋体" w:hAnsi="宋体" w:cs="宋体"/>
          <w:color w:val="auto"/>
          <w:sz w:val="24"/>
          <w:highlight w:val="none"/>
        </w:rPr>
      </w:pPr>
    </w:p>
    <w:p w14:paraId="41CBD9BA">
      <w:pPr>
        <w:wordWrap w:val="0"/>
        <w:spacing w:line="360" w:lineRule="auto"/>
        <w:ind w:left="540"/>
        <w:rPr>
          <w:rFonts w:hint="eastAsia" w:ascii="宋体" w:hAnsi="宋体" w:cs="宋体"/>
          <w:color w:val="auto"/>
          <w:sz w:val="24"/>
          <w:highlight w:val="none"/>
        </w:rPr>
      </w:pPr>
      <w:r>
        <w:rPr>
          <w:rFonts w:hint="eastAsia" w:ascii="宋体" w:hAnsi="宋体" w:cs="宋体"/>
          <w:color w:val="auto"/>
          <w:sz w:val="24"/>
          <w:highlight w:val="none"/>
        </w:rPr>
        <w:t>附件：法定代表人有效身份证正反面复印件</w:t>
      </w:r>
    </w:p>
    <w:p w14:paraId="751514DD">
      <w:pPr>
        <w:wordWrap w:val="0"/>
        <w:spacing w:line="360" w:lineRule="auto"/>
        <w:ind w:left="540"/>
        <w:rPr>
          <w:rFonts w:hint="eastAsia" w:ascii="宋体" w:hAnsi="宋体" w:cs="宋体"/>
          <w:color w:val="auto"/>
          <w:sz w:val="24"/>
          <w:highlight w:val="none"/>
        </w:rPr>
      </w:pPr>
    </w:p>
    <w:p w14:paraId="71F92CEB">
      <w:pPr>
        <w:wordWrap w:val="0"/>
        <w:snapToGrid w:val="0"/>
        <w:spacing w:line="360" w:lineRule="auto"/>
        <w:ind w:firstLine="4935" w:firstLineChars="2350"/>
        <w:rPr>
          <w:rFonts w:hint="eastAsia" w:ascii="宋体" w:hAnsi="宋体" w:cs="宋体"/>
          <w:color w:val="auto"/>
          <w:kern w:val="0"/>
          <w:sz w:val="24"/>
          <w:highlight w:val="none"/>
        </w:rPr>
      </w:pPr>
      <w:r>
        <w:rPr>
          <w:rFonts w:hint="eastAsia" w:ascii="宋体" w:hAnsi="宋体" w:cs="宋体"/>
          <w:color w:val="auto"/>
          <w:szCs w:val="21"/>
          <w:highlight w:val="none"/>
        </w:rPr>
        <w:t xml:space="preserve">  </w:t>
      </w:r>
      <w:r>
        <w:rPr>
          <w:rFonts w:hint="eastAsia" w:ascii="宋体" w:hAnsi="宋体" w:cs="宋体"/>
          <w:color w:val="auto"/>
          <w:kern w:val="0"/>
          <w:sz w:val="24"/>
          <w:highlight w:val="none"/>
          <w:lang w:val="zh-CN"/>
        </w:rPr>
        <w:t>投标人名称(电子签章)：</w:t>
      </w:r>
    </w:p>
    <w:p w14:paraId="7AC7326E">
      <w:pPr>
        <w:wordWrap w:val="0"/>
        <w:snapToGrid w:val="0"/>
        <w:spacing w:line="360" w:lineRule="auto"/>
        <w:ind w:firstLine="5160" w:firstLineChars="215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4DE91FAE">
      <w:pPr>
        <w:wordWrap w:val="0"/>
        <w:snapToGrid w:val="0"/>
        <w:spacing w:line="360" w:lineRule="auto"/>
        <w:ind w:firstLine="482"/>
        <w:jc w:val="center"/>
        <w:rPr>
          <w:rFonts w:hint="eastAsia" w:ascii="宋体" w:hAnsi="宋体" w:cs="宋体"/>
          <w:b/>
          <w:color w:val="auto"/>
          <w:sz w:val="24"/>
          <w:highlight w:val="none"/>
        </w:rPr>
      </w:pPr>
    </w:p>
    <w:p w14:paraId="6B5F43E4">
      <w:pPr>
        <w:wordWrap w:val="0"/>
        <w:snapToGrid w:val="0"/>
        <w:spacing w:line="360" w:lineRule="auto"/>
        <w:ind w:firstLine="600" w:firstLineChars="250"/>
        <w:jc w:val="left"/>
        <w:rPr>
          <w:rFonts w:hint="eastAsia" w:ascii="宋体" w:hAnsi="宋体" w:cs="宋体"/>
          <w:color w:val="auto"/>
          <w:sz w:val="24"/>
          <w:highlight w:val="none"/>
        </w:rPr>
      </w:pPr>
      <w:r>
        <w:rPr>
          <w:rFonts w:hint="eastAsia" w:ascii="宋体" w:hAnsi="宋体" w:cs="宋体"/>
          <w:color w:val="auto"/>
          <w:sz w:val="24"/>
          <w:highlight w:val="none"/>
        </w:rPr>
        <w:t>注：自然人投标的无需提供</w:t>
      </w:r>
    </w:p>
    <w:p w14:paraId="4F6341AB">
      <w:pPr>
        <w:wordWrap w:val="0"/>
        <w:snapToGrid w:val="0"/>
        <w:spacing w:line="360" w:lineRule="auto"/>
        <w:ind w:firstLine="600" w:firstLineChars="250"/>
        <w:jc w:val="left"/>
        <w:rPr>
          <w:rFonts w:hint="eastAsia" w:ascii="宋体" w:hAnsi="宋体" w:cs="宋体"/>
          <w:color w:val="auto"/>
          <w:sz w:val="24"/>
          <w:highlight w:val="none"/>
        </w:rPr>
      </w:pPr>
    </w:p>
    <w:p w14:paraId="548529CD">
      <w:pPr>
        <w:wordWrap w:val="0"/>
        <w:snapToGrid w:val="0"/>
        <w:spacing w:line="360" w:lineRule="auto"/>
        <w:ind w:firstLine="602" w:firstLineChars="250"/>
        <w:jc w:val="left"/>
        <w:rPr>
          <w:rFonts w:hint="eastAsia" w:ascii="宋体" w:hAnsi="宋体" w:cs="宋体"/>
          <w:b/>
          <w:color w:val="auto"/>
          <w:sz w:val="24"/>
          <w:szCs w:val="20"/>
          <w:highlight w:val="none"/>
        </w:rPr>
      </w:pPr>
    </w:p>
    <w:tbl>
      <w:tblPr>
        <w:tblStyle w:val="25"/>
        <w:tblpPr w:leftFromText="180" w:rightFromText="180" w:vertAnchor="text" w:horzAnchor="margin" w:tblpY="1169"/>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14:paraId="3C54A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0" w:type="dxa"/>
            <w:tcBorders>
              <w:top w:val="single" w:color="auto" w:sz="4" w:space="0"/>
              <w:left w:val="single" w:color="auto" w:sz="4" w:space="0"/>
              <w:bottom w:val="single" w:color="auto" w:sz="4" w:space="0"/>
              <w:right w:val="single" w:color="auto" w:sz="4" w:space="0"/>
            </w:tcBorders>
          </w:tcPr>
          <w:p w14:paraId="7AFCCD2E">
            <w:pPr>
              <w:wordWrap w:val="0"/>
              <w:spacing w:line="360" w:lineRule="auto"/>
              <w:ind w:firstLine="482"/>
              <w:rPr>
                <w:rFonts w:hint="eastAsia" w:ascii="宋体" w:hAnsi="宋体" w:cs="宋体"/>
                <w:b/>
                <w:color w:val="auto"/>
                <w:sz w:val="24"/>
                <w:highlight w:val="none"/>
              </w:rPr>
            </w:pPr>
          </w:p>
          <w:p w14:paraId="614CD463">
            <w:pPr>
              <w:wordWrap w:val="0"/>
              <w:spacing w:line="360" w:lineRule="auto"/>
              <w:ind w:firstLine="482"/>
              <w:rPr>
                <w:rFonts w:hint="eastAsia" w:ascii="宋体" w:hAnsi="宋体" w:cs="宋体"/>
                <w:b/>
                <w:color w:val="auto"/>
                <w:sz w:val="24"/>
                <w:highlight w:val="none"/>
              </w:rPr>
            </w:pPr>
            <w:r>
              <w:rPr>
                <w:rFonts w:hint="eastAsia" w:ascii="宋体" w:hAnsi="宋体" w:cs="宋体"/>
                <w:b/>
                <w:color w:val="auto"/>
                <w:sz w:val="24"/>
                <w:highlight w:val="none"/>
              </w:rPr>
              <w:t>法定代表身份证复印件粘帖处（正、反面）</w:t>
            </w:r>
          </w:p>
        </w:tc>
      </w:tr>
    </w:tbl>
    <w:p w14:paraId="29938441">
      <w:pPr>
        <w:pStyle w:val="14"/>
        <w:wordWrap w:val="0"/>
        <w:snapToGrid w:val="0"/>
        <w:spacing w:line="360" w:lineRule="auto"/>
        <w:ind w:firstLine="482"/>
        <w:jc w:val="center"/>
        <w:rPr>
          <w:rFonts w:hint="eastAsia" w:hAnsi="宋体" w:cs="宋体"/>
          <w:b/>
          <w:color w:val="auto"/>
          <w:sz w:val="24"/>
          <w:highlight w:val="none"/>
        </w:rPr>
      </w:pPr>
      <w:r>
        <w:rPr>
          <w:rFonts w:hint="eastAsia" w:hAnsi="宋体" w:cs="宋体"/>
          <w:b/>
          <w:color w:val="auto"/>
          <w:sz w:val="24"/>
          <w:highlight w:val="none"/>
        </w:rPr>
        <w:t>附件：</w:t>
      </w:r>
      <w:r>
        <w:rPr>
          <w:rFonts w:hint="eastAsia" w:hAnsi="宋体" w:cs="宋体"/>
          <w:b/>
          <w:color w:val="auto"/>
          <w:sz w:val="24"/>
          <w:highlight w:val="none"/>
        </w:rPr>
        <w:br w:type="page"/>
      </w:r>
      <w:r>
        <w:rPr>
          <w:rFonts w:hint="eastAsia" w:hAnsi="宋体" w:cs="宋体"/>
          <w:b/>
          <w:bCs/>
          <w:color w:val="auto"/>
          <w:sz w:val="30"/>
          <w:szCs w:val="30"/>
          <w:highlight w:val="none"/>
        </w:rPr>
        <w:t>三、法定代表人授权委托书及委托代理人有效身份证正反面复印件（如有委托时）</w:t>
      </w:r>
    </w:p>
    <w:p w14:paraId="7D61ED0F">
      <w:pPr>
        <w:wordWrap w:val="0"/>
        <w:snapToGrid w:val="0"/>
        <w:spacing w:line="360" w:lineRule="auto"/>
        <w:ind w:firstLine="643"/>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法定代表人授权委托书</w:t>
      </w:r>
    </w:p>
    <w:p w14:paraId="69C61C8D">
      <w:pPr>
        <w:wordWrap w:val="0"/>
        <w:snapToGrid w:val="0"/>
        <w:spacing w:line="360" w:lineRule="auto"/>
        <w:ind w:firstLine="482"/>
        <w:jc w:val="center"/>
        <w:rPr>
          <w:rFonts w:hint="eastAsia" w:ascii="宋体" w:hAnsi="宋体" w:cs="宋体"/>
          <w:b/>
          <w:color w:val="auto"/>
          <w:sz w:val="24"/>
          <w:szCs w:val="24"/>
          <w:highlight w:val="none"/>
        </w:rPr>
      </w:pPr>
    </w:p>
    <w:p w14:paraId="7CA3C48D">
      <w:pPr>
        <w:pStyle w:val="14"/>
        <w:wordWrap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致：</w:t>
      </w:r>
      <w:r>
        <w:rPr>
          <w:rFonts w:hint="eastAsia" w:hAnsi="宋体" w:cs="宋体"/>
          <w:color w:val="auto"/>
          <w:sz w:val="24"/>
          <w:szCs w:val="24"/>
          <w:highlight w:val="none"/>
          <w:u w:val="single"/>
        </w:rPr>
        <w:t xml:space="preserve"> </w:t>
      </w:r>
      <w:bookmarkStart w:id="284" w:name="PO_3000001866_PM031_7"/>
      <w:r>
        <w:rPr>
          <w:rFonts w:hint="eastAsia" w:hAnsi="宋体" w:cs="宋体"/>
          <w:color w:val="auto"/>
          <w:sz w:val="24"/>
          <w:szCs w:val="24"/>
          <w:highlight w:val="none"/>
          <w:u w:val="single"/>
        </w:rPr>
        <w:t>广西邕政采购代理有限公司</w:t>
      </w:r>
      <w:bookmarkEnd w:id="284"/>
      <w:r>
        <w:rPr>
          <w:rFonts w:hint="eastAsia" w:hAnsi="宋体" w:cs="宋体"/>
          <w:color w:val="auto"/>
          <w:sz w:val="24"/>
          <w:szCs w:val="24"/>
          <w:highlight w:val="none"/>
          <w:u w:val="single"/>
        </w:rPr>
        <w:t xml:space="preserve"> </w:t>
      </w:r>
    </w:p>
    <w:p w14:paraId="0867F28B">
      <w:pPr>
        <w:pStyle w:val="14"/>
        <w:wordWrap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本人</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（姓名）系</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（投标人名称）的法定代表人，现授权我单位在职正式员工</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（姓名和职务）为我方代理人。代理人根据授权，以我方名义签署、澄清、说明、补正、递交、撤回、修改贵方组织的</w:t>
      </w:r>
      <w:r>
        <w:rPr>
          <w:rFonts w:hint="eastAsia" w:hAnsi="宋体" w:cs="宋体"/>
          <w:color w:val="auto"/>
          <w:sz w:val="24"/>
          <w:szCs w:val="24"/>
          <w:highlight w:val="none"/>
          <w:u w:val="single"/>
        </w:rPr>
        <w:t xml:space="preserve"> （项目名称）  </w:t>
      </w:r>
      <w:r>
        <w:rPr>
          <w:rFonts w:hint="eastAsia" w:hAnsi="宋体" w:cs="宋体"/>
          <w:color w:val="auto"/>
          <w:sz w:val="24"/>
          <w:szCs w:val="24"/>
          <w:highlight w:val="none"/>
        </w:rPr>
        <w:t>项目（项目编号</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）的投标文件、签订合同和处理一切有关事宜，其法律后果由我方承担。</w:t>
      </w:r>
    </w:p>
    <w:p w14:paraId="2CAC91BE">
      <w:pPr>
        <w:pStyle w:val="14"/>
        <w:wordWrap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本授权书于</w:t>
      </w:r>
      <w:r>
        <w:rPr>
          <w:rFonts w:hint="eastAsia" w:hAnsi="宋体" w:cs="宋体"/>
          <w:color w:val="auto"/>
          <w:spacing w:val="10"/>
          <w:sz w:val="24"/>
          <w:szCs w:val="24"/>
          <w:highlight w:val="none"/>
          <w:u w:val="single"/>
        </w:rPr>
        <w:t xml:space="preserve">    </w:t>
      </w:r>
      <w:r>
        <w:rPr>
          <w:rFonts w:hint="eastAsia" w:hAnsi="宋体" w:cs="宋体"/>
          <w:color w:val="auto"/>
          <w:sz w:val="24"/>
          <w:szCs w:val="24"/>
          <w:highlight w:val="none"/>
        </w:rPr>
        <w:t>年</w:t>
      </w:r>
      <w:r>
        <w:rPr>
          <w:rFonts w:hint="eastAsia" w:hAnsi="宋体" w:cs="宋体"/>
          <w:color w:val="auto"/>
          <w:spacing w:val="10"/>
          <w:sz w:val="24"/>
          <w:szCs w:val="24"/>
          <w:highlight w:val="none"/>
          <w:u w:val="single"/>
        </w:rPr>
        <w:t xml:space="preserve">    </w:t>
      </w:r>
      <w:r>
        <w:rPr>
          <w:rFonts w:hint="eastAsia" w:hAnsi="宋体" w:cs="宋体"/>
          <w:color w:val="auto"/>
          <w:sz w:val="24"/>
          <w:szCs w:val="24"/>
          <w:highlight w:val="none"/>
        </w:rPr>
        <w:t>月</w:t>
      </w:r>
      <w:r>
        <w:rPr>
          <w:rFonts w:hint="eastAsia" w:hAnsi="宋体" w:cs="宋体"/>
          <w:color w:val="auto"/>
          <w:spacing w:val="10"/>
          <w:sz w:val="24"/>
          <w:szCs w:val="24"/>
          <w:highlight w:val="none"/>
          <w:u w:val="single"/>
        </w:rPr>
        <w:t xml:space="preserve">    </w:t>
      </w:r>
      <w:r>
        <w:rPr>
          <w:rFonts w:hint="eastAsia" w:hAnsi="宋体" w:cs="宋体"/>
          <w:color w:val="auto"/>
          <w:sz w:val="24"/>
          <w:szCs w:val="24"/>
          <w:highlight w:val="none"/>
        </w:rPr>
        <w:t>日签字生效，委托期限：</w:t>
      </w:r>
      <w:r>
        <w:rPr>
          <w:rFonts w:hint="eastAsia" w:hAnsi="宋体" w:cs="宋体"/>
          <w:color w:val="auto"/>
          <w:spacing w:val="10"/>
          <w:sz w:val="24"/>
          <w:szCs w:val="24"/>
          <w:highlight w:val="none"/>
          <w:u w:val="single"/>
        </w:rPr>
        <w:t xml:space="preserve">    </w:t>
      </w:r>
      <w:r>
        <w:rPr>
          <w:rFonts w:hint="eastAsia" w:hAnsi="宋体" w:cs="宋体"/>
          <w:color w:val="auto"/>
          <w:sz w:val="24"/>
          <w:szCs w:val="24"/>
          <w:highlight w:val="none"/>
        </w:rPr>
        <w:t>。</w:t>
      </w:r>
    </w:p>
    <w:p w14:paraId="53F36299">
      <w:pPr>
        <w:pStyle w:val="14"/>
        <w:wordWrap w:val="0"/>
        <w:spacing w:line="360" w:lineRule="auto"/>
        <w:ind w:firstLine="480"/>
        <w:rPr>
          <w:rFonts w:hint="eastAsia" w:hAnsi="宋体" w:cs="宋体"/>
          <w:color w:val="auto"/>
          <w:sz w:val="24"/>
          <w:szCs w:val="24"/>
          <w:highlight w:val="none"/>
        </w:rPr>
      </w:pPr>
      <w:r>
        <w:rPr>
          <w:rFonts w:hint="eastAsia" w:hAnsi="宋体" w:cs="宋体"/>
          <w:color w:val="auto"/>
          <w:sz w:val="24"/>
          <w:szCs w:val="24"/>
          <w:highlight w:val="none"/>
        </w:rPr>
        <w:t>代理人无转委托权。</w:t>
      </w:r>
    </w:p>
    <w:p w14:paraId="1C0C8762">
      <w:pPr>
        <w:pStyle w:val="14"/>
        <w:wordWrap w:val="0"/>
        <w:spacing w:line="360" w:lineRule="auto"/>
        <w:ind w:firstLine="480"/>
        <w:rPr>
          <w:rFonts w:hint="eastAsia" w:hAnsi="宋体" w:cs="宋体"/>
          <w:color w:val="auto"/>
          <w:sz w:val="24"/>
          <w:szCs w:val="24"/>
          <w:highlight w:val="none"/>
        </w:rPr>
      </w:pPr>
    </w:p>
    <w:p w14:paraId="34709371">
      <w:pPr>
        <w:pStyle w:val="14"/>
        <w:wordWrap w:val="0"/>
        <w:spacing w:line="360" w:lineRule="auto"/>
        <w:ind w:firstLine="480"/>
        <w:rPr>
          <w:rFonts w:hint="eastAsia" w:hAnsi="宋体" w:cs="宋体"/>
          <w:color w:val="auto"/>
          <w:sz w:val="24"/>
          <w:szCs w:val="24"/>
          <w:highlight w:val="none"/>
          <w:u w:val="single"/>
        </w:rPr>
      </w:pPr>
      <w:r>
        <w:rPr>
          <w:rFonts w:hint="eastAsia" w:hAnsi="宋体" w:cs="宋体"/>
          <w:color w:val="auto"/>
          <w:sz w:val="24"/>
          <w:szCs w:val="24"/>
          <w:highlight w:val="none"/>
        </w:rPr>
        <w:t>投标人（或联合体投标</w:t>
      </w:r>
      <w:r>
        <w:rPr>
          <w:rFonts w:hint="eastAsia" w:hAnsi="宋体" w:cs="宋体"/>
          <w:color w:val="auto"/>
          <w:kern w:val="0"/>
          <w:sz w:val="24"/>
          <w:szCs w:val="24"/>
          <w:highlight w:val="none"/>
        </w:rPr>
        <w:t>牵头人名称</w:t>
      </w:r>
      <w:r>
        <w:rPr>
          <w:rFonts w:hint="eastAsia" w:hAnsi="宋体" w:cs="宋体"/>
          <w:color w:val="auto"/>
          <w:sz w:val="24"/>
          <w:szCs w:val="24"/>
          <w:highlight w:val="none"/>
        </w:rPr>
        <w:t>）（盖单位公章）：</w:t>
      </w:r>
      <w:r>
        <w:rPr>
          <w:rFonts w:hint="eastAsia" w:hAnsi="宋体" w:cs="宋体"/>
          <w:color w:val="auto"/>
          <w:sz w:val="24"/>
          <w:szCs w:val="24"/>
          <w:highlight w:val="none"/>
          <w:u w:val="single"/>
        </w:rPr>
        <w:t xml:space="preserve">                                    </w:t>
      </w:r>
    </w:p>
    <w:p w14:paraId="10D5DAAA">
      <w:pPr>
        <w:pStyle w:val="14"/>
        <w:wordWrap w:val="0"/>
        <w:spacing w:line="360" w:lineRule="auto"/>
        <w:ind w:firstLine="480"/>
        <w:rPr>
          <w:rFonts w:hint="eastAsia" w:hAnsi="宋体" w:cs="宋体"/>
          <w:color w:val="auto"/>
          <w:sz w:val="24"/>
          <w:szCs w:val="24"/>
          <w:highlight w:val="none"/>
          <w:u w:val="single"/>
        </w:rPr>
      </w:pPr>
      <w:r>
        <w:rPr>
          <w:rFonts w:hint="eastAsia" w:hAnsi="宋体" w:cs="宋体"/>
          <w:color w:val="auto"/>
          <w:sz w:val="24"/>
          <w:szCs w:val="24"/>
          <w:highlight w:val="none"/>
        </w:rPr>
        <w:t>法定代表人（签字）：</w:t>
      </w:r>
      <w:r>
        <w:rPr>
          <w:rFonts w:hint="eastAsia" w:hAnsi="宋体" w:cs="宋体"/>
          <w:color w:val="auto"/>
          <w:sz w:val="24"/>
          <w:szCs w:val="24"/>
          <w:highlight w:val="none"/>
          <w:u w:val="single"/>
        </w:rPr>
        <w:t xml:space="preserve">                                </w:t>
      </w:r>
    </w:p>
    <w:p w14:paraId="79DFF754">
      <w:pPr>
        <w:pStyle w:val="14"/>
        <w:wordWrap w:val="0"/>
        <w:spacing w:line="360" w:lineRule="auto"/>
        <w:ind w:firstLine="480"/>
        <w:rPr>
          <w:rFonts w:hint="eastAsia" w:hAnsi="宋体" w:cs="宋体"/>
          <w:color w:val="auto"/>
          <w:sz w:val="24"/>
          <w:szCs w:val="24"/>
          <w:highlight w:val="none"/>
          <w:u w:val="single"/>
        </w:rPr>
      </w:pPr>
      <w:r>
        <w:rPr>
          <w:rFonts w:hint="eastAsia" w:hAnsi="宋体" w:cs="宋体"/>
          <w:color w:val="auto"/>
          <w:sz w:val="24"/>
          <w:szCs w:val="24"/>
          <w:highlight w:val="none"/>
        </w:rPr>
        <w:t>法定代表人身份证号码：</w:t>
      </w:r>
      <w:r>
        <w:rPr>
          <w:rFonts w:hint="eastAsia" w:hAnsi="宋体" w:cs="宋体"/>
          <w:color w:val="auto"/>
          <w:sz w:val="24"/>
          <w:szCs w:val="24"/>
          <w:highlight w:val="none"/>
          <w:u w:val="single"/>
        </w:rPr>
        <w:t xml:space="preserve">                                   </w:t>
      </w:r>
    </w:p>
    <w:p w14:paraId="2FC5D1B0">
      <w:pPr>
        <w:pStyle w:val="14"/>
        <w:wordWrap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委托代理人（签字）：</w:t>
      </w:r>
      <w:r>
        <w:rPr>
          <w:rFonts w:hint="eastAsia" w:hAnsi="宋体" w:cs="宋体"/>
          <w:color w:val="auto"/>
          <w:sz w:val="24"/>
          <w:szCs w:val="24"/>
          <w:highlight w:val="none"/>
          <w:u w:val="single"/>
        </w:rPr>
        <w:t xml:space="preserve">                                </w:t>
      </w:r>
    </w:p>
    <w:p w14:paraId="371C87E9">
      <w:pPr>
        <w:pStyle w:val="14"/>
        <w:wordWrap w:val="0"/>
        <w:spacing w:line="360" w:lineRule="auto"/>
        <w:ind w:firstLine="480"/>
        <w:rPr>
          <w:rFonts w:hint="eastAsia" w:hAnsi="宋体" w:cs="宋体"/>
          <w:color w:val="auto"/>
          <w:sz w:val="24"/>
          <w:szCs w:val="24"/>
          <w:highlight w:val="none"/>
          <w:u w:val="single"/>
        </w:rPr>
      </w:pPr>
      <w:r>
        <w:rPr>
          <w:rFonts w:hint="eastAsia" w:hAnsi="宋体" w:cs="宋体"/>
          <w:color w:val="auto"/>
          <w:sz w:val="24"/>
          <w:szCs w:val="24"/>
          <w:highlight w:val="none"/>
        </w:rPr>
        <w:t>委托代理人身份证号码：</w:t>
      </w:r>
      <w:r>
        <w:rPr>
          <w:rFonts w:hint="eastAsia" w:hAnsi="宋体" w:cs="宋体"/>
          <w:color w:val="auto"/>
          <w:sz w:val="24"/>
          <w:szCs w:val="24"/>
          <w:highlight w:val="none"/>
          <w:u w:val="single"/>
        </w:rPr>
        <w:t xml:space="preserve">                                   </w:t>
      </w:r>
    </w:p>
    <w:p w14:paraId="3FAC0FF3">
      <w:pPr>
        <w:pStyle w:val="14"/>
        <w:wordWrap w:val="0"/>
        <w:spacing w:line="360" w:lineRule="auto"/>
        <w:ind w:firstLine="480"/>
        <w:rPr>
          <w:rFonts w:hint="eastAsia" w:hAnsi="宋体" w:cs="宋体"/>
          <w:color w:val="auto"/>
          <w:sz w:val="24"/>
          <w:szCs w:val="24"/>
          <w:highlight w:val="none"/>
          <w:u w:val="single"/>
        </w:rPr>
      </w:pPr>
    </w:p>
    <w:p w14:paraId="14BD9498">
      <w:pPr>
        <w:pStyle w:val="14"/>
        <w:wordWrap w:val="0"/>
        <w:spacing w:line="360" w:lineRule="auto"/>
        <w:ind w:firstLine="480"/>
        <w:rPr>
          <w:rFonts w:hint="eastAsia" w:hAnsi="宋体" w:cs="宋体"/>
          <w:color w:val="auto"/>
          <w:sz w:val="24"/>
          <w:szCs w:val="24"/>
          <w:highlight w:val="none"/>
          <w:u w:val="single"/>
        </w:rPr>
      </w:pPr>
      <w:r>
        <w:rPr>
          <w:rFonts w:hint="eastAsia" w:hAnsi="宋体" w:cs="宋体"/>
          <w:color w:val="auto"/>
          <w:kern w:val="0"/>
          <w:sz w:val="24"/>
          <w:szCs w:val="24"/>
          <w:highlight w:val="none"/>
        </w:rPr>
        <w:t>成员一名称：</w:t>
      </w:r>
      <w:r>
        <w:rPr>
          <w:rFonts w:hint="eastAsia" w:hAnsi="宋体" w:cs="宋体"/>
          <w:color w:val="auto"/>
          <w:sz w:val="24"/>
          <w:szCs w:val="24"/>
          <w:highlight w:val="none"/>
        </w:rPr>
        <w:t>（盖单位公章）：</w:t>
      </w:r>
      <w:r>
        <w:rPr>
          <w:rFonts w:hint="eastAsia" w:hAnsi="宋体" w:cs="宋体"/>
          <w:color w:val="auto"/>
          <w:sz w:val="24"/>
          <w:szCs w:val="24"/>
          <w:highlight w:val="none"/>
          <w:u w:val="single"/>
        </w:rPr>
        <w:t xml:space="preserve">                                    </w:t>
      </w:r>
    </w:p>
    <w:p w14:paraId="01A60800">
      <w:pPr>
        <w:pStyle w:val="14"/>
        <w:wordWrap w:val="0"/>
        <w:spacing w:line="360" w:lineRule="auto"/>
        <w:ind w:firstLine="480"/>
        <w:rPr>
          <w:rFonts w:hint="eastAsia" w:hAnsi="宋体" w:cs="宋体"/>
          <w:color w:val="auto"/>
          <w:sz w:val="24"/>
          <w:szCs w:val="24"/>
          <w:highlight w:val="none"/>
          <w:u w:val="single"/>
        </w:rPr>
      </w:pPr>
      <w:r>
        <w:rPr>
          <w:rFonts w:hint="eastAsia" w:hAnsi="宋体" w:cs="宋体"/>
          <w:color w:val="auto"/>
          <w:sz w:val="24"/>
          <w:szCs w:val="24"/>
          <w:highlight w:val="none"/>
        </w:rPr>
        <w:t>法定代表人（签字）：</w:t>
      </w:r>
      <w:r>
        <w:rPr>
          <w:rFonts w:hint="eastAsia" w:hAnsi="宋体" w:cs="宋体"/>
          <w:color w:val="auto"/>
          <w:sz w:val="24"/>
          <w:szCs w:val="24"/>
          <w:highlight w:val="none"/>
          <w:u w:val="single"/>
        </w:rPr>
        <w:t xml:space="preserve">                                </w:t>
      </w:r>
    </w:p>
    <w:p w14:paraId="1F8184F0">
      <w:pPr>
        <w:pStyle w:val="14"/>
        <w:wordWrap w:val="0"/>
        <w:spacing w:line="360" w:lineRule="auto"/>
        <w:ind w:firstLine="480"/>
        <w:rPr>
          <w:rFonts w:hint="eastAsia" w:hAnsi="宋体" w:cs="宋体"/>
          <w:color w:val="auto"/>
          <w:sz w:val="24"/>
          <w:szCs w:val="24"/>
          <w:highlight w:val="none"/>
          <w:u w:val="single"/>
        </w:rPr>
      </w:pPr>
    </w:p>
    <w:p w14:paraId="0544D689">
      <w:pPr>
        <w:wordWrap w:val="0"/>
        <w:autoSpaceDE w:val="0"/>
        <w:autoSpaceDN w:val="0"/>
        <w:adjustRightInd w:val="0"/>
        <w:spacing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成员二名称：</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（盖单位公章）</w:t>
      </w:r>
    </w:p>
    <w:p w14:paraId="4E80A23B">
      <w:pPr>
        <w:wordWrap w:val="0"/>
        <w:autoSpaceDE w:val="0"/>
        <w:autoSpaceDN w:val="0"/>
        <w:adjustRightInd w:val="0"/>
        <w:spacing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法定代表人或其委托代理人：</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（签字）</w:t>
      </w:r>
    </w:p>
    <w:p w14:paraId="588D565B">
      <w:pPr>
        <w:pStyle w:val="14"/>
        <w:wordWrap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w:t>
      </w:r>
    </w:p>
    <w:p w14:paraId="1CFB6851">
      <w:pPr>
        <w:wordWrap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注：</w:t>
      </w:r>
    </w:p>
    <w:p w14:paraId="2411B62E">
      <w:pPr>
        <w:wordWrap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1.法定代表人和委托代理人必须在授权委托书上亲笔签名，不得使用印章、签名章或者其他电子制版签名代替，</w:t>
      </w:r>
      <w:r>
        <w:rPr>
          <w:rFonts w:hint="eastAsia" w:ascii="宋体" w:hAnsi="宋体" w:cs="宋体"/>
          <w:b/>
          <w:bCs/>
          <w:color w:val="auto"/>
          <w:sz w:val="24"/>
          <w:szCs w:val="24"/>
          <w:highlight w:val="none"/>
        </w:rPr>
        <w:t>否则作无效投标处理</w:t>
      </w:r>
      <w:r>
        <w:rPr>
          <w:rFonts w:hint="eastAsia" w:ascii="宋体" w:hAnsi="宋体" w:cs="宋体"/>
          <w:color w:val="auto"/>
          <w:sz w:val="24"/>
          <w:szCs w:val="24"/>
          <w:highlight w:val="none"/>
        </w:rPr>
        <w:t>；</w:t>
      </w:r>
    </w:p>
    <w:p w14:paraId="0E165F8F">
      <w:pPr>
        <w:wordWrap w:val="0"/>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2.以联合体形式投标的，本授权委托书应由联合体牵头人的法定代表人按上述规定签署。</w:t>
      </w:r>
    </w:p>
    <w:p w14:paraId="76D8A581">
      <w:pPr>
        <w:wordWrap w:val="0"/>
        <w:snapToGrid w:val="0"/>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 供应商为其他组织或者自然人时，本招标文件规定的法定代表人指负责人或者自然人。本招标文件所称负责人是指参加投标的其他组织营业执照上的负责人，本招标文件所称自然人指参与投标的自然人本人。</w:t>
      </w:r>
    </w:p>
    <w:p w14:paraId="272D6D79">
      <w:pPr>
        <w:wordWrap w:val="0"/>
        <w:snapToGrid w:val="0"/>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4. 若为联合体投标须各方签字或盖章。</w:t>
      </w:r>
    </w:p>
    <w:p w14:paraId="42C5BCA2">
      <w:pPr>
        <w:wordWrap w:val="0"/>
        <w:spacing w:line="360" w:lineRule="auto"/>
        <w:ind w:firstLine="482"/>
        <w:rPr>
          <w:rFonts w:hint="eastAsia" w:ascii="宋体" w:hAnsi="宋体" w:cs="宋体"/>
          <w:b/>
          <w:color w:val="auto"/>
          <w:sz w:val="24"/>
          <w:highlight w:val="none"/>
        </w:rPr>
      </w:pPr>
    </w:p>
    <w:p w14:paraId="5132EF83">
      <w:pPr>
        <w:wordWrap w:val="0"/>
        <w:spacing w:line="360" w:lineRule="auto"/>
        <w:ind w:firstLine="482"/>
        <w:rPr>
          <w:rFonts w:hint="eastAsia" w:ascii="宋体" w:hAnsi="宋体" w:cs="宋体"/>
          <w:b/>
          <w:color w:val="auto"/>
          <w:sz w:val="24"/>
          <w:highlight w:val="none"/>
        </w:rPr>
      </w:pPr>
      <w:r>
        <w:rPr>
          <w:rFonts w:hint="eastAsia" w:ascii="宋体" w:hAnsi="宋体" w:cs="宋体"/>
          <w:b/>
          <w:color w:val="auto"/>
          <w:sz w:val="24"/>
          <w:highlight w:val="none"/>
        </w:rPr>
        <w:t>附件：</w:t>
      </w:r>
    </w:p>
    <w:tbl>
      <w:tblPr>
        <w:tblStyle w:val="25"/>
        <w:tblpPr w:leftFromText="180" w:rightFromText="180" w:vertAnchor="text" w:horzAnchor="margin" w:tblpY="263"/>
        <w:tblW w:w="79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0"/>
      </w:tblGrid>
      <w:tr w14:paraId="7E2FE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0" w:hRule="atLeast"/>
        </w:trPr>
        <w:tc>
          <w:tcPr>
            <w:tcW w:w="7990" w:type="dxa"/>
            <w:tcBorders>
              <w:top w:val="single" w:color="auto" w:sz="4" w:space="0"/>
              <w:left w:val="single" w:color="auto" w:sz="4" w:space="0"/>
              <w:bottom w:val="single" w:color="auto" w:sz="4" w:space="0"/>
              <w:right w:val="single" w:color="auto" w:sz="4" w:space="0"/>
            </w:tcBorders>
          </w:tcPr>
          <w:p w14:paraId="443BB32C">
            <w:pPr>
              <w:wordWrap w:val="0"/>
              <w:spacing w:line="360" w:lineRule="auto"/>
              <w:ind w:firstLine="482"/>
              <w:rPr>
                <w:rFonts w:hint="eastAsia" w:ascii="宋体" w:hAnsi="宋体" w:cs="宋体"/>
                <w:b/>
                <w:color w:val="auto"/>
                <w:sz w:val="24"/>
                <w:highlight w:val="none"/>
              </w:rPr>
            </w:pPr>
          </w:p>
          <w:p w14:paraId="36D5DCA3">
            <w:pPr>
              <w:wordWrap w:val="0"/>
              <w:spacing w:line="360" w:lineRule="auto"/>
              <w:ind w:firstLine="482"/>
              <w:rPr>
                <w:rFonts w:hint="eastAsia" w:ascii="宋体" w:hAnsi="宋体" w:cs="宋体"/>
                <w:b/>
                <w:color w:val="auto"/>
                <w:sz w:val="24"/>
                <w:highlight w:val="none"/>
              </w:rPr>
            </w:pPr>
            <w:r>
              <w:rPr>
                <w:rFonts w:hint="eastAsia" w:ascii="宋体" w:hAnsi="宋体" w:cs="宋体"/>
                <w:b/>
                <w:color w:val="auto"/>
                <w:sz w:val="24"/>
                <w:highlight w:val="none"/>
              </w:rPr>
              <w:t>全权代表身份证复印件粘帖处（正、反面）</w:t>
            </w:r>
          </w:p>
        </w:tc>
      </w:tr>
    </w:tbl>
    <w:p w14:paraId="7FE035BF">
      <w:pPr>
        <w:wordWrap w:val="0"/>
        <w:snapToGrid w:val="0"/>
        <w:spacing w:line="360" w:lineRule="auto"/>
        <w:jc w:val="left"/>
        <w:rPr>
          <w:rFonts w:hint="eastAsia" w:ascii="宋体" w:hAnsi="宋体" w:cs="宋体"/>
          <w:color w:val="auto"/>
          <w:szCs w:val="21"/>
          <w:highlight w:val="none"/>
        </w:rPr>
      </w:pPr>
    </w:p>
    <w:p w14:paraId="204330F0">
      <w:pPr>
        <w:wordWrap w:val="0"/>
        <w:snapToGrid w:val="0"/>
        <w:spacing w:line="360" w:lineRule="auto"/>
        <w:ind w:firstLine="566" w:firstLineChars="236"/>
        <w:jc w:val="center"/>
        <w:rPr>
          <w:rFonts w:hint="eastAsia" w:ascii="宋体" w:hAnsi="宋体" w:cs="宋体"/>
          <w:color w:val="auto"/>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rPr>
        <w:br w:type="page"/>
      </w:r>
    </w:p>
    <w:p w14:paraId="74043DA5">
      <w:pPr>
        <w:wordWrap w:val="0"/>
        <w:spacing w:line="360" w:lineRule="auto"/>
        <w:ind w:firstLine="602"/>
        <w:jc w:val="center"/>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t>四、商务条款偏离表</w:t>
      </w:r>
    </w:p>
    <w:p w14:paraId="2873E628">
      <w:pPr>
        <w:wordWrap w:val="0"/>
        <w:spacing w:line="360" w:lineRule="auto"/>
        <w:ind w:firstLine="600"/>
        <w:jc w:val="center"/>
        <w:rPr>
          <w:rFonts w:hint="eastAsia" w:ascii="宋体" w:hAnsi="宋体" w:cs="宋体"/>
          <w:b/>
          <w:color w:val="auto"/>
          <w:sz w:val="24"/>
          <w:szCs w:val="20"/>
          <w:highlight w:val="none"/>
        </w:rPr>
      </w:pPr>
      <w:r>
        <w:rPr>
          <w:rFonts w:hint="eastAsia" w:ascii="宋体" w:hAnsi="宋体" w:cs="宋体"/>
          <w:color w:val="auto"/>
          <w:sz w:val="30"/>
          <w:szCs w:val="20"/>
          <w:highlight w:val="none"/>
        </w:rPr>
        <w:t>(注：按项目需求表具体项目修改)</w:t>
      </w:r>
    </w:p>
    <w:p w14:paraId="611C7FE8">
      <w:pPr>
        <w:wordWrap w:val="0"/>
        <w:snapToGrid w:val="0"/>
        <w:spacing w:line="360" w:lineRule="auto"/>
        <w:jc w:val="left"/>
        <w:rPr>
          <w:rFonts w:hint="eastAsia" w:ascii="宋体" w:hAnsi="宋体" w:cs="宋体"/>
          <w:color w:val="auto"/>
          <w:sz w:val="24"/>
          <w:highlight w:val="none"/>
        </w:rPr>
      </w:pPr>
    </w:p>
    <w:p w14:paraId="07847BA6">
      <w:pPr>
        <w:pStyle w:val="14"/>
        <w:wordWrap w:val="0"/>
        <w:spacing w:line="360" w:lineRule="auto"/>
        <w:ind w:left="-424" w:leftChars="-202" w:firstLine="480"/>
        <w:rPr>
          <w:rFonts w:hint="eastAsia" w:hAnsi="宋体" w:cs="宋体"/>
          <w:color w:val="auto"/>
          <w:sz w:val="24"/>
          <w:szCs w:val="24"/>
          <w:highlight w:val="none"/>
        </w:rPr>
      </w:pPr>
      <w:r>
        <w:rPr>
          <w:rFonts w:hint="eastAsia" w:hAnsi="宋体" w:cs="宋体"/>
          <w:color w:val="auto"/>
          <w:sz w:val="24"/>
          <w:szCs w:val="24"/>
          <w:highlight w:val="none"/>
        </w:rPr>
        <w:t>请逐条对应本项目招标文件第二章“服务需求一览表”中“商务条款”的要求，详细填写相应的具体内容。“偏离说明”一栏应当选择“正偏离”、“负偏离”或“无偏离”进行填写。</w:t>
      </w:r>
    </w:p>
    <w:tbl>
      <w:tblPr>
        <w:tblStyle w:val="25"/>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757"/>
        <w:gridCol w:w="2516"/>
        <w:gridCol w:w="2516"/>
      </w:tblGrid>
      <w:tr w14:paraId="4F1A9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tcBorders>
              <w:top w:val="single" w:color="auto" w:sz="4" w:space="0"/>
              <w:left w:val="single" w:color="auto" w:sz="4" w:space="0"/>
              <w:right w:val="single" w:color="auto" w:sz="4" w:space="0"/>
            </w:tcBorders>
            <w:noWrap/>
          </w:tcPr>
          <w:p w14:paraId="7F0977D3">
            <w:pPr>
              <w:wordWrap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项号</w:t>
            </w:r>
          </w:p>
        </w:tc>
        <w:tc>
          <w:tcPr>
            <w:tcW w:w="3757" w:type="dxa"/>
            <w:tcBorders>
              <w:top w:val="single" w:color="auto" w:sz="4" w:space="0"/>
              <w:left w:val="single" w:color="auto" w:sz="4" w:space="0"/>
              <w:bottom w:val="single" w:color="auto" w:sz="4" w:space="0"/>
              <w:right w:val="single" w:color="auto" w:sz="4" w:space="0"/>
            </w:tcBorders>
            <w:noWrap/>
          </w:tcPr>
          <w:p w14:paraId="3DC69EB9">
            <w:pPr>
              <w:wordWrap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招标文件的商务需求</w:t>
            </w:r>
          </w:p>
        </w:tc>
        <w:tc>
          <w:tcPr>
            <w:tcW w:w="2516" w:type="dxa"/>
            <w:tcBorders>
              <w:top w:val="single" w:color="auto" w:sz="4" w:space="0"/>
              <w:left w:val="single" w:color="auto" w:sz="4" w:space="0"/>
              <w:right w:val="single" w:color="auto" w:sz="4" w:space="0"/>
            </w:tcBorders>
          </w:tcPr>
          <w:p w14:paraId="18164E9F">
            <w:pPr>
              <w:wordWrap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投标文件承诺的商务条款</w:t>
            </w:r>
          </w:p>
        </w:tc>
        <w:tc>
          <w:tcPr>
            <w:tcW w:w="2516" w:type="dxa"/>
            <w:tcBorders>
              <w:top w:val="single" w:color="auto" w:sz="4" w:space="0"/>
              <w:left w:val="single" w:color="auto" w:sz="4" w:space="0"/>
              <w:right w:val="single" w:color="auto" w:sz="4" w:space="0"/>
            </w:tcBorders>
          </w:tcPr>
          <w:p w14:paraId="1CEBE613">
            <w:pPr>
              <w:wordWrap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偏离说明</w:t>
            </w:r>
          </w:p>
        </w:tc>
      </w:tr>
      <w:tr w14:paraId="64ED2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right w:val="single" w:color="auto" w:sz="4" w:space="0"/>
            </w:tcBorders>
            <w:noWrap/>
          </w:tcPr>
          <w:p w14:paraId="043A6C1F">
            <w:pPr>
              <w:wordWrap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一</w:t>
            </w:r>
          </w:p>
        </w:tc>
        <w:tc>
          <w:tcPr>
            <w:tcW w:w="3757" w:type="dxa"/>
            <w:tcBorders>
              <w:top w:val="single" w:color="auto" w:sz="4" w:space="0"/>
              <w:left w:val="single" w:color="auto" w:sz="4" w:space="0"/>
              <w:bottom w:val="single" w:color="auto" w:sz="4" w:space="0"/>
              <w:right w:val="single" w:color="auto" w:sz="4" w:space="0"/>
            </w:tcBorders>
            <w:noWrap/>
          </w:tcPr>
          <w:p w14:paraId="650C1E2E">
            <w:pPr>
              <w:wordWrap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  ……</w:t>
            </w:r>
          </w:p>
        </w:tc>
        <w:tc>
          <w:tcPr>
            <w:tcW w:w="2516" w:type="dxa"/>
            <w:tcBorders>
              <w:top w:val="single" w:color="auto" w:sz="4" w:space="0"/>
              <w:left w:val="single" w:color="auto" w:sz="4" w:space="0"/>
              <w:right w:val="single" w:color="auto" w:sz="4" w:space="0"/>
            </w:tcBorders>
          </w:tcPr>
          <w:p w14:paraId="3D261BE7">
            <w:pPr>
              <w:wordWrap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  ……</w:t>
            </w:r>
          </w:p>
        </w:tc>
        <w:tc>
          <w:tcPr>
            <w:tcW w:w="2516" w:type="dxa"/>
            <w:tcBorders>
              <w:top w:val="single" w:color="auto" w:sz="4" w:space="0"/>
              <w:left w:val="single" w:color="auto" w:sz="4" w:space="0"/>
              <w:right w:val="single" w:color="auto" w:sz="4" w:space="0"/>
            </w:tcBorders>
          </w:tcPr>
          <w:p w14:paraId="69BB8862">
            <w:pPr>
              <w:wordWrap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正偏离（负偏离或无偏离）</w:t>
            </w:r>
          </w:p>
          <w:p w14:paraId="618E15F7">
            <w:pPr>
              <w:wordWrap w:val="0"/>
              <w:spacing w:line="360" w:lineRule="auto"/>
              <w:rPr>
                <w:rFonts w:hint="eastAsia" w:ascii="宋体" w:hAnsi="宋体" w:cs="宋体"/>
                <w:color w:val="auto"/>
                <w:sz w:val="24"/>
                <w:szCs w:val="24"/>
                <w:highlight w:val="none"/>
              </w:rPr>
            </w:pPr>
          </w:p>
        </w:tc>
      </w:tr>
      <w:tr w14:paraId="5B63B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tcPr>
          <w:p w14:paraId="71FE1039">
            <w:pPr>
              <w:wordWrap w:val="0"/>
              <w:spacing w:line="360" w:lineRule="auto"/>
              <w:rPr>
                <w:rFonts w:hint="eastAsia" w:ascii="宋体" w:hAnsi="宋体" w:cs="宋体"/>
                <w:color w:val="auto"/>
                <w:sz w:val="24"/>
                <w:szCs w:val="24"/>
                <w:highlight w:val="none"/>
              </w:rPr>
            </w:pPr>
          </w:p>
        </w:tc>
        <w:tc>
          <w:tcPr>
            <w:tcW w:w="3757" w:type="dxa"/>
            <w:tcBorders>
              <w:top w:val="single" w:color="auto" w:sz="4" w:space="0"/>
              <w:left w:val="single" w:color="auto" w:sz="4" w:space="0"/>
              <w:bottom w:val="single" w:color="auto" w:sz="4" w:space="0"/>
              <w:right w:val="single" w:color="auto" w:sz="4" w:space="0"/>
            </w:tcBorders>
            <w:noWrap/>
          </w:tcPr>
          <w:p w14:paraId="3E54B3FF">
            <w:pPr>
              <w:wordWrap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  ……</w:t>
            </w:r>
          </w:p>
          <w:p w14:paraId="41C2BFAE">
            <w:pPr>
              <w:wordWrap w:val="0"/>
              <w:spacing w:line="360" w:lineRule="auto"/>
              <w:rPr>
                <w:rFonts w:hint="eastAsia" w:ascii="宋体" w:hAnsi="宋体" w:cs="宋体"/>
                <w:color w:val="auto"/>
                <w:sz w:val="24"/>
                <w:szCs w:val="24"/>
                <w:highlight w:val="none"/>
              </w:rPr>
            </w:pPr>
          </w:p>
        </w:tc>
        <w:tc>
          <w:tcPr>
            <w:tcW w:w="2516" w:type="dxa"/>
            <w:tcBorders>
              <w:left w:val="single" w:color="auto" w:sz="4" w:space="0"/>
              <w:right w:val="single" w:color="auto" w:sz="4" w:space="0"/>
            </w:tcBorders>
          </w:tcPr>
          <w:p w14:paraId="1FE92A59">
            <w:pPr>
              <w:wordWrap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  ……</w:t>
            </w:r>
          </w:p>
          <w:p w14:paraId="5415A321">
            <w:pPr>
              <w:wordWrap w:val="0"/>
              <w:spacing w:line="360" w:lineRule="auto"/>
              <w:rPr>
                <w:rFonts w:hint="eastAsia" w:ascii="宋体" w:hAnsi="宋体" w:cs="宋体"/>
                <w:color w:val="auto"/>
                <w:sz w:val="24"/>
                <w:szCs w:val="24"/>
                <w:highlight w:val="none"/>
              </w:rPr>
            </w:pPr>
          </w:p>
        </w:tc>
        <w:tc>
          <w:tcPr>
            <w:tcW w:w="2516" w:type="dxa"/>
            <w:tcBorders>
              <w:left w:val="single" w:color="auto" w:sz="4" w:space="0"/>
              <w:right w:val="single" w:color="auto" w:sz="4" w:space="0"/>
            </w:tcBorders>
          </w:tcPr>
          <w:p w14:paraId="686F6D3C">
            <w:pPr>
              <w:wordWrap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正偏离（负偏离或无偏离）</w:t>
            </w:r>
          </w:p>
          <w:p w14:paraId="4E7B086A">
            <w:pPr>
              <w:wordWrap w:val="0"/>
              <w:spacing w:line="360" w:lineRule="auto"/>
              <w:rPr>
                <w:rFonts w:hint="eastAsia" w:ascii="宋体" w:hAnsi="宋体" w:cs="宋体"/>
                <w:color w:val="auto"/>
                <w:sz w:val="24"/>
                <w:szCs w:val="24"/>
                <w:highlight w:val="none"/>
              </w:rPr>
            </w:pPr>
          </w:p>
        </w:tc>
      </w:tr>
      <w:tr w14:paraId="2AC6F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tcPr>
          <w:p w14:paraId="60E1FD27">
            <w:pPr>
              <w:wordWrap w:val="0"/>
              <w:spacing w:line="360" w:lineRule="auto"/>
              <w:rPr>
                <w:rFonts w:hint="eastAsia" w:ascii="宋体" w:hAnsi="宋体" w:cs="宋体"/>
                <w:color w:val="auto"/>
                <w:sz w:val="24"/>
                <w:szCs w:val="24"/>
                <w:highlight w:val="none"/>
              </w:rPr>
            </w:pPr>
          </w:p>
        </w:tc>
        <w:tc>
          <w:tcPr>
            <w:tcW w:w="3757" w:type="dxa"/>
            <w:tcBorders>
              <w:top w:val="single" w:color="auto" w:sz="4" w:space="0"/>
              <w:left w:val="single" w:color="auto" w:sz="4" w:space="0"/>
              <w:bottom w:val="single" w:color="auto" w:sz="4" w:space="0"/>
              <w:right w:val="single" w:color="auto" w:sz="4" w:space="0"/>
            </w:tcBorders>
            <w:noWrap/>
          </w:tcPr>
          <w:p w14:paraId="3519C493">
            <w:pPr>
              <w:wordWrap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3  ……</w:t>
            </w:r>
          </w:p>
          <w:p w14:paraId="46904C60">
            <w:pPr>
              <w:wordWrap w:val="0"/>
              <w:spacing w:line="360" w:lineRule="auto"/>
              <w:rPr>
                <w:rFonts w:hint="eastAsia" w:ascii="宋体" w:hAnsi="宋体" w:cs="宋体"/>
                <w:color w:val="auto"/>
                <w:sz w:val="24"/>
                <w:szCs w:val="24"/>
                <w:highlight w:val="none"/>
              </w:rPr>
            </w:pPr>
          </w:p>
        </w:tc>
        <w:tc>
          <w:tcPr>
            <w:tcW w:w="2516" w:type="dxa"/>
            <w:tcBorders>
              <w:left w:val="single" w:color="auto" w:sz="4" w:space="0"/>
              <w:right w:val="single" w:color="auto" w:sz="4" w:space="0"/>
            </w:tcBorders>
          </w:tcPr>
          <w:p w14:paraId="0B740721">
            <w:pPr>
              <w:wordWrap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3  ……</w:t>
            </w:r>
          </w:p>
          <w:p w14:paraId="0648465A">
            <w:pPr>
              <w:wordWrap w:val="0"/>
              <w:spacing w:line="360" w:lineRule="auto"/>
              <w:rPr>
                <w:rFonts w:hint="eastAsia" w:ascii="宋体" w:hAnsi="宋体" w:cs="宋体"/>
                <w:color w:val="auto"/>
                <w:sz w:val="24"/>
                <w:szCs w:val="24"/>
                <w:highlight w:val="none"/>
              </w:rPr>
            </w:pPr>
          </w:p>
        </w:tc>
        <w:tc>
          <w:tcPr>
            <w:tcW w:w="2516" w:type="dxa"/>
            <w:tcBorders>
              <w:left w:val="single" w:color="auto" w:sz="4" w:space="0"/>
              <w:right w:val="single" w:color="auto" w:sz="4" w:space="0"/>
            </w:tcBorders>
          </w:tcPr>
          <w:p w14:paraId="20C827DB">
            <w:pPr>
              <w:wordWrap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正偏离（负偏离或无偏离）</w:t>
            </w:r>
          </w:p>
          <w:p w14:paraId="303860C5">
            <w:pPr>
              <w:wordWrap w:val="0"/>
              <w:spacing w:line="360" w:lineRule="auto"/>
              <w:rPr>
                <w:rFonts w:hint="eastAsia" w:ascii="宋体" w:hAnsi="宋体" w:cs="宋体"/>
                <w:color w:val="auto"/>
                <w:sz w:val="24"/>
                <w:szCs w:val="24"/>
                <w:highlight w:val="none"/>
              </w:rPr>
            </w:pPr>
          </w:p>
        </w:tc>
      </w:tr>
      <w:tr w14:paraId="07267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bottom w:val="single" w:color="auto" w:sz="4" w:space="0"/>
              <w:right w:val="single" w:color="auto" w:sz="4" w:space="0"/>
            </w:tcBorders>
            <w:noWrap/>
          </w:tcPr>
          <w:p w14:paraId="46AA61CB">
            <w:pPr>
              <w:wordWrap w:val="0"/>
              <w:spacing w:line="360" w:lineRule="auto"/>
              <w:rPr>
                <w:rFonts w:hint="eastAsia" w:ascii="宋体" w:hAnsi="宋体" w:cs="宋体"/>
                <w:color w:val="auto"/>
                <w:sz w:val="24"/>
                <w:szCs w:val="24"/>
                <w:highlight w:val="none"/>
              </w:rPr>
            </w:pPr>
          </w:p>
        </w:tc>
        <w:tc>
          <w:tcPr>
            <w:tcW w:w="3757" w:type="dxa"/>
            <w:tcBorders>
              <w:top w:val="single" w:color="auto" w:sz="4" w:space="0"/>
              <w:left w:val="single" w:color="auto" w:sz="4" w:space="0"/>
              <w:bottom w:val="single" w:color="auto" w:sz="4" w:space="0"/>
              <w:right w:val="single" w:color="auto" w:sz="4" w:space="0"/>
            </w:tcBorders>
            <w:noWrap/>
          </w:tcPr>
          <w:p w14:paraId="12BA86BD">
            <w:pPr>
              <w:wordWrap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w:t>
            </w:r>
          </w:p>
        </w:tc>
        <w:tc>
          <w:tcPr>
            <w:tcW w:w="2516" w:type="dxa"/>
            <w:tcBorders>
              <w:left w:val="single" w:color="auto" w:sz="4" w:space="0"/>
              <w:bottom w:val="single" w:color="auto" w:sz="4" w:space="0"/>
              <w:right w:val="single" w:color="auto" w:sz="4" w:space="0"/>
            </w:tcBorders>
          </w:tcPr>
          <w:p w14:paraId="6A8B4AB3">
            <w:pPr>
              <w:wordWrap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w:t>
            </w:r>
          </w:p>
        </w:tc>
        <w:tc>
          <w:tcPr>
            <w:tcW w:w="2516" w:type="dxa"/>
            <w:tcBorders>
              <w:left w:val="single" w:color="auto" w:sz="4" w:space="0"/>
              <w:bottom w:val="single" w:color="auto" w:sz="4" w:space="0"/>
              <w:right w:val="single" w:color="auto" w:sz="4" w:space="0"/>
            </w:tcBorders>
          </w:tcPr>
          <w:p w14:paraId="720D819D">
            <w:pPr>
              <w:wordWrap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正偏离（负偏离或无偏离）</w:t>
            </w:r>
          </w:p>
          <w:p w14:paraId="56BABA0C">
            <w:pPr>
              <w:wordWrap w:val="0"/>
              <w:spacing w:line="360" w:lineRule="auto"/>
              <w:rPr>
                <w:rFonts w:hint="eastAsia" w:ascii="宋体" w:hAnsi="宋体" w:cs="宋体"/>
                <w:color w:val="auto"/>
                <w:sz w:val="24"/>
                <w:szCs w:val="24"/>
                <w:highlight w:val="none"/>
              </w:rPr>
            </w:pPr>
          </w:p>
        </w:tc>
      </w:tr>
      <w:tr w14:paraId="528B0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right w:val="single" w:color="auto" w:sz="4" w:space="0"/>
            </w:tcBorders>
            <w:noWrap/>
          </w:tcPr>
          <w:p w14:paraId="3287761A">
            <w:pPr>
              <w:wordWrap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二</w:t>
            </w:r>
          </w:p>
        </w:tc>
        <w:tc>
          <w:tcPr>
            <w:tcW w:w="3757" w:type="dxa"/>
            <w:tcBorders>
              <w:top w:val="single" w:color="auto" w:sz="4" w:space="0"/>
              <w:left w:val="single" w:color="auto" w:sz="4" w:space="0"/>
              <w:bottom w:val="single" w:color="auto" w:sz="4" w:space="0"/>
              <w:right w:val="single" w:color="auto" w:sz="4" w:space="0"/>
            </w:tcBorders>
            <w:noWrap/>
          </w:tcPr>
          <w:p w14:paraId="643459A5">
            <w:pPr>
              <w:wordWrap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  ……</w:t>
            </w:r>
          </w:p>
        </w:tc>
        <w:tc>
          <w:tcPr>
            <w:tcW w:w="2516" w:type="dxa"/>
            <w:tcBorders>
              <w:top w:val="single" w:color="auto" w:sz="4" w:space="0"/>
              <w:left w:val="single" w:color="auto" w:sz="4" w:space="0"/>
              <w:right w:val="single" w:color="auto" w:sz="4" w:space="0"/>
            </w:tcBorders>
          </w:tcPr>
          <w:p w14:paraId="2E1701E5">
            <w:pPr>
              <w:wordWrap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  ……</w:t>
            </w:r>
          </w:p>
        </w:tc>
        <w:tc>
          <w:tcPr>
            <w:tcW w:w="2516" w:type="dxa"/>
            <w:tcBorders>
              <w:top w:val="single" w:color="auto" w:sz="4" w:space="0"/>
              <w:left w:val="single" w:color="auto" w:sz="4" w:space="0"/>
              <w:right w:val="single" w:color="auto" w:sz="4" w:space="0"/>
            </w:tcBorders>
          </w:tcPr>
          <w:p w14:paraId="12F48B34">
            <w:pPr>
              <w:wordWrap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正偏离（负偏离或无偏离）</w:t>
            </w:r>
          </w:p>
          <w:p w14:paraId="55047F7A">
            <w:pPr>
              <w:wordWrap w:val="0"/>
              <w:spacing w:line="360" w:lineRule="auto"/>
              <w:rPr>
                <w:rFonts w:hint="eastAsia" w:ascii="宋体" w:hAnsi="宋体" w:cs="宋体"/>
                <w:color w:val="auto"/>
                <w:sz w:val="24"/>
                <w:szCs w:val="24"/>
                <w:highlight w:val="none"/>
              </w:rPr>
            </w:pPr>
          </w:p>
        </w:tc>
      </w:tr>
      <w:tr w14:paraId="40999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tcPr>
          <w:p w14:paraId="3AD204E7">
            <w:pPr>
              <w:wordWrap w:val="0"/>
              <w:spacing w:line="360" w:lineRule="auto"/>
              <w:rPr>
                <w:rFonts w:hint="eastAsia" w:ascii="宋体" w:hAnsi="宋体" w:cs="宋体"/>
                <w:color w:val="auto"/>
                <w:sz w:val="24"/>
                <w:szCs w:val="24"/>
                <w:highlight w:val="none"/>
              </w:rPr>
            </w:pPr>
          </w:p>
        </w:tc>
        <w:tc>
          <w:tcPr>
            <w:tcW w:w="3757" w:type="dxa"/>
            <w:tcBorders>
              <w:top w:val="single" w:color="auto" w:sz="4" w:space="0"/>
              <w:left w:val="single" w:color="auto" w:sz="4" w:space="0"/>
              <w:bottom w:val="single" w:color="auto" w:sz="4" w:space="0"/>
              <w:right w:val="single" w:color="auto" w:sz="4" w:space="0"/>
            </w:tcBorders>
            <w:noWrap/>
          </w:tcPr>
          <w:p w14:paraId="32892CD2">
            <w:pPr>
              <w:wordWrap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  ……</w:t>
            </w:r>
          </w:p>
          <w:p w14:paraId="6DB7F1E2">
            <w:pPr>
              <w:wordWrap w:val="0"/>
              <w:spacing w:line="360" w:lineRule="auto"/>
              <w:rPr>
                <w:rFonts w:hint="eastAsia" w:ascii="宋体" w:hAnsi="宋体" w:cs="宋体"/>
                <w:color w:val="auto"/>
                <w:sz w:val="24"/>
                <w:szCs w:val="24"/>
                <w:highlight w:val="none"/>
              </w:rPr>
            </w:pPr>
          </w:p>
        </w:tc>
        <w:tc>
          <w:tcPr>
            <w:tcW w:w="2516" w:type="dxa"/>
            <w:tcBorders>
              <w:left w:val="single" w:color="auto" w:sz="4" w:space="0"/>
              <w:right w:val="single" w:color="auto" w:sz="4" w:space="0"/>
            </w:tcBorders>
          </w:tcPr>
          <w:p w14:paraId="3BDB9245">
            <w:pPr>
              <w:wordWrap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  ……</w:t>
            </w:r>
          </w:p>
          <w:p w14:paraId="0DB9F453">
            <w:pPr>
              <w:wordWrap w:val="0"/>
              <w:spacing w:line="360" w:lineRule="auto"/>
              <w:rPr>
                <w:rFonts w:hint="eastAsia" w:ascii="宋体" w:hAnsi="宋体" w:cs="宋体"/>
                <w:color w:val="auto"/>
                <w:sz w:val="24"/>
                <w:szCs w:val="24"/>
                <w:highlight w:val="none"/>
              </w:rPr>
            </w:pPr>
          </w:p>
        </w:tc>
        <w:tc>
          <w:tcPr>
            <w:tcW w:w="2516" w:type="dxa"/>
            <w:tcBorders>
              <w:left w:val="single" w:color="auto" w:sz="4" w:space="0"/>
              <w:right w:val="single" w:color="auto" w:sz="4" w:space="0"/>
            </w:tcBorders>
          </w:tcPr>
          <w:p w14:paraId="0D47C44D">
            <w:pPr>
              <w:wordWrap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正偏离（负偏离或无偏离）</w:t>
            </w:r>
          </w:p>
          <w:p w14:paraId="58A32042">
            <w:pPr>
              <w:wordWrap w:val="0"/>
              <w:spacing w:line="360" w:lineRule="auto"/>
              <w:rPr>
                <w:rFonts w:hint="eastAsia" w:ascii="宋体" w:hAnsi="宋体" w:cs="宋体"/>
                <w:color w:val="auto"/>
                <w:sz w:val="24"/>
                <w:szCs w:val="24"/>
                <w:highlight w:val="none"/>
              </w:rPr>
            </w:pPr>
          </w:p>
        </w:tc>
      </w:tr>
      <w:tr w14:paraId="3CD4E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tcPr>
          <w:p w14:paraId="25A20D07">
            <w:pPr>
              <w:wordWrap w:val="0"/>
              <w:spacing w:line="360" w:lineRule="auto"/>
              <w:rPr>
                <w:rFonts w:hint="eastAsia" w:ascii="宋体" w:hAnsi="宋体" w:cs="宋体"/>
                <w:color w:val="auto"/>
                <w:sz w:val="24"/>
                <w:szCs w:val="24"/>
                <w:highlight w:val="none"/>
              </w:rPr>
            </w:pPr>
          </w:p>
        </w:tc>
        <w:tc>
          <w:tcPr>
            <w:tcW w:w="3757" w:type="dxa"/>
            <w:tcBorders>
              <w:top w:val="single" w:color="auto" w:sz="4" w:space="0"/>
              <w:left w:val="single" w:color="auto" w:sz="4" w:space="0"/>
              <w:bottom w:val="single" w:color="auto" w:sz="4" w:space="0"/>
              <w:right w:val="single" w:color="auto" w:sz="4" w:space="0"/>
            </w:tcBorders>
            <w:noWrap/>
          </w:tcPr>
          <w:p w14:paraId="56F76847">
            <w:pPr>
              <w:wordWrap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3  ……</w:t>
            </w:r>
          </w:p>
          <w:p w14:paraId="67DA9AD2">
            <w:pPr>
              <w:wordWrap w:val="0"/>
              <w:spacing w:line="360" w:lineRule="auto"/>
              <w:rPr>
                <w:rFonts w:hint="eastAsia" w:ascii="宋体" w:hAnsi="宋体" w:cs="宋体"/>
                <w:color w:val="auto"/>
                <w:sz w:val="24"/>
                <w:szCs w:val="24"/>
                <w:highlight w:val="none"/>
              </w:rPr>
            </w:pPr>
          </w:p>
        </w:tc>
        <w:tc>
          <w:tcPr>
            <w:tcW w:w="2516" w:type="dxa"/>
            <w:tcBorders>
              <w:left w:val="single" w:color="auto" w:sz="4" w:space="0"/>
              <w:right w:val="single" w:color="auto" w:sz="4" w:space="0"/>
            </w:tcBorders>
          </w:tcPr>
          <w:p w14:paraId="1B2436EB">
            <w:pPr>
              <w:wordWrap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3  ……</w:t>
            </w:r>
          </w:p>
          <w:p w14:paraId="1AE7B314">
            <w:pPr>
              <w:wordWrap w:val="0"/>
              <w:spacing w:line="360" w:lineRule="auto"/>
              <w:rPr>
                <w:rFonts w:hint="eastAsia" w:ascii="宋体" w:hAnsi="宋体" w:cs="宋体"/>
                <w:color w:val="auto"/>
                <w:sz w:val="24"/>
                <w:szCs w:val="24"/>
                <w:highlight w:val="none"/>
              </w:rPr>
            </w:pPr>
          </w:p>
        </w:tc>
        <w:tc>
          <w:tcPr>
            <w:tcW w:w="2516" w:type="dxa"/>
            <w:tcBorders>
              <w:left w:val="single" w:color="auto" w:sz="4" w:space="0"/>
              <w:right w:val="single" w:color="auto" w:sz="4" w:space="0"/>
            </w:tcBorders>
          </w:tcPr>
          <w:p w14:paraId="3CB4F9CC">
            <w:pPr>
              <w:wordWrap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正偏离（负偏离或无偏离）</w:t>
            </w:r>
          </w:p>
          <w:p w14:paraId="6A9BC2EE">
            <w:pPr>
              <w:wordWrap w:val="0"/>
              <w:spacing w:line="360" w:lineRule="auto"/>
              <w:rPr>
                <w:rFonts w:hint="eastAsia" w:ascii="宋体" w:hAnsi="宋体" w:cs="宋体"/>
                <w:color w:val="auto"/>
                <w:sz w:val="24"/>
                <w:szCs w:val="24"/>
                <w:highlight w:val="none"/>
              </w:rPr>
            </w:pPr>
          </w:p>
        </w:tc>
      </w:tr>
      <w:tr w14:paraId="4F36E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bottom w:val="single" w:color="auto" w:sz="4" w:space="0"/>
              <w:right w:val="single" w:color="auto" w:sz="4" w:space="0"/>
            </w:tcBorders>
            <w:noWrap/>
          </w:tcPr>
          <w:p w14:paraId="52CC24F1">
            <w:pPr>
              <w:wordWrap w:val="0"/>
              <w:spacing w:line="360" w:lineRule="auto"/>
              <w:rPr>
                <w:rFonts w:hint="eastAsia" w:ascii="宋体" w:hAnsi="宋体" w:cs="宋体"/>
                <w:color w:val="auto"/>
                <w:sz w:val="24"/>
                <w:szCs w:val="24"/>
                <w:highlight w:val="none"/>
              </w:rPr>
            </w:pPr>
          </w:p>
        </w:tc>
        <w:tc>
          <w:tcPr>
            <w:tcW w:w="3757" w:type="dxa"/>
            <w:tcBorders>
              <w:top w:val="single" w:color="auto" w:sz="4" w:space="0"/>
              <w:left w:val="single" w:color="auto" w:sz="4" w:space="0"/>
              <w:bottom w:val="single" w:color="auto" w:sz="4" w:space="0"/>
              <w:right w:val="single" w:color="auto" w:sz="4" w:space="0"/>
            </w:tcBorders>
            <w:noWrap/>
          </w:tcPr>
          <w:p w14:paraId="6BECF2F3">
            <w:pPr>
              <w:wordWrap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w:t>
            </w:r>
          </w:p>
        </w:tc>
        <w:tc>
          <w:tcPr>
            <w:tcW w:w="2516" w:type="dxa"/>
            <w:tcBorders>
              <w:left w:val="single" w:color="auto" w:sz="4" w:space="0"/>
              <w:bottom w:val="single" w:color="auto" w:sz="4" w:space="0"/>
              <w:right w:val="single" w:color="auto" w:sz="4" w:space="0"/>
            </w:tcBorders>
          </w:tcPr>
          <w:p w14:paraId="2869C29F">
            <w:pPr>
              <w:wordWrap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w:t>
            </w:r>
          </w:p>
        </w:tc>
        <w:tc>
          <w:tcPr>
            <w:tcW w:w="2516" w:type="dxa"/>
            <w:tcBorders>
              <w:left w:val="single" w:color="auto" w:sz="4" w:space="0"/>
              <w:bottom w:val="single" w:color="auto" w:sz="4" w:space="0"/>
              <w:right w:val="single" w:color="auto" w:sz="4" w:space="0"/>
            </w:tcBorders>
          </w:tcPr>
          <w:p w14:paraId="2BF2F6E0">
            <w:pPr>
              <w:wordWrap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正偏离（负偏离或无偏离）</w:t>
            </w:r>
          </w:p>
          <w:p w14:paraId="5655DDF2">
            <w:pPr>
              <w:wordWrap w:val="0"/>
              <w:spacing w:line="360" w:lineRule="auto"/>
              <w:rPr>
                <w:rFonts w:hint="eastAsia" w:ascii="宋体" w:hAnsi="宋体" w:cs="宋体"/>
                <w:color w:val="auto"/>
                <w:sz w:val="24"/>
                <w:szCs w:val="24"/>
                <w:highlight w:val="none"/>
              </w:rPr>
            </w:pPr>
          </w:p>
        </w:tc>
      </w:tr>
      <w:tr w14:paraId="157F6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right w:val="single" w:color="auto" w:sz="4" w:space="0"/>
            </w:tcBorders>
            <w:noWrap/>
          </w:tcPr>
          <w:p w14:paraId="27B02565">
            <w:pPr>
              <w:wordWrap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w:t>
            </w:r>
          </w:p>
        </w:tc>
        <w:tc>
          <w:tcPr>
            <w:tcW w:w="3757" w:type="dxa"/>
            <w:tcBorders>
              <w:top w:val="single" w:color="auto" w:sz="4" w:space="0"/>
              <w:left w:val="single" w:color="auto" w:sz="4" w:space="0"/>
              <w:bottom w:val="single" w:color="auto" w:sz="4" w:space="0"/>
              <w:right w:val="single" w:color="auto" w:sz="4" w:space="0"/>
            </w:tcBorders>
            <w:noWrap/>
          </w:tcPr>
          <w:p w14:paraId="7A3A928B">
            <w:pPr>
              <w:wordWrap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  ……</w:t>
            </w:r>
          </w:p>
        </w:tc>
        <w:tc>
          <w:tcPr>
            <w:tcW w:w="2516" w:type="dxa"/>
            <w:tcBorders>
              <w:top w:val="single" w:color="auto" w:sz="4" w:space="0"/>
              <w:left w:val="single" w:color="auto" w:sz="4" w:space="0"/>
              <w:right w:val="single" w:color="auto" w:sz="4" w:space="0"/>
            </w:tcBorders>
          </w:tcPr>
          <w:p w14:paraId="416079D8">
            <w:pPr>
              <w:wordWrap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  ……</w:t>
            </w:r>
          </w:p>
        </w:tc>
        <w:tc>
          <w:tcPr>
            <w:tcW w:w="2516" w:type="dxa"/>
            <w:tcBorders>
              <w:top w:val="single" w:color="auto" w:sz="4" w:space="0"/>
              <w:left w:val="single" w:color="auto" w:sz="4" w:space="0"/>
              <w:right w:val="single" w:color="auto" w:sz="4" w:space="0"/>
            </w:tcBorders>
          </w:tcPr>
          <w:p w14:paraId="1EE31BFC">
            <w:pPr>
              <w:wordWrap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正偏离（负偏离或无偏离）</w:t>
            </w:r>
          </w:p>
          <w:p w14:paraId="39ED62B4">
            <w:pPr>
              <w:wordWrap w:val="0"/>
              <w:spacing w:line="360" w:lineRule="auto"/>
              <w:rPr>
                <w:rFonts w:hint="eastAsia" w:ascii="宋体" w:hAnsi="宋体" w:cs="宋体"/>
                <w:color w:val="auto"/>
                <w:sz w:val="24"/>
                <w:szCs w:val="24"/>
                <w:highlight w:val="none"/>
              </w:rPr>
            </w:pPr>
          </w:p>
        </w:tc>
      </w:tr>
      <w:tr w14:paraId="04882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tcPr>
          <w:p w14:paraId="06D645B5">
            <w:pPr>
              <w:wordWrap w:val="0"/>
              <w:spacing w:line="360" w:lineRule="auto"/>
              <w:rPr>
                <w:rFonts w:hint="eastAsia" w:ascii="宋体" w:hAnsi="宋体" w:cs="宋体"/>
                <w:color w:val="auto"/>
                <w:sz w:val="24"/>
                <w:szCs w:val="24"/>
                <w:highlight w:val="none"/>
              </w:rPr>
            </w:pPr>
          </w:p>
        </w:tc>
        <w:tc>
          <w:tcPr>
            <w:tcW w:w="3757" w:type="dxa"/>
            <w:tcBorders>
              <w:top w:val="single" w:color="auto" w:sz="4" w:space="0"/>
              <w:left w:val="single" w:color="auto" w:sz="4" w:space="0"/>
              <w:bottom w:val="single" w:color="auto" w:sz="4" w:space="0"/>
              <w:right w:val="single" w:color="auto" w:sz="4" w:space="0"/>
            </w:tcBorders>
            <w:noWrap/>
          </w:tcPr>
          <w:p w14:paraId="70103DDA">
            <w:pPr>
              <w:wordWrap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  ……</w:t>
            </w:r>
          </w:p>
          <w:p w14:paraId="7C2D9EB9">
            <w:pPr>
              <w:wordWrap w:val="0"/>
              <w:spacing w:line="360" w:lineRule="auto"/>
              <w:rPr>
                <w:rFonts w:hint="eastAsia" w:ascii="宋体" w:hAnsi="宋体" w:cs="宋体"/>
                <w:color w:val="auto"/>
                <w:sz w:val="24"/>
                <w:szCs w:val="24"/>
                <w:highlight w:val="none"/>
              </w:rPr>
            </w:pPr>
          </w:p>
        </w:tc>
        <w:tc>
          <w:tcPr>
            <w:tcW w:w="2516" w:type="dxa"/>
            <w:tcBorders>
              <w:left w:val="single" w:color="auto" w:sz="4" w:space="0"/>
              <w:right w:val="single" w:color="auto" w:sz="4" w:space="0"/>
            </w:tcBorders>
          </w:tcPr>
          <w:p w14:paraId="63D43EDD">
            <w:pPr>
              <w:wordWrap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  ……</w:t>
            </w:r>
          </w:p>
          <w:p w14:paraId="2D8A1EBD">
            <w:pPr>
              <w:wordWrap w:val="0"/>
              <w:spacing w:line="360" w:lineRule="auto"/>
              <w:rPr>
                <w:rFonts w:hint="eastAsia" w:ascii="宋体" w:hAnsi="宋体" w:cs="宋体"/>
                <w:color w:val="auto"/>
                <w:sz w:val="24"/>
                <w:szCs w:val="24"/>
                <w:highlight w:val="none"/>
              </w:rPr>
            </w:pPr>
          </w:p>
        </w:tc>
        <w:tc>
          <w:tcPr>
            <w:tcW w:w="2516" w:type="dxa"/>
            <w:tcBorders>
              <w:left w:val="single" w:color="auto" w:sz="4" w:space="0"/>
              <w:right w:val="single" w:color="auto" w:sz="4" w:space="0"/>
            </w:tcBorders>
          </w:tcPr>
          <w:p w14:paraId="09D55CCB">
            <w:pPr>
              <w:wordWrap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正偏离（负偏离或无偏离）</w:t>
            </w:r>
          </w:p>
          <w:p w14:paraId="47DCB51F">
            <w:pPr>
              <w:wordWrap w:val="0"/>
              <w:spacing w:line="360" w:lineRule="auto"/>
              <w:rPr>
                <w:rFonts w:hint="eastAsia" w:ascii="宋体" w:hAnsi="宋体" w:cs="宋体"/>
                <w:color w:val="auto"/>
                <w:sz w:val="24"/>
                <w:szCs w:val="24"/>
                <w:highlight w:val="none"/>
              </w:rPr>
            </w:pPr>
          </w:p>
        </w:tc>
      </w:tr>
      <w:tr w14:paraId="482F6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tcPr>
          <w:p w14:paraId="65D718AA">
            <w:pPr>
              <w:wordWrap w:val="0"/>
              <w:spacing w:line="360" w:lineRule="auto"/>
              <w:rPr>
                <w:rFonts w:hint="eastAsia" w:ascii="宋体" w:hAnsi="宋体" w:cs="宋体"/>
                <w:color w:val="auto"/>
                <w:sz w:val="24"/>
                <w:szCs w:val="24"/>
                <w:highlight w:val="none"/>
              </w:rPr>
            </w:pPr>
          </w:p>
        </w:tc>
        <w:tc>
          <w:tcPr>
            <w:tcW w:w="3757" w:type="dxa"/>
            <w:tcBorders>
              <w:top w:val="single" w:color="auto" w:sz="4" w:space="0"/>
              <w:left w:val="single" w:color="auto" w:sz="4" w:space="0"/>
              <w:bottom w:val="single" w:color="auto" w:sz="4" w:space="0"/>
              <w:right w:val="single" w:color="auto" w:sz="4" w:space="0"/>
            </w:tcBorders>
            <w:noWrap/>
          </w:tcPr>
          <w:p w14:paraId="7360A59D">
            <w:pPr>
              <w:wordWrap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3  ……</w:t>
            </w:r>
          </w:p>
          <w:p w14:paraId="135BEDA7">
            <w:pPr>
              <w:wordWrap w:val="0"/>
              <w:spacing w:line="360" w:lineRule="auto"/>
              <w:rPr>
                <w:rFonts w:hint="eastAsia" w:ascii="宋体" w:hAnsi="宋体" w:cs="宋体"/>
                <w:color w:val="auto"/>
                <w:sz w:val="24"/>
                <w:szCs w:val="24"/>
                <w:highlight w:val="none"/>
              </w:rPr>
            </w:pPr>
          </w:p>
        </w:tc>
        <w:tc>
          <w:tcPr>
            <w:tcW w:w="2516" w:type="dxa"/>
            <w:tcBorders>
              <w:left w:val="single" w:color="auto" w:sz="4" w:space="0"/>
              <w:right w:val="single" w:color="auto" w:sz="4" w:space="0"/>
            </w:tcBorders>
          </w:tcPr>
          <w:p w14:paraId="16BBBEFA">
            <w:pPr>
              <w:wordWrap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3  ……</w:t>
            </w:r>
          </w:p>
          <w:p w14:paraId="70621865">
            <w:pPr>
              <w:wordWrap w:val="0"/>
              <w:spacing w:line="360" w:lineRule="auto"/>
              <w:rPr>
                <w:rFonts w:hint="eastAsia" w:ascii="宋体" w:hAnsi="宋体" w:cs="宋体"/>
                <w:color w:val="auto"/>
                <w:sz w:val="24"/>
                <w:szCs w:val="24"/>
                <w:highlight w:val="none"/>
              </w:rPr>
            </w:pPr>
          </w:p>
        </w:tc>
        <w:tc>
          <w:tcPr>
            <w:tcW w:w="2516" w:type="dxa"/>
            <w:tcBorders>
              <w:left w:val="single" w:color="auto" w:sz="4" w:space="0"/>
              <w:right w:val="single" w:color="auto" w:sz="4" w:space="0"/>
            </w:tcBorders>
          </w:tcPr>
          <w:p w14:paraId="1EFFA41B">
            <w:pPr>
              <w:wordWrap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正偏离（负偏离或无偏离）</w:t>
            </w:r>
          </w:p>
          <w:p w14:paraId="7CE605D0">
            <w:pPr>
              <w:wordWrap w:val="0"/>
              <w:spacing w:line="360" w:lineRule="auto"/>
              <w:rPr>
                <w:rFonts w:hint="eastAsia" w:ascii="宋体" w:hAnsi="宋体" w:cs="宋体"/>
                <w:color w:val="auto"/>
                <w:sz w:val="24"/>
                <w:szCs w:val="24"/>
                <w:highlight w:val="none"/>
              </w:rPr>
            </w:pPr>
          </w:p>
        </w:tc>
      </w:tr>
      <w:tr w14:paraId="19B98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bottom w:val="single" w:color="auto" w:sz="4" w:space="0"/>
              <w:right w:val="single" w:color="auto" w:sz="4" w:space="0"/>
            </w:tcBorders>
            <w:noWrap/>
          </w:tcPr>
          <w:p w14:paraId="79F5F311">
            <w:pPr>
              <w:wordWrap w:val="0"/>
              <w:spacing w:line="360" w:lineRule="auto"/>
              <w:rPr>
                <w:rFonts w:hint="eastAsia" w:ascii="宋体" w:hAnsi="宋体" w:cs="宋体"/>
                <w:color w:val="auto"/>
                <w:sz w:val="24"/>
                <w:szCs w:val="24"/>
                <w:highlight w:val="none"/>
              </w:rPr>
            </w:pPr>
          </w:p>
        </w:tc>
        <w:tc>
          <w:tcPr>
            <w:tcW w:w="3757" w:type="dxa"/>
            <w:tcBorders>
              <w:top w:val="single" w:color="auto" w:sz="4" w:space="0"/>
              <w:left w:val="single" w:color="auto" w:sz="4" w:space="0"/>
              <w:bottom w:val="single" w:color="auto" w:sz="4" w:space="0"/>
              <w:right w:val="single" w:color="auto" w:sz="4" w:space="0"/>
            </w:tcBorders>
            <w:noWrap/>
          </w:tcPr>
          <w:p w14:paraId="32AE1D85">
            <w:pPr>
              <w:wordWrap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w:t>
            </w:r>
          </w:p>
        </w:tc>
        <w:tc>
          <w:tcPr>
            <w:tcW w:w="2516" w:type="dxa"/>
            <w:tcBorders>
              <w:left w:val="single" w:color="auto" w:sz="4" w:space="0"/>
              <w:bottom w:val="single" w:color="auto" w:sz="4" w:space="0"/>
              <w:right w:val="single" w:color="auto" w:sz="4" w:space="0"/>
            </w:tcBorders>
          </w:tcPr>
          <w:p w14:paraId="7BF1FDE2">
            <w:pPr>
              <w:wordWrap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w:t>
            </w:r>
          </w:p>
        </w:tc>
        <w:tc>
          <w:tcPr>
            <w:tcW w:w="2516" w:type="dxa"/>
            <w:tcBorders>
              <w:left w:val="single" w:color="auto" w:sz="4" w:space="0"/>
              <w:bottom w:val="single" w:color="auto" w:sz="4" w:space="0"/>
              <w:right w:val="single" w:color="auto" w:sz="4" w:space="0"/>
            </w:tcBorders>
          </w:tcPr>
          <w:p w14:paraId="3CFCE2EE">
            <w:pPr>
              <w:wordWrap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正偏离（负偏离或无偏离）</w:t>
            </w:r>
          </w:p>
          <w:p w14:paraId="348868C9">
            <w:pPr>
              <w:wordWrap w:val="0"/>
              <w:spacing w:line="360" w:lineRule="auto"/>
              <w:rPr>
                <w:rFonts w:hint="eastAsia" w:ascii="宋体" w:hAnsi="宋体" w:cs="宋体"/>
                <w:color w:val="auto"/>
                <w:sz w:val="24"/>
                <w:szCs w:val="24"/>
                <w:highlight w:val="none"/>
              </w:rPr>
            </w:pPr>
          </w:p>
        </w:tc>
      </w:tr>
      <w:tr w14:paraId="70A53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9480" w:type="dxa"/>
            <w:gridSpan w:val="4"/>
            <w:tcBorders>
              <w:top w:val="single" w:color="auto" w:sz="4" w:space="0"/>
              <w:left w:val="single" w:color="auto" w:sz="4" w:space="0"/>
              <w:bottom w:val="single" w:color="auto" w:sz="4" w:space="0"/>
              <w:right w:val="single" w:color="auto" w:sz="4" w:space="0"/>
            </w:tcBorders>
            <w:noWrap/>
          </w:tcPr>
          <w:p w14:paraId="0C03A48E">
            <w:pPr>
              <w:wordWrap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u w:val="single"/>
              </w:rPr>
              <w:t>　　</w:t>
            </w:r>
            <w:r>
              <w:rPr>
                <w:rFonts w:hint="eastAsia" w:ascii="宋体" w:hAnsi="宋体" w:cs="宋体"/>
                <w:color w:val="auto"/>
                <w:sz w:val="24"/>
                <w:szCs w:val="24"/>
                <w:highlight w:val="none"/>
              </w:rPr>
              <w:t>分标（此处有分标时填写具体分标号，无分标时填写“无”）</w:t>
            </w:r>
          </w:p>
        </w:tc>
      </w:tr>
    </w:tbl>
    <w:p w14:paraId="3F3B5C58">
      <w:pPr>
        <w:pStyle w:val="14"/>
        <w:wordWrap w:val="0"/>
        <w:spacing w:line="360" w:lineRule="auto"/>
        <w:ind w:left="-708" w:leftChars="-337"/>
        <w:rPr>
          <w:rFonts w:hint="eastAsia" w:hAnsi="宋体" w:cs="宋体"/>
          <w:color w:val="auto"/>
          <w:highlight w:val="none"/>
        </w:rPr>
      </w:pPr>
    </w:p>
    <w:p w14:paraId="43E0414C">
      <w:pPr>
        <w:pStyle w:val="14"/>
        <w:wordWrap w:val="0"/>
        <w:spacing w:line="360" w:lineRule="auto"/>
        <w:ind w:left="-708" w:leftChars="-337"/>
        <w:rPr>
          <w:rFonts w:hint="eastAsia" w:hAnsi="宋体" w:cs="宋体"/>
          <w:color w:val="auto"/>
          <w:highlight w:val="none"/>
        </w:rPr>
      </w:pPr>
      <w:r>
        <w:rPr>
          <w:rFonts w:hint="eastAsia" w:hAnsi="宋体" w:cs="宋体"/>
          <w:color w:val="auto"/>
          <w:highlight w:val="none"/>
        </w:rPr>
        <w:t>注：</w:t>
      </w:r>
    </w:p>
    <w:p w14:paraId="5303D8C9">
      <w:pPr>
        <w:pStyle w:val="14"/>
        <w:wordWrap w:val="0"/>
        <w:spacing w:line="360" w:lineRule="auto"/>
        <w:ind w:left="-708" w:leftChars="-337" w:firstLine="420" w:firstLineChars="200"/>
        <w:rPr>
          <w:rFonts w:hint="eastAsia" w:hAnsi="宋体" w:cs="宋体"/>
          <w:color w:val="auto"/>
          <w:highlight w:val="none"/>
        </w:rPr>
      </w:pPr>
      <w:r>
        <w:rPr>
          <w:rFonts w:hint="eastAsia" w:hAnsi="宋体" w:cs="宋体"/>
          <w:color w:val="auto"/>
          <w:highlight w:val="none"/>
        </w:rPr>
        <w:t>1.表格内容均需按要求填写并盖章，不得留空，否则按投标无效处理。</w:t>
      </w:r>
    </w:p>
    <w:p w14:paraId="0D15FB27">
      <w:pPr>
        <w:pStyle w:val="14"/>
        <w:wordWrap w:val="0"/>
        <w:spacing w:line="360" w:lineRule="auto"/>
        <w:ind w:left="-603" w:leftChars="-287" w:firstLine="316" w:firstLineChars="150"/>
        <w:rPr>
          <w:rFonts w:hint="eastAsia" w:hAnsi="宋体" w:cs="宋体"/>
          <w:color w:val="auto"/>
          <w:highlight w:val="none"/>
        </w:rPr>
      </w:pPr>
      <w:r>
        <w:rPr>
          <w:rFonts w:hint="eastAsia" w:hAnsi="宋体" w:cs="宋体"/>
          <w:b/>
          <w:bCs/>
          <w:color w:val="auto"/>
          <w:highlight w:val="none"/>
        </w:rPr>
        <w:t>2.如果招标文件需求为小于或大于某个数值标准时，投标文件承诺不得直接复制招标文件需求，投标文件承诺内容应当写明投标货物具体参数或商务响应承诺的具体数值，否则按投标无效处理。</w:t>
      </w:r>
      <w:r>
        <w:rPr>
          <w:rFonts w:hint="eastAsia" w:hAnsi="宋体" w:cs="宋体"/>
          <w:color w:val="auto"/>
          <w:highlight w:val="none"/>
        </w:rPr>
        <w:t>如该采购需求属于不能明确具体数值的，采购人应在此采购需求的数值后标注◆号，对标注◆号的采购需求不适用上述“竞标无效”条款。</w:t>
      </w:r>
    </w:p>
    <w:p w14:paraId="2EA6325C">
      <w:pPr>
        <w:pStyle w:val="14"/>
        <w:wordWrap w:val="0"/>
        <w:spacing w:line="360" w:lineRule="auto"/>
        <w:ind w:left="-603" w:leftChars="-287" w:firstLine="315" w:firstLineChars="150"/>
        <w:rPr>
          <w:rFonts w:hint="eastAsia" w:hAnsi="宋体" w:cs="宋体"/>
          <w:color w:val="auto"/>
          <w:highlight w:val="none"/>
        </w:rPr>
      </w:pPr>
      <w:r>
        <w:rPr>
          <w:rFonts w:hint="eastAsia" w:hAnsi="宋体" w:cs="宋体"/>
          <w:color w:val="auto"/>
          <w:highlight w:val="none"/>
        </w:rPr>
        <w:t>3.当投标文件的商务内容低于招标文件要求时，投标人应当如实写明“负偏离”，否则视为虚假应标。</w:t>
      </w:r>
    </w:p>
    <w:p w14:paraId="31703FA9">
      <w:pPr>
        <w:pStyle w:val="14"/>
        <w:wordWrap w:val="0"/>
        <w:spacing w:line="360" w:lineRule="auto"/>
        <w:ind w:left="-708" w:leftChars="-337" w:firstLine="420" w:firstLineChars="200"/>
        <w:rPr>
          <w:rFonts w:hint="eastAsia" w:hAnsi="宋体" w:cs="宋体"/>
          <w:color w:val="auto"/>
          <w:highlight w:val="none"/>
        </w:rPr>
      </w:pPr>
      <w:r>
        <w:rPr>
          <w:rFonts w:hint="eastAsia" w:hAnsi="宋体" w:cs="宋体"/>
          <w:color w:val="auto"/>
          <w:szCs w:val="21"/>
          <w:highlight w:val="none"/>
        </w:rPr>
        <w:t>4.采购需求中带“▲”及“★”的条款，也要分别在本表“投标文件的商务需求”、“投标文件承诺的商务条款”中标记。</w:t>
      </w:r>
    </w:p>
    <w:p w14:paraId="1D5F563E">
      <w:pPr>
        <w:wordWrap w:val="0"/>
        <w:snapToGrid w:val="0"/>
        <w:spacing w:line="360" w:lineRule="auto"/>
        <w:rPr>
          <w:rFonts w:hint="eastAsia" w:ascii="宋体" w:hAnsi="宋体" w:cs="宋体"/>
          <w:color w:val="auto"/>
          <w:sz w:val="24"/>
          <w:highlight w:val="none"/>
        </w:rPr>
      </w:pPr>
    </w:p>
    <w:p w14:paraId="77B3C284">
      <w:pPr>
        <w:wordWrap w:val="0"/>
        <w:snapToGrid w:val="0"/>
        <w:spacing w:line="360" w:lineRule="auto"/>
        <w:ind w:firstLine="4935" w:firstLineChars="2350"/>
        <w:rPr>
          <w:rFonts w:hint="eastAsia" w:ascii="宋体" w:hAnsi="宋体" w:cs="宋体"/>
          <w:color w:val="auto"/>
          <w:kern w:val="0"/>
          <w:sz w:val="24"/>
          <w:highlight w:val="none"/>
        </w:rPr>
      </w:pPr>
      <w:r>
        <w:rPr>
          <w:rFonts w:hint="eastAsia" w:ascii="宋体" w:hAnsi="宋体" w:cs="宋体"/>
          <w:color w:val="auto"/>
          <w:szCs w:val="21"/>
          <w:highlight w:val="none"/>
        </w:rPr>
        <w:t xml:space="preserve">  </w:t>
      </w:r>
      <w:r>
        <w:rPr>
          <w:rFonts w:hint="eastAsia" w:ascii="宋体" w:hAnsi="宋体" w:cs="宋体"/>
          <w:color w:val="auto"/>
          <w:kern w:val="0"/>
          <w:sz w:val="24"/>
          <w:highlight w:val="none"/>
          <w:lang w:val="zh-CN"/>
        </w:rPr>
        <w:t>投标人名称(电子签章)：</w:t>
      </w:r>
    </w:p>
    <w:p w14:paraId="7AC2D62D">
      <w:pPr>
        <w:wordWrap w:val="0"/>
        <w:snapToGrid w:val="0"/>
        <w:spacing w:line="360" w:lineRule="auto"/>
        <w:ind w:firstLine="5160" w:firstLineChars="215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0513901D">
      <w:pPr>
        <w:widowControl/>
        <w:wordWrap w:val="0"/>
        <w:spacing w:line="360" w:lineRule="auto"/>
        <w:jc w:val="left"/>
        <w:rPr>
          <w:rFonts w:hint="eastAsia" w:ascii="宋体" w:hAnsi="宋体" w:cs="宋体"/>
          <w:color w:val="auto"/>
          <w:szCs w:val="21"/>
          <w:highlight w:val="none"/>
        </w:rPr>
        <w:sectPr>
          <w:pgSz w:w="11906" w:h="16838"/>
          <w:pgMar w:top="1440" w:right="1080" w:bottom="1440" w:left="1080" w:header="851" w:footer="992" w:gutter="0"/>
          <w:cols w:space="720" w:num="1"/>
        </w:sectPr>
      </w:pPr>
    </w:p>
    <w:p w14:paraId="40BE253D">
      <w:pPr>
        <w:wordWrap w:val="0"/>
        <w:snapToGrid w:val="0"/>
        <w:spacing w:line="360" w:lineRule="auto"/>
        <w:ind w:firstLine="602" w:firstLineChars="200"/>
        <w:jc w:val="center"/>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t>五、投标人情况介绍</w:t>
      </w:r>
    </w:p>
    <w:p w14:paraId="065D33D6">
      <w:pPr>
        <w:wordWrap w:val="0"/>
        <w:spacing w:line="360" w:lineRule="auto"/>
        <w:ind w:firstLine="4048" w:firstLineChars="1687"/>
        <w:rPr>
          <w:rFonts w:hint="eastAsia" w:ascii="宋体" w:hAnsi="宋体" w:cs="宋体"/>
          <w:color w:val="auto"/>
          <w:kern w:val="0"/>
          <w:sz w:val="24"/>
          <w:highlight w:val="none"/>
        </w:rPr>
      </w:pPr>
      <w:r>
        <w:rPr>
          <w:rFonts w:hint="eastAsia" w:ascii="宋体" w:hAnsi="宋体" w:cs="宋体"/>
          <w:color w:val="auto"/>
          <w:sz w:val="24"/>
          <w:highlight w:val="none"/>
        </w:rPr>
        <w:t>（格式自拟）</w:t>
      </w:r>
    </w:p>
    <w:p w14:paraId="4468BFD2">
      <w:pPr>
        <w:wordWrap w:val="0"/>
        <w:snapToGrid w:val="0"/>
        <w:spacing w:line="360" w:lineRule="auto"/>
        <w:ind w:firstLine="4935" w:firstLineChars="2350"/>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1D4E4585">
      <w:pPr>
        <w:wordWrap w:val="0"/>
        <w:snapToGrid w:val="0"/>
        <w:spacing w:line="360" w:lineRule="auto"/>
        <w:ind w:firstLine="4935" w:firstLineChars="2350"/>
        <w:rPr>
          <w:rFonts w:hint="eastAsia" w:ascii="宋体" w:hAnsi="宋体" w:cs="宋体"/>
          <w:color w:val="auto"/>
          <w:szCs w:val="21"/>
          <w:highlight w:val="none"/>
        </w:rPr>
      </w:pPr>
    </w:p>
    <w:p w14:paraId="71471FB8">
      <w:pPr>
        <w:wordWrap w:val="0"/>
        <w:snapToGrid w:val="0"/>
        <w:spacing w:line="360" w:lineRule="auto"/>
        <w:ind w:firstLine="4935" w:firstLineChars="2350"/>
        <w:rPr>
          <w:rFonts w:hint="eastAsia" w:ascii="宋体" w:hAnsi="宋体" w:cs="宋体"/>
          <w:color w:val="auto"/>
          <w:szCs w:val="21"/>
          <w:highlight w:val="none"/>
        </w:rPr>
      </w:pPr>
    </w:p>
    <w:p w14:paraId="5D8BB0C5">
      <w:pPr>
        <w:wordWrap w:val="0"/>
        <w:snapToGrid w:val="0"/>
        <w:spacing w:line="360" w:lineRule="auto"/>
        <w:ind w:firstLine="4935" w:firstLineChars="2350"/>
        <w:rPr>
          <w:rFonts w:hint="eastAsia" w:ascii="宋体" w:hAnsi="宋体" w:cs="宋体"/>
          <w:color w:val="auto"/>
          <w:szCs w:val="21"/>
          <w:highlight w:val="none"/>
        </w:rPr>
      </w:pPr>
    </w:p>
    <w:p w14:paraId="2A808E08">
      <w:pPr>
        <w:wordWrap w:val="0"/>
        <w:snapToGrid w:val="0"/>
        <w:spacing w:line="360" w:lineRule="auto"/>
        <w:ind w:firstLine="4935" w:firstLineChars="2350"/>
        <w:rPr>
          <w:rFonts w:hint="eastAsia" w:ascii="宋体" w:hAnsi="宋体" w:cs="宋体"/>
          <w:color w:val="auto"/>
          <w:kern w:val="0"/>
          <w:sz w:val="24"/>
          <w:highlight w:val="none"/>
        </w:rPr>
      </w:pPr>
      <w:r>
        <w:rPr>
          <w:rFonts w:hint="eastAsia" w:ascii="宋体" w:hAnsi="宋体" w:cs="宋体"/>
          <w:color w:val="auto"/>
          <w:szCs w:val="21"/>
          <w:highlight w:val="none"/>
        </w:rPr>
        <w:t xml:space="preserve">  </w:t>
      </w:r>
      <w:r>
        <w:rPr>
          <w:rFonts w:hint="eastAsia" w:ascii="宋体" w:hAnsi="宋体" w:cs="宋体"/>
          <w:color w:val="auto"/>
          <w:kern w:val="0"/>
          <w:sz w:val="24"/>
          <w:highlight w:val="none"/>
          <w:lang w:val="zh-CN"/>
        </w:rPr>
        <w:t>投标人名称(电子签章)：</w:t>
      </w:r>
    </w:p>
    <w:p w14:paraId="09273F38">
      <w:pPr>
        <w:wordWrap w:val="0"/>
        <w:snapToGrid w:val="0"/>
        <w:spacing w:line="360" w:lineRule="auto"/>
        <w:ind w:firstLine="5160" w:firstLineChars="215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5B0351CA">
      <w:pPr>
        <w:wordWrap w:val="0"/>
        <w:snapToGrid w:val="0"/>
        <w:spacing w:line="360" w:lineRule="auto"/>
        <w:ind w:firstLine="602" w:firstLineChars="200"/>
        <w:jc w:val="center"/>
        <w:rPr>
          <w:rFonts w:hint="eastAsia" w:ascii="宋体" w:hAnsi="宋体" w:cs="宋体"/>
          <w:b/>
          <w:bCs/>
          <w:color w:val="auto"/>
          <w:sz w:val="30"/>
          <w:szCs w:val="30"/>
          <w:highlight w:val="none"/>
        </w:rPr>
      </w:pPr>
    </w:p>
    <w:p w14:paraId="1A11C4E8">
      <w:pPr>
        <w:widowControl/>
        <w:wordWrap w:val="0"/>
        <w:spacing w:line="360" w:lineRule="auto"/>
        <w:ind w:firstLine="602"/>
        <w:jc w:val="left"/>
        <w:rPr>
          <w:rFonts w:hint="eastAsia" w:ascii="宋体" w:hAnsi="宋体" w:cs="宋体"/>
          <w:b/>
          <w:bCs/>
          <w:color w:val="auto"/>
          <w:sz w:val="30"/>
          <w:szCs w:val="30"/>
          <w:highlight w:val="none"/>
        </w:rPr>
        <w:sectPr>
          <w:pgSz w:w="11906" w:h="16838"/>
          <w:pgMar w:top="1440" w:right="1080" w:bottom="1440" w:left="1080" w:header="720" w:footer="720" w:gutter="0"/>
          <w:cols w:space="720" w:num="1"/>
          <w:docGrid w:type="lines" w:linePitch="331" w:charSpace="0"/>
        </w:sectPr>
      </w:pPr>
    </w:p>
    <w:p w14:paraId="091EE3D9">
      <w:pPr>
        <w:wordWrap w:val="0"/>
        <w:snapToGrid w:val="0"/>
        <w:spacing w:line="360" w:lineRule="auto"/>
        <w:ind w:firstLine="602" w:firstLineChars="200"/>
        <w:jc w:val="center"/>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t>六、投标人业绩证明文件（如有要求）</w:t>
      </w:r>
    </w:p>
    <w:p w14:paraId="365E2B1C">
      <w:pPr>
        <w:pStyle w:val="19"/>
        <w:wordWrap w:val="0"/>
        <w:snapToGrid w:val="0"/>
        <w:spacing w:line="360" w:lineRule="auto"/>
        <w:ind w:left="480" w:hanging="480"/>
        <w:rPr>
          <w:rFonts w:hint="eastAsia" w:ascii="宋体" w:hAnsi="宋体" w:cs="宋体"/>
          <w:color w:val="auto"/>
          <w:sz w:val="24"/>
          <w:highlight w:val="none"/>
        </w:rPr>
      </w:pPr>
    </w:p>
    <w:p w14:paraId="2115E0FF">
      <w:pPr>
        <w:pStyle w:val="19"/>
        <w:wordWrap w:val="0"/>
        <w:snapToGrid w:val="0"/>
        <w:spacing w:line="360" w:lineRule="auto"/>
        <w:ind w:left="480" w:hanging="480"/>
        <w:rPr>
          <w:rFonts w:hint="eastAsia" w:ascii="宋体" w:hAnsi="宋体" w:cs="宋体"/>
          <w:color w:val="auto"/>
          <w:sz w:val="24"/>
          <w:highlight w:val="none"/>
        </w:rPr>
      </w:pPr>
    </w:p>
    <w:p w14:paraId="58DA3493">
      <w:pPr>
        <w:pStyle w:val="19"/>
        <w:wordWrap w:val="0"/>
        <w:snapToGrid w:val="0"/>
        <w:spacing w:line="360" w:lineRule="auto"/>
        <w:ind w:left="480" w:hanging="480"/>
        <w:rPr>
          <w:rFonts w:hint="eastAsia" w:ascii="宋体" w:hAnsi="宋体" w:cs="宋体"/>
          <w:color w:val="auto"/>
          <w:sz w:val="24"/>
          <w:highlight w:val="none"/>
        </w:rPr>
      </w:pPr>
    </w:p>
    <w:p w14:paraId="70AC1A5A">
      <w:pPr>
        <w:wordWrap w:val="0"/>
        <w:autoSpaceDE w:val="0"/>
        <w:autoSpaceDN w:val="0"/>
        <w:spacing w:line="360" w:lineRule="auto"/>
        <w:ind w:firstLine="482"/>
        <w:rPr>
          <w:rFonts w:hint="eastAsia" w:ascii="宋体" w:hAnsi="宋体" w:cs="宋体"/>
          <w:color w:val="auto"/>
          <w:sz w:val="24"/>
          <w:highlight w:val="none"/>
        </w:rPr>
      </w:pPr>
      <w:r>
        <w:rPr>
          <w:rFonts w:hint="eastAsia" w:ascii="宋体" w:hAnsi="宋体" w:cs="宋体"/>
          <w:b/>
          <w:color w:val="auto"/>
          <w:sz w:val="24"/>
          <w:highlight w:val="none"/>
        </w:rPr>
        <w:t>附表 :相关项目业绩一览表（投标人培训项目合同复印件、用户验收报告、用户评价意见格式自拟）</w:t>
      </w:r>
    </w:p>
    <w:tbl>
      <w:tblPr>
        <w:tblStyle w:val="25"/>
        <w:tblW w:w="14567" w:type="dxa"/>
        <w:tblInd w:w="11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628"/>
        <w:gridCol w:w="3420"/>
        <w:gridCol w:w="1715"/>
        <w:gridCol w:w="1559"/>
        <w:gridCol w:w="1559"/>
        <w:gridCol w:w="1418"/>
        <w:gridCol w:w="2268"/>
      </w:tblGrid>
      <w:tr w14:paraId="62B240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2628" w:type="dxa"/>
            <w:vMerge w:val="restart"/>
            <w:tcBorders>
              <w:top w:val="single" w:color="auto" w:sz="4" w:space="0"/>
              <w:left w:val="single" w:color="auto" w:sz="4" w:space="0"/>
              <w:bottom w:val="single" w:color="auto" w:sz="4" w:space="0"/>
              <w:right w:val="single" w:color="auto" w:sz="4" w:space="0"/>
            </w:tcBorders>
            <w:vAlign w:val="center"/>
          </w:tcPr>
          <w:p w14:paraId="2F970226">
            <w:pPr>
              <w:wordWrap w:val="0"/>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采购人名称</w:t>
            </w:r>
          </w:p>
        </w:tc>
        <w:tc>
          <w:tcPr>
            <w:tcW w:w="3420" w:type="dxa"/>
            <w:vMerge w:val="restart"/>
            <w:tcBorders>
              <w:top w:val="single" w:color="auto" w:sz="4" w:space="0"/>
              <w:left w:val="single" w:color="auto" w:sz="4" w:space="0"/>
              <w:bottom w:val="single" w:color="auto" w:sz="4" w:space="0"/>
              <w:right w:val="single" w:color="auto" w:sz="4" w:space="0"/>
            </w:tcBorders>
            <w:vAlign w:val="center"/>
          </w:tcPr>
          <w:p w14:paraId="3C9204C6">
            <w:pPr>
              <w:wordWrap w:val="0"/>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项目名称</w:t>
            </w:r>
          </w:p>
        </w:tc>
        <w:tc>
          <w:tcPr>
            <w:tcW w:w="1715" w:type="dxa"/>
            <w:vMerge w:val="restart"/>
            <w:tcBorders>
              <w:top w:val="single" w:color="auto" w:sz="4" w:space="0"/>
              <w:left w:val="single" w:color="auto" w:sz="4" w:space="0"/>
              <w:bottom w:val="single" w:color="auto" w:sz="4" w:space="0"/>
              <w:right w:val="single" w:color="auto" w:sz="4" w:space="0"/>
            </w:tcBorders>
            <w:vAlign w:val="center"/>
          </w:tcPr>
          <w:p w14:paraId="1FEF7914">
            <w:pPr>
              <w:wordWrap w:val="0"/>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合同</w:t>
            </w:r>
          </w:p>
          <w:p w14:paraId="1789DAB8">
            <w:pPr>
              <w:wordWrap w:val="0"/>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金额</w:t>
            </w:r>
          </w:p>
          <w:p w14:paraId="7108D604">
            <w:pPr>
              <w:wordWrap w:val="0"/>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（万元）</w:t>
            </w:r>
          </w:p>
        </w:tc>
        <w:tc>
          <w:tcPr>
            <w:tcW w:w="4536" w:type="dxa"/>
            <w:gridSpan w:val="3"/>
            <w:tcBorders>
              <w:top w:val="single" w:color="auto" w:sz="4" w:space="0"/>
              <w:left w:val="single" w:color="auto" w:sz="4" w:space="0"/>
              <w:bottom w:val="single" w:color="auto" w:sz="4" w:space="0"/>
              <w:right w:val="single" w:color="auto" w:sz="4" w:space="0"/>
            </w:tcBorders>
            <w:vAlign w:val="center"/>
          </w:tcPr>
          <w:p w14:paraId="332ADCDA">
            <w:pPr>
              <w:wordWrap w:val="0"/>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附件在投标文件中页码</w:t>
            </w:r>
          </w:p>
        </w:tc>
        <w:tc>
          <w:tcPr>
            <w:tcW w:w="2268" w:type="dxa"/>
            <w:vMerge w:val="restart"/>
            <w:tcBorders>
              <w:top w:val="single" w:color="auto" w:sz="4" w:space="0"/>
              <w:left w:val="single" w:color="auto" w:sz="4" w:space="0"/>
              <w:bottom w:val="single" w:color="auto" w:sz="4" w:space="0"/>
              <w:right w:val="single" w:color="auto" w:sz="4" w:space="0"/>
            </w:tcBorders>
            <w:vAlign w:val="center"/>
          </w:tcPr>
          <w:p w14:paraId="33F03EB4">
            <w:pPr>
              <w:wordWrap w:val="0"/>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采购人联系人及</w:t>
            </w:r>
          </w:p>
          <w:p w14:paraId="4D6E90F0">
            <w:pPr>
              <w:wordWrap w:val="0"/>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联系电话</w:t>
            </w:r>
          </w:p>
        </w:tc>
      </w:tr>
      <w:tr w14:paraId="0A9064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2628" w:type="dxa"/>
            <w:vMerge w:val="continue"/>
            <w:tcBorders>
              <w:top w:val="single" w:color="auto" w:sz="4" w:space="0"/>
              <w:left w:val="single" w:color="auto" w:sz="4" w:space="0"/>
              <w:bottom w:val="single" w:color="auto" w:sz="4" w:space="0"/>
              <w:right w:val="single" w:color="auto" w:sz="4" w:space="0"/>
            </w:tcBorders>
            <w:vAlign w:val="center"/>
          </w:tcPr>
          <w:p w14:paraId="071A3CB8">
            <w:pPr>
              <w:widowControl/>
              <w:wordWrap w:val="0"/>
              <w:spacing w:line="360" w:lineRule="auto"/>
              <w:jc w:val="left"/>
              <w:rPr>
                <w:rFonts w:hint="eastAsia" w:ascii="宋体" w:hAnsi="宋体" w:cs="宋体"/>
                <w:color w:val="auto"/>
                <w:sz w:val="24"/>
                <w:highlight w:val="none"/>
              </w:rPr>
            </w:pPr>
          </w:p>
        </w:tc>
        <w:tc>
          <w:tcPr>
            <w:tcW w:w="3420" w:type="dxa"/>
            <w:vMerge w:val="continue"/>
            <w:tcBorders>
              <w:top w:val="single" w:color="auto" w:sz="4" w:space="0"/>
              <w:left w:val="single" w:color="auto" w:sz="4" w:space="0"/>
              <w:bottom w:val="single" w:color="auto" w:sz="4" w:space="0"/>
              <w:right w:val="single" w:color="auto" w:sz="4" w:space="0"/>
            </w:tcBorders>
            <w:vAlign w:val="center"/>
          </w:tcPr>
          <w:p w14:paraId="042CC692">
            <w:pPr>
              <w:widowControl/>
              <w:wordWrap w:val="0"/>
              <w:spacing w:line="360" w:lineRule="auto"/>
              <w:jc w:val="left"/>
              <w:rPr>
                <w:rFonts w:hint="eastAsia" w:ascii="宋体" w:hAnsi="宋体" w:cs="宋体"/>
                <w:color w:val="auto"/>
                <w:sz w:val="24"/>
                <w:highlight w:val="none"/>
              </w:rPr>
            </w:pPr>
          </w:p>
        </w:tc>
        <w:tc>
          <w:tcPr>
            <w:tcW w:w="1715" w:type="dxa"/>
            <w:vMerge w:val="continue"/>
            <w:tcBorders>
              <w:top w:val="single" w:color="auto" w:sz="4" w:space="0"/>
              <w:left w:val="single" w:color="auto" w:sz="4" w:space="0"/>
              <w:bottom w:val="single" w:color="auto" w:sz="4" w:space="0"/>
              <w:right w:val="single" w:color="auto" w:sz="4" w:space="0"/>
            </w:tcBorders>
            <w:vAlign w:val="center"/>
          </w:tcPr>
          <w:p w14:paraId="5928E67C">
            <w:pPr>
              <w:widowControl/>
              <w:wordWrap w:val="0"/>
              <w:spacing w:line="360" w:lineRule="auto"/>
              <w:jc w:val="left"/>
              <w:rPr>
                <w:rFonts w:hint="eastAsia"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38429341">
            <w:pPr>
              <w:wordWrap w:val="0"/>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合同</w:t>
            </w:r>
          </w:p>
        </w:tc>
        <w:tc>
          <w:tcPr>
            <w:tcW w:w="1559" w:type="dxa"/>
            <w:tcBorders>
              <w:top w:val="single" w:color="auto" w:sz="4" w:space="0"/>
              <w:left w:val="single" w:color="auto" w:sz="4" w:space="0"/>
              <w:bottom w:val="single" w:color="auto" w:sz="4" w:space="0"/>
              <w:right w:val="single" w:color="auto" w:sz="4" w:space="0"/>
            </w:tcBorders>
            <w:vAlign w:val="center"/>
          </w:tcPr>
          <w:p w14:paraId="6ED589C3">
            <w:pPr>
              <w:wordWrap w:val="0"/>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验收报告</w:t>
            </w:r>
          </w:p>
        </w:tc>
        <w:tc>
          <w:tcPr>
            <w:tcW w:w="1418" w:type="dxa"/>
            <w:tcBorders>
              <w:top w:val="single" w:color="auto" w:sz="4" w:space="0"/>
              <w:left w:val="single" w:color="auto" w:sz="4" w:space="0"/>
              <w:bottom w:val="single" w:color="auto" w:sz="4" w:space="0"/>
              <w:right w:val="single" w:color="auto" w:sz="4" w:space="0"/>
            </w:tcBorders>
            <w:vAlign w:val="center"/>
          </w:tcPr>
          <w:p w14:paraId="3D19DCE2">
            <w:pPr>
              <w:wordWrap w:val="0"/>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用户评价</w:t>
            </w:r>
          </w:p>
        </w:tc>
        <w:tc>
          <w:tcPr>
            <w:tcW w:w="2268" w:type="dxa"/>
            <w:vMerge w:val="continue"/>
            <w:tcBorders>
              <w:top w:val="single" w:color="auto" w:sz="4" w:space="0"/>
              <w:left w:val="single" w:color="auto" w:sz="4" w:space="0"/>
              <w:bottom w:val="single" w:color="auto" w:sz="4" w:space="0"/>
              <w:right w:val="single" w:color="auto" w:sz="4" w:space="0"/>
            </w:tcBorders>
            <w:vAlign w:val="center"/>
          </w:tcPr>
          <w:p w14:paraId="2A254247">
            <w:pPr>
              <w:widowControl/>
              <w:wordWrap w:val="0"/>
              <w:spacing w:line="360" w:lineRule="auto"/>
              <w:jc w:val="left"/>
              <w:rPr>
                <w:rFonts w:hint="eastAsia" w:ascii="宋体" w:hAnsi="宋体" w:cs="宋体"/>
                <w:color w:val="auto"/>
                <w:sz w:val="24"/>
                <w:highlight w:val="none"/>
              </w:rPr>
            </w:pPr>
          </w:p>
        </w:tc>
      </w:tr>
      <w:tr w14:paraId="38DCA4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2628" w:type="dxa"/>
            <w:tcBorders>
              <w:top w:val="single" w:color="auto" w:sz="4" w:space="0"/>
              <w:left w:val="single" w:color="auto" w:sz="4" w:space="0"/>
              <w:bottom w:val="single" w:color="auto" w:sz="4" w:space="0"/>
              <w:right w:val="single" w:color="auto" w:sz="4" w:space="0"/>
            </w:tcBorders>
          </w:tcPr>
          <w:p w14:paraId="2C629051">
            <w:pPr>
              <w:wordWrap w:val="0"/>
              <w:snapToGrid w:val="0"/>
              <w:spacing w:line="360" w:lineRule="auto"/>
              <w:jc w:val="left"/>
              <w:rPr>
                <w:rFonts w:hint="eastAsia" w:ascii="宋体" w:hAnsi="宋体" w:cs="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tcPr>
          <w:p w14:paraId="072928C8">
            <w:pPr>
              <w:wordWrap w:val="0"/>
              <w:snapToGrid w:val="0"/>
              <w:spacing w:line="360" w:lineRule="auto"/>
              <w:jc w:val="left"/>
              <w:rPr>
                <w:rFonts w:hint="eastAsia" w:ascii="宋体" w:hAnsi="宋体" w:cs="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tcPr>
          <w:p w14:paraId="3B319616">
            <w:pPr>
              <w:wordWrap w:val="0"/>
              <w:snapToGrid w:val="0"/>
              <w:spacing w:line="360" w:lineRule="auto"/>
              <w:jc w:val="left"/>
              <w:rPr>
                <w:rFonts w:hint="eastAsia"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3E9D3B66">
            <w:pPr>
              <w:wordWrap w:val="0"/>
              <w:snapToGrid w:val="0"/>
              <w:spacing w:line="360" w:lineRule="auto"/>
              <w:jc w:val="left"/>
              <w:rPr>
                <w:rFonts w:hint="eastAsia"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5C4B0B46">
            <w:pPr>
              <w:wordWrap w:val="0"/>
              <w:snapToGrid w:val="0"/>
              <w:spacing w:line="360" w:lineRule="auto"/>
              <w:jc w:val="left"/>
              <w:rPr>
                <w:rFonts w:hint="eastAsia" w:ascii="宋体" w:hAnsi="宋体" w:cs="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tcPr>
          <w:p w14:paraId="68925F04">
            <w:pPr>
              <w:wordWrap w:val="0"/>
              <w:snapToGrid w:val="0"/>
              <w:spacing w:line="360" w:lineRule="auto"/>
              <w:jc w:val="left"/>
              <w:rPr>
                <w:rFonts w:hint="eastAsia" w:ascii="宋体" w:hAnsi="宋体" w:cs="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tcPr>
          <w:p w14:paraId="0FB0DED8">
            <w:pPr>
              <w:wordWrap w:val="0"/>
              <w:snapToGrid w:val="0"/>
              <w:spacing w:line="360" w:lineRule="auto"/>
              <w:jc w:val="left"/>
              <w:rPr>
                <w:rFonts w:hint="eastAsia" w:ascii="宋体" w:hAnsi="宋体" w:cs="宋体"/>
                <w:color w:val="auto"/>
                <w:sz w:val="24"/>
                <w:highlight w:val="none"/>
              </w:rPr>
            </w:pPr>
          </w:p>
        </w:tc>
      </w:tr>
      <w:tr w14:paraId="77E225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tcPr>
          <w:p w14:paraId="26F69505">
            <w:pPr>
              <w:wordWrap w:val="0"/>
              <w:snapToGrid w:val="0"/>
              <w:spacing w:line="360" w:lineRule="auto"/>
              <w:jc w:val="left"/>
              <w:rPr>
                <w:rFonts w:hint="eastAsia" w:ascii="宋体" w:hAnsi="宋体" w:cs="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tcPr>
          <w:p w14:paraId="0BED73C1">
            <w:pPr>
              <w:wordWrap w:val="0"/>
              <w:snapToGrid w:val="0"/>
              <w:spacing w:line="360" w:lineRule="auto"/>
              <w:jc w:val="left"/>
              <w:rPr>
                <w:rFonts w:hint="eastAsia" w:ascii="宋体" w:hAnsi="宋体" w:cs="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tcPr>
          <w:p w14:paraId="3A0ED97D">
            <w:pPr>
              <w:wordWrap w:val="0"/>
              <w:snapToGrid w:val="0"/>
              <w:spacing w:line="360" w:lineRule="auto"/>
              <w:jc w:val="left"/>
              <w:rPr>
                <w:rFonts w:hint="eastAsia"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09955DB9">
            <w:pPr>
              <w:wordWrap w:val="0"/>
              <w:snapToGrid w:val="0"/>
              <w:spacing w:line="360" w:lineRule="auto"/>
              <w:jc w:val="left"/>
              <w:rPr>
                <w:rFonts w:hint="eastAsia"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37647E24">
            <w:pPr>
              <w:wordWrap w:val="0"/>
              <w:snapToGrid w:val="0"/>
              <w:spacing w:line="360" w:lineRule="auto"/>
              <w:jc w:val="left"/>
              <w:rPr>
                <w:rFonts w:hint="eastAsia" w:ascii="宋体" w:hAnsi="宋体" w:cs="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tcPr>
          <w:p w14:paraId="632F9EA9">
            <w:pPr>
              <w:wordWrap w:val="0"/>
              <w:snapToGrid w:val="0"/>
              <w:spacing w:line="360" w:lineRule="auto"/>
              <w:jc w:val="left"/>
              <w:rPr>
                <w:rFonts w:hint="eastAsia" w:ascii="宋体" w:hAnsi="宋体" w:cs="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tcPr>
          <w:p w14:paraId="7CF0B251">
            <w:pPr>
              <w:wordWrap w:val="0"/>
              <w:snapToGrid w:val="0"/>
              <w:spacing w:line="360" w:lineRule="auto"/>
              <w:jc w:val="left"/>
              <w:rPr>
                <w:rFonts w:hint="eastAsia" w:ascii="宋体" w:hAnsi="宋体" w:cs="宋体"/>
                <w:color w:val="auto"/>
                <w:sz w:val="24"/>
                <w:highlight w:val="none"/>
              </w:rPr>
            </w:pPr>
          </w:p>
        </w:tc>
      </w:tr>
      <w:tr w14:paraId="59FE46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2628" w:type="dxa"/>
            <w:tcBorders>
              <w:top w:val="single" w:color="auto" w:sz="4" w:space="0"/>
              <w:left w:val="single" w:color="auto" w:sz="4" w:space="0"/>
              <w:bottom w:val="single" w:color="auto" w:sz="4" w:space="0"/>
              <w:right w:val="single" w:color="auto" w:sz="4" w:space="0"/>
            </w:tcBorders>
          </w:tcPr>
          <w:p w14:paraId="352E39D5">
            <w:pPr>
              <w:wordWrap w:val="0"/>
              <w:snapToGrid w:val="0"/>
              <w:spacing w:line="360" w:lineRule="auto"/>
              <w:jc w:val="left"/>
              <w:rPr>
                <w:rFonts w:hint="eastAsia" w:ascii="宋体" w:hAnsi="宋体" w:cs="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tcPr>
          <w:p w14:paraId="12CD36B7">
            <w:pPr>
              <w:wordWrap w:val="0"/>
              <w:snapToGrid w:val="0"/>
              <w:spacing w:line="360" w:lineRule="auto"/>
              <w:jc w:val="left"/>
              <w:rPr>
                <w:rFonts w:hint="eastAsia" w:ascii="宋体" w:hAnsi="宋体" w:cs="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tcPr>
          <w:p w14:paraId="01745855">
            <w:pPr>
              <w:wordWrap w:val="0"/>
              <w:snapToGrid w:val="0"/>
              <w:spacing w:line="360" w:lineRule="auto"/>
              <w:jc w:val="left"/>
              <w:rPr>
                <w:rFonts w:hint="eastAsia"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66854C49">
            <w:pPr>
              <w:wordWrap w:val="0"/>
              <w:snapToGrid w:val="0"/>
              <w:spacing w:line="360" w:lineRule="auto"/>
              <w:jc w:val="left"/>
              <w:rPr>
                <w:rFonts w:hint="eastAsia"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0F21DC32">
            <w:pPr>
              <w:wordWrap w:val="0"/>
              <w:snapToGrid w:val="0"/>
              <w:spacing w:line="360" w:lineRule="auto"/>
              <w:jc w:val="left"/>
              <w:rPr>
                <w:rFonts w:hint="eastAsia" w:ascii="宋体" w:hAnsi="宋体" w:cs="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tcPr>
          <w:p w14:paraId="3D73C9B3">
            <w:pPr>
              <w:wordWrap w:val="0"/>
              <w:snapToGrid w:val="0"/>
              <w:spacing w:line="360" w:lineRule="auto"/>
              <w:jc w:val="left"/>
              <w:rPr>
                <w:rFonts w:hint="eastAsia" w:ascii="宋体" w:hAnsi="宋体" w:cs="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tcPr>
          <w:p w14:paraId="098FEE7F">
            <w:pPr>
              <w:wordWrap w:val="0"/>
              <w:snapToGrid w:val="0"/>
              <w:spacing w:line="360" w:lineRule="auto"/>
              <w:jc w:val="left"/>
              <w:rPr>
                <w:rFonts w:hint="eastAsia" w:ascii="宋体" w:hAnsi="宋体" w:cs="宋体"/>
                <w:color w:val="auto"/>
                <w:sz w:val="24"/>
                <w:highlight w:val="none"/>
              </w:rPr>
            </w:pPr>
          </w:p>
        </w:tc>
      </w:tr>
      <w:tr w14:paraId="3E11C6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tcPr>
          <w:p w14:paraId="174A98F1">
            <w:pPr>
              <w:wordWrap w:val="0"/>
              <w:snapToGrid w:val="0"/>
              <w:spacing w:line="360" w:lineRule="auto"/>
              <w:jc w:val="left"/>
              <w:rPr>
                <w:rFonts w:hint="eastAsia" w:ascii="宋体" w:hAnsi="宋体" w:cs="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tcPr>
          <w:p w14:paraId="6221ED82">
            <w:pPr>
              <w:wordWrap w:val="0"/>
              <w:snapToGrid w:val="0"/>
              <w:spacing w:line="360" w:lineRule="auto"/>
              <w:jc w:val="left"/>
              <w:rPr>
                <w:rFonts w:hint="eastAsia" w:ascii="宋体" w:hAnsi="宋体" w:cs="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tcPr>
          <w:p w14:paraId="5FB46C73">
            <w:pPr>
              <w:wordWrap w:val="0"/>
              <w:snapToGrid w:val="0"/>
              <w:spacing w:line="360" w:lineRule="auto"/>
              <w:jc w:val="left"/>
              <w:rPr>
                <w:rFonts w:hint="eastAsia"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4478D6EE">
            <w:pPr>
              <w:wordWrap w:val="0"/>
              <w:snapToGrid w:val="0"/>
              <w:spacing w:line="360" w:lineRule="auto"/>
              <w:jc w:val="left"/>
              <w:rPr>
                <w:rFonts w:hint="eastAsia"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75CF2FF7">
            <w:pPr>
              <w:wordWrap w:val="0"/>
              <w:snapToGrid w:val="0"/>
              <w:spacing w:line="360" w:lineRule="auto"/>
              <w:jc w:val="left"/>
              <w:rPr>
                <w:rFonts w:hint="eastAsia" w:ascii="宋体" w:hAnsi="宋体" w:cs="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tcPr>
          <w:p w14:paraId="0E32C8E1">
            <w:pPr>
              <w:wordWrap w:val="0"/>
              <w:snapToGrid w:val="0"/>
              <w:spacing w:line="360" w:lineRule="auto"/>
              <w:jc w:val="left"/>
              <w:rPr>
                <w:rFonts w:hint="eastAsia" w:ascii="宋体" w:hAnsi="宋体" w:cs="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tcPr>
          <w:p w14:paraId="29FEDCB5">
            <w:pPr>
              <w:wordWrap w:val="0"/>
              <w:snapToGrid w:val="0"/>
              <w:spacing w:line="360" w:lineRule="auto"/>
              <w:jc w:val="left"/>
              <w:rPr>
                <w:rFonts w:hint="eastAsia" w:ascii="宋体" w:hAnsi="宋体" w:cs="宋体"/>
                <w:color w:val="auto"/>
                <w:sz w:val="24"/>
                <w:highlight w:val="none"/>
              </w:rPr>
            </w:pPr>
          </w:p>
        </w:tc>
      </w:tr>
      <w:tr w14:paraId="3A3736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tcPr>
          <w:p w14:paraId="5E252C02">
            <w:pPr>
              <w:wordWrap w:val="0"/>
              <w:snapToGrid w:val="0"/>
              <w:spacing w:line="360" w:lineRule="auto"/>
              <w:jc w:val="left"/>
              <w:rPr>
                <w:rFonts w:hint="eastAsia" w:ascii="宋体" w:hAnsi="宋体" w:cs="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tcPr>
          <w:p w14:paraId="552BCE7F">
            <w:pPr>
              <w:wordWrap w:val="0"/>
              <w:snapToGrid w:val="0"/>
              <w:spacing w:line="360" w:lineRule="auto"/>
              <w:jc w:val="left"/>
              <w:rPr>
                <w:rFonts w:hint="eastAsia" w:ascii="宋体" w:hAnsi="宋体" w:cs="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tcPr>
          <w:p w14:paraId="1CE80F53">
            <w:pPr>
              <w:wordWrap w:val="0"/>
              <w:snapToGrid w:val="0"/>
              <w:spacing w:line="360" w:lineRule="auto"/>
              <w:jc w:val="left"/>
              <w:rPr>
                <w:rFonts w:hint="eastAsia"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044EB898">
            <w:pPr>
              <w:wordWrap w:val="0"/>
              <w:snapToGrid w:val="0"/>
              <w:spacing w:line="360" w:lineRule="auto"/>
              <w:jc w:val="left"/>
              <w:rPr>
                <w:rFonts w:hint="eastAsia"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7B16AAAB">
            <w:pPr>
              <w:wordWrap w:val="0"/>
              <w:snapToGrid w:val="0"/>
              <w:spacing w:line="360" w:lineRule="auto"/>
              <w:jc w:val="left"/>
              <w:rPr>
                <w:rFonts w:hint="eastAsia" w:ascii="宋体" w:hAnsi="宋体" w:cs="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tcPr>
          <w:p w14:paraId="26EF4B82">
            <w:pPr>
              <w:wordWrap w:val="0"/>
              <w:snapToGrid w:val="0"/>
              <w:spacing w:line="360" w:lineRule="auto"/>
              <w:jc w:val="left"/>
              <w:rPr>
                <w:rFonts w:hint="eastAsia" w:ascii="宋体" w:hAnsi="宋体" w:cs="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tcPr>
          <w:p w14:paraId="179F85BA">
            <w:pPr>
              <w:wordWrap w:val="0"/>
              <w:snapToGrid w:val="0"/>
              <w:spacing w:line="360" w:lineRule="auto"/>
              <w:jc w:val="left"/>
              <w:rPr>
                <w:rFonts w:hint="eastAsia" w:ascii="宋体" w:hAnsi="宋体" w:cs="宋体"/>
                <w:color w:val="auto"/>
                <w:sz w:val="24"/>
                <w:highlight w:val="none"/>
              </w:rPr>
            </w:pPr>
          </w:p>
        </w:tc>
      </w:tr>
    </w:tbl>
    <w:p w14:paraId="38B33665">
      <w:pPr>
        <w:pStyle w:val="14"/>
        <w:wordWrap w:val="0"/>
        <w:spacing w:line="360" w:lineRule="auto"/>
        <w:ind w:left="72"/>
        <w:rPr>
          <w:rFonts w:hint="eastAsia" w:hAnsi="宋体" w:cs="宋体"/>
          <w:color w:val="auto"/>
          <w:highlight w:val="none"/>
        </w:rPr>
      </w:pPr>
      <w:r>
        <w:rPr>
          <w:rFonts w:hint="eastAsia" w:hAnsi="宋体" w:cs="宋体"/>
          <w:color w:val="auto"/>
          <w:highlight w:val="none"/>
        </w:rPr>
        <w:t>注：投标人可按上述的格式自行编制，须随表提交相应的合同复印件和用户单位验收证明并注明所在投标人商务技术文件页码。</w:t>
      </w:r>
    </w:p>
    <w:p w14:paraId="5A01F3B6">
      <w:pPr>
        <w:wordWrap w:val="0"/>
        <w:snapToGrid w:val="0"/>
        <w:spacing w:line="360" w:lineRule="auto"/>
        <w:ind w:firstLine="4935" w:firstLineChars="2350"/>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4D246A85">
      <w:pPr>
        <w:wordWrap w:val="0"/>
        <w:snapToGrid w:val="0"/>
        <w:spacing w:line="360" w:lineRule="auto"/>
        <w:ind w:firstLine="4935" w:firstLineChars="2350"/>
        <w:rPr>
          <w:rFonts w:hint="eastAsia" w:ascii="宋体" w:hAnsi="宋体" w:cs="宋体"/>
          <w:color w:val="auto"/>
          <w:szCs w:val="21"/>
          <w:highlight w:val="none"/>
        </w:rPr>
      </w:pPr>
    </w:p>
    <w:p w14:paraId="46D3D848">
      <w:pPr>
        <w:wordWrap w:val="0"/>
        <w:snapToGrid w:val="0"/>
        <w:spacing w:line="360" w:lineRule="auto"/>
        <w:ind w:firstLine="10080" w:firstLineChars="4800"/>
        <w:rPr>
          <w:rFonts w:hint="eastAsia" w:ascii="宋体" w:hAnsi="宋体" w:cs="宋体"/>
          <w:color w:val="auto"/>
          <w:kern w:val="0"/>
          <w:sz w:val="24"/>
          <w:highlight w:val="none"/>
        </w:rPr>
      </w:pPr>
      <w:r>
        <w:rPr>
          <w:rFonts w:hint="eastAsia" w:ascii="宋体" w:hAnsi="宋体" w:cs="宋体"/>
          <w:color w:val="auto"/>
          <w:szCs w:val="21"/>
          <w:highlight w:val="none"/>
        </w:rPr>
        <w:t xml:space="preserve"> </w:t>
      </w:r>
      <w:r>
        <w:rPr>
          <w:rFonts w:hint="eastAsia" w:ascii="宋体" w:hAnsi="宋体" w:cs="宋体"/>
          <w:color w:val="auto"/>
          <w:kern w:val="0"/>
          <w:sz w:val="24"/>
          <w:highlight w:val="none"/>
          <w:lang w:val="zh-CN"/>
        </w:rPr>
        <w:t>投标人名称(电子签章)：</w:t>
      </w:r>
    </w:p>
    <w:p w14:paraId="37DA83C2">
      <w:pPr>
        <w:wordWrap w:val="0"/>
        <w:snapToGrid w:val="0"/>
        <w:spacing w:line="360" w:lineRule="auto"/>
        <w:ind w:firstLine="10080" w:firstLineChars="420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018FE6D7">
      <w:pPr>
        <w:widowControl/>
        <w:wordWrap w:val="0"/>
        <w:spacing w:line="360" w:lineRule="auto"/>
        <w:jc w:val="left"/>
        <w:rPr>
          <w:rFonts w:hint="eastAsia" w:ascii="宋体" w:hAnsi="宋体" w:cs="宋体"/>
          <w:color w:val="auto"/>
          <w:kern w:val="0"/>
          <w:sz w:val="24"/>
          <w:highlight w:val="none"/>
          <w:lang w:val="zh-CN"/>
        </w:rPr>
        <w:sectPr>
          <w:pgSz w:w="16838" w:h="11906" w:orient="landscape"/>
          <w:pgMar w:top="1440" w:right="1080" w:bottom="1440" w:left="1080" w:header="720" w:footer="720" w:gutter="0"/>
          <w:cols w:space="720" w:num="1"/>
          <w:docGrid w:type="lines" w:linePitch="331" w:charSpace="0"/>
        </w:sectPr>
      </w:pPr>
    </w:p>
    <w:p w14:paraId="439CDBD3">
      <w:pPr>
        <w:pStyle w:val="14"/>
        <w:wordWrap w:val="0"/>
        <w:spacing w:line="360" w:lineRule="auto"/>
        <w:ind w:firstLine="562"/>
        <w:jc w:val="center"/>
        <w:outlineLvl w:val="1"/>
        <w:rPr>
          <w:rFonts w:hint="eastAsia" w:hAnsi="宋体" w:cs="宋体"/>
          <w:b/>
          <w:bCs/>
          <w:color w:val="auto"/>
          <w:sz w:val="28"/>
          <w:szCs w:val="28"/>
          <w:highlight w:val="none"/>
        </w:rPr>
      </w:pPr>
      <w:bookmarkStart w:id="285" w:name="_Toc19686839"/>
      <w:bookmarkStart w:id="286" w:name="_Toc27389"/>
      <w:r>
        <w:rPr>
          <w:rFonts w:hint="eastAsia" w:hAnsi="宋体" w:cs="宋体"/>
          <w:b/>
          <w:bCs/>
          <w:color w:val="auto"/>
          <w:sz w:val="28"/>
          <w:szCs w:val="28"/>
          <w:highlight w:val="none"/>
        </w:rPr>
        <w:t>第四节 技术文件格式</w:t>
      </w:r>
      <w:bookmarkEnd w:id="285"/>
      <w:bookmarkEnd w:id="286"/>
    </w:p>
    <w:p w14:paraId="1ACBA607">
      <w:pPr>
        <w:wordWrap w:val="0"/>
        <w:snapToGrid w:val="0"/>
        <w:spacing w:line="360" w:lineRule="auto"/>
        <w:rPr>
          <w:rFonts w:hint="eastAsia" w:ascii="宋体" w:hAnsi="宋体" w:cs="宋体"/>
          <w:bCs/>
          <w:color w:val="auto"/>
          <w:sz w:val="32"/>
          <w:szCs w:val="20"/>
          <w:highlight w:val="none"/>
        </w:rPr>
      </w:pPr>
      <w:r>
        <w:rPr>
          <w:rFonts w:hint="eastAsia" w:ascii="宋体" w:hAnsi="宋体" w:cs="宋体"/>
          <w:color w:val="auto"/>
          <w:sz w:val="24"/>
          <w:highlight w:val="none"/>
        </w:rPr>
        <w:t xml:space="preserve">                                                  </w:t>
      </w:r>
      <w:r>
        <w:rPr>
          <w:rFonts w:hint="eastAsia" w:ascii="宋体" w:hAnsi="宋体" w:cs="宋体"/>
          <w:bCs/>
          <w:color w:val="auto"/>
          <w:highlight w:val="none"/>
        </w:rPr>
        <w:t>电子投标文件</w:t>
      </w:r>
    </w:p>
    <w:p w14:paraId="08432BD4">
      <w:pPr>
        <w:wordWrap w:val="0"/>
        <w:snapToGrid w:val="0"/>
        <w:spacing w:line="360" w:lineRule="auto"/>
        <w:rPr>
          <w:rFonts w:hint="eastAsia" w:ascii="宋体" w:hAnsi="宋体" w:cs="宋体"/>
          <w:color w:val="auto"/>
          <w:sz w:val="24"/>
          <w:szCs w:val="20"/>
          <w:highlight w:val="none"/>
        </w:rPr>
      </w:pPr>
    </w:p>
    <w:p w14:paraId="51376ED7">
      <w:pPr>
        <w:wordWrap w:val="0"/>
        <w:snapToGrid w:val="0"/>
        <w:spacing w:line="360" w:lineRule="auto"/>
        <w:ind w:firstLine="643"/>
        <w:jc w:val="center"/>
        <w:rPr>
          <w:rFonts w:hint="eastAsia" w:ascii="宋体" w:hAnsi="宋体" w:cs="宋体"/>
          <w:b/>
          <w:bCs/>
          <w:color w:val="auto"/>
          <w:sz w:val="32"/>
          <w:szCs w:val="32"/>
          <w:highlight w:val="none"/>
        </w:rPr>
      </w:pPr>
    </w:p>
    <w:p w14:paraId="297600B7">
      <w:pPr>
        <w:wordWrap w:val="0"/>
        <w:snapToGrid w:val="0"/>
        <w:spacing w:line="360" w:lineRule="auto"/>
        <w:ind w:firstLine="643"/>
        <w:jc w:val="center"/>
        <w:rPr>
          <w:rFonts w:hint="eastAsia" w:ascii="宋体" w:hAnsi="宋体" w:cs="宋体"/>
          <w:b/>
          <w:bCs/>
          <w:color w:val="auto"/>
          <w:sz w:val="32"/>
          <w:szCs w:val="32"/>
          <w:highlight w:val="none"/>
        </w:rPr>
      </w:pPr>
    </w:p>
    <w:p w14:paraId="6A745BA9">
      <w:pPr>
        <w:wordWrap w:val="0"/>
        <w:snapToGrid w:val="0"/>
        <w:spacing w:line="360" w:lineRule="auto"/>
        <w:ind w:firstLine="643"/>
        <w:jc w:val="center"/>
        <w:rPr>
          <w:rFonts w:hint="eastAsia" w:ascii="宋体" w:hAnsi="宋体" w:cs="宋体"/>
          <w:b/>
          <w:bCs/>
          <w:color w:val="auto"/>
          <w:sz w:val="32"/>
          <w:szCs w:val="32"/>
          <w:highlight w:val="none"/>
        </w:rPr>
      </w:pPr>
    </w:p>
    <w:p w14:paraId="3AA7CDC1">
      <w:pPr>
        <w:wordWrap w:val="0"/>
        <w:snapToGrid w:val="0"/>
        <w:spacing w:line="360" w:lineRule="auto"/>
        <w:ind w:firstLine="643"/>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技术文件（封面）</w:t>
      </w:r>
    </w:p>
    <w:p w14:paraId="6C351AB3">
      <w:pPr>
        <w:wordWrap w:val="0"/>
        <w:snapToGrid w:val="0"/>
        <w:spacing w:line="360" w:lineRule="auto"/>
        <w:rPr>
          <w:rFonts w:hint="eastAsia" w:ascii="宋体" w:hAnsi="宋体" w:cs="宋体"/>
          <w:bCs/>
          <w:color w:val="auto"/>
          <w:sz w:val="24"/>
          <w:szCs w:val="20"/>
          <w:highlight w:val="none"/>
        </w:rPr>
      </w:pPr>
    </w:p>
    <w:p w14:paraId="61DF0636">
      <w:pPr>
        <w:wordWrap w:val="0"/>
        <w:snapToGrid w:val="0"/>
        <w:spacing w:line="360" w:lineRule="auto"/>
        <w:ind w:left="599" w:leftChars="228" w:hanging="120" w:hangingChars="50"/>
        <w:rPr>
          <w:rFonts w:hint="eastAsia" w:ascii="宋体" w:hAnsi="宋体" w:cs="宋体"/>
          <w:bCs/>
          <w:color w:val="auto"/>
          <w:sz w:val="24"/>
          <w:highlight w:val="none"/>
        </w:rPr>
      </w:pPr>
      <w:r>
        <w:rPr>
          <w:rFonts w:hint="eastAsia" w:ascii="宋体" w:hAnsi="宋体" w:cs="宋体"/>
          <w:bCs/>
          <w:color w:val="auto"/>
          <w:sz w:val="24"/>
          <w:highlight w:val="none"/>
        </w:rPr>
        <w:t xml:space="preserve">项目名称：     </w:t>
      </w:r>
    </w:p>
    <w:p w14:paraId="562A5ABD">
      <w:pPr>
        <w:wordWrap w:val="0"/>
        <w:snapToGrid w:val="0"/>
        <w:spacing w:line="360" w:lineRule="auto"/>
        <w:ind w:left="599" w:leftChars="228" w:hanging="120" w:hangingChars="50"/>
        <w:rPr>
          <w:rFonts w:hint="eastAsia" w:ascii="宋体" w:hAnsi="宋体" w:cs="宋体"/>
          <w:bCs/>
          <w:color w:val="auto"/>
          <w:sz w:val="24"/>
          <w:highlight w:val="none"/>
        </w:rPr>
      </w:pPr>
      <w:r>
        <w:rPr>
          <w:rFonts w:hint="eastAsia" w:ascii="宋体" w:hAnsi="宋体" w:cs="宋体"/>
          <w:bCs/>
          <w:color w:val="auto"/>
          <w:sz w:val="24"/>
          <w:highlight w:val="none"/>
        </w:rPr>
        <w:t xml:space="preserve">项目编号：  </w:t>
      </w:r>
    </w:p>
    <w:p w14:paraId="297EE354">
      <w:pPr>
        <w:wordWrap w:val="0"/>
        <w:snapToGrid w:val="0"/>
        <w:spacing w:line="360" w:lineRule="auto"/>
        <w:ind w:firstLine="600" w:firstLineChars="250"/>
        <w:rPr>
          <w:rFonts w:hint="eastAsia" w:ascii="宋体" w:hAnsi="宋体" w:cs="宋体"/>
          <w:bCs/>
          <w:color w:val="auto"/>
          <w:sz w:val="24"/>
          <w:highlight w:val="none"/>
        </w:rPr>
      </w:pPr>
      <w:r>
        <w:rPr>
          <w:rFonts w:hint="eastAsia" w:ascii="宋体" w:hAnsi="宋体" w:cs="宋体"/>
          <w:bCs/>
          <w:color w:val="auto"/>
          <w:sz w:val="24"/>
          <w:highlight w:val="none"/>
        </w:rPr>
        <w:t>所投分标：</w:t>
      </w:r>
    </w:p>
    <w:p w14:paraId="29E1D77B">
      <w:pPr>
        <w:wordWrap w:val="0"/>
        <w:snapToGrid w:val="0"/>
        <w:spacing w:line="360" w:lineRule="auto"/>
        <w:ind w:firstLine="600" w:firstLineChars="250"/>
        <w:rPr>
          <w:rFonts w:hint="eastAsia" w:ascii="宋体" w:hAnsi="宋体" w:cs="宋体"/>
          <w:bCs/>
          <w:color w:val="auto"/>
          <w:sz w:val="24"/>
          <w:highlight w:val="none"/>
        </w:rPr>
      </w:pPr>
      <w:r>
        <w:rPr>
          <w:rFonts w:hint="eastAsia" w:ascii="宋体" w:hAnsi="宋体" w:cs="宋体"/>
          <w:bCs/>
          <w:color w:val="auto"/>
          <w:sz w:val="24"/>
          <w:highlight w:val="none"/>
        </w:rPr>
        <w:t>投标人名称：</w:t>
      </w:r>
    </w:p>
    <w:p w14:paraId="3D064E69">
      <w:pPr>
        <w:wordWrap w:val="0"/>
        <w:snapToGrid w:val="0"/>
        <w:spacing w:line="360" w:lineRule="auto"/>
        <w:ind w:firstLine="600" w:firstLineChars="250"/>
        <w:rPr>
          <w:rFonts w:hint="eastAsia" w:ascii="宋体" w:hAnsi="宋体" w:cs="宋体"/>
          <w:bCs/>
          <w:color w:val="auto"/>
          <w:sz w:val="24"/>
          <w:highlight w:val="none"/>
        </w:rPr>
      </w:pPr>
      <w:r>
        <w:rPr>
          <w:rFonts w:hint="eastAsia" w:ascii="宋体" w:hAnsi="宋体" w:cs="宋体"/>
          <w:bCs/>
          <w:color w:val="auto"/>
          <w:sz w:val="24"/>
          <w:highlight w:val="none"/>
        </w:rPr>
        <w:t>投标人地址：</w:t>
      </w:r>
    </w:p>
    <w:p w14:paraId="7BAC45A3">
      <w:pPr>
        <w:wordWrap w:val="0"/>
        <w:snapToGrid w:val="0"/>
        <w:spacing w:line="360" w:lineRule="auto"/>
        <w:ind w:firstLine="480"/>
        <w:jc w:val="center"/>
        <w:rPr>
          <w:rFonts w:hint="eastAsia" w:ascii="宋体" w:hAnsi="宋体" w:cs="宋体"/>
          <w:color w:val="auto"/>
          <w:sz w:val="24"/>
          <w:highlight w:val="none"/>
        </w:rPr>
      </w:pPr>
      <w:r>
        <w:rPr>
          <w:rFonts w:hint="eastAsia" w:ascii="宋体" w:hAnsi="宋体" w:cs="宋体"/>
          <w:color w:val="auto"/>
          <w:sz w:val="24"/>
          <w:highlight w:val="none"/>
        </w:rPr>
        <w:t xml:space="preserve">                        年    月    日</w:t>
      </w:r>
    </w:p>
    <w:p w14:paraId="144C67CD">
      <w:pPr>
        <w:wordWrap w:val="0"/>
        <w:snapToGrid w:val="0"/>
        <w:spacing w:line="360" w:lineRule="auto"/>
        <w:ind w:firstLine="480"/>
        <w:jc w:val="center"/>
        <w:rPr>
          <w:rFonts w:hint="eastAsia" w:ascii="宋体" w:hAnsi="宋体" w:cs="宋体"/>
          <w:color w:val="auto"/>
          <w:sz w:val="24"/>
          <w:szCs w:val="20"/>
          <w:highlight w:val="none"/>
        </w:rPr>
      </w:pPr>
    </w:p>
    <w:p w14:paraId="75B2A447">
      <w:pPr>
        <w:wordWrap w:val="0"/>
        <w:spacing w:line="360" w:lineRule="auto"/>
        <w:ind w:firstLine="482"/>
        <w:jc w:val="center"/>
        <w:rPr>
          <w:rFonts w:hint="eastAsia" w:ascii="宋体" w:hAnsi="宋体" w:cs="宋体"/>
          <w:b/>
          <w:color w:val="auto"/>
          <w:kern w:val="0"/>
          <w:sz w:val="28"/>
          <w:szCs w:val="28"/>
          <w:highlight w:val="none"/>
        </w:rPr>
      </w:pPr>
      <w:r>
        <w:rPr>
          <w:rFonts w:hint="eastAsia" w:ascii="宋体" w:hAnsi="宋体" w:cs="宋体"/>
          <w:b/>
          <w:bCs/>
          <w:color w:val="auto"/>
          <w:sz w:val="24"/>
          <w:highlight w:val="none"/>
        </w:rPr>
        <w:br w:type="page"/>
      </w:r>
      <w:r>
        <w:rPr>
          <w:rFonts w:hint="eastAsia" w:ascii="宋体" w:hAnsi="宋体" w:cs="宋体"/>
          <w:b/>
          <w:color w:val="auto"/>
          <w:kern w:val="0"/>
          <w:sz w:val="28"/>
          <w:szCs w:val="28"/>
          <w:highlight w:val="none"/>
        </w:rPr>
        <w:t>技术文件目录</w:t>
      </w:r>
    </w:p>
    <w:p w14:paraId="2EDED47C">
      <w:pPr>
        <w:pStyle w:val="11"/>
        <w:spacing w:after="0" w:line="360" w:lineRule="auto"/>
        <w:ind w:firstLine="562"/>
        <w:rPr>
          <w:rFonts w:hint="eastAsia" w:ascii="宋体" w:hAnsi="宋体" w:cs="宋体"/>
          <w:b/>
          <w:color w:val="auto"/>
          <w:kern w:val="0"/>
          <w:sz w:val="28"/>
          <w:szCs w:val="28"/>
          <w:highlight w:val="none"/>
        </w:rPr>
      </w:pPr>
    </w:p>
    <w:p w14:paraId="37BAD0E2">
      <w:pPr>
        <w:pStyle w:val="39"/>
        <w:wordWrap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一、服务需求、技术需求偏离表…………………………………………………（页码）</w:t>
      </w:r>
    </w:p>
    <w:p w14:paraId="6FC4DE34">
      <w:pPr>
        <w:pStyle w:val="39"/>
        <w:wordWrap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二、组织服务方案（如有）…………………………………………………………（页码）</w:t>
      </w:r>
    </w:p>
    <w:p w14:paraId="59C0AA19">
      <w:pPr>
        <w:pStyle w:val="39"/>
        <w:wordWrap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三、售后服务方案 ………………………………</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371DE8E6">
      <w:pPr>
        <w:pStyle w:val="39"/>
        <w:wordWrap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四、</w:t>
      </w:r>
      <w:r>
        <w:rPr>
          <w:rFonts w:hint="eastAsia" w:ascii="宋体" w:hAnsi="宋体" w:eastAsia="宋体" w:cs="宋体"/>
          <w:color w:val="auto"/>
          <w:highlight w:val="none"/>
          <w:lang w:val="zh-CN"/>
        </w:rPr>
        <w:t>项目实施人员一览表</w:t>
      </w:r>
      <w:r>
        <w:rPr>
          <w:rFonts w:hint="eastAsia" w:ascii="宋体" w:hAnsi="宋体" w:eastAsia="宋体" w:cs="宋体"/>
          <w:color w:val="auto"/>
          <w:highlight w:val="none"/>
        </w:rPr>
        <w:t>（如有）</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1C33CADE">
      <w:pPr>
        <w:pStyle w:val="39"/>
        <w:wordWrap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五、投标人对项目的合理化建议和改进措施（如有）</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0B77408C">
      <w:pPr>
        <w:pStyle w:val="39"/>
        <w:wordWrap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六、优惠条件及特殊承诺（如有）</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3546C788">
      <w:pPr>
        <w:pStyle w:val="39"/>
        <w:wordWrap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七、备品备件及供选择的配套零部件清单（如有）</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1931F2BA">
      <w:pPr>
        <w:pStyle w:val="39"/>
        <w:wordWrap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八、培训计划（如有）</w:t>
      </w:r>
      <w:r>
        <w:rPr>
          <w:rFonts w:hint="eastAsia" w:ascii="宋体" w:hAnsi="宋体" w:eastAsia="宋体" w:cs="宋体"/>
          <w:color w:val="auto"/>
          <w:highlight w:val="none"/>
          <w:lang w:val="zh-CN"/>
        </w:rPr>
        <w:t>………………………………………………………</w:t>
      </w:r>
      <w:r>
        <w:rPr>
          <w:rFonts w:hint="eastAsia" w:ascii="宋体" w:hAnsi="宋体" w:eastAsia="宋体" w:cs="宋体"/>
          <w:color w:val="auto"/>
          <w:highlight w:val="none"/>
        </w:rPr>
        <w:t>……</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2DC17C30">
      <w:pPr>
        <w:pStyle w:val="39"/>
        <w:wordWrap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九、认为需要的其他技术文件或说明（如有）</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01CA5713">
      <w:pPr>
        <w:wordWrap w:val="0"/>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注：以上目录是基本格式要求，各投标人可根据自身情况进一步向下增加内容或细化。</w:t>
      </w:r>
    </w:p>
    <w:p w14:paraId="78EB2BDC">
      <w:pPr>
        <w:wordWrap w:val="0"/>
        <w:snapToGrid w:val="0"/>
        <w:spacing w:line="360" w:lineRule="auto"/>
        <w:ind w:left="143" w:leftChars="68" w:firstLine="472" w:firstLineChars="196"/>
        <w:jc w:val="left"/>
        <w:rPr>
          <w:rFonts w:hint="eastAsia" w:ascii="宋体" w:hAnsi="宋体" w:cs="宋体"/>
          <w:b/>
          <w:color w:val="auto"/>
          <w:sz w:val="24"/>
          <w:highlight w:val="none"/>
        </w:rPr>
      </w:pPr>
    </w:p>
    <w:p w14:paraId="1BA3F247">
      <w:pPr>
        <w:wordWrap w:val="0"/>
        <w:snapToGrid w:val="0"/>
        <w:spacing w:line="360" w:lineRule="auto"/>
        <w:ind w:left="143" w:leftChars="68" w:firstLine="472" w:firstLineChars="196"/>
        <w:jc w:val="left"/>
        <w:rPr>
          <w:rFonts w:hint="eastAsia"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 xml:space="preserve"> </w:t>
      </w:r>
    </w:p>
    <w:p w14:paraId="09B9B99F">
      <w:pPr>
        <w:pStyle w:val="14"/>
        <w:wordWrap w:val="0"/>
        <w:spacing w:line="360" w:lineRule="auto"/>
        <w:jc w:val="center"/>
        <w:rPr>
          <w:rFonts w:hint="eastAsia" w:hAnsi="宋体" w:cs="宋体"/>
          <w:b/>
          <w:bCs/>
          <w:color w:val="auto"/>
          <w:sz w:val="30"/>
          <w:szCs w:val="30"/>
          <w:highlight w:val="none"/>
        </w:rPr>
      </w:pPr>
      <w:r>
        <w:rPr>
          <w:rFonts w:hint="eastAsia" w:hAnsi="宋体" w:cs="宋体"/>
          <w:b/>
          <w:bCs/>
          <w:color w:val="auto"/>
          <w:sz w:val="30"/>
          <w:szCs w:val="30"/>
          <w:highlight w:val="none"/>
        </w:rPr>
        <w:t>一、服务需求、技术需求偏离表</w:t>
      </w:r>
    </w:p>
    <w:p w14:paraId="5168BF4C">
      <w:pPr>
        <w:pStyle w:val="14"/>
        <w:wordWrap w:val="0"/>
        <w:spacing w:line="360" w:lineRule="auto"/>
        <w:ind w:firstLine="420" w:firstLineChars="200"/>
        <w:rPr>
          <w:rFonts w:hint="eastAsia" w:hAnsi="宋体" w:cs="宋体"/>
          <w:color w:val="auto"/>
          <w:highlight w:val="none"/>
        </w:rPr>
      </w:pPr>
    </w:p>
    <w:p w14:paraId="0AEBD9A1">
      <w:pPr>
        <w:pStyle w:val="14"/>
        <w:wordWrap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请根据所投服务的实际技术参数，</w:t>
      </w:r>
      <w:r>
        <w:rPr>
          <w:rFonts w:hint="eastAsia" w:hAnsi="宋体" w:cs="宋体"/>
          <w:b/>
          <w:color w:val="auto"/>
          <w:sz w:val="28"/>
          <w:szCs w:val="28"/>
          <w:highlight w:val="none"/>
        </w:rPr>
        <w:t>逐条对应</w:t>
      </w:r>
      <w:r>
        <w:rPr>
          <w:rFonts w:hint="eastAsia" w:hAnsi="宋体" w:cs="宋体"/>
          <w:color w:val="auto"/>
          <w:sz w:val="24"/>
          <w:szCs w:val="24"/>
          <w:highlight w:val="none"/>
        </w:rPr>
        <w:t>本项目招标文件第二章“服务需求一览表”中的</w:t>
      </w:r>
      <w:r>
        <w:rPr>
          <w:rFonts w:hint="eastAsia" w:hAnsi="宋体" w:cs="宋体"/>
          <w:b/>
          <w:color w:val="auto"/>
          <w:sz w:val="28"/>
          <w:szCs w:val="28"/>
          <w:highlight w:val="none"/>
        </w:rPr>
        <w:t>采购清单及服务参数</w:t>
      </w:r>
      <w:r>
        <w:rPr>
          <w:rFonts w:hint="eastAsia" w:hAnsi="宋体" w:cs="宋体"/>
          <w:color w:val="auto"/>
          <w:sz w:val="24"/>
          <w:szCs w:val="24"/>
          <w:highlight w:val="none"/>
        </w:rPr>
        <w:t>详细填写相应的具体内容。“偏离说明”一栏应当选择“正偏离”、“负偏离”或“无偏离”进行填写。</w:t>
      </w:r>
    </w:p>
    <w:tbl>
      <w:tblPr>
        <w:tblStyle w:val="25"/>
        <w:tblW w:w="10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1260"/>
        <w:gridCol w:w="2310"/>
        <w:gridCol w:w="1516"/>
        <w:gridCol w:w="3297"/>
        <w:gridCol w:w="1168"/>
      </w:tblGrid>
      <w:tr w14:paraId="4DFC8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634" w:type="dxa"/>
            <w:vMerge w:val="restart"/>
            <w:tcBorders>
              <w:top w:val="single" w:color="auto" w:sz="4" w:space="0"/>
              <w:left w:val="single" w:color="auto" w:sz="4" w:space="0"/>
              <w:bottom w:val="single" w:color="auto" w:sz="4" w:space="0"/>
              <w:right w:val="single" w:color="auto" w:sz="4" w:space="0"/>
            </w:tcBorders>
            <w:vAlign w:val="center"/>
          </w:tcPr>
          <w:p w14:paraId="7EEF5E8E">
            <w:pPr>
              <w:wordWrap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项号</w:t>
            </w:r>
          </w:p>
        </w:tc>
        <w:tc>
          <w:tcPr>
            <w:tcW w:w="3570" w:type="dxa"/>
            <w:gridSpan w:val="2"/>
            <w:tcBorders>
              <w:top w:val="single" w:color="auto" w:sz="4" w:space="0"/>
              <w:left w:val="single" w:color="auto" w:sz="4" w:space="0"/>
              <w:bottom w:val="single" w:color="auto" w:sz="4" w:space="0"/>
              <w:right w:val="single" w:color="auto" w:sz="4" w:space="0"/>
            </w:tcBorders>
            <w:vAlign w:val="center"/>
          </w:tcPr>
          <w:p w14:paraId="6EBA53D5">
            <w:pPr>
              <w:wordWrap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招标文件需求</w:t>
            </w:r>
          </w:p>
        </w:tc>
        <w:tc>
          <w:tcPr>
            <w:tcW w:w="4813" w:type="dxa"/>
            <w:gridSpan w:val="2"/>
            <w:tcBorders>
              <w:top w:val="single" w:color="auto" w:sz="4" w:space="0"/>
              <w:left w:val="single" w:color="auto" w:sz="4" w:space="0"/>
              <w:bottom w:val="single" w:color="auto" w:sz="4" w:space="0"/>
              <w:right w:val="single" w:color="auto" w:sz="4" w:space="0"/>
            </w:tcBorders>
            <w:vAlign w:val="center"/>
          </w:tcPr>
          <w:p w14:paraId="057CF05D">
            <w:pPr>
              <w:wordWrap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投标文件承诺</w:t>
            </w:r>
          </w:p>
        </w:tc>
        <w:tc>
          <w:tcPr>
            <w:tcW w:w="1168" w:type="dxa"/>
            <w:vMerge w:val="restart"/>
            <w:tcBorders>
              <w:top w:val="single" w:color="auto" w:sz="4" w:space="0"/>
              <w:left w:val="single" w:color="auto" w:sz="4" w:space="0"/>
              <w:bottom w:val="single" w:color="auto" w:sz="4" w:space="0"/>
              <w:right w:val="single" w:color="auto" w:sz="4" w:space="0"/>
            </w:tcBorders>
            <w:vAlign w:val="center"/>
          </w:tcPr>
          <w:p w14:paraId="7BD8B93B">
            <w:pPr>
              <w:wordWrap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偏离说明</w:t>
            </w:r>
          </w:p>
        </w:tc>
      </w:tr>
      <w:tr w14:paraId="63822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634" w:type="dxa"/>
            <w:vMerge w:val="continue"/>
            <w:tcBorders>
              <w:top w:val="single" w:color="auto" w:sz="4" w:space="0"/>
              <w:left w:val="single" w:color="auto" w:sz="4" w:space="0"/>
              <w:bottom w:val="single" w:color="auto" w:sz="4" w:space="0"/>
              <w:right w:val="single" w:color="auto" w:sz="4" w:space="0"/>
            </w:tcBorders>
            <w:vAlign w:val="center"/>
          </w:tcPr>
          <w:p w14:paraId="7194E7DE">
            <w:pPr>
              <w:widowControl/>
              <w:wordWrap w:val="0"/>
              <w:spacing w:line="360" w:lineRule="auto"/>
              <w:jc w:val="left"/>
              <w:rPr>
                <w:rFonts w:hint="eastAsia" w:ascii="宋体" w:hAnsi="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7223C83C">
            <w:pPr>
              <w:wordWrap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服务名称</w:t>
            </w:r>
          </w:p>
        </w:tc>
        <w:tc>
          <w:tcPr>
            <w:tcW w:w="2310" w:type="dxa"/>
            <w:tcBorders>
              <w:top w:val="single" w:color="auto" w:sz="4" w:space="0"/>
              <w:left w:val="single" w:color="auto" w:sz="4" w:space="0"/>
              <w:bottom w:val="single" w:color="auto" w:sz="4" w:space="0"/>
              <w:right w:val="single" w:color="auto" w:sz="4" w:space="0"/>
            </w:tcBorders>
            <w:vAlign w:val="center"/>
          </w:tcPr>
          <w:p w14:paraId="07006D41">
            <w:pPr>
              <w:wordWrap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服务参数</w:t>
            </w:r>
          </w:p>
        </w:tc>
        <w:tc>
          <w:tcPr>
            <w:tcW w:w="1516" w:type="dxa"/>
            <w:tcBorders>
              <w:top w:val="single" w:color="auto" w:sz="4" w:space="0"/>
              <w:left w:val="single" w:color="auto" w:sz="4" w:space="0"/>
              <w:bottom w:val="single" w:color="auto" w:sz="4" w:space="0"/>
              <w:right w:val="single" w:color="auto" w:sz="4" w:space="0"/>
            </w:tcBorders>
            <w:vAlign w:val="center"/>
          </w:tcPr>
          <w:p w14:paraId="0243D69D">
            <w:pPr>
              <w:wordWrap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服务名称</w:t>
            </w:r>
          </w:p>
        </w:tc>
        <w:tc>
          <w:tcPr>
            <w:tcW w:w="3297" w:type="dxa"/>
            <w:tcBorders>
              <w:top w:val="single" w:color="auto" w:sz="4" w:space="0"/>
              <w:left w:val="single" w:color="auto" w:sz="4" w:space="0"/>
              <w:bottom w:val="single" w:color="auto" w:sz="4" w:space="0"/>
              <w:right w:val="single" w:color="auto" w:sz="4" w:space="0"/>
            </w:tcBorders>
            <w:vAlign w:val="center"/>
          </w:tcPr>
          <w:p w14:paraId="720BB1C1">
            <w:pPr>
              <w:wordWrap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所提供服务的内容</w:t>
            </w:r>
          </w:p>
        </w:tc>
        <w:tc>
          <w:tcPr>
            <w:tcW w:w="1168" w:type="dxa"/>
            <w:vMerge w:val="continue"/>
            <w:tcBorders>
              <w:top w:val="single" w:color="auto" w:sz="4" w:space="0"/>
              <w:left w:val="single" w:color="auto" w:sz="4" w:space="0"/>
              <w:bottom w:val="single" w:color="auto" w:sz="4" w:space="0"/>
              <w:right w:val="single" w:color="auto" w:sz="4" w:space="0"/>
            </w:tcBorders>
            <w:vAlign w:val="center"/>
          </w:tcPr>
          <w:p w14:paraId="479297D9">
            <w:pPr>
              <w:widowControl/>
              <w:wordWrap w:val="0"/>
              <w:spacing w:line="360" w:lineRule="auto"/>
              <w:jc w:val="left"/>
              <w:rPr>
                <w:rFonts w:hint="eastAsia" w:ascii="宋体" w:hAnsi="宋体" w:cs="宋体"/>
                <w:color w:val="auto"/>
                <w:sz w:val="24"/>
                <w:szCs w:val="24"/>
                <w:highlight w:val="none"/>
              </w:rPr>
            </w:pPr>
          </w:p>
        </w:tc>
      </w:tr>
      <w:tr w14:paraId="59754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vAlign w:val="center"/>
          </w:tcPr>
          <w:p w14:paraId="3B55ED65">
            <w:pPr>
              <w:wordWrap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w:t>
            </w:r>
          </w:p>
        </w:tc>
        <w:tc>
          <w:tcPr>
            <w:tcW w:w="1260" w:type="dxa"/>
            <w:tcBorders>
              <w:top w:val="single" w:color="auto" w:sz="4" w:space="0"/>
              <w:left w:val="single" w:color="auto" w:sz="4" w:space="0"/>
              <w:bottom w:val="single" w:color="auto" w:sz="4" w:space="0"/>
              <w:right w:val="single" w:color="auto" w:sz="4" w:space="0"/>
            </w:tcBorders>
            <w:vAlign w:val="center"/>
          </w:tcPr>
          <w:p w14:paraId="39C08864">
            <w:pPr>
              <w:wordWrap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w:t>
            </w:r>
          </w:p>
        </w:tc>
        <w:tc>
          <w:tcPr>
            <w:tcW w:w="2310" w:type="dxa"/>
            <w:tcBorders>
              <w:top w:val="single" w:color="auto" w:sz="4" w:space="0"/>
              <w:left w:val="single" w:color="auto" w:sz="4" w:space="0"/>
              <w:bottom w:val="single" w:color="auto" w:sz="4" w:space="0"/>
              <w:right w:val="single" w:color="auto" w:sz="4" w:space="0"/>
            </w:tcBorders>
            <w:vAlign w:val="center"/>
          </w:tcPr>
          <w:p w14:paraId="728EC20C">
            <w:pPr>
              <w:wordWrap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  ……</w:t>
            </w:r>
          </w:p>
          <w:p w14:paraId="2E04817B">
            <w:pPr>
              <w:wordWrap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  ……</w:t>
            </w:r>
          </w:p>
          <w:p w14:paraId="2A131307">
            <w:pPr>
              <w:wordWrap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3  ……</w:t>
            </w:r>
          </w:p>
          <w:p w14:paraId="21609DD5">
            <w:pPr>
              <w:wordWrap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w:t>
            </w:r>
          </w:p>
        </w:tc>
        <w:tc>
          <w:tcPr>
            <w:tcW w:w="1516" w:type="dxa"/>
            <w:tcBorders>
              <w:top w:val="single" w:color="auto" w:sz="4" w:space="0"/>
              <w:left w:val="single" w:color="auto" w:sz="4" w:space="0"/>
              <w:bottom w:val="single" w:color="auto" w:sz="4" w:space="0"/>
              <w:right w:val="single" w:color="auto" w:sz="4" w:space="0"/>
            </w:tcBorders>
            <w:vAlign w:val="center"/>
          </w:tcPr>
          <w:p w14:paraId="53533B88">
            <w:pPr>
              <w:wordWrap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w:t>
            </w:r>
          </w:p>
        </w:tc>
        <w:tc>
          <w:tcPr>
            <w:tcW w:w="3297" w:type="dxa"/>
            <w:tcBorders>
              <w:top w:val="single" w:color="auto" w:sz="4" w:space="0"/>
              <w:left w:val="single" w:color="auto" w:sz="4" w:space="0"/>
              <w:bottom w:val="single" w:color="auto" w:sz="4" w:space="0"/>
              <w:right w:val="single" w:color="auto" w:sz="4" w:space="0"/>
            </w:tcBorders>
            <w:vAlign w:val="center"/>
          </w:tcPr>
          <w:p w14:paraId="12DA5A8D">
            <w:pPr>
              <w:wordWrap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  ……</w:t>
            </w:r>
          </w:p>
          <w:p w14:paraId="78788D37">
            <w:pPr>
              <w:wordWrap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  ……</w:t>
            </w:r>
          </w:p>
          <w:p w14:paraId="1D196AB3">
            <w:pPr>
              <w:wordWrap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3  ……</w:t>
            </w:r>
          </w:p>
          <w:p w14:paraId="45525E3E">
            <w:pPr>
              <w:wordWrap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w:t>
            </w:r>
          </w:p>
        </w:tc>
        <w:tc>
          <w:tcPr>
            <w:tcW w:w="1168" w:type="dxa"/>
            <w:tcBorders>
              <w:top w:val="single" w:color="auto" w:sz="4" w:space="0"/>
              <w:left w:val="single" w:color="auto" w:sz="4" w:space="0"/>
              <w:bottom w:val="single" w:color="auto" w:sz="4" w:space="0"/>
              <w:right w:val="single" w:color="auto" w:sz="4" w:space="0"/>
            </w:tcBorders>
            <w:vAlign w:val="center"/>
          </w:tcPr>
          <w:p w14:paraId="1BA987B7">
            <w:pPr>
              <w:wordWrap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正偏离（负偏离或无偏离）</w:t>
            </w:r>
          </w:p>
        </w:tc>
      </w:tr>
      <w:tr w14:paraId="07696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vAlign w:val="center"/>
          </w:tcPr>
          <w:p w14:paraId="0556DAA3">
            <w:pPr>
              <w:wordWrap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w:t>
            </w:r>
          </w:p>
        </w:tc>
        <w:tc>
          <w:tcPr>
            <w:tcW w:w="1260" w:type="dxa"/>
            <w:tcBorders>
              <w:top w:val="single" w:color="auto" w:sz="4" w:space="0"/>
              <w:left w:val="single" w:color="auto" w:sz="4" w:space="0"/>
              <w:bottom w:val="single" w:color="auto" w:sz="4" w:space="0"/>
              <w:right w:val="single" w:color="auto" w:sz="4" w:space="0"/>
            </w:tcBorders>
            <w:vAlign w:val="center"/>
          </w:tcPr>
          <w:p w14:paraId="18A5D060">
            <w:pPr>
              <w:wordWrap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w:t>
            </w:r>
          </w:p>
        </w:tc>
        <w:tc>
          <w:tcPr>
            <w:tcW w:w="2310" w:type="dxa"/>
            <w:tcBorders>
              <w:top w:val="single" w:color="auto" w:sz="4" w:space="0"/>
              <w:left w:val="single" w:color="auto" w:sz="4" w:space="0"/>
              <w:bottom w:val="single" w:color="auto" w:sz="4" w:space="0"/>
              <w:right w:val="single" w:color="auto" w:sz="4" w:space="0"/>
            </w:tcBorders>
            <w:vAlign w:val="center"/>
          </w:tcPr>
          <w:p w14:paraId="1E27FACD">
            <w:pPr>
              <w:wordWrap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  ……</w:t>
            </w:r>
          </w:p>
          <w:p w14:paraId="142B4C2B">
            <w:pPr>
              <w:wordWrap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  ……</w:t>
            </w:r>
          </w:p>
          <w:p w14:paraId="7CF7D419">
            <w:pPr>
              <w:wordWrap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3  ……</w:t>
            </w:r>
          </w:p>
          <w:p w14:paraId="587A4563">
            <w:pPr>
              <w:wordWrap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w:t>
            </w:r>
          </w:p>
        </w:tc>
        <w:tc>
          <w:tcPr>
            <w:tcW w:w="1516" w:type="dxa"/>
            <w:tcBorders>
              <w:top w:val="single" w:color="auto" w:sz="4" w:space="0"/>
              <w:left w:val="single" w:color="auto" w:sz="4" w:space="0"/>
              <w:bottom w:val="single" w:color="auto" w:sz="4" w:space="0"/>
              <w:right w:val="single" w:color="auto" w:sz="4" w:space="0"/>
            </w:tcBorders>
            <w:vAlign w:val="center"/>
          </w:tcPr>
          <w:p w14:paraId="3BA60362">
            <w:pPr>
              <w:wordWrap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w:t>
            </w:r>
          </w:p>
        </w:tc>
        <w:tc>
          <w:tcPr>
            <w:tcW w:w="3297" w:type="dxa"/>
            <w:tcBorders>
              <w:top w:val="single" w:color="auto" w:sz="4" w:space="0"/>
              <w:left w:val="single" w:color="auto" w:sz="4" w:space="0"/>
              <w:bottom w:val="single" w:color="auto" w:sz="4" w:space="0"/>
              <w:right w:val="single" w:color="auto" w:sz="4" w:space="0"/>
            </w:tcBorders>
            <w:vAlign w:val="center"/>
          </w:tcPr>
          <w:p w14:paraId="64190F86">
            <w:pPr>
              <w:wordWrap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  ……</w:t>
            </w:r>
          </w:p>
          <w:p w14:paraId="1589CB37">
            <w:pPr>
              <w:wordWrap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  ……</w:t>
            </w:r>
          </w:p>
          <w:p w14:paraId="0DA1B277">
            <w:pPr>
              <w:wordWrap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3  ……</w:t>
            </w:r>
          </w:p>
          <w:p w14:paraId="19FA8920">
            <w:pPr>
              <w:wordWrap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w:t>
            </w:r>
          </w:p>
        </w:tc>
        <w:tc>
          <w:tcPr>
            <w:tcW w:w="1168" w:type="dxa"/>
            <w:tcBorders>
              <w:top w:val="single" w:color="auto" w:sz="4" w:space="0"/>
              <w:left w:val="single" w:color="auto" w:sz="4" w:space="0"/>
              <w:bottom w:val="single" w:color="auto" w:sz="4" w:space="0"/>
              <w:right w:val="single" w:color="auto" w:sz="4" w:space="0"/>
            </w:tcBorders>
            <w:vAlign w:val="center"/>
          </w:tcPr>
          <w:p w14:paraId="22C86BE9">
            <w:pPr>
              <w:wordWrap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正偏离（负偏离或无偏离）</w:t>
            </w:r>
          </w:p>
        </w:tc>
      </w:tr>
      <w:tr w14:paraId="12F71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vAlign w:val="center"/>
          </w:tcPr>
          <w:p w14:paraId="4FF02473">
            <w:pPr>
              <w:wordWrap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w:t>
            </w:r>
          </w:p>
        </w:tc>
        <w:tc>
          <w:tcPr>
            <w:tcW w:w="1260" w:type="dxa"/>
            <w:tcBorders>
              <w:top w:val="single" w:color="auto" w:sz="4" w:space="0"/>
              <w:left w:val="single" w:color="auto" w:sz="4" w:space="0"/>
              <w:bottom w:val="single" w:color="auto" w:sz="4" w:space="0"/>
              <w:right w:val="single" w:color="auto" w:sz="4" w:space="0"/>
            </w:tcBorders>
            <w:vAlign w:val="center"/>
          </w:tcPr>
          <w:p w14:paraId="603AA4CF">
            <w:pPr>
              <w:wordWrap w:val="0"/>
              <w:spacing w:line="360" w:lineRule="auto"/>
              <w:rPr>
                <w:rFonts w:hint="eastAsia" w:ascii="宋体" w:hAnsi="宋体" w:cs="宋体"/>
                <w:color w:val="auto"/>
                <w:sz w:val="24"/>
                <w:szCs w:val="24"/>
                <w:highlight w:val="none"/>
              </w:rPr>
            </w:pPr>
          </w:p>
        </w:tc>
        <w:tc>
          <w:tcPr>
            <w:tcW w:w="2310" w:type="dxa"/>
            <w:tcBorders>
              <w:top w:val="single" w:color="auto" w:sz="4" w:space="0"/>
              <w:left w:val="single" w:color="auto" w:sz="4" w:space="0"/>
              <w:bottom w:val="single" w:color="auto" w:sz="4" w:space="0"/>
              <w:right w:val="single" w:color="auto" w:sz="4" w:space="0"/>
            </w:tcBorders>
            <w:vAlign w:val="center"/>
          </w:tcPr>
          <w:p w14:paraId="283AF0D7">
            <w:pPr>
              <w:wordWrap w:val="0"/>
              <w:spacing w:line="360" w:lineRule="auto"/>
              <w:rPr>
                <w:rFonts w:hint="eastAsia" w:ascii="宋体" w:hAnsi="宋体" w:cs="宋体"/>
                <w:color w:val="auto"/>
                <w:sz w:val="24"/>
                <w:szCs w:val="24"/>
                <w:highlight w:val="none"/>
              </w:rPr>
            </w:pPr>
          </w:p>
        </w:tc>
        <w:tc>
          <w:tcPr>
            <w:tcW w:w="1516" w:type="dxa"/>
            <w:tcBorders>
              <w:top w:val="single" w:color="auto" w:sz="4" w:space="0"/>
              <w:left w:val="single" w:color="auto" w:sz="4" w:space="0"/>
              <w:bottom w:val="single" w:color="auto" w:sz="4" w:space="0"/>
              <w:right w:val="single" w:color="auto" w:sz="4" w:space="0"/>
            </w:tcBorders>
            <w:vAlign w:val="center"/>
          </w:tcPr>
          <w:p w14:paraId="5157C66E">
            <w:pPr>
              <w:wordWrap w:val="0"/>
              <w:spacing w:line="360" w:lineRule="auto"/>
              <w:rPr>
                <w:rFonts w:hint="eastAsia" w:ascii="宋体" w:hAnsi="宋体" w:cs="宋体"/>
                <w:color w:val="auto"/>
                <w:sz w:val="24"/>
                <w:szCs w:val="24"/>
                <w:highlight w:val="none"/>
              </w:rPr>
            </w:pPr>
          </w:p>
        </w:tc>
        <w:tc>
          <w:tcPr>
            <w:tcW w:w="3297" w:type="dxa"/>
            <w:tcBorders>
              <w:top w:val="single" w:color="auto" w:sz="4" w:space="0"/>
              <w:left w:val="single" w:color="auto" w:sz="4" w:space="0"/>
              <w:bottom w:val="single" w:color="auto" w:sz="4" w:space="0"/>
              <w:right w:val="single" w:color="auto" w:sz="4" w:space="0"/>
            </w:tcBorders>
            <w:vAlign w:val="center"/>
          </w:tcPr>
          <w:p w14:paraId="56DB3F6C">
            <w:pPr>
              <w:wordWrap w:val="0"/>
              <w:spacing w:line="360" w:lineRule="auto"/>
              <w:rPr>
                <w:rFonts w:hint="eastAsia" w:ascii="宋体" w:hAnsi="宋体" w:cs="宋体"/>
                <w:color w:val="auto"/>
                <w:sz w:val="24"/>
                <w:szCs w:val="24"/>
                <w:highlight w:val="none"/>
              </w:rPr>
            </w:pPr>
          </w:p>
        </w:tc>
        <w:tc>
          <w:tcPr>
            <w:tcW w:w="1168" w:type="dxa"/>
            <w:tcBorders>
              <w:top w:val="single" w:color="auto" w:sz="4" w:space="0"/>
              <w:left w:val="single" w:color="auto" w:sz="4" w:space="0"/>
              <w:bottom w:val="single" w:color="auto" w:sz="4" w:space="0"/>
              <w:right w:val="single" w:color="auto" w:sz="4" w:space="0"/>
            </w:tcBorders>
            <w:vAlign w:val="center"/>
          </w:tcPr>
          <w:p w14:paraId="261403C2">
            <w:pPr>
              <w:wordWrap w:val="0"/>
              <w:spacing w:line="360" w:lineRule="auto"/>
              <w:rPr>
                <w:rFonts w:hint="eastAsia" w:ascii="宋体" w:hAnsi="宋体" w:cs="宋体"/>
                <w:color w:val="auto"/>
                <w:sz w:val="24"/>
                <w:szCs w:val="24"/>
                <w:highlight w:val="none"/>
              </w:rPr>
            </w:pPr>
          </w:p>
        </w:tc>
      </w:tr>
      <w:tr w14:paraId="20E51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0185" w:type="dxa"/>
            <w:gridSpan w:val="6"/>
            <w:tcBorders>
              <w:top w:val="single" w:color="auto" w:sz="4" w:space="0"/>
              <w:left w:val="single" w:color="auto" w:sz="4" w:space="0"/>
              <w:bottom w:val="single" w:color="auto" w:sz="4" w:space="0"/>
              <w:right w:val="single" w:color="auto" w:sz="4" w:space="0"/>
            </w:tcBorders>
            <w:vAlign w:val="center"/>
          </w:tcPr>
          <w:p w14:paraId="3BA2AA8F">
            <w:pPr>
              <w:wordWrap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u w:val="single"/>
              </w:rPr>
              <w:t>　　</w:t>
            </w:r>
            <w:r>
              <w:rPr>
                <w:rFonts w:hint="eastAsia" w:ascii="宋体" w:hAnsi="宋体" w:cs="宋体"/>
                <w:color w:val="auto"/>
                <w:sz w:val="24"/>
                <w:szCs w:val="24"/>
                <w:highlight w:val="none"/>
              </w:rPr>
              <w:t>分标（此处有分标时填写具体分标号，无分标时填写“无”）</w:t>
            </w:r>
          </w:p>
        </w:tc>
      </w:tr>
    </w:tbl>
    <w:p w14:paraId="5BC74CB9">
      <w:pPr>
        <w:pStyle w:val="14"/>
        <w:wordWrap w:val="0"/>
        <w:spacing w:line="360" w:lineRule="auto"/>
        <w:rPr>
          <w:rFonts w:hint="eastAsia" w:hAnsi="宋体" w:cs="宋体"/>
          <w:color w:val="auto"/>
          <w:sz w:val="24"/>
          <w:szCs w:val="24"/>
          <w:highlight w:val="none"/>
        </w:rPr>
      </w:pPr>
      <w:r>
        <w:rPr>
          <w:rFonts w:hint="eastAsia" w:hAnsi="宋体" w:cs="宋体"/>
          <w:color w:val="auto"/>
          <w:sz w:val="24"/>
          <w:szCs w:val="24"/>
          <w:highlight w:val="none"/>
        </w:rPr>
        <w:t>注：</w:t>
      </w:r>
    </w:p>
    <w:p w14:paraId="59632601">
      <w:pPr>
        <w:pStyle w:val="14"/>
        <w:wordWrap w:val="0"/>
        <w:spacing w:line="360" w:lineRule="auto"/>
        <w:rPr>
          <w:rFonts w:hint="eastAsia" w:hAnsi="宋体" w:cs="宋体"/>
          <w:color w:val="auto"/>
          <w:sz w:val="24"/>
          <w:szCs w:val="24"/>
          <w:highlight w:val="none"/>
        </w:rPr>
      </w:pPr>
      <w:r>
        <w:rPr>
          <w:rFonts w:hint="eastAsia" w:hAnsi="宋体" w:cs="宋体"/>
          <w:color w:val="auto"/>
          <w:sz w:val="24"/>
          <w:szCs w:val="24"/>
          <w:highlight w:val="none"/>
        </w:rPr>
        <w:t>1.表格内容均需按要求填写并盖章，不得留空，</w:t>
      </w:r>
      <w:r>
        <w:rPr>
          <w:rFonts w:hint="eastAsia" w:hAnsi="宋体" w:cs="宋体"/>
          <w:bCs/>
          <w:color w:val="auto"/>
          <w:sz w:val="24"/>
          <w:szCs w:val="24"/>
          <w:highlight w:val="none"/>
        </w:rPr>
        <w:t>否则按投标无效处理</w:t>
      </w:r>
      <w:r>
        <w:rPr>
          <w:rFonts w:hint="eastAsia" w:hAnsi="宋体" w:cs="宋体"/>
          <w:color w:val="auto"/>
          <w:sz w:val="24"/>
          <w:szCs w:val="24"/>
          <w:highlight w:val="none"/>
        </w:rPr>
        <w:t>。</w:t>
      </w:r>
    </w:p>
    <w:p w14:paraId="5CF8A7D4">
      <w:pPr>
        <w:pStyle w:val="14"/>
        <w:wordWrap w:val="0"/>
        <w:spacing w:line="360" w:lineRule="auto"/>
        <w:rPr>
          <w:rFonts w:hint="eastAsia" w:hAnsi="宋体" w:cs="宋体"/>
          <w:color w:val="auto"/>
          <w:sz w:val="24"/>
          <w:szCs w:val="24"/>
          <w:highlight w:val="none"/>
        </w:rPr>
      </w:pPr>
      <w:r>
        <w:rPr>
          <w:rFonts w:hint="eastAsia" w:hAnsi="宋体" w:cs="宋体"/>
          <w:bCs/>
          <w:color w:val="auto"/>
          <w:sz w:val="24"/>
          <w:szCs w:val="24"/>
          <w:highlight w:val="none"/>
        </w:rPr>
        <w:t>2.当投标文件的服务内容低于招标文件要求时，投标人应当如实写明“负偏离”，否则视为虚假应标。</w:t>
      </w:r>
    </w:p>
    <w:p w14:paraId="7DE5243F">
      <w:pPr>
        <w:pStyle w:val="14"/>
        <w:wordWrap w:val="0"/>
        <w:spacing w:line="360" w:lineRule="auto"/>
        <w:rPr>
          <w:rFonts w:hint="eastAsia" w:hAnsi="宋体" w:cs="宋体"/>
          <w:color w:val="auto"/>
          <w:sz w:val="24"/>
          <w:szCs w:val="24"/>
          <w:highlight w:val="none"/>
        </w:rPr>
      </w:pPr>
      <w:r>
        <w:rPr>
          <w:rFonts w:hint="eastAsia" w:hAnsi="宋体" w:cs="宋体"/>
          <w:color w:val="auto"/>
          <w:sz w:val="24"/>
          <w:szCs w:val="24"/>
          <w:highlight w:val="none"/>
        </w:rPr>
        <w:t>3.采购需求中带“▲”及“★”的条款，也要分别在本表“服务参数”、“所提供服务的内容”中标记。</w:t>
      </w:r>
    </w:p>
    <w:p w14:paraId="20177A64">
      <w:pPr>
        <w:wordWrap w:val="0"/>
        <w:snapToGrid w:val="0"/>
        <w:spacing w:line="360" w:lineRule="auto"/>
        <w:ind w:firstLine="5640" w:firstLineChars="235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投标人名称(电子签章)：</w:t>
      </w:r>
    </w:p>
    <w:p w14:paraId="0A49276E">
      <w:pPr>
        <w:wordWrap w:val="0"/>
        <w:snapToGrid w:val="0"/>
        <w:spacing w:line="360" w:lineRule="auto"/>
        <w:ind w:firstLine="5160" w:firstLineChars="215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6F09D9C7">
      <w:pPr>
        <w:widowControl/>
        <w:wordWrap w:val="0"/>
        <w:spacing w:line="360" w:lineRule="auto"/>
        <w:jc w:val="left"/>
        <w:rPr>
          <w:rFonts w:hint="eastAsia" w:ascii="宋体" w:hAnsi="宋体" w:cs="宋体"/>
          <w:color w:val="auto"/>
          <w:sz w:val="30"/>
          <w:szCs w:val="20"/>
          <w:highlight w:val="none"/>
        </w:rPr>
        <w:sectPr>
          <w:pgSz w:w="11906" w:h="16838"/>
          <w:pgMar w:top="1440" w:right="1080" w:bottom="1440" w:left="1080" w:header="720" w:footer="720" w:gutter="0"/>
          <w:cols w:space="720" w:num="1"/>
          <w:docGrid w:type="lines" w:linePitch="331" w:charSpace="0"/>
        </w:sectPr>
      </w:pPr>
    </w:p>
    <w:p w14:paraId="6B9CBD46">
      <w:pPr>
        <w:wordWrap w:val="0"/>
        <w:snapToGrid w:val="0"/>
        <w:spacing w:line="360" w:lineRule="auto"/>
        <w:jc w:val="center"/>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t>二、组织服务方案（如有）</w:t>
      </w:r>
    </w:p>
    <w:p w14:paraId="4C8E5149">
      <w:pPr>
        <w:wordWrap w:val="0"/>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（由投标人根据采购需求及招标文件要求编制）</w:t>
      </w:r>
    </w:p>
    <w:p w14:paraId="7C480DD3">
      <w:pPr>
        <w:wordWrap w:val="0"/>
        <w:spacing w:line="360" w:lineRule="auto"/>
        <w:rPr>
          <w:rFonts w:hint="eastAsia" w:ascii="宋体" w:hAnsi="宋体" w:cs="宋体"/>
          <w:b/>
          <w:bCs/>
          <w:color w:val="auto"/>
          <w:kern w:val="0"/>
          <w:sz w:val="24"/>
          <w:highlight w:val="none"/>
          <w:lang w:val="zh-CN"/>
        </w:rPr>
      </w:pPr>
    </w:p>
    <w:p w14:paraId="0651F713">
      <w:pPr>
        <w:wordWrap w:val="0"/>
        <w:spacing w:line="360" w:lineRule="auto"/>
        <w:rPr>
          <w:rFonts w:hint="eastAsia" w:ascii="宋体" w:hAnsi="宋体" w:cs="宋体"/>
          <w:b/>
          <w:bCs/>
          <w:color w:val="auto"/>
          <w:kern w:val="0"/>
          <w:sz w:val="24"/>
          <w:highlight w:val="none"/>
          <w:lang w:val="zh-CN"/>
        </w:rPr>
      </w:pPr>
    </w:p>
    <w:p w14:paraId="61ACE233">
      <w:pPr>
        <w:wordWrap w:val="0"/>
        <w:spacing w:line="360" w:lineRule="auto"/>
        <w:rPr>
          <w:rFonts w:hint="eastAsia" w:ascii="宋体" w:hAnsi="宋体" w:cs="宋体"/>
          <w:b/>
          <w:bCs/>
          <w:color w:val="auto"/>
          <w:kern w:val="0"/>
          <w:sz w:val="24"/>
          <w:highlight w:val="none"/>
          <w:lang w:val="zh-CN"/>
        </w:rPr>
      </w:pPr>
    </w:p>
    <w:p w14:paraId="0B022C14">
      <w:pPr>
        <w:wordWrap w:val="0"/>
        <w:spacing w:line="360" w:lineRule="auto"/>
        <w:rPr>
          <w:rFonts w:hint="eastAsia" w:ascii="宋体" w:hAnsi="宋体" w:cs="宋体"/>
          <w:b/>
          <w:bCs/>
          <w:color w:val="auto"/>
          <w:kern w:val="0"/>
          <w:sz w:val="24"/>
          <w:highlight w:val="none"/>
          <w:lang w:val="zh-CN"/>
        </w:rPr>
      </w:pPr>
      <w:bookmarkStart w:id="287" w:name="_Toc78473822"/>
      <w:r>
        <w:rPr>
          <w:rFonts w:hint="eastAsia" w:ascii="宋体" w:hAnsi="宋体" w:cs="宋体"/>
          <w:b/>
          <w:bCs/>
          <w:color w:val="auto"/>
          <w:kern w:val="0"/>
          <w:sz w:val="24"/>
          <w:highlight w:val="none"/>
          <w:lang w:val="zh-CN"/>
        </w:rPr>
        <w:t>附表:项目实施进度计划表</w:t>
      </w:r>
      <w:r>
        <w:rPr>
          <w:rFonts w:hint="eastAsia" w:ascii="宋体" w:hAnsi="宋体" w:cs="宋体"/>
          <w:b/>
          <w:color w:val="auto"/>
          <w:sz w:val="24"/>
          <w:highlight w:val="none"/>
        </w:rPr>
        <w:t>(以生效日算起)</w:t>
      </w:r>
      <w:bookmarkEnd w:id="287"/>
      <w:r>
        <w:rPr>
          <w:rFonts w:hint="eastAsia" w:ascii="宋体" w:hAnsi="宋体" w:cs="宋体"/>
          <w:b/>
          <w:color w:val="auto"/>
          <w:sz w:val="24"/>
          <w:highlight w:val="none"/>
        </w:rPr>
        <w:t xml:space="preserve"> </w:t>
      </w:r>
    </w:p>
    <w:tbl>
      <w:tblPr>
        <w:tblStyle w:val="25"/>
        <w:tblW w:w="1003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552"/>
        <w:gridCol w:w="552"/>
        <w:gridCol w:w="552"/>
        <w:gridCol w:w="552"/>
        <w:gridCol w:w="552"/>
        <w:gridCol w:w="552"/>
        <w:gridCol w:w="553"/>
        <w:gridCol w:w="553"/>
        <w:gridCol w:w="553"/>
        <w:gridCol w:w="553"/>
        <w:gridCol w:w="553"/>
        <w:gridCol w:w="553"/>
        <w:gridCol w:w="553"/>
        <w:gridCol w:w="553"/>
        <w:gridCol w:w="553"/>
        <w:gridCol w:w="553"/>
      </w:tblGrid>
      <w:tr w14:paraId="32502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1188" w:type="dxa"/>
            <w:tcBorders>
              <w:top w:val="single" w:color="auto" w:sz="4" w:space="0"/>
              <w:left w:val="single" w:color="auto" w:sz="4" w:space="0"/>
              <w:bottom w:val="single" w:color="auto" w:sz="4" w:space="0"/>
              <w:right w:val="single" w:color="auto" w:sz="4" w:space="0"/>
            </w:tcBorders>
            <w:vAlign w:val="center"/>
          </w:tcPr>
          <w:p w14:paraId="3BD120C2">
            <w:pPr>
              <w:wordWrap w:val="0"/>
              <w:spacing w:line="360" w:lineRule="auto"/>
              <w:rPr>
                <w:rFonts w:hint="eastAsia" w:ascii="宋体" w:hAnsi="宋体" w:cs="宋体"/>
                <w:color w:val="auto"/>
                <w:sz w:val="24"/>
                <w:highlight w:val="none"/>
              </w:rPr>
            </w:pPr>
            <w:r>
              <w:rPr>
                <w:rFonts w:ascii="宋体" w:hAnsi="宋体" w:cs="宋体"/>
                <w:color w:val="auto"/>
                <w:highlight w:val="none"/>
              </w:rPr>
              <mc:AlternateContent>
                <mc:Choice Requires="wpg">
                  <w:drawing>
                    <wp:anchor distT="0" distB="0" distL="114300" distR="114300" simplePos="0" relativeHeight="251662336" behindDoc="0" locked="0" layoutInCell="1" allowOverlap="1">
                      <wp:simplePos x="0" y="0"/>
                      <wp:positionH relativeFrom="column">
                        <wp:posOffset>-65405</wp:posOffset>
                      </wp:positionH>
                      <wp:positionV relativeFrom="paragraph">
                        <wp:posOffset>0</wp:posOffset>
                      </wp:positionV>
                      <wp:extent cx="748030" cy="1181100"/>
                      <wp:effectExtent l="3810" t="2540" r="10160" b="16510"/>
                      <wp:wrapNone/>
                      <wp:docPr id="10" name="组合 10"/>
                      <wp:cNvGraphicFramePr/>
                      <a:graphic xmlns:a="http://schemas.openxmlformats.org/drawingml/2006/main">
                        <a:graphicData uri="http://schemas.microsoft.com/office/word/2010/wordprocessingGroup">
                          <wpg:wgp>
                            <wpg:cNvGrpSpPr/>
                            <wpg:grpSpPr>
                              <a:xfrm>
                                <a:off x="0" y="0"/>
                                <a:ext cx="748030" cy="1181100"/>
                                <a:chOff x="0" y="0"/>
                                <a:chExt cx="1178" cy="1860"/>
                              </a:xfrm>
                              <a:effectLst/>
                            </wpg:grpSpPr>
                            <wps:wsp>
                              <wps:cNvPr id="11" name="__TH_L2"/>
                              <wps:cNvCnPr/>
                              <wps:spPr bwMode="auto">
                                <a:xfrm>
                                  <a:off x="0" y="0"/>
                                  <a:ext cx="1178" cy="1860"/>
                                </a:xfrm>
                                <a:prstGeom prst="line">
                                  <a:avLst/>
                                </a:prstGeom>
                                <a:noFill/>
                                <a:ln w="6350">
                                  <a:solidFill>
                                    <a:srgbClr val="000000"/>
                                  </a:solidFill>
                                  <a:round/>
                                </a:ln>
                                <a:effectLst/>
                              </wps:spPr>
                              <wps:bodyPr/>
                            </wps:wsp>
                            <wps:wsp>
                              <wps:cNvPr id="12" name="__TH_B113"/>
                              <wps:cNvSpPr txBox="1">
                                <a:spLocks noChangeArrowheads="1"/>
                              </wps:cNvSpPr>
                              <wps:spPr bwMode="auto">
                                <a:xfrm>
                                  <a:off x="455" y="122"/>
                                  <a:ext cx="253" cy="263"/>
                                </a:xfrm>
                                <a:prstGeom prst="rect">
                                  <a:avLst/>
                                </a:prstGeom>
                                <a:noFill/>
                                <a:ln>
                                  <a:noFill/>
                                </a:ln>
                                <a:effectLst/>
                              </wps:spPr>
                              <wps:txbx>
                                <w:txbxContent>
                                  <w:p w14:paraId="1064C389">
                                    <w:pPr>
                                      <w:snapToGrid w:val="0"/>
                                    </w:pPr>
                                    <w:r>
                                      <w:rPr>
                                        <w:rFonts w:hint="eastAsia"/>
                                      </w:rPr>
                                      <w:t>工</w:t>
                                    </w:r>
                                  </w:p>
                                </w:txbxContent>
                              </wps:txbx>
                              <wps:bodyPr rot="0" vert="horz" wrap="square" lIns="0" tIns="0" rIns="0" bIns="0" anchor="t" anchorCtr="0" upright="1">
                                <a:noAutofit/>
                              </wps:bodyPr>
                            </wps:wsp>
                            <wps:wsp>
                              <wps:cNvPr id="13" name="__TH_B124"/>
                              <wps:cNvSpPr txBox="1">
                                <a:spLocks noChangeArrowheads="1"/>
                              </wps:cNvSpPr>
                              <wps:spPr bwMode="auto">
                                <a:xfrm>
                                  <a:off x="643" y="419"/>
                                  <a:ext cx="253" cy="263"/>
                                </a:xfrm>
                                <a:prstGeom prst="rect">
                                  <a:avLst/>
                                </a:prstGeom>
                                <a:noFill/>
                                <a:ln>
                                  <a:noFill/>
                                </a:ln>
                                <a:effectLst/>
                              </wps:spPr>
                              <wps:txbx>
                                <w:txbxContent>
                                  <w:p w14:paraId="06D7C383">
                                    <w:pPr>
                                      <w:snapToGrid w:val="0"/>
                                    </w:pPr>
                                    <w:r>
                                      <w:rPr>
                                        <w:rFonts w:hint="eastAsia"/>
                                      </w:rPr>
                                      <w:t>作</w:t>
                                    </w:r>
                                  </w:p>
                                </w:txbxContent>
                              </wps:txbx>
                              <wps:bodyPr rot="0" vert="horz" wrap="square" lIns="0" tIns="0" rIns="0" bIns="0" anchor="t" anchorCtr="0" upright="1">
                                <a:noAutofit/>
                              </wps:bodyPr>
                            </wps:wsp>
                            <wps:wsp>
                              <wps:cNvPr id="14" name="__TH_B135"/>
                              <wps:cNvSpPr txBox="1">
                                <a:spLocks noChangeArrowheads="1"/>
                              </wps:cNvSpPr>
                              <wps:spPr bwMode="auto">
                                <a:xfrm>
                                  <a:off x="831" y="717"/>
                                  <a:ext cx="253" cy="262"/>
                                </a:xfrm>
                                <a:prstGeom prst="rect">
                                  <a:avLst/>
                                </a:prstGeom>
                                <a:noFill/>
                                <a:ln>
                                  <a:noFill/>
                                </a:ln>
                                <a:effectLst/>
                              </wps:spPr>
                              <wps:txbx>
                                <w:txbxContent>
                                  <w:p w14:paraId="3515B146">
                                    <w:pPr>
                                      <w:snapToGrid w:val="0"/>
                                    </w:pPr>
                                    <w:r>
                                      <w:rPr>
                                        <w:rFonts w:hint="eastAsia"/>
                                      </w:rPr>
                                      <w:t>日</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5.15pt;margin-top:0pt;height:93pt;width:58.9pt;z-index:251662336;mso-width-relative:page;mso-height-relative:page;" coordsize="1178,1860" o:gfxdata="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">
                      <o:lock v:ext="edit" aspectratio="f"/>
                      <v:line id="__TH_L2" o:spid="_x0000_s1026" o:spt="20" style="position:absolute;left:0;top:0;height:1860;width:1178;" filled="f" stroked="t" coordsize="21600,21600" o:gfxdata="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h9fiCLgAAADbAAAA&#10;DwAAAAAAAAABACAAAAAiAAAAZHJzL2Rvd25yZXYueG1sUEsBAhQAFAAAAAgAh07iQDMvBZ47AAAA&#10;OQAAABAAAAAAAAAAAQAgAAAABwEAAGRycy9zaGFwZXhtbC54bWxQSwUGAAAAAAYABgBbAQAAsQMA&#10;AAAA&#10;">
                        <v:fill on="f" focussize="0,0"/>
                        <v:stroke weight="0.5pt" color="#000000" joinstyle="round"/>
                        <v:imagedata o:title=""/>
                        <o:lock v:ext="edit" aspectratio="f"/>
                      </v:line>
                      <v:shape id="__TH_B113" o:spid="_x0000_s1026" o:spt="202" type="#_x0000_t202" style="position:absolute;left:455;top:122;height:263;width:253;"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1064C389">
                              <w:pPr>
                                <w:snapToGrid w:val="0"/>
                              </w:pPr>
                              <w:r>
                                <w:rPr>
                                  <w:rFonts w:hint="eastAsia"/>
                                </w:rPr>
                                <w:t>工</w:t>
                              </w:r>
                            </w:p>
                          </w:txbxContent>
                        </v:textbox>
                      </v:shape>
                      <v:shape id="__TH_B124" o:spid="_x0000_s1026" o:spt="202" type="#_x0000_t202" style="position:absolute;left:643;top:419;height:263;width:253;" filled="f" stroked="f" coordsize="21600,21600" o:gfxdata="UEsDBAoAAAAAAIdO4kAAAAAAAAAAAAAAAAAEAAAAZHJzL1BLAwQUAAAACACHTuJA+thvz7wAAADb&#10;AAAADwAAAGRycy9kb3ducmV2LnhtbEVP32vCMBB+F/Y/hBv4pokT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rYb8+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06D7C383">
                              <w:pPr>
                                <w:snapToGrid w:val="0"/>
                              </w:pPr>
                              <w:r>
                                <w:rPr>
                                  <w:rFonts w:hint="eastAsia"/>
                                </w:rPr>
                                <w:t>作</w:t>
                              </w:r>
                            </w:p>
                          </w:txbxContent>
                        </v:textbox>
                      </v:shape>
                      <v:shape id="__TH_B135" o:spid="_x0000_s1026" o:spt="202" type="#_x0000_t202" style="position:absolute;left:831;top:717;height:262;width:253;" filled="f" stroked="f" coordsize="21600,21600" o:gfxdata="UEsDBAoAAAAAAIdO4kAAAAAAAAAAAAAAAAAEAAAAZHJzL1BLAwQUAAAACACHTuJAdTH3u7wAAADb&#10;AAAADwAAAGRycy9kb3ducmV2LnhtbEVP32vCMBB+F/Y/hBv4polD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Ux97u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3515B146">
                              <w:pPr>
                                <w:snapToGrid w:val="0"/>
                              </w:pPr>
                              <w:r>
                                <w:rPr>
                                  <w:rFonts w:hint="eastAsia"/>
                                </w:rPr>
                                <w:t>日</w:t>
                              </w:r>
                            </w:p>
                          </w:txbxContent>
                        </v:textbox>
                      </v:shape>
                    </v:group>
                  </w:pict>
                </mc:Fallback>
              </mc:AlternateContent>
            </w:r>
          </w:p>
          <w:p w14:paraId="1033AA14">
            <w:pPr>
              <w:wordWrap w:val="0"/>
              <w:spacing w:line="360" w:lineRule="auto"/>
              <w:rPr>
                <w:rFonts w:hint="eastAsia" w:ascii="宋体" w:hAnsi="宋体" w:cs="宋体"/>
                <w:color w:val="auto"/>
                <w:sz w:val="24"/>
                <w:highlight w:val="none"/>
              </w:rPr>
            </w:pPr>
          </w:p>
          <w:p w14:paraId="7C8B4ABA">
            <w:pPr>
              <w:wordWrap w:val="0"/>
              <w:spacing w:line="360" w:lineRule="auto"/>
              <w:rPr>
                <w:rFonts w:hint="eastAsia" w:ascii="宋体" w:hAnsi="宋体" w:cs="宋体"/>
                <w:color w:val="auto"/>
                <w:sz w:val="24"/>
                <w:highlight w:val="none"/>
              </w:rPr>
            </w:pPr>
          </w:p>
          <w:p w14:paraId="438F8B92">
            <w:pPr>
              <w:wordWrap w:val="0"/>
              <w:spacing w:line="360" w:lineRule="auto"/>
              <w:rPr>
                <w:rFonts w:hint="eastAsia" w:ascii="宋体" w:hAnsi="宋体" w:cs="宋体"/>
                <w:color w:val="auto"/>
                <w:sz w:val="24"/>
                <w:highlight w:val="none"/>
              </w:rPr>
            </w:pPr>
            <w:r>
              <w:rPr>
                <w:rFonts w:hint="eastAsia" w:ascii="宋体" w:hAnsi="宋体" w:cs="宋体"/>
                <w:color w:val="auto"/>
                <w:sz w:val="24"/>
                <w:highlight w:val="none"/>
              </w:rPr>
              <w:t>内容</w:t>
            </w:r>
          </w:p>
        </w:tc>
        <w:tc>
          <w:tcPr>
            <w:tcW w:w="552" w:type="dxa"/>
            <w:tcBorders>
              <w:top w:val="single" w:color="auto" w:sz="4" w:space="0"/>
              <w:left w:val="single" w:color="auto" w:sz="4" w:space="0"/>
              <w:bottom w:val="single" w:color="auto" w:sz="4" w:space="0"/>
              <w:right w:val="single" w:color="auto" w:sz="4" w:space="0"/>
            </w:tcBorders>
            <w:vAlign w:val="center"/>
          </w:tcPr>
          <w:p w14:paraId="799D333C">
            <w:pPr>
              <w:wordWrap w:val="0"/>
              <w:spacing w:line="360" w:lineRule="auto"/>
              <w:rPr>
                <w:rFonts w:hint="eastAsia" w:ascii="宋体" w:hAnsi="宋体" w:cs="宋体"/>
                <w:color w:val="auto"/>
                <w:sz w:val="24"/>
                <w:highlight w:val="none"/>
              </w:rPr>
            </w:pPr>
            <w:r>
              <w:rPr>
                <w:rFonts w:hint="eastAsia" w:ascii="宋体" w:hAnsi="宋体" w:cs="宋体"/>
                <w:color w:val="auto"/>
                <w:sz w:val="24"/>
                <w:highlight w:val="none"/>
              </w:rPr>
              <w:t>1</w:t>
            </w:r>
          </w:p>
        </w:tc>
        <w:tc>
          <w:tcPr>
            <w:tcW w:w="552" w:type="dxa"/>
            <w:tcBorders>
              <w:top w:val="single" w:color="auto" w:sz="4" w:space="0"/>
              <w:left w:val="single" w:color="auto" w:sz="4" w:space="0"/>
              <w:bottom w:val="single" w:color="auto" w:sz="4" w:space="0"/>
              <w:right w:val="single" w:color="auto" w:sz="4" w:space="0"/>
            </w:tcBorders>
            <w:vAlign w:val="center"/>
          </w:tcPr>
          <w:p w14:paraId="3F276DAF">
            <w:pPr>
              <w:wordWrap w:val="0"/>
              <w:spacing w:line="360" w:lineRule="auto"/>
              <w:rPr>
                <w:rFonts w:hint="eastAsia" w:ascii="宋体" w:hAnsi="宋体" w:cs="宋体"/>
                <w:color w:val="auto"/>
                <w:sz w:val="24"/>
                <w:highlight w:val="none"/>
              </w:rPr>
            </w:pPr>
            <w:r>
              <w:rPr>
                <w:rFonts w:hint="eastAsia" w:ascii="宋体" w:hAnsi="宋体" w:cs="宋体"/>
                <w:color w:val="auto"/>
                <w:sz w:val="24"/>
                <w:highlight w:val="none"/>
              </w:rPr>
              <w:t>2</w:t>
            </w:r>
          </w:p>
        </w:tc>
        <w:tc>
          <w:tcPr>
            <w:tcW w:w="552" w:type="dxa"/>
            <w:tcBorders>
              <w:top w:val="single" w:color="auto" w:sz="4" w:space="0"/>
              <w:left w:val="single" w:color="auto" w:sz="4" w:space="0"/>
              <w:bottom w:val="single" w:color="auto" w:sz="4" w:space="0"/>
              <w:right w:val="single" w:color="auto" w:sz="4" w:space="0"/>
            </w:tcBorders>
            <w:vAlign w:val="center"/>
          </w:tcPr>
          <w:p w14:paraId="3B98B9A8">
            <w:pPr>
              <w:wordWrap w:val="0"/>
              <w:spacing w:line="360" w:lineRule="auto"/>
              <w:rPr>
                <w:rFonts w:hint="eastAsia" w:ascii="宋体" w:hAnsi="宋体" w:cs="宋体"/>
                <w:color w:val="auto"/>
                <w:sz w:val="24"/>
                <w:highlight w:val="none"/>
              </w:rPr>
            </w:pPr>
            <w:r>
              <w:rPr>
                <w:rFonts w:hint="eastAsia" w:ascii="宋体" w:hAnsi="宋体" w:cs="宋体"/>
                <w:color w:val="auto"/>
                <w:sz w:val="24"/>
                <w:highlight w:val="none"/>
              </w:rPr>
              <w:t>3</w:t>
            </w:r>
          </w:p>
        </w:tc>
        <w:tc>
          <w:tcPr>
            <w:tcW w:w="552" w:type="dxa"/>
            <w:tcBorders>
              <w:top w:val="single" w:color="auto" w:sz="4" w:space="0"/>
              <w:left w:val="single" w:color="auto" w:sz="4" w:space="0"/>
              <w:bottom w:val="single" w:color="auto" w:sz="4" w:space="0"/>
              <w:right w:val="single" w:color="auto" w:sz="4" w:space="0"/>
            </w:tcBorders>
            <w:vAlign w:val="center"/>
          </w:tcPr>
          <w:p w14:paraId="4A8CEC11">
            <w:pPr>
              <w:wordWrap w:val="0"/>
              <w:spacing w:line="360" w:lineRule="auto"/>
              <w:rPr>
                <w:rFonts w:hint="eastAsia" w:ascii="宋体" w:hAnsi="宋体" w:cs="宋体"/>
                <w:color w:val="auto"/>
                <w:sz w:val="24"/>
                <w:highlight w:val="none"/>
              </w:rPr>
            </w:pPr>
            <w:r>
              <w:rPr>
                <w:rFonts w:hint="eastAsia" w:ascii="宋体" w:hAnsi="宋体" w:cs="宋体"/>
                <w:color w:val="auto"/>
                <w:sz w:val="24"/>
                <w:highlight w:val="none"/>
              </w:rPr>
              <w:t>4</w:t>
            </w:r>
          </w:p>
        </w:tc>
        <w:tc>
          <w:tcPr>
            <w:tcW w:w="552" w:type="dxa"/>
            <w:tcBorders>
              <w:top w:val="single" w:color="auto" w:sz="4" w:space="0"/>
              <w:left w:val="single" w:color="auto" w:sz="4" w:space="0"/>
              <w:bottom w:val="single" w:color="auto" w:sz="4" w:space="0"/>
              <w:right w:val="single" w:color="auto" w:sz="4" w:space="0"/>
            </w:tcBorders>
            <w:vAlign w:val="center"/>
          </w:tcPr>
          <w:p w14:paraId="4334BDF7">
            <w:pPr>
              <w:wordWrap w:val="0"/>
              <w:spacing w:line="360" w:lineRule="auto"/>
              <w:rPr>
                <w:rFonts w:hint="eastAsia" w:ascii="宋体" w:hAnsi="宋体" w:cs="宋体"/>
                <w:color w:val="auto"/>
                <w:sz w:val="24"/>
                <w:highlight w:val="none"/>
              </w:rPr>
            </w:pPr>
            <w:r>
              <w:rPr>
                <w:rFonts w:hint="eastAsia" w:ascii="宋体" w:hAnsi="宋体" w:cs="宋体"/>
                <w:color w:val="auto"/>
                <w:sz w:val="24"/>
                <w:highlight w:val="none"/>
              </w:rPr>
              <w:t>5</w:t>
            </w:r>
          </w:p>
        </w:tc>
        <w:tc>
          <w:tcPr>
            <w:tcW w:w="552" w:type="dxa"/>
            <w:tcBorders>
              <w:top w:val="single" w:color="auto" w:sz="4" w:space="0"/>
              <w:left w:val="single" w:color="auto" w:sz="4" w:space="0"/>
              <w:bottom w:val="single" w:color="auto" w:sz="4" w:space="0"/>
              <w:right w:val="single" w:color="auto" w:sz="4" w:space="0"/>
            </w:tcBorders>
            <w:vAlign w:val="center"/>
          </w:tcPr>
          <w:p w14:paraId="3ABB8EAA">
            <w:pPr>
              <w:wordWrap w:val="0"/>
              <w:spacing w:line="360" w:lineRule="auto"/>
              <w:rPr>
                <w:rFonts w:hint="eastAsia" w:ascii="宋体" w:hAnsi="宋体" w:cs="宋体"/>
                <w:color w:val="auto"/>
                <w:sz w:val="24"/>
                <w:highlight w:val="none"/>
              </w:rPr>
            </w:pPr>
            <w:r>
              <w:rPr>
                <w:rFonts w:hint="eastAsia" w:ascii="宋体" w:hAnsi="宋体" w:cs="宋体"/>
                <w:color w:val="auto"/>
                <w:sz w:val="24"/>
                <w:highlight w:val="none"/>
              </w:rPr>
              <w:t>6</w:t>
            </w:r>
          </w:p>
        </w:tc>
        <w:tc>
          <w:tcPr>
            <w:tcW w:w="553" w:type="dxa"/>
            <w:tcBorders>
              <w:top w:val="single" w:color="auto" w:sz="4" w:space="0"/>
              <w:left w:val="single" w:color="auto" w:sz="4" w:space="0"/>
              <w:bottom w:val="single" w:color="auto" w:sz="4" w:space="0"/>
              <w:right w:val="single" w:color="auto" w:sz="4" w:space="0"/>
            </w:tcBorders>
            <w:vAlign w:val="center"/>
          </w:tcPr>
          <w:p w14:paraId="41B1BEE9">
            <w:pPr>
              <w:wordWrap w:val="0"/>
              <w:spacing w:line="360" w:lineRule="auto"/>
              <w:rPr>
                <w:rFonts w:hint="eastAsia" w:ascii="宋体" w:hAnsi="宋体" w:cs="宋体"/>
                <w:color w:val="auto"/>
                <w:sz w:val="24"/>
                <w:highlight w:val="none"/>
              </w:rPr>
            </w:pPr>
            <w:r>
              <w:rPr>
                <w:rFonts w:hint="eastAsia" w:ascii="宋体" w:hAnsi="宋体" w:cs="宋体"/>
                <w:color w:val="auto"/>
                <w:sz w:val="24"/>
                <w:highlight w:val="none"/>
              </w:rPr>
              <w:t>7</w:t>
            </w:r>
          </w:p>
        </w:tc>
        <w:tc>
          <w:tcPr>
            <w:tcW w:w="553" w:type="dxa"/>
            <w:tcBorders>
              <w:top w:val="single" w:color="auto" w:sz="4" w:space="0"/>
              <w:left w:val="single" w:color="auto" w:sz="4" w:space="0"/>
              <w:bottom w:val="single" w:color="auto" w:sz="4" w:space="0"/>
              <w:right w:val="single" w:color="auto" w:sz="4" w:space="0"/>
            </w:tcBorders>
            <w:vAlign w:val="center"/>
          </w:tcPr>
          <w:p w14:paraId="472C09CE">
            <w:pPr>
              <w:wordWrap w:val="0"/>
              <w:spacing w:line="360" w:lineRule="auto"/>
              <w:rPr>
                <w:rFonts w:hint="eastAsia" w:ascii="宋体" w:hAnsi="宋体" w:cs="宋体"/>
                <w:color w:val="auto"/>
                <w:sz w:val="24"/>
                <w:highlight w:val="none"/>
              </w:rPr>
            </w:pPr>
            <w:r>
              <w:rPr>
                <w:rFonts w:hint="eastAsia" w:ascii="宋体" w:hAnsi="宋体" w:cs="宋体"/>
                <w:color w:val="auto"/>
                <w:sz w:val="24"/>
                <w:highlight w:val="none"/>
              </w:rPr>
              <w:t>8</w:t>
            </w:r>
          </w:p>
        </w:tc>
        <w:tc>
          <w:tcPr>
            <w:tcW w:w="553" w:type="dxa"/>
            <w:tcBorders>
              <w:top w:val="single" w:color="auto" w:sz="4" w:space="0"/>
              <w:left w:val="single" w:color="auto" w:sz="4" w:space="0"/>
              <w:bottom w:val="single" w:color="auto" w:sz="4" w:space="0"/>
              <w:right w:val="single" w:color="auto" w:sz="4" w:space="0"/>
            </w:tcBorders>
            <w:vAlign w:val="center"/>
          </w:tcPr>
          <w:p w14:paraId="0E575A7B">
            <w:pPr>
              <w:wordWrap w:val="0"/>
              <w:spacing w:line="360" w:lineRule="auto"/>
              <w:rPr>
                <w:rFonts w:hint="eastAsia" w:ascii="宋体" w:hAnsi="宋体" w:cs="宋体"/>
                <w:color w:val="auto"/>
                <w:sz w:val="24"/>
                <w:highlight w:val="none"/>
              </w:rPr>
            </w:pPr>
            <w:r>
              <w:rPr>
                <w:rFonts w:hint="eastAsia" w:ascii="宋体" w:hAnsi="宋体" w:cs="宋体"/>
                <w:color w:val="auto"/>
                <w:sz w:val="24"/>
                <w:highlight w:val="none"/>
              </w:rPr>
              <w:t>9</w:t>
            </w:r>
          </w:p>
        </w:tc>
        <w:tc>
          <w:tcPr>
            <w:tcW w:w="553" w:type="dxa"/>
            <w:tcBorders>
              <w:top w:val="single" w:color="auto" w:sz="4" w:space="0"/>
              <w:left w:val="single" w:color="auto" w:sz="4" w:space="0"/>
              <w:bottom w:val="single" w:color="auto" w:sz="4" w:space="0"/>
              <w:right w:val="single" w:color="auto" w:sz="4" w:space="0"/>
            </w:tcBorders>
            <w:vAlign w:val="center"/>
          </w:tcPr>
          <w:p w14:paraId="76CC0AE9">
            <w:pPr>
              <w:wordWrap w:val="0"/>
              <w:spacing w:line="360" w:lineRule="auto"/>
              <w:rPr>
                <w:rFonts w:hint="eastAsia" w:ascii="宋体" w:hAnsi="宋体" w:cs="宋体"/>
                <w:color w:val="auto"/>
                <w:sz w:val="24"/>
                <w:highlight w:val="none"/>
              </w:rPr>
            </w:pPr>
            <w:r>
              <w:rPr>
                <w:rFonts w:hint="eastAsia" w:ascii="宋体" w:hAnsi="宋体" w:cs="宋体"/>
                <w:color w:val="auto"/>
                <w:sz w:val="24"/>
                <w:highlight w:val="none"/>
              </w:rPr>
              <w:t>10</w:t>
            </w:r>
          </w:p>
        </w:tc>
        <w:tc>
          <w:tcPr>
            <w:tcW w:w="553" w:type="dxa"/>
            <w:tcBorders>
              <w:top w:val="single" w:color="auto" w:sz="4" w:space="0"/>
              <w:left w:val="single" w:color="auto" w:sz="4" w:space="0"/>
              <w:bottom w:val="single" w:color="auto" w:sz="4" w:space="0"/>
              <w:right w:val="single" w:color="auto" w:sz="4" w:space="0"/>
            </w:tcBorders>
            <w:vAlign w:val="center"/>
          </w:tcPr>
          <w:p w14:paraId="3B2320C4">
            <w:pPr>
              <w:wordWrap w:val="0"/>
              <w:spacing w:line="360" w:lineRule="auto"/>
              <w:rPr>
                <w:rFonts w:hint="eastAsia" w:ascii="宋体" w:hAnsi="宋体" w:cs="宋体"/>
                <w:color w:val="auto"/>
                <w:sz w:val="24"/>
                <w:highlight w:val="none"/>
              </w:rPr>
            </w:pPr>
            <w:r>
              <w:rPr>
                <w:rFonts w:hint="eastAsia" w:ascii="宋体" w:hAnsi="宋体" w:cs="宋体"/>
                <w:color w:val="auto"/>
                <w:sz w:val="24"/>
                <w:highlight w:val="none"/>
              </w:rPr>
              <w:t>11</w:t>
            </w:r>
          </w:p>
        </w:tc>
        <w:tc>
          <w:tcPr>
            <w:tcW w:w="553" w:type="dxa"/>
            <w:tcBorders>
              <w:top w:val="single" w:color="auto" w:sz="4" w:space="0"/>
              <w:left w:val="single" w:color="auto" w:sz="4" w:space="0"/>
              <w:bottom w:val="single" w:color="auto" w:sz="4" w:space="0"/>
              <w:right w:val="single" w:color="auto" w:sz="4" w:space="0"/>
            </w:tcBorders>
            <w:vAlign w:val="center"/>
          </w:tcPr>
          <w:p w14:paraId="66D5CE7F">
            <w:pPr>
              <w:wordWrap w:val="0"/>
              <w:spacing w:line="360" w:lineRule="auto"/>
              <w:rPr>
                <w:rFonts w:hint="eastAsia" w:ascii="宋体" w:hAnsi="宋体" w:cs="宋体"/>
                <w:color w:val="auto"/>
                <w:sz w:val="24"/>
                <w:highlight w:val="none"/>
              </w:rPr>
            </w:pPr>
            <w:r>
              <w:rPr>
                <w:rFonts w:hint="eastAsia" w:ascii="宋体" w:hAnsi="宋体" w:cs="宋体"/>
                <w:color w:val="auto"/>
                <w:sz w:val="24"/>
                <w:highlight w:val="none"/>
              </w:rPr>
              <w:t>12</w:t>
            </w:r>
          </w:p>
        </w:tc>
        <w:tc>
          <w:tcPr>
            <w:tcW w:w="553" w:type="dxa"/>
            <w:tcBorders>
              <w:top w:val="single" w:color="auto" w:sz="4" w:space="0"/>
              <w:left w:val="single" w:color="auto" w:sz="4" w:space="0"/>
              <w:bottom w:val="single" w:color="auto" w:sz="4" w:space="0"/>
              <w:right w:val="single" w:color="auto" w:sz="4" w:space="0"/>
            </w:tcBorders>
            <w:vAlign w:val="center"/>
          </w:tcPr>
          <w:p w14:paraId="5D3C3D19">
            <w:pPr>
              <w:wordWrap w:val="0"/>
              <w:spacing w:line="360" w:lineRule="auto"/>
              <w:rPr>
                <w:rFonts w:hint="eastAsia" w:ascii="宋体" w:hAnsi="宋体" w:cs="宋体"/>
                <w:color w:val="auto"/>
                <w:sz w:val="24"/>
                <w:highlight w:val="none"/>
              </w:rPr>
            </w:pPr>
            <w:r>
              <w:rPr>
                <w:rFonts w:hint="eastAsia" w:ascii="宋体" w:hAnsi="宋体" w:cs="宋体"/>
                <w:color w:val="auto"/>
                <w:sz w:val="24"/>
                <w:highlight w:val="none"/>
              </w:rPr>
              <w:t>13</w:t>
            </w:r>
          </w:p>
        </w:tc>
        <w:tc>
          <w:tcPr>
            <w:tcW w:w="553" w:type="dxa"/>
            <w:tcBorders>
              <w:top w:val="single" w:color="auto" w:sz="4" w:space="0"/>
              <w:left w:val="single" w:color="auto" w:sz="4" w:space="0"/>
              <w:bottom w:val="single" w:color="auto" w:sz="4" w:space="0"/>
              <w:right w:val="single" w:color="auto" w:sz="4" w:space="0"/>
            </w:tcBorders>
            <w:vAlign w:val="center"/>
          </w:tcPr>
          <w:p w14:paraId="74EFC64C">
            <w:pPr>
              <w:wordWrap w:val="0"/>
              <w:spacing w:line="360" w:lineRule="auto"/>
              <w:rPr>
                <w:rFonts w:hint="eastAsia" w:ascii="宋体" w:hAnsi="宋体" w:cs="宋体"/>
                <w:color w:val="auto"/>
                <w:sz w:val="24"/>
                <w:highlight w:val="none"/>
              </w:rPr>
            </w:pPr>
            <w:r>
              <w:rPr>
                <w:rFonts w:hint="eastAsia" w:ascii="宋体" w:hAnsi="宋体" w:cs="宋体"/>
                <w:color w:val="auto"/>
                <w:sz w:val="24"/>
                <w:highlight w:val="none"/>
              </w:rPr>
              <w:t>14</w:t>
            </w:r>
          </w:p>
        </w:tc>
        <w:tc>
          <w:tcPr>
            <w:tcW w:w="553" w:type="dxa"/>
            <w:tcBorders>
              <w:top w:val="single" w:color="auto" w:sz="4" w:space="0"/>
              <w:left w:val="single" w:color="auto" w:sz="4" w:space="0"/>
              <w:bottom w:val="single" w:color="auto" w:sz="4" w:space="0"/>
              <w:right w:val="single" w:color="auto" w:sz="4" w:space="0"/>
            </w:tcBorders>
            <w:vAlign w:val="center"/>
          </w:tcPr>
          <w:p w14:paraId="3B26D915">
            <w:pPr>
              <w:wordWrap w:val="0"/>
              <w:spacing w:line="360" w:lineRule="auto"/>
              <w:rPr>
                <w:rFonts w:hint="eastAsia" w:ascii="宋体" w:hAnsi="宋体" w:cs="宋体"/>
                <w:color w:val="auto"/>
                <w:sz w:val="24"/>
                <w:highlight w:val="none"/>
              </w:rPr>
            </w:pPr>
            <w:r>
              <w:rPr>
                <w:rFonts w:hint="eastAsia" w:ascii="宋体" w:hAnsi="宋体" w:cs="宋体"/>
                <w:color w:val="auto"/>
                <w:sz w:val="24"/>
                <w:highlight w:val="none"/>
              </w:rPr>
              <w:t>15</w:t>
            </w:r>
          </w:p>
        </w:tc>
        <w:tc>
          <w:tcPr>
            <w:tcW w:w="553" w:type="dxa"/>
            <w:tcBorders>
              <w:top w:val="single" w:color="auto" w:sz="4" w:space="0"/>
              <w:left w:val="single" w:color="auto" w:sz="4" w:space="0"/>
              <w:bottom w:val="single" w:color="auto" w:sz="4" w:space="0"/>
              <w:right w:val="single" w:color="auto" w:sz="4" w:space="0"/>
            </w:tcBorders>
            <w:vAlign w:val="center"/>
          </w:tcPr>
          <w:p w14:paraId="29D6A026">
            <w:pPr>
              <w:wordWrap w:val="0"/>
              <w:spacing w:line="360" w:lineRule="auto"/>
              <w:rPr>
                <w:rFonts w:hint="eastAsia" w:ascii="宋体" w:hAnsi="宋体" w:cs="宋体"/>
                <w:color w:val="auto"/>
                <w:sz w:val="24"/>
                <w:highlight w:val="none"/>
              </w:rPr>
            </w:pPr>
            <w:r>
              <w:rPr>
                <w:rFonts w:hint="eastAsia" w:ascii="宋体" w:hAnsi="宋体" w:cs="宋体"/>
                <w:color w:val="auto"/>
                <w:sz w:val="24"/>
                <w:highlight w:val="none"/>
              </w:rPr>
              <w:t>…</w:t>
            </w:r>
          </w:p>
        </w:tc>
      </w:tr>
      <w:tr w14:paraId="6E8A1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43BB7817">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F990618">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A0CAE11">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66B75C9">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33599DD">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2F579A64">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136A884">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E408C52">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AE2401E">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DBEEC4B">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C19A6F9">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6D9533A">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9579975">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13584FA">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E2E0C4A">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EEBB90F">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B8B2266">
            <w:pPr>
              <w:wordWrap w:val="0"/>
              <w:spacing w:line="360" w:lineRule="auto"/>
              <w:rPr>
                <w:rFonts w:hint="eastAsia" w:ascii="宋体" w:hAnsi="宋体" w:cs="宋体"/>
                <w:color w:val="auto"/>
                <w:sz w:val="24"/>
                <w:highlight w:val="none"/>
              </w:rPr>
            </w:pPr>
          </w:p>
        </w:tc>
      </w:tr>
      <w:tr w14:paraId="23632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271CC99E">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C6373FB">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5FCE9E2">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4554C5E">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8853EE6">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734A568">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DCE000E">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9A38576">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E874567">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49379FA">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3CC09D4">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24B1B7D">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3CAB7B7">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AFAB7BE">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D39E8ED">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D29994F">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7CBBC68">
            <w:pPr>
              <w:wordWrap w:val="0"/>
              <w:spacing w:line="360" w:lineRule="auto"/>
              <w:rPr>
                <w:rFonts w:hint="eastAsia" w:ascii="宋体" w:hAnsi="宋体" w:cs="宋体"/>
                <w:color w:val="auto"/>
                <w:sz w:val="24"/>
                <w:highlight w:val="none"/>
              </w:rPr>
            </w:pPr>
          </w:p>
        </w:tc>
      </w:tr>
      <w:tr w14:paraId="5CCD5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27B0C319">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071AEFF">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FAC96A5">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F339AD8">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BDE7755">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9B38C05">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A173B2D">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CCE8796">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0ADC2CD">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0B22488">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6EE8348">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EC51577">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C4869A7">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47CB413">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E61DB62">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AAEE745">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0C2D3E2">
            <w:pPr>
              <w:wordWrap w:val="0"/>
              <w:spacing w:line="360" w:lineRule="auto"/>
              <w:rPr>
                <w:rFonts w:hint="eastAsia" w:ascii="宋体" w:hAnsi="宋体" w:cs="宋体"/>
                <w:color w:val="auto"/>
                <w:sz w:val="24"/>
                <w:highlight w:val="none"/>
              </w:rPr>
            </w:pPr>
          </w:p>
        </w:tc>
      </w:tr>
      <w:tr w14:paraId="6FB94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2A8F59D1">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35C157C">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1CF2117">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24B4F5D6">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6809D49">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6A1D5C9">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33CFAEE">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303F3B3">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6FA153A">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BBB0C09">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F9D1AD9">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5C8A6E0">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F887E3A">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75B45D3">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2CA12AC">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D2830D7">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D3ADCD8">
            <w:pPr>
              <w:wordWrap w:val="0"/>
              <w:spacing w:line="360" w:lineRule="auto"/>
              <w:rPr>
                <w:rFonts w:hint="eastAsia" w:ascii="宋体" w:hAnsi="宋体" w:cs="宋体"/>
                <w:color w:val="auto"/>
                <w:sz w:val="24"/>
                <w:highlight w:val="none"/>
              </w:rPr>
            </w:pPr>
          </w:p>
        </w:tc>
      </w:tr>
      <w:tr w14:paraId="094B9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35C9C9AC">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59AEA28">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E65647A">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C629992">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F2F0281">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C5652C5">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358A837">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B11A353">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A9D881C">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C0AFA0A">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F340F9B">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6B1A128">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7106BAE">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1465325">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9A050DE">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A2691F5">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4FEEF16">
            <w:pPr>
              <w:wordWrap w:val="0"/>
              <w:spacing w:line="360" w:lineRule="auto"/>
              <w:rPr>
                <w:rFonts w:hint="eastAsia" w:ascii="宋体" w:hAnsi="宋体" w:cs="宋体"/>
                <w:color w:val="auto"/>
                <w:sz w:val="24"/>
                <w:highlight w:val="none"/>
              </w:rPr>
            </w:pPr>
          </w:p>
        </w:tc>
      </w:tr>
      <w:tr w14:paraId="4CFC8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4B9225E8">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FC542F4">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07CADC9">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BBA193F">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D171C53">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9998B47">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2BDAF65">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3F266AC">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236D660">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F6B83D8">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33A68C7">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CB3DE17">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0B55B9A">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E8EE043">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25D920C">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E6C87ED">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90419EB">
            <w:pPr>
              <w:wordWrap w:val="0"/>
              <w:spacing w:line="360" w:lineRule="auto"/>
              <w:rPr>
                <w:rFonts w:hint="eastAsia" w:ascii="宋体" w:hAnsi="宋体" w:cs="宋体"/>
                <w:color w:val="auto"/>
                <w:sz w:val="24"/>
                <w:highlight w:val="none"/>
              </w:rPr>
            </w:pPr>
          </w:p>
        </w:tc>
      </w:tr>
      <w:tr w14:paraId="0E63D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56F4A850">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ECDB75D">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66CE1BF">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269D73E9">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E1C4CF4">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73F263D">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97E1E00">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95E55D7">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BCDCC01">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2269124">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792EC58">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4E34F8B">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D473E62">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F931F14">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CC13FB6">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7ED283C">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99CA627">
            <w:pPr>
              <w:wordWrap w:val="0"/>
              <w:spacing w:line="360" w:lineRule="auto"/>
              <w:rPr>
                <w:rFonts w:hint="eastAsia" w:ascii="宋体" w:hAnsi="宋体" w:cs="宋体"/>
                <w:color w:val="auto"/>
                <w:sz w:val="24"/>
                <w:highlight w:val="none"/>
              </w:rPr>
            </w:pPr>
          </w:p>
        </w:tc>
      </w:tr>
      <w:tr w14:paraId="6789F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770F4843">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2EF45FB">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14BB134">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0F76EE6">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59BFC0D">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7F9B74E">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AEBB7DB">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B76DD09">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CA8790D">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DE13938">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C2EA6CB">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5564036">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203CE9B">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E12F2A8">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295755C">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9AD9DEC">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3028B6A">
            <w:pPr>
              <w:wordWrap w:val="0"/>
              <w:spacing w:line="360" w:lineRule="auto"/>
              <w:rPr>
                <w:rFonts w:hint="eastAsia" w:ascii="宋体" w:hAnsi="宋体" w:cs="宋体"/>
                <w:color w:val="auto"/>
                <w:sz w:val="24"/>
                <w:highlight w:val="none"/>
              </w:rPr>
            </w:pPr>
          </w:p>
        </w:tc>
      </w:tr>
      <w:tr w14:paraId="1F65F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5A24F445">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6C9672C">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635301C">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B505291">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FC5031D">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017C2FA">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3A19C34">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5E61D0F">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578E09D">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0AA1821">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03DAF79">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56ED274">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05D1058">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ED152DB">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0A5F1C1">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EC4B471">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1D33CAE">
            <w:pPr>
              <w:wordWrap w:val="0"/>
              <w:spacing w:line="360" w:lineRule="auto"/>
              <w:rPr>
                <w:rFonts w:hint="eastAsia" w:ascii="宋体" w:hAnsi="宋体" w:cs="宋体"/>
                <w:color w:val="auto"/>
                <w:sz w:val="24"/>
                <w:highlight w:val="none"/>
              </w:rPr>
            </w:pPr>
          </w:p>
        </w:tc>
      </w:tr>
    </w:tbl>
    <w:p w14:paraId="33AB9CDA">
      <w:pPr>
        <w:wordWrap w:val="0"/>
        <w:autoSpaceDE w:val="0"/>
        <w:autoSpaceDN w:val="0"/>
        <w:spacing w:line="360" w:lineRule="auto"/>
        <w:rPr>
          <w:rFonts w:hint="eastAsia" w:ascii="宋体" w:hAnsi="宋体" w:cs="宋体"/>
          <w:color w:val="auto"/>
          <w:kern w:val="0"/>
          <w:sz w:val="24"/>
          <w:highlight w:val="none"/>
        </w:rPr>
      </w:pPr>
      <w:r>
        <w:rPr>
          <w:rFonts w:hint="eastAsia" w:ascii="宋体" w:hAnsi="宋体" w:cs="宋体"/>
          <w:b/>
          <w:color w:val="auto"/>
          <w:sz w:val="24"/>
          <w:highlight w:val="none"/>
        </w:rPr>
        <w:t>注：投标人可按上述时间表的格式自行编制切合实际的具体时间表。</w:t>
      </w:r>
    </w:p>
    <w:p w14:paraId="161DF935">
      <w:pPr>
        <w:wordWrap w:val="0"/>
        <w:autoSpaceDE w:val="0"/>
        <w:autoSpaceDN w:val="0"/>
        <w:spacing w:line="360" w:lineRule="auto"/>
        <w:ind w:firstLine="4440" w:firstLineChars="1850"/>
        <w:rPr>
          <w:rFonts w:hint="eastAsia" w:ascii="宋体" w:hAnsi="宋体" w:cs="宋体"/>
          <w:color w:val="auto"/>
          <w:kern w:val="0"/>
          <w:sz w:val="24"/>
          <w:highlight w:val="none"/>
        </w:rPr>
      </w:pPr>
      <w:r>
        <w:rPr>
          <w:rFonts w:hint="eastAsia" w:ascii="宋体" w:hAnsi="宋体" w:cs="宋体"/>
          <w:color w:val="auto"/>
          <w:kern w:val="0"/>
          <w:sz w:val="24"/>
          <w:highlight w:val="none"/>
        </w:rPr>
        <w:t>投标人名称（电子签章）：</w:t>
      </w:r>
    </w:p>
    <w:p w14:paraId="20974AD5">
      <w:pPr>
        <w:wordWrap w:val="0"/>
        <w:autoSpaceDE w:val="0"/>
        <w:autoSpaceDN w:val="0"/>
        <w:spacing w:line="360" w:lineRule="auto"/>
        <w:rPr>
          <w:rFonts w:hint="eastAsia" w:ascii="宋体" w:hAnsi="宋体" w:cs="宋体"/>
          <w:b/>
          <w:bCs/>
          <w:color w:val="auto"/>
          <w:sz w:val="32"/>
          <w:szCs w:val="32"/>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日期：  年  月   日</w:t>
      </w:r>
    </w:p>
    <w:p w14:paraId="450CA927">
      <w:pPr>
        <w:wordWrap w:val="0"/>
        <w:snapToGrid w:val="0"/>
        <w:spacing w:line="360" w:lineRule="auto"/>
        <w:ind w:firstLine="4935" w:firstLineChars="2350"/>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0DF42A96">
      <w:pPr>
        <w:wordWrap w:val="0"/>
        <w:snapToGrid w:val="0"/>
        <w:spacing w:line="360" w:lineRule="auto"/>
        <w:jc w:val="center"/>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t>三、售后服务方案</w:t>
      </w:r>
    </w:p>
    <w:p w14:paraId="59934F72">
      <w:pPr>
        <w:wordWrap w:val="0"/>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（由投标人根据采购需求及招标文件要求编制）</w:t>
      </w:r>
    </w:p>
    <w:p w14:paraId="3CB4ABF2">
      <w:pPr>
        <w:wordWrap w:val="0"/>
        <w:snapToGrid w:val="0"/>
        <w:spacing w:line="360" w:lineRule="auto"/>
        <w:ind w:left="142"/>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1、售后服务承诺</w:t>
      </w:r>
    </w:p>
    <w:p w14:paraId="040C081D">
      <w:pPr>
        <w:wordWrap w:val="0"/>
        <w:autoSpaceDE w:val="0"/>
        <w:autoSpaceDN w:val="0"/>
        <w:spacing w:line="360" w:lineRule="auto"/>
        <w:rPr>
          <w:rFonts w:hint="eastAsia" w:ascii="宋体" w:hAnsi="宋体" w:cs="宋体"/>
          <w:b/>
          <w:color w:val="auto"/>
          <w:sz w:val="24"/>
          <w:highlight w:val="none"/>
        </w:rPr>
      </w:pPr>
      <w:r>
        <w:rPr>
          <w:rFonts w:hint="eastAsia" w:ascii="宋体" w:hAnsi="宋体" w:cs="宋体"/>
          <w:b/>
          <w:color w:val="auto"/>
          <w:sz w:val="24"/>
          <w:highlight w:val="none"/>
        </w:rPr>
        <w:t>附表A:售后服务机构情况表</w:t>
      </w:r>
      <w:r>
        <w:rPr>
          <w:rFonts w:hint="eastAsia" w:ascii="宋体" w:hAnsi="宋体" w:cs="宋体"/>
          <w:color w:val="auto"/>
          <w:sz w:val="24"/>
          <w:highlight w:val="none"/>
        </w:rPr>
        <w:t>（按此格式自制）</w:t>
      </w:r>
    </w:p>
    <w:tbl>
      <w:tblPr>
        <w:tblStyle w:val="25"/>
        <w:tblW w:w="874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340"/>
        <w:gridCol w:w="1095"/>
        <w:gridCol w:w="1245"/>
        <w:gridCol w:w="1980"/>
        <w:gridCol w:w="1260"/>
      </w:tblGrid>
      <w:tr w14:paraId="194E5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14:paraId="0D6070DD">
            <w:pPr>
              <w:wordWrap w:val="0"/>
              <w:autoSpaceDE w:val="0"/>
              <w:autoSpaceDN w:val="0"/>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序号</w:t>
            </w:r>
          </w:p>
        </w:tc>
        <w:tc>
          <w:tcPr>
            <w:tcW w:w="2340" w:type="dxa"/>
            <w:tcBorders>
              <w:top w:val="single" w:color="auto" w:sz="4" w:space="0"/>
              <w:left w:val="single" w:color="auto" w:sz="4" w:space="0"/>
              <w:bottom w:val="single" w:color="auto" w:sz="4" w:space="0"/>
              <w:right w:val="single" w:color="auto" w:sz="4" w:space="0"/>
            </w:tcBorders>
          </w:tcPr>
          <w:p w14:paraId="5B69C904">
            <w:pPr>
              <w:wordWrap w:val="0"/>
              <w:autoSpaceDE w:val="0"/>
              <w:autoSpaceDN w:val="0"/>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机构名称</w:t>
            </w:r>
          </w:p>
        </w:tc>
        <w:tc>
          <w:tcPr>
            <w:tcW w:w="1095" w:type="dxa"/>
            <w:tcBorders>
              <w:top w:val="single" w:color="auto" w:sz="4" w:space="0"/>
              <w:left w:val="single" w:color="auto" w:sz="4" w:space="0"/>
              <w:bottom w:val="single" w:color="auto" w:sz="4" w:space="0"/>
              <w:right w:val="single" w:color="auto" w:sz="4" w:space="0"/>
            </w:tcBorders>
          </w:tcPr>
          <w:p w14:paraId="238CC2EA">
            <w:pPr>
              <w:wordWrap w:val="0"/>
              <w:autoSpaceDE w:val="0"/>
              <w:autoSpaceDN w:val="0"/>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机构性质</w:t>
            </w:r>
          </w:p>
        </w:tc>
        <w:tc>
          <w:tcPr>
            <w:tcW w:w="1245" w:type="dxa"/>
            <w:tcBorders>
              <w:top w:val="single" w:color="auto" w:sz="4" w:space="0"/>
              <w:left w:val="single" w:color="auto" w:sz="4" w:space="0"/>
              <w:bottom w:val="single" w:color="auto" w:sz="4" w:space="0"/>
              <w:right w:val="single" w:color="auto" w:sz="4" w:space="0"/>
            </w:tcBorders>
          </w:tcPr>
          <w:p w14:paraId="1A4A44EE">
            <w:pPr>
              <w:wordWrap w:val="0"/>
              <w:autoSpaceDE w:val="0"/>
              <w:autoSpaceDN w:val="0"/>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注册地址</w:t>
            </w:r>
          </w:p>
        </w:tc>
        <w:tc>
          <w:tcPr>
            <w:tcW w:w="1980" w:type="dxa"/>
            <w:tcBorders>
              <w:top w:val="single" w:color="auto" w:sz="4" w:space="0"/>
              <w:left w:val="single" w:color="auto" w:sz="4" w:space="0"/>
              <w:bottom w:val="single" w:color="auto" w:sz="4" w:space="0"/>
              <w:right w:val="single" w:color="auto" w:sz="4" w:space="0"/>
            </w:tcBorders>
          </w:tcPr>
          <w:p w14:paraId="15236D6A">
            <w:pPr>
              <w:wordWrap w:val="0"/>
              <w:autoSpaceDE w:val="0"/>
              <w:autoSpaceDN w:val="0"/>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服务技术人员数量</w:t>
            </w:r>
          </w:p>
        </w:tc>
        <w:tc>
          <w:tcPr>
            <w:tcW w:w="1260" w:type="dxa"/>
            <w:tcBorders>
              <w:top w:val="single" w:color="auto" w:sz="4" w:space="0"/>
              <w:left w:val="single" w:color="auto" w:sz="4" w:space="0"/>
              <w:bottom w:val="single" w:color="auto" w:sz="4" w:space="0"/>
              <w:right w:val="single" w:color="auto" w:sz="4" w:space="0"/>
            </w:tcBorders>
          </w:tcPr>
          <w:p w14:paraId="2AC4FC25">
            <w:pPr>
              <w:wordWrap w:val="0"/>
              <w:autoSpaceDE w:val="0"/>
              <w:autoSpaceDN w:val="0"/>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联系电话</w:t>
            </w:r>
          </w:p>
        </w:tc>
      </w:tr>
      <w:tr w14:paraId="78C47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14:paraId="0B653F07">
            <w:pPr>
              <w:wordWrap w:val="0"/>
              <w:autoSpaceDE w:val="0"/>
              <w:autoSpaceDN w:val="0"/>
              <w:spacing w:line="360" w:lineRule="auto"/>
              <w:jc w:val="center"/>
              <w:rPr>
                <w:rFonts w:hint="eastAsia" w:ascii="宋体" w:hAnsi="宋体" w:cs="宋体"/>
                <w:color w:val="auto"/>
                <w:sz w:val="24"/>
                <w:highlight w:val="none"/>
              </w:rPr>
            </w:pPr>
          </w:p>
        </w:tc>
        <w:tc>
          <w:tcPr>
            <w:tcW w:w="2340" w:type="dxa"/>
            <w:tcBorders>
              <w:top w:val="single" w:color="auto" w:sz="4" w:space="0"/>
              <w:left w:val="single" w:color="auto" w:sz="4" w:space="0"/>
              <w:bottom w:val="single" w:color="auto" w:sz="4" w:space="0"/>
              <w:right w:val="single" w:color="auto" w:sz="4" w:space="0"/>
            </w:tcBorders>
          </w:tcPr>
          <w:p w14:paraId="48764422">
            <w:pPr>
              <w:wordWrap w:val="0"/>
              <w:autoSpaceDE w:val="0"/>
              <w:autoSpaceDN w:val="0"/>
              <w:spacing w:line="360" w:lineRule="auto"/>
              <w:jc w:val="center"/>
              <w:rPr>
                <w:rFonts w:hint="eastAsia" w:ascii="宋体" w:hAnsi="宋体" w:cs="宋体"/>
                <w:color w:val="auto"/>
                <w:sz w:val="24"/>
                <w:highlight w:val="none"/>
              </w:rPr>
            </w:pPr>
          </w:p>
        </w:tc>
        <w:tc>
          <w:tcPr>
            <w:tcW w:w="1095" w:type="dxa"/>
            <w:tcBorders>
              <w:top w:val="single" w:color="auto" w:sz="4" w:space="0"/>
              <w:left w:val="single" w:color="auto" w:sz="4" w:space="0"/>
              <w:bottom w:val="single" w:color="auto" w:sz="4" w:space="0"/>
              <w:right w:val="single" w:color="auto" w:sz="4" w:space="0"/>
            </w:tcBorders>
          </w:tcPr>
          <w:p w14:paraId="10735378">
            <w:pPr>
              <w:wordWrap w:val="0"/>
              <w:autoSpaceDE w:val="0"/>
              <w:autoSpaceDN w:val="0"/>
              <w:spacing w:line="360" w:lineRule="auto"/>
              <w:jc w:val="center"/>
              <w:rPr>
                <w:rFonts w:hint="eastAsia" w:ascii="宋体" w:hAnsi="宋体" w:cs="宋体"/>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tcPr>
          <w:p w14:paraId="1BCC3B8E">
            <w:pPr>
              <w:wordWrap w:val="0"/>
              <w:autoSpaceDE w:val="0"/>
              <w:autoSpaceDN w:val="0"/>
              <w:spacing w:line="360" w:lineRule="auto"/>
              <w:jc w:val="center"/>
              <w:rPr>
                <w:rFonts w:hint="eastAsia" w:ascii="宋体" w:hAnsi="宋体" w:cs="宋体"/>
                <w:color w:val="auto"/>
                <w:sz w:val="24"/>
                <w:highlight w:val="none"/>
              </w:rPr>
            </w:pPr>
          </w:p>
        </w:tc>
        <w:tc>
          <w:tcPr>
            <w:tcW w:w="1980" w:type="dxa"/>
            <w:tcBorders>
              <w:top w:val="single" w:color="auto" w:sz="4" w:space="0"/>
              <w:left w:val="single" w:color="auto" w:sz="4" w:space="0"/>
              <w:bottom w:val="single" w:color="auto" w:sz="4" w:space="0"/>
              <w:right w:val="single" w:color="auto" w:sz="4" w:space="0"/>
            </w:tcBorders>
          </w:tcPr>
          <w:p w14:paraId="45F99AA5">
            <w:pPr>
              <w:wordWrap w:val="0"/>
              <w:autoSpaceDE w:val="0"/>
              <w:autoSpaceDN w:val="0"/>
              <w:spacing w:line="360" w:lineRule="auto"/>
              <w:jc w:val="center"/>
              <w:rPr>
                <w:rFonts w:hint="eastAsia"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tcPr>
          <w:p w14:paraId="3F50CB6D">
            <w:pPr>
              <w:wordWrap w:val="0"/>
              <w:autoSpaceDE w:val="0"/>
              <w:autoSpaceDN w:val="0"/>
              <w:spacing w:line="360" w:lineRule="auto"/>
              <w:jc w:val="center"/>
              <w:rPr>
                <w:rFonts w:hint="eastAsia" w:ascii="宋体" w:hAnsi="宋体" w:cs="宋体"/>
                <w:color w:val="auto"/>
                <w:sz w:val="24"/>
                <w:highlight w:val="none"/>
              </w:rPr>
            </w:pPr>
          </w:p>
        </w:tc>
      </w:tr>
      <w:tr w14:paraId="4D55B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14:paraId="0D6D34FC">
            <w:pPr>
              <w:wordWrap w:val="0"/>
              <w:autoSpaceDE w:val="0"/>
              <w:autoSpaceDN w:val="0"/>
              <w:spacing w:line="360" w:lineRule="auto"/>
              <w:jc w:val="center"/>
              <w:rPr>
                <w:rFonts w:hint="eastAsia" w:ascii="宋体" w:hAnsi="宋体" w:cs="宋体"/>
                <w:color w:val="auto"/>
                <w:sz w:val="24"/>
                <w:highlight w:val="none"/>
              </w:rPr>
            </w:pPr>
          </w:p>
        </w:tc>
        <w:tc>
          <w:tcPr>
            <w:tcW w:w="2340" w:type="dxa"/>
            <w:tcBorders>
              <w:top w:val="single" w:color="auto" w:sz="4" w:space="0"/>
              <w:left w:val="single" w:color="auto" w:sz="4" w:space="0"/>
              <w:bottom w:val="single" w:color="auto" w:sz="4" w:space="0"/>
              <w:right w:val="single" w:color="auto" w:sz="4" w:space="0"/>
            </w:tcBorders>
          </w:tcPr>
          <w:p w14:paraId="6B37B523">
            <w:pPr>
              <w:wordWrap w:val="0"/>
              <w:autoSpaceDE w:val="0"/>
              <w:autoSpaceDN w:val="0"/>
              <w:spacing w:line="360" w:lineRule="auto"/>
              <w:jc w:val="center"/>
              <w:rPr>
                <w:rFonts w:hint="eastAsia" w:ascii="宋体" w:hAnsi="宋体" w:cs="宋体"/>
                <w:color w:val="auto"/>
                <w:sz w:val="24"/>
                <w:highlight w:val="none"/>
              </w:rPr>
            </w:pPr>
          </w:p>
        </w:tc>
        <w:tc>
          <w:tcPr>
            <w:tcW w:w="1095" w:type="dxa"/>
            <w:tcBorders>
              <w:top w:val="single" w:color="auto" w:sz="4" w:space="0"/>
              <w:left w:val="single" w:color="auto" w:sz="4" w:space="0"/>
              <w:bottom w:val="single" w:color="auto" w:sz="4" w:space="0"/>
              <w:right w:val="single" w:color="auto" w:sz="4" w:space="0"/>
            </w:tcBorders>
          </w:tcPr>
          <w:p w14:paraId="6C7AF0FA">
            <w:pPr>
              <w:wordWrap w:val="0"/>
              <w:autoSpaceDE w:val="0"/>
              <w:autoSpaceDN w:val="0"/>
              <w:spacing w:line="360" w:lineRule="auto"/>
              <w:jc w:val="center"/>
              <w:rPr>
                <w:rFonts w:hint="eastAsia" w:ascii="宋体" w:hAnsi="宋体" w:cs="宋体"/>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tcPr>
          <w:p w14:paraId="724A9F88">
            <w:pPr>
              <w:wordWrap w:val="0"/>
              <w:autoSpaceDE w:val="0"/>
              <w:autoSpaceDN w:val="0"/>
              <w:spacing w:line="360" w:lineRule="auto"/>
              <w:jc w:val="center"/>
              <w:rPr>
                <w:rFonts w:hint="eastAsia" w:ascii="宋体" w:hAnsi="宋体" w:cs="宋体"/>
                <w:color w:val="auto"/>
                <w:sz w:val="24"/>
                <w:highlight w:val="none"/>
              </w:rPr>
            </w:pPr>
          </w:p>
        </w:tc>
        <w:tc>
          <w:tcPr>
            <w:tcW w:w="1980" w:type="dxa"/>
            <w:tcBorders>
              <w:top w:val="single" w:color="auto" w:sz="4" w:space="0"/>
              <w:left w:val="single" w:color="auto" w:sz="4" w:space="0"/>
              <w:bottom w:val="single" w:color="auto" w:sz="4" w:space="0"/>
              <w:right w:val="single" w:color="auto" w:sz="4" w:space="0"/>
            </w:tcBorders>
          </w:tcPr>
          <w:p w14:paraId="2CD76180">
            <w:pPr>
              <w:wordWrap w:val="0"/>
              <w:autoSpaceDE w:val="0"/>
              <w:autoSpaceDN w:val="0"/>
              <w:spacing w:line="360" w:lineRule="auto"/>
              <w:jc w:val="center"/>
              <w:rPr>
                <w:rFonts w:hint="eastAsia"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tcPr>
          <w:p w14:paraId="0FE40407">
            <w:pPr>
              <w:wordWrap w:val="0"/>
              <w:autoSpaceDE w:val="0"/>
              <w:autoSpaceDN w:val="0"/>
              <w:spacing w:line="360" w:lineRule="auto"/>
              <w:jc w:val="center"/>
              <w:rPr>
                <w:rFonts w:hint="eastAsia" w:ascii="宋体" w:hAnsi="宋体" w:cs="宋体"/>
                <w:color w:val="auto"/>
                <w:sz w:val="24"/>
                <w:highlight w:val="none"/>
              </w:rPr>
            </w:pPr>
          </w:p>
        </w:tc>
      </w:tr>
      <w:tr w14:paraId="1A6722D8">
        <w:tblPrEx>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14:paraId="27CC011C">
            <w:pPr>
              <w:wordWrap w:val="0"/>
              <w:autoSpaceDE w:val="0"/>
              <w:autoSpaceDN w:val="0"/>
              <w:spacing w:line="360" w:lineRule="auto"/>
              <w:jc w:val="center"/>
              <w:rPr>
                <w:rFonts w:hint="eastAsia" w:ascii="宋体" w:hAnsi="宋体" w:cs="宋体"/>
                <w:color w:val="auto"/>
                <w:sz w:val="24"/>
                <w:highlight w:val="none"/>
              </w:rPr>
            </w:pPr>
          </w:p>
        </w:tc>
        <w:tc>
          <w:tcPr>
            <w:tcW w:w="2340" w:type="dxa"/>
            <w:tcBorders>
              <w:top w:val="single" w:color="auto" w:sz="4" w:space="0"/>
              <w:left w:val="single" w:color="auto" w:sz="4" w:space="0"/>
              <w:bottom w:val="single" w:color="auto" w:sz="4" w:space="0"/>
              <w:right w:val="single" w:color="auto" w:sz="4" w:space="0"/>
            </w:tcBorders>
          </w:tcPr>
          <w:p w14:paraId="1BC3111C">
            <w:pPr>
              <w:wordWrap w:val="0"/>
              <w:autoSpaceDE w:val="0"/>
              <w:autoSpaceDN w:val="0"/>
              <w:spacing w:line="360" w:lineRule="auto"/>
              <w:jc w:val="center"/>
              <w:rPr>
                <w:rFonts w:hint="eastAsia" w:ascii="宋体" w:hAnsi="宋体" w:cs="宋体"/>
                <w:color w:val="auto"/>
                <w:sz w:val="24"/>
                <w:highlight w:val="none"/>
              </w:rPr>
            </w:pPr>
          </w:p>
        </w:tc>
        <w:tc>
          <w:tcPr>
            <w:tcW w:w="1095" w:type="dxa"/>
            <w:tcBorders>
              <w:top w:val="single" w:color="auto" w:sz="4" w:space="0"/>
              <w:left w:val="single" w:color="auto" w:sz="4" w:space="0"/>
              <w:bottom w:val="single" w:color="auto" w:sz="4" w:space="0"/>
              <w:right w:val="single" w:color="auto" w:sz="4" w:space="0"/>
            </w:tcBorders>
          </w:tcPr>
          <w:p w14:paraId="06E4FD71">
            <w:pPr>
              <w:wordWrap w:val="0"/>
              <w:autoSpaceDE w:val="0"/>
              <w:autoSpaceDN w:val="0"/>
              <w:spacing w:line="360" w:lineRule="auto"/>
              <w:jc w:val="center"/>
              <w:rPr>
                <w:rFonts w:hint="eastAsia" w:ascii="宋体" w:hAnsi="宋体" w:cs="宋体"/>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tcPr>
          <w:p w14:paraId="0C639708">
            <w:pPr>
              <w:wordWrap w:val="0"/>
              <w:autoSpaceDE w:val="0"/>
              <w:autoSpaceDN w:val="0"/>
              <w:spacing w:line="360" w:lineRule="auto"/>
              <w:jc w:val="center"/>
              <w:rPr>
                <w:rFonts w:hint="eastAsia" w:ascii="宋体" w:hAnsi="宋体" w:cs="宋体"/>
                <w:color w:val="auto"/>
                <w:sz w:val="24"/>
                <w:highlight w:val="none"/>
              </w:rPr>
            </w:pPr>
          </w:p>
        </w:tc>
        <w:tc>
          <w:tcPr>
            <w:tcW w:w="1980" w:type="dxa"/>
            <w:tcBorders>
              <w:top w:val="single" w:color="auto" w:sz="4" w:space="0"/>
              <w:left w:val="single" w:color="auto" w:sz="4" w:space="0"/>
              <w:bottom w:val="single" w:color="auto" w:sz="4" w:space="0"/>
              <w:right w:val="single" w:color="auto" w:sz="4" w:space="0"/>
            </w:tcBorders>
          </w:tcPr>
          <w:p w14:paraId="61052A02">
            <w:pPr>
              <w:wordWrap w:val="0"/>
              <w:autoSpaceDE w:val="0"/>
              <w:autoSpaceDN w:val="0"/>
              <w:spacing w:line="360" w:lineRule="auto"/>
              <w:jc w:val="center"/>
              <w:rPr>
                <w:rFonts w:hint="eastAsia"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tcPr>
          <w:p w14:paraId="6CE9F9B3">
            <w:pPr>
              <w:wordWrap w:val="0"/>
              <w:autoSpaceDE w:val="0"/>
              <w:autoSpaceDN w:val="0"/>
              <w:spacing w:line="360" w:lineRule="auto"/>
              <w:jc w:val="center"/>
              <w:rPr>
                <w:rFonts w:hint="eastAsia" w:ascii="宋体" w:hAnsi="宋体" w:cs="宋体"/>
                <w:color w:val="auto"/>
                <w:sz w:val="24"/>
                <w:highlight w:val="none"/>
              </w:rPr>
            </w:pPr>
          </w:p>
        </w:tc>
      </w:tr>
    </w:tbl>
    <w:p w14:paraId="4B244F49">
      <w:pPr>
        <w:wordWrap w:val="0"/>
        <w:autoSpaceDE w:val="0"/>
        <w:autoSpaceDN w:val="0"/>
        <w:spacing w:line="360" w:lineRule="auto"/>
        <w:rPr>
          <w:rFonts w:hint="eastAsia" w:ascii="宋体" w:hAnsi="宋体" w:cs="宋体"/>
          <w:b/>
          <w:color w:val="auto"/>
          <w:sz w:val="24"/>
          <w:highlight w:val="none"/>
        </w:rPr>
      </w:pPr>
      <w:r>
        <w:rPr>
          <w:rFonts w:hint="eastAsia" w:ascii="宋体" w:hAnsi="宋体" w:cs="宋体"/>
          <w:b/>
          <w:color w:val="auto"/>
          <w:sz w:val="24"/>
          <w:highlight w:val="none"/>
        </w:rPr>
        <w:t>注：关于项目涉及的所有售后服务机构均在本表注明，包括投标人本单位和符合条件的第三方服务机构；</w:t>
      </w:r>
    </w:p>
    <w:p w14:paraId="212A4E4A">
      <w:pPr>
        <w:wordWrap w:val="0"/>
        <w:autoSpaceDE w:val="0"/>
        <w:autoSpaceDN w:val="0"/>
        <w:spacing w:line="360" w:lineRule="auto"/>
        <w:rPr>
          <w:rFonts w:hint="eastAsia" w:ascii="宋体" w:hAnsi="宋体" w:cs="宋体"/>
          <w:color w:val="auto"/>
          <w:kern w:val="0"/>
          <w:sz w:val="24"/>
          <w:highlight w:val="none"/>
        </w:rPr>
      </w:pPr>
    </w:p>
    <w:p w14:paraId="4257432C">
      <w:pPr>
        <w:wordWrap w:val="0"/>
        <w:autoSpaceDE w:val="0"/>
        <w:autoSpaceDN w:val="0"/>
        <w:spacing w:line="360" w:lineRule="auto"/>
        <w:rPr>
          <w:rFonts w:hint="eastAsia" w:ascii="宋体" w:hAnsi="宋体" w:cs="宋体"/>
          <w:color w:val="auto"/>
          <w:kern w:val="0"/>
          <w:sz w:val="24"/>
          <w:highlight w:val="none"/>
        </w:rPr>
      </w:pPr>
      <w:r>
        <w:rPr>
          <w:rFonts w:hint="eastAsia" w:ascii="宋体" w:hAnsi="宋体" w:cs="宋体"/>
          <w:b/>
          <w:color w:val="auto"/>
          <w:kern w:val="0"/>
          <w:sz w:val="24"/>
          <w:highlight w:val="none"/>
        </w:rPr>
        <w:t>附表B：售后服务人员情况表</w:t>
      </w:r>
      <w:r>
        <w:rPr>
          <w:rFonts w:hint="eastAsia" w:ascii="宋体" w:hAnsi="宋体" w:cs="宋体"/>
          <w:color w:val="auto"/>
          <w:sz w:val="24"/>
          <w:highlight w:val="none"/>
        </w:rPr>
        <w:t>（按此格式自制）</w:t>
      </w:r>
    </w:p>
    <w:tbl>
      <w:tblPr>
        <w:tblStyle w:val="25"/>
        <w:tblW w:w="10002" w:type="dxa"/>
        <w:jc w:val="center"/>
        <w:tblLayout w:type="fixed"/>
        <w:tblCellMar>
          <w:top w:w="0" w:type="dxa"/>
          <w:left w:w="108" w:type="dxa"/>
          <w:bottom w:w="0" w:type="dxa"/>
          <w:right w:w="108" w:type="dxa"/>
        </w:tblCellMar>
      </w:tblPr>
      <w:tblGrid>
        <w:gridCol w:w="646"/>
        <w:gridCol w:w="746"/>
        <w:gridCol w:w="787"/>
        <w:gridCol w:w="412"/>
        <w:gridCol w:w="900"/>
        <w:gridCol w:w="1080"/>
        <w:gridCol w:w="1080"/>
        <w:gridCol w:w="1080"/>
        <w:gridCol w:w="1260"/>
        <w:gridCol w:w="900"/>
        <w:gridCol w:w="1111"/>
      </w:tblGrid>
      <w:tr w14:paraId="766008DA">
        <w:tblPrEx>
          <w:tblCellMar>
            <w:top w:w="0" w:type="dxa"/>
            <w:left w:w="108" w:type="dxa"/>
            <w:bottom w:w="0" w:type="dxa"/>
            <w:right w:w="108" w:type="dxa"/>
          </w:tblCellMar>
        </w:tblPrEx>
        <w:trPr>
          <w:jc w:val="center"/>
        </w:trPr>
        <w:tc>
          <w:tcPr>
            <w:tcW w:w="646" w:type="dxa"/>
            <w:tcBorders>
              <w:top w:val="single" w:color="auto" w:sz="6" w:space="0"/>
              <w:left w:val="single" w:color="auto" w:sz="6" w:space="0"/>
              <w:bottom w:val="single" w:color="auto" w:sz="6" w:space="0"/>
              <w:right w:val="single" w:color="auto" w:sz="4" w:space="0"/>
            </w:tcBorders>
            <w:vAlign w:val="center"/>
          </w:tcPr>
          <w:p w14:paraId="169B697B">
            <w:pPr>
              <w:wordWrap w:val="0"/>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序号</w:t>
            </w:r>
          </w:p>
          <w:p w14:paraId="0F2BF6EA">
            <w:pPr>
              <w:wordWrap w:val="0"/>
              <w:autoSpaceDE w:val="0"/>
              <w:autoSpaceDN w:val="0"/>
              <w:spacing w:line="360" w:lineRule="auto"/>
              <w:jc w:val="center"/>
              <w:rPr>
                <w:rFonts w:hint="eastAsia" w:ascii="宋体" w:hAnsi="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vAlign w:val="center"/>
          </w:tcPr>
          <w:p w14:paraId="4E5359BF">
            <w:pPr>
              <w:wordWrap w:val="0"/>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类别</w:t>
            </w:r>
          </w:p>
        </w:tc>
        <w:tc>
          <w:tcPr>
            <w:tcW w:w="787" w:type="dxa"/>
            <w:tcBorders>
              <w:top w:val="single" w:color="auto" w:sz="6" w:space="0"/>
              <w:left w:val="single" w:color="auto" w:sz="6" w:space="0"/>
              <w:bottom w:val="single" w:color="auto" w:sz="6" w:space="0"/>
              <w:right w:val="single" w:color="auto" w:sz="6" w:space="0"/>
            </w:tcBorders>
            <w:vAlign w:val="center"/>
          </w:tcPr>
          <w:p w14:paraId="3E9DC9A8">
            <w:pPr>
              <w:wordWrap w:val="0"/>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7E12E9C8">
            <w:pPr>
              <w:wordWrap w:val="0"/>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性别</w:t>
            </w:r>
          </w:p>
        </w:tc>
        <w:tc>
          <w:tcPr>
            <w:tcW w:w="900" w:type="dxa"/>
            <w:tcBorders>
              <w:top w:val="single" w:color="auto" w:sz="6" w:space="0"/>
              <w:left w:val="single" w:color="auto" w:sz="6" w:space="0"/>
              <w:bottom w:val="single" w:color="auto" w:sz="6" w:space="0"/>
              <w:right w:val="single" w:color="auto" w:sz="6" w:space="0"/>
            </w:tcBorders>
            <w:vAlign w:val="center"/>
          </w:tcPr>
          <w:p w14:paraId="4DBB7E05">
            <w:pPr>
              <w:wordWrap w:val="0"/>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年龄</w:t>
            </w:r>
          </w:p>
        </w:tc>
        <w:tc>
          <w:tcPr>
            <w:tcW w:w="1080" w:type="dxa"/>
            <w:tcBorders>
              <w:top w:val="single" w:color="auto" w:sz="6" w:space="0"/>
              <w:left w:val="single" w:color="auto" w:sz="6" w:space="0"/>
              <w:bottom w:val="single" w:color="auto" w:sz="6" w:space="0"/>
              <w:right w:val="single" w:color="auto" w:sz="6" w:space="0"/>
            </w:tcBorders>
            <w:vAlign w:val="center"/>
          </w:tcPr>
          <w:p w14:paraId="68A1DA08">
            <w:pPr>
              <w:wordWrap w:val="0"/>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学历</w:t>
            </w:r>
          </w:p>
        </w:tc>
        <w:tc>
          <w:tcPr>
            <w:tcW w:w="1080" w:type="dxa"/>
            <w:tcBorders>
              <w:top w:val="single" w:color="auto" w:sz="6" w:space="0"/>
              <w:left w:val="single" w:color="auto" w:sz="6" w:space="0"/>
              <w:bottom w:val="single" w:color="auto" w:sz="6" w:space="0"/>
              <w:right w:val="single" w:color="auto" w:sz="6" w:space="0"/>
            </w:tcBorders>
            <w:vAlign w:val="center"/>
          </w:tcPr>
          <w:p w14:paraId="423E666D">
            <w:pPr>
              <w:wordWrap w:val="0"/>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专业</w:t>
            </w:r>
          </w:p>
        </w:tc>
        <w:tc>
          <w:tcPr>
            <w:tcW w:w="1080" w:type="dxa"/>
            <w:tcBorders>
              <w:top w:val="single" w:color="auto" w:sz="6" w:space="0"/>
              <w:left w:val="single" w:color="auto" w:sz="6" w:space="0"/>
              <w:bottom w:val="single" w:color="auto" w:sz="6" w:space="0"/>
              <w:right w:val="single" w:color="auto" w:sz="6" w:space="0"/>
            </w:tcBorders>
            <w:vAlign w:val="center"/>
          </w:tcPr>
          <w:p w14:paraId="5808AD87">
            <w:pPr>
              <w:wordWrap w:val="0"/>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职称</w:t>
            </w:r>
          </w:p>
        </w:tc>
        <w:tc>
          <w:tcPr>
            <w:tcW w:w="1260" w:type="dxa"/>
            <w:tcBorders>
              <w:top w:val="single" w:color="auto" w:sz="6" w:space="0"/>
              <w:left w:val="single" w:color="auto" w:sz="6" w:space="0"/>
              <w:bottom w:val="single" w:color="auto" w:sz="6" w:space="0"/>
              <w:right w:val="single" w:color="auto" w:sz="6" w:space="0"/>
            </w:tcBorders>
            <w:vAlign w:val="center"/>
          </w:tcPr>
          <w:p w14:paraId="08BAD8EF">
            <w:pPr>
              <w:wordWrap w:val="0"/>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2308C52B">
            <w:pPr>
              <w:wordWrap w:val="0"/>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响应时间</w:t>
            </w:r>
          </w:p>
        </w:tc>
        <w:tc>
          <w:tcPr>
            <w:tcW w:w="1111" w:type="dxa"/>
            <w:tcBorders>
              <w:top w:val="single" w:color="auto" w:sz="6" w:space="0"/>
              <w:left w:val="single" w:color="auto" w:sz="6" w:space="0"/>
              <w:bottom w:val="single" w:color="auto" w:sz="6" w:space="0"/>
              <w:right w:val="single" w:color="auto" w:sz="6" w:space="0"/>
            </w:tcBorders>
            <w:vAlign w:val="center"/>
          </w:tcPr>
          <w:p w14:paraId="4C22E771">
            <w:pPr>
              <w:wordWrap w:val="0"/>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到达现场时间</w:t>
            </w:r>
          </w:p>
        </w:tc>
      </w:tr>
      <w:tr w14:paraId="149E71D3">
        <w:tblPrEx>
          <w:tblCellMar>
            <w:top w:w="0" w:type="dxa"/>
            <w:left w:w="108" w:type="dxa"/>
            <w:bottom w:w="0" w:type="dxa"/>
            <w:right w:w="108" w:type="dxa"/>
          </w:tblCellMar>
        </w:tblPrEx>
        <w:trPr>
          <w:trHeight w:val="607" w:hRule="atLeast"/>
          <w:jc w:val="center"/>
        </w:trPr>
        <w:tc>
          <w:tcPr>
            <w:tcW w:w="646" w:type="dxa"/>
            <w:tcBorders>
              <w:top w:val="single" w:color="auto" w:sz="6" w:space="0"/>
              <w:left w:val="single" w:color="auto" w:sz="6" w:space="0"/>
              <w:bottom w:val="single" w:color="auto" w:sz="6" w:space="0"/>
              <w:right w:val="single" w:color="auto" w:sz="4" w:space="0"/>
            </w:tcBorders>
          </w:tcPr>
          <w:p w14:paraId="7B9BCDD1">
            <w:pPr>
              <w:wordWrap w:val="0"/>
              <w:autoSpaceDE w:val="0"/>
              <w:autoSpaceDN w:val="0"/>
              <w:spacing w:line="360" w:lineRule="auto"/>
              <w:jc w:val="center"/>
              <w:rPr>
                <w:rFonts w:hint="eastAsia" w:ascii="宋体" w:hAnsi="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tcPr>
          <w:p w14:paraId="5EA7ACED">
            <w:pPr>
              <w:wordWrap w:val="0"/>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总协调人</w:t>
            </w:r>
          </w:p>
        </w:tc>
        <w:tc>
          <w:tcPr>
            <w:tcW w:w="787" w:type="dxa"/>
            <w:tcBorders>
              <w:top w:val="single" w:color="auto" w:sz="6" w:space="0"/>
              <w:left w:val="single" w:color="auto" w:sz="6" w:space="0"/>
              <w:bottom w:val="single" w:color="auto" w:sz="6" w:space="0"/>
              <w:right w:val="single" w:color="auto" w:sz="6" w:space="0"/>
            </w:tcBorders>
          </w:tcPr>
          <w:p w14:paraId="1DD7A7F7">
            <w:pPr>
              <w:wordWrap w:val="0"/>
              <w:autoSpaceDE w:val="0"/>
              <w:autoSpaceDN w:val="0"/>
              <w:spacing w:line="360" w:lineRule="auto"/>
              <w:rPr>
                <w:rFonts w:hint="eastAsia" w:ascii="宋体" w:hAnsi="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10AC47D9">
            <w:pPr>
              <w:wordWrap w:val="0"/>
              <w:autoSpaceDE w:val="0"/>
              <w:autoSpaceDN w:val="0"/>
              <w:spacing w:line="360" w:lineRule="auto"/>
              <w:rPr>
                <w:rFonts w:hint="eastAsia"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482BB0DF">
            <w:pPr>
              <w:wordWrap w:val="0"/>
              <w:autoSpaceDE w:val="0"/>
              <w:autoSpaceDN w:val="0"/>
              <w:spacing w:line="360" w:lineRule="auto"/>
              <w:rPr>
                <w:rFonts w:hint="eastAsia"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61714761">
            <w:pPr>
              <w:wordWrap w:val="0"/>
              <w:autoSpaceDE w:val="0"/>
              <w:autoSpaceDN w:val="0"/>
              <w:spacing w:line="360" w:lineRule="auto"/>
              <w:rPr>
                <w:rFonts w:hint="eastAsia"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2A134E99">
            <w:pPr>
              <w:wordWrap w:val="0"/>
              <w:autoSpaceDE w:val="0"/>
              <w:autoSpaceDN w:val="0"/>
              <w:spacing w:line="360" w:lineRule="auto"/>
              <w:rPr>
                <w:rFonts w:hint="eastAsia"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258E7598">
            <w:pPr>
              <w:wordWrap w:val="0"/>
              <w:autoSpaceDE w:val="0"/>
              <w:autoSpaceDN w:val="0"/>
              <w:spacing w:line="360" w:lineRule="auto"/>
              <w:rPr>
                <w:rFonts w:hint="eastAsia" w:ascii="宋体" w:hAnsi="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0BCADBE9">
            <w:pPr>
              <w:wordWrap w:val="0"/>
              <w:autoSpaceDE w:val="0"/>
              <w:autoSpaceDN w:val="0"/>
              <w:spacing w:line="360" w:lineRule="auto"/>
              <w:rPr>
                <w:rFonts w:hint="eastAsia"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02557ADF">
            <w:pPr>
              <w:wordWrap w:val="0"/>
              <w:autoSpaceDE w:val="0"/>
              <w:autoSpaceDN w:val="0"/>
              <w:spacing w:line="360" w:lineRule="auto"/>
              <w:rPr>
                <w:rFonts w:hint="eastAsia" w:ascii="宋体" w:hAnsi="宋体" w:cs="宋体"/>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tcPr>
          <w:p w14:paraId="3F9C4176">
            <w:pPr>
              <w:wordWrap w:val="0"/>
              <w:autoSpaceDE w:val="0"/>
              <w:autoSpaceDN w:val="0"/>
              <w:spacing w:line="360" w:lineRule="auto"/>
              <w:rPr>
                <w:rFonts w:hint="eastAsia" w:ascii="宋体" w:hAnsi="宋体" w:cs="宋体"/>
                <w:color w:val="auto"/>
                <w:sz w:val="24"/>
                <w:highlight w:val="none"/>
              </w:rPr>
            </w:pPr>
          </w:p>
        </w:tc>
      </w:tr>
      <w:tr w14:paraId="1706A606">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tcPr>
          <w:p w14:paraId="5BA33FDC">
            <w:pPr>
              <w:wordWrap w:val="0"/>
              <w:autoSpaceDE w:val="0"/>
              <w:autoSpaceDN w:val="0"/>
              <w:spacing w:line="360" w:lineRule="auto"/>
              <w:jc w:val="center"/>
              <w:rPr>
                <w:rFonts w:hint="eastAsia" w:ascii="宋体" w:hAnsi="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tcPr>
          <w:p w14:paraId="5D70F02C">
            <w:pPr>
              <w:wordWrap w:val="0"/>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售后人员</w:t>
            </w:r>
          </w:p>
        </w:tc>
        <w:tc>
          <w:tcPr>
            <w:tcW w:w="787" w:type="dxa"/>
            <w:tcBorders>
              <w:top w:val="single" w:color="auto" w:sz="6" w:space="0"/>
              <w:left w:val="single" w:color="auto" w:sz="6" w:space="0"/>
              <w:bottom w:val="single" w:color="auto" w:sz="6" w:space="0"/>
              <w:right w:val="single" w:color="auto" w:sz="6" w:space="0"/>
            </w:tcBorders>
          </w:tcPr>
          <w:p w14:paraId="679E92B1">
            <w:pPr>
              <w:wordWrap w:val="0"/>
              <w:autoSpaceDE w:val="0"/>
              <w:autoSpaceDN w:val="0"/>
              <w:spacing w:line="360" w:lineRule="auto"/>
              <w:rPr>
                <w:rFonts w:hint="eastAsia" w:ascii="宋体" w:hAnsi="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590777BD">
            <w:pPr>
              <w:wordWrap w:val="0"/>
              <w:autoSpaceDE w:val="0"/>
              <w:autoSpaceDN w:val="0"/>
              <w:spacing w:line="360" w:lineRule="auto"/>
              <w:rPr>
                <w:rFonts w:hint="eastAsia"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5183451B">
            <w:pPr>
              <w:wordWrap w:val="0"/>
              <w:autoSpaceDE w:val="0"/>
              <w:autoSpaceDN w:val="0"/>
              <w:spacing w:line="360" w:lineRule="auto"/>
              <w:rPr>
                <w:rFonts w:hint="eastAsia"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06BAD8CB">
            <w:pPr>
              <w:wordWrap w:val="0"/>
              <w:autoSpaceDE w:val="0"/>
              <w:autoSpaceDN w:val="0"/>
              <w:spacing w:line="360" w:lineRule="auto"/>
              <w:rPr>
                <w:rFonts w:hint="eastAsia"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5964257B">
            <w:pPr>
              <w:wordWrap w:val="0"/>
              <w:autoSpaceDE w:val="0"/>
              <w:autoSpaceDN w:val="0"/>
              <w:spacing w:line="360" w:lineRule="auto"/>
              <w:rPr>
                <w:rFonts w:hint="eastAsia"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5481EAAC">
            <w:pPr>
              <w:wordWrap w:val="0"/>
              <w:autoSpaceDE w:val="0"/>
              <w:autoSpaceDN w:val="0"/>
              <w:spacing w:line="360" w:lineRule="auto"/>
              <w:rPr>
                <w:rFonts w:hint="eastAsia" w:ascii="宋体" w:hAnsi="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5963CCF2">
            <w:pPr>
              <w:wordWrap w:val="0"/>
              <w:autoSpaceDE w:val="0"/>
              <w:autoSpaceDN w:val="0"/>
              <w:spacing w:line="360" w:lineRule="auto"/>
              <w:rPr>
                <w:rFonts w:hint="eastAsia"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65974623">
            <w:pPr>
              <w:wordWrap w:val="0"/>
              <w:autoSpaceDE w:val="0"/>
              <w:autoSpaceDN w:val="0"/>
              <w:spacing w:line="360" w:lineRule="auto"/>
              <w:rPr>
                <w:rFonts w:hint="eastAsia" w:ascii="宋体" w:hAnsi="宋体" w:cs="宋体"/>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tcPr>
          <w:p w14:paraId="1C4F66A0">
            <w:pPr>
              <w:wordWrap w:val="0"/>
              <w:autoSpaceDE w:val="0"/>
              <w:autoSpaceDN w:val="0"/>
              <w:spacing w:line="360" w:lineRule="auto"/>
              <w:rPr>
                <w:rFonts w:hint="eastAsia" w:ascii="宋体" w:hAnsi="宋体" w:cs="宋体"/>
                <w:color w:val="auto"/>
                <w:sz w:val="24"/>
                <w:highlight w:val="none"/>
              </w:rPr>
            </w:pPr>
          </w:p>
        </w:tc>
      </w:tr>
      <w:tr w14:paraId="58B52565">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tcPr>
          <w:p w14:paraId="0477A3DE">
            <w:pPr>
              <w:wordWrap w:val="0"/>
              <w:autoSpaceDE w:val="0"/>
              <w:autoSpaceDN w:val="0"/>
              <w:spacing w:line="360" w:lineRule="auto"/>
              <w:jc w:val="center"/>
              <w:rPr>
                <w:rFonts w:hint="eastAsia" w:ascii="宋体" w:hAnsi="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tcPr>
          <w:p w14:paraId="34C3ADA1">
            <w:pPr>
              <w:wordWrap w:val="0"/>
              <w:autoSpaceDE w:val="0"/>
              <w:autoSpaceDN w:val="0"/>
              <w:spacing w:line="360" w:lineRule="auto"/>
              <w:jc w:val="center"/>
              <w:rPr>
                <w:rFonts w:hint="eastAsia" w:ascii="宋体" w:hAnsi="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065062B9">
            <w:pPr>
              <w:wordWrap w:val="0"/>
              <w:autoSpaceDE w:val="0"/>
              <w:autoSpaceDN w:val="0"/>
              <w:spacing w:line="360" w:lineRule="auto"/>
              <w:rPr>
                <w:rFonts w:hint="eastAsia" w:ascii="宋体" w:hAnsi="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20840CD1">
            <w:pPr>
              <w:wordWrap w:val="0"/>
              <w:autoSpaceDE w:val="0"/>
              <w:autoSpaceDN w:val="0"/>
              <w:spacing w:line="360" w:lineRule="auto"/>
              <w:rPr>
                <w:rFonts w:hint="eastAsia"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4E42DF9C">
            <w:pPr>
              <w:wordWrap w:val="0"/>
              <w:autoSpaceDE w:val="0"/>
              <w:autoSpaceDN w:val="0"/>
              <w:spacing w:line="360" w:lineRule="auto"/>
              <w:rPr>
                <w:rFonts w:hint="eastAsia"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44B1B6DF">
            <w:pPr>
              <w:wordWrap w:val="0"/>
              <w:autoSpaceDE w:val="0"/>
              <w:autoSpaceDN w:val="0"/>
              <w:spacing w:line="360" w:lineRule="auto"/>
              <w:rPr>
                <w:rFonts w:hint="eastAsia"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279F524D">
            <w:pPr>
              <w:wordWrap w:val="0"/>
              <w:autoSpaceDE w:val="0"/>
              <w:autoSpaceDN w:val="0"/>
              <w:spacing w:line="360" w:lineRule="auto"/>
              <w:rPr>
                <w:rFonts w:hint="eastAsia"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04DBFCF2">
            <w:pPr>
              <w:wordWrap w:val="0"/>
              <w:autoSpaceDE w:val="0"/>
              <w:autoSpaceDN w:val="0"/>
              <w:spacing w:line="360" w:lineRule="auto"/>
              <w:rPr>
                <w:rFonts w:hint="eastAsia" w:ascii="宋体" w:hAnsi="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0B2F934A">
            <w:pPr>
              <w:wordWrap w:val="0"/>
              <w:autoSpaceDE w:val="0"/>
              <w:autoSpaceDN w:val="0"/>
              <w:spacing w:line="360" w:lineRule="auto"/>
              <w:rPr>
                <w:rFonts w:hint="eastAsia"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5C2A65D1">
            <w:pPr>
              <w:wordWrap w:val="0"/>
              <w:autoSpaceDE w:val="0"/>
              <w:autoSpaceDN w:val="0"/>
              <w:spacing w:line="360" w:lineRule="auto"/>
              <w:rPr>
                <w:rFonts w:hint="eastAsia" w:ascii="宋体" w:hAnsi="宋体" w:cs="宋体"/>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tcPr>
          <w:p w14:paraId="46477562">
            <w:pPr>
              <w:wordWrap w:val="0"/>
              <w:autoSpaceDE w:val="0"/>
              <w:autoSpaceDN w:val="0"/>
              <w:spacing w:line="360" w:lineRule="auto"/>
              <w:rPr>
                <w:rFonts w:hint="eastAsia" w:ascii="宋体" w:hAnsi="宋体" w:cs="宋体"/>
                <w:color w:val="auto"/>
                <w:sz w:val="24"/>
                <w:highlight w:val="none"/>
              </w:rPr>
            </w:pPr>
          </w:p>
        </w:tc>
      </w:tr>
      <w:tr w14:paraId="7BBC8C9D">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tcPr>
          <w:p w14:paraId="6F0135D5">
            <w:pPr>
              <w:wordWrap w:val="0"/>
              <w:autoSpaceDE w:val="0"/>
              <w:autoSpaceDN w:val="0"/>
              <w:spacing w:line="360" w:lineRule="auto"/>
              <w:jc w:val="center"/>
              <w:rPr>
                <w:rFonts w:hint="eastAsia" w:ascii="宋体" w:hAnsi="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tcPr>
          <w:p w14:paraId="1C6CA9E4">
            <w:pPr>
              <w:wordWrap w:val="0"/>
              <w:autoSpaceDE w:val="0"/>
              <w:autoSpaceDN w:val="0"/>
              <w:spacing w:line="360" w:lineRule="auto"/>
              <w:jc w:val="center"/>
              <w:rPr>
                <w:rFonts w:hint="eastAsia" w:ascii="宋体" w:hAnsi="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6B7253A4">
            <w:pPr>
              <w:wordWrap w:val="0"/>
              <w:autoSpaceDE w:val="0"/>
              <w:autoSpaceDN w:val="0"/>
              <w:spacing w:line="360" w:lineRule="auto"/>
              <w:rPr>
                <w:rFonts w:hint="eastAsia" w:ascii="宋体" w:hAnsi="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64221CF0">
            <w:pPr>
              <w:wordWrap w:val="0"/>
              <w:autoSpaceDE w:val="0"/>
              <w:autoSpaceDN w:val="0"/>
              <w:spacing w:line="360" w:lineRule="auto"/>
              <w:rPr>
                <w:rFonts w:hint="eastAsia"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6DCD1D97">
            <w:pPr>
              <w:wordWrap w:val="0"/>
              <w:autoSpaceDE w:val="0"/>
              <w:autoSpaceDN w:val="0"/>
              <w:spacing w:line="360" w:lineRule="auto"/>
              <w:rPr>
                <w:rFonts w:hint="eastAsia"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442B87A2">
            <w:pPr>
              <w:wordWrap w:val="0"/>
              <w:autoSpaceDE w:val="0"/>
              <w:autoSpaceDN w:val="0"/>
              <w:spacing w:line="360" w:lineRule="auto"/>
              <w:rPr>
                <w:rFonts w:hint="eastAsia"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21E5ABA0">
            <w:pPr>
              <w:wordWrap w:val="0"/>
              <w:autoSpaceDE w:val="0"/>
              <w:autoSpaceDN w:val="0"/>
              <w:spacing w:line="360" w:lineRule="auto"/>
              <w:rPr>
                <w:rFonts w:hint="eastAsia"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6A1257FC">
            <w:pPr>
              <w:wordWrap w:val="0"/>
              <w:autoSpaceDE w:val="0"/>
              <w:autoSpaceDN w:val="0"/>
              <w:spacing w:line="360" w:lineRule="auto"/>
              <w:rPr>
                <w:rFonts w:hint="eastAsia" w:ascii="宋体" w:hAnsi="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21BD6631">
            <w:pPr>
              <w:wordWrap w:val="0"/>
              <w:autoSpaceDE w:val="0"/>
              <w:autoSpaceDN w:val="0"/>
              <w:spacing w:line="360" w:lineRule="auto"/>
              <w:rPr>
                <w:rFonts w:hint="eastAsia"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2BF4B93A">
            <w:pPr>
              <w:wordWrap w:val="0"/>
              <w:autoSpaceDE w:val="0"/>
              <w:autoSpaceDN w:val="0"/>
              <w:spacing w:line="360" w:lineRule="auto"/>
              <w:rPr>
                <w:rFonts w:hint="eastAsia" w:ascii="宋体" w:hAnsi="宋体" w:cs="宋体"/>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tcPr>
          <w:p w14:paraId="40D76CF2">
            <w:pPr>
              <w:wordWrap w:val="0"/>
              <w:autoSpaceDE w:val="0"/>
              <w:autoSpaceDN w:val="0"/>
              <w:spacing w:line="360" w:lineRule="auto"/>
              <w:rPr>
                <w:rFonts w:hint="eastAsia" w:ascii="宋体" w:hAnsi="宋体" w:cs="宋体"/>
                <w:color w:val="auto"/>
                <w:sz w:val="24"/>
                <w:highlight w:val="none"/>
              </w:rPr>
            </w:pPr>
          </w:p>
        </w:tc>
      </w:tr>
    </w:tbl>
    <w:p w14:paraId="78E8FC3C">
      <w:pPr>
        <w:wordWrap w:val="0"/>
        <w:snapToGrid w:val="0"/>
        <w:spacing w:line="360" w:lineRule="auto"/>
        <w:ind w:left="142"/>
        <w:jc w:val="center"/>
        <w:rPr>
          <w:rFonts w:hint="eastAsia" w:ascii="宋体" w:hAnsi="宋体" w:cs="宋体"/>
          <w:b/>
          <w:color w:val="auto"/>
          <w:sz w:val="32"/>
          <w:szCs w:val="32"/>
          <w:highlight w:val="none"/>
        </w:rPr>
      </w:pPr>
    </w:p>
    <w:p w14:paraId="2D02D9D3">
      <w:pPr>
        <w:wordWrap w:val="0"/>
        <w:snapToGrid w:val="0"/>
        <w:spacing w:line="360" w:lineRule="auto"/>
        <w:ind w:right="480" w:firstLine="3967" w:firstLineChars="1653"/>
        <w:rPr>
          <w:rFonts w:hint="eastAsia" w:ascii="宋体" w:hAnsi="宋体" w:cs="宋体"/>
          <w:color w:val="auto"/>
          <w:sz w:val="24"/>
          <w:highlight w:val="none"/>
        </w:rPr>
      </w:pPr>
    </w:p>
    <w:p w14:paraId="7A93A8AA">
      <w:pPr>
        <w:wordWrap w:val="0"/>
        <w:snapToGrid w:val="0"/>
        <w:spacing w:line="360" w:lineRule="auto"/>
        <w:ind w:firstLine="5160" w:firstLineChars="215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投标人名称(电子签章)：</w:t>
      </w:r>
    </w:p>
    <w:p w14:paraId="49A6FA42">
      <w:pPr>
        <w:wordWrap w:val="0"/>
        <w:snapToGrid w:val="0"/>
        <w:spacing w:line="360" w:lineRule="auto"/>
        <w:ind w:firstLine="5160" w:firstLineChars="215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1FE7F344">
      <w:pPr>
        <w:widowControl/>
        <w:wordWrap w:val="0"/>
        <w:spacing w:line="360" w:lineRule="auto"/>
        <w:jc w:val="left"/>
        <w:rPr>
          <w:rFonts w:hint="eastAsia" w:ascii="宋体" w:hAnsi="宋体" w:cs="宋体"/>
          <w:color w:val="auto"/>
          <w:sz w:val="24"/>
          <w:highlight w:val="none"/>
        </w:rPr>
        <w:sectPr>
          <w:pgSz w:w="11906" w:h="16838"/>
          <w:pgMar w:top="1440" w:right="1080" w:bottom="1440" w:left="1080" w:header="720" w:footer="720" w:gutter="0"/>
          <w:cols w:space="720" w:num="1"/>
          <w:docGrid w:type="lines" w:linePitch="331" w:charSpace="0"/>
        </w:sectPr>
      </w:pPr>
    </w:p>
    <w:p w14:paraId="30ED0925">
      <w:pPr>
        <w:wordWrap w:val="0"/>
        <w:snapToGrid w:val="0"/>
        <w:spacing w:line="360" w:lineRule="auto"/>
        <w:ind w:left="142"/>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四、项目实施人员一览表（如有）</w:t>
      </w:r>
    </w:p>
    <w:p w14:paraId="392BAA00">
      <w:pPr>
        <w:wordWrap w:val="0"/>
        <w:spacing w:line="360" w:lineRule="auto"/>
        <w:jc w:val="center"/>
        <w:rPr>
          <w:rFonts w:hint="eastAsia" w:ascii="宋体" w:hAnsi="宋体" w:cs="宋体"/>
          <w:b/>
          <w:bCs/>
          <w:color w:val="auto"/>
          <w:sz w:val="24"/>
          <w:highlight w:val="none"/>
        </w:rPr>
      </w:pPr>
      <w:r>
        <w:rPr>
          <w:rFonts w:hint="eastAsia" w:ascii="宋体" w:hAnsi="宋体" w:cs="宋体"/>
          <w:color w:val="auto"/>
          <w:sz w:val="24"/>
          <w:highlight w:val="none"/>
        </w:rPr>
        <w:t>（由投标人根据采购需求及招标文件要求编制）</w:t>
      </w:r>
    </w:p>
    <w:p w14:paraId="4FDB130D">
      <w:pPr>
        <w:pStyle w:val="14"/>
        <w:wordWrap w:val="0"/>
        <w:spacing w:line="360" w:lineRule="auto"/>
        <w:rPr>
          <w:rFonts w:hint="eastAsia" w:hAnsi="宋体" w:cs="宋体"/>
          <w:color w:val="auto"/>
          <w:sz w:val="24"/>
          <w:szCs w:val="24"/>
          <w:highlight w:val="none"/>
        </w:rPr>
      </w:pPr>
      <w:r>
        <w:rPr>
          <w:rFonts w:hint="eastAsia" w:hAnsi="宋体" w:cs="宋体"/>
          <w:color w:val="auto"/>
          <w:sz w:val="24"/>
          <w:szCs w:val="24"/>
          <w:highlight w:val="none"/>
        </w:rPr>
        <w:t>所投分标：</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分标</w:t>
      </w:r>
    </w:p>
    <w:p w14:paraId="658ACE60">
      <w:pPr>
        <w:keepNext/>
        <w:wordWrap w:val="0"/>
        <w:autoSpaceDE w:val="0"/>
        <w:autoSpaceDN w:val="0"/>
        <w:spacing w:line="360" w:lineRule="auto"/>
        <w:ind w:firstLine="477"/>
        <w:rPr>
          <w:rFonts w:hint="eastAsia" w:ascii="宋体" w:hAnsi="宋体" w:cs="宋体"/>
          <w:b/>
          <w:color w:val="auto"/>
          <w:sz w:val="24"/>
          <w:highlight w:val="none"/>
        </w:rPr>
      </w:pPr>
      <w:r>
        <w:rPr>
          <w:rFonts w:hint="eastAsia" w:ascii="宋体" w:hAnsi="宋体" w:cs="宋体"/>
          <w:b/>
          <w:color w:val="auto"/>
          <w:sz w:val="24"/>
          <w:highlight w:val="none"/>
        </w:rPr>
        <w:t>附表A:本项目的项目经理情况表</w:t>
      </w:r>
    </w:p>
    <w:tbl>
      <w:tblPr>
        <w:tblStyle w:val="25"/>
        <w:tblW w:w="8755" w:type="dxa"/>
        <w:tblInd w:w="116" w:type="dxa"/>
        <w:tblLayout w:type="fixed"/>
        <w:tblCellMar>
          <w:top w:w="0" w:type="dxa"/>
          <w:left w:w="108" w:type="dxa"/>
          <w:bottom w:w="0" w:type="dxa"/>
          <w:right w:w="108" w:type="dxa"/>
        </w:tblCellMar>
      </w:tblPr>
      <w:tblGrid>
        <w:gridCol w:w="2061"/>
        <w:gridCol w:w="1287"/>
        <w:gridCol w:w="1260"/>
        <w:gridCol w:w="4147"/>
      </w:tblGrid>
      <w:tr w14:paraId="6748C9EE">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vAlign w:val="center"/>
          </w:tcPr>
          <w:p w14:paraId="25A9B772">
            <w:pPr>
              <w:wordWrap w:val="0"/>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vAlign w:val="center"/>
          </w:tcPr>
          <w:p w14:paraId="394B228F">
            <w:pPr>
              <w:wordWrap w:val="0"/>
              <w:autoSpaceDE w:val="0"/>
              <w:autoSpaceDN w:val="0"/>
              <w:spacing w:line="360" w:lineRule="auto"/>
              <w:jc w:val="center"/>
              <w:rPr>
                <w:rFonts w:hint="eastAsia"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00742F5F">
            <w:pPr>
              <w:wordWrap w:val="0"/>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页码</w:t>
            </w:r>
          </w:p>
        </w:tc>
        <w:tc>
          <w:tcPr>
            <w:tcW w:w="4147" w:type="dxa"/>
            <w:tcBorders>
              <w:top w:val="single" w:color="auto" w:sz="6" w:space="0"/>
              <w:left w:val="single" w:color="auto" w:sz="6" w:space="0"/>
              <w:bottom w:val="single" w:color="auto" w:sz="6" w:space="0"/>
              <w:right w:val="single" w:color="auto" w:sz="6" w:space="0"/>
            </w:tcBorders>
            <w:vAlign w:val="center"/>
          </w:tcPr>
          <w:p w14:paraId="33082301">
            <w:pPr>
              <w:wordWrap w:val="0"/>
              <w:autoSpaceDE w:val="0"/>
              <w:autoSpaceDN w:val="0"/>
              <w:spacing w:line="360" w:lineRule="auto"/>
              <w:rPr>
                <w:rFonts w:hint="eastAsia" w:ascii="宋体" w:hAnsi="宋体" w:cs="宋体"/>
                <w:color w:val="auto"/>
                <w:sz w:val="24"/>
                <w:highlight w:val="none"/>
              </w:rPr>
            </w:pPr>
            <w:r>
              <w:rPr>
                <w:rFonts w:hint="eastAsia" w:ascii="宋体" w:hAnsi="宋体" w:cs="宋体"/>
                <w:color w:val="auto"/>
                <w:sz w:val="24"/>
                <w:highlight w:val="none"/>
              </w:rPr>
              <w:t>投标截止时间前三年业绩及承担的主要工作情况，曾担任项目经理的项目应列明细</w:t>
            </w:r>
          </w:p>
        </w:tc>
      </w:tr>
      <w:tr w14:paraId="131534A9">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17A5B50D">
            <w:pPr>
              <w:wordWrap w:val="0"/>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性别</w:t>
            </w:r>
          </w:p>
        </w:tc>
        <w:tc>
          <w:tcPr>
            <w:tcW w:w="1287" w:type="dxa"/>
            <w:tcBorders>
              <w:top w:val="single" w:color="auto" w:sz="6" w:space="0"/>
              <w:left w:val="single" w:color="auto" w:sz="6" w:space="0"/>
              <w:bottom w:val="single" w:color="auto" w:sz="6" w:space="0"/>
              <w:right w:val="single" w:color="auto" w:sz="4" w:space="0"/>
            </w:tcBorders>
            <w:vAlign w:val="center"/>
          </w:tcPr>
          <w:p w14:paraId="1C3DE153">
            <w:pPr>
              <w:wordWrap w:val="0"/>
              <w:autoSpaceDE w:val="0"/>
              <w:autoSpaceDN w:val="0"/>
              <w:spacing w:line="360" w:lineRule="auto"/>
              <w:jc w:val="center"/>
              <w:rPr>
                <w:rFonts w:hint="eastAsia"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5838C259">
            <w:pPr>
              <w:wordWrap w:val="0"/>
              <w:autoSpaceDE w:val="0"/>
              <w:autoSpaceDN w:val="0"/>
              <w:spacing w:line="360" w:lineRule="auto"/>
              <w:jc w:val="center"/>
              <w:rPr>
                <w:rFonts w:hint="eastAsia" w:ascii="宋体" w:hAnsi="宋体" w:cs="宋体"/>
                <w:color w:val="auto"/>
                <w:sz w:val="24"/>
                <w:highlight w:val="none"/>
              </w:rPr>
            </w:pPr>
          </w:p>
        </w:tc>
        <w:tc>
          <w:tcPr>
            <w:tcW w:w="4147" w:type="dxa"/>
            <w:vMerge w:val="restart"/>
            <w:tcBorders>
              <w:top w:val="single" w:color="auto" w:sz="6" w:space="0"/>
              <w:left w:val="single" w:color="auto" w:sz="6" w:space="0"/>
              <w:bottom w:val="single" w:color="auto" w:sz="6" w:space="0"/>
              <w:right w:val="single" w:color="auto" w:sz="6" w:space="0"/>
            </w:tcBorders>
            <w:vAlign w:val="center"/>
          </w:tcPr>
          <w:p w14:paraId="71FD65E0">
            <w:pPr>
              <w:wordWrap w:val="0"/>
              <w:autoSpaceDE w:val="0"/>
              <w:autoSpaceDN w:val="0"/>
              <w:spacing w:line="360" w:lineRule="auto"/>
              <w:jc w:val="center"/>
              <w:rPr>
                <w:rFonts w:hint="eastAsia" w:ascii="宋体" w:hAnsi="宋体" w:cs="宋体"/>
                <w:color w:val="auto"/>
                <w:sz w:val="24"/>
                <w:highlight w:val="none"/>
              </w:rPr>
            </w:pPr>
          </w:p>
        </w:tc>
      </w:tr>
      <w:tr w14:paraId="669B5394">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vAlign w:val="center"/>
          </w:tcPr>
          <w:p w14:paraId="048A7C0C">
            <w:pPr>
              <w:wordWrap w:val="0"/>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年龄</w:t>
            </w:r>
          </w:p>
        </w:tc>
        <w:tc>
          <w:tcPr>
            <w:tcW w:w="1287" w:type="dxa"/>
            <w:tcBorders>
              <w:top w:val="single" w:color="auto" w:sz="6" w:space="0"/>
              <w:left w:val="single" w:color="auto" w:sz="6" w:space="0"/>
              <w:bottom w:val="single" w:color="auto" w:sz="6" w:space="0"/>
              <w:right w:val="single" w:color="auto" w:sz="4" w:space="0"/>
            </w:tcBorders>
            <w:vAlign w:val="center"/>
          </w:tcPr>
          <w:p w14:paraId="7D55E440">
            <w:pPr>
              <w:wordWrap w:val="0"/>
              <w:autoSpaceDE w:val="0"/>
              <w:autoSpaceDN w:val="0"/>
              <w:spacing w:line="360" w:lineRule="auto"/>
              <w:jc w:val="center"/>
              <w:rPr>
                <w:rFonts w:hint="eastAsia"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5E8FE5F4">
            <w:pPr>
              <w:wordWrap w:val="0"/>
              <w:autoSpaceDE w:val="0"/>
              <w:autoSpaceDN w:val="0"/>
              <w:spacing w:line="360" w:lineRule="auto"/>
              <w:jc w:val="center"/>
              <w:rPr>
                <w:rFonts w:hint="eastAsia"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7D2F119C">
            <w:pPr>
              <w:widowControl/>
              <w:wordWrap w:val="0"/>
              <w:spacing w:line="360" w:lineRule="auto"/>
              <w:jc w:val="left"/>
              <w:rPr>
                <w:rFonts w:hint="eastAsia" w:ascii="宋体" w:hAnsi="宋体" w:cs="宋体"/>
                <w:color w:val="auto"/>
                <w:sz w:val="24"/>
                <w:highlight w:val="none"/>
              </w:rPr>
            </w:pPr>
          </w:p>
        </w:tc>
      </w:tr>
      <w:tr w14:paraId="588758FC">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314881FD">
            <w:pPr>
              <w:wordWrap w:val="0"/>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职称</w:t>
            </w:r>
          </w:p>
        </w:tc>
        <w:tc>
          <w:tcPr>
            <w:tcW w:w="1287" w:type="dxa"/>
            <w:tcBorders>
              <w:top w:val="single" w:color="auto" w:sz="6" w:space="0"/>
              <w:left w:val="single" w:color="auto" w:sz="6" w:space="0"/>
              <w:bottom w:val="single" w:color="auto" w:sz="6" w:space="0"/>
              <w:right w:val="single" w:color="auto" w:sz="4" w:space="0"/>
            </w:tcBorders>
            <w:vAlign w:val="center"/>
          </w:tcPr>
          <w:p w14:paraId="340B40E2">
            <w:pPr>
              <w:wordWrap w:val="0"/>
              <w:autoSpaceDE w:val="0"/>
              <w:autoSpaceDN w:val="0"/>
              <w:spacing w:line="360" w:lineRule="auto"/>
              <w:jc w:val="center"/>
              <w:rPr>
                <w:rFonts w:hint="eastAsia"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6E2A2877">
            <w:pPr>
              <w:wordWrap w:val="0"/>
              <w:autoSpaceDE w:val="0"/>
              <w:autoSpaceDN w:val="0"/>
              <w:spacing w:line="360" w:lineRule="auto"/>
              <w:jc w:val="center"/>
              <w:rPr>
                <w:rFonts w:hint="eastAsia"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020807E7">
            <w:pPr>
              <w:widowControl/>
              <w:wordWrap w:val="0"/>
              <w:spacing w:line="360" w:lineRule="auto"/>
              <w:jc w:val="left"/>
              <w:rPr>
                <w:rFonts w:hint="eastAsia" w:ascii="宋体" w:hAnsi="宋体" w:cs="宋体"/>
                <w:color w:val="auto"/>
                <w:sz w:val="24"/>
                <w:highlight w:val="none"/>
              </w:rPr>
            </w:pPr>
          </w:p>
        </w:tc>
      </w:tr>
      <w:tr w14:paraId="3D844C5F">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5EDA8617">
            <w:pPr>
              <w:wordWrap w:val="0"/>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毕业时间</w:t>
            </w:r>
          </w:p>
        </w:tc>
        <w:tc>
          <w:tcPr>
            <w:tcW w:w="1287" w:type="dxa"/>
            <w:tcBorders>
              <w:top w:val="single" w:color="auto" w:sz="6" w:space="0"/>
              <w:left w:val="single" w:color="auto" w:sz="6" w:space="0"/>
              <w:bottom w:val="single" w:color="auto" w:sz="6" w:space="0"/>
              <w:right w:val="single" w:color="auto" w:sz="4" w:space="0"/>
            </w:tcBorders>
            <w:vAlign w:val="center"/>
          </w:tcPr>
          <w:p w14:paraId="7E8FF573">
            <w:pPr>
              <w:wordWrap w:val="0"/>
              <w:autoSpaceDE w:val="0"/>
              <w:autoSpaceDN w:val="0"/>
              <w:spacing w:line="360" w:lineRule="auto"/>
              <w:jc w:val="center"/>
              <w:rPr>
                <w:rFonts w:hint="eastAsia"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12380C46">
            <w:pPr>
              <w:wordWrap w:val="0"/>
              <w:autoSpaceDE w:val="0"/>
              <w:autoSpaceDN w:val="0"/>
              <w:spacing w:line="360" w:lineRule="auto"/>
              <w:jc w:val="center"/>
              <w:rPr>
                <w:rFonts w:hint="eastAsia"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61816B51">
            <w:pPr>
              <w:widowControl/>
              <w:wordWrap w:val="0"/>
              <w:spacing w:line="360" w:lineRule="auto"/>
              <w:jc w:val="left"/>
              <w:rPr>
                <w:rFonts w:hint="eastAsia" w:ascii="宋体" w:hAnsi="宋体" w:cs="宋体"/>
                <w:color w:val="auto"/>
                <w:sz w:val="24"/>
                <w:highlight w:val="none"/>
              </w:rPr>
            </w:pPr>
          </w:p>
        </w:tc>
      </w:tr>
      <w:tr w14:paraId="53619713">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vAlign w:val="center"/>
          </w:tcPr>
          <w:p w14:paraId="4EF34770">
            <w:pPr>
              <w:wordWrap w:val="0"/>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所学专业</w:t>
            </w:r>
          </w:p>
        </w:tc>
        <w:tc>
          <w:tcPr>
            <w:tcW w:w="1287" w:type="dxa"/>
            <w:tcBorders>
              <w:top w:val="single" w:color="auto" w:sz="6" w:space="0"/>
              <w:left w:val="single" w:color="auto" w:sz="6" w:space="0"/>
              <w:bottom w:val="single" w:color="auto" w:sz="6" w:space="0"/>
              <w:right w:val="single" w:color="auto" w:sz="4" w:space="0"/>
            </w:tcBorders>
            <w:vAlign w:val="center"/>
          </w:tcPr>
          <w:p w14:paraId="229B216C">
            <w:pPr>
              <w:wordWrap w:val="0"/>
              <w:autoSpaceDE w:val="0"/>
              <w:autoSpaceDN w:val="0"/>
              <w:spacing w:line="360" w:lineRule="auto"/>
              <w:jc w:val="center"/>
              <w:rPr>
                <w:rFonts w:hint="eastAsia"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6E7CDEFB">
            <w:pPr>
              <w:wordWrap w:val="0"/>
              <w:autoSpaceDE w:val="0"/>
              <w:autoSpaceDN w:val="0"/>
              <w:spacing w:line="360" w:lineRule="auto"/>
              <w:jc w:val="center"/>
              <w:rPr>
                <w:rFonts w:hint="eastAsia"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13E3949A">
            <w:pPr>
              <w:widowControl/>
              <w:wordWrap w:val="0"/>
              <w:spacing w:line="360" w:lineRule="auto"/>
              <w:jc w:val="left"/>
              <w:rPr>
                <w:rFonts w:hint="eastAsia" w:ascii="宋体" w:hAnsi="宋体" w:cs="宋体"/>
                <w:color w:val="auto"/>
                <w:sz w:val="24"/>
                <w:highlight w:val="none"/>
              </w:rPr>
            </w:pPr>
          </w:p>
        </w:tc>
      </w:tr>
      <w:tr w14:paraId="179B4646">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vAlign w:val="center"/>
          </w:tcPr>
          <w:p w14:paraId="22A9BA3A">
            <w:pPr>
              <w:wordWrap w:val="0"/>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学历</w:t>
            </w:r>
          </w:p>
        </w:tc>
        <w:tc>
          <w:tcPr>
            <w:tcW w:w="1287" w:type="dxa"/>
            <w:tcBorders>
              <w:top w:val="single" w:color="auto" w:sz="6" w:space="0"/>
              <w:left w:val="single" w:color="auto" w:sz="6" w:space="0"/>
              <w:bottom w:val="single" w:color="auto" w:sz="6" w:space="0"/>
              <w:right w:val="single" w:color="auto" w:sz="4" w:space="0"/>
            </w:tcBorders>
            <w:vAlign w:val="center"/>
          </w:tcPr>
          <w:p w14:paraId="71781C81">
            <w:pPr>
              <w:wordWrap w:val="0"/>
              <w:autoSpaceDE w:val="0"/>
              <w:autoSpaceDN w:val="0"/>
              <w:spacing w:line="360" w:lineRule="auto"/>
              <w:jc w:val="center"/>
              <w:rPr>
                <w:rFonts w:hint="eastAsia"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71FA1756">
            <w:pPr>
              <w:wordWrap w:val="0"/>
              <w:autoSpaceDE w:val="0"/>
              <w:autoSpaceDN w:val="0"/>
              <w:spacing w:line="360" w:lineRule="auto"/>
              <w:jc w:val="center"/>
              <w:rPr>
                <w:rFonts w:hint="eastAsia"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2DACE4BC">
            <w:pPr>
              <w:widowControl/>
              <w:wordWrap w:val="0"/>
              <w:spacing w:line="360" w:lineRule="auto"/>
              <w:jc w:val="left"/>
              <w:rPr>
                <w:rFonts w:hint="eastAsia" w:ascii="宋体" w:hAnsi="宋体" w:cs="宋体"/>
                <w:color w:val="auto"/>
                <w:sz w:val="24"/>
                <w:highlight w:val="none"/>
              </w:rPr>
            </w:pPr>
          </w:p>
        </w:tc>
      </w:tr>
      <w:tr w14:paraId="599D2F17">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vAlign w:val="center"/>
          </w:tcPr>
          <w:p w14:paraId="64285477">
            <w:pPr>
              <w:wordWrap w:val="0"/>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资质证书编号</w:t>
            </w:r>
          </w:p>
        </w:tc>
        <w:tc>
          <w:tcPr>
            <w:tcW w:w="1287" w:type="dxa"/>
            <w:tcBorders>
              <w:top w:val="single" w:color="auto" w:sz="6" w:space="0"/>
              <w:left w:val="single" w:color="auto" w:sz="6" w:space="0"/>
              <w:bottom w:val="single" w:color="auto" w:sz="6" w:space="0"/>
              <w:right w:val="single" w:color="auto" w:sz="4" w:space="0"/>
            </w:tcBorders>
            <w:vAlign w:val="center"/>
          </w:tcPr>
          <w:p w14:paraId="3CEFBA79">
            <w:pPr>
              <w:wordWrap w:val="0"/>
              <w:autoSpaceDE w:val="0"/>
              <w:autoSpaceDN w:val="0"/>
              <w:spacing w:line="360" w:lineRule="auto"/>
              <w:jc w:val="center"/>
              <w:rPr>
                <w:rFonts w:hint="eastAsia"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42833AE3">
            <w:pPr>
              <w:wordWrap w:val="0"/>
              <w:autoSpaceDE w:val="0"/>
              <w:autoSpaceDN w:val="0"/>
              <w:spacing w:line="360" w:lineRule="auto"/>
              <w:jc w:val="center"/>
              <w:rPr>
                <w:rFonts w:hint="eastAsia"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1C17CF4B">
            <w:pPr>
              <w:widowControl/>
              <w:wordWrap w:val="0"/>
              <w:spacing w:line="360" w:lineRule="auto"/>
              <w:jc w:val="left"/>
              <w:rPr>
                <w:rFonts w:hint="eastAsia" w:ascii="宋体" w:hAnsi="宋体" w:cs="宋体"/>
                <w:color w:val="auto"/>
                <w:sz w:val="24"/>
                <w:highlight w:val="none"/>
              </w:rPr>
            </w:pPr>
          </w:p>
        </w:tc>
      </w:tr>
      <w:tr w14:paraId="1FDDA20C">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vAlign w:val="center"/>
          </w:tcPr>
          <w:p w14:paraId="27F5ACEF">
            <w:pPr>
              <w:wordWrap w:val="0"/>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其他资质情况</w:t>
            </w:r>
          </w:p>
        </w:tc>
        <w:tc>
          <w:tcPr>
            <w:tcW w:w="1287" w:type="dxa"/>
            <w:tcBorders>
              <w:top w:val="single" w:color="auto" w:sz="6" w:space="0"/>
              <w:left w:val="single" w:color="auto" w:sz="6" w:space="0"/>
              <w:bottom w:val="single" w:color="auto" w:sz="6" w:space="0"/>
              <w:right w:val="single" w:color="auto" w:sz="4" w:space="0"/>
            </w:tcBorders>
            <w:vAlign w:val="center"/>
          </w:tcPr>
          <w:p w14:paraId="3880AC6A">
            <w:pPr>
              <w:wordWrap w:val="0"/>
              <w:autoSpaceDE w:val="0"/>
              <w:autoSpaceDN w:val="0"/>
              <w:spacing w:line="360" w:lineRule="auto"/>
              <w:jc w:val="center"/>
              <w:rPr>
                <w:rFonts w:hint="eastAsia"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7C0DCC40">
            <w:pPr>
              <w:wordWrap w:val="0"/>
              <w:autoSpaceDE w:val="0"/>
              <w:autoSpaceDN w:val="0"/>
              <w:spacing w:line="360" w:lineRule="auto"/>
              <w:jc w:val="center"/>
              <w:rPr>
                <w:rFonts w:hint="eastAsia"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1831429C">
            <w:pPr>
              <w:widowControl/>
              <w:wordWrap w:val="0"/>
              <w:spacing w:line="360" w:lineRule="auto"/>
              <w:jc w:val="left"/>
              <w:rPr>
                <w:rFonts w:hint="eastAsia" w:ascii="宋体" w:hAnsi="宋体" w:cs="宋体"/>
                <w:color w:val="auto"/>
                <w:sz w:val="24"/>
                <w:highlight w:val="none"/>
              </w:rPr>
            </w:pPr>
          </w:p>
        </w:tc>
      </w:tr>
      <w:tr w14:paraId="7840B1F8">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vAlign w:val="center"/>
          </w:tcPr>
          <w:p w14:paraId="3D6D4317">
            <w:pPr>
              <w:wordWrap w:val="0"/>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联系电话</w:t>
            </w:r>
          </w:p>
        </w:tc>
        <w:tc>
          <w:tcPr>
            <w:tcW w:w="1287" w:type="dxa"/>
            <w:tcBorders>
              <w:top w:val="single" w:color="auto" w:sz="6" w:space="0"/>
              <w:left w:val="single" w:color="auto" w:sz="6" w:space="0"/>
              <w:bottom w:val="single" w:color="auto" w:sz="6" w:space="0"/>
              <w:right w:val="single" w:color="auto" w:sz="4" w:space="0"/>
            </w:tcBorders>
            <w:vAlign w:val="center"/>
          </w:tcPr>
          <w:p w14:paraId="552C2FD5">
            <w:pPr>
              <w:wordWrap w:val="0"/>
              <w:autoSpaceDE w:val="0"/>
              <w:autoSpaceDN w:val="0"/>
              <w:spacing w:line="360" w:lineRule="auto"/>
              <w:jc w:val="center"/>
              <w:rPr>
                <w:rFonts w:hint="eastAsia"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11137C22">
            <w:pPr>
              <w:wordWrap w:val="0"/>
              <w:autoSpaceDE w:val="0"/>
              <w:autoSpaceDN w:val="0"/>
              <w:spacing w:line="360" w:lineRule="auto"/>
              <w:jc w:val="center"/>
              <w:rPr>
                <w:rFonts w:hint="eastAsia"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4801FAB7">
            <w:pPr>
              <w:widowControl/>
              <w:wordWrap w:val="0"/>
              <w:spacing w:line="360" w:lineRule="auto"/>
              <w:jc w:val="left"/>
              <w:rPr>
                <w:rFonts w:hint="eastAsia" w:ascii="宋体" w:hAnsi="宋体" w:cs="宋体"/>
                <w:color w:val="auto"/>
                <w:sz w:val="24"/>
                <w:highlight w:val="none"/>
              </w:rPr>
            </w:pPr>
          </w:p>
        </w:tc>
      </w:tr>
    </w:tbl>
    <w:p w14:paraId="4F6E81FF">
      <w:pPr>
        <w:wordWrap w:val="0"/>
        <w:autoSpaceDE w:val="0"/>
        <w:autoSpaceDN w:val="0"/>
        <w:spacing w:line="360" w:lineRule="auto"/>
        <w:rPr>
          <w:rFonts w:hint="eastAsia" w:ascii="宋体" w:hAnsi="宋体" w:cs="宋体"/>
          <w:b/>
          <w:color w:val="auto"/>
          <w:sz w:val="24"/>
          <w:highlight w:val="none"/>
        </w:rPr>
      </w:pPr>
      <w:r>
        <w:rPr>
          <w:rFonts w:hint="eastAsia" w:ascii="宋体" w:hAnsi="宋体" w:cs="宋体"/>
          <w:b/>
          <w:color w:val="auto"/>
          <w:sz w:val="24"/>
          <w:highlight w:val="none"/>
        </w:rPr>
        <w:t>注：须随表提交相应的证书复印件并注明所在投标技术文件页码。</w:t>
      </w:r>
    </w:p>
    <w:p w14:paraId="275D6BBD">
      <w:pPr>
        <w:wordWrap w:val="0"/>
        <w:autoSpaceDE w:val="0"/>
        <w:autoSpaceDN w:val="0"/>
        <w:spacing w:line="360" w:lineRule="auto"/>
        <w:rPr>
          <w:rFonts w:hint="eastAsia" w:ascii="宋体" w:hAnsi="宋体" w:cs="宋体"/>
          <w:b/>
          <w:color w:val="auto"/>
          <w:sz w:val="24"/>
          <w:highlight w:val="none"/>
        </w:rPr>
      </w:pPr>
      <w:r>
        <w:rPr>
          <w:rFonts w:hint="eastAsia" w:ascii="宋体" w:hAnsi="宋体" w:cs="宋体"/>
          <w:b/>
          <w:color w:val="auto"/>
          <w:sz w:val="24"/>
          <w:highlight w:val="none"/>
        </w:rPr>
        <w:t>附表B:本项目的项目小组人员情况表</w:t>
      </w:r>
      <w:r>
        <w:rPr>
          <w:rFonts w:hint="eastAsia" w:ascii="宋体" w:hAnsi="宋体" w:cs="宋体"/>
          <w:color w:val="auto"/>
          <w:sz w:val="24"/>
          <w:highlight w:val="none"/>
        </w:rPr>
        <w:t>（按此格式自制）</w:t>
      </w:r>
    </w:p>
    <w:tbl>
      <w:tblPr>
        <w:tblStyle w:val="25"/>
        <w:tblW w:w="9030" w:type="dxa"/>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14:paraId="2ED4C5F1">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vAlign w:val="center"/>
          </w:tcPr>
          <w:p w14:paraId="4C6D8CA9">
            <w:pPr>
              <w:wordWrap w:val="0"/>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序号</w:t>
            </w:r>
          </w:p>
        </w:tc>
        <w:tc>
          <w:tcPr>
            <w:tcW w:w="787" w:type="dxa"/>
            <w:tcBorders>
              <w:top w:val="single" w:color="auto" w:sz="6" w:space="0"/>
              <w:left w:val="single" w:color="auto" w:sz="6" w:space="0"/>
              <w:bottom w:val="single" w:color="auto" w:sz="6" w:space="0"/>
              <w:right w:val="single" w:color="auto" w:sz="6" w:space="0"/>
            </w:tcBorders>
            <w:vAlign w:val="center"/>
          </w:tcPr>
          <w:p w14:paraId="080BDCE2">
            <w:pPr>
              <w:wordWrap w:val="0"/>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1E38B459">
            <w:pPr>
              <w:wordWrap w:val="0"/>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性别</w:t>
            </w:r>
          </w:p>
        </w:tc>
        <w:tc>
          <w:tcPr>
            <w:tcW w:w="586" w:type="dxa"/>
            <w:tcBorders>
              <w:top w:val="single" w:color="auto" w:sz="6" w:space="0"/>
              <w:left w:val="single" w:color="auto" w:sz="6" w:space="0"/>
              <w:bottom w:val="single" w:color="auto" w:sz="6" w:space="0"/>
              <w:right w:val="single" w:color="auto" w:sz="6" w:space="0"/>
            </w:tcBorders>
            <w:vAlign w:val="center"/>
          </w:tcPr>
          <w:p w14:paraId="55F5C951">
            <w:pPr>
              <w:wordWrap w:val="0"/>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年龄</w:t>
            </w:r>
          </w:p>
        </w:tc>
        <w:tc>
          <w:tcPr>
            <w:tcW w:w="1035" w:type="dxa"/>
            <w:tcBorders>
              <w:top w:val="single" w:color="auto" w:sz="6" w:space="0"/>
              <w:left w:val="single" w:color="auto" w:sz="6" w:space="0"/>
              <w:bottom w:val="single" w:color="auto" w:sz="6" w:space="0"/>
              <w:right w:val="single" w:color="auto" w:sz="6" w:space="0"/>
            </w:tcBorders>
            <w:vAlign w:val="center"/>
          </w:tcPr>
          <w:p w14:paraId="6AFF010F">
            <w:pPr>
              <w:wordWrap w:val="0"/>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学历</w:t>
            </w:r>
          </w:p>
          <w:p w14:paraId="08BCA5EC">
            <w:pPr>
              <w:wordWrap w:val="0"/>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4C41975E">
            <w:pPr>
              <w:wordWrap w:val="0"/>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专业</w:t>
            </w:r>
          </w:p>
          <w:p w14:paraId="21148951">
            <w:pPr>
              <w:wordWrap w:val="0"/>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4018520B">
            <w:pPr>
              <w:wordWrap w:val="0"/>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职称</w:t>
            </w:r>
          </w:p>
          <w:p w14:paraId="37C383D7">
            <w:pPr>
              <w:wordWrap w:val="0"/>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(页码)</w:t>
            </w:r>
          </w:p>
        </w:tc>
        <w:tc>
          <w:tcPr>
            <w:tcW w:w="1260" w:type="dxa"/>
            <w:tcBorders>
              <w:top w:val="single" w:color="auto" w:sz="6" w:space="0"/>
              <w:left w:val="single" w:color="auto" w:sz="6" w:space="0"/>
              <w:bottom w:val="single" w:color="auto" w:sz="6" w:space="0"/>
              <w:right w:val="single" w:color="auto" w:sz="6" w:space="0"/>
            </w:tcBorders>
            <w:vAlign w:val="center"/>
          </w:tcPr>
          <w:p w14:paraId="76287397">
            <w:pPr>
              <w:wordWrap w:val="0"/>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40B3C321">
            <w:pPr>
              <w:wordWrap w:val="0"/>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项目经历</w:t>
            </w:r>
          </w:p>
        </w:tc>
        <w:tc>
          <w:tcPr>
            <w:tcW w:w="1470" w:type="dxa"/>
            <w:tcBorders>
              <w:top w:val="single" w:color="auto" w:sz="6" w:space="0"/>
              <w:left w:val="single" w:color="auto" w:sz="6" w:space="0"/>
              <w:bottom w:val="single" w:color="auto" w:sz="6" w:space="0"/>
              <w:right w:val="single" w:color="auto" w:sz="6" w:space="0"/>
            </w:tcBorders>
            <w:vAlign w:val="center"/>
          </w:tcPr>
          <w:p w14:paraId="36D46220">
            <w:pPr>
              <w:wordWrap w:val="0"/>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参与本项目的到位情况</w:t>
            </w:r>
          </w:p>
        </w:tc>
      </w:tr>
      <w:tr w14:paraId="74AA7383">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tcPr>
          <w:p w14:paraId="38632CBD">
            <w:pPr>
              <w:wordWrap w:val="0"/>
              <w:autoSpaceDE w:val="0"/>
              <w:autoSpaceDN w:val="0"/>
              <w:spacing w:line="360" w:lineRule="auto"/>
              <w:jc w:val="center"/>
              <w:rPr>
                <w:rFonts w:hint="eastAsia" w:ascii="宋体" w:hAnsi="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20D08BE4">
            <w:pPr>
              <w:wordWrap w:val="0"/>
              <w:autoSpaceDE w:val="0"/>
              <w:autoSpaceDN w:val="0"/>
              <w:spacing w:line="360" w:lineRule="auto"/>
              <w:rPr>
                <w:rFonts w:hint="eastAsia" w:ascii="宋体" w:hAnsi="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3AEDFF31">
            <w:pPr>
              <w:wordWrap w:val="0"/>
              <w:autoSpaceDE w:val="0"/>
              <w:autoSpaceDN w:val="0"/>
              <w:spacing w:line="360" w:lineRule="auto"/>
              <w:rPr>
                <w:rFonts w:hint="eastAsia" w:ascii="宋体" w:hAnsi="宋体" w:cs="宋体"/>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142448C1">
            <w:pPr>
              <w:wordWrap w:val="0"/>
              <w:autoSpaceDE w:val="0"/>
              <w:autoSpaceDN w:val="0"/>
              <w:spacing w:line="360" w:lineRule="auto"/>
              <w:rPr>
                <w:rFonts w:hint="eastAsia" w:ascii="宋体" w:hAnsi="宋体" w:cs="宋体"/>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747C2E4B">
            <w:pPr>
              <w:wordWrap w:val="0"/>
              <w:autoSpaceDE w:val="0"/>
              <w:autoSpaceDN w:val="0"/>
              <w:spacing w:line="360" w:lineRule="auto"/>
              <w:rPr>
                <w:rFonts w:hint="eastAsia"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1B2C1158">
            <w:pPr>
              <w:wordWrap w:val="0"/>
              <w:autoSpaceDE w:val="0"/>
              <w:autoSpaceDN w:val="0"/>
              <w:spacing w:line="360" w:lineRule="auto"/>
              <w:rPr>
                <w:rFonts w:hint="eastAsia"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371B1A3E">
            <w:pPr>
              <w:wordWrap w:val="0"/>
              <w:autoSpaceDE w:val="0"/>
              <w:autoSpaceDN w:val="0"/>
              <w:spacing w:line="360" w:lineRule="auto"/>
              <w:rPr>
                <w:rFonts w:hint="eastAsia" w:ascii="宋体" w:hAnsi="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1ED6D84E">
            <w:pPr>
              <w:wordWrap w:val="0"/>
              <w:autoSpaceDE w:val="0"/>
              <w:autoSpaceDN w:val="0"/>
              <w:spacing w:line="360" w:lineRule="auto"/>
              <w:rPr>
                <w:rFonts w:hint="eastAsia"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3E6BD96F">
            <w:pPr>
              <w:wordWrap w:val="0"/>
              <w:autoSpaceDE w:val="0"/>
              <w:autoSpaceDN w:val="0"/>
              <w:spacing w:line="360" w:lineRule="auto"/>
              <w:rPr>
                <w:rFonts w:hint="eastAsia" w:ascii="宋体" w:hAnsi="宋体" w:cs="宋体"/>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tcPr>
          <w:p w14:paraId="14BBD472">
            <w:pPr>
              <w:wordWrap w:val="0"/>
              <w:autoSpaceDE w:val="0"/>
              <w:autoSpaceDN w:val="0"/>
              <w:spacing w:line="360" w:lineRule="auto"/>
              <w:rPr>
                <w:rFonts w:hint="eastAsia" w:ascii="宋体" w:hAnsi="宋体" w:cs="宋体"/>
                <w:color w:val="auto"/>
                <w:sz w:val="24"/>
                <w:highlight w:val="none"/>
              </w:rPr>
            </w:pPr>
          </w:p>
        </w:tc>
      </w:tr>
      <w:tr w14:paraId="239AA3E4">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tcPr>
          <w:p w14:paraId="70A117C1">
            <w:pPr>
              <w:wordWrap w:val="0"/>
              <w:autoSpaceDE w:val="0"/>
              <w:autoSpaceDN w:val="0"/>
              <w:spacing w:line="360" w:lineRule="auto"/>
              <w:jc w:val="center"/>
              <w:rPr>
                <w:rFonts w:hint="eastAsia" w:ascii="宋体" w:hAnsi="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105209FF">
            <w:pPr>
              <w:wordWrap w:val="0"/>
              <w:autoSpaceDE w:val="0"/>
              <w:autoSpaceDN w:val="0"/>
              <w:spacing w:line="360" w:lineRule="auto"/>
              <w:rPr>
                <w:rFonts w:hint="eastAsia" w:ascii="宋体" w:hAnsi="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07F9AAA7">
            <w:pPr>
              <w:wordWrap w:val="0"/>
              <w:autoSpaceDE w:val="0"/>
              <w:autoSpaceDN w:val="0"/>
              <w:spacing w:line="360" w:lineRule="auto"/>
              <w:rPr>
                <w:rFonts w:hint="eastAsia" w:ascii="宋体" w:hAnsi="宋体" w:cs="宋体"/>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7656C337">
            <w:pPr>
              <w:wordWrap w:val="0"/>
              <w:autoSpaceDE w:val="0"/>
              <w:autoSpaceDN w:val="0"/>
              <w:spacing w:line="360" w:lineRule="auto"/>
              <w:rPr>
                <w:rFonts w:hint="eastAsia" w:ascii="宋体" w:hAnsi="宋体" w:cs="宋体"/>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62A3176B">
            <w:pPr>
              <w:wordWrap w:val="0"/>
              <w:autoSpaceDE w:val="0"/>
              <w:autoSpaceDN w:val="0"/>
              <w:spacing w:line="360" w:lineRule="auto"/>
              <w:rPr>
                <w:rFonts w:hint="eastAsia"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3E32DDBF">
            <w:pPr>
              <w:wordWrap w:val="0"/>
              <w:autoSpaceDE w:val="0"/>
              <w:autoSpaceDN w:val="0"/>
              <w:spacing w:line="360" w:lineRule="auto"/>
              <w:rPr>
                <w:rFonts w:hint="eastAsia"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3960F12B">
            <w:pPr>
              <w:wordWrap w:val="0"/>
              <w:autoSpaceDE w:val="0"/>
              <w:autoSpaceDN w:val="0"/>
              <w:spacing w:line="360" w:lineRule="auto"/>
              <w:rPr>
                <w:rFonts w:hint="eastAsia" w:ascii="宋体" w:hAnsi="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09E5F042">
            <w:pPr>
              <w:wordWrap w:val="0"/>
              <w:autoSpaceDE w:val="0"/>
              <w:autoSpaceDN w:val="0"/>
              <w:spacing w:line="360" w:lineRule="auto"/>
              <w:rPr>
                <w:rFonts w:hint="eastAsia"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08C0448D">
            <w:pPr>
              <w:wordWrap w:val="0"/>
              <w:autoSpaceDE w:val="0"/>
              <w:autoSpaceDN w:val="0"/>
              <w:spacing w:line="360" w:lineRule="auto"/>
              <w:rPr>
                <w:rFonts w:hint="eastAsia" w:ascii="宋体" w:hAnsi="宋体" w:cs="宋体"/>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tcPr>
          <w:p w14:paraId="59029B9C">
            <w:pPr>
              <w:wordWrap w:val="0"/>
              <w:autoSpaceDE w:val="0"/>
              <w:autoSpaceDN w:val="0"/>
              <w:spacing w:line="360" w:lineRule="auto"/>
              <w:rPr>
                <w:rFonts w:hint="eastAsia" w:ascii="宋体" w:hAnsi="宋体" w:cs="宋体"/>
                <w:color w:val="auto"/>
                <w:sz w:val="24"/>
                <w:highlight w:val="none"/>
              </w:rPr>
            </w:pPr>
          </w:p>
        </w:tc>
      </w:tr>
    </w:tbl>
    <w:p w14:paraId="3A386E4C">
      <w:pPr>
        <w:wordWrap w:val="0"/>
        <w:spacing w:line="360" w:lineRule="auto"/>
        <w:rPr>
          <w:rFonts w:hint="eastAsia" w:ascii="宋体" w:hAnsi="宋体" w:cs="宋体"/>
          <w:b/>
          <w:bCs/>
          <w:color w:val="auto"/>
          <w:sz w:val="24"/>
          <w:highlight w:val="none"/>
        </w:rPr>
      </w:pPr>
      <w:r>
        <w:rPr>
          <w:rFonts w:hint="eastAsia" w:ascii="宋体" w:hAnsi="宋体" w:cs="宋体"/>
          <w:b/>
          <w:color w:val="auto"/>
          <w:sz w:val="24"/>
          <w:highlight w:val="none"/>
        </w:rPr>
        <w:t>注：投标人可按上述的格式自行编制，须随表提交相应的证书复印件并注明所在投标技术文件页码。</w:t>
      </w:r>
    </w:p>
    <w:p w14:paraId="25B7D0F7">
      <w:pPr>
        <w:wordWrap w:val="0"/>
        <w:snapToGrid w:val="0"/>
        <w:spacing w:line="360" w:lineRule="auto"/>
        <w:ind w:firstLine="4320" w:firstLineChars="180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投标人名称(电子签章)：</w:t>
      </w:r>
    </w:p>
    <w:p w14:paraId="3C551258">
      <w:pPr>
        <w:wordWrap w:val="0"/>
        <w:autoSpaceDE w:val="0"/>
        <w:autoSpaceDN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日期：  年  月   日</w:t>
      </w:r>
    </w:p>
    <w:p w14:paraId="6513B110">
      <w:pPr>
        <w:wordWrap w:val="0"/>
        <w:snapToGrid w:val="0"/>
        <w:spacing w:line="360" w:lineRule="auto"/>
        <w:rPr>
          <w:rFonts w:hint="eastAsia" w:ascii="宋体" w:hAnsi="宋体" w:cs="宋体"/>
          <w:color w:val="auto"/>
          <w:sz w:val="24"/>
          <w:highlight w:val="none"/>
        </w:rPr>
      </w:pPr>
    </w:p>
    <w:p w14:paraId="3244B98C">
      <w:pPr>
        <w:wordWrap w:val="0"/>
        <w:snapToGrid w:val="0"/>
        <w:spacing w:line="360" w:lineRule="auto"/>
        <w:jc w:val="left"/>
        <w:rPr>
          <w:rFonts w:hint="eastAsia" w:ascii="宋体" w:hAnsi="宋体" w:cs="宋体"/>
          <w:color w:val="auto"/>
          <w:sz w:val="24"/>
          <w:highlight w:val="none"/>
        </w:rPr>
      </w:pPr>
      <w:r>
        <w:rPr>
          <w:rFonts w:hint="eastAsia" w:ascii="宋体" w:hAnsi="宋体" w:cs="宋体"/>
          <w:b/>
          <w:color w:val="auto"/>
          <w:sz w:val="24"/>
          <w:highlight w:val="none"/>
        </w:rPr>
        <w:br w:type="page"/>
      </w:r>
      <w:r>
        <w:rPr>
          <w:rFonts w:hint="eastAsia" w:ascii="宋体" w:hAnsi="宋体" w:cs="宋体"/>
          <w:color w:val="auto"/>
          <w:sz w:val="24"/>
          <w:highlight w:val="none"/>
        </w:rPr>
        <w:t xml:space="preserve"> </w:t>
      </w:r>
    </w:p>
    <w:p w14:paraId="4095CBCD">
      <w:pPr>
        <w:wordWrap w:val="0"/>
        <w:snapToGrid w:val="0"/>
        <w:spacing w:line="360" w:lineRule="auto"/>
        <w:ind w:left="142"/>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五、投标人对项目的合理化建议和改进措施（如有）</w:t>
      </w:r>
    </w:p>
    <w:p w14:paraId="1A3CD7BD">
      <w:pPr>
        <w:wordWrap w:val="0"/>
        <w:spacing w:line="360" w:lineRule="auto"/>
        <w:ind w:firstLine="4048" w:firstLineChars="1687"/>
        <w:rPr>
          <w:rFonts w:hint="eastAsia" w:ascii="宋体" w:hAnsi="宋体" w:cs="宋体"/>
          <w:color w:val="auto"/>
          <w:sz w:val="24"/>
          <w:highlight w:val="none"/>
        </w:rPr>
      </w:pPr>
      <w:r>
        <w:rPr>
          <w:rFonts w:hint="eastAsia" w:ascii="宋体" w:hAnsi="宋体" w:cs="宋体"/>
          <w:color w:val="auto"/>
          <w:sz w:val="24"/>
          <w:highlight w:val="none"/>
        </w:rPr>
        <w:t>（格式自拟）</w:t>
      </w:r>
    </w:p>
    <w:p w14:paraId="54EADAE9">
      <w:pPr>
        <w:wordWrap w:val="0"/>
        <w:snapToGrid w:val="0"/>
        <w:spacing w:line="360" w:lineRule="auto"/>
        <w:ind w:firstLine="4935" w:firstLineChars="2350"/>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52F0179E">
      <w:pPr>
        <w:wordWrap w:val="0"/>
        <w:snapToGrid w:val="0"/>
        <w:spacing w:line="360" w:lineRule="auto"/>
        <w:ind w:firstLine="4935" w:firstLineChars="2350"/>
        <w:rPr>
          <w:rFonts w:hint="eastAsia" w:ascii="宋体" w:hAnsi="宋体" w:cs="宋体"/>
          <w:color w:val="auto"/>
          <w:szCs w:val="21"/>
          <w:highlight w:val="none"/>
        </w:rPr>
      </w:pPr>
    </w:p>
    <w:p w14:paraId="5410DC7C">
      <w:pPr>
        <w:wordWrap w:val="0"/>
        <w:snapToGrid w:val="0"/>
        <w:spacing w:line="360" w:lineRule="auto"/>
        <w:ind w:firstLine="4935" w:firstLineChars="2350"/>
        <w:rPr>
          <w:rFonts w:hint="eastAsia" w:ascii="宋体" w:hAnsi="宋体" w:cs="宋体"/>
          <w:color w:val="auto"/>
          <w:szCs w:val="21"/>
          <w:highlight w:val="none"/>
        </w:rPr>
      </w:pPr>
    </w:p>
    <w:p w14:paraId="6935373C">
      <w:pPr>
        <w:wordWrap w:val="0"/>
        <w:snapToGrid w:val="0"/>
        <w:spacing w:line="360" w:lineRule="auto"/>
        <w:ind w:firstLine="4935" w:firstLineChars="2350"/>
        <w:rPr>
          <w:rFonts w:hint="eastAsia" w:ascii="宋体" w:hAnsi="宋体" w:cs="宋体"/>
          <w:color w:val="auto"/>
          <w:szCs w:val="21"/>
          <w:highlight w:val="none"/>
        </w:rPr>
      </w:pPr>
    </w:p>
    <w:p w14:paraId="62181C1F">
      <w:pPr>
        <w:wordWrap w:val="0"/>
        <w:snapToGrid w:val="0"/>
        <w:spacing w:line="360" w:lineRule="auto"/>
        <w:ind w:firstLine="4935" w:firstLineChars="2350"/>
        <w:rPr>
          <w:rFonts w:hint="eastAsia" w:ascii="宋体" w:hAnsi="宋体" w:cs="宋体"/>
          <w:color w:val="auto"/>
          <w:kern w:val="0"/>
          <w:sz w:val="24"/>
          <w:highlight w:val="none"/>
        </w:rPr>
      </w:pPr>
      <w:r>
        <w:rPr>
          <w:rFonts w:hint="eastAsia" w:ascii="宋体" w:hAnsi="宋体" w:cs="宋体"/>
          <w:color w:val="auto"/>
          <w:szCs w:val="21"/>
          <w:highlight w:val="none"/>
        </w:rPr>
        <w:t xml:space="preserve">  </w:t>
      </w:r>
      <w:r>
        <w:rPr>
          <w:rFonts w:hint="eastAsia" w:ascii="宋体" w:hAnsi="宋体" w:cs="宋体"/>
          <w:color w:val="auto"/>
          <w:kern w:val="0"/>
          <w:sz w:val="24"/>
          <w:highlight w:val="none"/>
          <w:lang w:val="zh-CN"/>
        </w:rPr>
        <w:t>投标人名称(电子签章)：</w:t>
      </w:r>
    </w:p>
    <w:p w14:paraId="2CA2734A">
      <w:pPr>
        <w:wordWrap w:val="0"/>
        <w:snapToGrid w:val="0"/>
        <w:spacing w:line="360" w:lineRule="auto"/>
        <w:ind w:firstLine="5160" w:firstLineChars="215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3F0484E5">
      <w:pPr>
        <w:wordWrap w:val="0"/>
        <w:spacing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六、优惠条件及特殊承诺（如有）</w:t>
      </w:r>
    </w:p>
    <w:p w14:paraId="39493063">
      <w:pPr>
        <w:wordWrap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（由投标人根据采购需求自行编制）</w:t>
      </w:r>
    </w:p>
    <w:p w14:paraId="41CE80B1">
      <w:pPr>
        <w:wordWrap w:val="0"/>
        <w:spacing w:line="360" w:lineRule="auto"/>
        <w:jc w:val="center"/>
        <w:rPr>
          <w:rFonts w:hint="eastAsia" w:ascii="宋体" w:hAnsi="宋体" w:cs="宋体"/>
          <w:color w:val="auto"/>
          <w:sz w:val="18"/>
          <w:szCs w:val="18"/>
          <w:highlight w:val="none"/>
        </w:rPr>
      </w:pPr>
    </w:p>
    <w:p w14:paraId="7FD7D1A7">
      <w:pPr>
        <w:wordWrap w:val="0"/>
        <w:snapToGrid w:val="0"/>
        <w:spacing w:line="360" w:lineRule="auto"/>
        <w:ind w:firstLine="5040" w:firstLineChars="210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投标人名称(电子签章)：</w:t>
      </w:r>
    </w:p>
    <w:p w14:paraId="2C2357C7">
      <w:pPr>
        <w:wordWrap w:val="0"/>
        <w:snapToGrid w:val="0"/>
        <w:spacing w:line="360" w:lineRule="auto"/>
        <w:ind w:firstLine="5160" w:firstLineChars="215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4C7C4FE5">
      <w:pPr>
        <w:wordWrap w:val="0"/>
        <w:spacing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七、备品备件及供选择的配套零部件清单（如有）</w:t>
      </w:r>
    </w:p>
    <w:p w14:paraId="01DEB7F4">
      <w:pPr>
        <w:wordWrap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（由投标人根据采购需求自行编制）</w:t>
      </w:r>
    </w:p>
    <w:p w14:paraId="431E037F">
      <w:pPr>
        <w:wordWrap w:val="0"/>
        <w:autoSpaceDE w:val="0"/>
        <w:autoSpaceDN w:val="0"/>
        <w:spacing w:line="360" w:lineRule="auto"/>
        <w:ind w:firstLine="4440" w:firstLineChars="1850"/>
        <w:rPr>
          <w:rFonts w:hint="eastAsia" w:ascii="宋体" w:hAnsi="宋体" w:cs="宋体"/>
          <w:color w:val="auto"/>
          <w:kern w:val="0"/>
          <w:sz w:val="24"/>
          <w:highlight w:val="none"/>
        </w:rPr>
      </w:pPr>
    </w:p>
    <w:p w14:paraId="2B43C3AD">
      <w:pPr>
        <w:wordWrap w:val="0"/>
        <w:autoSpaceDE w:val="0"/>
        <w:autoSpaceDN w:val="0"/>
        <w:spacing w:line="360" w:lineRule="auto"/>
        <w:ind w:firstLine="4440" w:firstLineChars="1850"/>
        <w:rPr>
          <w:rFonts w:hint="eastAsia" w:ascii="宋体" w:hAnsi="宋体" w:cs="宋体"/>
          <w:color w:val="auto"/>
          <w:kern w:val="0"/>
          <w:sz w:val="24"/>
          <w:highlight w:val="none"/>
        </w:rPr>
      </w:pPr>
      <w:r>
        <w:rPr>
          <w:rFonts w:hint="eastAsia" w:ascii="宋体" w:hAnsi="宋体" w:cs="宋体"/>
          <w:color w:val="auto"/>
          <w:kern w:val="0"/>
          <w:sz w:val="24"/>
          <w:highlight w:val="none"/>
        </w:rPr>
        <w:t>投标人名称（</w:t>
      </w:r>
      <w:r>
        <w:rPr>
          <w:rFonts w:hint="eastAsia" w:ascii="宋体" w:hAnsi="宋体" w:cs="宋体"/>
          <w:color w:val="auto"/>
          <w:kern w:val="0"/>
          <w:sz w:val="24"/>
          <w:highlight w:val="none"/>
          <w:lang w:val="zh-CN"/>
        </w:rPr>
        <w:t>电子签章</w:t>
      </w:r>
      <w:r>
        <w:rPr>
          <w:rFonts w:hint="eastAsia" w:ascii="宋体" w:hAnsi="宋体" w:cs="宋体"/>
          <w:color w:val="auto"/>
          <w:kern w:val="0"/>
          <w:sz w:val="24"/>
          <w:highlight w:val="none"/>
        </w:rPr>
        <w:t>）：</w:t>
      </w:r>
    </w:p>
    <w:p w14:paraId="45F92336">
      <w:pPr>
        <w:wordWrap w:val="0"/>
        <w:autoSpaceDE w:val="0"/>
        <w:autoSpaceDN w:val="0"/>
        <w:spacing w:line="360" w:lineRule="auto"/>
        <w:rPr>
          <w:rFonts w:hint="eastAsia" w:ascii="宋体" w:hAnsi="宋体" w:cs="宋体"/>
          <w:b/>
          <w:bCs/>
          <w:color w:val="auto"/>
          <w:sz w:val="18"/>
          <w:szCs w:val="18"/>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日期：  年  月   日</w:t>
      </w:r>
    </w:p>
    <w:p w14:paraId="6144C72D">
      <w:pPr>
        <w:wordWrap w:val="0"/>
        <w:spacing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八、培训计划（如有）</w:t>
      </w:r>
    </w:p>
    <w:p w14:paraId="472AB390">
      <w:pPr>
        <w:wordWrap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（由投标人根据采购需求自行编制）</w:t>
      </w:r>
    </w:p>
    <w:p w14:paraId="40A7B6B7">
      <w:pPr>
        <w:keepNext/>
        <w:wordWrap w:val="0"/>
        <w:autoSpaceDE w:val="0"/>
        <w:autoSpaceDN w:val="0"/>
        <w:spacing w:line="360" w:lineRule="auto"/>
        <w:ind w:firstLine="477"/>
        <w:jc w:val="left"/>
        <w:rPr>
          <w:rFonts w:hint="eastAsia" w:ascii="宋体" w:hAnsi="宋体" w:cs="宋体"/>
          <w:b/>
          <w:color w:val="auto"/>
          <w:sz w:val="24"/>
          <w:highlight w:val="none"/>
        </w:rPr>
      </w:pPr>
      <w:r>
        <w:rPr>
          <w:rFonts w:hint="eastAsia" w:ascii="宋体" w:hAnsi="宋体" w:cs="宋体"/>
          <w:b/>
          <w:color w:val="auto"/>
          <w:sz w:val="24"/>
          <w:highlight w:val="none"/>
        </w:rPr>
        <w:t>附表: 培训日程及费用</w:t>
      </w:r>
    </w:p>
    <w:tbl>
      <w:tblPr>
        <w:tblStyle w:val="25"/>
        <w:tblW w:w="9000" w:type="dxa"/>
        <w:tblInd w:w="120" w:type="dxa"/>
        <w:tblLayout w:type="fixed"/>
        <w:tblCellMar>
          <w:top w:w="0" w:type="dxa"/>
          <w:left w:w="120" w:type="dxa"/>
          <w:bottom w:w="0" w:type="dxa"/>
          <w:right w:w="120" w:type="dxa"/>
        </w:tblCellMar>
      </w:tblPr>
      <w:tblGrid>
        <w:gridCol w:w="1806"/>
        <w:gridCol w:w="1254"/>
        <w:gridCol w:w="930"/>
        <w:gridCol w:w="953"/>
        <w:gridCol w:w="997"/>
        <w:gridCol w:w="1440"/>
        <w:gridCol w:w="1620"/>
      </w:tblGrid>
      <w:tr w14:paraId="2867C580">
        <w:tblPrEx>
          <w:tblCellMar>
            <w:top w:w="0" w:type="dxa"/>
            <w:left w:w="120" w:type="dxa"/>
            <w:bottom w:w="0" w:type="dxa"/>
            <w:right w:w="120" w:type="dxa"/>
          </w:tblCellMar>
        </w:tblPrEx>
        <w:trPr>
          <w:trHeight w:val="764" w:hRule="atLeast"/>
        </w:trPr>
        <w:tc>
          <w:tcPr>
            <w:tcW w:w="1806" w:type="dxa"/>
            <w:tcBorders>
              <w:top w:val="single" w:color="auto" w:sz="6" w:space="0"/>
              <w:left w:val="single" w:color="auto" w:sz="6" w:space="0"/>
              <w:bottom w:val="nil"/>
              <w:right w:val="nil"/>
            </w:tcBorders>
            <w:shd w:val="pct10" w:color="auto" w:fill="auto"/>
            <w:vAlign w:val="center"/>
          </w:tcPr>
          <w:p w14:paraId="52D5BD97">
            <w:pPr>
              <w:tabs>
                <w:tab w:val="center" w:pos="1690"/>
              </w:tabs>
              <w:suppressAutoHyphens/>
              <w:wordWrap w:val="0"/>
              <w:autoSpaceDE w:val="0"/>
              <w:autoSpaceDN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课程名称</w:t>
            </w:r>
          </w:p>
        </w:tc>
        <w:tc>
          <w:tcPr>
            <w:tcW w:w="1254" w:type="dxa"/>
            <w:tcBorders>
              <w:top w:val="single" w:color="auto" w:sz="6" w:space="0"/>
              <w:left w:val="single" w:color="auto" w:sz="6" w:space="0"/>
              <w:bottom w:val="nil"/>
              <w:right w:val="single" w:color="auto" w:sz="6" w:space="0"/>
            </w:tcBorders>
            <w:shd w:val="pct10" w:color="auto" w:fill="auto"/>
          </w:tcPr>
          <w:p w14:paraId="6F216F85">
            <w:pPr>
              <w:tabs>
                <w:tab w:val="center" w:pos="595"/>
              </w:tabs>
              <w:suppressAutoHyphens/>
              <w:wordWrap w:val="0"/>
              <w:autoSpaceDE w:val="0"/>
              <w:autoSpaceDN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提供的资料</w:t>
            </w:r>
          </w:p>
        </w:tc>
        <w:tc>
          <w:tcPr>
            <w:tcW w:w="930" w:type="dxa"/>
            <w:tcBorders>
              <w:top w:val="single" w:color="auto" w:sz="6" w:space="0"/>
              <w:left w:val="single" w:color="auto" w:sz="6" w:space="0"/>
              <w:bottom w:val="nil"/>
              <w:right w:val="nil"/>
            </w:tcBorders>
            <w:shd w:val="pct10" w:color="auto" w:fill="auto"/>
            <w:vAlign w:val="center"/>
          </w:tcPr>
          <w:p w14:paraId="7F879920">
            <w:pPr>
              <w:tabs>
                <w:tab w:val="center" w:pos="595"/>
              </w:tabs>
              <w:suppressAutoHyphens/>
              <w:wordWrap w:val="0"/>
              <w:autoSpaceDE w:val="0"/>
              <w:autoSpaceDN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持续时间</w:t>
            </w:r>
          </w:p>
        </w:tc>
        <w:tc>
          <w:tcPr>
            <w:tcW w:w="953" w:type="dxa"/>
            <w:tcBorders>
              <w:top w:val="single" w:color="auto" w:sz="6" w:space="0"/>
              <w:left w:val="single" w:color="auto" w:sz="6" w:space="0"/>
              <w:bottom w:val="nil"/>
              <w:right w:val="nil"/>
            </w:tcBorders>
            <w:shd w:val="pct10" w:color="auto" w:fill="auto"/>
            <w:vAlign w:val="center"/>
          </w:tcPr>
          <w:p w14:paraId="572D61DB">
            <w:pPr>
              <w:tabs>
                <w:tab w:val="center" w:pos="1028"/>
              </w:tabs>
              <w:suppressAutoHyphens/>
              <w:wordWrap w:val="0"/>
              <w:autoSpaceDE w:val="0"/>
              <w:autoSpaceDN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授课教师</w:t>
            </w:r>
          </w:p>
        </w:tc>
        <w:tc>
          <w:tcPr>
            <w:tcW w:w="997" w:type="dxa"/>
            <w:tcBorders>
              <w:top w:val="single" w:color="auto" w:sz="6" w:space="0"/>
              <w:left w:val="single" w:color="auto" w:sz="6" w:space="0"/>
              <w:bottom w:val="nil"/>
              <w:right w:val="nil"/>
            </w:tcBorders>
            <w:shd w:val="pct10" w:color="auto" w:fill="auto"/>
            <w:vAlign w:val="center"/>
          </w:tcPr>
          <w:p w14:paraId="521CFC70">
            <w:pPr>
              <w:tabs>
                <w:tab w:val="center" w:pos="595"/>
              </w:tabs>
              <w:suppressAutoHyphens/>
              <w:wordWrap w:val="0"/>
              <w:autoSpaceDE w:val="0"/>
              <w:autoSpaceDN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培训对象</w:t>
            </w:r>
          </w:p>
        </w:tc>
        <w:tc>
          <w:tcPr>
            <w:tcW w:w="1440" w:type="dxa"/>
            <w:tcBorders>
              <w:top w:val="single" w:color="auto" w:sz="6" w:space="0"/>
              <w:left w:val="single" w:color="auto" w:sz="6" w:space="0"/>
              <w:bottom w:val="nil"/>
              <w:right w:val="nil"/>
            </w:tcBorders>
            <w:shd w:val="pct10" w:color="auto" w:fill="auto"/>
            <w:vAlign w:val="center"/>
          </w:tcPr>
          <w:p w14:paraId="2203D93A">
            <w:pPr>
              <w:tabs>
                <w:tab w:val="center" w:pos="520"/>
              </w:tabs>
              <w:suppressAutoHyphens/>
              <w:wordWrap w:val="0"/>
              <w:autoSpaceDE w:val="0"/>
              <w:autoSpaceDN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培训地点</w:t>
            </w:r>
          </w:p>
        </w:tc>
        <w:tc>
          <w:tcPr>
            <w:tcW w:w="1620" w:type="dxa"/>
            <w:tcBorders>
              <w:top w:val="single" w:color="auto" w:sz="6" w:space="0"/>
              <w:left w:val="single" w:color="auto" w:sz="6" w:space="0"/>
              <w:bottom w:val="nil"/>
              <w:right w:val="single" w:color="auto" w:sz="6" w:space="0"/>
            </w:tcBorders>
            <w:shd w:val="pct10" w:color="auto" w:fill="auto"/>
            <w:vAlign w:val="center"/>
          </w:tcPr>
          <w:p w14:paraId="7159118D">
            <w:pPr>
              <w:suppressAutoHyphens/>
              <w:wordWrap w:val="0"/>
              <w:autoSpaceDE w:val="0"/>
              <w:autoSpaceDN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课程费用</w:t>
            </w:r>
          </w:p>
        </w:tc>
      </w:tr>
      <w:tr w14:paraId="37323B87">
        <w:tblPrEx>
          <w:tblCellMar>
            <w:top w:w="0" w:type="dxa"/>
            <w:left w:w="120" w:type="dxa"/>
            <w:bottom w:w="0" w:type="dxa"/>
            <w:right w:w="120" w:type="dxa"/>
          </w:tblCellMar>
        </w:tblPrEx>
        <w:trPr>
          <w:trHeight w:val="281" w:hRule="atLeast"/>
        </w:trPr>
        <w:tc>
          <w:tcPr>
            <w:tcW w:w="1806" w:type="dxa"/>
            <w:tcBorders>
              <w:top w:val="single" w:color="auto" w:sz="6" w:space="0"/>
              <w:left w:val="single" w:color="auto" w:sz="6" w:space="0"/>
              <w:bottom w:val="nil"/>
              <w:right w:val="nil"/>
            </w:tcBorders>
          </w:tcPr>
          <w:p w14:paraId="3DBF7659">
            <w:pPr>
              <w:tabs>
                <w:tab w:val="left" w:pos="589"/>
                <w:tab w:val="left" w:pos="1303"/>
                <w:tab w:val="left" w:pos="2017"/>
                <w:tab w:val="left" w:pos="2731"/>
                <w:tab w:val="left" w:pos="3445"/>
                <w:tab w:val="left" w:pos="4159"/>
                <w:tab w:val="left" w:pos="4873"/>
              </w:tabs>
              <w:suppressAutoHyphens/>
              <w:wordWrap w:val="0"/>
              <w:autoSpaceDE w:val="0"/>
              <w:autoSpaceDN w:val="0"/>
              <w:spacing w:line="360" w:lineRule="auto"/>
              <w:rPr>
                <w:rFonts w:hint="eastAsia" w:ascii="宋体" w:hAnsi="宋体" w:cs="宋体"/>
                <w:color w:val="auto"/>
                <w:sz w:val="24"/>
                <w:szCs w:val="24"/>
                <w:highlight w:val="none"/>
              </w:rPr>
            </w:pPr>
          </w:p>
        </w:tc>
        <w:tc>
          <w:tcPr>
            <w:tcW w:w="1254" w:type="dxa"/>
            <w:tcBorders>
              <w:top w:val="single" w:color="auto" w:sz="6" w:space="0"/>
              <w:left w:val="single" w:color="auto" w:sz="6" w:space="0"/>
              <w:bottom w:val="nil"/>
              <w:right w:val="single" w:color="auto" w:sz="6" w:space="0"/>
            </w:tcBorders>
          </w:tcPr>
          <w:p w14:paraId="0BB79228">
            <w:pPr>
              <w:tabs>
                <w:tab w:val="left" w:pos="556"/>
                <w:tab w:val="left" w:pos="1270"/>
                <w:tab w:val="left" w:pos="1984"/>
                <w:tab w:val="left" w:pos="2698"/>
                <w:tab w:val="left" w:pos="3412"/>
                <w:tab w:val="left" w:pos="4126"/>
                <w:tab w:val="left" w:pos="4840"/>
                <w:tab w:val="left" w:pos="5622"/>
                <w:tab w:val="left" w:pos="6054"/>
              </w:tabs>
              <w:suppressAutoHyphens/>
              <w:wordWrap w:val="0"/>
              <w:autoSpaceDE w:val="0"/>
              <w:autoSpaceDN w:val="0"/>
              <w:spacing w:line="360" w:lineRule="auto"/>
              <w:rPr>
                <w:rFonts w:hint="eastAsia" w:ascii="宋体" w:hAnsi="宋体" w:cs="宋体"/>
                <w:color w:val="auto"/>
                <w:sz w:val="24"/>
                <w:szCs w:val="24"/>
                <w:highlight w:val="none"/>
              </w:rPr>
            </w:pPr>
          </w:p>
        </w:tc>
        <w:tc>
          <w:tcPr>
            <w:tcW w:w="930" w:type="dxa"/>
            <w:tcBorders>
              <w:top w:val="single" w:color="auto" w:sz="6" w:space="0"/>
              <w:left w:val="single" w:color="auto" w:sz="6" w:space="0"/>
              <w:bottom w:val="nil"/>
              <w:right w:val="nil"/>
            </w:tcBorders>
          </w:tcPr>
          <w:p w14:paraId="1B758181">
            <w:pPr>
              <w:tabs>
                <w:tab w:val="left" w:pos="556"/>
                <w:tab w:val="left" w:pos="1270"/>
                <w:tab w:val="left" w:pos="1984"/>
                <w:tab w:val="left" w:pos="2698"/>
                <w:tab w:val="left" w:pos="3412"/>
                <w:tab w:val="left" w:pos="4126"/>
                <w:tab w:val="left" w:pos="4840"/>
                <w:tab w:val="left" w:pos="5622"/>
                <w:tab w:val="left" w:pos="6054"/>
              </w:tabs>
              <w:suppressAutoHyphens/>
              <w:wordWrap w:val="0"/>
              <w:autoSpaceDE w:val="0"/>
              <w:autoSpaceDN w:val="0"/>
              <w:spacing w:line="360" w:lineRule="auto"/>
              <w:rPr>
                <w:rFonts w:hint="eastAsia" w:ascii="宋体" w:hAnsi="宋体" w:cs="宋体"/>
                <w:color w:val="auto"/>
                <w:sz w:val="24"/>
                <w:szCs w:val="24"/>
                <w:highlight w:val="none"/>
              </w:rPr>
            </w:pPr>
          </w:p>
        </w:tc>
        <w:tc>
          <w:tcPr>
            <w:tcW w:w="953" w:type="dxa"/>
            <w:tcBorders>
              <w:top w:val="single" w:color="auto" w:sz="6" w:space="0"/>
              <w:left w:val="single" w:color="auto" w:sz="6" w:space="0"/>
              <w:bottom w:val="nil"/>
              <w:right w:val="nil"/>
            </w:tcBorders>
          </w:tcPr>
          <w:p w14:paraId="69AFD2E3">
            <w:pPr>
              <w:tabs>
                <w:tab w:val="left" w:pos="573"/>
                <w:tab w:val="left" w:pos="1287"/>
                <w:tab w:val="left" w:pos="2001"/>
                <w:tab w:val="left" w:pos="2715"/>
                <w:tab w:val="left" w:pos="3429"/>
                <w:tab w:val="left" w:pos="4211"/>
                <w:tab w:val="left" w:pos="4643"/>
              </w:tabs>
              <w:suppressAutoHyphens/>
              <w:wordWrap w:val="0"/>
              <w:autoSpaceDE w:val="0"/>
              <w:autoSpaceDN w:val="0"/>
              <w:spacing w:line="360" w:lineRule="auto"/>
              <w:rPr>
                <w:rFonts w:hint="eastAsia" w:ascii="宋体" w:hAnsi="宋体" w:cs="宋体"/>
                <w:color w:val="auto"/>
                <w:sz w:val="24"/>
                <w:szCs w:val="24"/>
                <w:highlight w:val="none"/>
              </w:rPr>
            </w:pPr>
          </w:p>
        </w:tc>
        <w:tc>
          <w:tcPr>
            <w:tcW w:w="997" w:type="dxa"/>
            <w:tcBorders>
              <w:top w:val="single" w:color="auto" w:sz="6" w:space="0"/>
              <w:left w:val="single" w:color="auto" w:sz="6" w:space="0"/>
              <w:bottom w:val="nil"/>
              <w:right w:val="nil"/>
            </w:tcBorders>
          </w:tcPr>
          <w:p w14:paraId="25330B1B">
            <w:pPr>
              <w:tabs>
                <w:tab w:val="left" w:pos="440"/>
                <w:tab w:val="left" w:pos="1154"/>
                <w:tab w:val="left" w:pos="1936"/>
                <w:tab w:val="left" w:pos="2368"/>
              </w:tabs>
              <w:suppressAutoHyphens/>
              <w:wordWrap w:val="0"/>
              <w:autoSpaceDE w:val="0"/>
              <w:autoSpaceDN w:val="0"/>
              <w:spacing w:line="360" w:lineRule="auto"/>
              <w:rPr>
                <w:rFonts w:hint="eastAsia" w:ascii="宋体" w:hAnsi="宋体" w:cs="宋体"/>
                <w:color w:val="auto"/>
                <w:sz w:val="24"/>
                <w:szCs w:val="24"/>
                <w:highlight w:val="none"/>
              </w:rPr>
            </w:pPr>
          </w:p>
        </w:tc>
        <w:tc>
          <w:tcPr>
            <w:tcW w:w="1440" w:type="dxa"/>
            <w:tcBorders>
              <w:top w:val="single" w:color="auto" w:sz="6" w:space="0"/>
              <w:left w:val="single" w:color="auto" w:sz="6" w:space="0"/>
              <w:bottom w:val="nil"/>
              <w:right w:val="nil"/>
            </w:tcBorders>
          </w:tcPr>
          <w:p w14:paraId="12616CAF">
            <w:pPr>
              <w:tabs>
                <w:tab w:val="left" w:pos="589"/>
                <w:tab w:val="left" w:pos="1303"/>
                <w:tab w:val="left" w:pos="2017"/>
                <w:tab w:val="left" w:pos="2731"/>
                <w:tab w:val="left" w:pos="3445"/>
                <w:tab w:val="left" w:pos="4159"/>
                <w:tab w:val="left" w:pos="4873"/>
              </w:tabs>
              <w:suppressAutoHyphens/>
              <w:wordWrap w:val="0"/>
              <w:autoSpaceDE w:val="0"/>
              <w:autoSpaceDN w:val="0"/>
              <w:spacing w:line="360" w:lineRule="auto"/>
              <w:rPr>
                <w:rFonts w:hint="eastAsia" w:ascii="宋体" w:hAnsi="宋体" w:cs="宋体"/>
                <w:color w:val="auto"/>
                <w:sz w:val="24"/>
                <w:szCs w:val="24"/>
                <w:highlight w:val="none"/>
              </w:rPr>
            </w:pPr>
          </w:p>
        </w:tc>
        <w:tc>
          <w:tcPr>
            <w:tcW w:w="1620" w:type="dxa"/>
            <w:tcBorders>
              <w:top w:val="single" w:color="auto" w:sz="6" w:space="0"/>
              <w:left w:val="single" w:color="auto" w:sz="6" w:space="0"/>
              <w:bottom w:val="nil"/>
              <w:right w:val="single" w:color="auto" w:sz="6" w:space="0"/>
            </w:tcBorders>
          </w:tcPr>
          <w:p w14:paraId="284CFD1A">
            <w:pPr>
              <w:suppressAutoHyphens/>
              <w:wordWrap w:val="0"/>
              <w:autoSpaceDE w:val="0"/>
              <w:autoSpaceDN w:val="0"/>
              <w:spacing w:line="360" w:lineRule="auto"/>
              <w:rPr>
                <w:rFonts w:hint="eastAsia" w:ascii="宋体" w:hAnsi="宋体" w:cs="宋体"/>
                <w:color w:val="auto"/>
                <w:sz w:val="24"/>
                <w:szCs w:val="24"/>
                <w:highlight w:val="none"/>
              </w:rPr>
            </w:pPr>
          </w:p>
        </w:tc>
      </w:tr>
      <w:tr w14:paraId="146B31A1">
        <w:tblPrEx>
          <w:tblCellMar>
            <w:top w:w="0" w:type="dxa"/>
            <w:left w:w="120" w:type="dxa"/>
            <w:bottom w:w="0" w:type="dxa"/>
            <w:right w:w="120" w:type="dxa"/>
          </w:tblCellMar>
        </w:tblPrEx>
        <w:trPr>
          <w:trHeight w:val="273" w:hRule="atLeast"/>
        </w:trPr>
        <w:tc>
          <w:tcPr>
            <w:tcW w:w="1806" w:type="dxa"/>
            <w:tcBorders>
              <w:top w:val="single" w:color="auto" w:sz="6" w:space="0"/>
              <w:left w:val="single" w:color="auto" w:sz="6" w:space="0"/>
              <w:bottom w:val="nil"/>
              <w:right w:val="nil"/>
            </w:tcBorders>
          </w:tcPr>
          <w:p w14:paraId="476085A2">
            <w:pPr>
              <w:tabs>
                <w:tab w:val="left" w:pos="589"/>
                <w:tab w:val="left" w:pos="1303"/>
                <w:tab w:val="left" w:pos="2017"/>
                <w:tab w:val="left" w:pos="2731"/>
                <w:tab w:val="left" w:pos="3445"/>
                <w:tab w:val="left" w:pos="4159"/>
                <w:tab w:val="left" w:pos="4873"/>
              </w:tabs>
              <w:suppressAutoHyphens/>
              <w:wordWrap w:val="0"/>
              <w:autoSpaceDE w:val="0"/>
              <w:autoSpaceDN w:val="0"/>
              <w:spacing w:line="360" w:lineRule="auto"/>
              <w:rPr>
                <w:rFonts w:hint="eastAsia" w:ascii="宋体" w:hAnsi="宋体" w:cs="宋体"/>
                <w:color w:val="auto"/>
                <w:sz w:val="24"/>
                <w:szCs w:val="24"/>
                <w:highlight w:val="none"/>
              </w:rPr>
            </w:pPr>
          </w:p>
        </w:tc>
        <w:tc>
          <w:tcPr>
            <w:tcW w:w="1254" w:type="dxa"/>
            <w:tcBorders>
              <w:top w:val="single" w:color="auto" w:sz="6" w:space="0"/>
              <w:left w:val="single" w:color="auto" w:sz="6" w:space="0"/>
              <w:bottom w:val="nil"/>
              <w:right w:val="single" w:color="auto" w:sz="6" w:space="0"/>
            </w:tcBorders>
          </w:tcPr>
          <w:p w14:paraId="4097CCFF">
            <w:pPr>
              <w:tabs>
                <w:tab w:val="left" w:pos="556"/>
                <w:tab w:val="left" w:pos="1270"/>
                <w:tab w:val="left" w:pos="1984"/>
                <w:tab w:val="left" w:pos="2698"/>
                <w:tab w:val="left" w:pos="3412"/>
                <w:tab w:val="left" w:pos="4126"/>
                <w:tab w:val="left" w:pos="4840"/>
                <w:tab w:val="left" w:pos="5622"/>
                <w:tab w:val="left" w:pos="6054"/>
              </w:tabs>
              <w:suppressAutoHyphens/>
              <w:wordWrap w:val="0"/>
              <w:autoSpaceDE w:val="0"/>
              <w:autoSpaceDN w:val="0"/>
              <w:spacing w:line="360" w:lineRule="auto"/>
              <w:rPr>
                <w:rFonts w:hint="eastAsia" w:ascii="宋体" w:hAnsi="宋体" w:cs="宋体"/>
                <w:color w:val="auto"/>
                <w:sz w:val="24"/>
                <w:szCs w:val="24"/>
                <w:highlight w:val="none"/>
              </w:rPr>
            </w:pPr>
          </w:p>
        </w:tc>
        <w:tc>
          <w:tcPr>
            <w:tcW w:w="930" w:type="dxa"/>
            <w:tcBorders>
              <w:top w:val="single" w:color="auto" w:sz="6" w:space="0"/>
              <w:left w:val="single" w:color="auto" w:sz="6" w:space="0"/>
              <w:bottom w:val="nil"/>
              <w:right w:val="nil"/>
            </w:tcBorders>
          </w:tcPr>
          <w:p w14:paraId="70DB5042">
            <w:pPr>
              <w:tabs>
                <w:tab w:val="left" w:pos="556"/>
                <w:tab w:val="left" w:pos="1270"/>
                <w:tab w:val="left" w:pos="1984"/>
                <w:tab w:val="left" w:pos="2698"/>
                <w:tab w:val="left" w:pos="3412"/>
                <w:tab w:val="left" w:pos="4126"/>
                <w:tab w:val="left" w:pos="4840"/>
                <w:tab w:val="left" w:pos="5622"/>
                <w:tab w:val="left" w:pos="6054"/>
              </w:tabs>
              <w:suppressAutoHyphens/>
              <w:wordWrap w:val="0"/>
              <w:autoSpaceDE w:val="0"/>
              <w:autoSpaceDN w:val="0"/>
              <w:spacing w:line="360" w:lineRule="auto"/>
              <w:rPr>
                <w:rFonts w:hint="eastAsia" w:ascii="宋体" w:hAnsi="宋体" w:cs="宋体"/>
                <w:color w:val="auto"/>
                <w:sz w:val="24"/>
                <w:szCs w:val="24"/>
                <w:highlight w:val="none"/>
              </w:rPr>
            </w:pPr>
          </w:p>
        </w:tc>
        <w:tc>
          <w:tcPr>
            <w:tcW w:w="953" w:type="dxa"/>
            <w:tcBorders>
              <w:top w:val="single" w:color="auto" w:sz="6" w:space="0"/>
              <w:left w:val="single" w:color="auto" w:sz="6" w:space="0"/>
              <w:bottom w:val="nil"/>
              <w:right w:val="nil"/>
            </w:tcBorders>
          </w:tcPr>
          <w:p w14:paraId="41103D72">
            <w:pPr>
              <w:tabs>
                <w:tab w:val="left" w:pos="573"/>
                <w:tab w:val="left" w:pos="1287"/>
                <w:tab w:val="left" w:pos="2001"/>
                <w:tab w:val="left" w:pos="2715"/>
                <w:tab w:val="left" w:pos="3429"/>
                <w:tab w:val="left" w:pos="4211"/>
                <w:tab w:val="left" w:pos="4643"/>
              </w:tabs>
              <w:suppressAutoHyphens/>
              <w:wordWrap w:val="0"/>
              <w:autoSpaceDE w:val="0"/>
              <w:autoSpaceDN w:val="0"/>
              <w:spacing w:line="360" w:lineRule="auto"/>
              <w:rPr>
                <w:rFonts w:hint="eastAsia" w:ascii="宋体" w:hAnsi="宋体" w:cs="宋体"/>
                <w:color w:val="auto"/>
                <w:sz w:val="24"/>
                <w:szCs w:val="24"/>
                <w:highlight w:val="none"/>
              </w:rPr>
            </w:pPr>
          </w:p>
        </w:tc>
        <w:tc>
          <w:tcPr>
            <w:tcW w:w="997" w:type="dxa"/>
            <w:tcBorders>
              <w:top w:val="single" w:color="auto" w:sz="6" w:space="0"/>
              <w:left w:val="single" w:color="auto" w:sz="6" w:space="0"/>
              <w:bottom w:val="nil"/>
              <w:right w:val="nil"/>
            </w:tcBorders>
          </w:tcPr>
          <w:p w14:paraId="29717CA3">
            <w:pPr>
              <w:tabs>
                <w:tab w:val="left" w:pos="440"/>
                <w:tab w:val="left" w:pos="1154"/>
                <w:tab w:val="left" w:pos="1936"/>
                <w:tab w:val="left" w:pos="2368"/>
              </w:tabs>
              <w:suppressAutoHyphens/>
              <w:wordWrap w:val="0"/>
              <w:autoSpaceDE w:val="0"/>
              <w:autoSpaceDN w:val="0"/>
              <w:spacing w:line="360" w:lineRule="auto"/>
              <w:rPr>
                <w:rFonts w:hint="eastAsia" w:ascii="宋体" w:hAnsi="宋体" w:cs="宋体"/>
                <w:color w:val="auto"/>
                <w:sz w:val="24"/>
                <w:szCs w:val="24"/>
                <w:highlight w:val="none"/>
              </w:rPr>
            </w:pPr>
          </w:p>
        </w:tc>
        <w:tc>
          <w:tcPr>
            <w:tcW w:w="1440" w:type="dxa"/>
            <w:tcBorders>
              <w:top w:val="single" w:color="auto" w:sz="6" w:space="0"/>
              <w:left w:val="single" w:color="auto" w:sz="6" w:space="0"/>
              <w:bottom w:val="nil"/>
              <w:right w:val="nil"/>
            </w:tcBorders>
          </w:tcPr>
          <w:p w14:paraId="74E1C458">
            <w:pPr>
              <w:tabs>
                <w:tab w:val="left" w:pos="7"/>
              </w:tabs>
              <w:suppressAutoHyphens/>
              <w:wordWrap w:val="0"/>
              <w:autoSpaceDE w:val="0"/>
              <w:autoSpaceDN w:val="0"/>
              <w:spacing w:line="360" w:lineRule="auto"/>
              <w:rPr>
                <w:rFonts w:hint="eastAsia" w:ascii="宋体" w:hAnsi="宋体" w:cs="宋体"/>
                <w:color w:val="auto"/>
                <w:sz w:val="24"/>
                <w:szCs w:val="24"/>
                <w:highlight w:val="none"/>
              </w:rPr>
            </w:pPr>
          </w:p>
        </w:tc>
        <w:tc>
          <w:tcPr>
            <w:tcW w:w="1620" w:type="dxa"/>
            <w:tcBorders>
              <w:top w:val="single" w:color="auto" w:sz="6" w:space="0"/>
              <w:left w:val="single" w:color="auto" w:sz="6" w:space="0"/>
              <w:bottom w:val="nil"/>
              <w:right w:val="single" w:color="auto" w:sz="6" w:space="0"/>
            </w:tcBorders>
          </w:tcPr>
          <w:p w14:paraId="60C11356">
            <w:pPr>
              <w:suppressAutoHyphens/>
              <w:wordWrap w:val="0"/>
              <w:autoSpaceDE w:val="0"/>
              <w:autoSpaceDN w:val="0"/>
              <w:spacing w:line="360" w:lineRule="auto"/>
              <w:rPr>
                <w:rFonts w:hint="eastAsia" w:ascii="宋体" w:hAnsi="宋体" w:cs="宋体"/>
                <w:color w:val="auto"/>
                <w:sz w:val="24"/>
                <w:szCs w:val="24"/>
                <w:highlight w:val="none"/>
              </w:rPr>
            </w:pPr>
          </w:p>
        </w:tc>
      </w:tr>
      <w:tr w14:paraId="58F5466C">
        <w:tblPrEx>
          <w:tblCellMar>
            <w:top w:w="0" w:type="dxa"/>
            <w:left w:w="120" w:type="dxa"/>
            <w:bottom w:w="0" w:type="dxa"/>
            <w:right w:w="120" w:type="dxa"/>
          </w:tblCellMar>
        </w:tblPrEx>
        <w:trPr>
          <w:trHeight w:val="110" w:hRule="atLeast"/>
        </w:trPr>
        <w:tc>
          <w:tcPr>
            <w:tcW w:w="1806" w:type="dxa"/>
            <w:tcBorders>
              <w:top w:val="single" w:color="auto" w:sz="6" w:space="0"/>
              <w:left w:val="single" w:color="auto" w:sz="6" w:space="0"/>
              <w:bottom w:val="single" w:color="auto" w:sz="6" w:space="0"/>
              <w:right w:val="single" w:color="auto" w:sz="6" w:space="0"/>
            </w:tcBorders>
            <w:vAlign w:val="center"/>
          </w:tcPr>
          <w:p w14:paraId="20A78ED4">
            <w:pPr>
              <w:tabs>
                <w:tab w:val="left" w:pos="589"/>
                <w:tab w:val="left" w:pos="1303"/>
                <w:tab w:val="left" w:pos="2017"/>
                <w:tab w:val="left" w:pos="2731"/>
                <w:tab w:val="left" w:pos="3445"/>
                <w:tab w:val="left" w:pos="4159"/>
                <w:tab w:val="left" w:pos="4873"/>
              </w:tabs>
              <w:suppressAutoHyphens/>
              <w:wordWrap w:val="0"/>
              <w:autoSpaceDE w:val="0"/>
              <w:autoSpaceDN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费用总计</w:t>
            </w:r>
          </w:p>
        </w:tc>
        <w:tc>
          <w:tcPr>
            <w:tcW w:w="1254" w:type="dxa"/>
            <w:tcBorders>
              <w:top w:val="single" w:color="auto" w:sz="6" w:space="0"/>
              <w:left w:val="single" w:color="auto" w:sz="6" w:space="0"/>
              <w:bottom w:val="single" w:color="auto" w:sz="6" w:space="0"/>
              <w:right w:val="single" w:color="auto" w:sz="6" w:space="0"/>
            </w:tcBorders>
          </w:tcPr>
          <w:p w14:paraId="331FB2FD">
            <w:pPr>
              <w:tabs>
                <w:tab w:val="left" w:pos="556"/>
                <w:tab w:val="left" w:pos="1270"/>
                <w:tab w:val="left" w:pos="1984"/>
                <w:tab w:val="left" w:pos="2698"/>
                <w:tab w:val="left" w:pos="3412"/>
                <w:tab w:val="left" w:pos="4126"/>
                <w:tab w:val="left" w:pos="4840"/>
                <w:tab w:val="left" w:pos="5622"/>
                <w:tab w:val="left" w:pos="6054"/>
              </w:tabs>
              <w:suppressAutoHyphens/>
              <w:wordWrap w:val="0"/>
              <w:autoSpaceDE w:val="0"/>
              <w:autoSpaceDN w:val="0"/>
              <w:spacing w:line="360" w:lineRule="auto"/>
              <w:rPr>
                <w:rFonts w:hint="eastAsia" w:ascii="宋体" w:hAnsi="宋体" w:cs="宋体"/>
                <w:color w:val="auto"/>
                <w:sz w:val="24"/>
                <w:szCs w:val="24"/>
                <w:highlight w:val="none"/>
              </w:rPr>
            </w:pPr>
          </w:p>
        </w:tc>
        <w:tc>
          <w:tcPr>
            <w:tcW w:w="930" w:type="dxa"/>
            <w:tcBorders>
              <w:top w:val="single" w:color="auto" w:sz="6" w:space="0"/>
              <w:left w:val="single" w:color="auto" w:sz="6" w:space="0"/>
              <w:bottom w:val="single" w:color="auto" w:sz="6" w:space="0"/>
              <w:right w:val="single" w:color="auto" w:sz="6" w:space="0"/>
            </w:tcBorders>
          </w:tcPr>
          <w:p w14:paraId="67A94D50">
            <w:pPr>
              <w:tabs>
                <w:tab w:val="left" w:pos="556"/>
                <w:tab w:val="left" w:pos="1270"/>
                <w:tab w:val="left" w:pos="1984"/>
                <w:tab w:val="left" w:pos="2698"/>
                <w:tab w:val="left" w:pos="3412"/>
                <w:tab w:val="left" w:pos="4126"/>
                <w:tab w:val="left" w:pos="4840"/>
                <w:tab w:val="left" w:pos="5622"/>
                <w:tab w:val="left" w:pos="6054"/>
              </w:tabs>
              <w:suppressAutoHyphens/>
              <w:wordWrap w:val="0"/>
              <w:autoSpaceDE w:val="0"/>
              <w:autoSpaceDN w:val="0"/>
              <w:spacing w:line="360" w:lineRule="auto"/>
              <w:rPr>
                <w:rFonts w:hint="eastAsia" w:ascii="宋体" w:hAnsi="宋体" w:cs="宋体"/>
                <w:color w:val="auto"/>
                <w:sz w:val="24"/>
                <w:szCs w:val="24"/>
                <w:highlight w:val="none"/>
              </w:rPr>
            </w:pPr>
          </w:p>
        </w:tc>
        <w:tc>
          <w:tcPr>
            <w:tcW w:w="953" w:type="dxa"/>
            <w:tcBorders>
              <w:top w:val="single" w:color="auto" w:sz="6" w:space="0"/>
              <w:left w:val="single" w:color="auto" w:sz="6" w:space="0"/>
              <w:bottom w:val="single" w:color="auto" w:sz="6" w:space="0"/>
              <w:right w:val="single" w:color="auto" w:sz="6" w:space="0"/>
            </w:tcBorders>
          </w:tcPr>
          <w:p w14:paraId="322AE925">
            <w:pPr>
              <w:tabs>
                <w:tab w:val="left" w:pos="573"/>
                <w:tab w:val="left" w:pos="1287"/>
                <w:tab w:val="left" w:pos="2001"/>
                <w:tab w:val="left" w:pos="2715"/>
                <w:tab w:val="left" w:pos="3429"/>
                <w:tab w:val="left" w:pos="4211"/>
                <w:tab w:val="left" w:pos="4643"/>
              </w:tabs>
              <w:suppressAutoHyphens/>
              <w:wordWrap w:val="0"/>
              <w:autoSpaceDE w:val="0"/>
              <w:autoSpaceDN w:val="0"/>
              <w:spacing w:line="360" w:lineRule="auto"/>
              <w:rPr>
                <w:rFonts w:hint="eastAsia" w:ascii="宋体" w:hAnsi="宋体" w:cs="宋体"/>
                <w:color w:val="auto"/>
                <w:sz w:val="24"/>
                <w:szCs w:val="24"/>
                <w:highlight w:val="none"/>
              </w:rPr>
            </w:pPr>
          </w:p>
        </w:tc>
        <w:tc>
          <w:tcPr>
            <w:tcW w:w="997" w:type="dxa"/>
            <w:tcBorders>
              <w:top w:val="single" w:color="auto" w:sz="6" w:space="0"/>
              <w:left w:val="single" w:color="auto" w:sz="6" w:space="0"/>
              <w:bottom w:val="single" w:color="auto" w:sz="6" w:space="0"/>
              <w:right w:val="single" w:color="auto" w:sz="6" w:space="0"/>
            </w:tcBorders>
          </w:tcPr>
          <w:p w14:paraId="5A279A2B">
            <w:pPr>
              <w:tabs>
                <w:tab w:val="left" w:pos="440"/>
                <w:tab w:val="left" w:pos="1154"/>
                <w:tab w:val="left" w:pos="1936"/>
                <w:tab w:val="left" w:pos="2368"/>
              </w:tabs>
              <w:suppressAutoHyphens/>
              <w:wordWrap w:val="0"/>
              <w:autoSpaceDE w:val="0"/>
              <w:autoSpaceDN w:val="0"/>
              <w:spacing w:line="360" w:lineRule="auto"/>
              <w:rPr>
                <w:rFonts w:hint="eastAsia" w:ascii="宋体" w:hAnsi="宋体" w:cs="宋体"/>
                <w:color w:val="auto"/>
                <w:sz w:val="24"/>
                <w:szCs w:val="24"/>
                <w:highlight w:val="none"/>
              </w:rPr>
            </w:pPr>
          </w:p>
        </w:tc>
        <w:tc>
          <w:tcPr>
            <w:tcW w:w="1440" w:type="dxa"/>
            <w:tcBorders>
              <w:top w:val="single" w:color="auto" w:sz="6" w:space="0"/>
              <w:left w:val="single" w:color="auto" w:sz="6" w:space="0"/>
              <w:bottom w:val="single" w:color="auto" w:sz="6" w:space="0"/>
              <w:right w:val="single" w:color="auto" w:sz="6" w:space="0"/>
            </w:tcBorders>
          </w:tcPr>
          <w:p w14:paraId="7D879538">
            <w:pPr>
              <w:tabs>
                <w:tab w:val="left" w:pos="7"/>
              </w:tabs>
              <w:suppressAutoHyphens/>
              <w:wordWrap w:val="0"/>
              <w:autoSpaceDE w:val="0"/>
              <w:autoSpaceDN w:val="0"/>
              <w:spacing w:line="360" w:lineRule="auto"/>
              <w:rPr>
                <w:rFonts w:hint="eastAsia" w:ascii="宋体" w:hAnsi="宋体" w:cs="宋体"/>
                <w:color w:val="auto"/>
                <w:sz w:val="24"/>
                <w:szCs w:val="24"/>
                <w:highlight w:val="none"/>
              </w:rPr>
            </w:pPr>
          </w:p>
        </w:tc>
        <w:tc>
          <w:tcPr>
            <w:tcW w:w="1620" w:type="dxa"/>
            <w:tcBorders>
              <w:top w:val="single" w:color="auto" w:sz="6" w:space="0"/>
              <w:left w:val="single" w:color="auto" w:sz="6" w:space="0"/>
              <w:bottom w:val="single" w:color="auto" w:sz="6" w:space="0"/>
              <w:right w:val="single" w:color="auto" w:sz="6" w:space="0"/>
            </w:tcBorders>
          </w:tcPr>
          <w:p w14:paraId="2BE62D57">
            <w:pPr>
              <w:suppressAutoHyphens/>
              <w:wordWrap w:val="0"/>
              <w:autoSpaceDE w:val="0"/>
              <w:autoSpaceDN w:val="0"/>
              <w:spacing w:line="360" w:lineRule="auto"/>
              <w:rPr>
                <w:rFonts w:hint="eastAsia" w:ascii="宋体" w:hAnsi="宋体" w:cs="宋体"/>
                <w:color w:val="auto"/>
                <w:sz w:val="24"/>
                <w:szCs w:val="24"/>
                <w:highlight w:val="none"/>
              </w:rPr>
            </w:pPr>
          </w:p>
        </w:tc>
      </w:tr>
    </w:tbl>
    <w:p w14:paraId="706D5857">
      <w:pPr>
        <w:tabs>
          <w:tab w:val="left" w:pos="709"/>
          <w:tab w:val="left" w:pos="1005"/>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wordWrap w:val="0"/>
        <w:autoSpaceDE w:val="0"/>
        <w:autoSpaceDN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注解:A</w:t>
      </w:r>
      <w:r>
        <w:rPr>
          <w:rFonts w:hint="eastAsia" w:ascii="宋体" w:hAnsi="宋体" w:cs="宋体"/>
          <w:color w:val="auto"/>
          <w:sz w:val="24"/>
          <w:szCs w:val="24"/>
          <w:highlight w:val="none"/>
        </w:rPr>
        <w:tab/>
      </w:r>
      <w:r>
        <w:rPr>
          <w:rFonts w:hint="eastAsia" w:ascii="宋体" w:hAnsi="宋体" w:cs="宋体"/>
          <w:color w:val="auto"/>
          <w:sz w:val="24"/>
          <w:szCs w:val="24"/>
          <w:highlight w:val="none"/>
        </w:rPr>
        <w:t>课程清单按时间顺序排列，并提供以下详细资料：</w:t>
      </w:r>
    </w:p>
    <w:p w14:paraId="31460341">
      <w:pPr>
        <w:numPr>
          <w:ilvl w:val="0"/>
          <w:numId w:val="5"/>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wordWrap w:val="0"/>
        <w:autoSpaceDE w:val="0"/>
        <w:autoSpaceDN w:val="0"/>
        <w:adjustRightInd w:val="0"/>
        <w:spacing w:line="360" w:lineRule="auto"/>
        <w:ind w:left="1069" w:hanging="420"/>
        <w:rPr>
          <w:rFonts w:hint="eastAsia" w:ascii="宋体" w:hAnsi="宋体" w:cs="宋体"/>
          <w:color w:val="auto"/>
          <w:sz w:val="24"/>
          <w:szCs w:val="24"/>
          <w:highlight w:val="none"/>
        </w:rPr>
      </w:pPr>
      <w:r>
        <w:rPr>
          <w:rFonts w:hint="eastAsia" w:ascii="宋体" w:hAnsi="宋体" w:cs="宋体"/>
          <w:color w:val="auto"/>
          <w:sz w:val="24"/>
          <w:szCs w:val="24"/>
          <w:highlight w:val="none"/>
        </w:rPr>
        <w:t>课程概要</w:t>
      </w:r>
    </w:p>
    <w:p w14:paraId="4F764044">
      <w:pPr>
        <w:numPr>
          <w:ilvl w:val="0"/>
          <w:numId w:val="5"/>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wordWrap w:val="0"/>
        <w:autoSpaceDE w:val="0"/>
        <w:autoSpaceDN w:val="0"/>
        <w:adjustRightInd w:val="0"/>
        <w:spacing w:line="360" w:lineRule="auto"/>
        <w:ind w:left="1069" w:hanging="420"/>
        <w:rPr>
          <w:rFonts w:hint="eastAsia" w:ascii="宋体" w:hAnsi="宋体" w:cs="宋体"/>
          <w:color w:val="auto"/>
          <w:sz w:val="24"/>
          <w:szCs w:val="24"/>
          <w:highlight w:val="none"/>
        </w:rPr>
      </w:pPr>
      <w:r>
        <w:rPr>
          <w:rFonts w:hint="eastAsia" w:ascii="宋体" w:hAnsi="宋体" w:cs="宋体"/>
          <w:color w:val="auto"/>
          <w:sz w:val="24"/>
          <w:szCs w:val="24"/>
          <w:highlight w:val="none"/>
        </w:rPr>
        <w:t>课程目的</w:t>
      </w:r>
    </w:p>
    <w:p w14:paraId="3B39B126">
      <w:pPr>
        <w:numPr>
          <w:ilvl w:val="0"/>
          <w:numId w:val="5"/>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wordWrap w:val="0"/>
        <w:autoSpaceDE w:val="0"/>
        <w:autoSpaceDN w:val="0"/>
        <w:adjustRightInd w:val="0"/>
        <w:spacing w:line="360" w:lineRule="auto"/>
        <w:ind w:left="1069" w:hanging="420"/>
        <w:rPr>
          <w:rFonts w:hint="eastAsia" w:ascii="宋体" w:hAnsi="宋体" w:cs="宋体"/>
          <w:color w:val="auto"/>
          <w:sz w:val="24"/>
          <w:szCs w:val="24"/>
          <w:highlight w:val="none"/>
        </w:rPr>
      </w:pPr>
      <w:r>
        <w:rPr>
          <w:rFonts w:hint="eastAsia" w:ascii="宋体" w:hAnsi="宋体" w:cs="宋体"/>
          <w:color w:val="auto"/>
          <w:sz w:val="24"/>
          <w:szCs w:val="24"/>
          <w:highlight w:val="none"/>
        </w:rPr>
        <w:t>教学方式</w:t>
      </w:r>
    </w:p>
    <w:p w14:paraId="4BDA239C">
      <w:pPr>
        <w:numPr>
          <w:ilvl w:val="0"/>
          <w:numId w:val="5"/>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wordWrap w:val="0"/>
        <w:autoSpaceDE w:val="0"/>
        <w:autoSpaceDN w:val="0"/>
        <w:adjustRightInd w:val="0"/>
        <w:spacing w:line="360" w:lineRule="auto"/>
        <w:ind w:left="1069" w:hanging="420"/>
        <w:rPr>
          <w:rFonts w:hint="eastAsia" w:ascii="宋体" w:hAnsi="宋体" w:cs="宋体"/>
          <w:color w:val="auto"/>
          <w:sz w:val="24"/>
          <w:szCs w:val="24"/>
          <w:highlight w:val="none"/>
        </w:rPr>
      </w:pPr>
      <w:r>
        <w:rPr>
          <w:rFonts w:hint="eastAsia" w:ascii="宋体" w:hAnsi="宋体" w:cs="宋体"/>
          <w:color w:val="auto"/>
          <w:sz w:val="24"/>
          <w:szCs w:val="24"/>
          <w:highlight w:val="none"/>
        </w:rPr>
        <w:t>先决条件</w:t>
      </w:r>
    </w:p>
    <w:p w14:paraId="624D5642">
      <w:pPr>
        <w:numPr>
          <w:ilvl w:val="0"/>
          <w:numId w:val="5"/>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wordWrap w:val="0"/>
        <w:autoSpaceDE w:val="0"/>
        <w:autoSpaceDN w:val="0"/>
        <w:adjustRightInd w:val="0"/>
        <w:spacing w:line="360" w:lineRule="auto"/>
        <w:ind w:left="1069" w:hanging="420"/>
        <w:rPr>
          <w:rFonts w:hint="eastAsia" w:ascii="宋体" w:hAnsi="宋体" w:cs="宋体"/>
          <w:color w:val="auto"/>
          <w:sz w:val="24"/>
          <w:szCs w:val="24"/>
          <w:highlight w:val="none"/>
        </w:rPr>
      </w:pPr>
      <w:r>
        <w:rPr>
          <w:rFonts w:hint="eastAsia" w:ascii="宋体" w:hAnsi="宋体" w:cs="宋体"/>
          <w:color w:val="auto"/>
          <w:sz w:val="24"/>
          <w:szCs w:val="24"/>
          <w:highlight w:val="none"/>
        </w:rPr>
        <w:t>教材目录</w:t>
      </w:r>
    </w:p>
    <w:p w14:paraId="77226BFF">
      <w:pPr>
        <w:wordWrap w:val="0"/>
        <w:autoSpaceDE w:val="0"/>
        <w:autoSpaceDN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B  按照附表A提供授课教师的简历</w:t>
      </w:r>
    </w:p>
    <w:p w14:paraId="4F02FE68">
      <w:pPr>
        <w:wordWrap w:val="0"/>
        <w:autoSpaceDE w:val="0"/>
        <w:autoSpaceDN w:val="0"/>
        <w:spacing w:line="360" w:lineRule="auto"/>
        <w:rPr>
          <w:rFonts w:hint="eastAsia" w:ascii="宋体" w:hAnsi="宋体" w:cs="宋体"/>
          <w:b/>
          <w:color w:val="auto"/>
          <w:sz w:val="24"/>
          <w:highlight w:val="none"/>
        </w:rPr>
      </w:pPr>
      <w:r>
        <w:rPr>
          <w:rFonts w:hint="eastAsia" w:ascii="宋体" w:hAnsi="宋体" w:cs="宋体"/>
          <w:b/>
          <w:color w:val="auto"/>
          <w:sz w:val="24"/>
          <w:highlight w:val="none"/>
        </w:rPr>
        <w:t>注：须随表提交相应的证书复印件并注明所在投标技术文件页码。</w:t>
      </w:r>
    </w:p>
    <w:p w14:paraId="089E6919">
      <w:pPr>
        <w:wordWrap w:val="0"/>
        <w:autoSpaceDE w:val="0"/>
        <w:autoSpaceDN w:val="0"/>
        <w:spacing w:line="360" w:lineRule="auto"/>
        <w:ind w:firstLine="4800" w:firstLineChars="2000"/>
        <w:rPr>
          <w:rFonts w:hint="eastAsia" w:ascii="宋体" w:hAnsi="宋体" w:cs="宋体"/>
          <w:color w:val="auto"/>
          <w:sz w:val="24"/>
          <w:highlight w:val="none"/>
        </w:rPr>
      </w:pPr>
      <w:r>
        <w:rPr>
          <w:rFonts w:hint="eastAsia" w:ascii="宋体" w:hAnsi="宋体" w:cs="宋体"/>
          <w:color w:val="auto"/>
          <w:kern w:val="0"/>
          <w:sz w:val="24"/>
          <w:highlight w:val="none"/>
        </w:rPr>
        <w:t>投标人名称（</w:t>
      </w:r>
      <w:r>
        <w:rPr>
          <w:rFonts w:hint="eastAsia" w:ascii="宋体" w:hAnsi="宋体" w:cs="宋体"/>
          <w:color w:val="auto"/>
          <w:kern w:val="0"/>
          <w:sz w:val="24"/>
          <w:highlight w:val="none"/>
          <w:lang w:val="zh-CN"/>
        </w:rPr>
        <w:t>电子签章</w:t>
      </w:r>
      <w:r>
        <w:rPr>
          <w:rFonts w:hint="eastAsia" w:ascii="宋体" w:hAnsi="宋体" w:cs="宋体"/>
          <w:color w:val="auto"/>
          <w:kern w:val="0"/>
          <w:sz w:val="24"/>
          <w:highlight w:val="none"/>
        </w:rPr>
        <w:t xml:space="preserve">）：                       </w:t>
      </w:r>
    </w:p>
    <w:p w14:paraId="65BFE4C1">
      <w:pPr>
        <w:wordWrap w:val="0"/>
        <w:autoSpaceDE w:val="0"/>
        <w:autoSpaceDN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日期：  年  月   日</w:t>
      </w:r>
    </w:p>
    <w:p w14:paraId="0F8BFBB3">
      <w:pPr>
        <w:wordWrap w:val="0"/>
        <w:autoSpaceDE w:val="0"/>
        <w:autoSpaceDN w:val="0"/>
        <w:spacing w:line="360" w:lineRule="auto"/>
        <w:ind w:firstLine="120"/>
        <w:rPr>
          <w:rFonts w:hint="eastAsia" w:ascii="宋体" w:hAnsi="宋体" w:cs="宋体"/>
          <w:color w:val="auto"/>
          <w:sz w:val="24"/>
          <w:highlight w:val="none"/>
        </w:rPr>
      </w:pPr>
    </w:p>
    <w:p w14:paraId="5C936395">
      <w:pPr>
        <w:wordWrap w:val="0"/>
        <w:spacing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九、认为需要的其他技术文件或说明（如有）</w:t>
      </w:r>
    </w:p>
    <w:p w14:paraId="4AE603C1">
      <w:pPr>
        <w:wordWrap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（由投标人根据采购需求自行编制）</w:t>
      </w:r>
    </w:p>
    <w:p w14:paraId="775E1D01">
      <w:pPr>
        <w:wordWrap w:val="0"/>
        <w:spacing w:line="360" w:lineRule="auto"/>
        <w:jc w:val="center"/>
        <w:rPr>
          <w:rFonts w:hint="eastAsia" w:ascii="宋体" w:hAnsi="宋体" w:cs="宋体"/>
          <w:color w:val="auto"/>
          <w:sz w:val="24"/>
          <w:highlight w:val="none"/>
        </w:rPr>
      </w:pPr>
    </w:p>
    <w:p w14:paraId="539F4719">
      <w:pPr>
        <w:wordWrap w:val="0"/>
        <w:autoSpaceDE w:val="0"/>
        <w:autoSpaceDN w:val="0"/>
        <w:spacing w:line="360" w:lineRule="auto"/>
        <w:ind w:firstLine="4800" w:firstLineChars="2000"/>
        <w:rPr>
          <w:rFonts w:hint="eastAsia" w:ascii="宋体" w:hAnsi="宋体" w:cs="宋体"/>
          <w:color w:val="auto"/>
          <w:sz w:val="24"/>
          <w:highlight w:val="none"/>
        </w:rPr>
      </w:pPr>
      <w:r>
        <w:rPr>
          <w:rFonts w:hint="eastAsia" w:ascii="宋体" w:hAnsi="宋体" w:cs="宋体"/>
          <w:color w:val="auto"/>
          <w:kern w:val="0"/>
          <w:sz w:val="24"/>
          <w:highlight w:val="none"/>
        </w:rPr>
        <w:t>投标人名称（电子</w:t>
      </w:r>
      <w:r>
        <w:rPr>
          <w:rFonts w:hint="eastAsia" w:ascii="宋体" w:hAnsi="宋体" w:cs="宋体"/>
          <w:color w:val="auto"/>
          <w:kern w:val="0"/>
          <w:sz w:val="24"/>
          <w:highlight w:val="none"/>
          <w:lang w:val="zh-CN"/>
        </w:rPr>
        <w:t>签章</w:t>
      </w:r>
      <w:r>
        <w:rPr>
          <w:rFonts w:hint="eastAsia" w:ascii="宋体" w:hAnsi="宋体" w:cs="宋体"/>
          <w:color w:val="auto"/>
          <w:kern w:val="0"/>
          <w:sz w:val="24"/>
          <w:highlight w:val="none"/>
        </w:rPr>
        <w:t xml:space="preserve">）：                       </w:t>
      </w:r>
    </w:p>
    <w:p w14:paraId="7B73B145">
      <w:pPr>
        <w:wordWrap w:val="0"/>
        <w:autoSpaceDE w:val="0"/>
        <w:autoSpaceDN w:val="0"/>
        <w:spacing w:line="360" w:lineRule="auto"/>
        <w:rPr>
          <w:rFonts w:hint="eastAsia" w:ascii="宋体" w:hAnsi="宋体" w:cs="宋体"/>
          <w:b/>
          <w:bCs/>
          <w:color w:val="auto"/>
          <w:sz w:val="30"/>
          <w:szCs w:val="30"/>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日期：  年  月   日</w:t>
      </w:r>
    </w:p>
    <w:p w14:paraId="2E496405">
      <w:pPr>
        <w:widowControl/>
        <w:wordWrap w:val="0"/>
        <w:spacing w:line="360" w:lineRule="auto"/>
        <w:ind w:firstLine="482"/>
        <w:jc w:val="left"/>
        <w:rPr>
          <w:rFonts w:hint="eastAsia" w:ascii="宋体" w:hAnsi="宋体" w:cs="宋体"/>
          <w:b/>
          <w:bCs/>
          <w:color w:val="auto"/>
          <w:sz w:val="24"/>
          <w:highlight w:val="none"/>
        </w:rPr>
        <w:sectPr>
          <w:pgSz w:w="11906" w:h="16838"/>
          <w:pgMar w:top="1440" w:right="1080" w:bottom="1440" w:left="1080" w:header="720" w:footer="720" w:gutter="0"/>
          <w:cols w:space="720" w:num="1"/>
          <w:docGrid w:type="lines" w:linePitch="331" w:charSpace="0"/>
        </w:sectPr>
      </w:pPr>
    </w:p>
    <w:p w14:paraId="1F43E126">
      <w:pPr>
        <w:pStyle w:val="14"/>
        <w:wordWrap w:val="0"/>
        <w:spacing w:line="360" w:lineRule="auto"/>
        <w:ind w:firstLine="562"/>
        <w:jc w:val="center"/>
        <w:outlineLvl w:val="1"/>
        <w:rPr>
          <w:rFonts w:hint="eastAsia" w:hAnsi="宋体" w:cs="宋体"/>
          <w:b/>
          <w:bCs/>
          <w:color w:val="auto"/>
          <w:sz w:val="28"/>
          <w:szCs w:val="28"/>
          <w:highlight w:val="none"/>
        </w:rPr>
      </w:pPr>
      <w:bookmarkStart w:id="288" w:name="_Toc5466"/>
      <w:r>
        <w:rPr>
          <w:rFonts w:hint="eastAsia" w:hAnsi="宋体" w:cs="宋体"/>
          <w:b/>
          <w:bCs/>
          <w:color w:val="auto"/>
          <w:sz w:val="28"/>
          <w:szCs w:val="28"/>
          <w:highlight w:val="none"/>
        </w:rPr>
        <w:t>第五节 报价文件格式</w:t>
      </w:r>
      <w:bookmarkEnd w:id="288"/>
    </w:p>
    <w:p w14:paraId="1D50F0F6">
      <w:pPr>
        <w:wordWrap w:val="0"/>
        <w:snapToGrid w:val="0"/>
        <w:spacing w:line="360" w:lineRule="auto"/>
        <w:rPr>
          <w:rFonts w:hint="eastAsia" w:ascii="宋体" w:hAnsi="宋体" w:cs="宋体"/>
          <w:bCs/>
          <w:color w:val="auto"/>
          <w:sz w:val="32"/>
          <w:szCs w:val="20"/>
          <w:highlight w:val="none"/>
        </w:rPr>
      </w:pPr>
      <w:r>
        <w:rPr>
          <w:rFonts w:hint="eastAsia" w:ascii="宋体" w:hAnsi="宋体" w:cs="宋体"/>
          <w:color w:val="auto"/>
          <w:sz w:val="24"/>
          <w:highlight w:val="none"/>
        </w:rPr>
        <w:t xml:space="preserve">                                                            </w:t>
      </w:r>
      <w:r>
        <w:rPr>
          <w:rFonts w:hint="eastAsia" w:ascii="宋体" w:hAnsi="宋体" w:cs="宋体"/>
          <w:bCs/>
          <w:color w:val="auto"/>
          <w:highlight w:val="none"/>
        </w:rPr>
        <w:t>电子投标文件</w:t>
      </w:r>
    </w:p>
    <w:p w14:paraId="6C3F93CA">
      <w:pPr>
        <w:wordWrap w:val="0"/>
        <w:snapToGrid w:val="0"/>
        <w:spacing w:line="360" w:lineRule="auto"/>
        <w:jc w:val="center"/>
        <w:rPr>
          <w:rFonts w:hint="eastAsia" w:ascii="宋体" w:hAnsi="宋体" w:cs="宋体"/>
          <w:bCs/>
          <w:color w:val="auto"/>
          <w:sz w:val="24"/>
          <w:szCs w:val="20"/>
          <w:highlight w:val="none"/>
        </w:rPr>
      </w:pPr>
    </w:p>
    <w:p w14:paraId="1EDE5E03">
      <w:pPr>
        <w:wordWrap w:val="0"/>
        <w:snapToGrid w:val="0"/>
        <w:spacing w:line="360" w:lineRule="auto"/>
        <w:ind w:firstLine="643"/>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报价文件（封面）</w:t>
      </w:r>
    </w:p>
    <w:p w14:paraId="25AF5BD2">
      <w:pPr>
        <w:wordWrap w:val="0"/>
        <w:snapToGrid w:val="0"/>
        <w:spacing w:line="360" w:lineRule="auto"/>
        <w:rPr>
          <w:rFonts w:hint="eastAsia" w:ascii="宋体" w:hAnsi="宋体" w:cs="宋体"/>
          <w:bCs/>
          <w:color w:val="auto"/>
          <w:sz w:val="24"/>
          <w:szCs w:val="20"/>
          <w:highlight w:val="none"/>
        </w:rPr>
      </w:pPr>
    </w:p>
    <w:p w14:paraId="0996E110">
      <w:pPr>
        <w:wordWrap w:val="0"/>
        <w:snapToGrid w:val="0"/>
        <w:spacing w:line="360" w:lineRule="auto"/>
        <w:rPr>
          <w:rFonts w:hint="eastAsia" w:ascii="宋体" w:hAnsi="宋体" w:cs="宋体"/>
          <w:bCs/>
          <w:color w:val="auto"/>
          <w:sz w:val="24"/>
          <w:szCs w:val="20"/>
          <w:highlight w:val="none"/>
        </w:rPr>
      </w:pPr>
    </w:p>
    <w:p w14:paraId="19625E36">
      <w:pPr>
        <w:wordWrap w:val="0"/>
        <w:snapToGrid w:val="0"/>
        <w:spacing w:line="360" w:lineRule="auto"/>
        <w:rPr>
          <w:rFonts w:hint="eastAsia" w:ascii="宋体" w:hAnsi="宋体" w:cs="宋体"/>
          <w:bCs/>
          <w:color w:val="auto"/>
          <w:sz w:val="24"/>
          <w:szCs w:val="20"/>
          <w:highlight w:val="none"/>
        </w:rPr>
      </w:pPr>
    </w:p>
    <w:p w14:paraId="0EFF2927">
      <w:pPr>
        <w:wordWrap w:val="0"/>
        <w:snapToGrid w:val="0"/>
        <w:spacing w:line="360" w:lineRule="auto"/>
        <w:rPr>
          <w:rFonts w:hint="eastAsia" w:ascii="宋体" w:hAnsi="宋体" w:cs="宋体"/>
          <w:bCs/>
          <w:color w:val="auto"/>
          <w:sz w:val="24"/>
          <w:szCs w:val="20"/>
          <w:highlight w:val="none"/>
        </w:rPr>
      </w:pPr>
    </w:p>
    <w:p w14:paraId="45530717">
      <w:pPr>
        <w:wordWrap w:val="0"/>
        <w:snapToGrid w:val="0"/>
        <w:spacing w:line="360" w:lineRule="auto"/>
        <w:ind w:firstLine="360" w:firstLineChars="150"/>
        <w:rPr>
          <w:rFonts w:hint="eastAsia" w:ascii="宋体" w:hAnsi="宋体" w:cs="宋体"/>
          <w:bCs/>
          <w:color w:val="auto"/>
          <w:sz w:val="24"/>
          <w:highlight w:val="none"/>
        </w:rPr>
      </w:pPr>
      <w:r>
        <w:rPr>
          <w:rFonts w:hint="eastAsia" w:ascii="宋体" w:hAnsi="宋体" w:cs="宋体"/>
          <w:bCs/>
          <w:color w:val="auto"/>
          <w:sz w:val="24"/>
          <w:highlight w:val="none"/>
        </w:rPr>
        <w:t xml:space="preserve">项目名称：  </w:t>
      </w:r>
    </w:p>
    <w:p w14:paraId="6A5695BE">
      <w:pPr>
        <w:wordWrap w:val="0"/>
        <w:snapToGrid w:val="0"/>
        <w:spacing w:line="360" w:lineRule="auto"/>
        <w:ind w:firstLine="360" w:firstLineChars="150"/>
        <w:rPr>
          <w:rFonts w:hint="eastAsia" w:ascii="宋体" w:hAnsi="宋体" w:cs="宋体"/>
          <w:bCs/>
          <w:color w:val="auto"/>
          <w:sz w:val="24"/>
          <w:highlight w:val="none"/>
        </w:rPr>
      </w:pPr>
    </w:p>
    <w:p w14:paraId="7FC04EC2">
      <w:pPr>
        <w:wordWrap w:val="0"/>
        <w:snapToGrid w:val="0"/>
        <w:spacing w:line="360" w:lineRule="auto"/>
        <w:ind w:firstLine="360" w:firstLineChars="150"/>
        <w:rPr>
          <w:rFonts w:hint="eastAsia" w:ascii="宋体" w:hAnsi="宋体" w:cs="宋体"/>
          <w:bCs/>
          <w:color w:val="auto"/>
          <w:sz w:val="24"/>
          <w:highlight w:val="none"/>
        </w:rPr>
      </w:pPr>
      <w:r>
        <w:rPr>
          <w:rFonts w:hint="eastAsia" w:ascii="宋体" w:hAnsi="宋体" w:cs="宋体"/>
          <w:bCs/>
          <w:color w:val="auto"/>
          <w:sz w:val="24"/>
          <w:highlight w:val="none"/>
        </w:rPr>
        <w:t xml:space="preserve">项目编号： </w:t>
      </w:r>
      <w:r>
        <w:rPr>
          <w:rFonts w:hint="eastAsia" w:ascii="宋体" w:hAnsi="宋体" w:cs="宋体"/>
          <w:color w:val="auto"/>
          <w:sz w:val="24"/>
          <w:highlight w:val="none"/>
        </w:rPr>
        <w:t xml:space="preserve"> </w:t>
      </w:r>
    </w:p>
    <w:p w14:paraId="434FB56C">
      <w:pPr>
        <w:wordWrap w:val="0"/>
        <w:snapToGrid w:val="0"/>
        <w:spacing w:line="360" w:lineRule="auto"/>
        <w:ind w:firstLine="360" w:firstLineChars="150"/>
        <w:rPr>
          <w:rFonts w:hint="eastAsia" w:ascii="宋体" w:hAnsi="宋体" w:cs="宋体"/>
          <w:bCs/>
          <w:color w:val="auto"/>
          <w:sz w:val="24"/>
          <w:highlight w:val="none"/>
        </w:rPr>
      </w:pPr>
    </w:p>
    <w:p w14:paraId="716106AC">
      <w:pPr>
        <w:wordWrap w:val="0"/>
        <w:snapToGrid w:val="0"/>
        <w:spacing w:line="360" w:lineRule="auto"/>
        <w:ind w:firstLine="360" w:firstLineChars="150"/>
        <w:rPr>
          <w:rFonts w:hint="eastAsia" w:ascii="宋体" w:hAnsi="宋体" w:cs="宋体"/>
          <w:bCs/>
          <w:color w:val="auto"/>
          <w:sz w:val="24"/>
          <w:highlight w:val="none"/>
        </w:rPr>
      </w:pPr>
      <w:r>
        <w:rPr>
          <w:rFonts w:hint="eastAsia" w:ascii="宋体" w:hAnsi="宋体" w:cs="宋体"/>
          <w:bCs/>
          <w:color w:val="auto"/>
          <w:sz w:val="24"/>
          <w:highlight w:val="none"/>
        </w:rPr>
        <w:t>所投分标：</w:t>
      </w:r>
    </w:p>
    <w:p w14:paraId="4766EF4A">
      <w:pPr>
        <w:wordWrap w:val="0"/>
        <w:snapToGrid w:val="0"/>
        <w:spacing w:line="360" w:lineRule="auto"/>
        <w:ind w:firstLine="360" w:firstLineChars="150"/>
        <w:rPr>
          <w:rFonts w:hint="eastAsia" w:ascii="宋体" w:hAnsi="宋体" w:cs="宋体"/>
          <w:bCs/>
          <w:color w:val="auto"/>
          <w:sz w:val="24"/>
          <w:highlight w:val="none"/>
        </w:rPr>
      </w:pPr>
    </w:p>
    <w:p w14:paraId="52D2CCB3">
      <w:pPr>
        <w:wordWrap w:val="0"/>
        <w:snapToGrid w:val="0"/>
        <w:spacing w:line="360" w:lineRule="auto"/>
        <w:ind w:firstLine="360" w:firstLineChars="150"/>
        <w:rPr>
          <w:rFonts w:hint="eastAsia" w:ascii="宋体" w:hAnsi="宋体" w:cs="宋体"/>
          <w:bCs/>
          <w:color w:val="auto"/>
          <w:sz w:val="24"/>
          <w:highlight w:val="none"/>
        </w:rPr>
      </w:pPr>
      <w:r>
        <w:rPr>
          <w:rFonts w:hint="eastAsia" w:ascii="宋体" w:hAnsi="宋体" w:cs="宋体"/>
          <w:bCs/>
          <w:color w:val="auto"/>
          <w:sz w:val="24"/>
          <w:highlight w:val="none"/>
        </w:rPr>
        <w:t>投标人名称：</w:t>
      </w:r>
    </w:p>
    <w:p w14:paraId="12721FF8">
      <w:pPr>
        <w:wordWrap w:val="0"/>
        <w:snapToGrid w:val="0"/>
        <w:spacing w:line="360" w:lineRule="auto"/>
        <w:ind w:firstLine="360" w:firstLineChars="150"/>
        <w:rPr>
          <w:rFonts w:hint="eastAsia" w:ascii="宋体" w:hAnsi="宋体" w:cs="宋体"/>
          <w:bCs/>
          <w:color w:val="auto"/>
          <w:sz w:val="24"/>
          <w:highlight w:val="none"/>
        </w:rPr>
      </w:pPr>
    </w:p>
    <w:p w14:paraId="3F1B273E">
      <w:pPr>
        <w:wordWrap w:val="0"/>
        <w:snapToGrid w:val="0"/>
        <w:spacing w:line="360" w:lineRule="auto"/>
        <w:ind w:firstLine="360" w:firstLineChars="150"/>
        <w:rPr>
          <w:rFonts w:hint="eastAsia" w:ascii="宋体" w:hAnsi="宋体" w:cs="宋体"/>
          <w:bCs/>
          <w:color w:val="auto"/>
          <w:sz w:val="24"/>
          <w:highlight w:val="none"/>
        </w:rPr>
      </w:pPr>
      <w:r>
        <w:rPr>
          <w:rFonts w:hint="eastAsia" w:ascii="宋体" w:hAnsi="宋体" w:cs="宋体"/>
          <w:bCs/>
          <w:color w:val="auto"/>
          <w:sz w:val="24"/>
          <w:highlight w:val="none"/>
        </w:rPr>
        <w:t>投标人地址：</w:t>
      </w:r>
    </w:p>
    <w:p w14:paraId="6D5B3FB9">
      <w:pPr>
        <w:pStyle w:val="9"/>
        <w:wordWrap w:val="0"/>
        <w:snapToGrid w:val="0"/>
        <w:spacing w:line="360" w:lineRule="auto"/>
        <w:ind w:firstLine="960" w:firstLineChars="400"/>
        <w:rPr>
          <w:rFonts w:hint="eastAsia" w:ascii="宋体" w:hAnsi="宋体" w:cs="宋体"/>
          <w:bCs/>
          <w:color w:val="auto"/>
          <w:sz w:val="24"/>
          <w:szCs w:val="24"/>
          <w:highlight w:val="none"/>
        </w:rPr>
      </w:pPr>
    </w:p>
    <w:p w14:paraId="0B6DB84C">
      <w:pPr>
        <w:wordWrap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年  月  日</w:t>
      </w:r>
    </w:p>
    <w:p w14:paraId="1DF481A1">
      <w:pPr>
        <w:widowControl/>
        <w:wordWrap w:val="0"/>
        <w:spacing w:line="360" w:lineRule="auto"/>
        <w:jc w:val="left"/>
        <w:rPr>
          <w:rFonts w:hint="eastAsia" w:ascii="宋体" w:hAnsi="宋体" w:cs="宋体"/>
          <w:color w:val="auto"/>
          <w:sz w:val="24"/>
          <w:highlight w:val="none"/>
        </w:rPr>
        <w:sectPr>
          <w:pgSz w:w="11906" w:h="16838"/>
          <w:pgMar w:top="1440" w:right="1080" w:bottom="1440" w:left="1080" w:header="720" w:footer="720" w:gutter="0"/>
          <w:cols w:space="720" w:num="1"/>
          <w:docGrid w:type="lines" w:linePitch="331" w:charSpace="0"/>
        </w:sectPr>
      </w:pPr>
    </w:p>
    <w:p w14:paraId="7823E660">
      <w:pPr>
        <w:wordWrap w:val="0"/>
        <w:spacing w:line="360" w:lineRule="auto"/>
        <w:rPr>
          <w:rFonts w:hint="eastAsia" w:ascii="宋体" w:hAnsi="宋体" w:cs="宋体"/>
          <w:color w:val="auto"/>
          <w:highlight w:val="none"/>
        </w:rPr>
      </w:pPr>
    </w:p>
    <w:p w14:paraId="0F4A4439">
      <w:pPr>
        <w:wordWrap w:val="0"/>
        <w:snapToGrid w:val="0"/>
        <w:spacing w:line="360" w:lineRule="auto"/>
        <w:ind w:firstLine="643"/>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报价文件目录</w:t>
      </w:r>
    </w:p>
    <w:p w14:paraId="5F9420A8">
      <w:pPr>
        <w:wordWrap w:val="0"/>
        <w:spacing w:line="360" w:lineRule="auto"/>
        <w:rPr>
          <w:rFonts w:hint="eastAsia" w:ascii="宋体" w:hAnsi="宋体" w:cs="宋体"/>
          <w:color w:val="auto"/>
          <w:highlight w:val="none"/>
        </w:rPr>
      </w:pPr>
    </w:p>
    <w:p w14:paraId="6756E95C">
      <w:pPr>
        <w:wordWrap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一、投标函………………………………………………………（页码）</w:t>
      </w:r>
    </w:p>
    <w:p w14:paraId="10CB75E5">
      <w:pPr>
        <w:wordWrap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二、开标一览表…………………………………………………（页码）</w:t>
      </w:r>
    </w:p>
    <w:p w14:paraId="0ECFED22">
      <w:pPr>
        <w:pStyle w:val="11"/>
        <w:wordWrap w:val="0"/>
        <w:spacing w:after="0" w:line="360" w:lineRule="auto"/>
        <w:rPr>
          <w:color w:val="auto"/>
          <w:highlight w:val="none"/>
        </w:rPr>
        <w:sectPr>
          <w:pgSz w:w="11906" w:h="16838"/>
          <w:pgMar w:top="1440" w:right="1080" w:bottom="1440" w:left="1080" w:header="720" w:footer="720" w:gutter="0"/>
          <w:cols w:space="720" w:num="1"/>
          <w:docGrid w:type="lines" w:linePitch="331" w:charSpace="0"/>
        </w:sectPr>
      </w:pPr>
    </w:p>
    <w:p w14:paraId="63767377">
      <w:pPr>
        <w:pStyle w:val="14"/>
        <w:wordWrap w:val="0"/>
        <w:spacing w:line="360" w:lineRule="auto"/>
        <w:ind w:firstLine="602"/>
        <w:jc w:val="center"/>
        <w:rPr>
          <w:rFonts w:hint="eastAsia" w:hAnsi="宋体" w:cs="宋体"/>
          <w:b/>
          <w:bCs/>
          <w:color w:val="auto"/>
          <w:sz w:val="30"/>
          <w:szCs w:val="30"/>
          <w:highlight w:val="none"/>
        </w:rPr>
      </w:pPr>
      <w:r>
        <w:rPr>
          <w:rFonts w:hint="eastAsia" w:hAnsi="宋体" w:cs="宋体"/>
          <w:b/>
          <w:bCs/>
          <w:color w:val="auto"/>
          <w:sz w:val="30"/>
          <w:szCs w:val="30"/>
          <w:highlight w:val="none"/>
        </w:rPr>
        <w:t>一、投标函</w:t>
      </w:r>
    </w:p>
    <w:p w14:paraId="4A43DE3A">
      <w:pPr>
        <w:pStyle w:val="14"/>
        <w:wordWrap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致：</w:t>
      </w:r>
      <w:bookmarkStart w:id="289" w:name="PO_3000001866_PM031_4"/>
      <w:r>
        <w:rPr>
          <w:rFonts w:hint="eastAsia" w:hAnsi="宋体" w:cs="宋体"/>
          <w:color w:val="auto"/>
          <w:sz w:val="24"/>
          <w:szCs w:val="24"/>
          <w:highlight w:val="none"/>
          <w:u w:val="single"/>
        </w:rPr>
        <w:t>广西邕政采购代理有限公司</w:t>
      </w:r>
      <w:bookmarkEnd w:id="289"/>
    </w:p>
    <w:p w14:paraId="6EBA9441">
      <w:pPr>
        <w:pStyle w:val="14"/>
        <w:wordWrap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我方已仔细阅读了贵方组织的</w:t>
      </w:r>
      <w:r>
        <w:rPr>
          <w:rFonts w:hint="eastAsia" w:hAnsi="宋体" w:cs="宋体"/>
          <w:color w:val="auto"/>
          <w:sz w:val="24"/>
          <w:szCs w:val="24"/>
          <w:highlight w:val="none"/>
          <w:u w:val="single"/>
        </w:rPr>
        <w:t xml:space="preserve">（项目名称）  </w:t>
      </w:r>
      <w:r>
        <w:rPr>
          <w:rFonts w:hint="eastAsia" w:hAnsi="宋体" w:cs="宋体"/>
          <w:color w:val="auto"/>
          <w:sz w:val="24"/>
          <w:szCs w:val="24"/>
          <w:highlight w:val="none"/>
        </w:rPr>
        <w:t>项目（项目编号：         ）的招标文件的全部内容，授权</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(全权代表姓名)</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(职务、职称)为全权代表，现正式递交下述文件参加贵方组织的本次政府采购活动： </w:t>
      </w:r>
    </w:p>
    <w:p w14:paraId="0BAC9BAE">
      <w:pPr>
        <w:pStyle w:val="14"/>
        <w:wordWrap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一、报价文件电子版一份（包含按投标人须知前附表要求提交的全部文件）；</w:t>
      </w:r>
    </w:p>
    <w:p w14:paraId="79705F56">
      <w:pPr>
        <w:pStyle w:val="14"/>
        <w:wordWrap w:val="0"/>
        <w:spacing w:line="360" w:lineRule="auto"/>
        <w:ind w:firstLine="480"/>
        <w:rPr>
          <w:rFonts w:hint="eastAsia" w:hAnsi="宋体" w:cs="宋体"/>
          <w:color w:val="auto"/>
          <w:sz w:val="24"/>
          <w:szCs w:val="24"/>
          <w:highlight w:val="none"/>
        </w:rPr>
      </w:pPr>
      <w:r>
        <w:rPr>
          <w:rFonts w:hint="eastAsia" w:hAnsi="宋体" w:cs="宋体"/>
          <w:color w:val="auto"/>
          <w:sz w:val="24"/>
          <w:szCs w:val="24"/>
          <w:highlight w:val="none"/>
        </w:rPr>
        <w:t>二、资格文件电子版一份（包含按投标人须知前附表要求提交的全部文件）；</w:t>
      </w:r>
    </w:p>
    <w:p w14:paraId="5DFC23A3">
      <w:pPr>
        <w:pStyle w:val="14"/>
        <w:wordWrap w:val="0"/>
        <w:spacing w:line="360" w:lineRule="auto"/>
        <w:ind w:firstLine="480"/>
        <w:rPr>
          <w:rFonts w:hint="eastAsia" w:hAnsi="宋体" w:cs="宋体"/>
          <w:color w:val="auto"/>
          <w:sz w:val="24"/>
          <w:szCs w:val="24"/>
          <w:highlight w:val="none"/>
        </w:rPr>
      </w:pPr>
      <w:r>
        <w:rPr>
          <w:rFonts w:hint="eastAsia" w:hAnsi="宋体" w:cs="宋体"/>
          <w:color w:val="auto"/>
          <w:sz w:val="24"/>
          <w:szCs w:val="24"/>
          <w:highlight w:val="none"/>
        </w:rPr>
        <w:t>三、技术文件电子版一份（包含按投标人须知前附表要求提交的全部文件）；</w:t>
      </w:r>
    </w:p>
    <w:p w14:paraId="5550AACD">
      <w:pPr>
        <w:pStyle w:val="14"/>
        <w:wordWrap w:val="0"/>
        <w:spacing w:line="360" w:lineRule="auto"/>
        <w:ind w:firstLine="480"/>
        <w:rPr>
          <w:rFonts w:hint="eastAsia" w:hAnsi="宋体" w:cs="宋体"/>
          <w:color w:val="auto"/>
          <w:sz w:val="24"/>
          <w:szCs w:val="24"/>
          <w:highlight w:val="none"/>
        </w:rPr>
      </w:pPr>
      <w:r>
        <w:rPr>
          <w:rFonts w:hint="eastAsia" w:hAnsi="宋体" w:cs="宋体"/>
          <w:color w:val="auto"/>
          <w:sz w:val="24"/>
          <w:szCs w:val="24"/>
          <w:highlight w:val="none"/>
        </w:rPr>
        <w:t>四、商务文件电子版一份（包含按投标人须知前附表要求提交的全部文件）；</w:t>
      </w:r>
    </w:p>
    <w:p w14:paraId="250F7CF4">
      <w:pPr>
        <w:pStyle w:val="14"/>
        <w:wordWrap w:val="0"/>
        <w:spacing w:line="360" w:lineRule="auto"/>
        <w:ind w:firstLine="480"/>
        <w:rPr>
          <w:rFonts w:hint="eastAsia" w:hAnsi="宋体" w:cs="宋体"/>
          <w:color w:val="auto"/>
          <w:sz w:val="24"/>
          <w:szCs w:val="24"/>
          <w:highlight w:val="none"/>
        </w:rPr>
      </w:pPr>
      <w:r>
        <w:rPr>
          <w:rFonts w:hint="eastAsia" w:hAnsi="宋体" w:cs="宋体"/>
          <w:color w:val="auto"/>
          <w:sz w:val="24"/>
          <w:szCs w:val="24"/>
          <w:highlight w:val="none"/>
        </w:rPr>
        <w:t>据此函，签字人兹宣布：</w:t>
      </w:r>
    </w:p>
    <w:p w14:paraId="78CDA4EB">
      <w:pPr>
        <w:pStyle w:val="14"/>
        <w:wordWrap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1、我方愿意以（大写）人民币</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元 (¥</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元)的投标总报价，</w:t>
      </w:r>
      <w:r>
        <w:rPr>
          <w:rFonts w:hint="eastAsia" w:hAnsi="宋体" w:cs="宋体"/>
          <w:color w:val="auto"/>
          <w:sz w:val="24"/>
          <w:szCs w:val="24"/>
          <w:highlight w:val="none"/>
          <w:lang w:eastAsia="zh-CN"/>
        </w:rPr>
        <w:t>服务期限</w:t>
      </w:r>
      <w:r>
        <w:rPr>
          <w:rFonts w:hint="eastAsia" w:hAnsi="宋体" w:cs="宋体"/>
          <w:color w:val="auto"/>
          <w:sz w:val="24"/>
          <w:szCs w:val="24"/>
          <w:highlight w:val="none"/>
        </w:rPr>
        <w:t>：（无分标时填写）</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，提供本项目招标文件第二章“服务需求”中的相应的采购内容。</w:t>
      </w:r>
    </w:p>
    <w:p w14:paraId="14FF679F">
      <w:pPr>
        <w:pStyle w:val="14"/>
        <w:wordWrap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其中（有分标时填写）：</w:t>
      </w:r>
    </w:p>
    <w:p w14:paraId="2A13403D">
      <w:pPr>
        <w:pStyle w:val="14"/>
        <w:wordWrap w:val="0"/>
        <w:spacing w:line="360" w:lineRule="auto"/>
        <w:ind w:firstLine="480" w:firstLineChars="200"/>
        <w:rPr>
          <w:rFonts w:hint="eastAsia" w:hAnsi="宋体" w:cs="宋体"/>
          <w:color w:val="auto"/>
          <w:sz w:val="24"/>
          <w:szCs w:val="24"/>
          <w:highlight w:val="none"/>
          <w:u w:val="single"/>
        </w:rPr>
      </w:pP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分标报价为（大写）人民币</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元 (¥</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元)，</w:t>
      </w:r>
      <w:r>
        <w:rPr>
          <w:rFonts w:hint="eastAsia" w:hAnsi="宋体" w:cs="宋体"/>
          <w:color w:val="auto"/>
          <w:sz w:val="24"/>
          <w:szCs w:val="24"/>
          <w:highlight w:val="none"/>
          <w:lang w:eastAsia="zh-CN"/>
        </w:rPr>
        <w:t>服务期限</w:t>
      </w:r>
      <w:r>
        <w:rPr>
          <w:rFonts w:hint="eastAsia" w:hAnsi="宋体" w:cs="宋体"/>
          <w:color w:val="auto"/>
          <w:sz w:val="24"/>
          <w:szCs w:val="24"/>
          <w:highlight w:val="none"/>
        </w:rPr>
        <w:t>：</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w:t>
      </w:r>
    </w:p>
    <w:p w14:paraId="1730945C">
      <w:pPr>
        <w:pStyle w:val="14"/>
        <w:wordWrap w:val="0"/>
        <w:spacing w:line="360" w:lineRule="auto"/>
        <w:ind w:firstLine="480" w:firstLineChars="200"/>
        <w:rPr>
          <w:rFonts w:hint="eastAsia" w:hAnsi="宋体" w:cs="宋体"/>
          <w:color w:val="auto"/>
          <w:sz w:val="24"/>
          <w:szCs w:val="24"/>
          <w:highlight w:val="none"/>
          <w:u w:val="single"/>
        </w:rPr>
      </w:pP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分标报价为（大写）人民币</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元 (¥</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元)，</w:t>
      </w:r>
      <w:r>
        <w:rPr>
          <w:rFonts w:hint="eastAsia" w:hAnsi="宋体" w:cs="宋体"/>
          <w:color w:val="auto"/>
          <w:sz w:val="24"/>
          <w:szCs w:val="24"/>
          <w:highlight w:val="none"/>
          <w:lang w:eastAsia="zh-CN"/>
        </w:rPr>
        <w:t>服务期限</w:t>
      </w:r>
      <w:r>
        <w:rPr>
          <w:rFonts w:hint="eastAsia" w:hAnsi="宋体" w:cs="宋体"/>
          <w:color w:val="auto"/>
          <w:sz w:val="24"/>
          <w:szCs w:val="24"/>
          <w:highlight w:val="none"/>
        </w:rPr>
        <w:t>：</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w:t>
      </w:r>
    </w:p>
    <w:p w14:paraId="2632FB03">
      <w:pPr>
        <w:pStyle w:val="14"/>
        <w:wordWrap w:val="0"/>
        <w:spacing w:line="360" w:lineRule="auto"/>
        <w:ind w:firstLine="480" w:firstLineChars="200"/>
        <w:rPr>
          <w:rFonts w:hint="eastAsia" w:hAnsi="宋体" w:cs="宋体"/>
          <w:color w:val="auto"/>
          <w:sz w:val="24"/>
          <w:szCs w:val="24"/>
          <w:highlight w:val="none"/>
          <w:u w:val="single"/>
        </w:rPr>
      </w:pPr>
      <w:r>
        <w:rPr>
          <w:rFonts w:hint="eastAsia" w:hAnsi="宋体" w:cs="宋体"/>
          <w:color w:val="auto"/>
          <w:sz w:val="24"/>
          <w:szCs w:val="24"/>
          <w:highlight w:val="none"/>
        </w:rPr>
        <w:t>......</w:t>
      </w:r>
    </w:p>
    <w:p w14:paraId="461331D0">
      <w:pPr>
        <w:pStyle w:val="14"/>
        <w:wordWrap w:val="0"/>
        <w:spacing w:line="360" w:lineRule="auto"/>
        <w:ind w:firstLine="480" w:firstLineChars="200"/>
        <w:rPr>
          <w:rFonts w:hint="eastAsia" w:hAnsi="宋体" w:cs="宋体"/>
          <w:color w:val="auto"/>
          <w:sz w:val="24"/>
          <w:szCs w:val="24"/>
          <w:highlight w:val="none"/>
          <w:u w:val="single"/>
        </w:rPr>
      </w:pPr>
      <w:r>
        <w:rPr>
          <w:rFonts w:hint="eastAsia" w:hAnsi="宋体" w:cs="宋体"/>
          <w:color w:val="auto"/>
          <w:sz w:val="24"/>
          <w:szCs w:val="24"/>
          <w:highlight w:val="none"/>
        </w:rPr>
        <w:t>2、我方同意自本项目招标文件“第三章 投标人须知”第一节 投标人须知前附表 第21.2项规定的投标截止时间（开标时间）起遵循本投标函，并承诺在“投标人须知前附表”第17.2项规定的投标有效期内不修改、撤销投标文件。</w:t>
      </w:r>
    </w:p>
    <w:p w14:paraId="2ABC31B0">
      <w:pPr>
        <w:pStyle w:val="14"/>
        <w:wordWrap w:val="0"/>
        <w:spacing w:line="360" w:lineRule="auto"/>
        <w:ind w:firstLine="480" w:firstLineChars="200"/>
        <w:rPr>
          <w:rFonts w:hint="eastAsia" w:hAnsi="宋体" w:cs="宋体"/>
          <w:color w:val="auto"/>
          <w:sz w:val="24"/>
          <w:szCs w:val="24"/>
          <w:highlight w:val="none"/>
          <w:u w:val="single"/>
        </w:rPr>
      </w:pPr>
      <w:r>
        <w:rPr>
          <w:rFonts w:hint="eastAsia" w:hAnsi="宋体" w:cs="宋体"/>
          <w:color w:val="auto"/>
          <w:sz w:val="24"/>
          <w:szCs w:val="24"/>
          <w:highlight w:val="none"/>
        </w:rPr>
        <w:t>3、我方所递交的投标文件及有关资料都是内容完整、真实和准确的。</w:t>
      </w:r>
    </w:p>
    <w:p w14:paraId="771AE63D">
      <w:pPr>
        <w:pStyle w:val="14"/>
        <w:wordWrap w:val="0"/>
        <w:spacing w:line="360" w:lineRule="auto"/>
        <w:ind w:firstLine="480"/>
        <w:rPr>
          <w:rFonts w:hint="eastAsia" w:hAnsi="宋体" w:cs="宋体"/>
          <w:color w:val="auto"/>
          <w:sz w:val="24"/>
          <w:szCs w:val="24"/>
          <w:highlight w:val="none"/>
        </w:rPr>
      </w:pPr>
      <w:r>
        <w:rPr>
          <w:rFonts w:hint="eastAsia" w:hAnsi="宋体" w:cs="宋体"/>
          <w:color w:val="auto"/>
          <w:sz w:val="24"/>
          <w:szCs w:val="24"/>
          <w:highlight w:val="none"/>
        </w:rPr>
        <w:t>4、如本项目采购内容涉及须符合国家强制规定的，我方承诺我方本次投标（包括资格条件和所投产品）均符合国家有关强制规定。</w:t>
      </w:r>
    </w:p>
    <w:p w14:paraId="47EDE19B">
      <w:pPr>
        <w:pStyle w:val="14"/>
        <w:wordWrap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5、如我方中标，我方承诺在收到中标通知书后，在中标通知书规定的期限内，根据招标文件、我方的投标文件及有关澄清承诺书的要求按第五章“拟签订的合同文本”与采购人订立书面合同，并按照合同约定承担完成合同的责任和义务。</w:t>
      </w:r>
    </w:p>
    <w:p w14:paraId="0819BF69">
      <w:pPr>
        <w:pStyle w:val="14"/>
        <w:wordWrap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6、我方已详细审核招标文件，我方知道必须放弃提出含糊不清或误解问题的权利。</w:t>
      </w:r>
    </w:p>
    <w:p w14:paraId="0E0E4039">
      <w:pPr>
        <w:pStyle w:val="14"/>
        <w:wordWrap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7、我方同意应贵方要求提供与本投标有关的任何数据或资料。若贵方需要，我方愿意提供我方作出的一切承诺的证明材料。</w:t>
      </w:r>
    </w:p>
    <w:p w14:paraId="63A66841">
      <w:pPr>
        <w:pStyle w:val="14"/>
        <w:wordWrap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8、我方完全理解贵方不一定接受投标报价最低的投标人为中标供应商的行为。</w:t>
      </w:r>
    </w:p>
    <w:p w14:paraId="1906A13A">
      <w:pPr>
        <w:pStyle w:val="14"/>
        <w:wordWrap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9、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1004519E">
      <w:pPr>
        <w:pStyle w:val="14"/>
        <w:keepNext w:val="0"/>
        <w:keepLines w:val="0"/>
        <w:pageBreakBefore w:val="0"/>
        <w:widowControl w:val="0"/>
        <w:numPr>
          <w:ilvl w:val="0"/>
          <w:numId w:val="6"/>
        </w:numPr>
        <w:tabs>
          <w:tab w:val="left" w:pos="1140"/>
        </w:tabs>
        <w:kinsoku/>
        <w:wordWrap w:val="0"/>
        <w:overflowPunct/>
        <w:topLinePunct w:val="0"/>
        <w:autoSpaceDE/>
        <w:autoSpaceDN/>
        <w:bidi w:val="0"/>
        <w:adjustRightInd/>
        <w:snapToGrid/>
        <w:spacing w:line="360" w:lineRule="auto"/>
        <w:ind w:left="0" w:firstLine="420"/>
        <w:textAlignment w:val="auto"/>
        <w:rPr>
          <w:rFonts w:hint="eastAsia" w:hAnsi="宋体" w:cs="宋体"/>
          <w:color w:val="auto"/>
          <w:sz w:val="24"/>
          <w:szCs w:val="24"/>
          <w:highlight w:val="none"/>
        </w:rPr>
      </w:pPr>
      <w:r>
        <w:rPr>
          <w:rFonts w:hint="eastAsia" w:hAnsi="宋体" w:cs="宋体"/>
          <w:color w:val="auto"/>
          <w:sz w:val="24"/>
          <w:szCs w:val="24"/>
          <w:highlight w:val="none"/>
        </w:rPr>
        <w:t>提供虚假材料谋取中标、成交的；</w:t>
      </w:r>
    </w:p>
    <w:p w14:paraId="5F628CBD">
      <w:pPr>
        <w:pStyle w:val="14"/>
        <w:keepNext w:val="0"/>
        <w:keepLines w:val="0"/>
        <w:pageBreakBefore w:val="0"/>
        <w:widowControl w:val="0"/>
        <w:numPr>
          <w:ilvl w:val="0"/>
          <w:numId w:val="6"/>
        </w:numPr>
        <w:tabs>
          <w:tab w:val="left" w:pos="1140"/>
        </w:tabs>
        <w:kinsoku/>
        <w:wordWrap w:val="0"/>
        <w:overflowPunct/>
        <w:topLinePunct w:val="0"/>
        <w:autoSpaceDE/>
        <w:autoSpaceDN/>
        <w:bidi w:val="0"/>
        <w:adjustRightInd/>
        <w:snapToGrid/>
        <w:spacing w:line="360" w:lineRule="auto"/>
        <w:ind w:left="0" w:firstLine="420"/>
        <w:textAlignment w:val="auto"/>
        <w:rPr>
          <w:rFonts w:hint="eastAsia" w:hAnsi="宋体" w:cs="宋体"/>
          <w:color w:val="auto"/>
          <w:sz w:val="24"/>
          <w:szCs w:val="24"/>
          <w:highlight w:val="none"/>
        </w:rPr>
      </w:pPr>
      <w:r>
        <w:rPr>
          <w:rFonts w:hint="eastAsia" w:hAnsi="宋体" w:cs="宋体"/>
          <w:color w:val="auto"/>
          <w:sz w:val="24"/>
          <w:szCs w:val="24"/>
          <w:highlight w:val="none"/>
        </w:rPr>
        <w:t>采取不正当手段诋毁、排挤其他供应商的；</w:t>
      </w:r>
    </w:p>
    <w:p w14:paraId="43A0D77A">
      <w:pPr>
        <w:pStyle w:val="14"/>
        <w:keepNext w:val="0"/>
        <w:keepLines w:val="0"/>
        <w:pageBreakBefore w:val="0"/>
        <w:widowControl w:val="0"/>
        <w:numPr>
          <w:ilvl w:val="0"/>
          <w:numId w:val="6"/>
        </w:numPr>
        <w:tabs>
          <w:tab w:val="left" w:pos="1140"/>
        </w:tabs>
        <w:kinsoku/>
        <w:wordWrap w:val="0"/>
        <w:overflowPunct/>
        <w:topLinePunct w:val="0"/>
        <w:autoSpaceDE/>
        <w:autoSpaceDN/>
        <w:bidi w:val="0"/>
        <w:adjustRightInd/>
        <w:snapToGrid/>
        <w:spacing w:line="360" w:lineRule="auto"/>
        <w:ind w:left="0" w:firstLine="420"/>
        <w:textAlignment w:val="auto"/>
        <w:rPr>
          <w:rFonts w:hint="eastAsia" w:hAnsi="宋体" w:cs="宋体"/>
          <w:color w:val="auto"/>
          <w:sz w:val="24"/>
          <w:szCs w:val="24"/>
          <w:highlight w:val="none"/>
        </w:rPr>
      </w:pPr>
      <w:r>
        <w:rPr>
          <w:rFonts w:hint="eastAsia" w:hAnsi="宋体" w:cs="宋体"/>
          <w:color w:val="auto"/>
          <w:sz w:val="24"/>
          <w:szCs w:val="24"/>
          <w:highlight w:val="none"/>
        </w:rPr>
        <w:t>与采购人、其他供应商或者采购代理机构恶意串通的；</w:t>
      </w:r>
    </w:p>
    <w:p w14:paraId="494708E2">
      <w:pPr>
        <w:pStyle w:val="14"/>
        <w:keepNext w:val="0"/>
        <w:keepLines w:val="0"/>
        <w:pageBreakBefore w:val="0"/>
        <w:widowControl w:val="0"/>
        <w:numPr>
          <w:ilvl w:val="0"/>
          <w:numId w:val="6"/>
        </w:numPr>
        <w:tabs>
          <w:tab w:val="left" w:pos="1140"/>
        </w:tabs>
        <w:kinsoku/>
        <w:wordWrap w:val="0"/>
        <w:overflowPunct/>
        <w:topLinePunct w:val="0"/>
        <w:autoSpaceDE/>
        <w:autoSpaceDN/>
        <w:bidi w:val="0"/>
        <w:adjustRightInd/>
        <w:snapToGrid/>
        <w:spacing w:line="360" w:lineRule="auto"/>
        <w:ind w:left="0" w:firstLine="420"/>
        <w:textAlignment w:val="auto"/>
        <w:rPr>
          <w:rFonts w:hint="eastAsia" w:hAnsi="宋体" w:cs="宋体"/>
          <w:color w:val="auto"/>
          <w:sz w:val="24"/>
          <w:szCs w:val="24"/>
          <w:highlight w:val="none"/>
        </w:rPr>
      </w:pPr>
      <w:r>
        <w:rPr>
          <w:rFonts w:hint="eastAsia" w:hAnsi="宋体" w:cs="宋体"/>
          <w:color w:val="auto"/>
          <w:sz w:val="24"/>
          <w:szCs w:val="24"/>
          <w:highlight w:val="none"/>
        </w:rPr>
        <w:t>向采购人、采购代理机构行贿或者提供其他不正当利益的；</w:t>
      </w:r>
    </w:p>
    <w:p w14:paraId="7696BFC9">
      <w:pPr>
        <w:pStyle w:val="14"/>
        <w:keepNext w:val="0"/>
        <w:keepLines w:val="0"/>
        <w:pageBreakBefore w:val="0"/>
        <w:widowControl w:val="0"/>
        <w:numPr>
          <w:ilvl w:val="0"/>
          <w:numId w:val="6"/>
        </w:numPr>
        <w:tabs>
          <w:tab w:val="left" w:pos="1140"/>
        </w:tabs>
        <w:kinsoku/>
        <w:wordWrap w:val="0"/>
        <w:overflowPunct/>
        <w:topLinePunct w:val="0"/>
        <w:autoSpaceDE/>
        <w:autoSpaceDN/>
        <w:bidi w:val="0"/>
        <w:adjustRightInd/>
        <w:snapToGrid/>
        <w:spacing w:line="360" w:lineRule="auto"/>
        <w:ind w:left="0" w:firstLine="420"/>
        <w:textAlignment w:val="auto"/>
        <w:rPr>
          <w:rFonts w:hint="eastAsia" w:hAnsi="宋体" w:cs="宋体"/>
          <w:color w:val="auto"/>
          <w:sz w:val="24"/>
          <w:szCs w:val="24"/>
          <w:highlight w:val="none"/>
        </w:rPr>
      </w:pPr>
      <w:r>
        <w:rPr>
          <w:rFonts w:hint="eastAsia" w:hAnsi="宋体" w:cs="宋体"/>
          <w:color w:val="auto"/>
          <w:sz w:val="24"/>
          <w:szCs w:val="24"/>
          <w:highlight w:val="none"/>
        </w:rPr>
        <w:t>在招标采购过程中与采购人进行协商谈判的；</w:t>
      </w:r>
    </w:p>
    <w:p w14:paraId="06164965">
      <w:pPr>
        <w:pStyle w:val="14"/>
        <w:keepNext w:val="0"/>
        <w:keepLines w:val="0"/>
        <w:pageBreakBefore w:val="0"/>
        <w:widowControl w:val="0"/>
        <w:numPr>
          <w:ilvl w:val="0"/>
          <w:numId w:val="6"/>
        </w:numPr>
        <w:tabs>
          <w:tab w:val="left" w:pos="1140"/>
        </w:tabs>
        <w:kinsoku/>
        <w:wordWrap w:val="0"/>
        <w:overflowPunct/>
        <w:topLinePunct w:val="0"/>
        <w:autoSpaceDE/>
        <w:autoSpaceDN/>
        <w:bidi w:val="0"/>
        <w:adjustRightInd/>
        <w:snapToGrid/>
        <w:spacing w:line="360" w:lineRule="auto"/>
        <w:ind w:left="0" w:firstLine="420"/>
        <w:textAlignment w:val="auto"/>
        <w:rPr>
          <w:rFonts w:hint="eastAsia" w:hAnsi="宋体" w:cs="宋体"/>
          <w:color w:val="auto"/>
          <w:sz w:val="24"/>
          <w:szCs w:val="24"/>
          <w:highlight w:val="none"/>
        </w:rPr>
      </w:pPr>
      <w:r>
        <w:rPr>
          <w:rFonts w:hint="eastAsia" w:hAnsi="宋体" w:cs="宋体"/>
          <w:color w:val="auto"/>
          <w:sz w:val="24"/>
          <w:szCs w:val="24"/>
          <w:highlight w:val="none"/>
        </w:rPr>
        <w:t>拒绝有关部门监督检查或提供虚假情况的。</w:t>
      </w:r>
    </w:p>
    <w:p w14:paraId="28DE61D7">
      <w:pPr>
        <w:pStyle w:val="14"/>
        <w:wordWrap w:val="0"/>
        <w:spacing w:line="360" w:lineRule="auto"/>
        <w:ind w:left="420"/>
        <w:rPr>
          <w:rFonts w:hint="eastAsia" w:hAnsi="宋体" w:cs="宋体"/>
          <w:color w:val="auto"/>
          <w:sz w:val="24"/>
          <w:szCs w:val="24"/>
          <w:highlight w:val="none"/>
        </w:rPr>
      </w:pPr>
      <w:r>
        <w:rPr>
          <w:rFonts w:hint="eastAsia" w:hAnsi="宋体" w:cs="宋体"/>
          <w:color w:val="auto"/>
          <w:sz w:val="24"/>
          <w:szCs w:val="24"/>
          <w:highlight w:val="none"/>
        </w:rPr>
        <w:t>10、我方及由本人担任法定代表人的其他机构最近三年内被处罚的违法行为有：</w:t>
      </w:r>
      <w:r>
        <w:rPr>
          <w:rFonts w:hint="eastAsia" w:hAnsi="宋体" w:cs="宋体"/>
          <w:color w:val="auto"/>
          <w:sz w:val="24"/>
          <w:szCs w:val="24"/>
          <w:highlight w:val="none"/>
          <w:u w:val="single"/>
        </w:rPr>
        <w:t xml:space="preserve">                                                                                     </w:t>
      </w:r>
    </w:p>
    <w:p w14:paraId="2745DC66">
      <w:pPr>
        <w:pStyle w:val="14"/>
        <w:wordWrap w:val="0"/>
        <w:spacing w:line="360" w:lineRule="auto"/>
        <w:ind w:firstLine="480"/>
        <w:rPr>
          <w:rFonts w:hint="eastAsia" w:hAnsi="宋体" w:cs="宋体"/>
          <w:color w:val="auto"/>
          <w:sz w:val="24"/>
          <w:szCs w:val="24"/>
          <w:highlight w:val="none"/>
        </w:rPr>
      </w:pPr>
      <w:r>
        <w:rPr>
          <w:rFonts w:hint="eastAsia" w:hAnsi="宋体" w:cs="宋体"/>
          <w:color w:val="auto"/>
          <w:sz w:val="24"/>
          <w:szCs w:val="24"/>
          <w:highlight w:val="none"/>
        </w:rPr>
        <w:t>11、以上事项如有虚假或隐瞒，我方愿意承担一切后果，并不再寻求任何旨在减轻或免除法律责任的辩解。</w:t>
      </w:r>
    </w:p>
    <w:p w14:paraId="72C3A1C6">
      <w:pPr>
        <w:pStyle w:val="14"/>
        <w:wordWrap w:val="0"/>
        <w:spacing w:line="360" w:lineRule="auto"/>
        <w:ind w:firstLine="480"/>
        <w:rPr>
          <w:rFonts w:hint="eastAsia" w:hAnsi="宋体" w:cs="宋体"/>
          <w:color w:val="auto"/>
          <w:sz w:val="24"/>
          <w:szCs w:val="24"/>
          <w:highlight w:val="none"/>
        </w:rPr>
      </w:pPr>
      <w:r>
        <w:rPr>
          <w:rFonts w:hint="eastAsia" w:hAnsi="宋体" w:cs="宋体"/>
          <w:color w:val="auto"/>
          <w:sz w:val="24"/>
          <w:szCs w:val="24"/>
          <w:highlight w:val="none"/>
        </w:rPr>
        <w:t>12、与本投标有关的一切正式往来信函请寄：</w:t>
      </w:r>
      <w:r>
        <w:rPr>
          <w:rFonts w:hint="eastAsia" w:hAnsi="宋体" w:cs="宋体"/>
          <w:color w:val="auto"/>
          <w:sz w:val="24"/>
          <w:szCs w:val="24"/>
          <w:highlight w:val="none"/>
          <w:u w:val="single"/>
        </w:rPr>
        <w:t xml:space="preserve"> </w:t>
      </w:r>
    </w:p>
    <w:p w14:paraId="1CDE3CC1">
      <w:pPr>
        <w:pStyle w:val="14"/>
        <w:wordWrap w:val="0"/>
        <w:spacing w:line="360" w:lineRule="auto"/>
        <w:ind w:firstLine="480"/>
        <w:rPr>
          <w:rFonts w:hint="eastAsia" w:hAnsi="宋体" w:cs="宋体"/>
          <w:color w:val="auto"/>
          <w:sz w:val="24"/>
          <w:szCs w:val="24"/>
          <w:highlight w:val="none"/>
        </w:rPr>
      </w:pPr>
      <w:r>
        <w:rPr>
          <w:rFonts w:hint="eastAsia" w:hAnsi="宋体" w:cs="宋体"/>
          <w:color w:val="auto"/>
          <w:sz w:val="24"/>
          <w:szCs w:val="24"/>
          <w:highlight w:val="none"/>
        </w:rPr>
        <w:t>地址：</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w:t>
      </w:r>
    </w:p>
    <w:p w14:paraId="5E747F1E">
      <w:pPr>
        <w:pStyle w:val="14"/>
        <w:wordWrap w:val="0"/>
        <w:spacing w:line="360" w:lineRule="auto"/>
        <w:ind w:firstLine="480"/>
        <w:rPr>
          <w:rFonts w:hint="eastAsia" w:hAnsi="宋体" w:cs="宋体"/>
          <w:color w:val="auto"/>
          <w:sz w:val="24"/>
          <w:szCs w:val="24"/>
          <w:highlight w:val="none"/>
          <w:u w:val="single"/>
        </w:rPr>
      </w:pPr>
      <w:r>
        <w:rPr>
          <w:rFonts w:hint="eastAsia" w:hAnsi="宋体" w:cs="宋体"/>
          <w:color w:val="auto"/>
          <w:sz w:val="24"/>
          <w:szCs w:val="24"/>
          <w:highlight w:val="none"/>
        </w:rPr>
        <w:t>电话：</w:t>
      </w:r>
      <w:r>
        <w:rPr>
          <w:rFonts w:hint="eastAsia" w:hAnsi="宋体" w:cs="宋体"/>
          <w:color w:val="auto"/>
          <w:sz w:val="24"/>
          <w:szCs w:val="24"/>
          <w:highlight w:val="none"/>
          <w:u w:val="single"/>
        </w:rPr>
        <w:t xml:space="preserve">                                      　　　　　　　　　</w:t>
      </w:r>
    </w:p>
    <w:p w14:paraId="54DBE983">
      <w:pPr>
        <w:pStyle w:val="14"/>
        <w:wordWrap w:val="0"/>
        <w:spacing w:line="360" w:lineRule="auto"/>
        <w:ind w:firstLine="480"/>
        <w:rPr>
          <w:rFonts w:hint="eastAsia" w:hAnsi="宋体" w:cs="宋体"/>
          <w:color w:val="auto"/>
          <w:sz w:val="24"/>
          <w:szCs w:val="24"/>
          <w:highlight w:val="none"/>
        </w:rPr>
      </w:pPr>
      <w:r>
        <w:rPr>
          <w:rFonts w:hint="eastAsia" w:hAnsi="宋体" w:cs="宋体"/>
          <w:color w:val="auto"/>
          <w:sz w:val="24"/>
          <w:szCs w:val="24"/>
          <w:highlight w:val="none"/>
        </w:rPr>
        <w:t>传真：</w:t>
      </w:r>
      <w:r>
        <w:rPr>
          <w:rFonts w:hint="eastAsia" w:hAnsi="宋体" w:cs="宋体"/>
          <w:color w:val="auto"/>
          <w:sz w:val="24"/>
          <w:szCs w:val="24"/>
          <w:highlight w:val="none"/>
          <w:u w:val="single"/>
        </w:rPr>
        <w:t>　　　　　　　　　　　　　　　　　　　　　　　　　　　　</w:t>
      </w:r>
    </w:p>
    <w:p w14:paraId="5C1EDC03">
      <w:pPr>
        <w:pStyle w:val="14"/>
        <w:wordWrap w:val="0"/>
        <w:spacing w:line="360" w:lineRule="auto"/>
        <w:ind w:firstLine="480"/>
        <w:rPr>
          <w:rFonts w:hint="eastAsia" w:hAnsi="宋体" w:cs="宋体"/>
          <w:color w:val="auto"/>
          <w:sz w:val="24"/>
          <w:szCs w:val="24"/>
          <w:highlight w:val="none"/>
          <w:u w:val="single"/>
        </w:rPr>
      </w:pPr>
      <w:r>
        <w:rPr>
          <w:rFonts w:hint="eastAsia" w:hAnsi="宋体" w:cs="宋体"/>
          <w:color w:val="auto"/>
          <w:sz w:val="24"/>
          <w:szCs w:val="24"/>
          <w:highlight w:val="none"/>
        </w:rPr>
        <w:t>邮政编码：</w:t>
      </w:r>
      <w:r>
        <w:rPr>
          <w:rFonts w:hint="eastAsia" w:hAnsi="宋体" w:cs="宋体"/>
          <w:color w:val="auto"/>
          <w:sz w:val="24"/>
          <w:szCs w:val="24"/>
          <w:highlight w:val="none"/>
          <w:u w:val="single"/>
        </w:rPr>
        <w:t xml:space="preserve">                                                    </w:t>
      </w:r>
    </w:p>
    <w:p w14:paraId="2D4B9FB6">
      <w:pPr>
        <w:pStyle w:val="14"/>
        <w:wordWrap w:val="0"/>
        <w:spacing w:line="360" w:lineRule="auto"/>
        <w:ind w:firstLine="480"/>
        <w:rPr>
          <w:rFonts w:hint="eastAsia" w:hAnsi="宋体" w:cs="宋体"/>
          <w:color w:val="auto"/>
          <w:sz w:val="24"/>
          <w:szCs w:val="24"/>
          <w:highlight w:val="none"/>
          <w:u w:val="single"/>
        </w:rPr>
      </w:pPr>
      <w:r>
        <w:rPr>
          <w:rFonts w:hint="eastAsia" w:hAnsi="宋体" w:cs="宋体"/>
          <w:color w:val="auto"/>
          <w:sz w:val="24"/>
          <w:szCs w:val="24"/>
          <w:highlight w:val="none"/>
        </w:rPr>
        <w:t>开户名称：</w:t>
      </w:r>
      <w:r>
        <w:rPr>
          <w:rFonts w:hint="eastAsia" w:hAnsi="宋体" w:cs="宋体"/>
          <w:color w:val="auto"/>
          <w:sz w:val="24"/>
          <w:szCs w:val="24"/>
          <w:highlight w:val="none"/>
          <w:u w:val="single"/>
        </w:rPr>
        <w:t xml:space="preserve">                                                    </w:t>
      </w:r>
    </w:p>
    <w:p w14:paraId="10A73BE0">
      <w:pPr>
        <w:pStyle w:val="14"/>
        <w:wordWrap w:val="0"/>
        <w:spacing w:line="360" w:lineRule="auto"/>
        <w:ind w:firstLine="480"/>
        <w:rPr>
          <w:rFonts w:hint="eastAsia" w:hAnsi="宋体" w:cs="宋体"/>
          <w:color w:val="auto"/>
          <w:sz w:val="24"/>
          <w:szCs w:val="24"/>
          <w:highlight w:val="none"/>
          <w:u w:val="single"/>
        </w:rPr>
      </w:pPr>
      <w:r>
        <w:rPr>
          <w:rFonts w:hint="eastAsia" w:hAnsi="宋体" w:cs="宋体"/>
          <w:color w:val="auto"/>
          <w:sz w:val="24"/>
          <w:szCs w:val="24"/>
          <w:highlight w:val="none"/>
        </w:rPr>
        <w:t>开户银行：</w:t>
      </w:r>
      <w:r>
        <w:rPr>
          <w:rFonts w:hint="eastAsia" w:hAnsi="宋体" w:cs="宋体"/>
          <w:color w:val="auto"/>
          <w:sz w:val="24"/>
          <w:szCs w:val="24"/>
          <w:highlight w:val="none"/>
          <w:u w:val="single"/>
        </w:rPr>
        <w:t xml:space="preserve">                                                    </w:t>
      </w:r>
    </w:p>
    <w:p w14:paraId="03D4AE0E">
      <w:pPr>
        <w:pStyle w:val="14"/>
        <w:wordWrap w:val="0"/>
        <w:spacing w:line="360" w:lineRule="auto"/>
        <w:ind w:firstLine="480"/>
        <w:rPr>
          <w:rFonts w:hint="eastAsia" w:hAnsi="宋体" w:cs="宋体"/>
          <w:color w:val="auto"/>
          <w:sz w:val="24"/>
          <w:szCs w:val="24"/>
          <w:highlight w:val="none"/>
          <w:u w:val="single"/>
        </w:rPr>
      </w:pPr>
      <w:r>
        <w:rPr>
          <w:rFonts w:hint="eastAsia" w:hAnsi="宋体" w:cs="宋体"/>
          <w:color w:val="auto"/>
          <w:sz w:val="24"/>
          <w:szCs w:val="24"/>
          <w:highlight w:val="none"/>
        </w:rPr>
        <w:t>银行账号：</w:t>
      </w:r>
      <w:r>
        <w:rPr>
          <w:rFonts w:hint="eastAsia" w:hAnsi="宋体" w:cs="宋体"/>
          <w:color w:val="auto"/>
          <w:sz w:val="24"/>
          <w:szCs w:val="24"/>
          <w:highlight w:val="none"/>
          <w:u w:val="single"/>
        </w:rPr>
        <w:t xml:space="preserve">                                                    </w:t>
      </w:r>
    </w:p>
    <w:p w14:paraId="7D0746DA">
      <w:pPr>
        <w:wordWrap w:val="0"/>
        <w:snapToGrid w:val="0"/>
        <w:spacing w:line="360" w:lineRule="auto"/>
        <w:ind w:firstLine="5040" w:firstLineChars="210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投标人名称(电子签章)：</w:t>
      </w:r>
    </w:p>
    <w:p w14:paraId="24EDA98B">
      <w:pPr>
        <w:wordWrap w:val="0"/>
        <w:snapToGrid w:val="0"/>
        <w:spacing w:line="360" w:lineRule="auto"/>
        <w:ind w:firstLine="5160" w:firstLineChars="215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3131934D">
      <w:pPr>
        <w:widowControl/>
        <w:wordWrap w:val="0"/>
        <w:spacing w:line="360" w:lineRule="auto"/>
        <w:jc w:val="left"/>
        <w:rPr>
          <w:rFonts w:hint="eastAsia" w:ascii="宋体" w:hAnsi="宋体" w:cs="宋体"/>
          <w:color w:val="auto"/>
          <w:kern w:val="0"/>
          <w:sz w:val="24"/>
          <w:highlight w:val="none"/>
          <w:lang w:val="zh-CN"/>
        </w:rPr>
        <w:sectPr>
          <w:pgSz w:w="11906" w:h="16838"/>
          <w:pgMar w:top="1440" w:right="1080" w:bottom="1440" w:left="1080" w:header="720" w:footer="720" w:gutter="0"/>
          <w:cols w:space="720" w:num="1"/>
          <w:docGrid w:type="lines" w:linePitch="331" w:charSpace="0"/>
        </w:sectPr>
      </w:pPr>
    </w:p>
    <w:p w14:paraId="62D9A3A3">
      <w:pPr>
        <w:pStyle w:val="14"/>
        <w:wordWrap w:val="0"/>
        <w:spacing w:line="360" w:lineRule="auto"/>
        <w:ind w:firstLine="600"/>
        <w:jc w:val="center"/>
        <w:rPr>
          <w:rFonts w:hint="eastAsia" w:hAnsi="宋体" w:cs="宋体"/>
          <w:b/>
          <w:color w:val="auto"/>
          <w:sz w:val="30"/>
          <w:szCs w:val="30"/>
          <w:highlight w:val="none"/>
        </w:rPr>
      </w:pPr>
      <w:r>
        <w:rPr>
          <w:rFonts w:hint="eastAsia" w:hAnsi="宋体" w:cs="宋体"/>
          <w:color w:val="auto"/>
          <w:sz w:val="30"/>
          <w:highlight w:val="none"/>
        </w:rPr>
        <w:t>二、</w:t>
      </w:r>
      <w:r>
        <w:rPr>
          <w:rFonts w:hint="eastAsia" w:hAnsi="宋体" w:cs="宋体"/>
          <w:b/>
          <w:color w:val="auto"/>
          <w:sz w:val="30"/>
          <w:szCs w:val="30"/>
          <w:highlight w:val="none"/>
        </w:rPr>
        <w:t>开标一览表</w:t>
      </w:r>
      <w:r>
        <w:rPr>
          <w:rFonts w:hint="eastAsia" w:hAnsi="宋体" w:cs="宋体"/>
          <w:b/>
          <w:color w:val="auto"/>
          <w:kern w:val="0"/>
          <w:sz w:val="24"/>
          <w:highlight w:val="none"/>
          <w:lang w:val="zh-CN"/>
        </w:rPr>
        <w:t>(单位均为人民币元)</w:t>
      </w:r>
    </w:p>
    <w:p w14:paraId="08F09A46">
      <w:pPr>
        <w:wordWrap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57BC2466">
      <w:pPr>
        <w:wordWrap w:val="0"/>
        <w:snapToGrid w:val="0"/>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分标：</w:t>
      </w:r>
      <w:r>
        <w:rPr>
          <w:rFonts w:hint="eastAsia" w:ascii="宋体" w:hAnsi="宋体" w:cs="宋体"/>
          <w:color w:val="auto"/>
          <w:sz w:val="24"/>
          <w:highlight w:val="none"/>
          <w:u w:val="single"/>
        </w:rPr>
        <w:t xml:space="preserve">           </w:t>
      </w:r>
    </w:p>
    <w:p w14:paraId="6A83F6EF">
      <w:pPr>
        <w:pStyle w:val="14"/>
        <w:wordWrap w:val="0"/>
        <w:spacing w:line="360" w:lineRule="auto"/>
        <w:rPr>
          <w:rFonts w:hint="eastAsia" w:hAnsi="宋体" w:cs="宋体"/>
          <w:b/>
          <w:color w:val="auto"/>
          <w:sz w:val="32"/>
          <w:highlight w:val="none"/>
        </w:rPr>
      </w:pPr>
      <w:r>
        <w:rPr>
          <w:rFonts w:hint="eastAsia" w:hAnsi="宋体" w:cs="宋体"/>
          <w:color w:val="auto"/>
          <w:sz w:val="24"/>
          <w:highlight w:val="none"/>
        </w:rPr>
        <w:t>投标人名称：</w:t>
      </w:r>
      <w:r>
        <w:rPr>
          <w:rFonts w:hint="eastAsia" w:hAnsi="宋体" w:cs="宋体"/>
          <w:color w:val="auto"/>
          <w:sz w:val="24"/>
          <w:highlight w:val="none"/>
          <w:u w:val="single"/>
        </w:rPr>
        <w:t xml:space="preserve">                     </w:t>
      </w:r>
      <w:r>
        <w:rPr>
          <w:rFonts w:hint="eastAsia" w:hAnsi="宋体" w:cs="宋体"/>
          <w:color w:val="auto"/>
          <w:sz w:val="24"/>
          <w:highlight w:val="none"/>
        </w:rPr>
        <w:t xml:space="preserve">   </w:t>
      </w:r>
    </w:p>
    <w:tbl>
      <w:tblPr>
        <w:tblStyle w:val="25"/>
        <w:tblW w:w="9813"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2064"/>
        <w:gridCol w:w="1080"/>
        <w:gridCol w:w="1260"/>
        <w:gridCol w:w="1516"/>
        <w:gridCol w:w="1109"/>
        <w:gridCol w:w="805"/>
      </w:tblGrid>
      <w:tr w14:paraId="197BD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vAlign w:val="center"/>
          </w:tcPr>
          <w:p w14:paraId="798E8554">
            <w:pPr>
              <w:wordWrap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序号</w:t>
            </w:r>
          </w:p>
        </w:tc>
        <w:tc>
          <w:tcPr>
            <w:tcW w:w="1260" w:type="dxa"/>
            <w:tcBorders>
              <w:top w:val="single" w:color="auto" w:sz="4" w:space="0"/>
              <w:left w:val="single" w:color="auto" w:sz="4" w:space="0"/>
              <w:bottom w:val="single" w:color="auto" w:sz="4" w:space="0"/>
              <w:right w:val="single" w:color="auto" w:sz="4" w:space="0"/>
            </w:tcBorders>
            <w:vAlign w:val="center"/>
          </w:tcPr>
          <w:p w14:paraId="5DEFCA40">
            <w:pPr>
              <w:wordWrap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服务名称</w:t>
            </w:r>
          </w:p>
        </w:tc>
        <w:tc>
          <w:tcPr>
            <w:tcW w:w="2064" w:type="dxa"/>
            <w:tcBorders>
              <w:top w:val="single" w:color="auto" w:sz="4" w:space="0"/>
              <w:left w:val="single" w:color="auto" w:sz="4" w:space="0"/>
              <w:bottom w:val="single" w:color="auto" w:sz="4" w:space="0"/>
              <w:right w:val="single" w:color="auto" w:sz="4" w:space="0"/>
            </w:tcBorders>
            <w:vAlign w:val="center"/>
          </w:tcPr>
          <w:p w14:paraId="6855E017">
            <w:pPr>
              <w:wordWrap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具体服务内容（含具体服务范围、服务时间、服务标准等内容）</w:t>
            </w:r>
          </w:p>
        </w:tc>
        <w:tc>
          <w:tcPr>
            <w:tcW w:w="1080" w:type="dxa"/>
            <w:tcBorders>
              <w:top w:val="single" w:color="auto" w:sz="4" w:space="0"/>
              <w:left w:val="single" w:color="auto" w:sz="4" w:space="0"/>
              <w:bottom w:val="single" w:color="auto" w:sz="4" w:space="0"/>
              <w:right w:val="single" w:color="auto" w:sz="4" w:space="0"/>
            </w:tcBorders>
            <w:vAlign w:val="center"/>
          </w:tcPr>
          <w:p w14:paraId="4BA540F6">
            <w:pPr>
              <w:wordWrap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数量①</w:t>
            </w:r>
          </w:p>
        </w:tc>
        <w:tc>
          <w:tcPr>
            <w:tcW w:w="1260" w:type="dxa"/>
            <w:tcBorders>
              <w:top w:val="single" w:color="auto" w:sz="4" w:space="0"/>
              <w:left w:val="single" w:color="auto" w:sz="4" w:space="0"/>
              <w:bottom w:val="single" w:color="auto" w:sz="4" w:space="0"/>
              <w:right w:val="single" w:color="auto" w:sz="4" w:space="0"/>
            </w:tcBorders>
            <w:vAlign w:val="center"/>
          </w:tcPr>
          <w:p w14:paraId="10B044F5">
            <w:pPr>
              <w:wordWrap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单价(元)②</w:t>
            </w:r>
          </w:p>
        </w:tc>
        <w:tc>
          <w:tcPr>
            <w:tcW w:w="1516" w:type="dxa"/>
            <w:tcBorders>
              <w:top w:val="single" w:color="auto" w:sz="4" w:space="0"/>
              <w:left w:val="single" w:color="auto" w:sz="4" w:space="0"/>
              <w:bottom w:val="single" w:color="auto" w:sz="4" w:space="0"/>
              <w:right w:val="single" w:color="auto" w:sz="4" w:space="0"/>
            </w:tcBorders>
            <w:vAlign w:val="center"/>
          </w:tcPr>
          <w:p w14:paraId="5E43B0FA">
            <w:pPr>
              <w:wordWrap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单项合价（元）</w:t>
            </w:r>
          </w:p>
          <w:p w14:paraId="36C15493">
            <w:pPr>
              <w:wordWrap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③＝①×②</w:t>
            </w:r>
          </w:p>
        </w:tc>
        <w:tc>
          <w:tcPr>
            <w:tcW w:w="1109" w:type="dxa"/>
            <w:tcBorders>
              <w:top w:val="single" w:color="auto" w:sz="4" w:space="0"/>
              <w:left w:val="single" w:color="auto" w:sz="4" w:space="0"/>
              <w:bottom w:val="single" w:color="auto" w:sz="4" w:space="0"/>
              <w:right w:val="single" w:color="auto" w:sz="4" w:space="0"/>
            </w:tcBorders>
            <w:vAlign w:val="center"/>
          </w:tcPr>
          <w:p w14:paraId="482F2699">
            <w:pPr>
              <w:wordWrap w:val="0"/>
              <w:spacing w:line="360" w:lineRule="auto"/>
              <w:jc w:val="center"/>
              <w:rPr>
                <w:rFonts w:hint="eastAsia" w:ascii="宋体" w:hAnsi="宋体" w:eastAsia="宋体" w:cs="宋体"/>
                <w:color w:val="auto"/>
                <w:sz w:val="24"/>
                <w:szCs w:val="24"/>
                <w:highlight w:val="none"/>
                <w:lang w:eastAsia="zh-CN"/>
              </w:rPr>
            </w:pPr>
            <w:r>
              <w:rPr>
                <w:rFonts w:hint="eastAsia" w:hAnsi="宋体" w:cs="宋体"/>
                <w:color w:val="auto"/>
                <w:sz w:val="24"/>
                <w:szCs w:val="24"/>
                <w:highlight w:val="none"/>
              </w:rPr>
              <w:t>服务</w:t>
            </w:r>
            <w:r>
              <w:rPr>
                <w:rFonts w:hint="eastAsia" w:hAnsi="宋体" w:cs="宋体"/>
                <w:color w:val="auto"/>
                <w:sz w:val="24"/>
                <w:szCs w:val="24"/>
                <w:highlight w:val="none"/>
                <w:lang w:val="en-US" w:eastAsia="zh-CN"/>
              </w:rPr>
              <w:t>期限</w:t>
            </w:r>
          </w:p>
        </w:tc>
        <w:tc>
          <w:tcPr>
            <w:tcW w:w="805" w:type="dxa"/>
            <w:tcBorders>
              <w:top w:val="single" w:color="auto" w:sz="4" w:space="0"/>
              <w:left w:val="single" w:color="auto" w:sz="4" w:space="0"/>
              <w:bottom w:val="single" w:color="auto" w:sz="4" w:space="0"/>
              <w:right w:val="single" w:color="auto" w:sz="4" w:space="0"/>
            </w:tcBorders>
            <w:vAlign w:val="center"/>
          </w:tcPr>
          <w:p w14:paraId="3C1C99CD">
            <w:pPr>
              <w:wordWrap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备注</w:t>
            </w:r>
          </w:p>
        </w:tc>
      </w:tr>
      <w:tr w14:paraId="715A5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19" w:type="dxa"/>
            <w:tcBorders>
              <w:top w:val="single" w:color="auto" w:sz="4" w:space="0"/>
              <w:left w:val="single" w:color="auto" w:sz="4" w:space="0"/>
              <w:bottom w:val="single" w:color="auto" w:sz="4" w:space="0"/>
              <w:right w:val="single" w:color="auto" w:sz="4" w:space="0"/>
            </w:tcBorders>
            <w:vAlign w:val="center"/>
          </w:tcPr>
          <w:p w14:paraId="7EFFCC78">
            <w:pPr>
              <w:wordWrap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w:t>
            </w:r>
          </w:p>
        </w:tc>
        <w:tc>
          <w:tcPr>
            <w:tcW w:w="1260" w:type="dxa"/>
            <w:tcBorders>
              <w:top w:val="single" w:color="auto" w:sz="4" w:space="0"/>
              <w:left w:val="single" w:color="auto" w:sz="4" w:space="0"/>
              <w:bottom w:val="single" w:color="auto" w:sz="4" w:space="0"/>
              <w:right w:val="single" w:color="auto" w:sz="4" w:space="0"/>
            </w:tcBorders>
            <w:vAlign w:val="center"/>
          </w:tcPr>
          <w:p w14:paraId="5F522B28">
            <w:pPr>
              <w:wordWrap w:val="0"/>
              <w:spacing w:line="360" w:lineRule="auto"/>
              <w:rPr>
                <w:rFonts w:hint="eastAsia" w:ascii="宋体" w:hAnsi="宋体" w:cs="宋体"/>
                <w:color w:val="auto"/>
                <w:sz w:val="24"/>
                <w:szCs w:val="24"/>
                <w:highlight w:val="none"/>
              </w:rPr>
            </w:pPr>
          </w:p>
        </w:tc>
        <w:tc>
          <w:tcPr>
            <w:tcW w:w="2064" w:type="dxa"/>
            <w:tcBorders>
              <w:top w:val="single" w:color="auto" w:sz="4" w:space="0"/>
              <w:left w:val="single" w:color="auto" w:sz="4" w:space="0"/>
              <w:bottom w:val="single" w:color="auto" w:sz="4" w:space="0"/>
              <w:right w:val="single" w:color="auto" w:sz="4" w:space="0"/>
            </w:tcBorders>
            <w:vAlign w:val="center"/>
          </w:tcPr>
          <w:p w14:paraId="7EA3948A">
            <w:pPr>
              <w:wordWrap w:val="0"/>
              <w:spacing w:line="360" w:lineRule="auto"/>
              <w:rPr>
                <w:rFonts w:hint="eastAsia" w:ascii="宋体" w:hAnsi="宋体" w:cs="宋体"/>
                <w:color w:val="auto"/>
                <w:sz w:val="24"/>
                <w:szCs w:val="24"/>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23CC770B">
            <w:pPr>
              <w:wordWrap w:val="0"/>
              <w:spacing w:line="360" w:lineRule="auto"/>
              <w:rPr>
                <w:rFonts w:hint="eastAsia" w:ascii="宋体" w:hAnsi="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13CBBF4E">
            <w:pPr>
              <w:wordWrap w:val="0"/>
              <w:spacing w:line="360" w:lineRule="auto"/>
              <w:rPr>
                <w:rFonts w:hint="eastAsia" w:ascii="宋体" w:hAnsi="宋体" w:cs="宋体"/>
                <w:color w:val="auto"/>
                <w:sz w:val="24"/>
                <w:szCs w:val="24"/>
                <w:highlight w:val="none"/>
              </w:rPr>
            </w:pPr>
          </w:p>
        </w:tc>
        <w:tc>
          <w:tcPr>
            <w:tcW w:w="1516" w:type="dxa"/>
            <w:tcBorders>
              <w:top w:val="single" w:color="auto" w:sz="4" w:space="0"/>
              <w:left w:val="single" w:color="auto" w:sz="4" w:space="0"/>
              <w:bottom w:val="single" w:color="auto" w:sz="4" w:space="0"/>
              <w:right w:val="single" w:color="auto" w:sz="4" w:space="0"/>
            </w:tcBorders>
            <w:vAlign w:val="center"/>
          </w:tcPr>
          <w:p w14:paraId="762C0A56">
            <w:pPr>
              <w:wordWrap w:val="0"/>
              <w:spacing w:line="360" w:lineRule="auto"/>
              <w:rPr>
                <w:rFonts w:hint="eastAsia" w:ascii="宋体" w:hAnsi="宋体" w:cs="宋体"/>
                <w:color w:val="auto"/>
                <w:sz w:val="24"/>
                <w:szCs w:val="24"/>
                <w:highlight w:val="none"/>
              </w:rPr>
            </w:pPr>
          </w:p>
        </w:tc>
        <w:tc>
          <w:tcPr>
            <w:tcW w:w="1109" w:type="dxa"/>
            <w:tcBorders>
              <w:top w:val="single" w:color="auto" w:sz="4" w:space="0"/>
              <w:left w:val="single" w:color="auto" w:sz="4" w:space="0"/>
              <w:bottom w:val="single" w:color="auto" w:sz="4" w:space="0"/>
              <w:right w:val="single" w:color="auto" w:sz="4" w:space="0"/>
            </w:tcBorders>
          </w:tcPr>
          <w:p w14:paraId="4893E03B">
            <w:pPr>
              <w:wordWrap w:val="0"/>
              <w:spacing w:line="360" w:lineRule="auto"/>
              <w:rPr>
                <w:rFonts w:hint="eastAsia" w:ascii="宋体" w:hAnsi="宋体" w:cs="宋体"/>
                <w:color w:val="auto"/>
                <w:sz w:val="24"/>
                <w:szCs w:val="24"/>
                <w:highlight w:val="none"/>
              </w:rPr>
            </w:pPr>
          </w:p>
        </w:tc>
        <w:tc>
          <w:tcPr>
            <w:tcW w:w="805" w:type="dxa"/>
            <w:tcBorders>
              <w:top w:val="single" w:color="auto" w:sz="4" w:space="0"/>
              <w:left w:val="single" w:color="auto" w:sz="4" w:space="0"/>
              <w:bottom w:val="single" w:color="auto" w:sz="4" w:space="0"/>
              <w:right w:val="single" w:color="auto" w:sz="4" w:space="0"/>
            </w:tcBorders>
            <w:vAlign w:val="center"/>
          </w:tcPr>
          <w:p w14:paraId="7252EA02">
            <w:pPr>
              <w:wordWrap w:val="0"/>
              <w:spacing w:line="360" w:lineRule="auto"/>
              <w:rPr>
                <w:rFonts w:hint="eastAsia" w:ascii="宋体" w:hAnsi="宋体" w:cs="宋体"/>
                <w:color w:val="auto"/>
                <w:sz w:val="24"/>
                <w:szCs w:val="24"/>
                <w:highlight w:val="none"/>
              </w:rPr>
            </w:pPr>
          </w:p>
        </w:tc>
      </w:tr>
      <w:tr w14:paraId="11D3A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9" w:type="dxa"/>
            <w:tcBorders>
              <w:top w:val="single" w:color="auto" w:sz="4" w:space="0"/>
              <w:left w:val="single" w:color="auto" w:sz="4" w:space="0"/>
              <w:bottom w:val="single" w:color="auto" w:sz="4" w:space="0"/>
              <w:right w:val="single" w:color="auto" w:sz="4" w:space="0"/>
            </w:tcBorders>
            <w:vAlign w:val="center"/>
          </w:tcPr>
          <w:p w14:paraId="24761C35">
            <w:pPr>
              <w:wordWrap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w:t>
            </w:r>
          </w:p>
        </w:tc>
        <w:tc>
          <w:tcPr>
            <w:tcW w:w="1260" w:type="dxa"/>
            <w:tcBorders>
              <w:top w:val="single" w:color="auto" w:sz="4" w:space="0"/>
              <w:left w:val="single" w:color="auto" w:sz="4" w:space="0"/>
              <w:bottom w:val="single" w:color="auto" w:sz="4" w:space="0"/>
              <w:right w:val="single" w:color="auto" w:sz="4" w:space="0"/>
            </w:tcBorders>
            <w:vAlign w:val="center"/>
          </w:tcPr>
          <w:p w14:paraId="6A164617">
            <w:pPr>
              <w:wordWrap w:val="0"/>
              <w:spacing w:line="360" w:lineRule="auto"/>
              <w:rPr>
                <w:rFonts w:hint="eastAsia" w:ascii="宋体" w:hAnsi="宋体" w:cs="宋体"/>
                <w:color w:val="auto"/>
                <w:sz w:val="24"/>
                <w:szCs w:val="24"/>
                <w:highlight w:val="none"/>
              </w:rPr>
            </w:pPr>
          </w:p>
        </w:tc>
        <w:tc>
          <w:tcPr>
            <w:tcW w:w="2064" w:type="dxa"/>
            <w:tcBorders>
              <w:top w:val="single" w:color="auto" w:sz="4" w:space="0"/>
              <w:left w:val="single" w:color="auto" w:sz="4" w:space="0"/>
              <w:bottom w:val="single" w:color="auto" w:sz="4" w:space="0"/>
              <w:right w:val="single" w:color="auto" w:sz="4" w:space="0"/>
            </w:tcBorders>
            <w:vAlign w:val="center"/>
          </w:tcPr>
          <w:p w14:paraId="7BC0A688">
            <w:pPr>
              <w:wordWrap w:val="0"/>
              <w:spacing w:line="360" w:lineRule="auto"/>
              <w:rPr>
                <w:rFonts w:hint="eastAsia" w:ascii="宋体" w:hAnsi="宋体" w:cs="宋体"/>
                <w:color w:val="auto"/>
                <w:sz w:val="24"/>
                <w:szCs w:val="24"/>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2E8FAF07">
            <w:pPr>
              <w:wordWrap w:val="0"/>
              <w:spacing w:line="360" w:lineRule="auto"/>
              <w:rPr>
                <w:rFonts w:hint="eastAsia" w:ascii="宋体" w:hAnsi="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22274765">
            <w:pPr>
              <w:wordWrap w:val="0"/>
              <w:spacing w:line="360" w:lineRule="auto"/>
              <w:rPr>
                <w:rFonts w:hint="eastAsia" w:ascii="宋体" w:hAnsi="宋体" w:cs="宋体"/>
                <w:color w:val="auto"/>
                <w:sz w:val="24"/>
                <w:szCs w:val="24"/>
                <w:highlight w:val="none"/>
              </w:rPr>
            </w:pPr>
          </w:p>
        </w:tc>
        <w:tc>
          <w:tcPr>
            <w:tcW w:w="1516" w:type="dxa"/>
            <w:tcBorders>
              <w:top w:val="single" w:color="auto" w:sz="4" w:space="0"/>
              <w:left w:val="single" w:color="auto" w:sz="4" w:space="0"/>
              <w:bottom w:val="single" w:color="auto" w:sz="4" w:space="0"/>
              <w:right w:val="single" w:color="auto" w:sz="4" w:space="0"/>
            </w:tcBorders>
            <w:vAlign w:val="center"/>
          </w:tcPr>
          <w:p w14:paraId="53AF6A84">
            <w:pPr>
              <w:wordWrap w:val="0"/>
              <w:spacing w:line="360" w:lineRule="auto"/>
              <w:rPr>
                <w:rFonts w:hint="eastAsia" w:ascii="宋体" w:hAnsi="宋体" w:cs="宋体"/>
                <w:color w:val="auto"/>
                <w:sz w:val="24"/>
                <w:szCs w:val="24"/>
                <w:highlight w:val="none"/>
              </w:rPr>
            </w:pPr>
          </w:p>
        </w:tc>
        <w:tc>
          <w:tcPr>
            <w:tcW w:w="1109" w:type="dxa"/>
            <w:tcBorders>
              <w:top w:val="single" w:color="auto" w:sz="4" w:space="0"/>
              <w:left w:val="single" w:color="auto" w:sz="4" w:space="0"/>
              <w:bottom w:val="single" w:color="auto" w:sz="4" w:space="0"/>
              <w:right w:val="single" w:color="auto" w:sz="4" w:space="0"/>
            </w:tcBorders>
          </w:tcPr>
          <w:p w14:paraId="11EAA74C">
            <w:pPr>
              <w:wordWrap w:val="0"/>
              <w:spacing w:line="360" w:lineRule="auto"/>
              <w:rPr>
                <w:rFonts w:hint="eastAsia" w:ascii="宋体" w:hAnsi="宋体" w:cs="宋体"/>
                <w:color w:val="auto"/>
                <w:sz w:val="24"/>
                <w:szCs w:val="24"/>
                <w:highlight w:val="none"/>
              </w:rPr>
            </w:pPr>
          </w:p>
        </w:tc>
        <w:tc>
          <w:tcPr>
            <w:tcW w:w="805" w:type="dxa"/>
            <w:tcBorders>
              <w:top w:val="single" w:color="auto" w:sz="4" w:space="0"/>
              <w:left w:val="single" w:color="auto" w:sz="4" w:space="0"/>
              <w:bottom w:val="single" w:color="auto" w:sz="4" w:space="0"/>
              <w:right w:val="single" w:color="auto" w:sz="4" w:space="0"/>
            </w:tcBorders>
            <w:vAlign w:val="center"/>
          </w:tcPr>
          <w:p w14:paraId="19582AEB">
            <w:pPr>
              <w:wordWrap w:val="0"/>
              <w:spacing w:line="360" w:lineRule="auto"/>
              <w:rPr>
                <w:rFonts w:hint="eastAsia" w:ascii="宋体" w:hAnsi="宋体" w:cs="宋体"/>
                <w:color w:val="auto"/>
                <w:sz w:val="24"/>
                <w:szCs w:val="24"/>
                <w:highlight w:val="none"/>
              </w:rPr>
            </w:pPr>
          </w:p>
        </w:tc>
      </w:tr>
      <w:tr w14:paraId="6002E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719" w:type="dxa"/>
            <w:tcBorders>
              <w:top w:val="single" w:color="auto" w:sz="4" w:space="0"/>
              <w:left w:val="single" w:color="auto" w:sz="4" w:space="0"/>
              <w:bottom w:val="single" w:color="auto" w:sz="4" w:space="0"/>
              <w:right w:val="single" w:color="auto" w:sz="4" w:space="0"/>
            </w:tcBorders>
            <w:vAlign w:val="center"/>
          </w:tcPr>
          <w:p w14:paraId="1390650E">
            <w:pPr>
              <w:wordWrap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w:t>
            </w:r>
          </w:p>
        </w:tc>
        <w:tc>
          <w:tcPr>
            <w:tcW w:w="1260" w:type="dxa"/>
            <w:tcBorders>
              <w:top w:val="single" w:color="auto" w:sz="4" w:space="0"/>
              <w:left w:val="single" w:color="auto" w:sz="4" w:space="0"/>
              <w:bottom w:val="single" w:color="auto" w:sz="4" w:space="0"/>
              <w:right w:val="single" w:color="auto" w:sz="4" w:space="0"/>
            </w:tcBorders>
            <w:vAlign w:val="center"/>
          </w:tcPr>
          <w:p w14:paraId="51E7A3F2">
            <w:pPr>
              <w:wordWrap w:val="0"/>
              <w:spacing w:line="360" w:lineRule="auto"/>
              <w:rPr>
                <w:rFonts w:hint="eastAsia" w:ascii="宋体" w:hAnsi="宋体" w:cs="宋体"/>
                <w:color w:val="auto"/>
                <w:sz w:val="24"/>
                <w:szCs w:val="24"/>
                <w:highlight w:val="none"/>
              </w:rPr>
            </w:pPr>
          </w:p>
        </w:tc>
        <w:tc>
          <w:tcPr>
            <w:tcW w:w="2064" w:type="dxa"/>
            <w:tcBorders>
              <w:top w:val="single" w:color="auto" w:sz="4" w:space="0"/>
              <w:left w:val="single" w:color="auto" w:sz="4" w:space="0"/>
              <w:bottom w:val="single" w:color="auto" w:sz="4" w:space="0"/>
              <w:right w:val="single" w:color="auto" w:sz="4" w:space="0"/>
            </w:tcBorders>
            <w:vAlign w:val="center"/>
          </w:tcPr>
          <w:p w14:paraId="55A64292">
            <w:pPr>
              <w:wordWrap w:val="0"/>
              <w:spacing w:line="360" w:lineRule="auto"/>
              <w:rPr>
                <w:rFonts w:hint="eastAsia" w:ascii="宋体" w:hAnsi="宋体" w:cs="宋体"/>
                <w:color w:val="auto"/>
                <w:sz w:val="24"/>
                <w:szCs w:val="24"/>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56CC3DED">
            <w:pPr>
              <w:wordWrap w:val="0"/>
              <w:spacing w:line="360" w:lineRule="auto"/>
              <w:rPr>
                <w:rFonts w:hint="eastAsia" w:ascii="宋体" w:hAnsi="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2C561D5D">
            <w:pPr>
              <w:wordWrap w:val="0"/>
              <w:spacing w:line="360" w:lineRule="auto"/>
              <w:rPr>
                <w:rFonts w:hint="eastAsia" w:ascii="宋体" w:hAnsi="宋体" w:cs="宋体"/>
                <w:color w:val="auto"/>
                <w:sz w:val="24"/>
                <w:szCs w:val="24"/>
                <w:highlight w:val="none"/>
              </w:rPr>
            </w:pPr>
          </w:p>
        </w:tc>
        <w:tc>
          <w:tcPr>
            <w:tcW w:w="1516" w:type="dxa"/>
            <w:tcBorders>
              <w:top w:val="single" w:color="auto" w:sz="4" w:space="0"/>
              <w:left w:val="single" w:color="auto" w:sz="4" w:space="0"/>
              <w:bottom w:val="single" w:color="auto" w:sz="4" w:space="0"/>
              <w:right w:val="single" w:color="auto" w:sz="4" w:space="0"/>
            </w:tcBorders>
            <w:vAlign w:val="center"/>
          </w:tcPr>
          <w:p w14:paraId="3C2BFC26">
            <w:pPr>
              <w:wordWrap w:val="0"/>
              <w:spacing w:line="360" w:lineRule="auto"/>
              <w:rPr>
                <w:rFonts w:hint="eastAsia" w:ascii="宋体" w:hAnsi="宋体" w:cs="宋体"/>
                <w:color w:val="auto"/>
                <w:sz w:val="24"/>
                <w:szCs w:val="24"/>
                <w:highlight w:val="none"/>
              </w:rPr>
            </w:pPr>
          </w:p>
        </w:tc>
        <w:tc>
          <w:tcPr>
            <w:tcW w:w="1109" w:type="dxa"/>
            <w:tcBorders>
              <w:top w:val="single" w:color="auto" w:sz="4" w:space="0"/>
              <w:left w:val="single" w:color="auto" w:sz="4" w:space="0"/>
              <w:bottom w:val="single" w:color="auto" w:sz="4" w:space="0"/>
              <w:right w:val="single" w:color="auto" w:sz="4" w:space="0"/>
            </w:tcBorders>
          </w:tcPr>
          <w:p w14:paraId="46D265A8">
            <w:pPr>
              <w:wordWrap w:val="0"/>
              <w:spacing w:line="360" w:lineRule="auto"/>
              <w:rPr>
                <w:rFonts w:hint="eastAsia" w:ascii="宋体" w:hAnsi="宋体" w:cs="宋体"/>
                <w:color w:val="auto"/>
                <w:sz w:val="24"/>
                <w:szCs w:val="24"/>
                <w:highlight w:val="none"/>
              </w:rPr>
            </w:pPr>
          </w:p>
        </w:tc>
        <w:tc>
          <w:tcPr>
            <w:tcW w:w="805" w:type="dxa"/>
            <w:tcBorders>
              <w:top w:val="single" w:color="auto" w:sz="4" w:space="0"/>
              <w:left w:val="single" w:color="auto" w:sz="4" w:space="0"/>
              <w:bottom w:val="single" w:color="auto" w:sz="4" w:space="0"/>
              <w:right w:val="single" w:color="auto" w:sz="4" w:space="0"/>
            </w:tcBorders>
            <w:vAlign w:val="center"/>
          </w:tcPr>
          <w:p w14:paraId="20FF86E8">
            <w:pPr>
              <w:wordWrap w:val="0"/>
              <w:spacing w:line="360" w:lineRule="auto"/>
              <w:rPr>
                <w:rFonts w:hint="eastAsia" w:ascii="宋体" w:hAnsi="宋体" w:cs="宋体"/>
                <w:color w:val="auto"/>
                <w:sz w:val="24"/>
                <w:szCs w:val="24"/>
                <w:highlight w:val="none"/>
              </w:rPr>
            </w:pPr>
          </w:p>
        </w:tc>
      </w:tr>
      <w:tr w14:paraId="6EB3E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tcPr>
          <w:p w14:paraId="3F3C51D6">
            <w:pPr>
              <w:wordWrap w:val="0"/>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报价合计（包含税费等所有费用）：（大写）人民币             （</w:t>
            </w:r>
            <w:r>
              <w:rPr>
                <w:rFonts w:hint="eastAsia" w:hAnsi="宋体" w:cs="宋体"/>
                <w:color w:val="auto"/>
                <w:sz w:val="24"/>
                <w:szCs w:val="24"/>
                <w:highlight w:val="none"/>
              </w:rPr>
              <w:t>¥</w:t>
            </w:r>
            <w:r>
              <w:rPr>
                <w:rFonts w:hint="eastAsia" w:ascii="宋体" w:hAnsi="宋体" w:cs="宋体"/>
                <w:color w:val="auto"/>
                <w:sz w:val="24"/>
                <w:szCs w:val="24"/>
                <w:highlight w:val="none"/>
              </w:rPr>
              <w:t xml:space="preserve">                  元）</w:t>
            </w:r>
          </w:p>
        </w:tc>
      </w:tr>
      <w:tr w14:paraId="1B1B9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tcPr>
          <w:p w14:paraId="1BC6520F">
            <w:pPr>
              <w:wordWrap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u w:val="single"/>
              </w:rPr>
              <w:t>　　</w:t>
            </w:r>
            <w:r>
              <w:rPr>
                <w:rFonts w:hint="eastAsia" w:ascii="宋体" w:hAnsi="宋体" w:cs="宋体"/>
                <w:color w:val="auto"/>
                <w:sz w:val="24"/>
                <w:szCs w:val="24"/>
                <w:highlight w:val="none"/>
              </w:rPr>
              <w:t>分标（此处有分标时填写具体分标号，无分标时填写“无”）</w:t>
            </w:r>
          </w:p>
        </w:tc>
      </w:tr>
      <w:tr w14:paraId="2A4C2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tcPr>
          <w:p w14:paraId="1FB018F0">
            <w:pPr>
              <w:wordWrap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验收标准：</w:t>
            </w:r>
          </w:p>
        </w:tc>
      </w:tr>
      <w:tr w14:paraId="7F3C3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tcPr>
          <w:p w14:paraId="62D2101D">
            <w:pPr>
              <w:wordWrap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优惠及其它：</w:t>
            </w:r>
          </w:p>
        </w:tc>
      </w:tr>
    </w:tbl>
    <w:p w14:paraId="04A60B25">
      <w:pPr>
        <w:wordWrap w:val="0"/>
        <w:snapToGrid w:val="0"/>
        <w:spacing w:line="360" w:lineRule="auto"/>
        <w:ind w:firstLine="480" w:firstLineChars="200"/>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注： </w:t>
      </w:r>
    </w:p>
    <w:p w14:paraId="73D940AE">
      <w:pPr>
        <w:wordWrap w:val="0"/>
        <w:snapToGrid w:val="0"/>
        <w:spacing w:line="360" w:lineRule="auto"/>
        <w:ind w:firstLine="480" w:firstLineChars="200"/>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1、 投标人需按本表格式填写，不得自行更改，也不得留空, 如有多分标，按分标分别提供开标一览表，必须加盖投标人有效电子公章，</w:t>
      </w:r>
      <w:r>
        <w:rPr>
          <w:rFonts w:hint="eastAsia" w:ascii="宋体" w:hAnsi="宋体" w:cs="宋体"/>
          <w:b/>
          <w:color w:val="auto"/>
          <w:kern w:val="0"/>
          <w:sz w:val="24"/>
          <w:highlight w:val="none"/>
          <w:lang w:val="zh-CN"/>
        </w:rPr>
        <w:t>否则其投标作无效处理。</w:t>
      </w:r>
    </w:p>
    <w:p w14:paraId="6A8ED2A8">
      <w:pPr>
        <w:wordWrap w:val="0"/>
        <w:snapToGrid w:val="0"/>
        <w:spacing w:line="360" w:lineRule="auto"/>
        <w:ind w:firstLine="480" w:firstLineChars="200"/>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2、本表内容均不能涂改，</w:t>
      </w:r>
      <w:r>
        <w:rPr>
          <w:rFonts w:hint="eastAsia" w:ascii="宋体" w:hAnsi="宋体" w:cs="宋体"/>
          <w:b/>
          <w:color w:val="auto"/>
          <w:kern w:val="0"/>
          <w:sz w:val="24"/>
          <w:highlight w:val="none"/>
          <w:lang w:val="zh-CN"/>
        </w:rPr>
        <w:t>否则其投标作无效处理。</w:t>
      </w:r>
    </w:p>
    <w:p w14:paraId="330217E8">
      <w:pPr>
        <w:wordWrap w:val="0"/>
        <w:snapToGrid w:val="0"/>
        <w:spacing w:line="360" w:lineRule="auto"/>
        <w:ind w:firstLine="480" w:firstLineChars="200"/>
        <w:jc w:val="left"/>
        <w:rPr>
          <w:rFonts w:hint="eastAsia" w:ascii="宋体" w:hAnsi="宋体" w:cs="宋体"/>
          <w:b/>
          <w:color w:val="auto"/>
          <w:kern w:val="0"/>
          <w:sz w:val="24"/>
          <w:highlight w:val="none"/>
          <w:lang w:val="zh-CN"/>
        </w:rPr>
      </w:pPr>
      <w:r>
        <w:rPr>
          <w:rFonts w:hint="eastAsia" w:ascii="宋体" w:hAnsi="宋体" w:cs="宋体"/>
          <w:color w:val="auto"/>
          <w:kern w:val="0"/>
          <w:sz w:val="24"/>
          <w:highlight w:val="none"/>
          <w:lang w:val="zh-CN"/>
        </w:rPr>
        <w:t>3、如为联合体投标，“投标人名称”处必须列明联合体各方名称，并标注联合体牵头人名称，且盖章处须加盖联合体各方公章，</w:t>
      </w:r>
      <w:r>
        <w:rPr>
          <w:rFonts w:hint="eastAsia" w:ascii="宋体" w:hAnsi="宋体" w:cs="宋体"/>
          <w:b/>
          <w:color w:val="auto"/>
          <w:kern w:val="0"/>
          <w:sz w:val="24"/>
          <w:highlight w:val="none"/>
          <w:lang w:val="zh-CN"/>
        </w:rPr>
        <w:t>否则其投标作无效处理。</w:t>
      </w:r>
    </w:p>
    <w:p w14:paraId="5C22F063">
      <w:pPr>
        <w:wordWrap w:val="0"/>
        <w:snapToGrid w:val="0"/>
        <w:spacing w:line="360" w:lineRule="auto"/>
        <w:ind w:firstLine="480" w:firstLineChars="200"/>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4、以上表格要求细分项目及报价，在“具体服务内容”一栏中，填写具体服务范围、服务时间、服务标准，</w:t>
      </w:r>
      <w:r>
        <w:rPr>
          <w:rFonts w:hint="eastAsia" w:ascii="宋体" w:hAnsi="宋体" w:cs="宋体"/>
          <w:b/>
          <w:color w:val="auto"/>
          <w:kern w:val="0"/>
          <w:sz w:val="24"/>
          <w:highlight w:val="none"/>
          <w:lang w:val="zh-CN"/>
        </w:rPr>
        <w:t>否则其投标作无效处理。</w:t>
      </w:r>
    </w:p>
    <w:p w14:paraId="44F64696">
      <w:pPr>
        <w:wordWrap w:val="0"/>
        <w:snapToGrid w:val="0"/>
        <w:spacing w:line="360" w:lineRule="auto"/>
        <w:ind w:firstLine="480" w:firstLineChars="200"/>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5、特别提示：采购机构将对项目名称和项目编号，中标供应商名称、地址和中标金额，主要中标标的的名称、服务范围、服务要求、服务时间、服务标准等予以公示。</w:t>
      </w:r>
    </w:p>
    <w:p w14:paraId="7C7C8499">
      <w:pPr>
        <w:wordWrap w:val="0"/>
        <w:snapToGrid w:val="0"/>
        <w:spacing w:line="360" w:lineRule="auto"/>
        <w:ind w:firstLine="480" w:firstLineChars="200"/>
        <w:jc w:val="left"/>
        <w:rPr>
          <w:rFonts w:hint="eastAsia" w:ascii="宋体" w:hAnsi="宋体" w:cs="宋体"/>
          <w:color w:val="auto"/>
          <w:kern w:val="0"/>
          <w:sz w:val="24"/>
          <w:highlight w:val="none"/>
          <w:lang w:val="zh-CN"/>
        </w:rPr>
      </w:pPr>
      <w:r>
        <w:rPr>
          <w:rFonts w:hint="eastAsia" w:ascii="宋体" w:hAnsi="宋体" w:cs="宋体"/>
          <w:color w:val="auto"/>
          <w:kern w:val="0"/>
          <w:sz w:val="24"/>
          <w:szCs w:val="22"/>
          <w:highlight w:val="none"/>
          <w:lang w:val="zh-CN"/>
        </w:rPr>
        <w:t>6、</w:t>
      </w:r>
      <w:r>
        <w:rPr>
          <w:rFonts w:hint="eastAsia" w:ascii="宋体" w:hAnsi="宋体" w:cs="宋体"/>
          <w:color w:val="auto"/>
          <w:kern w:val="0"/>
          <w:sz w:val="24"/>
          <w:highlight w:val="none"/>
          <w:lang w:val="zh-CN"/>
        </w:rPr>
        <w:t>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14:paraId="6F20A234">
      <w:pPr>
        <w:wordWrap w:val="0"/>
        <w:snapToGrid w:val="0"/>
        <w:spacing w:line="360" w:lineRule="auto"/>
        <w:ind w:firstLine="5040" w:firstLineChars="210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投标人名称(电子签章)：</w:t>
      </w:r>
    </w:p>
    <w:p w14:paraId="1C179EB1">
      <w:pPr>
        <w:pStyle w:val="11"/>
        <w:wordWrap w:val="0"/>
        <w:spacing w:after="0" w:line="360" w:lineRule="auto"/>
        <w:rPr>
          <w:color w:val="auto"/>
          <w:highlight w:val="none"/>
        </w:rPr>
        <w:sectPr>
          <w:pgSz w:w="11906" w:h="16838"/>
          <w:pgMar w:top="1440" w:right="1080" w:bottom="1440" w:left="1080" w:header="720" w:footer="720" w:gutter="0"/>
          <w:cols w:space="720" w:num="1"/>
          <w:docGrid w:type="lines" w:linePitch="331" w:charSpace="0"/>
        </w:sectPr>
      </w:pPr>
    </w:p>
    <w:p w14:paraId="15295AC3">
      <w:pPr>
        <w:pStyle w:val="24"/>
        <w:ind w:firstLine="320"/>
        <w:rPr>
          <w:color w:val="auto"/>
          <w:highlight w:val="none"/>
        </w:rPr>
      </w:pPr>
    </w:p>
    <w:p w14:paraId="404079E0">
      <w:pPr>
        <w:wordWrap w:val="0"/>
        <w:snapToGrid w:val="0"/>
        <w:spacing w:line="360" w:lineRule="auto"/>
        <w:ind w:firstLine="562"/>
        <w:jc w:val="center"/>
        <w:outlineLvl w:val="1"/>
        <w:rPr>
          <w:rFonts w:hint="eastAsia" w:ascii="宋体" w:hAnsi="宋体" w:cs="宋体"/>
          <w:b/>
          <w:bCs/>
          <w:color w:val="auto"/>
          <w:sz w:val="28"/>
          <w:szCs w:val="28"/>
          <w:highlight w:val="none"/>
        </w:rPr>
      </w:pPr>
      <w:bookmarkStart w:id="290" w:name="_Toc12438"/>
      <w:bookmarkStart w:id="291" w:name="_Toc19686840"/>
      <w:r>
        <w:rPr>
          <w:rFonts w:hint="eastAsia" w:ascii="宋体" w:hAnsi="宋体" w:cs="宋体"/>
          <w:b/>
          <w:bCs/>
          <w:color w:val="auto"/>
          <w:sz w:val="28"/>
          <w:szCs w:val="28"/>
          <w:highlight w:val="none"/>
        </w:rPr>
        <w:t>第六节 其他文书、文件格式</w:t>
      </w:r>
      <w:bookmarkEnd w:id="290"/>
      <w:bookmarkEnd w:id="291"/>
    </w:p>
    <w:p w14:paraId="46E0C91F">
      <w:pPr>
        <w:wordWrap w:val="0"/>
        <w:spacing w:line="360" w:lineRule="auto"/>
        <w:ind w:firstLine="643"/>
        <w:jc w:val="center"/>
        <w:rPr>
          <w:rFonts w:hint="eastAsia" w:ascii="宋体" w:hAnsi="宋体" w:cs="宋体"/>
          <w:b/>
          <w:bCs/>
          <w:color w:val="auto"/>
          <w:sz w:val="32"/>
          <w:szCs w:val="32"/>
          <w:highlight w:val="none"/>
          <w:lang w:val="en"/>
        </w:rPr>
      </w:pPr>
    </w:p>
    <w:p w14:paraId="3820EBE4">
      <w:pPr>
        <w:wordWrap w:val="0"/>
        <w:spacing w:line="360" w:lineRule="auto"/>
        <w:ind w:firstLine="643"/>
        <w:jc w:val="center"/>
        <w:rPr>
          <w:rFonts w:hint="eastAsia" w:ascii="宋体" w:hAnsi="宋体" w:cs="宋体"/>
          <w:b/>
          <w:bCs/>
          <w:color w:val="auto"/>
          <w:sz w:val="32"/>
          <w:szCs w:val="32"/>
          <w:highlight w:val="none"/>
          <w:lang w:val="en"/>
        </w:rPr>
      </w:pPr>
      <w:r>
        <w:rPr>
          <w:rFonts w:hint="eastAsia" w:ascii="宋体" w:hAnsi="宋体" w:cs="宋体"/>
          <w:b/>
          <w:bCs/>
          <w:color w:val="auto"/>
          <w:sz w:val="32"/>
          <w:szCs w:val="32"/>
          <w:highlight w:val="none"/>
          <w:lang w:val="en"/>
        </w:rPr>
        <w:t>知识产权合规性声明</w:t>
      </w:r>
    </w:p>
    <w:p w14:paraId="3CF10638">
      <w:pPr>
        <w:wordWrap w:val="0"/>
        <w:spacing w:line="360" w:lineRule="auto"/>
        <w:ind w:firstLine="600"/>
        <w:rPr>
          <w:rFonts w:hint="eastAsia" w:ascii="宋体" w:hAnsi="宋体" w:cs="宋体"/>
          <w:color w:val="auto"/>
          <w:sz w:val="30"/>
          <w:szCs w:val="30"/>
          <w:highlight w:val="none"/>
        </w:rPr>
      </w:pPr>
      <w:r>
        <w:rPr>
          <w:rFonts w:hint="eastAsia" w:ascii="宋体" w:hAnsi="宋体" w:cs="宋体"/>
          <w:color w:val="auto"/>
          <w:sz w:val="30"/>
          <w:szCs w:val="30"/>
          <w:highlight w:val="none"/>
        </w:rPr>
        <w:t xml:space="preserve">    </w:t>
      </w:r>
    </w:p>
    <w:p w14:paraId="07E92EE6">
      <w:pPr>
        <w:wordWrap w:val="0"/>
        <w:spacing w:line="360" w:lineRule="auto"/>
        <w:ind w:firstLine="600"/>
        <w:rPr>
          <w:rFonts w:hint="eastAsia" w:ascii="宋体" w:hAnsi="宋体" w:cs="宋体"/>
          <w:color w:val="auto"/>
          <w:sz w:val="30"/>
          <w:szCs w:val="30"/>
          <w:highlight w:val="none"/>
          <w:lang w:val="en"/>
        </w:rPr>
      </w:pPr>
      <w:r>
        <w:rPr>
          <w:rFonts w:hint="eastAsia" w:ascii="宋体" w:hAnsi="宋体" w:cs="宋体"/>
          <w:color w:val="auto"/>
          <w:sz w:val="30"/>
          <w:szCs w:val="30"/>
          <w:highlight w:val="none"/>
        </w:rPr>
        <w:t xml:space="preserve">    本</w:t>
      </w:r>
      <w:r>
        <w:rPr>
          <w:rFonts w:hint="eastAsia" w:ascii="宋体" w:hAnsi="宋体" w:cs="宋体"/>
          <w:color w:val="auto"/>
          <w:sz w:val="30"/>
          <w:szCs w:val="30"/>
          <w:highlight w:val="none"/>
          <w:lang w:val="en"/>
        </w:rPr>
        <w:t>企业自愿参与政府投资政府采购的</w:t>
      </w:r>
      <w:r>
        <w:rPr>
          <w:rFonts w:hint="eastAsia" w:ascii="宋体" w:hAnsi="宋体" w:cs="宋体"/>
          <w:color w:val="auto"/>
          <w:sz w:val="30"/>
          <w:szCs w:val="30"/>
          <w:highlight w:val="none"/>
          <w:u w:val="single"/>
          <w:lang w:val="en"/>
        </w:rPr>
        <w:t>（</w:t>
      </w:r>
      <w:r>
        <w:rPr>
          <w:rFonts w:hint="eastAsia" w:ascii="宋体" w:hAnsi="宋体" w:cs="宋体"/>
          <w:color w:val="auto"/>
          <w:sz w:val="30"/>
          <w:szCs w:val="30"/>
          <w:highlight w:val="none"/>
          <w:u w:val="single"/>
        </w:rPr>
        <w:t>项目名称</w:t>
      </w:r>
      <w:r>
        <w:rPr>
          <w:rFonts w:hint="eastAsia" w:ascii="宋体" w:hAnsi="宋体" w:cs="宋体"/>
          <w:color w:val="auto"/>
          <w:sz w:val="30"/>
          <w:szCs w:val="30"/>
          <w:highlight w:val="none"/>
          <w:u w:val="single"/>
          <w:lang w:val="en"/>
        </w:rPr>
        <w:t>）</w:t>
      </w:r>
      <w:r>
        <w:rPr>
          <w:rFonts w:hint="eastAsia" w:ascii="宋体" w:hAnsi="宋体" w:cs="宋体"/>
          <w:color w:val="auto"/>
          <w:sz w:val="30"/>
          <w:szCs w:val="30"/>
          <w:highlight w:val="none"/>
          <w:lang w:val="en"/>
        </w:rPr>
        <w:t>项目，</w:t>
      </w:r>
      <w:r>
        <w:rPr>
          <w:rFonts w:hint="eastAsia" w:ascii="宋体" w:hAnsi="宋体" w:cs="宋体"/>
          <w:b/>
          <w:bCs/>
          <w:color w:val="auto"/>
          <w:sz w:val="30"/>
          <w:szCs w:val="30"/>
          <w:highlight w:val="none"/>
          <w:lang w:val="en"/>
        </w:rPr>
        <w:t>在此郑重承诺：</w:t>
      </w:r>
      <w:r>
        <w:rPr>
          <w:rFonts w:hint="eastAsia" w:ascii="宋体" w:hAnsi="宋体" w:cs="宋体"/>
          <w:color w:val="auto"/>
          <w:sz w:val="30"/>
          <w:szCs w:val="30"/>
          <w:highlight w:val="none"/>
          <w:lang w:val="en"/>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将承担由此产生的全部责任。</w:t>
      </w:r>
    </w:p>
    <w:p w14:paraId="426007EA">
      <w:pPr>
        <w:wordWrap w:val="0"/>
        <w:snapToGrid w:val="0"/>
        <w:spacing w:line="360" w:lineRule="auto"/>
        <w:ind w:left="5137" w:leftChars="1736" w:hanging="1491" w:hangingChars="825"/>
        <w:rPr>
          <w:rFonts w:hint="eastAsia" w:ascii="宋体" w:hAnsi="宋体" w:cs="宋体"/>
          <w:b/>
          <w:color w:val="auto"/>
          <w:sz w:val="18"/>
          <w:szCs w:val="18"/>
          <w:highlight w:val="none"/>
        </w:rPr>
      </w:pPr>
      <w:r>
        <w:rPr>
          <w:rFonts w:hint="eastAsia" w:ascii="宋体" w:hAnsi="宋体" w:cs="宋体"/>
          <w:b/>
          <w:color w:val="auto"/>
          <w:sz w:val="18"/>
          <w:szCs w:val="18"/>
          <w:highlight w:val="none"/>
        </w:rPr>
        <w:t xml:space="preserve">           </w:t>
      </w:r>
    </w:p>
    <w:p w14:paraId="62ADF224">
      <w:pPr>
        <w:wordWrap w:val="0"/>
        <w:snapToGrid w:val="0"/>
        <w:spacing w:line="360" w:lineRule="auto"/>
        <w:ind w:left="5137" w:leftChars="1736" w:hanging="1491" w:hangingChars="825"/>
        <w:rPr>
          <w:rFonts w:hint="eastAsia" w:ascii="宋体" w:hAnsi="宋体" w:cs="宋体"/>
          <w:b/>
          <w:color w:val="auto"/>
          <w:sz w:val="18"/>
          <w:szCs w:val="18"/>
          <w:highlight w:val="none"/>
        </w:rPr>
      </w:pPr>
    </w:p>
    <w:p w14:paraId="7E66227F">
      <w:pPr>
        <w:wordWrap w:val="0"/>
        <w:snapToGrid w:val="0"/>
        <w:spacing w:line="360" w:lineRule="auto"/>
        <w:ind w:left="5137" w:leftChars="1736" w:hanging="1491" w:hangingChars="825"/>
        <w:rPr>
          <w:rFonts w:hint="eastAsia" w:ascii="宋体" w:hAnsi="宋体" w:cs="宋体"/>
          <w:b/>
          <w:color w:val="auto"/>
          <w:sz w:val="18"/>
          <w:szCs w:val="18"/>
          <w:highlight w:val="none"/>
        </w:rPr>
      </w:pPr>
    </w:p>
    <w:p w14:paraId="6847286C">
      <w:pPr>
        <w:wordWrap w:val="0"/>
        <w:snapToGrid w:val="0"/>
        <w:spacing w:line="360" w:lineRule="auto"/>
        <w:ind w:left="5137" w:leftChars="1736" w:hanging="1491" w:hangingChars="825"/>
        <w:rPr>
          <w:rFonts w:hint="eastAsia" w:ascii="宋体" w:hAnsi="宋体" w:cs="宋体"/>
          <w:b/>
          <w:color w:val="auto"/>
          <w:sz w:val="18"/>
          <w:szCs w:val="18"/>
          <w:highlight w:val="none"/>
        </w:rPr>
      </w:pPr>
    </w:p>
    <w:p w14:paraId="44CBDE98">
      <w:pPr>
        <w:wordWrap w:val="0"/>
        <w:snapToGrid w:val="0"/>
        <w:spacing w:line="360" w:lineRule="auto"/>
        <w:ind w:left="5137" w:leftChars="1736" w:hanging="1491" w:hangingChars="825"/>
        <w:rPr>
          <w:rFonts w:hint="eastAsia" w:ascii="宋体" w:hAnsi="宋体" w:cs="宋体"/>
          <w:color w:val="auto"/>
          <w:kern w:val="0"/>
          <w:sz w:val="24"/>
          <w:highlight w:val="none"/>
        </w:rPr>
      </w:pPr>
      <w:r>
        <w:rPr>
          <w:rFonts w:hint="eastAsia" w:ascii="宋体" w:hAnsi="宋体" w:cs="宋体"/>
          <w:b/>
          <w:color w:val="auto"/>
          <w:sz w:val="18"/>
          <w:szCs w:val="18"/>
          <w:highlight w:val="none"/>
        </w:rPr>
        <w:t xml:space="preserve">      </w:t>
      </w:r>
      <w:r>
        <w:rPr>
          <w:rFonts w:hint="eastAsia" w:ascii="宋体" w:hAnsi="宋体" w:cs="宋体"/>
          <w:color w:val="auto"/>
          <w:kern w:val="0"/>
          <w:sz w:val="24"/>
          <w:highlight w:val="none"/>
          <w:lang w:val="zh-CN"/>
        </w:rPr>
        <w:t>投标人名称(电子签章)：</w:t>
      </w:r>
    </w:p>
    <w:p w14:paraId="3B3BE297">
      <w:pPr>
        <w:wordWrap w:val="0"/>
        <w:snapToGrid w:val="0"/>
        <w:spacing w:line="360" w:lineRule="auto"/>
        <w:ind w:firstLine="5160" w:firstLineChars="215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7E4B903C">
      <w:pPr>
        <w:pStyle w:val="14"/>
        <w:wordWrap w:val="0"/>
        <w:spacing w:line="360" w:lineRule="auto"/>
        <w:ind w:firstLine="602"/>
        <w:jc w:val="center"/>
        <w:rPr>
          <w:rFonts w:hint="eastAsia" w:hAnsi="宋体" w:cs="宋体"/>
          <w:b/>
          <w:color w:val="auto"/>
          <w:sz w:val="30"/>
          <w:szCs w:val="30"/>
          <w:highlight w:val="none"/>
        </w:rPr>
      </w:pPr>
      <w:r>
        <w:rPr>
          <w:rFonts w:hint="eastAsia" w:hAnsi="宋体" w:cs="宋体"/>
          <w:b/>
          <w:color w:val="auto"/>
          <w:sz w:val="30"/>
          <w:szCs w:val="30"/>
          <w:highlight w:val="none"/>
        </w:rPr>
        <w:br w:type="page"/>
      </w:r>
      <w:r>
        <w:rPr>
          <w:rFonts w:hint="eastAsia" w:hAnsi="宋体" w:cs="宋体"/>
          <w:b/>
          <w:color w:val="auto"/>
          <w:sz w:val="30"/>
          <w:szCs w:val="30"/>
          <w:highlight w:val="none"/>
        </w:rPr>
        <w:t>残疾人福利性单位声明函（如有）</w:t>
      </w:r>
    </w:p>
    <w:p w14:paraId="5FE70B67">
      <w:pPr>
        <w:pStyle w:val="14"/>
        <w:wordWrap w:val="0"/>
        <w:spacing w:line="360" w:lineRule="auto"/>
        <w:ind w:firstLine="602"/>
        <w:jc w:val="center"/>
        <w:rPr>
          <w:rFonts w:hint="eastAsia" w:hAnsi="宋体" w:cs="宋体"/>
          <w:b/>
          <w:color w:val="auto"/>
          <w:sz w:val="30"/>
          <w:szCs w:val="30"/>
          <w:highlight w:val="none"/>
        </w:rPr>
      </w:pPr>
    </w:p>
    <w:p w14:paraId="58AD142E">
      <w:pPr>
        <w:pStyle w:val="14"/>
        <w:wordWrap w:val="0"/>
        <w:spacing w:line="360" w:lineRule="auto"/>
        <w:ind w:firstLine="600"/>
        <w:jc w:val="left"/>
        <w:rPr>
          <w:rFonts w:hint="eastAsia" w:hAnsi="宋体" w:cs="宋体"/>
          <w:color w:val="auto"/>
          <w:sz w:val="24"/>
          <w:szCs w:val="24"/>
          <w:highlight w:val="none"/>
        </w:rPr>
      </w:pPr>
      <w:r>
        <w:rPr>
          <w:rFonts w:hint="eastAsia" w:hAnsi="宋体" w:cs="宋体"/>
          <w:color w:val="auto"/>
          <w:sz w:val="30"/>
          <w:szCs w:val="30"/>
          <w:highlight w:val="none"/>
        </w:rPr>
        <w:t xml:space="preserve">   </w:t>
      </w:r>
      <w:r>
        <w:rPr>
          <w:rFonts w:hint="eastAsia" w:hAnsi="宋体" w:cs="宋体"/>
          <w:color w:val="auto"/>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hAnsi="宋体" w:cs="宋体"/>
          <w:color w:val="auto"/>
          <w:sz w:val="24"/>
          <w:szCs w:val="24"/>
          <w:highlight w:val="none"/>
          <w:u w:val="single"/>
        </w:rPr>
        <w:t xml:space="preserve"> （采购人名称） </w:t>
      </w:r>
      <w:r>
        <w:rPr>
          <w:rFonts w:hint="eastAsia" w:hAnsi="宋体" w:cs="宋体"/>
          <w:color w:val="auto"/>
          <w:sz w:val="24"/>
          <w:szCs w:val="24"/>
          <w:highlight w:val="none"/>
        </w:rPr>
        <w:t>单位的（项目名称）项目采购活动提供本单位制造的货物（由本单位承担工程/提供服务），或者提供其他残疾人福利性单位制造的货物（不包括使用非残疾人福利性单位注册商标的货物）。</w:t>
      </w:r>
    </w:p>
    <w:p w14:paraId="7C2DF321">
      <w:pPr>
        <w:pStyle w:val="14"/>
        <w:wordWrap w:val="0"/>
        <w:spacing w:line="360" w:lineRule="auto"/>
        <w:ind w:firstLine="480" w:firstLineChars="200"/>
        <w:jc w:val="left"/>
        <w:rPr>
          <w:rFonts w:hint="eastAsia" w:hAnsi="宋体" w:cs="宋体"/>
          <w:color w:val="auto"/>
          <w:sz w:val="24"/>
          <w:szCs w:val="24"/>
          <w:highlight w:val="none"/>
        </w:rPr>
      </w:pPr>
      <w:r>
        <w:rPr>
          <w:rFonts w:hint="eastAsia" w:hAnsi="宋体" w:cs="宋体"/>
          <w:color w:val="auto"/>
          <w:sz w:val="24"/>
          <w:szCs w:val="24"/>
          <w:highlight w:val="none"/>
        </w:rPr>
        <w:t>本公司对上述声明的真实性负责。如有虚假，将依法承担相应责任。</w:t>
      </w:r>
    </w:p>
    <w:p w14:paraId="69579881">
      <w:pPr>
        <w:pStyle w:val="14"/>
        <w:wordWrap w:val="0"/>
        <w:spacing w:line="360" w:lineRule="auto"/>
        <w:ind w:firstLine="482"/>
        <w:jc w:val="left"/>
        <w:rPr>
          <w:rFonts w:hint="eastAsia" w:hAnsi="宋体" w:cs="宋体"/>
          <w:b/>
          <w:color w:val="auto"/>
          <w:szCs w:val="21"/>
          <w:highlight w:val="none"/>
        </w:rPr>
      </w:pPr>
    </w:p>
    <w:p w14:paraId="08566BB1">
      <w:pPr>
        <w:pStyle w:val="14"/>
        <w:wordWrap w:val="0"/>
        <w:spacing w:line="360" w:lineRule="auto"/>
        <w:ind w:firstLine="482"/>
        <w:jc w:val="left"/>
        <w:rPr>
          <w:rFonts w:hint="eastAsia" w:hAnsi="宋体" w:cs="宋体"/>
          <w:b/>
          <w:color w:val="auto"/>
          <w:szCs w:val="21"/>
          <w:highlight w:val="none"/>
        </w:rPr>
      </w:pPr>
    </w:p>
    <w:p w14:paraId="10C11F7F">
      <w:pPr>
        <w:wordWrap w:val="0"/>
        <w:snapToGrid w:val="0"/>
        <w:spacing w:line="360" w:lineRule="auto"/>
        <w:ind w:left="5137" w:leftChars="1736" w:hanging="1491" w:hangingChars="825"/>
        <w:rPr>
          <w:rFonts w:hint="eastAsia" w:ascii="宋体" w:hAnsi="宋体" w:cs="宋体"/>
          <w:color w:val="auto"/>
          <w:kern w:val="0"/>
          <w:sz w:val="24"/>
          <w:highlight w:val="none"/>
        </w:rPr>
      </w:pPr>
      <w:r>
        <w:rPr>
          <w:rFonts w:hint="eastAsia" w:ascii="宋体" w:hAnsi="宋体" w:cs="宋体"/>
          <w:b/>
          <w:color w:val="auto"/>
          <w:sz w:val="18"/>
          <w:szCs w:val="18"/>
          <w:highlight w:val="none"/>
        </w:rPr>
        <w:t xml:space="preserve">                                                                    </w:t>
      </w:r>
      <w:r>
        <w:rPr>
          <w:rFonts w:hint="eastAsia" w:ascii="宋体" w:hAnsi="宋体" w:cs="宋体"/>
          <w:color w:val="auto"/>
          <w:kern w:val="0"/>
          <w:sz w:val="24"/>
          <w:highlight w:val="none"/>
          <w:lang w:val="zh-CN"/>
        </w:rPr>
        <w:t>投标人名称(电子签章)：</w:t>
      </w:r>
    </w:p>
    <w:p w14:paraId="0A8CA7AD">
      <w:pPr>
        <w:wordWrap w:val="0"/>
        <w:snapToGrid w:val="0"/>
        <w:spacing w:line="360" w:lineRule="auto"/>
        <w:ind w:firstLine="5160" w:firstLineChars="215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5E57E1E4">
      <w:pPr>
        <w:pStyle w:val="14"/>
        <w:wordWrap w:val="0"/>
        <w:spacing w:line="360" w:lineRule="auto"/>
        <w:ind w:left="5132" w:leftChars="1979" w:hanging="976" w:hangingChars="488"/>
        <w:rPr>
          <w:rFonts w:hint="eastAsia" w:hAnsi="宋体" w:cs="宋体"/>
          <w:color w:val="auto"/>
          <w:sz w:val="20"/>
          <w:highlight w:val="none"/>
        </w:rPr>
      </w:pPr>
    </w:p>
    <w:p w14:paraId="42C50EE4">
      <w:pPr>
        <w:wordWrap w:val="0"/>
        <w:spacing w:line="360" w:lineRule="auto"/>
        <w:ind w:right="420" w:firstLine="480" w:firstLineChars="200"/>
        <w:rPr>
          <w:rFonts w:hint="eastAsia" w:ascii="宋体" w:hAnsi="宋体" w:cs="宋体"/>
          <w:color w:val="auto"/>
          <w:sz w:val="24"/>
          <w:highlight w:val="none"/>
        </w:rPr>
      </w:pPr>
      <w:r>
        <w:rPr>
          <w:rFonts w:hint="eastAsia" w:ascii="宋体" w:hAnsi="宋体" w:cs="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[2014]68号）的规定，投标人提供由省级以上监狱管理局、戒毒管理局（含新疆生产建设兵团）出具的属于监狱企业证明文件的，视同为小型和微型企业。</w:t>
      </w:r>
    </w:p>
    <w:p w14:paraId="5C9537ED">
      <w:pPr>
        <w:widowControl/>
        <w:wordWrap w:val="0"/>
        <w:spacing w:line="360" w:lineRule="auto"/>
        <w:ind w:firstLine="400"/>
        <w:jc w:val="left"/>
        <w:rPr>
          <w:rFonts w:hint="eastAsia" w:ascii="宋体" w:hAnsi="宋体" w:cs="宋体"/>
          <w:color w:val="auto"/>
          <w:sz w:val="20"/>
          <w:highlight w:val="none"/>
        </w:rPr>
        <w:sectPr>
          <w:pgSz w:w="11906" w:h="16838"/>
          <w:pgMar w:top="1440" w:right="1080" w:bottom="1440" w:left="1080" w:header="720" w:footer="720" w:gutter="0"/>
          <w:cols w:space="720" w:num="1"/>
          <w:docGrid w:type="lines" w:linePitch="331" w:charSpace="0"/>
        </w:sectPr>
      </w:pPr>
    </w:p>
    <w:p w14:paraId="1733E628">
      <w:pPr>
        <w:wordWrap w:val="0"/>
        <w:snapToGrid w:val="0"/>
        <w:spacing w:line="360" w:lineRule="auto"/>
        <w:ind w:firstLine="400"/>
        <w:jc w:val="left"/>
        <w:rPr>
          <w:rFonts w:hint="eastAsia" w:ascii="宋体" w:hAnsi="宋体" w:cs="宋体"/>
          <w:color w:val="auto"/>
          <w:sz w:val="20"/>
          <w:highlight w:val="none"/>
        </w:rPr>
      </w:pPr>
    </w:p>
    <w:p w14:paraId="32D8B6E8">
      <w:pPr>
        <w:pStyle w:val="14"/>
        <w:tabs>
          <w:tab w:val="left" w:pos="2472"/>
        </w:tabs>
        <w:wordWrap w:val="0"/>
        <w:spacing w:line="360" w:lineRule="auto"/>
        <w:ind w:firstLine="723"/>
        <w:jc w:val="center"/>
        <w:rPr>
          <w:rFonts w:hint="eastAsia" w:hAnsi="宋体" w:cs="宋体"/>
          <w:b/>
          <w:color w:val="auto"/>
          <w:sz w:val="36"/>
          <w:highlight w:val="none"/>
        </w:rPr>
      </w:pPr>
    </w:p>
    <w:p w14:paraId="1A0E91D5">
      <w:pPr>
        <w:pStyle w:val="14"/>
        <w:tabs>
          <w:tab w:val="left" w:pos="2472"/>
        </w:tabs>
        <w:wordWrap w:val="0"/>
        <w:spacing w:line="360" w:lineRule="auto"/>
        <w:ind w:firstLine="723"/>
        <w:jc w:val="center"/>
        <w:rPr>
          <w:rFonts w:hint="eastAsia" w:hAnsi="宋体" w:cs="宋体"/>
          <w:b/>
          <w:color w:val="auto"/>
          <w:sz w:val="36"/>
          <w:highlight w:val="none"/>
        </w:rPr>
      </w:pPr>
    </w:p>
    <w:p w14:paraId="41C35AB3">
      <w:pPr>
        <w:pStyle w:val="14"/>
        <w:tabs>
          <w:tab w:val="left" w:pos="2472"/>
        </w:tabs>
        <w:wordWrap w:val="0"/>
        <w:spacing w:line="360" w:lineRule="auto"/>
        <w:ind w:firstLine="723"/>
        <w:jc w:val="center"/>
        <w:rPr>
          <w:rFonts w:hint="eastAsia" w:hAnsi="宋体" w:cs="宋体"/>
          <w:b/>
          <w:color w:val="auto"/>
          <w:sz w:val="36"/>
          <w:highlight w:val="none"/>
        </w:rPr>
      </w:pPr>
    </w:p>
    <w:p w14:paraId="23E20F87">
      <w:pPr>
        <w:pStyle w:val="14"/>
        <w:tabs>
          <w:tab w:val="left" w:pos="2472"/>
        </w:tabs>
        <w:wordWrap w:val="0"/>
        <w:spacing w:line="360" w:lineRule="auto"/>
        <w:ind w:firstLine="723"/>
        <w:jc w:val="center"/>
        <w:rPr>
          <w:rFonts w:hint="eastAsia" w:hAnsi="宋体" w:cs="宋体"/>
          <w:b/>
          <w:color w:val="auto"/>
          <w:sz w:val="36"/>
          <w:highlight w:val="none"/>
        </w:rPr>
      </w:pPr>
    </w:p>
    <w:p w14:paraId="7A94A5C4">
      <w:pPr>
        <w:pStyle w:val="14"/>
        <w:tabs>
          <w:tab w:val="left" w:pos="2472"/>
        </w:tabs>
        <w:wordWrap w:val="0"/>
        <w:spacing w:line="360" w:lineRule="auto"/>
        <w:ind w:firstLine="723"/>
        <w:jc w:val="center"/>
        <w:rPr>
          <w:rFonts w:hint="eastAsia" w:hAnsi="宋体" w:cs="宋体"/>
          <w:b/>
          <w:color w:val="auto"/>
          <w:sz w:val="36"/>
          <w:highlight w:val="none"/>
        </w:rPr>
      </w:pPr>
    </w:p>
    <w:p w14:paraId="65F29A57">
      <w:pPr>
        <w:pStyle w:val="14"/>
        <w:tabs>
          <w:tab w:val="left" w:pos="2472"/>
        </w:tabs>
        <w:wordWrap w:val="0"/>
        <w:spacing w:line="360" w:lineRule="auto"/>
        <w:ind w:firstLine="723"/>
        <w:jc w:val="center"/>
        <w:rPr>
          <w:rFonts w:hint="eastAsia" w:hAnsi="宋体" w:cs="宋体"/>
          <w:b/>
          <w:color w:val="auto"/>
          <w:sz w:val="36"/>
          <w:highlight w:val="none"/>
        </w:rPr>
      </w:pPr>
    </w:p>
    <w:p w14:paraId="41A0E38B">
      <w:pPr>
        <w:pStyle w:val="14"/>
        <w:tabs>
          <w:tab w:val="left" w:pos="2472"/>
        </w:tabs>
        <w:wordWrap w:val="0"/>
        <w:spacing w:line="360" w:lineRule="auto"/>
        <w:ind w:firstLine="723"/>
        <w:jc w:val="center"/>
        <w:rPr>
          <w:rFonts w:hint="eastAsia" w:hAnsi="宋体" w:cs="宋体"/>
          <w:b/>
          <w:color w:val="auto"/>
          <w:sz w:val="36"/>
          <w:highlight w:val="none"/>
        </w:rPr>
      </w:pPr>
    </w:p>
    <w:p w14:paraId="3EE96C93">
      <w:pPr>
        <w:pStyle w:val="14"/>
        <w:tabs>
          <w:tab w:val="left" w:pos="2472"/>
        </w:tabs>
        <w:wordWrap w:val="0"/>
        <w:spacing w:line="360" w:lineRule="auto"/>
        <w:ind w:firstLine="723"/>
        <w:jc w:val="center"/>
        <w:rPr>
          <w:rFonts w:hint="eastAsia" w:hAnsi="宋体" w:cs="宋体"/>
          <w:b/>
          <w:color w:val="auto"/>
          <w:sz w:val="36"/>
          <w:highlight w:val="none"/>
        </w:rPr>
      </w:pPr>
    </w:p>
    <w:p w14:paraId="3F683A54">
      <w:pPr>
        <w:pStyle w:val="14"/>
        <w:tabs>
          <w:tab w:val="left" w:pos="2472"/>
        </w:tabs>
        <w:wordWrap w:val="0"/>
        <w:spacing w:line="360" w:lineRule="auto"/>
        <w:ind w:firstLine="723"/>
        <w:jc w:val="center"/>
        <w:rPr>
          <w:rFonts w:hint="eastAsia" w:hAnsi="宋体" w:cs="宋体"/>
          <w:b/>
          <w:color w:val="auto"/>
          <w:sz w:val="36"/>
          <w:highlight w:val="none"/>
        </w:rPr>
      </w:pPr>
    </w:p>
    <w:p w14:paraId="296E03E8">
      <w:pPr>
        <w:pStyle w:val="14"/>
        <w:tabs>
          <w:tab w:val="left" w:pos="2472"/>
        </w:tabs>
        <w:wordWrap w:val="0"/>
        <w:spacing w:line="360" w:lineRule="auto"/>
        <w:ind w:firstLine="723"/>
        <w:jc w:val="center"/>
        <w:rPr>
          <w:rFonts w:hint="eastAsia" w:hAnsi="宋体" w:cs="宋体"/>
          <w:b/>
          <w:color w:val="auto"/>
          <w:sz w:val="36"/>
          <w:highlight w:val="none"/>
        </w:rPr>
      </w:pPr>
    </w:p>
    <w:p w14:paraId="1C04B3FA">
      <w:pPr>
        <w:pStyle w:val="14"/>
        <w:tabs>
          <w:tab w:val="left" w:pos="2472"/>
        </w:tabs>
        <w:wordWrap w:val="0"/>
        <w:spacing w:line="360" w:lineRule="auto"/>
        <w:ind w:firstLine="723"/>
        <w:jc w:val="center"/>
        <w:rPr>
          <w:rFonts w:hint="eastAsia" w:hAnsi="宋体" w:cs="宋体"/>
          <w:b/>
          <w:color w:val="auto"/>
          <w:sz w:val="36"/>
          <w:highlight w:val="none"/>
        </w:rPr>
      </w:pPr>
    </w:p>
    <w:p w14:paraId="66887A35">
      <w:pPr>
        <w:pStyle w:val="14"/>
        <w:tabs>
          <w:tab w:val="left" w:pos="2472"/>
        </w:tabs>
        <w:wordWrap w:val="0"/>
        <w:spacing w:line="360" w:lineRule="auto"/>
        <w:ind w:firstLine="723"/>
        <w:jc w:val="center"/>
        <w:outlineLvl w:val="0"/>
        <w:rPr>
          <w:rFonts w:hint="eastAsia" w:hAnsi="宋体" w:cs="宋体"/>
          <w:b/>
          <w:color w:val="auto"/>
          <w:sz w:val="36"/>
          <w:highlight w:val="none"/>
        </w:rPr>
      </w:pPr>
      <w:bookmarkStart w:id="292" w:name="_Toc26579"/>
      <w:r>
        <w:rPr>
          <w:rFonts w:hint="eastAsia" w:hAnsi="宋体" w:cs="宋体"/>
          <w:b/>
          <w:color w:val="auto"/>
          <w:sz w:val="36"/>
          <w:highlight w:val="none"/>
        </w:rPr>
        <w:t>第七章 质疑、投诉证明材料格式</w:t>
      </w:r>
      <w:bookmarkEnd w:id="292"/>
    </w:p>
    <w:p w14:paraId="6BF79400">
      <w:pPr>
        <w:widowControl/>
        <w:wordWrap w:val="0"/>
        <w:spacing w:line="360" w:lineRule="auto"/>
        <w:ind w:firstLine="400"/>
        <w:jc w:val="left"/>
        <w:rPr>
          <w:rFonts w:hint="eastAsia" w:ascii="宋体" w:hAnsi="宋体" w:cs="宋体"/>
          <w:color w:val="auto"/>
          <w:sz w:val="20"/>
          <w:highlight w:val="none"/>
        </w:rPr>
        <w:sectPr>
          <w:pgSz w:w="11906" w:h="16838"/>
          <w:pgMar w:top="1440" w:right="1080" w:bottom="1440" w:left="1080" w:header="720" w:footer="720" w:gutter="0"/>
          <w:cols w:space="720" w:num="1"/>
          <w:docGrid w:type="lines" w:linePitch="331" w:charSpace="0"/>
        </w:sectPr>
      </w:pPr>
    </w:p>
    <w:p w14:paraId="79B43356">
      <w:pPr>
        <w:widowControl/>
        <w:shd w:val="clear" w:color="auto" w:fill="FFFFFF"/>
        <w:wordWrap w:val="0"/>
        <w:spacing w:line="360" w:lineRule="auto"/>
        <w:ind w:firstLine="562"/>
        <w:jc w:val="left"/>
        <w:rPr>
          <w:rFonts w:hint="eastAsia" w:ascii="宋体" w:hAnsi="宋体" w:cs="宋体"/>
          <w:b/>
          <w:bCs/>
          <w:color w:val="auto"/>
          <w:sz w:val="28"/>
          <w:szCs w:val="28"/>
          <w:highlight w:val="none"/>
        </w:rPr>
      </w:pPr>
    </w:p>
    <w:p w14:paraId="5622FD69">
      <w:pPr>
        <w:pStyle w:val="3"/>
        <w:wordWrap w:val="0"/>
        <w:spacing w:before="0" w:after="0" w:line="360" w:lineRule="auto"/>
        <w:ind w:firstLine="640"/>
        <w:jc w:val="center"/>
        <w:rPr>
          <w:rFonts w:hint="eastAsia" w:ascii="宋体" w:hAnsi="宋体" w:eastAsia="宋体" w:cs="宋体"/>
          <w:b w:val="0"/>
          <w:bCs w:val="0"/>
          <w:color w:val="auto"/>
          <w:highlight w:val="none"/>
        </w:rPr>
      </w:pPr>
      <w:bookmarkStart w:id="293" w:name="_Toc24445"/>
      <w:r>
        <w:rPr>
          <w:rFonts w:hint="eastAsia" w:ascii="宋体" w:hAnsi="宋体" w:eastAsia="宋体" w:cs="宋体"/>
          <w:b w:val="0"/>
          <w:bCs w:val="0"/>
          <w:color w:val="auto"/>
          <w:highlight w:val="none"/>
        </w:rPr>
        <w:t>第一节 质疑函（格式）</w:t>
      </w:r>
      <w:bookmarkEnd w:id="293"/>
    </w:p>
    <w:p w14:paraId="01A61AC8">
      <w:pPr>
        <w:wordWrap w:val="0"/>
        <w:spacing w:line="360" w:lineRule="auto"/>
        <w:ind w:firstLine="883"/>
        <w:jc w:val="center"/>
        <w:rPr>
          <w:rFonts w:hint="eastAsia" w:ascii="宋体" w:hAnsi="宋体" w:cs="宋体"/>
          <w:b/>
          <w:bCs/>
          <w:color w:val="auto"/>
          <w:sz w:val="44"/>
          <w:szCs w:val="44"/>
          <w:highlight w:val="none"/>
        </w:rPr>
      </w:pPr>
      <w:r>
        <w:rPr>
          <w:rFonts w:hint="eastAsia" w:ascii="宋体" w:hAnsi="宋体" w:cs="宋体"/>
          <w:b/>
          <w:bCs/>
          <w:color w:val="auto"/>
          <w:sz w:val="44"/>
          <w:szCs w:val="44"/>
          <w:highlight w:val="none"/>
        </w:rPr>
        <w:t>质疑函范本</w:t>
      </w:r>
    </w:p>
    <w:p w14:paraId="76C26E9F">
      <w:pPr>
        <w:wordWrap w:val="0"/>
        <w:adjustRightInd w:val="0"/>
        <w:snapToGrid w:val="0"/>
        <w:spacing w:line="360" w:lineRule="auto"/>
        <w:ind w:firstLine="640"/>
        <w:rPr>
          <w:rFonts w:hint="eastAsia" w:ascii="宋体" w:hAnsi="宋体" w:cs="宋体"/>
          <w:bCs/>
          <w:color w:val="auto"/>
          <w:sz w:val="32"/>
          <w:szCs w:val="32"/>
          <w:highlight w:val="none"/>
        </w:rPr>
      </w:pPr>
      <w:r>
        <w:rPr>
          <w:rFonts w:hint="eastAsia" w:ascii="宋体" w:hAnsi="宋体" w:cs="宋体"/>
          <w:bCs/>
          <w:color w:val="auto"/>
          <w:sz w:val="32"/>
          <w:szCs w:val="32"/>
          <w:highlight w:val="none"/>
        </w:rPr>
        <w:t>一、质疑供应商基本信息</w:t>
      </w:r>
    </w:p>
    <w:p w14:paraId="18C7F965">
      <w:pPr>
        <w:wordWrap w:val="0"/>
        <w:adjustRightInd w:val="0"/>
        <w:snapToGrid w:val="0"/>
        <w:spacing w:line="360" w:lineRule="auto"/>
        <w:ind w:firstLine="640"/>
        <w:rPr>
          <w:rFonts w:hint="eastAsia" w:ascii="宋体" w:hAnsi="宋体" w:cs="宋体"/>
          <w:color w:val="auto"/>
          <w:sz w:val="32"/>
          <w:szCs w:val="32"/>
          <w:highlight w:val="none"/>
          <w:u w:val="dotted"/>
        </w:rPr>
      </w:pPr>
      <w:r>
        <w:rPr>
          <w:rFonts w:hint="eastAsia" w:ascii="宋体" w:hAnsi="宋体" w:cs="宋体"/>
          <w:color w:val="auto"/>
          <w:sz w:val="32"/>
          <w:szCs w:val="32"/>
          <w:highlight w:val="none"/>
        </w:rPr>
        <w:t>质疑供应商：</w:t>
      </w:r>
      <w:r>
        <w:rPr>
          <w:rFonts w:hint="eastAsia" w:ascii="宋体" w:hAnsi="宋体" w:cs="宋体"/>
          <w:color w:val="auto"/>
          <w:sz w:val="32"/>
          <w:szCs w:val="32"/>
          <w:highlight w:val="none"/>
          <w:u w:val="dotted"/>
        </w:rPr>
        <w:t xml:space="preserve">                                        </w:t>
      </w:r>
    </w:p>
    <w:p w14:paraId="08A38EF0">
      <w:pPr>
        <w:wordWrap w:val="0"/>
        <w:adjustRightInd w:val="0"/>
        <w:snapToGrid w:val="0"/>
        <w:spacing w:line="360" w:lineRule="auto"/>
        <w:ind w:firstLine="640"/>
        <w:rPr>
          <w:rFonts w:hint="eastAsia" w:ascii="宋体" w:hAnsi="宋体" w:cs="宋体"/>
          <w:color w:val="auto"/>
          <w:sz w:val="32"/>
          <w:szCs w:val="32"/>
          <w:highlight w:val="none"/>
        </w:rPr>
      </w:pPr>
      <w:r>
        <w:rPr>
          <w:rFonts w:hint="eastAsia" w:ascii="宋体" w:hAnsi="宋体" w:cs="宋体"/>
          <w:color w:val="auto"/>
          <w:sz w:val="32"/>
          <w:szCs w:val="32"/>
          <w:highlight w:val="none"/>
        </w:rPr>
        <w:t>地址：</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邮编：</w:t>
      </w:r>
      <w:r>
        <w:rPr>
          <w:rFonts w:hint="eastAsia" w:ascii="宋体" w:hAnsi="宋体" w:cs="宋体"/>
          <w:color w:val="auto"/>
          <w:sz w:val="32"/>
          <w:szCs w:val="32"/>
          <w:highlight w:val="none"/>
          <w:u w:val="dotted"/>
        </w:rPr>
        <w:t xml:space="preserve">                                                   </w:t>
      </w:r>
    </w:p>
    <w:p w14:paraId="574BF919">
      <w:pPr>
        <w:wordWrap w:val="0"/>
        <w:adjustRightInd w:val="0"/>
        <w:snapToGrid w:val="0"/>
        <w:spacing w:line="360" w:lineRule="auto"/>
        <w:ind w:firstLine="640"/>
        <w:rPr>
          <w:rFonts w:hint="eastAsia" w:ascii="宋体" w:hAnsi="宋体" w:cs="宋体"/>
          <w:color w:val="auto"/>
          <w:sz w:val="32"/>
          <w:szCs w:val="32"/>
          <w:highlight w:val="none"/>
        </w:rPr>
      </w:pPr>
      <w:r>
        <w:rPr>
          <w:rFonts w:hint="eastAsia" w:ascii="宋体" w:hAnsi="宋体" w:cs="宋体"/>
          <w:color w:val="auto"/>
          <w:sz w:val="32"/>
          <w:szCs w:val="32"/>
          <w:highlight w:val="none"/>
        </w:rPr>
        <w:t>联系人：</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联系电话：</w:t>
      </w:r>
      <w:r>
        <w:rPr>
          <w:rFonts w:hint="eastAsia" w:ascii="宋体" w:hAnsi="宋体" w:cs="宋体"/>
          <w:color w:val="auto"/>
          <w:sz w:val="32"/>
          <w:szCs w:val="32"/>
          <w:highlight w:val="none"/>
          <w:u w:val="dotted"/>
        </w:rPr>
        <w:t xml:space="preserve">                              </w:t>
      </w:r>
    </w:p>
    <w:p w14:paraId="3C4C7465">
      <w:pPr>
        <w:wordWrap w:val="0"/>
        <w:adjustRightInd w:val="0"/>
        <w:snapToGrid w:val="0"/>
        <w:spacing w:line="360" w:lineRule="auto"/>
        <w:ind w:firstLine="640"/>
        <w:rPr>
          <w:rFonts w:hint="eastAsia" w:ascii="宋体" w:hAnsi="宋体" w:cs="宋体"/>
          <w:color w:val="auto"/>
          <w:sz w:val="32"/>
          <w:szCs w:val="32"/>
          <w:highlight w:val="none"/>
          <w:u w:val="dotted"/>
        </w:rPr>
      </w:pPr>
      <w:r>
        <w:rPr>
          <w:rFonts w:hint="eastAsia" w:ascii="宋体" w:hAnsi="宋体" w:cs="宋体"/>
          <w:color w:val="auto"/>
          <w:sz w:val="32"/>
          <w:szCs w:val="32"/>
          <w:highlight w:val="none"/>
        </w:rPr>
        <w:t>授权代表：</w:t>
      </w:r>
      <w:r>
        <w:rPr>
          <w:rFonts w:hint="eastAsia" w:ascii="宋体" w:hAnsi="宋体" w:cs="宋体"/>
          <w:color w:val="auto"/>
          <w:sz w:val="32"/>
          <w:szCs w:val="32"/>
          <w:highlight w:val="none"/>
          <w:u w:val="dotted"/>
        </w:rPr>
        <w:t xml:space="preserve">                                          </w:t>
      </w:r>
    </w:p>
    <w:p w14:paraId="24699EFB">
      <w:pPr>
        <w:wordWrap w:val="0"/>
        <w:adjustRightInd w:val="0"/>
        <w:snapToGrid w:val="0"/>
        <w:spacing w:line="360" w:lineRule="auto"/>
        <w:ind w:firstLine="640"/>
        <w:rPr>
          <w:rFonts w:hint="eastAsia" w:ascii="宋体" w:hAnsi="宋体" w:cs="宋体"/>
          <w:color w:val="auto"/>
          <w:sz w:val="32"/>
          <w:szCs w:val="32"/>
          <w:highlight w:val="none"/>
        </w:rPr>
      </w:pPr>
      <w:r>
        <w:rPr>
          <w:rFonts w:hint="eastAsia" w:ascii="宋体" w:hAnsi="宋体" w:cs="宋体"/>
          <w:color w:val="auto"/>
          <w:sz w:val="32"/>
          <w:szCs w:val="32"/>
          <w:highlight w:val="none"/>
        </w:rPr>
        <w:t>联系电话：</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 xml:space="preserve"> </w:t>
      </w:r>
    </w:p>
    <w:p w14:paraId="4D35A235">
      <w:pPr>
        <w:wordWrap w:val="0"/>
        <w:adjustRightInd w:val="0"/>
        <w:snapToGrid w:val="0"/>
        <w:spacing w:line="360" w:lineRule="auto"/>
        <w:ind w:firstLine="640"/>
        <w:rPr>
          <w:rFonts w:hint="eastAsia" w:ascii="宋体" w:hAnsi="宋体" w:cs="宋体"/>
          <w:color w:val="auto"/>
          <w:sz w:val="32"/>
          <w:szCs w:val="32"/>
          <w:highlight w:val="none"/>
        </w:rPr>
      </w:pPr>
      <w:r>
        <w:rPr>
          <w:rFonts w:hint="eastAsia" w:ascii="宋体" w:hAnsi="宋体" w:cs="宋体"/>
          <w:color w:val="auto"/>
          <w:sz w:val="32"/>
          <w:szCs w:val="32"/>
          <w:highlight w:val="none"/>
        </w:rPr>
        <w:t xml:space="preserve">地址： </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邮编：</w:t>
      </w:r>
      <w:r>
        <w:rPr>
          <w:rFonts w:hint="eastAsia" w:ascii="宋体" w:hAnsi="宋体" w:cs="宋体"/>
          <w:color w:val="auto"/>
          <w:sz w:val="32"/>
          <w:szCs w:val="32"/>
          <w:highlight w:val="none"/>
          <w:u w:val="dotted"/>
        </w:rPr>
        <w:t xml:space="preserve">                                                </w:t>
      </w:r>
    </w:p>
    <w:p w14:paraId="6427901A">
      <w:pPr>
        <w:wordWrap w:val="0"/>
        <w:adjustRightInd w:val="0"/>
        <w:snapToGrid w:val="0"/>
        <w:spacing w:line="360" w:lineRule="auto"/>
        <w:ind w:firstLine="640"/>
        <w:rPr>
          <w:rFonts w:hint="eastAsia" w:ascii="宋体" w:hAnsi="宋体" w:cs="宋体"/>
          <w:bCs/>
          <w:color w:val="auto"/>
          <w:sz w:val="32"/>
          <w:szCs w:val="32"/>
          <w:highlight w:val="none"/>
        </w:rPr>
      </w:pPr>
      <w:r>
        <w:rPr>
          <w:rFonts w:hint="eastAsia" w:ascii="宋体" w:hAnsi="宋体" w:cs="宋体"/>
          <w:bCs/>
          <w:color w:val="auto"/>
          <w:sz w:val="32"/>
          <w:szCs w:val="32"/>
          <w:highlight w:val="none"/>
        </w:rPr>
        <w:t>二、质疑项目基本情况</w:t>
      </w:r>
    </w:p>
    <w:p w14:paraId="1770C340">
      <w:pPr>
        <w:wordWrap w:val="0"/>
        <w:adjustRightInd w:val="0"/>
        <w:snapToGrid w:val="0"/>
        <w:spacing w:line="360" w:lineRule="auto"/>
        <w:ind w:firstLine="640"/>
        <w:rPr>
          <w:rFonts w:hint="eastAsia" w:ascii="宋体" w:hAnsi="宋体" w:cs="宋体"/>
          <w:color w:val="auto"/>
          <w:sz w:val="32"/>
          <w:szCs w:val="32"/>
          <w:highlight w:val="none"/>
        </w:rPr>
      </w:pPr>
      <w:r>
        <w:rPr>
          <w:rFonts w:hint="eastAsia" w:ascii="宋体" w:hAnsi="宋体" w:cs="宋体"/>
          <w:color w:val="auto"/>
          <w:sz w:val="32"/>
          <w:szCs w:val="32"/>
          <w:highlight w:val="none"/>
        </w:rPr>
        <w:t>质疑项目的名称：</w:t>
      </w:r>
      <w:r>
        <w:rPr>
          <w:rFonts w:hint="eastAsia" w:ascii="宋体" w:hAnsi="宋体" w:cs="宋体"/>
          <w:color w:val="auto"/>
          <w:sz w:val="32"/>
          <w:szCs w:val="32"/>
          <w:highlight w:val="none"/>
          <w:u w:val="dotted"/>
        </w:rPr>
        <w:t xml:space="preserve">   </w:t>
      </w:r>
      <w:r>
        <w:rPr>
          <w:color w:val="auto"/>
          <w:highlight w:val="none"/>
        </w:rPr>
        <w:fldChar w:fldCharType="begin"/>
      </w:r>
      <w:r>
        <w:rPr>
          <w:color w:val="auto"/>
          <w:highlight w:val="none"/>
        </w:rPr>
        <w:instrText xml:space="preserve"> HYPERLINK "https://pay.gcy.zfcg.gxzf.gov.cn/purchaseplan_front/" \l "/plan/list/_blank" \t "https://pay.gcy.zfcg.gxzf.gov.cn/purchaseplan_front/" </w:instrText>
      </w:r>
      <w:r>
        <w:rPr>
          <w:color w:val="auto"/>
          <w:highlight w:val="none"/>
        </w:rPr>
        <w:fldChar w:fldCharType="separate"/>
      </w:r>
      <w:r>
        <w:rPr>
          <w:rFonts w:hint="eastAsia" w:ascii="宋体" w:hAnsi="宋体" w:cs="宋体"/>
          <w:color w:val="auto"/>
          <w:sz w:val="32"/>
          <w:szCs w:val="32"/>
          <w:highlight w:val="none"/>
          <w:u w:val="dotted"/>
          <w:lang w:eastAsia="zh-CN"/>
        </w:rPr>
        <w:t>南宁市电子政务云平台（二期）运维服务项目</w:t>
      </w:r>
      <w:r>
        <w:rPr>
          <w:rFonts w:hint="eastAsia" w:ascii="宋体" w:hAnsi="宋体" w:cs="宋体"/>
          <w:color w:val="auto"/>
          <w:sz w:val="32"/>
          <w:szCs w:val="32"/>
          <w:highlight w:val="none"/>
          <w:u w:val="dotted"/>
        </w:rPr>
        <w:fldChar w:fldCharType="end"/>
      </w:r>
      <w:r>
        <w:rPr>
          <w:rFonts w:hint="eastAsia" w:ascii="宋体" w:hAnsi="宋体" w:cs="宋体"/>
          <w:color w:val="auto"/>
          <w:sz w:val="32"/>
          <w:szCs w:val="32"/>
          <w:highlight w:val="none"/>
          <w:u w:val="dotted"/>
        </w:rPr>
        <w:t xml:space="preserve">     </w:t>
      </w:r>
    </w:p>
    <w:p w14:paraId="0FCB968D">
      <w:pPr>
        <w:wordWrap w:val="0"/>
        <w:adjustRightInd w:val="0"/>
        <w:snapToGrid w:val="0"/>
        <w:spacing w:line="360" w:lineRule="auto"/>
        <w:ind w:firstLine="640"/>
        <w:rPr>
          <w:rFonts w:hint="eastAsia" w:ascii="宋体" w:hAnsi="宋体" w:cs="宋体"/>
          <w:color w:val="auto"/>
          <w:sz w:val="32"/>
          <w:szCs w:val="32"/>
          <w:highlight w:val="none"/>
        </w:rPr>
      </w:pPr>
      <w:r>
        <w:rPr>
          <w:rFonts w:hint="eastAsia" w:ascii="宋体" w:hAnsi="宋体" w:cs="宋体"/>
          <w:color w:val="auto"/>
          <w:sz w:val="32"/>
          <w:szCs w:val="32"/>
          <w:highlight w:val="none"/>
        </w:rPr>
        <w:t>质疑项目的编号：</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包号：</w:t>
      </w:r>
      <w:r>
        <w:rPr>
          <w:rFonts w:hint="eastAsia" w:ascii="宋体" w:hAnsi="宋体" w:cs="宋体"/>
          <w:color w:val="auto"/>
          <w:sz w:val="32"/>
          <w:szCs w:val="32"/>
          <w:highlight w:val="none"/>
          <w:u w:val="dotted"/>
        </w:rPr>
        <w:t xml:space="preserve">                 </w:t>
      </w:r>
    </w:p>
    <w:p w14:paraId="49282821">
      <w:pPr>
        <w:wordWrap w:val="0"/>
        <w:adjustRightInd w:val="0"/>
        <w:snapToGrid w:val="0"/>
        <w:spacing w:line="360" w:lineRule="auto"/>
        <w:ind w:firstLine="640"/>
        <w:rPr>
          <w:rFonts w:hint="eastAsia" w:ascii="宋体" w:hAnsi="宋体" w:cs="宋体"/>
          <w:color w:val="auto"/>
          <w:sz w:val="32"/>
          <w:szCs w:val="32"/>
          <w:highlight w:val="none"/>
          <w:u w:val="dotted"/>
        </w:rPr>
      </w:pPr>
      <w:r>
        <w:rPr>
          <w:rFonts w:hint="eastAsia" w:ascii="宋体" w:hAnsi="宋体" w:cs="宋体"/>
          <w:color w:val="auto"/>
          <w:sz w:val="32"/>
          <w:szCs w:val="32"/>
          <w:highlight w:val="none"/>
        </w:rPr>
        <w:t>采购人名称：</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u w:val="dotted"/>
          <w:lang w:eastAsia="zh-CN"/>
        </w:rPr>
        <w:t>南宁市信息网络管理中心</w:t>
      </w:r>
      <w:r>
        <w:rPr>
          <w:rFonts w:hint="eastAsia" w:ascii="宋体" w:hAnsi="宋体" w:cs="宋体"/>
          <w:color w:val="auto"/>
          <w:sz w:val="32"/>
          <w:szCs w:val="32"/>
          <w:highlight w:val="none"/>
          <w:u w:val="dotted"/>
        </w:rPr>
        <w:t xml:space="preserve">  </w:t>
      </w:r>
    </w:p>
    <w:p w14:paraId="114AE1F4">
      <w:pPr>
        <w:wordWrap w:val="0"/>
        <w:adjustRightInd w:val="0"/>
        <w:snapToGrid w:val="0"/>
        <w:spacing w:line="360" w:lineRule="auto"/>
        <w:ind w:firstLine="640"/>
        <w:rPr>
          <w:rFonts w:hint="eastAsia" w:ascii="宋体" w:hAnsi="宋体" w:cs="宋体"/>
          <w:color w:val="auto"/>
          <w:sz w:val="32"/>
          <w:szCs w:val="32"/>
          <w:highlight w:val="none"/>
        </w:rPr>
      </w:pPr>
      <w:r>
        <w:rPr>
          <w:rFonts w:hint="eastAsia" w:ascii="宋体" w:hAnsi="宋体" w:cs="宋体"/>
          <w:color w:val="auto"/>
          <w:sz w:val="32"/>
          <w:szCs w:val="32"/>
          <w:highlight w:val="none"/>
        </w:rPr>
        <w:t>采购文件获取日期：</w:t>
      </w:r>
      <w:r>
        <w:rPr>
          <w:rFonts w:hint="eastAsia" w:ascii="宋体" w:hAnsi="宋体" w:cs="宋体"/>
          <w:color w:val="auto"/>
          <w:sz w:val="32"/>
          <w:szCs w:val="32"/>
          <w:highlight w:val="none"/>
          <w:u w:val="dotted"/>
        </w:rPr>
        <w:t xml:space="preserve">                                           </w:t>
      </w:r>
    </w:p>
    <w:p w14:paraId="26D9459F">
      <w:pPr>
        <w:wordWrap w:val="0"/>
        <w:adjustRightInd w:val="0"/>
        <w:snapToGrid w:val="0"/>
        <w:spacing w:line="360" w:lineRule="auto"/>
        <w:ind w:firstLine="640"/>
        <w:rPr>
          <w:rFonts w:hint="eastAsia" w:ascii="宋体" w:hAnsi="宋体" w:cs="宋体"/>
          <w:bCs/>
          <w:color w:val="auto"/>
          <w:sz w:val="32"/>
          <w:szCs w:val="32"/>
          <w:highlight w:val="none"/>
        </w:rPr>
      </w:pPr>
      <w:r>
        <w:rPr>
          <w:rFonts w:hint="eastAsia" w:ascii="宋体" w:hAnsi="宋体" w:cs="宋体"/>
          <w:bCs/>
          <w:color w:val="auto"/>
          <w:sz w:val="32"/>
          <w:szCs w:val="32"/>
          <w:highlight w:val="none"/>
        </w:rPr>
        <w:t>三、质疑事项具体内容</w:t>
      </w:r>
    </w:p>
    <w:p w14:paraId="6D09645E">
      <w:pPr>
        <w:wordWrap w:val="0"/>
        <w:adjustRightInd w:val="0"/>
        <w:snapToGrid w:val="0"/>
        <w:spacing w:line="360" w:lineRule="auto"/>
        <w:ind w:firstLine="640"/>
        <w:rPr>
          <w:rFonts w:hint="eastAsia" w:ascii="宋体" w:hAnsi="宋体" w:cs="宋体"/>
          <w:color w:val="auto"/>
          <w:sz w:val="32"/>
          <w:szCs w:val="32"/>
          <w:highlight w:val="none"/>
          <w:u w:val="dotted"/>
        </w:rPr>
      </w:pPr>
      <w:r>
        <w:rPr>
          <w:rFonts w:hint="eastAsia" w:ascii="宋体" w:hAnsi="宋体" w:cs="宋体"/>
          <w:color w:val="auto"/>
          <w:sz w:val="32"/>
          <w:szCs w:val="32"/>
          <w:highlight w:val="none"/>
        </w:rPr>
        <w:t>质疑事项1：</w:t>
      </w:r>
      <w:r>
        <w:rPr>
          <w:rFonts w:hint="eastAsia" w:ascii="宋体" w:hAnsi="宋体" w:cs="宋体"/>
          <w:color w:val="auto"/>
          <w:sz w:val="32"/>
          <w:szCs w:val="32"/>
          <w:highlight w:val="none"/>
          <w:u w:val="dotted"/>
        </w:rPr>
        <w:t xml:space="preserve">                                         </w:t>
      </w:r>
    </w:p>
    <w:p w14:paraId="20DA8463">
      <w:pPr>
        <w:wordWrap w:val="0"/>
        <w:adjustRightInd w:val="0"/>
        <w:snapToGrid w:val="0"/>
        <w:spacing w:line="360" w:lineRule="auto"/>
        <w:ind w:firstLine="640"/>
        <w:rPr>
          <w:rFonts w:hint="eastAsia" w:ascii="宋体" w:hAnsi="宋体" w:cs="宋体"/>
          <w:color w:val="auto"/>
          <w:sz w:val="32"/>
          <w:szCs w:val="32"/>
          <w:highlight w:val="none"/>
          <w:u w:val="dotted"/>
        </w:rPr>
      </w:pPr>
      <w:r>
        <w:rPr>
          <w:rFonts w:hint="eastAsia" w:ascii="宋体" w:hAnsi="宋体" w:cs="宋体"/>
          <w:color w:val="auto"/>
          <w:sz w:val="32"/>
          <w:szCs w:val="32"/>
          <w:highlight w:val="none"/>
        </w:rPr>
        <w:t>事实依据：</w:t>
      </w:r>
      <w:r>
        <w:rPr>
          <w:rFonts w:hint="eastAsia" w:ascii="宋体" w:hAnsi="宋体" w:cs="宋体"/>
          <w:color w:val="auto"/>
          <w:sz w:val="32"/>
          <w:szCs w:val="32"/>
          <w:highlight w:val="none"/>
          <w:u w:val="dotted"/>
        </w:rPr>
        <w:t xml:space="preserve">                                          </w:t>
      </w:r>
    </w:p>
    <w:p w14:paraId="7241BCAD">
      <w:pPr>
        <w:wordWrap w:val="0"/>
        <w:adjustRightInd w:val="0"/>
        <w:snapToGrid w:val="0"/>
        <w:spacing w:line="360" w:lineRule="auto"/>
        <w:ind w:firstLine="640"/>
        <w:rPr>
          <w:rFonts w:hint="eastAsia" w:ascii="宋体" w:hAnsi="宋体" w:cs="宋体"/>
          <w:color w:val="auto"/>
          <w:sz w:val="32"/>
          <w:szCs w:val="32"/>
          <w:highlight w:val="none"/>
        </w:rPr>
      </w:pPr>
      <w:r>
        <w:rPr>
          <w:rFonts w:hint="eastAsia" w:ascii="宋体" w:hAnsi="宋体" w:cs="宋体"/>
          <w:color w:val="auto"/>
          <w:sz w:val="32"/>
          <w:szCs w:val="32"/>
          <w:highlight w:val="none"/>
          <w:u w:val="dotted"/>
        </w:rPr>
        <w:t xml:space="preserve">                                                       </w:t>
      </w:r>
    </w:p>
    <w:p w14:paraId="0484A09F">
      <w:pPr>
        <w:wordWrap w:val="0"/>
        <w:adjustRightInd w:val="0"/>
        <w:snapToGrid w:val="0"/>
        <w:spacing w:line="360" w:lineRule="auto"/>
        <w:ind w:firstLine="640"/>
        <w:rPr>
          <w:rFonts w:hint="eastAsia" w:ascii="宋体" w:hAnsi="宋体" w:cs="宋体"/>
          <w:color w:val="auto"/>
          <w:sz w:val="32"/>
          <w:szCs w:val="32"/>
          <w:highlight w:val="none"/>
          <w:u w:val="dotted"/>
        </w:rPr>
      </w:pPr>
      <w:r>
        <w:rPr>
          <w:rFonts w:hint="eastAsia" w:ascii="宋体" w:hAnsi="宋体" w:cs="宋体"/>
          <w:color w:val="auto"/>
          <w:sz w:val="32"/>
          <w:szCs w:val="32"/>
          <w:highlight w:val="none"/>
        </w:rPr>
        <w:t>法律依据：</w:t>
      </w:r>
      <w:r>
        <w:rPr>
          <w:rFonts w:hint="eastAsia" w:ascii="宋体" w:hAnsi="宋体" w:cs="宋体"/>
          <w:color w:val="auto"/>
          <w:sz w:val="32"/>
          <w:szCs w:val="32"/>
          <w:highlight w:val="none"/>
          <w:u w:val="dotted"/>
        </w:rPr>
        <w:t xml:space="preserve">                                          </w:t>
      </w:r>
    </w:p>
    <w:p w14:paraId="28399DFB">
      <w:pPr>
        <w:wordWrap w:val="0"/>
        <w:adjustRightInd w:val="0"/>
        <w:snapToGrid w:val="0"/>
        <w:spacing w:line="360" w:lineRule="auto"/>
        <w:ind w:firstLine="640"/>
        <w:rPr>
          <w:rFonts w:hint="eastAsia" w:ascii="宋体" w:hAnsi="宋体" w:cs="宋体"/>
          <w:color w:val="auto"/>
          <w:sz w:val="32"/>
          <w:szCs w:val="32"/>
          <w:highlight w:val="none"/>
          <w:u w:val="dotted"/>
        </w:rPr>
      </w:pPr>
      <w:r>
        <w:rPr>
          <w:rFonts w:hint="eastAsia" w:ascii="宋体" w:hAnsi="宋体" w:cs="宋体"/>
          <w:color w:val="auto"/>
          <w:sz w:val="32"/>
          <w:szCs w:val="32"/>
          <w:highlight w:val="none"/>
          <w:u w:val="dotted"/>
        </w:rPr>
        <w:t xml:space="preserve">                                                     </w:t>
      </w:r>
    </w:p>
    <w:p w14:paraId="1C7ED5A3">
      <w:pPr>
        <w:wordWrap w:val="0"/>
        <w:adjustRightInd w:val="0"/>
        <w:snapToGrid w:val="0"/>
        <w:spacing w:line="360" w:lineRule="auto"/>
        <w:ind w:firstLine="640"/>
        <w:rPr>
          <w:rFonts w:hint="eastAsia" w:ascii="宋体" w:hAnsi="宋体" w:cs="宋体"/>
          <w:color w:val="auto"/>
          <w:sz w:val="32"/>
          <w:szCs w:val="32"/>
          <w:highlight w:val="none"/>
          <w:u w:val="dotted"/>
        </w:rPr>
      </w:pPr>
      <w:r>
        <w:rPr>
          <w:rFonts w:hint="eastAsia" w:ascii="宋体" w:hAnsi="宋体" w:cs="宋体"/>
          <w:color w:val="auto"/>
          <w:sz w:val="32"/>
          <w:szCs w:val="32"/>
          <w:highlight w:val="none"/>
        </w:rPr>
        <w:t>质疑事项2</w:t>
      </w:r>
    </w:p>
    <w:p w14:paraId="1203D9B2">
      <w:pPr>
        <w:wordWrap w:val="0"/>
        <w:adjustRightInd w:val="0"/>
        <w:snapToGrid w:val="0"/>
        <w:spacing w:line="360" w:lineRule="auto"/>
        <w:ind w:firstLine="640"/>
        <w:rPr>
          <w:rFonts w:hint="eastAsia" w:ascii="宋体" w:hAnsi="宋体" w:cs="宋体"/>
          <w:color w:val="auto"/>
          <w:sz w:val="32"/>
          <w:szCs w:val="32"/>
          <w:highlight w:val="none"/>
        </w:rPr>
      </w:pPr>
      <w:r>
        <w:rPr>
          <w:rFonts w:hint="eastAsia" w:ascii="宋体" w:hAnsi="宋体" w:cs="宋体"/>
          <w:color w:val="auto"/>
          <w:sz w:val="32"/>
          <w:szCs w:val="32"/>
          <w:highlight w:val="none"/>
        </w:rPr>
        <w:t>……</w:t>
      </w:r>
    </w:p>
    <w:p w14:paraId="74B9B5B3">
      <w:pPr>
        <w:wordWrap w:val="0"/>
        <w:adjustRightInd w:val="0"/>
        <w:snapToGrid w:val="0"/>
        <w:spacing w:line="360" w:lineRule="auto"/>
        <w:ind w:firstLine="640"/>
        <w:rPr>
          <w:rFonts w:hint="eastAsia" w:ascii="宋体" w:hAnsi="宋体" w:cs="宋体"/>
          <w:bCs/>
          <w:color w:val="auto"/>
          <w:sz w:val="32"/>
          <w:szCs w:val="32"/>
          <w:highlight w:val="none"/>
        </w:rPr>
      </w:pPr>
      <w:r>
        <w:rPr>
          <w:rFonts w:hint="eastAsia" w:ascii="宋体" w:hAnsi="宋体" w:cs="宋体"/>
          <w:bCs/>
          <w:color w:val="auto"/>
          <w:sz w:val="32"/>
          <w:szCs w:val="32"/>
          <w:highlight w:val="none"/>
        </w:rPr>
        <w:t>四、与质疑事项相关的质疑请求</w:t>
      </w:r>
    </w:p>
    <w:p w14:paraId="66A1F8E9">
      <w:pPr>
        <w:wordWrap w:val="0"/>
        <w:adjustRightInd w:val="0"/>
        <w:snapToGrid w:val="0"/>
        <w:spacing w:line="360" w:lineRule="auto"/>
        <w:ind w:firstLine="640"/>
        <w:rPr>
          <w:rFonts w:hint="eastAsia" w:ascii="宋体" w:hAnsi="宋体" w:cs="宋体"/>
          <w:color w:val="auto"/>
          <w:sz w:val="32"/>
          <w:szCs w:val="32"/>
          <w:highlight w:val="none"/>
          <w:u w:val="dotted"/>
        </w:rPr>
      </w:pPr>
      <w:r>
        <w:rPr>
          <w:rFonts w:hint="eastAsia" w:ascii="宋体" w:hAnsi="宋体" w:cs="宋体"/>
          <w:color w:val="auto"/>
          <w:sz w:val="32"/>
          <w:szCs w:val="32"/>
          <w:highlight w:val="none"/>
        </w:rPr>
        <w:t>请求：</w:t>
      </w:r>
      <w:r>
        <w:rPr>
          <w:rFonts w:hint="eastAsia" w:ascii="宋体" w:hAnsi="宋体" w:cs="宋体"/>
          <w:color w:val="auto"/>
          <w:sz w:val="32"/>
          <w:szCs w:val="32"/>
          <w:highlight w:val="none"/>
          <w:u w:val="dotted"/>
        </w:rPr>
        <w:t xml:space="preserve">                                               </w:t>
      </w:r>
    </w:p>
    <w:p w14:paraId="1E6A458C">
      <w:pPr>
        <w:wordWrap w:val="0"/>
        <w:spacing w:line="360" w:lineRule="auto"/>
        <w:ind w:firstLine="600"/>
        <w:rPr>
          <w:rFonts w:hint="eastAsia" w:ascii="宋体" w:hAnsi="宋体" w:cs="宋体"/>
          <w:color w:val="auto"/>
          <w:sz w:val="30"/>
          <w:szCs w:val="30"/>
          <w:highlight w:val="none"/>
        </w:rPr>
      </w:pPr>
      <w:r>
        <w:rPr>
          <w:rFonts w:hint="eastAsia" w:ascii="宋体" w:hAnsi="宋体" w:cs="宋体"/>
          <w:color w:val="auto"/>
          <w:sz w:val="30"/>
          <w:szCs w:val="30"/>
          <w:highlight w:val="none"/>
        </w:rPr>
        <w:t xml:space="preserve">签字(签章)：                   公章：                      </w:t>
      </w:r>
    </w:p>
    <w:p w14:paraId="3131E3F6">
      <w:pPr>
        <w:wordWrap w:val="0"/>
        <w:spacing w:line="360" w:lineRule="auto"/>
        <w:ind w:firstLine="600"/>
        <w:rPr>
          <w:rFonts w:hint="eastAsia" w:ascii="宋体" w:hAnsi="宋体" w:cs="宋体"/>
          <w:color w:val="auto"/>
          <w:sz w:val="30"/>
          <w:szCs w:val="30"/>
          <w:highlight w:val="none"/>
        </w:rPr>
      </w:pPr>
      <w:r>
        <w:rPr>
          <w:rFonts w:hint="eastAsia" w:ascii="宋体" w:hAnsi="宋体" w:cs="宋体"/>
          <w:color w:val="auto"/>
          <w:sz w:val="30"/>
          <w:szCs w:val="30"/>
          <w:highlight w:val="none"/>
        </w:rPr>
        <w:t xml:space="preserve">日期：    </w:t>
      </w:r>
    </w:p>
    <w:p w14:paraId="3E9B696A">
      <w:pPr>
        <w:wordWrap w:val="0"/>
        <w:spacing w:line="360" w:lineRule="auto"/>
        <w:ind w:firstLine="643"/>
        <w:rPr>
          <w:rFonts w:hint="eastAsia" w:ascii="宋体" w:hAnsi="宋体" w:cs="宋体"/>
          <w:b/>
          <w:color w:val="auto"/>
          <w:sz w:val="32"/>
          <w:szCs w:val="32"/>
          <w:highlight w:val="none"/>
        </w:rPr>
      </w:pPr>
      <w:r>
        <w:rPr>
          <w:rFonts w:hint="eastAsia" w:ascii="宋体" w:hAnsi="宋体" w:cs="宋体"/>
          <w:b/>
          <w:color w:val="auto"/>
          <w:sz w:val="32"/>
          <w:szCs w:val="32"/>
          <w:highlight w:val="none"/>
        </w:rPr>
        <w:t>质疑函制作说明：</w:t>
      </w:r>
    </w:p>
    <w:p w14:paraId="67F255BE">
      <w:pPr>
        <w:widowControl/>
        <w:wordWrap w:val="0"/>
        <w:spacing w:line="360" w:lineRule="auto"/>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1.供应商提出质疑时，应提交质疑函和必要的证明材料。</w:t>
      </w:r>
    </w:p>
    <w:p w14:paraId="2D0010C0">
      <w:pPr>
        <w:widowControl/>
        <w:wordWrap w:val="0"/>
        <w:spacing w:line="360" w:lineRule="auto"/>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2.质疑供应商若委托代理人进行质疑的，质疑函应按要求列明“授权代表”的有关内容，并在附件中提交由质疑</w:t>
      </w:r>
      <w:r>
        <w:rPr>
          <w:rFonts w:hint="eastAsia" w:ascii="宋体" w:hAnsi="宋体" w:cs="宋体"/>
          <w:color w:val="auto"/>
          <w:kern w:val="0"/>
          <w:sz w:val="32"/>
          <w:szCs w:val="32"/>
          <w:highlight w:val="none"/>
        </w:rPr>
        <w:t>供应商签署的授权委托书。授权委托书应载明代理人的姓名或者名称、代理事项、具体权限、期限和相关事项。</w:t>
      </w:r>
    </w:p>
    <w:p w14:paraId="3E745955">
      <w:pPr>
        <w:widowControl/>
        <w:wordWrap w:val="0"/>
        <w:spacing w:line="360" w:lineRule="auto"/>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3.质疑供应商若对项目的某一分包进行质疑，质疑函中应列明具体分包号。</w:t>
      </w:r>
    </w:p>
    <w:p w14:paraId="56133DC8">
      <w:pPr>
        <w:widowControl/>
        <w:wordWrap w:val="0"/>
        <w:spacing w:line="360" w:lineRule="auto"/>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4.质疑函的质疑事项应具体、明确，并有必要的事实依据和法律依据。</w:t>
      </w:r>
    </w:p>
    <w:p w14:paraId="114896A6">
      <w:pPr>
        <w:widowControl/>
        <w:wordWrap w:val="0"/>
        <w:spacing w:line="360" w:lineRule="auto"/>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5.质疑函的质疑请求应与质疑事项相关。</w:t>
      </w:r>
    </w:p>
    <w:p w14:paraId="36F3CA6D">
      <w:pPr>
        <w:widowControl/>
        <w:wordWrap w:val="0"/>
        <w:spacing w:line="360" w:lineRule="auto"/>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6.质疑供应商为自然人的，质疑函应由本人签字；质疑供应商为法人或者其他组织的，质疑函应由法定代表人、主要负责人，或者其授权代表签字或者盖章，并加盖公章。</w:t>
      </w:r>
    </w:p>
    <w:p w14:paraId="75985E00">
      <w:pPr>
        <w:widowControl/>
        <w:wordWrap w:val="0"/>
        <w:spacing w:line="360" w:lineRule="auto"/>
        <w:ind w:firstLine="600" w:firstLineChars="200"/>
        <w:jc w:val="left"/>
        <w:rPr>
          <w:rFonts w:hint="eastAsia" w:ascii="宋体" w:hAnsi="宋体" w:cs="宋体"/>
          <w:color w:val="auto"/>
          <w:sz w:val="30"/>
          <w:szCs w:val="30"/>
          <w:highlight w:val="none"/>
        </w:rPr>
      </w:pPr>
    </w:p>
    <w:p w14:paraId="7F7CAD3C">
      <w:pPr>
        <w:widowControl/>
        <w:wordWrap w:val="0"/>
        <w:spacing w:line="360" w:lineRule="auto"/>
        <w:jc w:val="left"/>
        <w:rPr>
          <w:rFonts w:hint="eastAsia" w:ascii="宋体" w:hAnsi="宋体" w:cs="宋体"/>
          <w:color w:val="auto"/>
          <w:kern w:val="0"/>
          <w:sz w:val="24"/>
          <w:highlight w:val="none"/>
        </w:rPr>
        <w:sectPr>
          <w:pgSz w:w="11906" w:h="16838"/>
          <w:pgMar w:top="1440" w:right="1080" w:bottom="1440" w:left="1080" w:header="720" w:footer="720" w:gutter="0"/>
          <w:cols w:space="720" w:num="1"/>
          <w:docGrid w:type="lines" w:linePitch="331" w:charSpace="0"/>
        </w:sectPr>
      </w:pPr>
    </w:p>
    <w:p w14:paraId="377C1259">
      <w:pPr>
        <w:pStyle w:val="3"/>
        <w:wordWrap w:val="0"/>
        <w:spacing w:before="0" w:after="0" w:line="360" w:lineRule="auto"/>
        <w:ind w:firstLine="640"/>
        <w:jc w:val="center"/>
        <w:rPr>
          <w:rFonts w:hint="eastAsia" w:ascii="宋体" w:hAnsi="宋体" w:eastAsia="宋体" w:cs="宋体"/>
          <w:b w:val="0"/>
          <w:bCs w:val="0"/>
          <w:color w:val="auto"/>
          <w:highlight w:val="none"/>
        </w:rPr>
      </w:pPr>
      <w:bookmarkStart w:id="294" w:name="_Toc14288"/>
      <w:r>
        <w:rPr>
          <w:rFonts w:hint="eastAsia" w:ascii="宋体" w:hAnsi="宋体" w:eastAsia="宋体" w:cs="宋体"/>
          <w:b w:val="0"/>
          <w:bCs w:val="0"/>
          <w:color w:val="auto"/>
          <w:highlight w:val="none"/>
        </w:rPr>
        <w:t>第二节 投诉书（格式）</w:t>
      </w:r>
      <w:bookmarkEnd w:id="294"/>
    </w:p>
    <w:p w14:paraId="2642378D">
      <w:pPr>
        <w:wordWrap w:val="0"/>
        <w:spacing w:line="360" w:lineRule="auto"/>
        <w:ind w:firstLine="883"/>
        <w:jc w:val="center"/>
        <w:rPr>
          <w:rFonts w:hint="eastAsia" w:ascii="宋体" w:hAnsi="宋体" w:cs="宋体"/>
          <w:b/>
          <w:color w:val="auto"/>
          <w:sz w:val="44"/>
          <w:szCs w:val="44"/>
          <w:highlight w:val="none"/>
        </w:rPr>
      </w:pPr>
      <w:r>
        <w:rPr>
          <w:rFonts w:hint="eastAsia" w:ascii="宋体" w:hAnsi="宋体" w:cs="宋体"/>
          <w:b/>
          <w:color w:val="auto"/>
          <w:sz w:val="44"/>
          <w:szCs w:val="44"/>
          <w:highlight w:val="none"/>
        </w:rPr>
        <w:t>投诉书范本</w:t>
      </w:r>
    </w:p>
    <w:p w14:paraId="1CFB1440">
      <w:pPr>
        <w:wordWrap w:val="0"/>
        <w:spacing w:line="360" w:lineRule="auto"/>
        <w:ind w:firstLine="640"/>
        <w:rPr>
          <w:rFonts w:hint="eastAsia" w:ascii="宋体" w:hAnsi="宋体" w:cs="宋体"/>
          <w:color w:val="auto"/>
          <w:sz w:val="32"/>
          <w:szCs w:val="32"/>
          <w:highlight w:val="none"/>
        </w:rPr>
      </w:pPr>
      <w:r>
        <w:rPr>
          <w:rFonts w:hint="eastAsia" w:ascii="宋体" w:hAnsi="宋体" w:cs="宋体"/>
          <w:color w:val="auto"/>
          <w:sz w:val="32"/>
          <w:szCs w:val="32"/>
          <w:highlight w:val="none"/>
        </w:rPr>
        <w:t>一、投诉相关主体基本情况</w:t>
      </w:r>
    </w:p>
    <w:p w14:paraId="34124EBE">
      <w:pPr>
        <w:wordWrap w:val="0"/>
        <w:spacing w:line="360" w:lineRule="auto"/>
        <w:ind w:firstLine="640"/>
        <w:rPr>
          <w:rFonts w:hint="eastAsia" w:ascii="宋体" w:hAnsi="宋体" w:cs="宋体"/>
          <w:color w:val="auto"/>
          <w:sz w:val="32"/>
          <w:szCs w:val="32"/>
          <w:highlight w:val="none"/>
          <w:u w:val="dotted"/>
        </w:rPr>
      </w:pPr>
      <w:r>
        <w:rPr>
          <w:rFonts w:hint="eastAsia" w:ascii="宋体" w:hAnsi="宋体" w:cs="宋体"/>
          <w:color w:val="auto"/>
          <w:sz w:val="32"/>
          <w:szCs w:val="32"/>
          <w:highlight w:val="none"/>
        </w:rPr>
        <w:t>投诉人：</w:t>
      </w:r>
      <w:r>
        <w:rPr>
          <w:rFonts w:hint="eastAsia" w:ascii="宋体" w:hAnsi="宋体" w:cs="宋体"/>
          <w:color w:val="auto"/>
          <w:sz w:val="32"/>
          <w:szCs w:val="32"/>
          <w:highlight w:val="none"/>
          <w:u w:val="dotted"/>
        </w:rPr>
        <w:t xml:space="preserve">                                               </w:t>
      </w:r>
    </w:p>
    <w:p w14:paraId="0428E054">
      <w:pPr>
        <w:wordWrap w:val="0"/>
        <w:spacing w:line="360" w:lineRule="auto"/>
        <w:ind w:firstLine="640"/>
        <w:rPr>
          <w:rFonts w:hint="eastAsia" w:ascii="宋体" w:hAnsi="宋体" w:cs="宋体"/>
          <w:color w:val="auto"/>
          <w:sz w:val="32"/>
          <w:szCs w:val="32"/>
          <w:highlight w:val="none"/>
          <w:u w:val="single"/>
        </w:rPr>
      </w:pPr>
      <w:r>
        <w:rPr>
          <w:rFonts w:hint="eastAsia" w:ascii="宋体" w:hAnsi="宋体" w:cs="宋体"/>
          <w:color w:val="auto"/>
          <w:sz w:val="32"/>
          <w:szCs w:val="32"/>
          <w:highlight w:val="none"/>
        </w:rPr>
        <w:t>地     址：</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邮编：</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u w:val="single"/>
        </w:rPr>
        <w:t xml:space="preserve">   </w:t>
      </w:r>
    </w:p>
    <w:p w14:paraId="10FDDF62">
      <w:pPr>
        <w:tabs>
          <w:tab w:val="left" w:pos="6510"/>
        </w:tabs>
        <w:wordWrap w:val="0"/>
        <w:spacing w:line="360" w:lineRule="auto"/>
        <w:ind w:firstLine="64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法定代表人/主要负责人：</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 xml:space="preserve">  </w:t>
      </w:r>
    </w:p>
    <w:p w14:paraId="5475D676">
      <w:pPr>
        <w:tabs>
          <w:tab w:val="left" w:pos="6510"/>
        </w:tabs>
        <w:wordWrap w:val="0"/>
        <w:spacing w:line="360" w:lineRule="auto"/>
        <w:ind w:firstLine="640"/>
        <w:rPr>
          <w:rFonts w:hint="eastAsia" w:ascii="宋体" w:hAnsi="宋体" w:cs="宋体"/>
          <w:color w:val="auto"/>
          <w:sz w:val="32"/>
          <w:szCs w:val="32"/>
          <w:highlight w:val="none"/>
          <w:u w:val="dotted"/>
        </w:rPr>
      </w:pPr>
      <w:r>
        <w:rPr>
          <w:rFonts w:hint="eastAsia" w:ascii="宋体" w:hAnsi="宋体" w:cs="宋体"/>
          <w:color w:val="auto"/>
          <w:sz w:val="32"/>
          <w:szCs w:val="32"/>
          <w:highlight w:val="none"/>
        </w:rPr>
        <w:t>联系电话：</w:t>
      </w:r>
      <w:r>
        <w:rPr>
          <w:rFonts w:hint="eastAsia" w:ascii="宋体" w:hAnsi="宋体" w:cs="宋体"/>
          <w:color w:val="auto"/>
          <w:sz w:val="32"/>
          <w:szCs w:val="32"/>
          <w:highlight w:val="none"/>
          <w:u w:val="dotted"/>
        </w:rPr>
        <w:t xml:space="preserve">                                             </w:t>
      </w:r>
    </w:p>
    <w:p w14:paraId="591F1771">
      <w:pPr>
        <w:wordWrap w:val="0"/>
        <w:spacing w:line="360" w:lineRule="auto"/>
        <w:ind w:firstLine="640"/>
        <w:rPr>
          <w:rFonts w:hint="eastAsia" w:ascii="宋体" w:hAnsi="宋体" w:cs="宋体"/>
          <w:color w:val="auto"/>
          <w:sz w:val="32"/>
          <w:szCs w:val="32"/>
          <w:highlight w:val="none"/>
          <w:u w:val="dotted"/>
        </w:rPr>
      </w:pPr>
      <w:r>
        <w:rPr>
          <w:rFonts w:hint="eastAsia" w:ascii="宋体" w:hAnsi="宋体" w:cs="宋体"/>
          <w:color w:val="auto"/>
          <w:sz w:val="32"/>
          <w:szCs w:val="32"/>
          <w:highlight w:val="none"/>
        </w:rPr>
        <w:t>授权代表：</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联系电话</w:t>
      </w:r>
      <w:r>
        <w:rPr>
          <w:rFonts w:hint="eastAsia" w:ascii="宋体" w:hAnsi="宋体" w:cs="宋体"/>
          <w:color w:val="auto"/>
          <w:sz w:val="32"/>
          <w:szCs w:val="32"/>
          <w:highlight w:val="none"/>
          <w:u w:val="dotted"/>
        </w:rPr>
        <w:t xml:space="preserve">：                  </w:t>
      </w:r>
    </w:p>
    <w:p w14:paraId="4F29B728">
      <w:pPr>
        <w:wordWrap w:val="0"/>
        <w:spacing w:line="360" w:lineRule="auto"/>
        <w:ind w:firstLine="640"/>
        <w:rPr>
          <w:rFonts w:hint="eastAsia" w:ascii="宋体" w:hAnsi="宋体" w:cs="宋体"/>
          <w:color w:val="auto"/>
          <w:sz w:val="32"/>
          <w:szCs w:val="32"/>
          <w:highlight w:val="none"/>
          <w:u w:val="dotted"/>
        </w:rPr>
      </w:pPr>
      <w:r>
        <w:rPr>
          <w:rFonts w:hint="eastAsia" w:ascii="宋体" w:hAnsi="宋体" w:cs="宋体"/>
          <w:color w:val="auto"/>
          <w:sz w:val="32"/>
          <w:szCs w:val="32"/>
          <w:highlight w:val="none"/>
        </w:rPr>
        <w:t>地     址：</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邮编：</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u w:val="single"/>
        </w:rPr>
        <w:t xml:space="preserve"> </w:t>
      </w:r>
      <w:r>
        <w:rPr>
          <w:rFonts w:hint="eastAsia" w:ascii="宋体" w:hAnsi="宋体" w:cs="宋体"/>
          <w:color w:val="auto"/>
          <w:sz w:val="32"/>
          <w:szCs w:val="32"/>
          <w:highlight w:val="none"/>
          <w:u w:val="dotted"/>
        </w:rPr>
        <w:t xml:space="preserve">                   </w:t>
      </w:r>
    </w:p>
    <w:p w14:paraId="39205EAA">
      <w:pPr>
        <w:wordWrap w:val="0"/>
        <w:spacing w:line="360" w:lineRule="auto"/>
        <w:ind w:firstLine="640"/>
        <w:rPr>
          <w:rFonts w:hint="eastAsia" w:ascii="宋体" w:hAnsi="宋体" w:cs="宋体"/>
          <w:color w:val="auto"/>
          <w:sz w:val="32"/>
          <w:szCs w:val="32"/>
          <w:highlight w:val="none"/>
          <w:u w:val="single"/>
        </w:rPr>
      </w:pPr>
      <w:r>
        <w:rPr>
          <w:rFonts w:hint="eastAsia" w:ascii="宋体" w:hAnsi="宋体" w:cs="宋体"/>
          <w:color w:val="auto"/>
          <w:sz w:val="32"/>
          <w:szCs w:val="32"/>
          <w:highlight w:val="none"/>
        </w:rPr>
        <w:t>被投诉人1：</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u w:val="single"/>
        </w:rPr>
        <w:t xml:space="preserve">  </w:t>
      </w:r>
    </w:p>
    <w:p w14:paraId="768B8C05">
      <w:pPr>
        <w:wordWrap w:val="0"/>
        <w:spacing w:line="360" w:lineRule="auto"/>
        <w:ind w:firstLine="640"/>
        <w:rPr>
          <w:rFonts w:hint="eastAsia" w:ascii="宋体" w:hAnsi="宋体" w:cs="宋体"/>
          <w:color w:val="auto"/>
          <w:sz w:val="32"/>
          <w:szCs w:val="32"/>
          <w:highlight w:val="none"/>
          <w:u w:val="single"/>
        </w:rPr>
      </w:pPr>
      <w:r>
        <w:rPr>
          <w:rFonts w:hint="eastAsia" w:ascii="宋体" w:hAnsi="宋体" w:cs="宋体"/>
          <w:color w:val="auto"/>
          <w:sz w:val="32"/>
          <w:szCs w:val="32"/>
          <w:highlight w:val="none"/>
        </w:rPr>
        <w:t>地     址：</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邮编：</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u w:val="single"/>
        </w:rPr>
        <w:t xml:space="preserve"> </w:t>
      </w:r>
    </w:p>
    <w:p w14:paraId="038BD331">
      <w:pPr>
        <w:wordWrap w:val="0"/>
        <w:spacing w:line="360" w:lineRule="auto"/>
        <w:ind w:firstLine="640"/>
        <w:rPr>
          <w:rFonts w:hint="eastAsia" w:ascii="宋体" w:hAnsi="宋体" w:cs="宋体"/>
          <w:color w:val="auto"/>
          <w:sz w:val="32"/>
          <w:szCs w:val="32"/>
          <w:highlight w:val="none"/>
          <w:u w:val="single"/>
        </w:rPr>
      </w:pPr>
      <w:r>
        <w:rPr>
          <w:rFonts w:hint="eastAsia" w:ascii="宋体" w:hAnsi="宋体" w:cs="宋体"/>
          <w:color w:val="auto"/>
          <w:sz w:val="32"/>
          <w:szCs w:val="32"/>
          <w:highlight w:val="none"/>
        </w:rPr>
        <w:t>联系人：</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联系电话：</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u w:val="single"/>
        </w:rPr>
        <w:t xml:space="preserve"> </w:t>
      </w:r>
    </w:p>
    <w:p w14:paraId="11990536">
      <w:pPr>
        <w:wordWrap w:val="0"/>
        <w:spacing w:line="360" w:lineRule="auto"/>
        <w:ind w:firstLine="640"/>
        <w:rPr>
          <w:rFonts w:hint="eastAsia" w:ascii="宋体" w:hAnsi="宋体" w:cs="宋体"/>
          <w:color w:val="auto"/>
          <w:sz w:val="32"/>
          <w:szCs w:val="32"/>
          <w:highlight w:val="none"/>
        </w:rPr>
      </w:pPr>
      <w:r>
        <w:rPr>
          <w:rFonts w:hint="eastAsia" w:ascii="宋体" w:hAnsi="宋体" w:cs="宋体"/>
          <w:color w:val="auto"/>
          <w:sz w:val="32"/>
          <w:szCs w:val="32"/>
          <w:highlight w:val="none"/>
        </w:rPr>
        <w:t>被投诉人2</w:t>
      </w:r>
    </w:p>
    <w:p w14:paraId="71E239A7">
      <w:pPr>
        <w:wordWrap w:val="0"/>
        <w:spacing w:line="360" w:lineRule="auto"/>
        <w:ind w:firstLine="640"/>
        <w:rPr>
          <w:rFonts w:hint="eastAsia" w:ascii="宋体" w:hAnsi="宋体" w:cs="宋体"/>
          <w:color w:val="auto"/>
          <w:sz w:val="32"/>
          <w:szCs w:val="32"/>
          <w:highlight w:val="none"/>
          <w:u w:val="dotted"/>
        </w:rPr>
      </w:pPr>
      <w:r>
        <w:rPr>
          <w:rFonts w:hint="eastAsia" w:ascii="宋体" w:hAnsi="宋体" w:cs="宋体"/>
          <w:color w:val="auto"/>
          <w:sz w:val="32"/>
          <w:szCs w:val="32"/>
          <w:highlight w:val="none"/>
        </w:rPr>
        <w:t>……</w:t>
      </w:r>
    </w:p>
    <w:p w14:paraId="383D9223">
      <w:pPr>
        <w:wordWrap w:val="0"/>
        <w:spacing w:line="360" w:lineRule="auto"/>
        <w:ind w:firstLine="640"/>
        <w:rPr>
          <w:rFonts w:hint="eastAsia" w:ascii="宋体" w:hAnsi="宋体" w:cs="宋体"/>
          <w:color w:val="auto"/>
          <w:sz w:val="32"/>
          <w:szCs w:val="32"/>
          <w:highlight w:val="none"/>
          <w:u w:val="single"/>
        </w:rPr>
      </w:pPr>
      <w:r>
        <w:rPr>
          <w:rFonts w:hint="eastAsia" w:ascii="宋体" w:hAnsi="宋体" w:cs="宋体"/>
          <w:color w:val="auto"/>
          <w:sz w:val="32"/>
          <w:szCs w:val="32"/>
          <w:highlight w:val="none"/>
        </w:rPr>
        <w:t>相关供应商：</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u w:val="single"/>
        </w:rPr>
        <w:t xml:space="preserve">    </w:t>
      </w:r>
    </w:p>
    <w:p w14:paraId="178AC6FF">
      <w:pPr>
        <w:wordWrap w:val="0"/>
        <w:spacing w:line="360" w:lineRule="auto"/>
        <w:ind w:firstLine="640"/>
        <w:rPr>
          <w:rFonts w:hint="eastAsia" w:ascii="宋体" w:hAnsi="宋体" w:cs="宋体"/>
          <w:color w:val="auto"/>
          <w:sz w:val="32"/>
          <w:szCs w:val="32"/>
          <w:highlight w:val="none"/>
          <w:u w:val="single"/>
        </w:rPr>
      </w:pPr>
      <w:r>
        <w:rPr>
          <w:rFonts w:hint="eastAsia" w:ascii="宋体" w:hAnsi="宋体" w:cs="宋体"/>
          <w:color w:val="auto"/>
          <w:sz w:val="32"/>
          <w:szCs w:val="32"/>
          <w:highlight w:val="none"/>
        </w:rPr>
        <w:t>地     址：</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邮编：</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u w:val="single"/>
        </w:rPr>
        <w:t xml:space="preserve"> </w:t>
      </w:r>
    </w:p>
    <w:p w14:paraId="38510559">
      <w:pPr>
        <w:wordWrap w:val="0"/>
        <w:spacing w:line="360" w:lineRule="auto"/>
        <w:ind w:firstLine="640"/>
        <w:rPr>
          <w:rFonts w:hint="eastAsia" w:ascii="宋体" w:hAnsi="宋体" w:cs="宋体"/>
          <w:color w:val="auto"/>
          <w:sz w:val="32"/>
          <w:szCs w:val="32"/>
          <w:highlight w:val="none"/>
          <w:u w:val="single"/>
        </w:rPr>
      </w:pPr>
      <w:r>
        <w:rPr>
          <w:rFonts w:hint="eastAsia" w:ascii="宋体" w:hAnsi="宋体" w:cs="宋体"/>
          <w:color w:val="auto"/>
          <w:sz w:val="32"/>
          <w:szCs w:val="32"/>
          <w:highlight w:val="none"/>
        </w:rPr>
        <w:t>联系人：</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联系电话：</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u w:val="single"/>
        </w:rPr>
        <w:t xml:space="preserve">      </w:t>
      </w:r>
    </w:p>
    <w:p w14:paraId="133ABD33">
      <w:pPr>
        <w:wordWrap w:val="0"/>
        <w:spacing w:line="360" w:lineRule="auto"/>
        <w:ind w:firstLine="640"/>
        <w:rPr>
          <w:rFonts w:hint="eastAsia" w:ascii="宋体" w:hAnsi="宋体" w:cs="宋体"/>
          <w:color w:val="auto"/>
          <w:sz w:val="32"/>
          <w:szCs w:val="32"/>
          <w:highlight w:val="none"/>
        </w:rPr>
      </w:pPr>
      <w:r>
        <w:rPr>
          <w:rFonts w:hint="eastAsia" w:ascii="宋体" w:hAnsi="宋体" w:cs="宋体"/>
          <w:color w:val="auto"/>
          <w:sz w:val="32"/>
          <w:szCs w:val="32"/>
          <w:highlight w:val="none"/>
        </w:rPr>
        <w:t>二、投诉项目基本情况</w:t>
      </w:r>
    </w:p>
    <w:p w14:paraId="68B4B9D5">
      <w:pPr>
        <w:wordWrap w:val="0"/>
        <w:spacing w:line="360" w:lineRule="auto"/>
        <w:ind w:firstLine="640"/>
        <w:rPr>
          <w:rFonts w:hint="eastAsia" w:ascii="宋体" w:hAnsi="宋体" w:cs="宋体"/>
          <w:color w:val="auto"/>
          <w:sz w:val="32"/>
          <w:szCs w:val="32"/>
          <w:highlight w:val="none"/>
          <w:u w:val="dotted"/>
        </w:rPr>
      </w:pPr>
      <w:r>
        <w:rPr>
          <w:rFonts w:hint="eastAsia" w:ascii="宋体" w:hAnsi="宋体" w:cs="宋体"/>
          <w:color w:val="auto"/>
          <w:sz w:val="32"/>
          <w:szCs w:val="32"/>
          <w:highlight w:val="none"/>
        </w:rPr>
        <w:t>采购项目名称：</w:t>
      </w:r>
      <w:r>
        <w:rPr>
          <w:rFonts w:hint="eastAsia" w:ascii="宋体" w:hAnsi="宋体" w:cs="宋体"/>
          <w:color w:val="auto"/>
          <w:sz w:val="32"/>
          <w:szCs w:val="32"/>
          <w:highlight w:val="none"/>
          <w:u w:val="dotted"/>
        </w:rPr>
        <w:t xml:space="preserve"> </w:t>
      </w:r>
      <w:r>
        <w:rPr>
          <w:color w:val="auto"/>
          <w:highlight w:val="none"/>
        </w:rPr>
        <w:fldChar w:fldCharType="begin"/>
      </w:r>
      <w:r>
        <w:rPr>
          <w:color w:val="auto"/>
          <w:highlight w:val="none"/>
        </w:rPr>
        <w:instrText xml:space="preserve"> HYPERLINK "https://pay.gcy.zfcg.gxzf.gov.cn/purchaseplan_front/" \l "/plan/list/_blank" \t "https://pay.gcy.zfcg.gxzf.gov.cn/purchaseplan_front/" </w:instrText>
      </w:r>
      <w:r>
        <w:rPr>
          <w:color w:val="auto"/>
          <w:highlight w:val="none"/>
        </w:rPr>
        <w:fldChar w:fldCharType="separate"/>
      </w:r>
      <w:r>
        <w:rPr>
          <w:rFonts w:hint="eastAsia" w:ascii="宋体" w:hAnsi="宋体" w:cs="宋体"/>
          <w:color w:val="auto"/>
          <w:sz w:val="32"/>
          <w:szCs w:val="32"/>
          <w:highlight w:val="none"/>
          <w:u w:val="dotted"/>
          <w:lang w:eastAsia="zh-CN"/>
        </w:rPr>
        <w:t>南宁市电子政务云平台（二期）运维服务项目</w:t>
      </w:r>
      <w:r>
        <w:rPr>
          <w:rFonts w:hint="eastAsia" w:ascii="宋体" w:hAnsi="宋体" w:cs="宋体"/>
          <w:color w:val="auto"/>
          <w:sz w:val="32"/>
          <w:szCs w:val="32"/>
          <w:highlight w:val="none"/>
          <w:u w:val="dotted"/>
        </w:rPr>
        <w:fldChar w:fldCharType="end"/>
      </w:r>
    </w:p>
    <w:p w14:paraId="36DBFA68">
      <w:pPr>
        <w:wordWrap w:val="0"/>
        <w:spacing w:line="360" w:lineRule="auto"/>
        <w:ind w:firstLine="640"/>
        <w:rPr>
          <w:rFonts w:hint="eastAsia" w:ascii="宋体" w:hAnsi="宋体" w:cs="宋体"/>
          <w:color w:val="auto"/>
          <w:sz w:val="32"/>
          <w:szCs w:val="32"/>
          <w:highlight w:val="none"/>
          <w:u w:val="single"/>
        </w:rPr>
      </w:pPr>
      <w:r>
        <w:rPr>
          <w:rFonts w:hint="eastAsia" w:ascii="宋体" w:hAnsi="宋体" w:cs="宋体"/>
          <w:color w:val="auto"/>
          <w:sz w:val="32"/>
          <w:szCs w:val="32"/>
          <w:highlight w:val="none"/>
        </w:rPr>
        <w:t>采购项目编号：</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包号：</w:t>
      </w:r>
      <w:r>
        <w:rPr>
          <w:rFonts w:hint="eastAsia" w:ascii="宋体" w:hAnsi="宋体" w:cs="宋体"/>
          <w:color w:val="auto"/>
          <w:sz w:val="32"/>
          <w:szCs w:val="32"/>
          <w:highlight w:val="none"/>
          <w:u w:val="dotted"/>
        </w:rPr>
        <w:t xml:space="preserve">              </w:t>
      </w:r>
    </w:p>
    <w:p w14:paraId="3DE6BE7D">
      <w:pPr>
        <w:wordWrap w:val="0"/>
        <w:spacing w:line="360" w:lineRule="auto"/>
        <w:ind w:firstLine="640"/>
        <w:rPr>
          <w:rFonts w:hint="eastAsia" w:ascii="宋体" w:hAnsi="宋体" w:cs="宋体"/>
          <w:color w:val="auto"/>
          <w:sz w:val="32"/>
          <w:szCs w:val="32"/>
          <w:highlight w:val="none"/>
        </w:rPr>
      </w:pPr>
      <w:r>
        <w:rPr>
          <w:rFonts w:hint="eastAsia" w:ascii="宋体" w:hAnsi="宋体" w:cs="宋体"/>
          <w:color w:val="auto"/>
          <w:sz w:val="32"/>
          <w:szCs w:val="32"/>
          <w:highlight w:val="none"/>
        </w:rPr>
        <w:t>采购人名称：</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u w:val="dotted"/>
          <w:lang w:eastAsia="zh-CN"/>
        </w:rPr>
        <w:t>南宁市信息网络管理中心</w:t>
      </w:r>
      <w:r>
        <w:rPr>
          <w:rFonts w:hint="eastAsia" w:ascii="宋体" w:hAnsi="宋体" w:cs="宋体"/>
          <w:color w:val="auto"/>
          <w:sz w:val="32"/>
          <w:szCs w:val="32"/>
          <w:highlight w:val="none"/>
          <w:u w:val="single"/>
        </w:rPr>
        <w:t xml:space="preserve">  </w:t>
      </w:r>
    </w:p>
    <w:p w14:paraId="439864FD">
      <w:pPr>
        <w:wordWrap w:val="0"/>
        <w:spacing w:line="360" w:lineRule="auto"/>
        <w:ind w:firstLine="640"/>
        <w:rPr>
          <w:rFonts w:hint="eastAsia" w:ascii="宋体" w:hAnsi="宋体" w:cs="宋体"/>
          <w:color w:val="auto"/>
          <w:sz w:val="32"/>
          <w:szCs w:val="32"/>
          <w:highlight w:val="none"/>
          <w:u w:val="single"/>
        </w:rPr>
      </w:pPr>
      <w:r>
        <w:rPr>
          <w:rFonts w:hint="eastAsia" w:ascii="宋体" w:hAnsi="宋体" w:cs="宋体"/>
          <w:color w:val="auto"/>
          <w:sz w:val="32"/>
          <w:szCs w:val="32"/>
          <w:highlight w:val="none"/>
        </w:rPr>
        <w:t>代理机构名称：</w:t>
      </w:r>
      <w:r>
        <w:rPr>
          <w:rFonts w:hint="eastAsia" w:ascii="宋体" w:hAnsi="宋体" w:cs="宋体"/>
          <w:color w:val="auto"/>
          <w:sz w:val="32"/>
          <w:szCs w:val="32"/>
          <w:highlight w:val="none"/>
          <w:u w:val="dotted"/>
        </w:rPr>
        <w:t xml:space="preserve">                                         </w:t>
      </w:r>
    </w:p>
    <w:p w14:paraId="329324E4">
      <w:pPr>
        <w:wordWrap w:val="0"/>
        <w:spacing w:line="360" w:lineRule="auto"/>
        <w:ind w:firstLine="640"/>
        <w:rPr>
          <w:rFonts w:hint="eastAsia" w:ascii="宋体" w:hAnsi="宋体" w:cs="宋体"/>
          <w:color w:val="auto"/>
          <w:sz w:val="32"/>
          <w:szCs w:val="32"/>
          <w:highlight w:val="none"/>
          <w:u w:val="dotted"/>
        </w:rPr>
      </w:pPr>
      <w:r>
        <w:rPr>
          <w:rFonts w:hint="eastAsia" w:ascii="宋体" w:hAnsi="宋体" w:cs="宋体"/>
          <w:color w:val="auto"/>
          <w:sz w:val="32"/>
          <w:szCs w:val="32"/>
          <w:highlight w:val="none"/>
        </w:rPr>
        <w:t>采购文件公告:</w:t>
      </w:r>
      <w:r>
        <w:rPr>
          <w:rFonts w:hint="eastAsia" w:ascii="宋体" w:hAnsi="宋体" w:cs="宋体"/>
          <w:color w:val="auto"/>
          <w:sz w:val="32"/>
          <w:szCs w:val="32"/>
          <w:highlight w:val="none"/>
          <w:u w:val="dotted"/>
        </w:rPr>
        <w:t xml:space="preserve">是/否 </w:t>
      </w:r>
      <w:r>
        <w:rPr>
          <w:rFonts w:hint="eastAsia" w:ascii="宋体" w:hAnsi="宋体" w:cs="宋体"/>
          <w:color w:val="auto"/>
          <w:sz w:val="32"/>
          <w:szCs w:val="32"/>
          <w:highlight w:val="none"/>
        </w:rPr>
        <w:t>公告期限：</w:t>
      </w:r>
      <w:r>
        <w:rPr>
          <w:rFonts w:hint="eastAsia" w:ascii="宋体" w:hAnsi="宋体" w:cs="宋体"/>
          <w:color w:val="auto"/>
          <w:sz w:val="32"/>
          <w:szCs w:val="32"/>
          <w:highlight w:val="none"/>
          <w:u w:val="dotted"/>
        </w:rPr>
        <w:t xml:space="preserve">                            </w:t>
      </w:r>
    </w:p>
    <w:p w14:paraId="3CA79BFA">
      <w:pPr>
        <w:wordWrap w:val="0"/>
        <w:spacing w:line="360" w:lineRule="auto"/>
        <w:ind w:firstLine="640"/>
        <w:rPr>
          <w:rFonts w:hint="eastAsia" w:ascii="宋体" w:hAnsi="宋体" w:cs="宋体"/>
          <w:color w:val="auto"/>
          <w:sz w:val="32"/>
          <w:szCs w:val="32"/>
          <w:highlight w:val="none"/>
          <w:u w:val="single"/>
        </w:rPr>
      </w:pPr>
      <w:r>
        <w:rPr>
          <w:rFonts w:hint="eastAsia" w:ascii="宋体" w:hAnsi="宋体" w:cs="宋体"/>
          <w:color w:val="auto"/>
          <w:sz w:val="32"/>
          <w:szCs w:val="32"/>
          <w:highlight w:val="none"/>
        </w:rPr>
        <w:t>采购结果公告:</w:t>
      </w:r>
      <w:r>
        <w:rPr>
          <w:rFonts w:hint="eastAsia" w:ascii="宋体" w:hAnsi="宋体" w:cs="宋体"/>
          <w:color w:val="auto"/>
          <w:sz w:val="32"/>
          <w:szCs w:val="32"/>
          <w:highlight w:val="none"/>
          <w:u w:val="dotted"/>
        </w:rPr>
        <w:t xml:space="preserve">是/否 </w:t>
      </w:r>
      <w:r>
        <w:rPr>
          <w:rFonts w:hint="eastAsia" w:ascii="宋体" w:hAnsi="宋体" w:cs="宋体"/>
          <w:color w:val="auto"/>
          <w:sz w:val="32"/>
          <w:szCs w:val="32"/>
          <w:highlight w:val="none"/>
        </w:rPr>
        <w:t>公告期限：</w:t>
      </w:r>
      <w:r>
        <w:rPr>
          <w:rFonts w:hint="eastAsia" w:ascii="宋体" w:hAnsi="宋体" w:cs="宋体"/>
          <w:color w:val="auto"/>
          <w:sz w:val="32"/>
          <w:szCs w:val="32"/>
          <w:highlight w:val="none"/>
          <w:u w:val="dotted"/>
        </w:rPr>
        <w:t xml:space="preserve">                        </w:t>
      </w:r>
    </w:p>
    <w:p w14:paraId="23D2DD90">
      <w:pPr>
        <w:wordWrap w:val="0"/>
        <w:spacing w:line="360" w:lineRule="auto"/>
        <w:ind w:firstLine="640"/>
        <w:rPr>
          <w:rFonts w:hint="eastAsia" w:ascii="宋体" w:hAnsi="宋体" w:cs="宋体"/>
          <w:color w:val="auto"/>
          <w:sz w:val="32"/>
          <w:szCs w:val="32"/>
          <w:highlight w:val="none"/>
        </w:rPr>
      </w:pPr>
      <w:r>
        <w:rPr>
          <w:rFonts w:hint="eastAsia" w:ascii="宋体" w:hAnsi="宋体" w:cs="宋体"/>
          <w:color w:val="auto"/>
          <w:sz w:val="32"/>
          <w:szCs w:val="32"/>
          <w:highlight w:val="none"/>
        </w:rPr>
        <w:t>三、质疑基本情况</w:t>
      </w:r>
    </w:p>
    <w:p w14:paraId="458D6FA9">
      <w:pPr>
        <w:wordWrap w:val="0"/>
        <w:spacing w:line="360" w:lineRule="auto"/>
        <w:ind w:firstLine="640" w:firstLineChars="200"/>
        <w:rPr>
          <w:rFonts w:hint="eastAsia" w:ascii="宋体" w:hAnsi="宋体" w:cs="宋体"/>
          <w:color w:val="auto"/>
          <w:sz w:val="32"/>
          <w:szCs w:val="32"/>
          <w:highlight w:val="none"/>
          <w:u w:val="dotted"/>
        </w:rPr>
      </w:pPr>
      <w:r>
        <w:rPr>
          <w:rFonts w:hint="eastAsia" w:ascii="宋体" w:hAnsi="宋体" w:cs="宋体"/>
          <w:color w:val="auto"/>
          <w:sz w:val="32"/>
          <w:szCs w:val="32"/>
          <w:highlight w:val="none"/>
        </w:rPr>
        <w:t>投诉人于</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年</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月</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日,向</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提出质疑，质疑事项为：</w:t>
      </w:r>
      <w:r>
        <w:rPr>
          <w:rFonts w:hint="eastAsia" w:ascii="宋体" w:hAnsi="宋体" w:cs="宋体"/>
          <w:color w:val="auto"/>
          <w:sz w:val="32"/>
          <w:szCs w:val="32"/>
          <w:highlight w:val="none"/>
          <w:u w:val="dotted"/>
        </w:rPr>
        <w:t xml:space="preserve">                                </w:t>
      </w:r>
    </w:p>
    <w:p w14:paraId="7F4C6581">
      <w:pPr>
        <w:wordWrap w:val="0"/>
        <w:spacing w:line="360" w:lineRule="auto"/>
        <w:ind w:firstLine="640"/>
        <w:rPr>
          <w:rFonts w:hint="eastAsia" w:ascii="宋体" w:hAnsi="宋体" w:cs="宋体"/>
          <w:color w:val="auto"/>
          <w:sz w:val="32"/>
          <w:szCs w:val="32"/>
          <w:highlight w:val="none"/>
          <w:u w:val="dotted"/>
        </w:rPr>
      </w:pP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 xml:space="preserve">  </w:t>
      </w:r>
    </w:p>
    <w:p w14:paraId="19AB2EBC">
      <w:pPr>
        <w:wordWrap w:val="0"/>
        <w:spacing w:line="360" w:lineRule="auto"/>
        <w:ind w:firstLine="480" w:firstLineChars="150"/>
        <w:rPr>
          <w:rFonts w:hint="eastAsia" w:ascii="宋体" w:hAnsi="宋体" w:cs="宋体"/>
          <w:color w:val="auto"/>
          <w:sz w:val="32"/>
          <w:szCs w:val="32"/>
          <w:highlight w:val="none"/>
        </w:rPr>
      </w:pPr>
      <w:r>
        <w:rPr>
          <w:rFonts w:hint="eastAsia" w:ascii="宋体" w:hAnsi="宋体" w:cs="宋体"/>
          <w:color w:val="auto"/>
          <w:sz w:val="32"/>
          <w:szCs w:val="32"/>
          <w:highlight w:val="none"/>
          <w:u w:val="dotted"/>
        </w:rPr>
        <w:t>采购人/代理机构</w:t>
      </w:r>
      <w:r>
        <w:rPr>
          <w:rFonts w:hint="eastAsia" w:ascii="宋体" w:hAnsi="宋体" w:cs="宋体"/>
          <w:color w:val="auto"/>
          <w:sz w:val="32"/>
          <w:szCs w:val="32"/>
          <w:highlight w:val="none"/>
        </w:rPr>
        <w:t>于</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年</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月</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日,就质疑事项作出了答复/没有在法定期限内作出答复。</w:t>
      </w:r>
    </w:p>
    <w:p w14:paraId="3E43A735">
      <w:pPr>
        <w:wordWrap w:val="0"/>
        <w:spacing w:line="360" w:lineRule="auto"/>
        <w:ind w:firstLine="640"/>
        <w:rPr>
          <w:rFonts w:hint="eastAsia" w:ascii="宋体" w:hAnsi="宋体" w:cs="宋体"/>
          <w:color w:val="auto"/>
          <w:sz w:val="32"/>
          <w:szCs w:val="32"/>
          <w:highlight w:val="none"/>
        </w:rPr>
      </w:pPr>
      <w:r>
        <w:rPr>
          <w:rFonts w:hint="eastAsia" w:ascii="宋体" w:hAnsi="宋体" w:cs="宋体"/>
          <w:color w:val="auto"/>
          <w:sz w:val="32"/>
          <w:szCs w:val="32"/>
          <w:highlight w:val="none"/>
        </w:rPr>
        <w:t>四、投诉事项具体内容</w:t>
      </w:r>
    </w:p>
    <w:p w14:paraId="7B01FEB0">
      <w:pPr>
        <w:wordWrap w:val="0"/>
        <w:spacing w:line="360" w:lineRule="auto"/>
        <w:ind w:firstLine="640"/>
        <w:rPr>
          <w:rFonts w:hint="eastAsia" w:ascii="宋体" w:hAnsi="宋体" w:cs="宋体"/>
          <w:color w:val="auto"/>
          <w:sz w:val="32"/>
          <w:szCs w:val="32"/>
          <w:highlight w:val="none"/>
          <w:u w:val="single"/>
        </w:rPr>
      </w:pPr>
      <w:r>
        <w:rPr>
          <w:rFonts w:hint="eastAsia" w:ascii="宋体" w:hAnsi="宋体" w:cs="宋体"/>
          <w:color w:val="auto"/>
          <w:sz w:val="32"/>
          <w:szCs w:val="32"/>
          <w:highlight w:val="none"/>
        </w:rPr>
        <w:t>投诉事项 1：</w:t>
      </w:r>
      <w:r>
        <w:rPr>
          <w:rFonts w:hint="eastAsia" w:ascii="宋体" w:hAnsi="宋体" w:cs="宋体"/>
          <w:color w:val="auto"/>
          <w:sz w:val="32"/>
          <w:szCs w:val="32"/>
          <w:highlight w:val="none"/>
          <w:u w:val="dotted"/>
        </w:rPr>
        <w:t xml:space="preserve">                                       </w:t>
      </w:r>
    </w:p>
    <w:p w14:paraId="45510CDA">
      <w:pPr>
        <w:wordWrap w:val="0"/>
        <w:spacing w:line="360" w:lineRule="auto"/>
        <w:ind w:firstLine="640"/>
        <w:rPr>
          <w:rFonts w:hint="eastAsia" w:ascii="宋体" w:hAnsi="宋体" w:cs="宋体"/>
          <w:color w:val="auto"/>
          <w:sz w:val="32"/>
          <w:szCs w:val="32"/>
          <w:highlight w:val="none"/>
        </w:rPr>
      </w:pPr>
      <w:r>
        <w:rPr>
          <w:rFonts w:hint="eastAsia" w:ascii="宋体" w:hAnsi="宋体" w:cs="宋体"/>
          <w:color w:val="auto"/>
          <w:sz w:val="32"/>
          <w:szCs w:val="32"/>
          <w:highlight w:val="none"/>
        </w:rPr>
        <w:t>事实依据：</w:t>
      </w:r>
      <w:r>
        <w:rPr>
          <w:rFonts w:hint="eastAsia" w:ascii="宋体" w:hAnsi="宋体" w:cs="宋体"/>
          <w:color w:val="auto"/>
          <w:sz w:val="32"/>
          <w:szCs w:val="32"/>
          <w:highlight w:val="none"/>
          <w:u w:val="dotted"/>
        </w:rPr>
        <w:t xml:space="preserve">                                         </w:t>
      </w:r>
    </w:p>
    <w:p w14:paraId="0B6053F3">
      <w:pPr>
        <w:wordWrap w:val="0"/>
        <w:spacing w:line="360" w:lineRule="auto"/>
        <w:ind w:firstLine="640"/>
        <w:rPr>
          <w:rFonts w:hint="eastAsia" w:ascii="宋体" w:hAnsi="宋体" w:cs="宋体"/>
          <w:color w:val="auto"/>
          <w:sz w:val="32"/>
          <w:szCs w:val="32"/>
          <w:highlight w:val="none"/>
          <w:u w:val="dotted"/>
        </w:rPr>
      </w:pPr>
      <w:r>
        <w:rPr>
          <w:rFonts w:hint="eastAsia" w:ascii="宋体" w:hAnsi="宋体" w:cs="宋体"/>
          <w:color w:val="auto"/>
          <w:sz w:val="32"/>
          <w:szCs w:val="32"/>
          <w:highlight w:val="none"/>
          <w:u w:val="dotted"/>
        </w:rPr>
        <w:t xml:space="preserve">                                                      </w:t>
      </w:r>
    </w:p>
    <w:p w14:paraId="3C03D55A">
      <w:pPr>
        <w:wordWrap w:val="0"/>
        <w:spacing w:line="360" w:lineRule="auto"/>
        <w:ind w:firstLine="640"/>
        <w:rPr>
          <w:rFonts w:hint="eastAsia" w:ascii="宋体" w:hAnsi="宋体" w:cs="宋体"/>
          <w:color w:val="auto"/>
          <w:sz w:val="32"/>
          <w:szCs w:val="32"/>
          <w:highlight w:val="none"/>
          <w:u w:val="single"/>
        </w:rPr>
      </w:pPr>
      <w:r>
        <w:rPr>
          <w:rFonts w:hint="eastAsia" w:ascii="宋体" w:hAnsi="宋体" w:cs="宋体"/>
          <w:color w:val="auto"/>
          <w:sz w:val="32"/>
          <w:szCs w:val="32"/>
          <w:highlight w:val="none"/>
        </w:rPr>
        <w:t>法律依据：</w:t>
      </w:r>
      <w:r>
        <w:rPr>
          <w:rFonts w:hint="eastAsia" w:ascii="宋体" w:hAnsi="宋体" w:cs="宋体"/>
          <w:color w:val="auto"/>
          <w:sz w:val="32"/>
          <w:szCs w:val="32"/>
          <w:highlight w:val="none"/>
          <w:u w:val="dotted"/>
        </w:rPr>
        <w:t xml:space="preserve">                                          </w:t>
      </w:r>
    </w:p>
    <w:p w14:paraId="326852AA">
      <w:pPr>
        <w:wordWrap w:val="0"/>
        <w:spacing w:line="360" w:lineRule="auto"/>
        <w:ind w:firstLine="640"/>
        <w:rPr>
          <w:rFonts w:hint="eastAsia" w:ascii="宋体" w:hAnsi="宋体" w:cs="宋体"/>
          <w:color w:val="auto"/>
          <w:sz w:val="32"/>
          <w:szCs w:val="32"/>
          <w:highlight w:val="none"/>
          <w:u w:val="dotted"/>
        </w:rPr>
      </w:pPr>
      <w:r>
        <w:rPr>
          <w:rFonts w:hint="eastAsia" w:ascii="宋体" w:hAnsi="宋体" w:cs="宋体"/>
          <w:color w:val="auto"/>
          <w:sz w:val="32"/>
          <w:szCs w:val="32"/>
          <w:highlight w:val="none"/>
          <w:u w:val="dotted"/>
        </w:rPr>
        <w:t xml:space="preserve">                                                      </w:t>
      </w:r>
    </w:p>
    <w:p w14:paraId="31FFFCE6">
      <w:pPr>
        <w:wordWrap w:val="0"/>
        <w:spacing w:line="360" w:lineRule="auto"/>
        <w:ind w:firstLine="640"/>
        <w:rPr>
          <w:rFonts w:hint="eastAsia" w:ascii="宋体" w:hAnsi="宋体" w:cs="宋体"/>
          <w:color w:val="auto"/>
          <w:sz w:val="32"/>
          <w:szCs w:val="32"/>
          <w:highlight w:val="none"/>
        </w:rPr>
      </w:pPr>
      <w:r>
        <w:rPr>
          <w:rFonts w:hint="eastAsia" w:ascii="宋体" w:hAnsi="宋体" w:cs="宋体"/>
          <w:color w:val="auto"/>
          <w:sz w:val="32"/>
          <w:szCs w:val="32"/>
          <w:highlight w:val="none"/>
        </w:rPr>
        <w:t>投诉事项2</w:t>
      </w:r>
    </w:p>
    <w:p w14:paraId="48BD8A45">
      <w:pPr>
        <w:wordWrap w:val="0"/>
        <w:spacing w:line="360" w:lineRule="auto"/>
        <w:ind w:firstLine="640"/>
        <w:rPr>
          <w:rFonts w:hint="eastAsia" w:ascii="宋体" w:hAnsi="宋体" w:cs="宋体"/>
          <w:color w:val="auto"/>
          <w:sz w:val="32"/>
          <w:szCs w:val="32"/>
          <w:highlight w:val="none"/>
          <w:u w:val="dotted"/>
        </w:rPr>
      </w:pPr>
      <w:r>
        <w:rPr>
          <w:rFonts w:hint="eastAsia" w:ascii="宋体" w:hAnsi="宋体" w:cs="宋体"/>
          <w:color w:val="auto"/>
          <w:sz w:val="32"/>
          <w:szCs w:val="32"/>
          <w:highlight w:val="none"/>
        </w:rPr>
        <w:t>……</w:t>
      </w:r>
    </w:p>
    <w:p w14:paraId="4D7FE007">
      <w:pPr>
        <w:wordWrap w:val="0"/>
        <w:spacing w:line="360" w:lineRule="auto"/>
        <w:ind w:firstLine="640"/>
        <w:rPr>
          <w:rFonts w:hint="eastAsia" w:ascii="宋体" w:hAnsi="宋体" w:cs="宋体"/>
          <w:color w:val="auto"/>
          <w:sz w:val="32"/>
          <w:szCs w:val="32"/>
          <w:highlight w:val="none"/>
        </w:rPr>
      </w:pPr>
      <w:r>
        <w:rPr>
          <w:rFonts w:hint="eastAsia" w:ascii="宋体" w:hAnsi="宋体" w:cs="宋体"/>
          <w:color w:val="auto"/>
          <w:sz w:val="32"/>
          <w:szCs w:val="32"/>
          <w:highlight w:val="none"/>
        </w:rPr>
        <w:t>五、与投诉事项相关的投诉请求</w:t>
      </w:r>
    </w:p>
    <w:p w14:paraId="4A3E1B6F">
      <w:pPr>
        <w:wordWrap w:val="0"/>
        <w:spacing w:line="360" w:lineRule="auto"/>
        <w:ind w:firstLine="640"/>
        <w:rPr>
          <w:rFonts w:hint="eastAsia" w:ascii="宋体" w:hAnsi="宋体" w:cs="宋体"/>
          <w:color w:val="auto"/>
          <w:sz w:val="32"/>
          <w:szCs w:val="32"/>
          <w:highlight w:val="none"/>
        </w:rPr>
      </w:pPr>
      <w:r>
        <w:rPr>
          <w:rFonts w:hint="eastAsia" w:ascii="宋体" w:hAnsi="宋体" w:cs="宋体"/>
          <w:color w:val="auto"/>
          <w:sz w:val="32"/>
          <w:szCs w:val="32"/>
          <w:highlight w:val="none"/>
        </w:rPr>
        <w:t>请求：</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 xml:space="preserve"> </w:t>
      </w:r>
    </w:p>
    <w:p w14:paraId="7EE6D23A">
      <w:pPr>
        <w:wordWrap w:val="0"/>
        <w:spacing w:line="360" w:lineRule="auto"/>
        <w:ind w:firstLine="640"/>
        <w:rPr>
          <w:rFonts w:hint="eastAsia" w:ascii="宋体" w:hAnsi="宋体" w:cs="宋体"/>
          <w:color w:val="auto"/>
          <w:sz w:val="32"/>
          <w:szCs w:val="32"/>
          <w:highlight w:val="none"/>
          <w:u w:val="single"/>
        </w:rPr>
      </w:pPr>
      <w:r>
        <w:rPr>
          <w:rFonts w:hint="eastAsia" w:ascii="宋体" w:hAnsi="宋体" w:cs="宋体"/>
          <w:color w:val="auto"/>
          <w:sz w:val="32"/>
          <w:szCs w:val="32"/>
          <w:highlight w:val="none"/>
        </w:rPr>
        <w:t xml:space="preserve">                                                                                                    </w:t>
      </w:r>
    </w:p>
    <w:p w14:paraId="55C0767C">
      <w:pPr>
        <w:wordWrap w:val="0"/>
        <w:spacing w:line="360" w:lineRule="auto"/>
        <w:ind w:firstLine="640"/>
        <w:rPr>
          <w:rFonts w:hint="eastAsia" w:ascii="宋体" w:hAnsi="宋体" w:cs="宋体"/>
          <w:color w:val="auto"/>
          <w:sz w:val="32"/>
          <w:szCs w:val="32"/>
          <w:highlight w:val="none"/>
        </w:rPr>
      </w:pPr>
      <w:r>
        <w:rPr>
          <w:rFonts w:hint="eastAsia" w:ascii="宋体" w:hAnsi="宋体" w:cs="宋体"/>
          <w:color w:val="auto"/>
          <w:sz w:val="32"/>
          <w:szCs w:val="32"/>
          <w:highlight w:val="none"/>
        </w:rPr>
        <w:t xml:space="preserve">签字(签章)：                   公章：                      </w:t>
      </w:r>
    </w:p>
    <w:p w14:paraId="170BB848">
      <w:pPr>
        <w:wordWrap w:val="0"/>
        <w:spacing w:line="360" w:lineRule="auto"/>
        <w:ind w:firstLine="640"/>
        <w:rPr>
          <w:rFonts w:hint="eastAsia" w:ascii="宋体" w:hAnsi="宋体" w:cs="宋体"/>
          <w:color w:val="auto"/>
          <w:sz w:val="32"/>
          <w:szCs w:val="32"/>
          <w:highlight w:val="none"/>
        </w:rPr>
      </w:pPr>
      <w:r>
        <w:rPr>
          <w:rFonts w:hint="eastAsia" w:ascii="宋体" w:hAnsi="宋体" w:cs="宋体"/>
          <w:color w:val="auto"/>
          <w:sz w:val="32"/>
          <w:szCs w:val="32"/>
          <w:highlight w:val="none"/>
        </w:rPr>
        <w:t xml:space="preserve">日期：    </w:t>
      </w:r>
    </w:p>
    <w:p w14:paraId="272D551A">
      <w:pPr>
        <w:wordWrap w:val="0"/>
        <w:spacing w:line="360" w:lineRule="auto"/>
        <w:ind w:firstLine="643"/>
        <w:rPr>
          <w:rFonts w:hint="eastAsia" w:ascii="宋体" w:hAnsi="宋体" w:cs="宋体"/>
          <w:b/>
          <w:color w:val="auto"/>
          <w:sz w:val="32"/>
          <w:szCs w:val="32"/>
          <w:highlight w:val="none"/>
        </w:rPr>
      </w:pPr>
    </w:p>
    <w:p w14:paraId="19FFB2C5">
      <w:pPr>
        <w:wordWrap w:val="0"/>
        <w:spacing w:line="360" w:lineRule="auto"/>
        <w:ind w:firstLine="643"/>
        <w:rPr>
          <w:rFonts w:hint="eastAsia" w:ascii="宋体" w:hAnsi="宋体" w:cs="宋体"/>
          <w:b/>
          <w:color w:val="auto"/>
          <w:sz w:val="32"/>
          <w:szCs w:val="32"/>
          <w:highlight w:val="none"/>
        </w:rPr>
      </w:pPr>
      <w:r>
        <w:rPr>
          <w:rFonts w:hint="eastAsia" w:ascii="宋体" w:hAnsi="宋体" w:cs="宋体"/>
          <w:b/>
          <w:color w:val="auto"/>
          <w:sz w:val="32"/>
          <w:szCs w:val="32"/>
          <w:highlight w:val="none"/>
        </w:rPr>
        <w:t>投诉书制作说明：</w:t>
      </w:r>
    </w:p>
    <w:p w14:paraId="6F5ADD8A">
      <w:pPr>
        <w:widowControl/>
        <w:wordWrap w:val="0"/>
        <w:spacing w:line="360" w:lineRule="auto"/>
        <w:ind w:firstLine="640" w:firstLineChars="200"/>
        <w:rPr>
          <w:rFonts w:hint="eastAsia" w:ascii="宋体" w:hAnsi="宋体" w:cs="宋体"/>
          <w:color w:val="auto"/>
          <w:kern w:val="0"/>
          <w:sz w:val="32"/>
          <w:szCs w:val="32"/>
          <w:highlight w:val="none"/>
        </w:rPr>
      </w:pPr>
      <w:r>
        <w:rPr>
          <w:rFonts w:hint="eastAsia" w:ascii="宋体" w:hAnsi="宋体" w:cs="宋体"/>
          <w:color w:val="auto"/>
          <w:sz w:val="32"/>
          <w:szCs w:val="32"/>
          <w:highlight w:val="none"/>
        </w:rPr>
        <w:t>1.投诉人提起投诉时，应当提交投诉书和必要的证明材料，并按照被投诉人和与投诉事项有关的供应商数量提供投诉书副本。</w:t>
      </w:r>
    </w:p>
    <w:p w14:paraId="2EEFB88F">
      <w:pPr>
        <w:widowControl/>
        <w:wordWrap w:val="0"/>
        <w:spacing w:line="360" w:lineRule="auto"/>
        <w:ind w:firstLine="640" w:firstLineChars="200"/>
        <w:jc w:val="left"/>
        <w:rPr>
          <w:rFonts w:hint="eastAsia" w:ascii="宋体" w:hAnsi="宋体" w:cs="宋体"/>
          <w:color w:val="auto"/>
          <w:kern w:val="0"/>
          <w:sz w:val="32"/>
          <w:szCs w:val="32"/>
          <w:highlight w:val="none"/>
        </w:rPr>
      </w:pPr>
      <w:r>
        <w:rPr>
          <w:rFonts w:hint="eastAsia" w:ascii="宋体" w:hAnsi="宋体" w:cs="宋体"/>
          <w:color w:val="auto"/>
          <w:sz w:val="32"/>
          <w:szCs w:val="32"/>
          <w:highlight w:val="none"/>
        </w:rPr>
        <w:t>2.投诉人若委托代理人进行投诉的，投诉书应按照要求列明“授权代表”的有关内容，并在附件中提交由</w:t>
      </w:r>
      <w:r>
        <w:rPr>
          <w:rFonts w:hint="eastAsia" w:ascii="宋体" w:hAnsi="宋体" w:cs="宋体"/>
          <w:color w:val="auto"/>
          <w:kern w:val="0"/>
          <w:sz w:val="32"/>
          <w:szCs w:val="32"/>
          <w:highlight w:val="none"/>
        </w:rPr>
        <w:t>投诉人签署的授权委托书。授权委托书应当载明代理人的姓名或者名称、代理事项、具体权限、期限和相关事项。</w:t>
      </w:r>
    </w:p>
    <w:p w14:paraId="1AB8A4F2">
      <w:pPr>
        <w:widowControl/>
        <w:wordWrap w:val="0"/>
        <w:spacing w:line="360" w:lineRule="auto"/>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3.投诉人若对项目的某一分包进行投诉，投诉书应列明具体分包号。</w:t>
      </w:r>
    </w:p>
    <w:p w14:paraId="7780D79E">
      <w:pPr>
        <w:widowControl/>
        <w:wordWrap w:val="0"/>
        <w:spacing w:line="360" w:lineRule="auto"/>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4.投诉书应简要列明质疑事项，质疑函、质疑答复等作为附件材料提供。</w:t>
      </w:r>
    </w:p>
    <w:p w14:paraId="7B83807F">
      <w:pPr>
        <w:widowControl/>
        <w:wordWrap w:val="0"/>
        <w:spacing w:line="360" w:lineRule="auto"/>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5.投诉书的投诉事项应具体、明确，并有必要的事实依据和法律依据。</w:t>
      </w:r>
    </w:p>
    <w:p w14:paraId="71B3D878">
      <w:pPr>
        <w:widowControl/>
        <w:wordWrap w:val="0"/>
        <w:spacing w:line="360" w:lineRule="auto"/>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6.投诉书的投诉请求应与投诉事项相关。</w:t>
      </w:r>
    </w:p>
    <w:p w14:paraId="5964E813">
      <w:pPr>
        <w:widowControl/>
        <w:wordWrap w:val="0"/>
        <w:spacing w:line="360" w:lineRule="auto"/>
        <w:ind w:firstLine="640" w:firstLineChars="200"/>
        <w:jc w:val="left"/>
        <w:rPr>
          <w:rFonts w:hint="eastAsia" w:ascii="宋体" w:hAnsi="宋体" w:cs="宋体"/>
          <w:color w:val="auto"/>
          <w:kern w:val="0"/>
          <w:sz w:val="32"/>
          <w:szCs w:val="32"/>
          <w:highlight w:val="none"/>
        </w:rPr>
      </w:pPr>
      <w:r>
        <w:rPr>
          <w:rFonts w:hint="eastAsia" w:ascii="宋体" w:hAnsi="宋体" w:cs="宋体"/>
          <w:color w:val="auto"/>
          <w:sz w:val="32"/>
          <w:szCs w:val="32"/>
          <w:highlight w:val="none"/>
        </w:rPr>
        <w:t>7.投诉人为自然人的，投诉书应当由本人签字；投诉人为法人或者其他组织的，投诉书应当由法定代表人、主要负责人，或者其授权代表签字或者盖章，并加盖公章。</w:t>
      </w:r>
    </w:p>
    <w:p w14:paraId="1D0E1632">
      <w:pPr>
        <w:wordWrap w:val="0"/>
        <w:spacing w:line="360" w:lineRule="auto"/>
        <w:rPr>
          <w:rFonts w:hint="eastAsia" w:ascii="宋体" w:hAnsi="宋体" w:cs="宋体"/>
          <w:color w:val="auto"/>
          <w:highlight w:val="none"/>
        </w:rPr>
      </w:pPr>
    </w:p>
    <w:sectPr>
      <w:footerReference r:id="rId9" w:type="first"/>
      <w:headerReference r:id="rId6" w:type="default"/>
      <w:footerReference r:id="rId7" w:type="default"/>
      <w:footerReference r:id="rId8" w:type="even"/>
      <w:pgSz w:w="11906" w:h="16838"/>
      <w:pgMar w:top="1440" w:right="1080" w:bottom="1440" w:left="1080" w:header="720" w:footer="720" w:gutter="0"/>
      <w:cols w:space="720" w:num="1"/>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9" w:usb3="00000000" w:csb0="400001FF" w:csb1="FFFF0000"/>
  </w:font>
  <w:font w:name="新宋体">
    <w:panose1 w:val="02010609030101010101"/>
    <w:charset w:val="86"/>
    <w:family w:val="modern"/>
    <w:pitch w:val="default"/>
    <w:sig w:usb0="00000203" w:usb1="288F0000" w:usb2="0000000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Segoe UI Symbol">
    <w:panose1 w:val="020B0502040204020203"/>
    <w:charset w:val="00"/>
    <w:family w:val="swiss"/>
    <w:pitch w:val="default"/>
    <w:sig w:usb0="800001E3" w:usb1="1200FFEF" w:usb2="00040000" w:usb3="04000000" w:csb0="00000001" w:csb1="4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8AAC2">
    <w:pPr>
      <w:pStyle w:val="16"/>
      <w:tabs>
        <w:tab w:val="center" w:pos="4873"/>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AC28A2">
                          <w:pPr>
                            <w:pStyle w:val="16"/>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57AC28A2">
                    <w:pPr>
                      <w:pStyle w:val="16"/>
                    </w:pPr>
                    <w:r>
                      <w:fldChar w:fldCharType="begin"/>
                    </w:r>
                    <w:r>
                      <w:instrText xml:space="preserve"> PAGE  \* MERGEFORMAT </w:instrText>
                    </w:r>
                    <w:r>
                      <w:fldChar w:fldCharType="separate"/>
                    </w:r>
                    <w:r>
                      <w:t>21</w:t>
                    </w:r>
                    <w:r>
                      <w:fldChar w:fldCharType="end"/>
                    </w:r>
                  </w:p>
                </w:txbxContent>
              </v:textbox>
            </v:shape>
          </w:pict>
        </mc:Fallback>
      </mc:AlternateContent>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AAF2B4">
    <w:pPr>
      <w:pStyle w:val="1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9989BC">
                          <w:pPr>
                            <w:pStyle w:val="16"/>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1E9989BC">
                    <w:pPr>
                      <w:pStyle w:val="16"/>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A02AC1">
    <w:pPr>
      <w:pStyle w:val="16"/>
      <w:ind w:firstLine="36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5FC29C">
                          <w:pPr>
                            <w:pStyle w:val="16"/>
                          </w:pPr>
                          <w:r>
                            <w:fldChar w:fldCharType="begin"/>
                          </w:r>
                          <w:r>
                            <w:instrText xml:space="preserve"> PAGE  \* MERGEFORMAT </w:instrText>
                          </w:r>
                          <w:r>
                            <w:fldChar w:fldCharType="separate"/>
                          </w:r>
                          <w:r>
                            <w:t>120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6A5FC29C">
                    <w:pPr>
                      <w:pStyle w:val="16"/>
                    </w:pPr>
                    <w:r>
                      <w:fldChar w:fldCharType="begin"/>
                    </w:r>
                    <w:r>
                      <w:instrText xml:space="preserve"> PAGE  \* MERGEFORMAT </w:instrText>
                    </w:r>
                    <w:r>
                      <w:fldChar w:fldCharType="separate"/>
                    </w:r>
                    <w:r>
                      <w:t>120</w:t>
                    </w:r>
                    <w:r>
                      <w:fldChar w:fldCharType="end"/>
                    </w:r>
                  </w:p>
                </w:txbxContent>
              </v:textbox>
            </v:shape>
          </w:pict>
        </mc:Fallback>
      </mc:AlternateContent>
    </w:r>
  </w:p>
  <w:p w14:paraId="2BC04FF1">
    <w:pPr>
      <w:pStyle w:val="16"/>
      <w:ind w:firstLine="360"/>
    </w:pPr>
  </w:p>
  <w:p w14:paraId="29D58EC9"/>
  <w:p w14:paraId="08956169"/>
  <w:p w14:paraId="65B582A3"/>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6263AD">
    <w:pPr>
      <w:pStyle w:val="16"/>
      <w:framePr w:wrap="around" w:vAnchor="text" w:hAnchor="margin" w:xAlign="center" w:y="1"/>
      <w:ind w:firstLine="360"/>
      <w:rPr>
        <w:rStyle w:val="28"/>
      </w:rPr>
    </w:pPr>
    <w:r>
      <w:fldChar w:fldCharType="begin"/>
    </w:r>
    <w:r>
      <w:rPr>
        <w:rStyle w:val="28"/>
      </w:rPr>
      <w:instrText xml:space="preserve">PAGE  </w:instrText>
    </w:r>
    <w:r>
      <w:fldChar w:fldCharType="end"/>
    </w:r>
  </w:p>
  <w:p w14:paraId="58E3726F">
    <w:pPr>
      <w:pStyle w:val="16"/>
      <w:ind w:firstLine="360"/>
    </w:pPr>
  </w:p>
  <w:p w14:paraId="21CFCBEA"/>
  <w:p w14:paraId="4C350FAF"/>
  <w:p w14:paraId="2051235C"/>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E062F">
    <w:pPr>
      <w:pStyle w:val="16"/>
      <w:framePr w:wrap="around" w:vAnchor="text" w:hAnchor="margin" w:xAlign="right" w:y="1"/>
      <w:ind w:firstLine="360"/>
      <w:rPr>
        <w:rStyle w:val="28"/>
      </w:rPr>
    </w:pPr>
    <w:r>
      <w:fldChar w:fldCharType="begin"/>
    </w:r>
    <w:r>
      <w:rPr>
        <w:rStyle w:val="28"/>
      </w:rPr>
      <w:instrText xml:space="preserve">PAGE  </w:instrText>
    </w:r>
    <w:r>
      <w:fldChar w:fldCharType="separate"/>
    </w:r>
    <w:r>
      <w:rPr>
        <w:rStyle w:val="28"/>
      </w:rPr>
      <w:t>122</w:t>
    </w:r>
    <w:r>
      <w:fldChar w:fldCharType="end"/>
    </w:r>
  </w:p>
  <w:p w14:paraId="1D523F8B">
    <w:pPr>
      <w:pStyle w:val="16"/>
      <w:ind w:right="360" w:firstLine="360"/>
      <w:jc w:val="both"/>
    </w:pPr>
    <w:r>
      <w:rPr>
        <w:rFonts w:hint="eastAsia"/>
      </w:rPr>
      <w:t>121</w:t>
    </w:r>
  </w:p>
  <w:p w14:paraId="5DBF03B7"/>
  <w:p w14:paraId="410FC139"/>
  <w:p w14:paraId="4AE6AE8A"/>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9779D8">
    <w:pPr>
      <w:widowControl/>
      <w:ind w:left="-360" w:right="360"/>
      <w:rPr>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22D49C">
    <w:pPr>
      <w:pStyle w:val="17"/>
      <w:ind w:firstLine="360"/>
      <w:jc w:val="right"/>
    </w:pPr>
    <w:r>
      <w:rPr>
        <w:rFonts w:hint="eastAsia"/>
      </w:rPr>
      <w:t>项目名称：</w:t>
    </w:r>
    <w:r>
      <w:rPr>
        <w:rFonts w:hint="eastAsia" w:ascii="Times New Roman" w:hAnsi="Times New Roman" w:cs="Times New Roman"/>
        <w:u w:val="single"/>
      </w:rPr>
      <w:fldChar w:fldCharType="begin"/>
    </w:r>
    <w:r>
      <w:rPr>
        <w:rFonts w:hint="eastAsia" w:ascii="Times New Roman" w:hAnsi="Times New Roman" w:cs="Times New Roman"/>
        <w:u w:val="single"/>
      </w:rPr>
      <w:instrText xml:space="preserve"> HYPERLINK "https://pay.gcy.zfcg.gxzf.gov.cn/purchaseplan_front/" \l "/plan/list/_blank" \t "https://pay.gcy.zfcg.gxzf.gov.cn/purchaseplan_front/" </w:instrText>
    </w:r>
    <w:r>
      <w:rPr>
        <w:rFonts w:hint="eastAsia" w:ascii="Times New Roman" w:hAnsi="Times New Roman" w:cs="Times New Roman"/>
        <w:u w:val="single"/>
      </w:rPr>
      <w:fldChar w:fldCharType="separate"/>
    </w:r>
    <w:r>
      <w:rPr>
        <w:rFonts w:hint="eastAsia" w:ascii="Times New Roman" w:hAnsi="Times New Roman" w:cs="Times New Roman"/>
        <w:u w:val="single"/>
        <w:lang w:eastAsia="zh-CN"/>
      </w:rPr>
      <w:t>南宁市电子政务云平台（二期）运维服务项目</w:t>
    </w:r>
    <w:r>
      <w:rPr>
        <w:rFonts w:hint="eastAsia" w:ascii="Times New Roman" w:hAnsi="Times New Roman" w:cs="Times New Roman"/>
        <w:u w:val="single"/>
      </w:rPr>
      <w:fldChar w:fldCharType="end"/>
    </w:r>
    <w:r>
      <w:rPr>
        <w:rFonts w:hint="eastAsia"/>
      </w:rPr>
      <w:t>（项目编号：</w:t>
    </w:r>
    <w:r>
      <w:rPr>
        <w:rFonts w:hint="eastAsia" w:cs="Times New Roman"/>
        <w:lang w:eastAsia="zh-CN"/>
      </w:rPr>
      <w:t>NNZC2025-G3-991381-GXYZ</w:t>
    </w:r>
    <w:r>
      <w:rPr>
        <w:rFonts w:hint="eastAsia"/>
      </w:rPr>
      <w:t>）</w:t>
    </w:r>
  </w:p>
  <w:p w14:paraId="1B69E6DE"/>
  <w:p w14:paraId="2F786B9F"/>
  <w:p w14:paraId="70CD59D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3C4FD3"/>
    <w:multiLevelType w:val="singleLevel"/>
    <w:tmpl w:val="DC3C4FD3"/>
    <w:lvl w:ilvl="0" w:tentative="0">
      <w:start w:val="1"/>
      <w:numFmt w:val="decimal"/>
      <w:suff w:val="nothing"/>
      <w:lvlText w:val="（%1）"/>
      <w:lvlJc w:val="left"/>
    </w:lvl>
  </w:abstractNum>
  <w:abstractNum w:abstractNumId="1">
    <w:nsid w:val="00000007"/>
    <w:multiLevelType w:val="multilevel"/>
    <w:tmpl w:val="00000007"/>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00000019"/>
    <w:multiLevelType w:val="multilevel"/>
    <w:tmpl w:val="00000019"/>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pStyle w:val="7"/>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3">
    <w:nsid w:val="34444808"/>
    <w:multiLevelType w:val="multilevel"/>
    <w:tmpl w:val="34444808"/>
    <w:lvl w:ilvl="0" w:tentative="0">
      <w:start w:val="1"/>
      <w:numFmt w:val="decimal"/>
      <w:lvlText w:val="%1、"/>
      <w:lvlJc w:val="left"/>
      <w:pPr>
        <w:ind w:left="660" w:hanging="360"/>
      </w:pPr>
      <w:rPr>
        <w:rFonts w:hint="default"/>
      </w:rPr>
    </w:lvl>
    <w:lvl w:ilvl="1" w:tentative="0">
      <w:start w:val="1"/>
      <w:numFmt w:val="lowerLetter"/>
      <w:lvlText w:val="%2)"/>
      <w:lvlJc w:val="left"/>
      <w:pPr>
        <w:ind w:left="1140" w:hanging="420"/>
      </w:pPr>
    </w:lvl>
    <w:lvl w:ilvl="2" w:tentative="0">
      <w:start w:val="1"/>
      <w:numFmt w:val="lowerRoman"/>
      <w:lvlText w:val="%3."/>
      <w:lvlJc w:val="right"/>
      <w:pPr>
        <w:ind w:left="1560" w:hanging="420"/>
      </w:pPr>
    </w:lvl>
    <w:lvl w:ilvl="3" w:tentative="0">
      <w:start w:val="1"/>
      <w:numFmt w:val="decimal"/>
      <w:lvlText w:val="%4."/>
      <w:lvlJc w:val="left"/>
      <w:pPr>
        <w:ind w:left="1980" w:hanging="420"/>
      </w:pPr>
    </w:lvl>
    <w:lvl w:ilvl="4" w:tentative="0">
      <w:start w:val="1"/>
      <w:numFmt w:val="lowerLetter"/>
      <w:lvlText w:val="%5)"/>
      <w:lvlJc w:val="left"/>
      <w:pPr>
        <w:ind w:left="2400" w:hanging="420"/>
      </w:pPr>
    </w:lvl>
    <w:lvl w:ilvl="5" w:tentative="0">
      <w:start w:val="1"/>
      <w:numFmt w:val="lowerRoman"/>
      <w:lvlText w:val="%6."/>
      <w:lvlJc w:val="right"/>
      <w:pPr>
        <w:ind w:left="2820" w:hanging="420"/>
      </w:pPr>
    </w:lvl>
    <w:lvl w:ilvl="6" w:tentative="0">
      <w:start w:val="1"/>
      <w:numFmt w:val="decimal"/>
      <w:lvlText w:val="%7."/>
      <w:lvlJc w:val="left"/>
      <w:pPr>
        <w:ind w:left="3240" w:hanging="420"/>
      </w:pPr>
    </w:lvl>
    <w:lvl w:ilvl="7" w:tentative="0">
      <w:start w:val="1"/>
      <w:numFmt w:val="lowerLetter"/>
      <w:lvlText w:val="%8)"/>
      <w:lvlJc w:val="left"/>
      <w:pPr>
        <w:ind w:left="3660" w:hanging="420"/>
      </w:pPr>
    </w:lvl>
    <w:lvl w:ilvl="8" w:tentative="0">
      <w:start w:val="1"/>
      <w:numFmt w:val="lowerRoman"/>
      <w:lvlText w:val="%9."/>
      <w:lvlJc w:val="right"/>
      <w:pPr>
        <w:ind w:left="4080" w:hanging="420"/>
      </w:pPr>
    </w:lvl>
  </w:abstractNum>
  <w:abstractNum w:abstractNumId="4">
    <w:nsid w:val="704FD9C0"/>
    <w:multiLevelType w:val="singleLevel"/>
    <w:tmpl w:val="704FD9C0"/>
    <w:lvl w:ilvl="0" w:tentative="0">
      <w:start w:val="2"/>
      <w:numFmt w:val="decimal"/>
      <w:lvlText w:val="%1."/>
      <w:lvlJc w:val="left"/>
      <w:pPr>
        <w:tabs>
          <w:tab w:val="left" w:pos="312"/>
        </w:tabs>
      </w:pPr>
    </w:lvl>
  </w:abstractNum>
  <w:num w:numId="1">
    <w:abstractNumId w:val="2"/>
  </w:num>
  <w:num w:numId="2">
    <w:abstractNumId w:val="4"/>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hideSpellingErrors/>
  <w:documentProtection w:edit="readOnly" w:enforcement="1" w:cryptProviderType="rsaFull" w:cryptAlgorithmClass="hash" w:cryptAlgorithmType="typeAny" w:cryptAlgorithmSid="4" w:cryptSpinCount="0" w:hash="VO7ruN71NTMyRLoM5FvjRlggiok=" w:salt="4Szm2F2wWPVJD1M1zqPfTA=="/>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BiOTFhODhhODQ5MGE1NjQ3NjcyY2IzYTY3ZGMxNDUifQ=="/>
  </w:docVars>
  <w:rsids>
    <w:rsidRoot w:val="00AA1F45"/>
    <w:rsid w:val="0000079B"/>
    <w:rsid w:val="00006AB7"/>
    <w:rsid w:val="000126F7"/>
    <w:rsid w:val="00023C74"/>
    <w:rsid w:val="00037005"/>
    <w:rsid w:val="00037E39"/>
    <w:rsid w:val="000732BC"/>
    <w:rsid w:val="000B44D5"/>
    <w:rsid w:val="000C62A5"/>
    <w:rsid w:val="000D3765"/>
    <w:rsid w:val="000E1F11"/>
    <w:rsid w:val="000E201F"/>
    <w:rsid w:val="000E3FB5"/>
    <w:rsid w:val="000E553A"/>
    <w:rsid w:val="000F0023"/>
    <w:rsid w:val="000F16E9"/>
    <w:rsid w:val="001136B2"/>
    <w:rsid w:val="001219EC"/>
    <w:rsid w:val="001273DC"/>
    <w:rsid w:val="001559A8"/>
    <w:rsid w:val="001709F2"/>
    <w:rsid w:val="00173644"/>
    <w:rsid w:val="00175D2B"/>
    <w:rsid w:val="00176A8B"/>
    <w:rsid w:val="00197FC6"/>
    <w:rsid w:val="001B68B1"/>
    <w:rsid w:val="001B694F"/>
    <w:rsid w:val="001E1A1B"/>
    <w:rsid w:val="001E3E99"/>
    <w:rsid w:val="00207108"/>
    <w:rsid w:val="00222A91"/>
    <w:rsid w:val="00227EAC"/>
    <w:rsid w:val="00246093"/>
    <w:rsid w:val="00247B5B"/>
    <w:rsid w:val="00267DB0"/>
    <w:rsid w:val="00277A48"/>
    <w:rsid w:val="00292EFC"/>
    <w:rsid w:val="002C58D9"/>
    <w:rsid w:val="002D1006"/>
    <w:rsid w:val="00312BB2"/>
    <w:rsid w:val="003278B2"/>
    <w:rsid w:val="00336499"/>
    <w:rsid w:val="0035189D"/>
    <w:rsid w:val="003574CE"/>
    <w:rsid w:val="00357DC1"/>
    <w:rsid w:val="0037268C"/>
    <w:rsid w:val="003B5C00"/>
    <w:rsid w:val="003C272D"/>
    <w:rsid w:val="003D0F05"/>
    <w:rsid w:val="003D3214"/>
    <w:rsid w:val="003F1F08"/>
    <w:rsid w:val="003F4D89"/>
    <w:rsid w:val="00405526"/>
    <w:rsid w:val="00407726"/>
    <w:rsid w:val="004266BA"/>
    <w:rsid w:val="00442A81"/>
    <w:rsid w:val="00450223"/>
    <w:rsid w:val="0045198D"/>
    <w:rsid w:val="00461E2C"/>
    <w:rsid w:val="004668E0"/>
    <w:rsid w:val="004767DB"/>
    <w:rsid w:val="004771C4"/>
    <w:rsid w:val="004778B1"/>
    <w:rsid w:val="004A7172"/>
    <w:rsid w:val="004B245A"/>
    <w:rsid w:val="004B6F5F"/>
    <w:rsid w:val="004B7361"/>
    <w:rsid w:val="004C6359"/>
    <w:rsid w:val="004F072A"/>
    <w:rsid w:val="00536AFA"/>
    <w:rsid w:val="00564B1D"/>
    <w:rsid w:val="005857A0"/>
    <w:rsid w:val="00590F15"/>
    <w:rsid w:val="005B575F"/>
    <w:rsid w:val="005F6C45"/>
    <w:rsid w:val="0061219B"/>
    <w:rsid w:val="006125F9"/>
    <w:rsid w:val="006140F2"/>
    <w:rsid w:val="00653166"/>
    <w:rsid w:val="006542E5"/>
    <w:rsid w:val="006612AC"/>
    <w:rsid w:val="006862D6"/>
    <w:rsid w:val="00694A90"/>
    <w:rsid w:val="006B7DB2"/>
    <w:rsid w:val="006B7FE1"/>
    <w:rsid w:val="006C3B52"/>
    <w:rsid w:val="006E73E5"/>
    <w:rsid w:val="006F7070"/>
    <w:rsid w:val="00712A28"/>
    <w:rsid w:val="0071396D"/>
    <w:rsid w:val="007265D0"/>
    <w:rsid w:val="00735F6D"/>
    <w:rsid w:val="0074676E"/>
    <w:rsid w:val="00755DF0"/>
    <w:rsid w:val="007720D7"/>
    <w:rsid w:val="007730D6"/>
    <w:rsid w:val="00786A85"/>
    <w:rsid w:val="00793EAD"/>
    <w:rsid w:val="00824069"/>
    <w:rsid w:val="00834535"/>
    <w:rsid w:val="00837330"/>
    <w:rsid w:val="0085408D"/>
    <w:rsid w:val="0085788E"/>
    <w:rsid w:val="00873BD2"/>
    <w:rsid w:val="00877EF4"/>
    <w:rsid w:val="008927F4"/>
    <w:rsid w:val="008A198B"/>
    <w:rsid w:val="008A6334"/>
    <w:rsid w:val="008A64A7"/>
    <w:rsid w:val="008C353D"/>
    <w:rsid w:val="008E371C"/>
    <w:rsid w:val="008E59B6"/>
    <w:rsid w:val="008F1B08"/>
    <w:rsid w:val="00913A8D"/>
    <w:rsid w:val="00913FC0"/>
    <w:rsid w:val="00924F02"/>
    <w:rsid w:val="00933C8E"/>
    <w:rsid w:val="00957E7F"/>
    <w:rsid w:val="009606D8"/>
    <w:rsid w:val="009940E3"/>
    <w:rsid w:val="009B3AFE"/>
    <w:rsid w:val="009D03D1"/>
    <w:rsid w:val="009E5F65"/>
    <w:rsid w:val="009F04A7"/>
    <w:rsid w:val="009F7515"/>
    <w:rsid w:val="00A0733D"/>
    <w:rsid w:val="00A23097"/>
    <w:rsid w:val="00A3129F"/>
    <w:rsid w:val="00A3435A"/>
    <w:rsid w:val="00A4776A"/>
    <w:rsid w:val="00A52803"/>
    <w:rsid w:val="00A534CA"/>
    <w:rsid w:val="00A70E49"/>
    <w:rsid w:val="00A85A50"/>
    <w:rsid w:val="00A9522F"/>
    <w:rsid w:val="00AA1F45"/>
    <w:rsid w:val="00AA2559"/>
    <w:rsid w:val="00AD1F20"/>
    <w:rsid w:val="00AF0E97"/>
    <w:rsid w:val="00B038E1"/>
    <w:rsid w:val="00B15B35"/>
    <w:rsid w:val="00B51F7D"/>
    <w:rsid w:val="00B55E7C"/>
    <w:rsid w:val="00B570AA"/>
    <w:rsid w:val="00B81737"/>
    <w:rsid w:val="00B93F0A"/>
    <w:rsid w:val="00BA1A55"/>
    <w:rsid w:val="00BD0EF4"/>
    <w:rsid w:val="00BD4991"/>
    <w:rsid w:val="00BF0367"/>
    <w:rsid w:val="00C109DB"/>
    <w:rsid w:val="00C17E17"/>
    <w:rsid w:val="00C2567D"/>
    <w:rsid w:val="00C32A46"/>
    <w:rsid w:val="00C35082"/>
    <w:rsid w:val="00C65D3A"/>
    <w:rsid w:val="00C70800"/>
    <w:rsid w:val="00CA615F"/>
    <w:rsid w:val="00CD12CF"/>
    <w:rsid w:val="00CE4173"/>
    <w:rsid w:val="00D039DD"/>
    <w:rsid w:val="00D053C3"/>
    <w:rsid w:val="00D47930"/>
    <w:rsid w:val="00D55DAF"/>
    <w:rsid w:val="00D879EF"/>
    <w:rsid w:val="00DC4A88"/>
    <w:rsid w:val="00DC7908"/>
    <w:rsid w:val="00DD27EB"/>
    <w:rsid w:val="00DF0E7E"/>
    <w:rsid w:val="00DF3328"/>
    <w:rsid w:val="00E006C2"/>
    <w:rsid w:val="00E23E81"/>
    <w:rsid w:val="00E330DE"/>
    <w:rsid w:val="00E359D9"/>
    <w:rsid w:val="00E41A75"/>
    <w:rsid w:val="00E4774B"/>
    <w:rsid w:val="00E61DEC"/>
    <w:rsid w:val="00EB4589"/>
    <w:rsid w:val="00EC1D57"/>
    <w:rsid w:val="00EC47C4"/>
    <w:rsid w:val="00EC588D"/>
    <w:rsid w:val="00F00D81"/>
    <w:rsid w:val="00F02023"/>
    <w:rsid w:val="00F02E5B"/>
    <w:rsid w:val="00F13B20"/>
    <w:rsid w:val="00F156F9"/>
    <w:rsid w:val="00F2169E"/>
    <w:rsid w:val="00F276BF"/>
    <w:rsid w:val="00F316D8"/>
    <w:rsid w:val="00F34602"/>
    <w:rsid w:val="00F431B2"/>
    <w:rsid w:val="00F50A64"/>
    <w:rsid w:val="00F8381F"/>
    <w:rsid w:val="00F840EF"/>
    <w:rsid w:val="00F92C92"/>
    <w:rsid w:val="00FD09CD"/>
    <w:rsid w:val="00FD1602"/>
    <w:rsid w:val="011B6997"/>
    <w:rsid w:val="011E51DD"/>
    <w:rsid w:val="0136211A"/>
    <w:rsid w:val="015D6BAC"/>
    <w:rsid w:val="015F6189"/>
    <w:rsid w:val="016A347B"/>
    <w:rsid w:val="01BB5A85"/>
    <w:rsid w:val="01E33FBB"/>
    <w:rsid w:val="01F66079"/>
    <w:rsid w:val="02274EC8"/>
    <w:rsid w:val="022977CF"/>
    <w:rsid w:val="023A109F"/>
    <w:rsid w:val="024617F2"/>
    <w:rsid w:val="02DB38C9"/>
    <w:rsid w:val="03652C04"/>
    <w:rsid w:val="03A10CAA"/>
    <w:rsid w:val="03B53475"/>
    <w:rsid w:val="03D80B70"/>
    <w:rsid w:val="03FA5888"/>
    <w:rsid w:val="04510922"/>
    <w:rsid w:val="047A1C27"/>
    <w:rsid w:val="04A4590A"/>
    <w:rsid w:val="04A46CA4"/>
    <w:rsid w:val="04EB48D3"/>
    <w:rsid w:val="04FE4606"/>
    <w:rsid w:val="054D2E98"/>
    <w:rsid w:val="05AA3EC8"/>
    <w:rsid w:val="05AB19D6"/>
    <w:rsid w:val="05B44CC5"/>
    <w:rsid w:val="05C06DB8"/>
    <w:rsid w:val="05D610DF"/>
    <w:rsid w:val="05DC421B"/>
    <w:rsid w:val="063B2B4D"/>
    <w:rsid w:val="063D0AD7"/>
    <w:rsid w:val="0645485E"/>
    <w:rsid w:val="06530982"/>
    <w:rsid w:val="065F1B66"/>
    <w:rsid w:val="06607614"/>
    <w:rsid w:val="06641322"/>
    <w:rsid w:val="06801F2A"/>
    <w:rsid w:val="06836650"/>
    <w:rsid w:val="068C566F"/>
    <w:rsid w:val="06AB0916"/>
    <w:rsid w:val="06C158EB"/>
    <w:rsid w:val="06E33B5C"/>
    <w:rsid w:val="06F35CC1"/>
    <w:rsid w:val="071F0864"/>
    <w:rsid w:val="074873AE"/>
    <w:rsid w:val="074C30BC"/>
    <w:rsid w:val="07562E0B"/>
    <w:rsid w:val="077614EF"/>
    <w:rsid w:val="077C32A2"/>
    <w:rsid w:val="077F6CDA"/>
    <w:rsid w:val="07A52484"/>
    <w:rsid w:val="07BC7004"/>
    <w:rsid w:val="07DB29DD"/>
    <w:rsid w:val="07F4584C"/>
    <w:rsid w:val="086957C6"/>
    <w:rsid w:val="0878022B"/>
    <w:rsid w:val="08AE6343"/>
    <w:rsid w:val="08B4465F"/>
    <w:rsid w:val="08DD351E"/>
    <w:rsid w:val="08F12ABB"/>
    <w:rsid w:val="090043DE"/>
    <w:rsid w:val="09347209"/>
    <w:rsid w:val="0970184A"/>
    <w:rsid w:val="097053A7"/>
    <w:rsid w:val="09905A49"/>
    <w:rsid w:val="09A11A04"/>
    <w:rsid w:val="09CD4B57"/>
    <w:rsid w:val="0A011D5B"/>
    <w:rsid w:val="0A1400BB"/>
    <w:rsid w:val="0A2F5262"/>
    <w:rsid w:val="0A3824FF"/>
    <w:rsid w:val="0A4C6688"/>
    <w:rsid w:val="0AAD4083"/>
    <w:rsid w:val="0ACE430C"/>
    <w:rsid w:val="0ADE4E46"/>
    <w:rsid w:val="0B017679"/>
    <w:rsid w:val="0B1B1342"/>
    <w:rsid w:val="0B2E3813"/>
    <w:rsid w:val="0B3235F1"/>
    <w:rsid w:val="0B4C599F"/>
    <w:rsid w:val="0B512FB6"/>
    <w:rsid w:val="0B5E0C4F"/>
    <w:rsid w:val="0B6B051B"/>
    <w:rsid w:val="0B7E5AE4"/>
    <w:rsid w:val="0B81389B"/>
    <w:rsid w:val="0BD7795F"/>
    <w:rsid w:val="0BDC31C7"/>
    <w:rsid w:val="0BE91440"/>
    <w:rsid w:val="0C01195F"/>
    <w:rsid w:val="0C3709B1"/>
    <w:rsid w:val="0C4539BF"/>
    <w:rsid w:val="0C5E046C"/>
    <w:rsid w:val="0C852478"/>
    <w:rsid w:val="0CA710DF"/>
    <w:rsid w:val="0CC06F69"/>
    <w:rsid w:val="0CC71781"/>
    <w:rsid w:val="0CD538FE"/>
    <w:rsid w:val="0CFF0F1B"/>
    <w:rsid w:val="0D0974B4"/>
    <w:rsid w:val="0D182EFA"/>
    <w:rsid w:val="0D4F1247"/>
    <w:rsid w:val="0D787385"/>
    <w:rsid w:val="0D821B4C"/>
    <w:rsid w:val="0DA63A8D"/>
    <w:rsid w:val="0DA96C84"/>
    <w:rsid w:val="0DD272B7"/>
    <w:rsid w:val="0E15476E"/>
    <w:rsid w:val="0E29293C"/>
    <w:rsid w:val="0E3504C5"/>
    <w:rsid w:val="0E5E4367"/>
    <w:rsid w:val="0E72498F"/>
    <w:rsid w:val="0E7C659C"/>
    <w:rsid w:val="0ECE113B"/>
    <w:rsid w:val="0ED168E7"/>
    <w:rsid w:val="0ED62150"/>
    <w:rsid w:val="0ED70216"/>
    <w:rsid w:val="0ED71A24"/>
    <w:rsid w:val="0EE7610B"/>
    <w:rsid w:val="0F114F36"/>
    <w:rsid w:val="0F400ABA"/>
    <w:rsid w:val="0F4B69C3"/>
    <w:rsid w:val="0F77400C"/>
    <w:rsid w:val="0F855B6A"/>
    <w:rsid w:val="0F9C1270"/>
    <w:rsid w:val="0FAC66F6"/>
    <w:rsid w:val="0FAD16FA"/>
    <w:rsid w:val="0FCE16D6"/>
    <w:rsid w:val="0FD1141E"/>
    <w:rsid w:val="0FE34B24"/>
    <w:rsid w:val="0FE4264A"/>
    <w:rsid w:val="0FF454C3"/>
    <w:rsid w:val="1023450D"/>
    <w:rsid w:val="10321C6D"/>
    <w:rsid w:val="1032785A"/>
    <w:rsid w:val="104A5B12"/>
    <w:rsid w:val="10705A5D"/>
    <w:rsid w:val="107B2362"/>
    <w:rsid w:val="10B85090"/>
    <w:rsid w:val="10D51B29"/>
    <w:rsid w:val="10D601E5"/>
    <w:rsid w:val="10D97CD5"/>
    <w:rsid w:val="1108539C"/>
    <w:rsid w:val="111B209C"/>
    <w:rsid w:val="112F648F"/>
    <w:rsid w:val="11485961"/>
    <w:rsid w:val="114F6EFA"/>
    <w:rsid w:val="11765524"/>
    <w:rsid w:val="11836197"/>
    <w:rsid w:val="11A11E84"/>
    <w:rsid w:val="11C604BE"/>
    <w:rsid w:val="11DD37F5"/>
    <w:rsid w:val="11F33019"/>
    <w:rsid w:val="12005178"/>
    <w:rsid w:val="12376EA7"/>
    <w:rsid w:val="12771554"/>
    <w:rsid w:val="129E02B8"/>
    <w:rsid w:val="12BE59DD"/>
    <w:rsid w:val="12C01BDA"/>
    <w:rsid w:val="12F72695"/>
    <w:rsid w:val="133B6A25"/>
    <w:rsid w:val="133D1AA0"/>
    <w:rsid w:val="134E1CE9"/>
    <w:rsid w:val="13530882"/>
    <w:rsid w:val="135A5C6F"/>
    <w:rsid w:val="136B45C6"/>
    <w:rsid w:val="137D703E"/>
    <w:rsid w:val="138A52B7"/>
    <w:rsid w:val="138E124B"/>
    <w:rsid w:val="13914897"/>
    <w:rsid w:val="13A4281C"/>
    <w:rsid w:val="13AC347F"/>
    <w:rsid w:val="13B32A60"/>
    <w:rsid w:val="13BC5DB8"/>
    <w:rsid w:val="13C46A1B"/>
    <w:rsid w:val="13DC085B"/>
    <w:rsid w:val="13EB21F9"/>
    <w:rsid w:val="1424395D"/>
    <w:rsid w:val="142474B9"/>
    <w:rsid w:val="14635758"/>
    <w:rsid w:val="146E3A58"/>
    <w:rsid w:val="148F49B0"/>
    <w:rsid w:val="14A22470"/>
    <w:rsid w:val="14A970E4"/>
    <w:rsid w:val="14B06F9F"/>
    <w:rsid w:val="14BB28D1"/>
    <w:rsid w:val="14D7452C"/>
    <w:rsid w:val="15512530"/>
    <w:rsid w:val="155A22C4"/>
    <w:rsid w:val="158C2634"/>
    <w:rsid w:val="159D39C7"/>
    <w:rsid w:val="15B336A0"/>
    <w:rsid w:val="15BF393E"/>
    <w:rsid w:val="15C54CCC"/>
    <w:rsid w:val="15CD2232"/>
    <w:rsid w:val="15D36C12"/>
    <w:rsid w:val="15DF44AA"/>
    <w:rsid w:val="15F62086"/>
    <w:rsid w:val="160752E5"/>
    <w:rsid w:val="160E21CF"/>
    <w:rsid w:val="161D68B6"/>
    <w:rsid w:val="16383B80"/>
    <w:rsid w:val="163F682C"/>
    <w:rsid w:val="1651030E"/>
    <w:rsid w:val="165D3859"/>
    <w:rsid w:val="16642CCC"/>
    <w:rsid w:val="16753FFC"/>
    <w:rsid w:val="169E17A5"/>
    <w:rsid w:val="16D43419"/>
    <w:rsid w:val="16E53F04"/>
    <w:rsid w:val="16F91544"/>
    <w:rsid w:val="16F92E7F"/>
    <w:rsid w:val="170A23BA"/>
    <w:rsid w:val="176B7085"/>
    <w:rsid w:val="17822E75"/>
    <w:rsid w:val="17893ED5"/>
    <w:rsid w:val="178B1380"/>
    <w:rsid w:val="17F17FFA"/>
    <w:rsid w:val="182C4B8E"/>
    <w:rsid w:val="183879D7"/>
    <w:rsid w:val="18470AF1"/>
    <w:rsid w:val="18470E5D"/>
    <w:rsid w:val="185C1918"/>
    <w:rsid w:val="188A1F58"/>
    <w:rsid w:val="18A64941"/>
    <w:rsid w:val="18A7632B"/>
    <w:rsid w:val="18AA5110"/>
    <w:rsid w:val="18AA6A88"/>
    <w:rsid w:val="18BA03EC"/>
    <w:rsid w:val="18EB0FE3"/>
    <w:rsid w:val="18FA409F"/>
    <w:rsid w:val="18FD7A14"/>
    <w:rsid w:val="191E097B"/>
    <w:rsid w:val="19254181"/>
    <w:rsid w:val="19383771"/>
    <w:rsid w:val="19393A07"/>
    <w:rsid w:val="193957B5"/>
    <w:rsid w:val="198B7A86"/>
    <w:rsid w:val="19940109"/>
    <w:rsid w:val="19A90B8D"/>
    <w:rsid w:val="19AC242B"/>
    <w:rsid w:val="19C16AFA"/>
    <w:rsid w:val="19C16FB0"/>
    <w:rsid w:val="19E03E83"/>
    <w:rsid w:val="19FA13E8"/>
    <w:rsid w:val="1A144F38"/>
    <w:rsid w:val="1A281D25"/>
    <w:rsid w:val="1A2B77F4"/>
    <w:rsid w:val="1A642D06"/>
    <w:rsid w:val="1A716259"/>
    <w:rsid w:val="1A725422"/>
    <w:rsid w:val="1A8B2040"/>
    <w:rsid w:val="1A9010F2"/>
    <w:rsid w:val="1AC15A62"/>
    <w:rsid w:val="1ADD03C2"/>
    <w:rsid w:val="1AEE25CF"/>
    <w:rsid w:val="1B300E3A"/>
    <w:rsid w:val="1BAC10EE"/>
    <w:rsid w:val="1BC82E20"/>
    <w:rsid w:val="1C057BD0"/>
    <w:rsid w:val="1C1E234D"/>
    <w:rsid w:val="1C215462"/>
    <w:rsid w:val="1C50173C"/>
    <w:rsid w:val="1C5742E9"/>
    <w:rsid w:val="1C821930"/>
    <w:rsid w:val="1CEA00E9"/>
    <w:rsid w:val="1D0936F0"/>
    <w:rsid w:val="1D0D0ABA"/>
    <w:rsid w:val="1DFB74DD"/>
    <w:rsid w:val="1E0E6404"/>
    <w:rsid w:val="1E102504"/>
    <w:rsid w:val="1E126573"/>
    <w:rsid w:val="1E285DF8"/>
    <w:rsid w:val="1E2F6111"/>
    <w:rsid w:val="1E4C7D38"/>
    <w:rsid w:val="1E684E22"/>
    <w:rsid w:val="1E6A6411"/>
    <w:rsid w:val="1E6C77F2"/>
    <w:rsid w:val="1EA30273"/>
    <w:rsid w:val="1ECB3353"/>
    <w:rsid w:val="1ECE0411"/>
    <w:rsid w:val="1EE066D3"/>
    <w:rsid w:val="1EE62434"/>
    <w:rsid w:val="1EF04B68"/>
    <w:rsid w:val="1EF34658"/>
    <w:rsid w:val="1EF7740A"/>
    <w:rsid w:val="1F0C1AC3"/>
    <w:rsid w:val="1F0D31E5"/>
    <w:rsid w:val="1F12421B"/>
    <w:rsid w:val="1F2760B0"/>
    <w:rsid w:val="1F300485"/>
    <w:rsid w:val="1F7E0368"/>
    <w:rsid w:val="1F85094C"/>
    <w:rsid w:val="1F8A2263"/>
    <w:rsid w:val="1F8A4FBC"/>
    <w:rsid w:val="1FC41B50"/>
    <w:rsid w:val="1FD2426D"/>
    <w:rsid w:val="1FF14E69"/>
    <w:rsid w:val="1FF42535"/>
    <w:rsid w:val="1FF61060"/>
    <w:rsid w:val="202C7E22"/>
    <w:rsid w:val="206711FA"/>
    <w:rsid w:val="208947D9"/>
    <w:rsid w:val="20944195"/>
    <w:rsid w:val="209E23A2"/>
    <w:rsid w:val="20A35320"/>
    <w:rsid w:val="20AE01DC"/>
    <w:rsid w:val="20C01A19"/>
    <w:rsid w:val="20CE712B"/>
    <w:rsid w:val="20D455FD"/>
    <w:rsid w:val="20FE449A"/>
    <w:rsid w:val="2110329F"/>
    <w:rsid w:val="217F608F"/>
    <w:rsid w:val="21833E00"/>
    <w:rsid w:val="21D70B8A"/>
    <w:rsid w:val="21E8624E"/>
    <w:rsid w:val="21EA6168"/>
    <w:rsid w:val="21ED35E0"/>
    <w:rsid w:val="21F7683F"/>
    <w:rsid w:val="21FA7AAB"/>
    <w:rsid w:val="21FB0519"/>
    <w:rsid w:val="22126097"/>
    <w:rsid w:val="22193859"/>
    <w:rsid w:val="222455A2"/>
    <w:rsid w:val="22326703"/>
    <w:rsid w:val="223B07F0"/>
    <w:rsid w:val="22741CF2"/>
    <w:rsid w:val="22A56EE8"/>
    <w:rsid w:val="22B45EAC"/>
    <w:rsid w:val="22B71196"/>
    <w:rsid w:val="22CC769A"/>
    <w:rsid w:val="22D116D9"/>
    <w:rsid w:val="22E5075C"/>
    <w:rsid w:val="22FA2721"/>
    <w:rsid w:val="23037099"/>
    <w:rsid w:val="230B6675"/>
    <w:rsid w:val="23100925"/>
    <w:rsid w:val="231177A3"/>
    <w:rsid w:val="232D78D7"/>
    <w:rsid w:val="23582CDC"/>
    <w:rsid w:val="23DF164F"/>
    <w:rsid w:val="23FA0237"/>
    <w:rsid w:val="242341FB"/>
    <w:rsid w:val="24681644"/>
    <w:rsid w:val="247022A7"/>
    <w:rsid w:val="248F097F"/>
    <w:rsid w:val="24BD3058"/>
    <w:rsid w:val="24E22466"/>
    <w:rsid w:val="24E66C82"/>
    <w:rsid w:val="24ED2761"/>
    <w:rsid w:val="25070E5D"/>
    <w:rsid w:val="251925EC"/>
    <w:rsid w:val="251C2DA4"/>
    <w:rsid w:val="25237319"/>
    <w:rsid w:val="253432D4"/>
    <w:rsid w:val="253F23A5"/>
    <w:rsid w:val="25495178"/>
    <w:rsid w:val="257938CF"/>
    <w:rsid w:val="25B1688C"/>
    <w:rsid w:val="25C12DBA"/>
    <w:rsid w:val="263F6603"/>
    <w:rsid w:val="26551DA8"/>
    <w:rsid w:val="267155B1"/>
    <w:rsid w:val="267D177D"/>
    <w:rsid w:val="268D2FF6"/>
    <w:rsid w:val="268D3CB1"/>
    <w:rsid w:val="269504D1"/>
    <w:rsid w:val="26977FBF"/>
    <w:rsid w:val="26D62895"/>
    <w:rsid w:val="26E92EA0"/>
    <w:rsid w:val="26F43946"/>
    <w:rsid w:val="277A3B68"/>
    <w:rsid w:val="278612F3"/>
    <w:rsid w:val="27A91D58"/>
    <w:rsid w:val="27B8643F"/>
    <w:rsid w:val="27BA3C0F"/>
    <w:rsid w:val="27CB6172"/>
    <w:rsid w:val="27DF2945"/>
    <w:rsid w:val="281E05DA"/>
    <w:rsid w:val="282B25D6"/>
    <w:rsid w:val="285919D0"/>
    <w:rsid w:val="285B3772"/>
    <w:rsid w:val="286F7D43"/>
    <w:rsid w:val="287344C1"/>
    <w:rsid w:val="28957B57"/>
    <w:rsid w:val="28A271D5"/>
    <w:rsid w:val="28D925B5"/>
    <w:rsid w:val="28FB65E3"/>
    <w:rsid w:val="28FC235B"/>
    <w:rsid w:val="29061B05"/>
    <w:rsid w:val="293A2021"/>
    <w:rsid w:val="294F69A2"/>
    <w:rsid w:val="296B27A1"/>
    <w:rsid w:val="299E36C0"/>
    <w:rsid w:val="29DC183A"/>
    <w:rsid w:val="29E400FF"/>
    <w:rsid w:val="2A2B429D"/>
    <w:rsid w:val="2A401E24"/>
    <w:rsid w:val="2A693A20"/>
    <w:rsid w:val="2A834AE2"/>
    <w:rsid w:val="2A8F4B37"/>
    <w:rsid w:val="2AAE58D7"/>
    <w:rsid w:val="2B2350CE"/>
    <w:rsid w:val="2B2A1401"/>
    <w:rsid w:val="2B30421D"/>
    <w:rsid w:val="2B3F6C0B"/>
    <w:rsid w:val="2B525B82"/>
    <w:rsid w:val="2B6F6900"/>
    <w:rsid w:val="2B9D7E17"/>
    <w:rsid w:val="2BA67A11"/>
    <w:rsid w:val="2BAD5B8F"/>
    <w:rsid w:val="2BCE7FDF"/>
    <w:rsid w:val="2BFE3CB2"/>
    <w:rsid w:val="2BFE6C98"/>
    <w:rsid w:val="2C057779"/>
    <w:rsid w:val="2C131E96"/>
    <w:rsid w:val="2C167BD8"/>
    <w:rsid w:val="2C3342E6"/>
    <w:rsid w:val="2C3F0EDD"/>
    <w:rsid w:val="2C4266A8"/>
    <w:rsid w:val="2C477E74"/>
    <w:rsid w:val="2C792640"/>
    <w:rsid w:val="2C905F9C"/>
    <w:rsid w:val="2C9A25B7"/>
    <w:rsid w:val="2CD56E5B"/>
    <w:rsid w:val="2CF75313"/>
    <w:rsid w:val="2D016192"/>
    <w:rsid w:val="2D26209C"/>
    <w:rsid w:val="2D371CF2"/>
    <w:rsid w:val="2D3D29BB"/>
    <w:rsid w:val="2D426ED6"/>
    <w:rsid w:val="2D860BA7"/>
    <w:rsid w:val="2D882A47"/>
    <w:rsid w:val="2D964B2C"/>
    <w:rsid w:val="2DB5581A"/>
    <w:rsid w:val="2DD65871"/>
    <w:rsid w:val="2E3A7BAD"/>
    <w:rsid w:val="2E3D144C"/>
    <w:rsid w:val="2E584983"/>
    <w:rsid w:val="2E750BE6"/>
    <w:rsid w:val="2EC446A2"/>
    <w:rsid w:val="2F307202"/>
    <w:rsid w:val="2F850B45"/>
    <w:rsid w:val="2F9C5AEE"/>
    <w:rsid w:val="2FA86D99"/>
    <w:rsid w:val="2FB75004"/>
    <w:rsid w:val="2FEA71F6"/>
    <w:rsid w:val="30182170"/>
    <w:rsid w:val="302A1EA4"/>
    <w:rsid w:val="311A1F18"/>
    <w:rsid w:val="311C359A"/>
    <w:rsid w:val="31296BD8"/>
    <w:rsid w:val="31320090"/>
    <w:rsid w:val="313844C5"/>
    <w:rsid w:val="315D6D36"/>
    <w:rsid w:val="316311C9"/>
    <w:rsid w:val="31791D7E"/>
    <w:rsid w:val="31927F6E"/>
    <w:rsid w:val="31D125D7"/>
    <w:rsid w:val="31E247E4"/>
    <w:rsid w:val="31F35DD7"/>
    <w:rsid w:val="32290207"/>
    <w:rsid w:val="32451FDE"/>
    <w:rsid w:val="32494957"/>
    <w:rsid w:val="32747406"/>
    <w:rsid w:val="32A63483"/>
    <w:rsid w:val="32B53CA7"/>
    <w:rsid w:val="32B927B3"/>
    <w:rsid w:val="32C20171"/>
    <w:rsid w:val="33333CAF"/>
    <w:rsid w:val="33482D6D"/>
    <w:rsid w:val="334E4FA5"/>
    <w:rsid w:val="33532B9A"/>
    <w:rsid w:val="33552D94"/>
    <w:rsid w:val="33553C32"/>
    <w:rsid w:val="336743E3"/>
    <w:rsid w:val="336C0273"/>
    <w:rsid w:val="337D69FA"/>
    <w:rsid w:val="33922C06"/>
    <w:rsid w:val="33953053"/>
    <w:rsid w:val="33C543BD"/>
    <w:rsid w:val="33C817B8"/>
    <w:rsid w:val="33D9016D"/>
    <w:rsid w:val="341E29A6"/>
    <w:rsid w:val="342455D9"/>
    <w:rsid w:val="343E7FC6"/>
    <w:rsid w:val="34657B39"/>
    <w:rsid w:val="34781430"/>
    <w:rsid w:val="34AF2977"/>
    <w:rsid w:val="34C41689"/>
    <w:rsid w:val="34D771EE"/>
    <w:rsid w:val="34EB4B5A"/>
    <w:rsid w:val="34F12B49"/>
    <w:rsid w:val="351B1DBB"/>
    <w:rsid w:val="3542559A"/>
    <w:rsid w:val="355F29AC"/>
    <w:rsid w:val="3576225A"/>
    <w:rsid w:val="359211D1"/>
    <w:rsid w:val="3592288C"/>
    <w:rsid w:val="35BE7316"/>
    <w:rsid w:val="35D87A6B"/>
    <w:rsid w:val="35E55651"/>
    <w:rsid w:val="35F05BDE"/>
    <w:rsid w:val="35F712D4"/>
    <w:rsid w:val="360C0751"/>
    <w:rsid w:val="36323860"/>
    <w:rsid w:val="363771A3"/>
    <w:rsid w:val="364479F5"/>
    <w:rsid w:val="364A2958"/>
    <w:rsid w:val="365D3F21"/>
    <w:rsid w:val="366F6862"/>
    <w:rsid w:val="368D0EDC"/>
    <w:rsid w:val="36900369"/>
    <w:rsid w:val="36C17B4C"/>
    <w:rsid w:val="36CC15BF"/>
    <w:rsid w:val="36DB3EF8"/>
    <w:rsid w:val="36E47242"/>
    <w:rsid w:val="36EB56E8"/>
    <w:rsid w:val="36EB7207"/>
    <w:rsid w:val="36F51EFD"/>
    <w:rsid w:val="37114931"/>
    <w:rsid w:val="372A4692"/>
    <w:rsid w:val="37386C54"/>
    <w:rsid w:val="37421881"/>
    <w:rsid w:val="37647A49"/>
    <w:rsid w:val="37653AA5"/>
    <w:rsid w:val="37802DC5"/>
    <w:rsid w:val="3781684D"/>
    <w:rsid w:val="37A40BF2"/>
    <w:rsid w:val="37BC7885"/>
    <w:rsid w:val="37BF055E"/>
    <w:rsid w:val="37D01DC0"/>
    <w:rsid w:val="380A05F1"/>
    <w:rsid w:val="380F20AB"/>
    <w:rsid w:val="38393EC7"/>
    <w:rsid w:val="38531C3E"/>
    <w:rsid w:val="385500EE"/>
    <w:rsid w:val="38571C26"/>
    <w:rsid w:val="38623174"/>
    <w:rsid w:val="387C0DC3"/>
    <w:rsid w:val="38810921"/>
    <w:rsid w:val="38C021BE"/>
    <w:rsid w:val="38C40B82"/>
    <w:rsid w:val="392B0B3F"/>
    <w:rsid w:val="392F71AA"/>
    <w:rsid w:val="3946502A"/>
    <w:rsid w:val="394F767F"/>
    <w:rsid w:val="398F4E24"/>
    <w:rsid w:val="39981C2C"/>
    <w:rsid w:val="39B1568D"/>
    <w:rsid w:val="39E46F19"/>
    <w:rsid w:val="39E74FFE"/>
    <w:rsid w:val="3A0A0D7C"/>
    <w:rsid w:val="3A3556CD"/>
    <w:rsid w:val="3A4A051C"/>
    <w:rsid w:val="3A4F3611"/>
    <w:rsid w:val="3A5169AB"/>
    <w:rsid w:val="3A60099C"/>
    <w:rsid w:val="3AAD7959"/>
    <w:rsid w:val="3ABE3914"/>
    <w:rsid w:val="3AD153F6"/>
    <w:rsid w:val="3AD84A09"/>
    <w:rsid w:val="3AEC68DA"/>
    <w:rsid w:val="3B0E03F8"/>
    <w:rsid w:val="3B2B257B"/>
    <w:rsid w:val="3B3F3852"/>
    <w:rsid w:val="3B443026"/>
    <w:rsid w:val="3B547DD5"/>
    <w:rsid w:val="3B5D137F"/>
    <w:rsid w:val="3B710987"/>
    <w:rsid w:val="3B7A36EA"/>
    <w:rsid w:val="3B83077B"/>
    <w:rsid w:val="3B8A7538"/>
    <w:rsid w:val="3BB66332"/>
    <w:rsid w:val="3BBA2993"/>
    <w:rsid w:val="3C37572C"/>
    <w:rsid w:val="3C3E2A63"/>
    <w:rsid w:val="3C6E37A5"/>
    <w:rsid w:val="3C7C1C1C"/>
    <w:rsid w:val="3C7D2868"/>
    <w:rsid w:val="3C916B22"/>
    <w:rsid w:val="3CA04029"/>
    <w:rsid w:val="3CAB1C76"/>
    <w:rsid w:val="3CC4478F"/>
    <w:rsid w:val="3CD72A6B"/>
    <w:rsid w:val="3CFD3345"/>
    <w:rsid w:val="3D064F27"/>
    <w:rsid w:val="3D4B5E44"/>
    <w:rsid w:val="3D7309E6"/>
    <w:rsid w:val="3D933DD4"/>
    <w:rsid w:val="3D9372DA"/>
    <w:rsid w:val="3D9646D4"/>
    <w:rsid w:val="3D9D3CB5"/>
    <w:rsid w:val="3DDC2A2F"/>
    <w:rsid w:val="3E01231E"/>
    <w:rsid w:val="3E0F1E88"/>
    <w:rsid w:val="3E104487"/>
    <w:rsid w:val="3E4D1237"/>
    <w:rsid w:val="3E6B4118"/>
    <w:rsid w:val="3E7273E2"/>
    <w:rsid w:val="3E9E206D"/>
    <w:rsid w:val="3ED80B38"/>
    <w:rsid w:val="3F105F7E"/>
    <w:rsid w:val="3F2521B4"/>
    <w:rsid w:val="3F2F15A4"/>
    <w:rsid w:val="3F3D4044"/>
    <w:rsid w:val="3F5720A2"/>
    <w:rsid w:val="3F5C7F8B"/>
    <w:rsid w:val="3F7B4075"/>
    <w:rsid w:val="3F886975"/>
    <w:rsid w:val="3F89659D"/>
    <w:rsid w:val="3F9B4375"/>
    <w:rsid w:val="3FB6149C"/>
    <w:rsid w:val="3FC62CF6"/>
    <w:rsid w:val="3FCF2120"/>
    <w:rsid w:val="3FFB2F15"/>
    <w:rsid w:val="400349DC"/>
    <w:rsid w:val="40041DC9"/>
    <w:rsid w:val="40154189"/>
    <w:rsid w:val="401A5A97"/>
    <w:rsid w:val="4036334F"/>
    <w:rsid w:val="40371D58"/>
    <w:rsid w:val="406E1939"/>
    <w:rsid w:val="40A4492C"/>
    <w:rsid w:val="40AD77F6"/>
    <w:rsid w:val="40B27A77"/>
    <w:rsid w:val="40ED0AAF"/>
    <w:rsid w:val="411E6EBB"/>
    <w:rsid w:val="41283EAE"/>
    <w:rsid w:val="412E476F"/>
    <w:rsid w:val="41561856"/>
    <w:rsid w:val="416B05BC"/>
    <w:rsid w:val="417A7AC5"/>
    <w:rsid w:val="41857CF6"/>
    <w:rsid w:val="419474EA"/>
    <w:rsid w:val="419D7350"/>
    <w:rsid w:val="41C007F5"/>
    <w:rsid w:val="41CC6E1B"/>
    <w:rsid w:val="41FF5DFA"/>
    <w:rsid w:val="422E137F"/>
    <w:rsid w:val="422E42F7"/>
    <w:rsid w:val="42350860"/>
    <w:rsid w:val="423D53C5"/>
    <w:rsid w:val="424211B6"/>
    <w:rsid w:val="424C5CAA"/>
    <w:rsid w:val="42664FBD"/>
    <w:rsid w:val="426D01E4"/>
    <w:rsid w:val="42884C41"/>
    <w:rsid w:val="42A6667D"/>
    <w:rsid w:val="42A927C0"/>
    <w:rsid w:val="42AB259C"/>
    <w:rsid w:val="42BF131E"/>
    <w:rsid w:val="42F63821"/>
    <w:rsid w:val="42FF107D"/>
    <w:rsid w:val="43265AAE"/>
    <w:rsid w:val="433724B6"/>
    <w:rsid w:val="435B55A5"/>
    <w:rsid w:val="43671945"/>
    <w:rsid w:val="436821E9"/>
    <w:rsid w:val="43761230"/>
    <w:rsid w:val="444035EC"/>
    <w:rsid w:val="44B527CD"/>
    <w:rsid w:val="44FD42BC"/>
    <w:rsid w:val="45091C30"/>
    <w:rsid w:val="45445596"/>
    <w:rsid w:val="45583FE5"/>
    <w:rsid w:val="45B25FCA"/>
    <w:rsid w:val="45C673B4"/>
    <w:rsid w:val="45E20849"/>
    <w:rsid w:val="45E46629"/>
    <w:rsid w:val="45F24677"/>
    <w:rsid w:val="45F60406"/>
    <w:rsid w:val="460D1DBD"/>
    <w:rsid w:val="46151CC1"/>
    <w:rsid w:val="46180C50"/>
    <w:rsid w:val="462556CE"/>
    <w:rsid w:val="463E71B3"/>
    <w:rsid w:val="467F1EF6"/>
    <w:rsid w:val="468B4FF2"/>
    <w:rsid w:val="468E055B"/>
    <w:rsid w:val="46AB7443"/>
    <w:rsid w:val="46BA58D8"/>
    <w:rsid w:val="46CB0F33"/>
    <w:rsid w:val="46D97337"/>
    <w:rsid w:val="46E93AC7"/>
    <w:rsid w:val="46F26E20"/>
    <w:rsid w:val="46FA2178"/>
    <w:rsid w:val="4704496B"/>
    <w:rsid w:val="474D702E"/>
    <w:rsid w:val="4789433A"/>
    <w:rsid w:val="479003E6"/>
    <w:rsid w:val="47A12F75"/>
    <w:rsid w:val="47A522A0"/>
    <w:rsid w:val="47E744AA"/>
    <w:rsid w:val="480321E6"/>
    <w:rsid w:val="48174664"/>
    <w:rsid w:val="484D3E77"/>
    <w:rsid w:val="48B16B56"/>
    <w:rsid w:val="49090450"/>
    <w:rsid w:val="49241B32"/>
    <w:rsid w:val="492D2689"/>
    <w:rsid w:val="49311153"/>
    <w:rsid w:val="49BC1D4D"/>
    <w:rsid w:val="49C12AD9"/>
    <w:rsid w:val="4A4554B8"/>
    <w:rsid w:val="4A547DF1"/>
    <w:rsid w:val="4A5778B2"/>
    <w:rsid w:val="4A770FB0"/>
    <w:rsid w:val="4AA13284"/>
    <w:rsid w:val="4AB16FF2"/>
    <w:rsid w:val="4AC94CD8"/>
    <w:rsid w:val="4AD027BF"/>
    <w:rsid w:val="4AE12C37"/>
    <w:rsid w:val="4AED03E5"/>
    <w:rsid w:val="4AFE5320"/>
    <w:rsid w:val="4B042305"/>
    <w:rsid w:val="4B6202EC"/>
    <w:rsid w:val="4B814C16"/>
    <w:rsid w:val="4B8360DE"/>
    <w:rsid w:val="4B882A28"/>
    <w:rsid w:val="4B8F03F7"/>
    <w:rsid w:val="4BAE52DF"/>
    <w:rsid w:val="4BE870A5"/>
    <w:rsid w:val="4C101AF6"/>
    <w:rsid w:val="4C3517C6"/>
    <w:rsid w:val="4C5805FE"/>
    <w:rsid w:val="4C601C96"/>
    <w:rsid w:val="4C8147A2"/>
    <w:rsid w:val="4C91481E"/>
    <w:rsid w:val="4C96024D"/>
    <w:rsid w:val="4CA35125"/>
    <w:rsid w:val="4CA6112F"/>
    <w:rsid w:val="4CDF14D0"/>
    <w:rsid w:val="4CF5161D"/>
    <w:rsid w:val="4CFE5DF2"/>
    <w:rsid w:val="4D0C5871"/>
    <w:rsid w:val="4D297313"/>
    <w:rsid w:val="4D2B6780"/>
    <w:rsid w:val="4D330192"/>
    <w:rsid w:val="4D525C70"/>
    <w:rsid w:val="4D52686A"/>
    <w:rsid w:val="4D5F4AE3"/>
    <w:rsid w:val="4D64659D"/>
    <w:rsid w:val="4D700A9E"/>
    <w:rsid w:val="4D720CBA"/>
    <w:rsid w:val="4D8078CE"/>
    <w:rsid w:val="4D875DE8"/>
    <w:rsid w:val="4D883063"/>
    <w:rsid w:val="4DA1334D"/>
    <w:rsid w:val="4DA92202"/>
    <w:rsid w:val="4DD61404"/>
    <w:rsid w:val="4DFA480C"/>
    <w:rsid w:val="4E2528C4"/>
    <w:rsid w:val="4E2D2A51"/>
    <w:rsid w:val="4E4F3462"/>
    <w:rsid w:val="4E61736A"/>
    <w:rsid w:val="4E6F6678"/>
    <w:rsid w:val="4E7C16C5"/>
    <w:rsid w:val="4E896B59"/>
    <w:rsid w:val="4E900E25"/>
    <w:rsid w:val="4EB726FD"/>
    <w:rsid w:val="4EC70B92"/>
    <w:rsid w:val="4EDD3498"/>
    <w:rsid w:val="4EEE36A2"/>
    <w:rsid w:val="4F255F02"/>
    <w:rsid w:val="4F3C0A07"/>
    <w:rsid w:val="4F460D73"/>
    <w:rsid w:val="4F472151"/>
    <w:rsid w:val="4F4977F9"/>
    <w:rsid w:val="4F6665D9"/>
    <w:rsid w:val="4F6952B7"/>
    <w:rsid w:val="4F6F4954"/>
    <w:rsid w:val="4F806F93"/>
    <w:rsid w:val="4FD04F96"/>
    <w:rsid w:val="501E782F"/>
    <w:rsid w:val="50267B3A"/>
    <w:rsid w:val="504B099F"/>
    <w:rsid w:val="505C40E4"/>
    <w:rsid w:val="507408A5"/>
    <w:rsid w:val="5077108F"/>
    <w:rsid w:val="509F0570"/>
    <w:rsid w:val="50B45146"/>
    <w:rsid w:val="50CC52CC"/>
    <w:rsid w:val="50DC644B"/>
    <w:rsid w:val="5100038B"/>
    <w:rsid w:val="513311CB"/>
    <w:rsid w:val="514A5AAA"/>
    <w:rsid w:val="514C537E"/>
    <w:rsid w:val="516052CE"/>
    <w:rsid w:val="51622D02"/>
    <w:rsid w:val="516C329E"/>
    <w:rsid w:val="517259F5"/>
    <w:rsid w:val="517D1054"/>
    <w:rsid w:val="51C07B1A"/>
    <w:rsid w:val="51DD4496"/>
    <w:rsid w:val="52021EE1"/>
    <w:rsid w:val="52412A09"/>
    <w:rsid w:val="52482164"/>
    <w:rsid w:val="52566241"/>
    <w:rsid w:val="52903990"/>
    <w:rsid w:val="52B50A93"/>
    <w:rsid w:val="52BD5F36"/>
    <w:rsid w:val="52C378C2"/>
    <w:rsid w:val="52EC70CC"/>
    <w:rsid w:val="52ED2B91"/>
    <w:rsid w:val="52EF4B5B"/>
    <w:rsid w:val="52FD636E"/>
    <w:rsid w:val="5311062D"/>
    <w:rsid w:val="5340253A"/>
    <w:rsid w:val="535B2548"/>
    <w:rsid w:val="53682217"/>
    <w:rsid w:val="538E6122"/>
    <w:rsid w:val="539845AA"/>
    <w:rsid w:val="53C12435"/>
    <w:rsid w:val="53EF5DA2"/>
    <w:rsid w:val="54083AFC"/>
    <w:rsid w:val="540957A8"/>
    <w:rsid w:val="5415414D"/>
    <w:rsid w:val="541D74A6"/>
    <w:rsid w:val="541F4FCC"/>
    <w:rsid w:val="54261A12"/>
    <w:rsid w:val="54267F9B"/>
    <w:rsid w:val="54435EC0"/>
    <w:rsid w:val="54515FCC"/>
    <w:rsid w:val="54520EFE"/>
    <w:rsid w:val="54603722"/>
    <w:rsid w:val="547E5F48"/>
    <w:rsid w:val="548E0DEC"/>
    <w:rsid w:val="548E263D"/>
    <w:rsid w:val="54C374D3"/>
    <w:rsid w:val="54C55B73"/>
    <w:rsid w:val="54D1276A"/>
    <w:rsid w:val="54D47B64"/>
    <w:rsid w:val="54DF1C67"/>
    <w:rsid w:val="55182083"/>
    <w:rsid w:val="5524349F"/>
    <w:rsid w:val="55676C2B"/>
    <w:rsid w:val="55727216"/>
    <w:rsid w:val="559B68D4"/>
    <w:rsid w:val="55A03FDE"/>
    <w:rsid w:val="55B00B6F"/>
    <w:rsid w:val="55BD5390"/>
    <w:rsid w:val="55CD6266"/>
    <w:rsid w:val="55D94803"/>
    <w:rsid w:val="55F93D86"/>
    <w:rsid w:val="55F97DD2"/>
    <w:rsid w:val="5609445F"/>
    <w:rsid w:val="562F17F5"/>
    <w:rsid w:val="5633461F"/>
    <w:rsid w:val="56344AE8"/>
    <w:rsid w:val="5638751E"/>
    <w:rsid w:val="56643EEF"/>
    <w:rsid w:val="566E2B23"/>
    <w:rsid w:val="56761EB9"/>
    <w:rsid w:val="569B2FA0"/>
    <w:rsid w:val="56D07C8F"/>
    <w:rsid w:val="56DE116E"/>
    <w:rsid w:val="56EF4990"/>
    <w:rsid w:val="573F13B7"/>
    <w:rsid w:val="575136EE"/>
    <w:rsid w:val="5755438D"/>
    <w:rsid w:val="57572CCF"/>
    <w:rsid w:val="57677586"/>
    <w:rsid w:val="5790738F"/>
    <w:rsid w:val="57AF2B0B"/>
    <w:rsid w:val="57B81206"/>
    <w:rsid w:val="57C745B1"/>
    <w:rsid w:val="57C956CF"/>
    <w:rsid w:val="57E45887"/>
    <w:rsid w:val="57EB499D"/>
    <w:rsid w:val="57EB73A1"/>
    <w:rsid w:val="57ED161B"/>
    <w:rsid w:val="57F4051E"/>
    <w:rsid w:val="58070251"/>
    <w:rsid w:val="585D2BA2"/>
    <w:rsid w:val="586F7C75"/>
    <w:rsid w:val="589A2E73"/>
    <w:rsid w:val="589C5706"/>
    <w:rsid w:val="58B303D9"/>
    <w:rsid w:val="58EB68DA"/>
    <w:rsid w:val="58EF561D"/>
    <w:rsid w:val="590F5E01"/>
    <w:rsid w:val="59103135"/>
    <w:rsid w:val="597321ED"/>
    <w:rsid w:val="599570DE"/>
    <w:rsid w:val="59F21DCF"/>
    <w:rsid w:val="5A201A9E"/>
    <w:rsid w:val="5A276988"/>
    <w:rsid w:val="5A2C3F9F"/>
    <w:rsid w:val="5A48317F"/>
    <w:rsid w:val="5A647BDD"/>
    <w:rsid w:val="5AA1534E"/>
    <w:rsid w:val="5AC86513"/>
    <w:rsid w:val="5AE90D94"/>
    <w:rsid w:val="5B1A7417"/>
    <w:rsid w:val="5B6D2D12"/>
    <w:rsid w:val="5B817A37"/>
    <w:rsid w:val="5B9B13DC"/>
    <w:rsid w:val="5BD60666"/>
    <w:rsid w:val="5BDA44F9"/>
    <w:rsid w:val="5C076A71"/>
    <w:rsid w:val="5C2C297C"/>
    <w:rsid w:val="5C5F2305"/>
    <w:rsid w:val="5C7638CA"/>
    <w:rsid w:val="5C981DBF"/>
    <w:rsid w:val="5C9C340F"/>
    <w:rsid w:val="5C9E6468"/>
    <w:rsid w:val="5CC71F9C"/>
    <w:rsid w:val="5CE62B2B"/>
    <w:rsid w:val="5D044145"/>
    <w:rsid w:val="5D11255E"/>
    <w:rsid w:val="5D114572"/>
    <w:rsid w:val="5D1A0A26"/>
    <w:rsid w:val="5D311EF2"/>
    <w:rsid w:val="5D325D70"/>
    <w:rsid w:val="5D501283"/>
    <w:rsid w:val="5D616655"/>
    <w:rsid w:val="5D701A3C"/>
    <w:rsid w:val="5D714EE9"/>
    <w:rsid w:val="5D7A0BA9"/>
    <w:rsid w:val="5D7E5BC5"/>
    <w:rsid w:val="5D9C7014"/>
    <w:rsid w:val="5DA56542"/>
    <w:rsid w:val="5DAF0F95"/>
    <w:rsid w:val="5DB73626"/>
    <w:rsid w:val="5DB91E0B"/>
    <w:rsid w:val="5DC25A50"/>
    <w:rsid w:val="5E24654F"/>
    <w:rsid w:val="5E5166CA"/>
    <w:rsid w:val="5E7303EE"/>
    <w:rsid w:val="5E757991"/>
    <w:rsid w:val="5E895E64"/>
    <w:rsid w:val="5EA54320"/>
    <w:rsid w:val="5EA66A16"/>
    <w:rsid w:val="5EAF427E"/>
    <w:rsid w:val="5EC24ED2"/>
    <w:rsid w:val="5EC549C2"/>
    <w:rsid w:val="5EC64E8F"/>
    <w:rsid w:val="5ECD281A"/>
    <w:rsid w:val="5EDF66D8"/>
    <w:rsid w:val="5EE7342D"/>
    <w:rsid w:val="5EE95F27"/>
    <w:rsid w:val="5EF809FA"/>
    <w:rsid w:val="5F200B07"/>
    <w:rsid w:val="5F3951C3"/>
    <w:rsid w:val="5F8B1768"/>
    <w:rsid w:val="5FAF0DB4"/>
    <w:rsid w:val="5FD73244"/>
    <w:rsid w:val="5FF732A1"/>
    <w:rsid w:val="600B024A"/>
    <w:rsid w:val="6011550A"/>
    <w:rsid w:val="60381A6D"/>
    <w:rsid w:val="60422077"/>
    <w:rsid w:val="606E758E"/>
    <w:rsid w:val="6074044E"/>
    <w:rsid w:val="607641C6"/>
    <w:rsid w:val="608E35F6"/>
    <w:rsid w:val="60C05441"/>
    <w:rsid w:val="60E255BF"/>
    <w:rsid w:val="60E25980"/>
    <w:rsid w:val="61041C89"/>
    <w:rsid w:val="611A0CDF"/>
    <w:rsid w:val="612919CA"/>
    <w:rsid w:val="614442C4"/>
    <w:rsid w:val="614869E2"/>
    <w:rsid w:val="61534507"/>
    <w:rsid w:val="615D7134"/>
    <w:rsid w:val="61774374"/>
    <w:rsid w:val="61B33653"/>
    <w:rsid w:val="61F53810"/>
    <w:rsid w:val="6220263B"/>
    <w:rsid w:val="62283153"/>
    <w:rsid w:val="624A5CB4"/>
    <w:rsid w:val="62556334"/>
    <w:rsid w:val="62853336"/>
    <w:rsid w:val="6289067C"/>
    <w:rsid w:val="62A07F3E"/>
    <w:rsid w:val="62C85712"/>
    <w:rsid w:val="62CC27C3"/>
    <w:rsid w:val="62CE02E9"/>
    <w:rsid w:val="62D241A4"/>
    <w:rsid w:val="62DD677E"/>
    <w:rsid w:val="62E3618C"/>
    <w:rsid w:val="62F37D50"/>
    <w:rsid w:val="63076D84"/>
    <w:rsid w:val="6308647F"/>
    <w:rsid w:val="632C34D6"/>
    <w:rsid w:val="634E27DD"/>
    <w:rsid w:val="63585E05"/>
    <w:rsid w:val="637871C9"/>
    <w:rsid w:val="6382333D"/>
    <w:rsid w:val="63DC71B3"/>
    <w:rsid w:val="6417181C"/>
    <w:rsid w:val="642A73AB"/>
    <w:rsid w:val="644F0FB6"/>
    <w:rsid w:val="646D108D"/>
    <w:rsid w:val="646E7A48"/>
    <w:rsid w:val="648275DD"/>
    <w:rsid w:val="648556EE"/>
    <w:rsid w:val="64872839"/>
    <w:rsid w:val="64970BAF"/>
    <w:rsid w:val="64B7054F"/>
    <w:rsid w:val="64C44C16"/>
    <w:rsid w:val="64CD45D0"/>
    <w:rsid w:val="64CE2822"/>
    <w:rsid w:val="64D65603"/>
    <w:rsid w:val="64DD4813"/>
    <w:rsid w:val="64EC50EB"/>
    <w:rsid w:val="64F6539B"/>
    <w:rsid w:val="6510137B"/>
    <w:rsid w:val="651E4D23"/>
    <w:rsid w:val="65405808"/>
    <w:rsid w:val="656C5B97"/>
    <w:rsid w:val="65764C0B"/>
    <w:rsid w:val="657C227E"/>
    <w:rsid w:val="65801B6E"/>
    <w:rsid w:val="65826BA0"/>
    <w:rsid w:val="65A05841"/>
    <w:rsid w:val="65A215B9"/>
    <w:rsid w:val="65A60F32"/>
    <w:rsid w:val="65AF0FC6"/>
    <w:rsid w:val="65BC4117"/>
    <w:rsid w:val="662E109F"/>
    <w:rsid w:val="666D7E19"/>
    <w:rsid w:val="66742F55"/>
    <w:rsid w:val="66763171"/>
    <w:rsid w:val="66855B23"/>
    <w:rsid w:val="66AC49D3"/>
    <w:rsid w:val="66AC7209"/>
    <w:rsid w:val="66BA3EC8"/>
    <w:rsid w:val="66C97D93"/>
    <w:rsid w:val="66D734E4"/>
    <w:rsid w:val="66DD26E1"/>
    <w:rsid w:val="67256389"/>
    <w:rsid w:val="67387CA1"/>
    <w:rsid w:val="674C3ED2"/>
    <w:rsid w:val="677D3ED9"/>
    <w:rsid w:val="67A07D7A"/>
    <w:rsid w:val="67E24D9E"/>
    <w:rsid w:val="67E67E83"/>
    <w:rsid w:val="6814255B"/>
    <w:rsid w:val="68181876"/>
    <w:rsid w:val="682D3D04"/>
    <w:rsid w:val="68403334"/>
    <w:rsid w:val="684E502F"/>
    <w:rsid w:val="6850354E"/>
    <w:rsid w:val="6888357C"/>
    <w:rsid w:val="688E42B7"/>
    <w:rsid w:val="689E250C"/>
    <w:rsid w:val="68A44644"/>
    <w:rsid w:val="68D45F2D"/>
    <w:rsid w:val="68D639CB"/>
    <w:rsid w:val="68D67101"/>
    <w:rsid w:val="69151D65"/>
    <w:rsid w:val="694D1BCB"/>
    <w:rsid w:val="69586BD5"/>
    <w:rsid w:val="699B2B41"/>
    <w:rsid w:val="69A006B2"/>
    <w:rsid w:val="69A753F0"/>
    <w:rsid w:val="69CA259F"/>
    <w:rsid w:val="69CB7E9A"/>
    <w:rsid w:val="69E55F18"/>
    <w:rsid w:val="6A423632"/>
    <w:rsid w:val="6A436227"/>
    <w:rsid w:val="6A487105"/>
    <w:rsid w:val="6A6D4031"/>
    <w:rsid w:val="6A7C6BA9"/>
    <w:rsid w:val="6A8E167F"/>
    <w:rsid w:val="6AA45DD3"/>
    <w:rsid w:val="6AAB0F10"/>
    <w:rsid w:val="6AB06526"/>
    <w:rsid w:val="6B183069"/>
    <w:rsid w:val="6B490D42"/>
    <w:rsid w:val="6B6537B4"/>
    <w:rsid w:val="6B7E0A10"/>
    <w:rsid w:val="6B8A272C"/>
    <w:rsid w:val="6B9A2731"/>
    <w:rsid w:val="6BCF19EF"/>
    <w:rsid w:val="6BDB3A77"/>
    <w:rsid w:val="6BFA653F"/>
    <w:rsid w:val="6BFF57BE"/>
    <w:rsid w:val="6C09562D"/>
    <w:rsid w:val="6C0A1872"/>
    <w:rsid w:val="6C1911A0"/>
    <w:rsid w:val="6C3A2E1E"/>
    <w:rsid w:val="6C3A781B"/>
    <w:rsid w:val="6C4D1A0C"/>
    <w:rsid w:val="6C5C4262"/>
    <w:rsid w:val="6C647774"/>
    <w:rsid w:val="6C8163CC"/>
    <w:rsid w:val="6C9C1458"/>
    <w:rsid w:val="6CD3123F"/>
    <w:rsid w:val="6CD536A0"/>
    <w:rsid w:val="6CE2712E"/>
    <w:rsid w:val="6CF7003C"/>
    <w:rsid w:val="6D486EEA"/>
    <w:rsid w:val="6D4F2026"/>
    <w:rsid w:val="6D526FBD"/>
    <w:rsid w:val="6D5C0A56"/>
    <w:rsid w:val="6D6A6E60"/>
    <w:rsid w:val="6D700CD0"/>
    <w:rsid w:val="6D9B526C"/>
    <w:rsid w:val="6DB620A5"/>
    <w:rsid w:val="6DBA2E59"/>
    <w:rsid w:val="6DBE7ED9"/>
    <w:rsid w:val="6DC64092"/>
    <w:rsid w:val="6DD738CA"/>
    <w:rsid w:val="6DE10BC4"/>
    <w:rsid w:val="6DEF7365"/>
    <w:rsid w:val="6DF826BE"/>
    <w:rsid w:val="6E82493A"/>
    <w:rsid w:val="6E881C94"/>
    <w:rsid w:val="6E8E67EB"/>
    <w:rsid w:val="6EAE733F"/>
    <w:rsid w:val="6EB20ABF"/>
    <w:rsid w:val="6ECC0EC6"/>
    <w:rsid w:val="6ECC7EA1"/>
    <w:rsid w:val="6EF72B2E"/>
    <w:rsid w:val="6F4F73D2"/>
    <w:rsid w:val="6F5C0A2B"/>
    <w:rsid w:val="6F5C4ECE"/>
    <w:rsid w:val="6F636988"/>
    <w:rsid w:val="6F7F0550"/>
    <w:rsid w:val="6F9C7749"/>
    <w:rsid w:val="6FBD596D"/>
    <w:rsid w:val="6FCC5BB0"/>
    <w:rsid w:val="6FD256EB"/>
    <w:rsid w:val="6FEB4F40"/>
    <w:rsid w:val="70416FE8"/>
    <w:rsid w:val="706F25AF"/>
    <w:rsid w:val="70A51265"/>
    <w:rsid w:val="70B145DB"/>
    <w:rsid w:val="70D32F6E"/>
    <w:rsid w:val="70E70925"/>
    <w:rsid w:val="70EC3408"/>
    <w:rsid w:val="70FA674D"/>
    <w:rsid w:val="713A6130"/>
    <w:rsid w:val="7157594D"/>
    <w:rsid w:val="71681837"/>
    <w:rsid w:val="71997D14"/>
    <w:rsid w:val="71C7682A"/>
    <w:rsid w:val="71D33CBA"/>
    <w:rsid w:val="71DE05CD"/>
    <w:rsid w:val="71F06452"/>
    <w:rsid w:val="71F65B0E"/>
    <w:rsid w:val="71F8229B"/>
    <w:rsid w:val="720D24B0"/>
    <w:rsid w:val="722E2B52"/>
    <w:rsid w:val="723637B5"/>
    <w:rsid w:val="725F69B9"/>
    <w:rsid w:val="72621A0B"/>
    <w:rsid w:val="729A39F6"/>
    <w:rsid w:val="729E1C83"/>
    <w:rsid w:val="72A92E30"/>
    <w:rsid w:val="72B42AB4"/>
    <w:rsid w:val="72B5390F"/>
    <w:rsid w:val="72F86CBC"/>
    <w:rsid w:val="733122B3"/>
    <w:rsid w:val="734F1602"/>
    <w:rsid w:val="737F2F3A"/>
    <w:rsid w:val="739509AF"/>
    <w:rsid w:val="73993FFB"/>
    <w:rsid w:val="73A40BF2"/>
    <w:rsid w:val="73C56DEA"/>
    <w:rsid w:val="73D41773"/>
    <w:rsid w:val="73F12089"/>
    <w:rsid w:val="73F41B79"/>
    <w:rsid w:val="74035260"/>
    <w:rsid w:val="74244387"/>
    <w:rsid w:val="742C30C1"/>
    <w:rsid w:val="743E609F"/>
    <w:rsid w:val="74942A15"/>
    <w:rsid w:val="749B0D60"/>
    <w:rsid w:val="74F87447"/>
    <w:rsid w:val="751753A4"/>
    <w:rsid w:val="7544443B"/>
    <w:rsid w:val="75497626"/>
    <w:rsid w:val="756173FB"/>
    <w:rsid w:val="75630D65"/>
    <w:rsid w:val="75736944"/>
    <w:rsid w:val="75B73C8E"/>
    <w:rsid w:val="75BA3E76"/>
    <w:rsid w:val="75C37A55"/>
    <w:rsid w:val="75FB71EF"/>
    <w:rsid w:val="7610431D"/>
    <w:rsid w:val="765D6E96"/>
    <w:rsid w:val="767174B1"/>
    <w:rsid w:val="767C16A8"/>
    <w:rsid w:val="767F55F4"/>
    <w:rsid w:val="76850283"/>
    <w:rsid w:val="769413F2"/>
    <w:rsid w:val="76C021E7"/>
    <w:rsid w:val="771F0CBB"/>
    <w:rsid w:val="77242776"/>
    <w:rsid w:val="77302EC9"/>
    <w:rsid w:val="777F79AC"/>
    <w:rsid w:val="77935205"/>
    <w:rsid w:val="77A76FA0"/>
    <w:rsid w:val="77B04009"/>
    <w:rsid w:val="77C605E3"/>
    <w:rsid w:val="77DC750A"/>
    <w:rsid w:val="77EB6887"/>
    <w:rsid w:val="78531C85"/>
    <w:rsid w:val="78632E2A"/>
    <w:rsid w:val="78794949"/>
    <w:rsid w:val="78807F3E"/>
    <w:rsid w:val="78941235"/>
    <w:rsid w:val="78AB7594"/>
    <w:rsid w:val="78D13B60"/>
    <w:rsid w:val="792C76C0"/>
    <w:rsid w:val="79441835"/>
    <w:rsid w:val="79532E9E"/>
    <w:rsid w:val="7968180E"/>
    <w:rsid w:val="79711576"/>
    <w:rsid w:val="79731804"/>
    <w:rsid w:val="79A75F84"/>
    <w:rsid w:val="79BE0C60"/>
    <w:rsid w:val="79E16191"/>
    <w:rsid w:val="7A1B0A08"/>
    <w:rsid w:val="7A2E1857"/>
    <w:rsid w:val="7A355D6E"/>
    <w:rsid w:val="7A747570"/>
    <w:rsid w:val="7A7B450F"/>
    <w:rsid w:val="7AD149C3"/>
    <w:rsid w:val="7AD36723"/>
    <w:rsid w:val="7AE06184"/>
    <w:rsid w:val="7AE62E88"/>
    <w:rsid w:val="7AE91D0C"/>
    <w:rsid w:val="7AEB40F4"/>
    <w:rsid w:val="7AEC35AA"/>
    <w:rsid w:val="7B0C3933"/>
    <w:rsid w:val="7B3B1286"/>
    <w:rsid w:val="7B4C77FE"/>
    <w:rsid w:val="7B5A4A08"/>
    <w:rsid w:val="7B664809"/>
    <w:rsid w:val="7BA774D1"/>
    <w:rsid w:val="7BC368A3"/>
    <w:rsid w:val="7BD007D6"/>
    <w:rsid w:val="7BEE6EAE"/>
    <w:rsid w:val="7BF302A3"/>
    <w:rsid w:val="7C2B4EF7"/>
    <w:rsid w:val="7C4F1F05"/>
    <w:rsid w:val="7CBB50AF"/>
    <w:rsid w:val="7CC2390B"/>
    <w:rsid w:val="7CD658F3"/>
    <w:rsid w:val="7CEA5707"/>
    <w:rsid w:val="7D163065"/>
    <w:rsid w:val="7D40373A"/>
    <w:rsid w:val="7D747F91"/>
    <w:rsid w:val="7D9B71F6"/>
    <w:rsid w:val="7DC4098D"/>
    <w:rsid w:val="7DDF7361"/>
    <w:rsid w:val="7DEA0131"/>
    <w:rsid w:val="7DEA7445"/>
    <w:rsid w:val="7DF94E6A"/>
    <w:rsid w:val="7E374E0C"/>
    <w:rsid w:val="7E85269E"/>
    <w:rsid w:val="7EA748A3"/>
    <w:rsid w:val="7EB02B41"/>
    <w:rsid w:val="7EB9221A"/>
    <w:rsid w:val="7ED405DD"/>
    <w:rsid w:val="7EF053B6"/>
    <w:rsid w:val="7F02709E"/>
    <w:rsid w:val="7F144E7E"/>
    <w:rsid w:val="7F207CC7"/>
    <w:rsid w:val="7F326530"/>
    <w:rsid w:val="7F8E2E82"/>
    <w:rsid w:val="7F965FE8"/>
    <w:rsid w:val="7FAE0E2E"/>
    <w:rsid w:val="7FB14DC3"/>
    <w:rsid w:val="7FB36445"/>
    <w:rsid w:val="7FB51AC7"/>
    <w:rsid w:val="7FC836E2"/>
    <w:rsid w:val="7FCB7C32"/>
    <w:rsid w:val="7FD14B1D"/>
    <w:rsid w:val="7FF50432"/>
    <w:rsid w:val="DAFA1F4B"/>
    <w:rsid w:val="FF9F2B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0" w:semiHidden="0" w:name="heading 4"/>
    <w:lsdException w:qFormat="1" w:uiPriority="9" w:name="heading 5"/>
    <w:lsdException w:qFormat="1" w:unhideWhenUsed="0" w:uiPriority="0" w:semiHidden="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qFormat="1" w:unhideWhenUsed="0" w:uiPriority="0" w:semiHidden="0" w:name="index 8"/>
    <w:lsdException w:uiPriority="0" w:name="index 9"/>
    <w:lsdException w:qFormat="1" w:uiPriority="39" w:name="toc 1"/>
    <w:lsdException w:qFormat="1" w:uiPriority="39" w:name="toc 2"/>
    <w:lsdException w:qFormat="1" w:uiPriority="39" w:name="toc 3"/>
    <w:lsdException w:uiPriority="0" w:name="toc 4"/>
    <w:lsdException w:uiPriority="0" w:name="toc 5"/>
    <w:lsdException w:uiPriority="0" w:name="toc 6"/>
    <w:lsdException w:uiPriority="0" w:name="toc 7"/>
    <w:lsdException w:uiPriority="0" w:name="toc 8"/>
    <w:lsdException w:uiPriority="0" w:name="toc 9"/>
    <w:lsdException w:qFormat="1" w:uiPriority="99" w:name="Normal Indent"/>
    <w:lsdException w:uiPriority="0" w:name="footnote text"/>
    <w:lsdException w:qFormat="1" w:uiPriority="99" w:semiHidden="0" w:name="annotation text"/>
    <w:lsdException w:qFormat="1" w:uiPriority="99"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iPriority="99"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iPriority="99"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99"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nhideWhenUsed="0" w:uiPriority="99"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spacing w:before="100" w:beforeAutospacing="1" w:after="100" w:afterAutospacing="1"/>
      <w:jc w:val="left"/>
      <w:outlineLvl w:val="0"/>
    </w:pPr>
    <w:rPr>
      <w:rFonts w:hint="eastAsia" w:ascii="宋体" w:hAnsi="宋体"/>
      <w:b/>
      <w:bCs/>
      <w:kern w:val="44"/>
      <w:sz w:val="48"/>
      <w:szCs w:val="48"/>
    </w:rPr>
  </w:style>
  <w:style w:type="paragraph" w:styleId="3">
    <w:name w:val="heading 2"/>
    <w:basedOn w:val="1"/>
    <w:next w:val="1"/>
    <w:autoRedefine/>
    <w:semiHidden/>
    <w:unhideWhenUsed/>
    <w:qFormat/>
    <w:uiPriority w:val="9"/>
    <w:pPr>
      <w:keepNext/>
      <w:keepLines/>
      <w:spacing w:before="260" w:after="260" w:line="413" w:lineRule="auto"/>
      <w:outlineLvl w:val="1"/>
    </w:pPr>
    <w:rPr>
      <w:rFonts w:ascii="Arial" w:hAnsi="Arial" w:eastAsia="黑体"/>
      <w:b/>
      <w:bCs/>
      <w:sz w:val="32"/>
      <w:szCs w:val="32"/>
    </w:rPr>
  </w:style>
  <w:style w:type="paragraph" w:styleId="4">
    <w:name w:val="heading 3"/>
    <w:basedOn w:val="1"/>
    <w:next w:val="1"/>
    <w:autoRedefine/>
    <w:semiHidden/>
    <w:unhideWhenUsed/>
    <w:qFormat/>
    <w:uiPriority w:val="9"/>
    <w:pPr>
      <w:keepNext/>
      <w:keepLines/>
      <w:spacing w:line="600" w:lineRule="exact"/>
      <w:ind w:firstLine="643" w:firstLineChars="200"/>
      <w:outlineLvl w:val="2"/>
    </w:pPr>
    <w:rPr>
      <w:b/>
      <w:bCs/>
      <w:sz w:val="32"/>
      <w:szCs w:val="32"/>
    </w:rPr>
  </w:style>
  <w:style w:type="paragraph" w:styleId="5">
    <w:name w:val="heading 4"/>
    <w:basedOn w:val="1"/>
    <w:next w:val="1"/>
    <w:autoRedefine/>
    <w:unhideWhenUsed/>
    <w:qFormat/>
    <w:uiPriority w:val="0"/>
    <w:pPr>
      <w:keepNext/>
      <w:spacing w:before="240" w:after="60"/>
      <w:outlineLvl w:val="3"/>
    </w:pPr>
    <w:rPr>
      <w:b/>
      <w:bCs/>
      <w:sz w:val="28"/>
      <w:szCs w:val="28"/>
    </w:rPr>
  </w:style>
  <w:style w:type="paragraph" w:styleId="6">
    <w:name w:val="heading 5"/>
    <w:basedOn w:val="1"/>
    <w:next w:val="1"/>
    <w:autoRedefine/>
    <w:semiHidden/>
    <w:unhideWhenUsed/>
    <w:qFormat/>
    <w:uiPriority w:val="9"/>
    <w:pPr>
      <w:keepNext/>
      <w:keepLines/>
      <w:spacing w:before="280" w:after="290" w:line="376" w:lineRule="auto"/>
      <w:outlineLvl w:val="4"/>
    </w:pPr>
    <w:rPr>
      <w:b/>
      <w:bCs/>
      <w:sz w:val="28"/>
      <w:szCs w:val="28"/>
    </w:rPr>
  </w:style>
  <w:style w:type="paragraph" w:styleId="7">
    <w:name w:val="heading 6"/>
    <w:basedOn w:val="1"/>
    <w:next w:val="1"/>
    <w:autoRedefine/>
    <w:qFormat/>
    <w:uiPriority w:val="0"/>
    <w:pPr>
      <w:keepNext/>
      <w:keepLines/>
      <w:numPr>
        <w:ilvl w:val="5"/>
        <w:numId w:val="1"/>
      </w:numPr>
      <w:spacing w:before="240" w:after="64" w:line="320" w:lineRule="auto"/>
      <w:outlineLvl w:val="5"/>
    </w:pPr>
    <w:rPr>
      <w:rFonts w:ascii="Arial" w:hAnsi="Arial" w:eastAsia="黑体"/>
      <w:b/>
      <w:sz w:val="24"/>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8">
    <w:name w:val="index 8"/>
    <w:basedOn w:val="1"/>
    <w:next w:val="1"/>
    <w:qFormat/>
    <w:uiPriority w:val="0"/>
    <w:pPr>
      <w:ind w:left="2940"/>
    </w:pPr>
  </w:style>
  <w:style w:type="paragraph" w:styleId="9">
    <w:name w:val="Normal Indent"/>
    <w:basedOn w:val="1"/>
    <w:autoRedefine/>
    <w:semiHidden/>
    <w:unhideWhenUsed/>
    <w:qFormat/>
    <w:uiPriority w:val="99"/>
    <w:pPr>
      <w:ind w:firstLine="420"/>
    </w:pPr>
    <w:rPr>
      <w:szCs w:val="20"/>
    </w:rPr>
  </w:style>
  <w:style w:type="paragraph" w:styleId="10">
    <w:name w:val="annotation text"/>
    <w:basedOn w:val="1"/>
    <w:link w:val="43"/>
    <w:autoRedefine/>
    <w:unhideWhenUsed/>
    <w:qFormat/>
    <w:uiPriority w:val="99"/>
    <w:pPr>
      <w:jc w:val="left"/>
    </w:pPr>
  </w:style>
  <w:style w:type="paragraph" w:styleId="11">
    <w:name w:val="Body Text"/>
    <w:basedOn w:val="1"/>
    <w:next w:val="1"/>
    <w:autoRedefine/>
    <w:qFormat/>
    <w:uiPriority w:val="0"/>
    <w:pPr>
      <w:spacing w:after="120"/>
    </w:pPr>
  </w:style>
  <w:style w:type="paragraph" w:styleId="12">
    <w:name w:val="Body Text Indent"/>
    <w:basedOn w:val="1"/>
    <w:next w:val="1"/>
    <w:autoRedefine/>
    <w:semiHidden/>
    <w:unhideWhenUsed/>
    <w:qFormat/>
    <w:uiPriority w:val="99"/>
    <w:pPr>
      <w:spacing w:line="200" w:lineRule="exact"/>
      <w:ind w:firstLine="301"/>
    </w:pPr>
    <w:rPr>
      <w:rFonts w:ascii="宋体" w:hAnsi="Courier New"/>
      <w:spacing w:val="-4"/>
      <w:sz w:val="18"/>
      <w:szCs w:val="20"/>
    </w:rPr>
  </w:style>
  <w:style w:type="paragraph" w:styleId="13">
    <w:name w:val="toc 3"/>
    <w:basedOn w:val="1"/>
    <w:next w:val="1"/>
    <w:autoRedefine/>
    <w:semiHidden/>
    <w:unhideWhenUsed/>
    <w:qFormat/>
    <w:uiPriority w:val="39"/>
    <w:pPr>
      <w:jc w:val="left"/>
    </w:pPr>
    <w:rPr>
      <w:rFonts w:ascii="Calibri" w:hAnsi="Calibri"/>
      <w:smallCaps/>
      <w:sz w:val="22"/>
      <w:szCs w:val="22"/>
    </w:rPr>
  </w:style>
  <w:style w:type="paragraph" w:styleId="14">
    <w:name w:val="Plain Text"/>
    <w:basedOn w:val="1"/>
    <w:autoRedefine/>
    <w:qFormat/>
    <w:uiPriority w:val="0"/>
    <w:rPr>
      <w:rFonts w:ascii="宋体" w:hAnsi="Courier New"/>
      <w:szCs w:val="20"/>
    </w:rPr>
  </w:style>
  <w:style w:type="paragraph" w:styleId="15">
    <w:name w:val="Balloon Text"/>
    <w:basedOn w:val="1"/>
    <w:link w:val="42"/>
    <w:autoRedefine/>
    <w:qFormat/>
    <w:uiPriority w:val="0"/>
    <w:rPr>
      <w:sz w:val="18"/>
      <w:szCs w:val="18"/>
    </w:rPr>
  </w:style>
  <w:style w:type="paragraph" w:styleId="16">
    <w:name w:val="footer"/>
    <w:basedOn w:val="1"/>
    <w:autoRedefine/>
    <w:unhideWhenUsed/>
    <w:qFormat/>
    <w:uiPriority w:val="99"/>
    <w:pPr>
      <w:tabs>
        <w:tab w:val="center" w:pos="4153"/>
        <w:tab w:val="right" w:pos="8306"/>
      </w:tabs>
      <w:snapToGrid w:val="0"/>
      <w:jc w:val="left"/>
    </w:pPr>
    <w:rPr>
      <w:sz w:val="18"/>
      <w:szCs w:val="18"/>
    </w:rPr>
  </w:style>
  <w:style w:type="paragraph" w:styleId="17">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semiHidden/>
    <w:unhideWhenUsed/>
    <w:qFormat/>
    <w:uiPriority w:val="39"/>
    <w:pPr>
      <w:spacing w:before="360" w:after="360"/>
      <w:jc w:val="left"/>
    </w:pPr>
    <w:rPr>
      <w:rFonts w:ascii="Calibri" w:hAnsi="Calibri"/>
      <w:b/>
      <w:bCs/>
      <w:caps/>
      <w:sz w:val="22"/>
      <w:szCs w:val="22"/>
      <w:u w:val="single"/>
    </w:rPr>
  </w:style>
  <w:style w:type="paragraph" w:styleId="19">
    <w:name w:val="List"/>
    <w:basedOn w:val="1"/>
    <w:autoRedefine/>
    <w:semiHidden/>
    <w:unhideWhenUsed/>
    <w:qFormat/>
    <w:uiPriority w:val="99"/>
    <w:pPr>
      <w:ind w:left="200" w:hanging="200" w:hangingChars="200"/>
    </w:pPr>
    <w:rPr>
      <w:sz w:val="28"/>
    </w:rPr>
  </w:style>
  <w:style w:type="paragraph" w:styleId="20">
    <w:name w:val="toc 2"/>
    <w:basedOn w:val="1"/>
    <w:next w:val="1"/>
    <w:autoRedefine/>
    <w:semiHidden/>
    <w:unhideWhenUsed/>
    <w:qFormat/>
    <w:uiPriority w:val="39"/>
    <w:pPr>
      <w:jc w:val="left"/>
    </w:pPr>
    <w:rPr>
      <w:rFonts w:ascii="Calibri" w:hAnsi="Calibri"/>
      <w:b/>
      <w:bCs/>
      <w:smallCaps/>
      <w:sz w:val="22"/>
      <w:szCs w:val="22"/>
    </w:rPr>
  </w:style>
  <w:style w:type="paragraph" w:styleId="21">
    <w:name w:val="Normal (Web)"/>
    <w:basedOn w:val="1"/>
    <w:autoRedefine/>
    <w:qFormat/>
    <w:uiPriority w:val="0"/>
    <w:pPr>
      <w:spacing w:beforeAutospacing="1" w:afterAutospacing="1"/>
      <w:jc w:val="left"/>
    </w:pPr>
    <w:rPr>
      <w:kern w:val="0"/>
      <w:sz w:val="24"/>
    </w:rPr>
  </w:style>
  <w:style w:type="paragraph" w:styleId="22">
    <w:name w:val="Title"/>
    <w:basedOn w:val="1"/>
    <w:next w:val="1"/>
    <w:autoRedefine/>
    <w:qFormat/>
    <w:uiPriority w:val="10"/>
    <w:pPr>
      <w:spacing w:before="240" w:after="60"/>
      <w:jc w:val="center"/>
      <w:outlineLvl w:val="0"/>
    </w:pPr>
    <w:rPr>
      <w:rFonts w:ascii="Cambria" w:hAnsi="Cambria"/>
      <w:b/>
      <w:bCs/>
      <w:sz w:val="32"/>
      <w:szCs w:val="32"/>
    </w:rPr>
  </w:style>
  <w:style w:type="paragraph" w:styleId="23">
    <w:name w:val="annotation subject"/>
    <w:basedOn w:val="10"/>
    <w:next w:val="10"/>
    <w:link w:val="44"/>
    <w:autoRedefine/>
    <w:qFormat/>
    <w:uiPriority w:val="0"/>
    <w:rPr>
      <w:b/>
      <w:bCs/>
    </w:rPr>
  </w:style>
  <w:style w:type="paragraph" w:styleId="24">
    <w:name w:val="Body Text First Indent"/>
    <w:basedOn w:val="11"/>
    <w:qFormat/>
    <w:uiPriority w:val="99"/>
    <w:pPr>
      <w:ind w:firstLine="100" w:firstLineChars="100"/>
    </w:pPr>
    <w:rPr>
      <w:rFonts w:eastAsia="仿宋_GB2312"/>
      <w:sz w:val="32"/>
    </w:rPr>
  </w:style>
  <w:style w:type="table" w:styleId="26">
    <w:name w:val="Table Grid"/>
    <w:basedOn w:val="25"/>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page number"/>
    <w:autoRedefine/>
    <w:semiHidden/>
    <w:unhideWhenUsed/>
    <w:qFormat/>
    <w:uiPriority w:val="99"/>
  </w:style>
  <w:style w:type="character" w:styleId="29">
    <w:name w:val="Hyperlink"/>
    <w:autoRedefine/>
    <w:semiHidden/>
    <w:unhideWhenUsed/>
    <w:qFormat/>
    <w:uiPriority w:val="99"/>
    <w:rPr>
      <w:color w:val="0000FF"/>
      <w:u w:val="single"/>
    </w:rPr>
  </w:style>
  <w:style w:type="character" w:styleId="30">
    <w:name w:val="annotation reference"/>
    <w:basedOn w:val="27"/>
    <w:autoRedefine/>
    <w:qFormat/>
    <w:uiPriority w:val="0"/>
    <w:rPr>
      <w:sz w:val="21"/>
      <w:szCs w:val="21"/>
    </w:rPr>
  </w:style>
  <w:style w:type="paragraph" w:styleId="31">
    <w:name w:val="Intense Quote"/>
    <w:basedOn w:val="1"/>
    <w:next w:val="1"/>
    <w:qFormat/>
    <w:uiPriority w:val="0"/>
    <w:pPr>
      <w:wordWrap w:val="0"/>
      <w:spacing w:before="360" w:after="360"/>
      <w:ind w:left="950" w:right="950"/>
      <w:jc w:val="center"/>
    </w:pPr>
    <w:rPr>
      <w:rFonts w:ascii="Calibri" w:hAnsi="Calibri"/>
      <w:i/>
    </w:rPr>
  </w:style>
  <w:style w:type="paragraph" w:customStyle="1" w:styleId="32">
    <w:name w:val="表格文字"/>
    <w:basedOn w:val="12"/>
    <w:autoRedefine/>
    <w:qFormat/>
    <w:uiPriority w:val="99"/>
    <w:pPr>
      <w:spacing w:before="25" w:after="25"/>
    </w:pPr>
    <w:rPr>
      <w:bCs/>
      <w:spacing w:val="10"/>
      <w:sz w:val="24"/>
    </w:rPr>
  </w:style>
  <w:style w:type="paragraph" w:customStyle="1" w:styleId="33">
    <w:name w:val="首行缩进"/>
    <w:basedOn w:val="1"/>
    <w:autoRedefine/>
    <w:qFormat/>
    <w:uiPriority w:val="0"/>
    <w:pPr>
      <w:ind w:firstLine="480" w:firstLineChars="200"/>
    </w:pPr>
  </w:style>
  <w:style w:type="character" w:customStyle="1" w:styleId="34">
    <w:name w:val="fontstyle21"/>
    <w:basedOn w:val="27"/>
    <w:autoRedefine/>
    <w:qFormat/>
    <w:uiPriority w:val="0"/>
    <w:rPr>
      <w:rFonts w:hint="default" w:ascii="TimesNewRomanPSMT" w:hAnsi="TimesNewRomanPSMT" w:eastAsia="宋体" w:cs="Times New Roman"/>
      <w:color w:val="222222"/>
      <w:sz w:val="22"/>
      <w:szCs w:val="22"/>
    </w:rPr>
  </w:style>
  <w:style w:type="paragraph" w:styleId="35">
    <w:name w:val="List Paragraph"/>
    <w:basedOn w:val="1"/>
    <w:autoRedefine/>
    <w:qFormat/>
    <w:uiPriority w:val="34"/>
    <w:pPr>
      <w:ind w:firstLine="420" w:firstLineChars="200"/>
    </w:pPr>
  </w:style>
  <w:style w:type="character" w:customStyle="1" w:styleId="36">
    <w:name w:val="正文文本 (26) + 间距 0 pt"/>
    <w:autoRedefine/>
    <w:qFormat/>
    <w:uiPriority w:val="0"/>
    <w:rPr>
      <w:rFonts w:ascii="宋体" w:hAnsi="宋体" w:eastAsia="宋体" w:cs="宋体"/>
      <w:color w:val="000000"/>
      <w:spacing w:val="0"/>
      <w:w w:val="100"/>
      <w:position w:val="0"/>
      <w:sz w:val="22"/>
      <w:szCs w:val="22"/>
      <w:u w:val="none"/>
      <w:lang w:val="zh-CN" w:eastAsia="zh-CN" w:bidi="zh-CN"/>
    </w:rPr>
  </w:style>
  <w:style w:type="paragraph" w:customStyle="1" w:styleId="37">
    <w:name w:val="正文2"/>
    <w:basedOn w:val="1"/>
    <w:autoRedefine/>
    <w:qFormat/>
    <w:uiPriority w:val="0"/>
    <w:pPr>
      <w:adjustRightInd w:val="0"/>
      <w:spacing w:before="156" w:line="360" w:lineRule="auto"/>
      <w:ind w:firstLine="510" w:firstLineChars="200"/>
    </w:pPr>
    <w:rPr>
      <w:sz w:val="24"/>
      <w:szCs w:val="20"/>
    </w:rPr>
  </w:style>
  <w:style w:type="paragraph" w:customStyle="1" w:styleId="38">
    <w:name w:val="正文缩进1"/>
    <w:basedOn w:val="1"/>
    <w:next w:val="12"/>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39">
    <w:name w:val="样式5"/>
    <w:basedOn w:val="1"/>
    <w:autoRedefine/>
    <w:qFormat/>
    <w:uiPriority w:val="0"/>
    <w:pPr>
      <w:adjustRightInd w:val="0"/>
      <w:spacing w:line="440" w:lineRule="exact"/>
      <w:ind w:left="2" w:firstLine="480" w:firstLineChars="200"/>
    </w:pPr>
    <w:rPr>
      <w:rFonts w:ascii="仿宋_GB2312" w:hAnsi="仿宋" w:eastAsia="仿宋_GB2312"/>
      <w:sz w:val="24"/>
    </w:rPr>
  </w:style>
  <w:style w:type="paragraph" w:customStyle="1" w:styleId="40">
    <w:name w:val="_Style 3"/>
    <w:basedOn w:val="1"/>
    <w:autoRedefine/>
    <w:qFormat/>
    <w:uiPriority w:val="34"/>
    <w:pPr>
      <w:ind w:left="720"/>
      <w:contextualSpacing/>
    </w:pPr>
  </w:style>
  <w:style w:type="paragraph" w:customStyle="1" w:styleId="41">
    <w:name w:val="Default"/>
    <w:autoRedefine/>
    <w:qFormat/>
    <w:uiPriority w:val="99"/>
    <w:pPr>
      <w:widowControl w:val="0"/>
      <w:autoSpaceDE w:val="0"/>
      <w:autoSpaceDN w:val="0"/>
      <w:adjustRightInd w:val="0"/>
    </w:pPr>
    <w:rPr>
      <w:rFonts w:ascii="Calibri" w:hAnsi="Calibri" w:eastAsia="宋体" w:cs="Times New Roman"/>
      <w:color w:val="000000"/>
      <w:sz w:val="24"/>
      <w:szCs w:val="24"/>
      <w:lang w:val="en-US" w:eastAsia="zh-CN" w:bidi="ar-SA"/>
    </w:rPr>
  </w:style>
  <w:style w:type="character" w:customStyle="1" w:styleId="42">
    <w:name w:val="批注框文本 字符"/>
    <w:basedOn w:val="27"/>
    <w:link w:val="15"/>
    <w:autoRedefine/>
    <w:qFormat/>
    <w:uiPriority w:val="0"/>
    <w:rPr>
      <w:kern w:val="2"/>
      <w:sz w:val="18"/>
      <w:szCs w:val="18"/>
    </w:rPr>
  </w:style>
  <w:style w:type="character" w:customStyle="1" w:styleId="43">
    <w:name w:val="批注文字 字符"/>
    <w:basedOn w:val="27"/>
    <w:link w:val="10"/>
    <w:autoRedefine/>
    <w:qFormat/>
    <w:uiPriority w:val="99"/>
    <w:rPr>
      <w:kern w:val="2"/>
      <w:sz w:val="21"/>
      <w:szCs w:val="24"/>
    </w:rPr>
  </w:style>
  <w:style w:type="character" w:customStyle="1" w:styleId="44">
    <w:name w:val="批注主题 字符"/>
    <w:basedOn w:val="43"/>
    <w:link w:val="23"/>
    <w:autoRedefine/>
    <w:qFormat/>
    <w:uiPriority w:val="0"/>
    <w:rPr>
      <w:b/>
      <w:bCs/>
      <w:kern w:val="2"/>
      <w:sz w:val="21"/>
      <w:szCs w:val="24"/>
    </w:rPr>
  </w:style>
  <w:style w:type="paragraph" w:customStyle="1" w:styleId="45">
    <w:name w:val="正文1"/>
    <w:autoRedefine/>
    <w:qFormat/>
    <w:uiPriority w:val="0"/>
    <w:pPr>
      <w:jc w:val="both"/>
    </w:pPr>
    <w:rPr>
      <w:rFonts w:ascii="Times New Roman" w:hAnsi="Times New Roman" w:eastAsia="宋体" w:cs="Times New Roman"/>
      <w:kern w:val="2"/>
      <w:sz w:val="21"/>
      <w:szCs w:val="21"/>
      <w:lang w:val="en-US" w:eastAsia="zh-CN" w:bidi="ar-SA"/>
    </w:rPr>
  </w:style>
  <w:style w:type="paragraph" w:customStyle="1" w:styleId="46">
    <w:name w:val="修订1"/>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47">
    <w:name w:val="Char Char Char Char Char Char Char"/>
    <w:basedOn w:val="1"/>
    <w:autoRedefine/>
    <w:qFormat/>
    <w:uiPriority w:val="0"/>
    <w:rPr>
      <w:szCs w:val="21"/>
    </w:rPr>
  </w:style>
  <w:style w:type="character" w:customStyle="1" w:styleId="48">
    <w:name w:val="font21"/>
    <w:basedOn w:val="27"/>
    <w:qFormat/>
    <w:uiPriority w:val="0"/>
    <w:rPr>
      <w:rFonts w:hint="eastAsia" w:ascii="宋体" w:hAnsi="宋体" w:eastAsia="宋体" w:cs="宋体"/>
      <w:color w:val="000000"/>
      <w:sz w:val="22"/>
      <w:szCs w:val="22"/>
      <w:u w:val="none"/>
    </w:rPr>
  </w:style>
  <w:style w:type="paragraph" w:customStyle="1" w:styleId="49">
    <w:name w:val="dazhou"/>
    <w:basedOn w:val="1"/>
    <w:qFormat/>
    <w:uiPriority w:val="0"/>
    <w:pPr>
      <w:tabs>
        <w:tab w:val="left" w:pos="567"/>
      </w:tabs>
      <w:ind w:firstLine="200" w:firstLineChars="200"/>
    </w:pPr>
    <w:rPr>
      <w:rFonts w:ascii="宋体" w:hAnsi="宋体"/>
      <w:sz w:val="28"/>
    </w:rPr>
  </w:style>
  <w:style w:type="paragraph" w:customStyle="1" w:styleId="50">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141</Pages>
  <Words>11704</Words>
  <Characters>12715</Characters>
  <Lines>571</Lines>
  <Paragraphs>160</Paragraphs>
  <TotalTime>3</TotalTime>
  <ScaleCrop>false</ScaleCrop>
  <LinksUpToDate>false</LinksUpToDate>
  <CharactersWithSpaces>12894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2024-05-21T02:46:00Z</dcterms:created>
  <dc:creator>user</dc:creator>
  <cp:lastModifiedBy>no  umbrella</cp:lastModifiedBy>
  <cp:lastPrinted>2025-12-01T08:06:00Z</cp:lastPrinted>
  <dcterms:modified xsi:type="dcterms:W3CDTF">2025-12-08T08:26:33Z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5AE1881742E0448F9A498F4A21DD7020_13</vt:lpwstr>
  </property>
  <property fmtid="{D5CDD505-2E9C-101B-9397-08002B2CF9AE}" pid="4" name="KSOTemplateDocerSaveRecord">
    <vt:lpwstr>eyJoZGlkIjoiNzBiOTFhODhhODQ5MGE1NjQ3NjcyY2IzYTY3ZGMxNDUiLCJ1c2VySWQiOiIxMjU4NzUyMzk1In0=</vt:lpwstr>
  </property>
</Properties>
</file>