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3F7D1">
      <w:pPr>
        <w:pageBreakBefore w:val="0"/>
        <w:wordWrap w:val="0"/>
        <w:overflowPunct/>
        <w:topLinePunct w:val="0"/>
        <w:bidi w:val="0"/>
        <w:spacing w:line="360" w:lineRule="auto"/>
        <w:jc w:val="center"/>
        <w:rPr>
          <w:rFonts w:hint="eastAsia" w:ascii="宋体" w:hAnsi="宋体" w:eastAsia="宋体" w:cs="宋体"/>
          <w:color w:val="auto"/>
          <w:sz w:val="52"/>
          <w:szCs w:val="52"/>
          <w:highlight w:val="none"/>
          <w:lang w:val="en-US" w:eastAsia="zh-CN"/>
        </w:rPr>
      </w:pPr>
      <w:r>
        <w:rPr>
          <w:rFonts w:hint="eastAsia" w:ascii="宋体" w:hAnsi="宋体" w:cs="宋体"/>
          <w:color w:val="auto"/>
          <w:sz w:val="52"/>
          <w:szCs w:val="52"/>
          <w:highlight w:val="none"/>
          <w:lang w:val="en-US" w:eastAsia="zh-CN"/>
        </w:rPr>
        <w:t xml:space="preserve"> </w:t>
      </w:r>
    </w:p>
    <w:p w14:paraId="7D1A4199">
      <w:pPr>
        <w:pageBreakBefore w:val="0"/>
        <w:wordWrap w:val="0"/>
        <w:overflowPunct/>
        <w:topLinePunct w:val="0"/>
        <w:bidi w:val="0"/>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南宁市政府采购</w:t>
      </w:r>
    </w:p>
    <w:p w14:paraId="68B9119F">
      <w:pPr>
        <w:pageBreakBefore w:val="0"/>
        <w:wordWrap w:val="0"/>
        <w:overflowPunct/>
        <w:topLinePunct w:val="0"/>
        <w:bidi w:val="0"/>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公开招标文件（服务类）</w:t>
      </w:r>
    </w:p>
    <w:p w14:paraId="24FFB408">
      <w:pPr>
        <w:pageBreakBefore w:val="0"/>
        <w:wordWrap w:val="0"/>
        <w:overflowPunct/>
        <w:topLinePunct w:val="0"/>
        <w:bidi w:val="0"/>
        <w:spacing w:line="360" w:lineRule="auto"/>
        <w:jc w:val="center"/>
        <w:rPr>
          <w:rFonts w:ascii="宋体" w:hAnsi="宋体" w:cs="宋体"/>
          <w:b/>
          <w:color w:val="auto"/>
          <w:sz w:val="48"/>
          <w:szCs w:val="48"/>
          <w:highlight w:val="none"/>
        </w:rPr>
      </w:pPr>
    </w:p>
    <w:p w14:paraId="0AEC5483">
      <w:pPr>
        <w:pageBreakBefore w:val="0"/>
        <w:wordWrap w:val="0"/>
        <w:overflowPunct/>
        <w:topLinePunct w:val="0"/>
        <w:bidi w:val="0"/>
        <w:spacing w:line="360" w:lineRule="auto"/>
        <w:jc w:val="center"/>
        <w:rPr>
          <w:rFonts w:ascii="宋体" w:hAnsi="宋体" w:cs="宋体"/>
          <w:b/>
          <w:color w:val="auto"/>
          <w:sz w:val="48"/>
          <w:szCs w:val="48"/>
          <w:highlight w:val="none"/>
        </w:rPr>
      </w:pPr>
    </w:p>
    <w:p w14:paraId="0C3FF446">
      <w:pPr>
        <w:pageBreakBefore w:val="0"/>
        <w:wordWrap w:val="0"/>
        <w:overflowPunct/>
        <w:topLinePunct w:val="0"/>
        <w:bidi w:val="0"/>
        <w:snapToGrid w:val="0"/>
        <w:spacing w:line="360" w:lineRule="auto"/>
        <w:jc w:val="center"/>
        <w:rPr>
          <w:rFonts w:ascii="宋体" w:hAnsi="宋体" w:cs="宋体"/>
          <w:color w:val="auto"/>
          <w:sz w:val="72"/>
          <w:szCs w:val="72"/>
          <w:highlight w:val="none"/>
        </w:rPr>
      </w:pPr>
      <w:r>
        <w:rPr>
          <w:rFonts w:hint="eastAsia" w:ascii="宋体" w:hAnsi="宋体" w:cs="宋体"/>
          <w:color w:val="auto"/>
          <w:sz w:val="72"/>
          <w:szCs w:val="72"/>
          <w:highlight w:val="none"/>
        </w:rPr>
        <w:t>招 标 文 件</w:t>
      </w:r>
    </w:p>
    <w:p w14:paraId="1D5C4631">
      <w:pPr>
        <w:pageBreakBefore w:val="0"/>
        <w:wordWrap w:val="0"/>
        <w:overflowPunct/>
        <w:topLinePunct w:val="0"/>
        <w:bidi w:val="0"/>
        <w:snapToGrid w:val="0"/>
        <w:spacing w:line="360" w:lineRule="auto"/>
        <w:jc w:val="center"/>
        <w:rPr>
          <w:rFonts w:ascii="宋体" w:hAnsi="宋体" w:cs="宋体"/>
          <w:color w:val="auto"/>
          <w:sz w:val="30"/>
          <w:szCs w:val="72"/>
          <w:highlight w:val="none"/>
        </w:rPr>
      </w:pPr>
      <w:r>
        <w:rPr>
          <w:rFonts w:hint="eastAsia" w:ascii="宋体" w:hAnsi="宋体" w:cs="宋体"/>
          <w:color w:val="auto"/>
          <w:sz w:val="30"/>
          <w:szCs w:val="72"/>
          <w:highlight w:val="none"/>
        </w:rPr>
        <w:t>（全流程电子化评标）</w:t>
      </w:r>
    </w:p>
    <w:p w14:paraId="7A915F34">
      <w:pPr>
        <w:pageBreakBefore w:val="0"/>
        <w:widowControl/>
        <w:kinsoku w:val="0"/>
        <w:overflowPunct/>
        <w:topLinePunct w:val="0"/>
        <w:autoSpaceDE w:val="0"/>
        <w:autoSpaceDN w:val="0"/>
        <w:bidi w:val="0"/>
        <w:adjustRightInd w:val="0"/>
        <w:snapToGrid w:val="0"/>
        <w:spacing w:line="360" w:lineRule="auto"/>
        <w:ind w:left="1221"/>
        <w:textAlignment w:val="baseline"/>
        <w:rPr>
          <w:rFonts w:ascii="仿宋" w:hAnsi="仿宋" w:eastAsia="仿宋" w:cs="仿宋"/>
          <w:color w:val="auto"/>
          <w:spacing w:val="-11"/>
          <w:position w:val="23"/>
          <w:sz w:val="30"/>
          <w:szCs w:val="30"/>
          <w:highlight w:val="none"/>
          <w14:textOutline w14:w="6350" w14:cap="flat" w14:cmpd="sng" w14:algn="ctr">
            <w14:solidFill>
              <w14:srgbClr w14:val="000000"/>
            </w14:solidFill>
            <w14:prstDash w14:val="solid"/>
            <w14:miter w14:val="0"/>
          </w14:textOutline>
        </w:rPr>
      </w:pPr>
    </w:p>
    <w:p w14:paraId="72590A92">
      <w:pPr>
        <w:pageBreakBefore w:val="0"/>
        <w:widowControl/>
        <w:kinsoku w:val="0"/>
        <w:overflowPunct/>
        <w:topLinePunct w:val="0"/>
        <w:autoSpaceDE w:val="0"/>
        <w:autoSpaceDN w:val="0"/>
        <w:bidi w:val="0"/>
        <w:adjustRightInd w:val="0"/>
        <w:snapToGrid w:val="0"/>
        <w:spacing w:line="360" w:lineRule="auto"/>
        <w:ind w:left="1221"/>
        <w:textAlignment w:val="baseline"/>
        <w:rPr>
          <w:rFonts w:hint="eastAsia" w:ascii="宋体" w:hAnsi="宋体" w:eastAsia="宋体" w:cs="宋体"/>
          <w:b w:val="0"/>
          <w:bCs w:val="0"/>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pPr>
      <w:r>
        <w:rPr>
          <w:rFonts w:hint="eastAsia" w:ascii="宋体" w:hAnsi="宋体" w:eastAsia="宋体" w:cs="宋体"/>
          <w:b w:val="0"/>
          <w:bCs w:val="0"/>
          <w:color w:val="auto"/>
          <w:spacing w:val="-11"/>
          <w:position w:val="23"/>
          <w:sz w:val="30"/>
          <w:szCs w:val="30"/>
          <w:highlight w:val="none"/>
          <w14:textOutline w14:w="6350" w14:cap="flat" w14:cmpd="sng" w14:algn="ctr">
            <w14:solidFill>
              <w14:srgbClr w14:val="000000"/>
            </w14:solidFill>
            <w14:prstDash w14:val="solid"/>
            <w14:miter w14:val="0"/>
          </w14:textOutline>
        </w:rPr>
        <w:t>项目名称：</w:t>
      </w:r>
      <w:r>
        <w:rPr>
          <w:rFonts w:hint="eastAsia" w:ascii="宋体" w:hAnsi="宋体" w:cs="宋体"/>
          <w:b w:val="0"/>
          <w:bCs w:val="0"/>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t>南宁市第一人民医院污水处理系统运营服务采购项目</w:t>
      </w:r>
    </w:p>
    <w:p w14:paraId="73513D4F">
      <w:pPr>
        <w:pageBreakBefore w:val="0"/>
        <w:widowControl/>
        <w:kinsoku w:val="0"/>
        <w:overflowPunct/>
        <w:topLinePunct w:val="0"/>
        <w:autoSpaceDE w:val="0"/>
        <w:autoSpaceDN w:val="0"/>
        <w:bidi w:val="0"/>
        <w:adjustRightInd w:val="0"/>
        <w:snapToGrid w:val="0"/>
        <w:spacing w:line="360" w:lineRule="auto"/>
        <w:ind w:left="841" w:leftChars="0" w:firstLine="378" w:firstLineChars="136"/>
        <w:textAlignment w:val="baseline"/>
        <w:rPr>
          <w:rFonts w:hint="eastAsia" w:ascii="宋体" w:hAnsi="宋体" w:eastAsia="宋体" w:cs="宋体"/>
          <w:b w:val="0"/>
          <w:bCs w:val="0"/>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pPr>
      <w:r>
        <w:rPr>
          <w:rFonts w:hint="eastAsia" w:ascii="宋体" w:hAnsi="宋体" w:eastAsia="宋体" w:cs="宋体"/>
          <w:b w:val="0"/>
          <w:bCs w:val="0"/>
          <w:color w:val="auto"/>
          <w:spacing w:val="-11"/>
          <w:position w:val="23"/>
          <w:sz w:val="30"/>
          <w:szCs w:val="30"/>
          <w:highlight w:val="none"/>
          <w14:textOutline w14:w="6350" w14:cap="flat" w14:cmpd="sng" w14:algn="ctr">
            <w14:solidFill>
              <w14:srgbClr w14:val="000000"/>
            </w14:solidFill>
            <w14:prstDash w14:val="solid"/>
            <w14:miter w14:val="0"/>
          </w14:textOutline>
        </w:rPr>
        <w:t>项目编号：</w:t>
      </w:r>
      <w:r>
        <w:rPr>
          <w:rFonts w:hint="eastAsia" w:ascii="宋体" w:hAnsi="宋体" w:cs="宋体"/>
          <w:b w:val="0"/>
          <w:bCs w:val="0"/>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t>NNZC2025-G3-991501-GXYZ</w:t>
      </w:r>
    </w:p>
    <w:p w14:paraId="35F8F0CB">
      <w:pPr>
        <w:pageBreakBefore w:val="0"/>
        <w:widowControl/>
        <w:kinsoku w:val="0"/>
        <w:overflowPunct/>
        <w:topLinePunct w:val="0"/>
        <w:autoSpaceDE w:val="0"/>
        <w:autoSpaceDN w:val="0"/>
        <w:bidi w:val="0"/>
        <w:adjustRightInd w:val="0"/>
        <w:snapToGrid w:val="0"/>
        <w:spacing w:line="360" w:lineRule="auto"/>
        <w:ind w:left="841" w:leftChars="0" w:firstLine="378" w:firstLineChars="136"/>
        <w:textAlignment w:val="baseline"/>
        <w:rPr>
          <w:rFonts w:hint="eastAsia" w:ascii="宋体" w:hAnsi="宋体" w:eastAsia="宋体" w:cs="宋体"/>
          <w:b w:val="0"/>
          <w:bCs w:val="0"/>
          <w:color w:val="auto"/>
          <w:spacing w:val="-11"/>
          <w:position w:val="23"/>
          <w:sz w:val="30"/>
          <w:szCs w:val="30"/>
          <w:highlight w:val="none"/>
          <w14:textOutline w14:w="6350" w14:cap="flat" w14:cmpd="sng" w14:algn="ctr">
            <w14:solidFill>
              <w14:srgbClr w14:val="000000"/>
            </w14:solidFill>
            <w14:prstDash w14:val="solid"/>
            <w14:miter w14:val="0"/>
          </w14:textOutline>
        </w:rPr>
      </w:pPr>
      <w:r>
        <w:rPr>
          <w:rFonts w:hint="eastAsia" w:ascii="宋体" w:hAnsi="宋体" w:eastAsia="宋体" w:cs="宋体"/>
          <w:b w:val="0"/>
          <w:bCs w:val="0"/>
          <w:color w:val="auto"/>
          <w:spacing w:val="-11"/>
          <w:position w:val="23"/>
          <w:sz w:val="30"/>
          <w:szCs w:val="30"/>
          <w:highlight w:val="none"/>
          <w14:textOutline w14:w="6350" w14:cap="flat" w14:cmpd="sng" w14:algn="ctr">
            <w14:solidFill>
              <w14:srgbClr w14:val="000000"/>
            </w14:solidFill>
            <w14:prstDash w14:val="solid"/>
            <w14:miter w14:val="0"/>
          </w14:textOutline>
        </w:rPr>
        <w:t>项目所属区划：南宁市本级</w:t>
      </w:r>
    </w:p>
    <w:p w14:paraId="12D67901">
      <w:pPr>
        <w:pageBreakBefore w:val="0"/>
        <w:widowControl/>
        <w:kinsoku w:val="0"/>
        <w:overflowPunct/>
        <w:topLinePunct w:val="0"/>
        <w:autoSpaceDE w:val="0"/>
        <w:autoSpaceDN w:val="0"/>
        <w:bidi w:val="0"/>
        <w:adjustRightInd w:val="0"/>
        <w:snapToGrid w:val="0"/>
        <w:spacing w:line="360" w:lineRule="auto"/>
        <w:ind w:left="1221"/>
        <w:textAlignment w:val="baseline"/>
        <w:rPr>
          <w:rFonts w:hint="eastAsia" w:ascii="宋体" w:hAnsi="宋体" w:eastAsia="宋体" w:cs="宋体"/>
          <w:b w:val="0"/>
          <w:bCs w:val="0"/>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pPr>
      <w:r>
        <w:rPr>
          <w:rFonts w:hint="eastAsia" w:ascii="宋体" w:hAnsi="宋体" w:eastAsia="宋体" w:cs="宋体"/>
          <w:b w:val="0"/>
          <w:bCs w:val="0"/>
          <w:color w:val="auto"/>
          <w:spacing w:val="-11"/>
          <w:position w:val="23"/>
          <w:sz w:val="30"/>
          <w:szCs w:val="30"/>
          <w:highlight w:val="none"/>
          <w14:textOutline w14:w="6350" w14:cap="flat" w14:cmpd="sng" w14:algn="ctr">
            <w14:solidFill>
              <w14:srgbClr w14:val="000000"/>
            </w14:solidFill>
            <w14:prstDash w14:val="solid"/>
            <w14:miter w14:val="0"/>
          </w14:textOutline>
        </w:rPr>
        <w:t>采 购 人：</w:t>
      </w:r>
      <w:r>
        <w:rPr>
          <w:rFonts w:hint="eastAsia" w:ascii="宋体" w:hAnsi="宋体" w:cs="宋体"/>
          <w:b w:val="0"/>
          <w:bCs w:val="0"/>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t>南宁市第一人民医院</w:t>
      </w:r>
    </w:p>
    <w:p w14:paraId="31FA0699">
      <w:pPr>
        <w:pageBreakBefore w:val="0"/>
        <w:widowControl/>
        <w:kinsoku w:val="0"/>
        <w:overflowPunct/>
        <w:topLinePunct w:val="0"/>
        <w:autoSpaceDE w:val="0"/>
        <w:autoSpaceDN w:val="0"/>
        <w:bidi w:val="0"/>
        <w:adjustRightInd w:val="0"/>
        <w:snapToGrid w:val="0"/>
        <w:spacing w:line="360" w:lineRule="auto"/>
        <w:ind w:left="1221"/>
        <w:textAlignment w:val="baseline"/>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pacing w:val="-11"/>
          <w:position w:val="23"/>
          <w:sz w:val="30"/>
          <w:szCs w:val="30"/>
          <w:highlight w:val="none"/>
          <w14:textOutline w14:w="6350" w14:cap="flat" w14:cmpd="sng" w14:algn="ctr">
            <w14:solidFill>
              <w14:srgbClr w14:val="000000"/>
            </w14:solidFill>
            <w14:prstDash w14:val="solid"/>
            <w14:miter w14:val="0"/>
          </w14:textOutline>
        </w:rPr>
        <w:t>采购代理机构：</w:t>
      </w:r>
      <w:r>
        <w:rPr>
          <w:rFonts w:hint="eastAsia" w:ascii="宋体" w:hAnsi="宋体" w:eastAsia="宋体" w:cs="宋体"/>
          <w:b w:val="0"/>
          <w:bCs w:val="0"/>
          <w:color w:val="auto"/>
          <w:spacing w:val="-11"/>
          <w:position w:val="23"/>
          <w:sz w:val="30"/>
          <w:szCs w:val="30"/>
          <w:highlight w:val="none"/>
          <w:lang w:val="en-US" w:eastAsia="zh-CN"/>
          <w14:textOutline w14:w="6350" w14:cap="flat" w14:cmpd="sng" w14:algn="ctr">
            <w14:solidFill>
              <w14:srgbClr w14:val="000000"/>
            </w14:solidFill>
            <w14:prstDash w14:val="solid"/>
            <w14:miter w14:val="0"/>
          </w14:textOutline>
        </w:rPr>
        <w:t>广西邕政采购代理有限公司</w:t>
      </w:r>
    </w:p>
    <w:p w14:paraId="71932344">
      <w:pPr>
        <w:pageBreakBefore w:val="0"/>
        <w:widowControl/>
        <w:kinsoku w:val="0"/>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30"/>
          <w:szCs w:val="30"/>
          <w:highlight w:val="none"/>
        </w:rPr>
      </w:pPr>
    </w:p>
    <w:p w14:paraId="1D7E888F">
      <w:pPr>
        <w:pageBreakBefore w:val="0"/>
        <w:widowControl/>
        <w:kinsoku w:val="0"/>
        <w:overflowPunct/>
        <w:topLinePunct w:val="0"/>
        <w:autoSpaceDE w:val="0"/>
        <w:autoSpaceDN w:val="0"/>
        <w:bidi w:val="0"/>
        <w:adjustRightInd w:val="0"/>
        <w:snapToGrid w:val="0"/>
        <w:spacing w:line="360" w:lineRule="auto"/>
        <w:ind w:left="3658"/>
        <w:textAlignment w:val="baseline"/>
        <w:rPr>
          <w:color w:val="auto"/>
          <w:highlight w:val="none"/>
        </w:rPr>
        <w:sectPr>
          <w:pgSz w:w="11906" w:h="16838"/>
          <w:pgMar w:top="1440" w:right="1080" w:bottom="1440" w:left="1080" w:header="836" w:footer="0" w:gutter="0"/>
          <w:cols w:space="720" w:num="1"/>
        </w:sectPr>
      </w:pPr>
      <w:r>
        <w:rPr>
          <w:rFonts w:hint="eastAsia" w:ascii="宋体" w:hAnsi="宋体" w:eastAsia="宋体" w:cs="宋体"/>
          <w:b w:val="0"/>
          <w:bCs w:val="0"/>
          <w:color w:val="auto"/>
          <w:spacing w:val="8"/>
          <w:sz w:val="30"/>
          <w:szCs w:val="30"/>
          <w:highlight w:val="none"/>
          <w14:textOutline w14:w="6769" w14:cap="flat" w14:cmpd="sng" w14:algn="ctr">
            <w14:solidFill>
              <w14:srgbClr w14:val="000000"/>
            </w14:solidFill>
            <w14:prstDash w14:val="solid"/>
            <w14:miter w14:val="0"/>
          </w14:textOutline>
        </w:rPr>
        <w:t>202</w:t>
      </w:r>
      <w:r>
        <w:rPr>
          <w:rFonts w:hint="eastAsia" w:ascii="宋体" w:hAnsi="宋体" w:cs="宋体"/>
          <w:b w:val="0"/>
          <w:bCs w:val="0"/>
          <w:color w:val="auto"/>
          <w:spacing w:val="8"/>
          <w:sz w:val="30"/>
          <w:szCs w:val="30"/>
          <w:highlight w:val="none"/>
          <w:lang w:val="en-US" w:eastAsia="zh-CN"/>
          <w14:textOutline w14:w="6769" w14:cap="flat" w14:cmpd="sng" w14:algn="ctr">
            <w14:solidFill>
              <w14:srgbClr w14:val="000000"/>
            </w14:solidFill>
            <w14:prstDash w14:val="solid"/>
            <w14:miter w14:val="0"/>
          </w14:textOutline>
        </w:rPr>
        <w:t>6</w:t>
      </w:r>
      <w:r>
        <w:rPr>
          <w:rFonts w:hint="eastAsia" w:ascii="宋体" w:hAnsi="宋体" w:eastAsia="宋体" w:cs="宋体"/>
          <w:b w:val="0"/>
          <w:bCs w:val="0"/>
          <w:color w:val="auto"/>
          <w:spacing w:val="8"/>
          <w:sz w:val="30"/>
          <w:szCs w:val="30"/>
          <w:highlight w:val="none"/>
          <w14:textOutline w14:w="6769" w14:cap="flat" w14:cmpd="sng" w14:algn="ctr">
            <w14:solidFill>
              <w14:srgbClr w14:val="000000"/>
            </w14:solidFill>
            <w14:prstDash w14:val="solid"/>
            <w14:miter w14:val="0"/>
          </w14:textOutline>
        </w:rPr>
        <w:t>年</w:t>
      </w:r>
      <w:r>
        <w:rPr>
          <w:rFonts w:hint="eastAsia" w:ascii="宋体" w:hAnsi="宋体" w:cs="宋体"/>
          <w:b w:val="0"/>
          <w:bCs w:val="0"/>
          <w:color w:val="auto"/>
          <w:spacing w:val="8"/>
          <w:sz w:val="30"/>
          <w:szCs w:val="30"/>
          <w:highlight w:val="none"/>
          <w:lang w:val="en-US" w:eastAsia="zh-CN"/>
          <w14:textOutline w14:w="6769" w14:cap="flat" w14:cmpd="sng" w14:algn="ctr">
            <w14:solidFill>
              <w14:srgbClr w14:val="000000"/>
            </w14:solidFill>
            <w14:prstDash w14:val="solid"/>
            <w14:miter w14:val="0"/>
          </w14:textOutline>
        </w:rPr>
        <w:t>1</w:t>
      </w:r>
      <w:r>
        <w:rPr>
          <w:rFonts w:hint="eastAsia" w:ascii="宋体" w:hAnsi="宋体" w:eastAsia="宋体" w:cs="宋体"/>
          <w:b w:val="0"/>
          <w:bCs w:val="0"/>
          <w:color w:val="auto"/>
          <w:spacing w:val="8"/>
          <w:sz w:val="30"/>
          <w:szCs w:val="30"/>
          <w:highlight w:val="none"/>
          <w14:textOutline w14:w="6769" w14:cap="flat" w14:cmpd="sng" w14:algn="ctr">
            <w14:solidFill>
              <w14:srgbClr w14:val="000000"/>
            </w14:solidFill>
            <w14:prstDash w14:val="solid"/>
            <w14:miter w14:val="0"/>
          </w14:textOutline>
        </w:rPr>
        <w:t>月</w:t>
      </w:r>
    </w:p>
    <w:p w14:paraId="669EB1DE">
      <w:pPr>
        <w:pStyle w:val="14"/>
        <w:pageBreakBefore w:val="0"/>
        <w:wordWrap w:val="0"/>
        <w:overflowPunct/>
        <w:topLinePunct w:val="0"/>
        <w:bidi w:val="0"/>
        <w:spacing w:line="360" w:lineRule="auto"/>
        <w:jc w:val="center"/>
        <w:rPr>
          <w:rFonts w:hAnsi="宋体" w:cs="宋体"/>
          <w:b/>
          <w:color w:val="auto"/>
          <w:sz w:val="48"/>
          <w:szCs w:val="48"/>
          <w:highlight w:val="none"/>
        </w:rPr>
      </w:pPr>
      <w:r>
        <w:rPr>
          <w:rFonts w:hint="eastAsia" w:hAnsi="宋体" w:cs="宋体"/>
          <w:b/>
          <w:color w:val="auto"/>
          <w:sz w:val="48"/>
          <w:szCs w:val="48"/>
          <w:highlight w:val="none"/>
        </w:rPr>
        <w:t>目     录</w:t>
      </w:r>
    </w:p>
    <w:p w14:paraId="5887093B">
      <w:pPr>
        <w:pStyle w:val="17"/>
        <w:pageBreakBefore w:val="0"/>
        <w:tabs>
          <w:tab w:val="right" w:leader="dot" w:pos="9746"/>
        </w:tabs>
        <w:overflowPunct/>
        <w:topLinePunct w:val="0"/>
        <w:bidi w:val="0"/>
        <w:spacing w:before="0" w:after="0" w:line="360" w:lineRule="auto"/>
        <w:rPr>
          <w:color w:val="auto"/>
          <w:highlight w:val="none"/>
        </w:rPr>
      </w:pPr>
      <w:r>
        <w:rPr>
          <w:rFonts w:hint="eastAsia" w:ascii="宋体" w:hAnsi="宋体" w:cs="宋体"/>
          <w:b w:val="0"/>
          <w:bCs w:val="0"/>
          <w:caps w:val="0"/>
          <w:color w:val="auto"/>
          <w:sz w:val="32"/>
          <w:szCs w:val="32"/>
          <w:highlight w:val="none"/>
        </w:rPr>
        <w:fldChar w:fldCharType="begin"/>
      </w:r>
      <w:r>
        <w:rPr>
          <w:rFonts w:hint="eastAsia" w:ascii="宋体" w:hAnsi="宋体" w:cs="宋体"/>
          <w:b w:val="0"/>
          <w:bCs w:val="0"/>
          <w:caps w:val="0"/>
          <w:color w:val="auto"/>
          <w:sz w:val="32"/>
          <w:szCs w:val="32"/>
          <w:highlight w:val="none"/>
        </w:rPr>
        <w:instrText xml:space="preserve"> TOC \o "1-3" \h \z \u </w:instrText>
      </w:r>
      <w:r>
        <w:rPr>
          <w:rFonts w:hint="eastAsia" w:ascii="宋体" w:hAnsi="宋体" w:cs="宋体"/>
          <w:b w:val="0"/>
          <w:bCs w:val="0"/>
          <w:caps w:val="0"/>
          <w:color w:val="auto"/>
          <w:sz w:val="32"/>
          <w:szCs w:val="32"/>
          <w:highlight w:val="none"/>
        </w:rPr>
        <w:fldChar w:fldCharType="separate"/>
      </w:r>
      <w:r>
        <w:rPr>
          <w:color w:val="auto"/>
          <w:highlight w:val="none"/>
        </w:rPr>
        <w:fldChar w:fldCharType="begin"/>
      </w:r>
      <w:r>
        <w:rPr>
          <w:color w:val="auto"/>
          <w:highlight w:val="none"/>
        </w:rPr>
        <w:instrText xml:space="preserve"> HYPERLINK \l "_Toc12415" </w:instrText>
      </w:r>
      <w:r>
        <w:rPr>
          <w:color w:val="auto"/>
          <w:highlight w:val="none"/>
        </w:rPr>
        <w:fldChar w:fldCharType="separate"/>
      </w:r>
      <w:r>
        <w:rPr>
          <w:rFonts w:hint="eastAsia"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_Toc12415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1A95ACB5">
      <w:pPr>
        <w:pStyle w:val="17"/>
        <w:pageBreakBefore w:val="0"/>
        <w:tabs>
          <w:tab w:val="right" w:leader="dot" w:pos="9746"/>
        </w:tabs>
        <w:overflowPunct/>
        <w:topLinePunct w:val="0"/>
        <w:bidi w:val="0"/>
        <w:spacing w:before="0" w:after="0" w:line="360" w:lineRule="auto"/>
        <w:rPr>
          <w:color w:val="auto"/>
          <w:highlight w:val="none"/>
        </w:rPr>
      </w:pPr>
      <w:r>
        <w:rPr>
          <w:color w:val="auto"/>
          <w:highlight w:val="none"/>
        </w:rPr>
        <w:fldChar w:fldCharType="begin"/>
      </w:r>
      <w:r>
        <w:rPr>
          <w:color w:val="auto"/>
          <w:highlight w:val="none"/>
        </w:rPr>
        <w:instrText xml:space="preserve"> HYPERLINK \l "_Toc2043" </w:instrText>
      </w:r>
      <w:r>
        <w:rPr>
          <w:color w:val="auto"/>
          <w:highlight w:val="none"/>
        </w:rPr>
        <w:fldChar w:fldCharType="separate"/>
      </w:r>
      <w:r>
        <w:rPr>
          <w:rFonts w:hint="eastAsia"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_Toc2043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4BC34FE0">
      <w:pPr>
        <w:pStyle w:val="17"/>
        <w:pageBreakBefore w:val="0"/>
        <w:tabs>
          <w:tab w:val="right" w:leader="dot" w:pos="9746"/>
        </w:tabs>
        <w:overflowPunct/>
        <w:topLinePunct w:val="0"/>
        <w:bidi w:val="0"/>
        <w:spacing w:before="0" w:after="0" w:line="360" w:lineRule="auto"/>
        <w:rPr>
          <w:color w:val="auto"/>
          <w:highlight w:val="none"/>
        </w:rPr>
      </w:pPr>
      <w:r>
        <w:rPr>
          <w:color w:val="auto"/>
          <w:highlight w:val="none"/>
        </w:rPr>
        <w:fldChar w:fldCharType="begin"/>
      </w:r>
      <w:r>
        <w:rPr>
          <w:color w:val="auto"/>
          <w:highlight w:val="none"/>
        </w:rPr>
        <w:instrText xml:space="preserve"> HYPERLINK \l "_Toc29457" </w:instrText>
      </w:r>
      <w:r>
        <w:rPr>
          <w:color w:val="auto"/>
          <w:highlight w:val="none"/>
        </w:rPr>
        <w:fldChar w:fldCharType="separate"/>
      </w:r>
      <w:r>
        <w:rPr>
          <w:rFonts w:hint="eastAsia" w:hAnsi="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_Toc29457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444702B0">
      <w:pPr>
        <w:pStyle w:val="19"/>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"_Toc26080" </w:instrText>
      </w:r>
      <w:r>
        <w:rPr>
          <w:color w:val="auto"/>
          <w:highlight w:val="none"/>
        </w:rPr>
        <w:fldChar w:fldCharType="separate"/>
      </w:r>
      <w:r>
        <w:rPr>
          <w:rFonts w:hint="eastAsia" w:hAnsi="宋体" w:cs="宋体"/>
          <w:color w:val="auto"/>
          <w:szCs w:val="30"/>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_Toc26080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197FA119">
      <w:pPr>
        <w:pStyle w:val="19"/>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"_Toc5937" </w:instrText>
      </w:r>
      <w:r>
        <w:rPr>
          <w:color w:val="auto"/>
          <w:highlight w:val="none"/>
        </w:rPr>
        <w:fldChar w:fldCharType="separate"/>
      </w:r>
      <w:r>
        <w:rPr>
          <w:rFonts w:hint="eastAsia" w:ascii="宋体" w:hAnsi="宋体" w:cs="宋体"/>
          <w:color w:val="auto"/>
          <w:highlight w:val="none"/>
        </w:rPr>
        <w:t>第二节 投标人须知正文</w:t>
      </w:r>
      <w:r>
        <w:rPr>
          <w:color w:val="auto"/>
          <w:highlight w:val="none"/>
        </w:rPr>
        <w:tab/>
      </w:r>
      <w:r>
        <w:rPr>
          <w:color w:val="auto"/>
          <w:highlight w:val="none"/>
        </w:rPr>
        <w:fldChar w:fldCharType="begin"/>
      </w:r>
      <w:r>
        <w:rPr>
          <w:color w:val="auto"/>
          <w:highlight w:val="none"/>
        </w:rPr>
        <w:instrText xml:space="preserve"> PAGEREF _Toc5937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317EFAD6">
      <w:pPr>
        <w:pStyle w:val="17"/>
        <w:pageBreakBefore w:val="0"/>
        <w:tabs>
          <w:tab w:val="right" w:leader="dot" w:pos="9746"/>
        </w:tabs>
        <w:overflowPunct/>
        <w:topLinePunct w:val="0"/>
        <w:bidi w:val="0"/>
        <w:spacing w:before="0" w:after="0" w:line="360" w:lineRule="auto"/>
        <w:rPr>
          <w:color w:val="auto"/>
          <w:highlight w:val="none"/>
        </w:rPr>
      </w:pPr>
      <w:r>
        <w:rPr>
          <w:color w:val="auto"/>
          <w:highlight w:val="none"/>
        </w:rPr>
        <w:fldChar w:fldCharType="begin"/>
      </w:r>
      <w:r>
        <w:rPr>
          <w:color w:val="auto"/>
          <w:highlight w:val="none"/>
        </w:rPr>
        <w:instrText xml:space="preserve"> HYPERLINK \l "_Toc4997" </w:instrText>
      </w:r>
      <w:r>
        <w:rPr>
          <w:color w:val="auto"/>
          <w:highlight w:val="none"/>
        </w:rPr>
        <w:fldChar w:fldCharType="separate"/>
      </w:r>
      <w:r>
        <w:rPr>
          <w:rFonts w:hint="eastAsia" w:hAnsi="宋体" w:cs="宋体"/>
          <w:color w:val="auto"/>
          <w:highlight w:val="none"/>
        </w:rPr>
        <w:t>第四章  评标方法及评分标准</w:t>
      </w:r>
      <w:r>
        <w:rPr>
          <w:color w:val="auto"/>
          <w:highlight w:val="none"/>
        </w:rPr>
        <w:tab/>
      </w:r>
      <w:r>
        <w:rPr>
          <w:color w:val="auto"/>
          <w:highlight w:val="none"/>
        </w:rPr>
        <w:fldChar w:fldCharType="begin"/>
      </w:r>
      <w:r>
        <w:rPr>
          <w:color w:val="auto"/>
          <w:highlight w:val="none"/>
        </w:rPr>
        <w:instrText xml:space="preserve"> PAGEREF _Toc4997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6A352F68">
      <w:pPr>
        <w:pStyle w:val="19"/>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"_Toc2118" </w:instrText>
      </w:r>
      <w:r>
        <w:rPr>
          <w:color w:val="auto"/>
          <w:highlight w:val="none"/>
        </w:rPr>
        <w:fldChar w:fldCharType="separate"/>
      </w:r>
      <w:r>
        <w:rPr>
          <w:rFonts w:hint="eastAsia" w:hAnsi="宋体" w:cs="宋体"/>
          <w:color w:val="auto"/>
          <w:szCs w:val="32"/>
          <w:highlight w:val="none"/>
        </w:rPr>
        <w:t>第一节 评标方法</w:t>
      </w:r>
      <w:r>
        <w:rPr>
          <w:color w:val="auto"/>
          <w:highlight w:val="none"/>
        </w:rPr>
        <w:tab/>
      </w:r>
      <w:r>
        <w:rPr>
          <w:color w:val="auto"/>
          <w:highlight w:val="none"/>
        </w:rPr>
        <w:fldChar w:fldCharType="begin"/>
      </w:r>
      <w:r>
        <w:rPr>
          <w:color w:val="auto"/>
          <w:highlight w:val="none"/>
        </w:rPr>
        <w:instrText xml:space="preserve"> PAGEREF _Toc2118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0A021C2B">
      <w:pPr>
        <w:pStyle w:val="19"/>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"_Toc3444" </w:instrText>
      </w:r>
      <w:r>
        <w:rPr>
          <w:color w:val="auto"/>
          <w:highlight w:val="none"/>
        </w:rPr>
        <w:fldChar w:fldCharType="separate"/>
      </w:r>
      <w:r>
        <w:rPr>
          <w:rFonts w:hint="eastAsia" w:hAnsi="宋体" w:cs="宋体"/>
          <w:color w:val="auto"/>
          <w:szCs w:val="32"/>
          <w:highlight w:val="none"/>
        </w:rPr>
        <w:t>第二节 评标程序</w:t>
      </w:r>
      <w:r>
        <w:rPr>
          <w:color w:val="auto"/>
          <w:highlight w:val="none"/>
        </w:rPr>
        <w:tab/>
      </w:r>
      <w:r>
        <w:rPr>
          <w:color w:val="auto"/>
          <w:highlight w:val="none"/>
        </w:rPr>
        <w:fldChar w:fldCharType="begin"/>
      </w:r>
      <w:r>
        <w:rPr>
          <w:color w:val="auto"/>
          <w:highlight w:val="none"/>
        </w:rPr>
        <w:instrText xml:space="preserve"> PAGEREF _Toc3444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4E5FBD47">
      <w:pPr>
        <w:pStyle w:val="19"/>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"_Toc32456" </w:instrText>
      </w:r>
      <w:r>
        <w:rPr>
          <w:color w:val="auto"/>
          <w:highlight w:val="none"/>
        </w:rPr>
        <w:fldChar w:fldCharType="separate"/>
      </w:r>
      <w:r>
        <w:rPr>
          <w:rFonts w:hint="eastAsia" w:ascii="宋体" w:hAnsi="宋体" w:cs="宋体"/>
          <w:color w:val="auto"/>
          <w:szCs w:val="30"/>
          <w:highlight w:val="none"/>
        </w:rPr>
        <w:t>第三节 评分标准</w:t>
      </w:r>
      <w:r>
        <w:rPr>
          <w:color w:val="auto"/>
          <w:highlight w:val="none"/>
        </w:rPr>
        <w:tab/>
      </w:r>
      <w:r>
        <w:rPr>
          <w:color w:val="auto"/>
          <w:highlight w:val="none"/>
        </w:rPr>
        <w:fldChar w:fldCharType="begin"/>
      </w:r>
      <w:r>
        <w:rPr>
          <w:color w:val="auto"/>
          <w:highlight w:val="none"/>
        </w:rPr>
        <w:instrText xml:space="preserve"> PAGEREF _Toc32456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6158FE85">
      <w:pPr>
        <w:pStyle w:val="19"/>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"_Toc26276" </w:instrText>
      </w:r>
      <w:r>
        <w:rPr>
          <w:color w:val="auto"/>
          <w:highlight w:val="none"/>
        </w:rPr>
        <w:fldChar w:fldCharType="separate"/>
      </w:r>
      <w:r>
        <w:rPr>
          <w:rFonts w:hint="eastAsia" w:ascii="宋体" w:hAnsi="宋体" w:cs="宋体"/>
          <w:color w:val="auto"/>
          <w:szCs w:val="30"/>
          <w:highlight w:val="none"/>
        </w:rPr>
        <w:t>第四节 中标候选人推荐原则</w:t>
      </w:r>
      <w:r>
        <w:rPr>
          <w:color w:val="auto"/>
          <w:highlight w:val="none"/>
        </w:rPr>
        <w:tab/>
      </w:r>
      <w:r>
        <w:rPr>
          <w:color w:val="auto"/>
          <w:highlight w:val="none"/>
        </w:rPr>
        <w:fldChar w:fldCharType="begin"/>
      </w:r>
      <w:r>
        <w:rPr>
          <w:color w:val="auto"/>
          <w:highlight w:val="none"/>
        </w:rPr>
        <w:instrText xml:space="preserve"> PAGEREF _Toc26276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7C437296">
      <w:pPr>
        <w:pStyle w:val="19"/>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"_Toc52" </w:instrText>
      </w:r>
      <w:r>
        <w:rPr>
          <w:color w:val="auto"/>
          <w:highlight w:val="none"/>
        </w:rPr>
        <w:fldChar w:fldCharType="separate"/>
      </w:r>
      <w:r>
        <w:rPr>
          <w:rFonts w:hint="eastAsia" w:ascii="宋体" w:hAnsi="宋体" w:cs="宋体"/>
          <w:color w:val="auto"/>
          <w:szCs w:val="30"/>
          <w:highlight w:val="none"/>
        </w:rPr>
        <w:t>第五节 评标报告</w:t>
      </w:r>
      <w:r>
        <w:rPr>
          <w:color w:val="auto"/>
          <w:highlight w:val="none"/>
        </w:rPr>
        <w:tab/>
      </w:r>
      <w:r>
        <w:rPr>
          <w:color w:val="auto"/>
          <w:highlight w:val="none"/>
        </w:rPr>
        <w:fldChar w:fldCharType="begin"/>
      </w:r>
      <w:r>
        <w:rPr>
          <w:color w:val="auto"/>
          <w:highlight w:val="none"/>
        </w:rPr>
        <w:instrText xml:space="preserve"> PAGEREF _Toc52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44BD00AC">
      <w:pPr>
        <w:pStyle w:val="17"/>
        <w:pageBreakBefore w:val="0"/>
        <w:tabs>
          <w:tab w:val="right" w:leader="dot" w:pos="9746"/>
        </w:tabs>
        <w:overflowPunct/>
        <w:topLinePunct w:val="0"/>
        <w:bidi w:val="0"/>
        <w:spacing w:before="0" w:after="0" w:line="360" w:lineRule="auto"/>
        <w:rPr>
          <w:color w:val="auto"/>
          <w:highlight w:val="none"/>
        </w:rPr>
      </w:pPr>
      <w:r>
        <w:rPr>
          <w:color w:val="auto"/>
          <w:highlight w:val="none"/>
        </w:rPr>
        <w:fldChar w:fldCharType="begin"/>
      </w:r>
      <w:r>
        <w:rPr>
          <w:color w:val="auto"/>
          <w:highlight w:val="none"/>
        </w:rPr>
        <w:instrText xml:space="preserve"> HYPERLINK \l "_Toc29194" </w:instrText>
      </w:r>
      <w:r>
        <w:rPr>
          <w:color w:val="auto"/>
          <w:highlight w:val="none"/>
        </w:rPr>
        <w:fldChar w:fldCharType="separate"/>
      </w:r>
      <w:r>
        <w:rPr>
          <w:rFonts w:hint="eastAsia" w:hAnsi="宋体"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_Toc29194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415A4AEC">
      <w:pPr>
        <w:pStyle w:val="17"/>
        <w:pageBreakBefore w:val="0"/>
        <w:tabs>
          <w:tab w:val="right" w:leader="dot" w:pos="9746"/>
        </w:tabs>
        <w:overflowPunct/>
        <w:topLinePunct w:val="0"/>
        <w:bidi w:val="0"/>
        <w:spacing w:before="0" w:after="0" w:line="360" w:lineRule="auto"/>
        <w:rPr>
          <w:color w:val="auto"/>
          <w:highlight w:val="none"/>
        </w:rPr>
      </w:pPr>
      <w:r>
        <w:rPr>
          <w:color w:val="auto"/>
          <w:highlight w:val="none"/>
        </w:rPr>
        <w:fldChar w:fldCharType="begin"/>
      </w:r>
      <w:r>
        <w:rPr>
          <w:color w:val="auto"/>
          <w:highlight w:val="none"/>
        </w:rPr>
        <w:instrText xml:space="preserve"> HYPERLINK \l "_Toc2856" </w:instrText>
      </w:r>
      <w:r>
        <w:rPr>
          <w:color w:val="auto"/>
          <w:highlight w:val="none"/>
        </w:rPr>
        <w:fldChar w:fldCharType="separate"/>
      </w:r>
      <w:r>
        <w:rPr>
          <w:rFonts w:hint="eastAsia"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_Toc2856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2D1A6165">
      <w:pPr>
        <w:pStyle w:val="19"/>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"_Toc13658" </w:instrText>
      </w:r>
      <w:r>
        <w:rPr>
          <w:color w:val="auto"/>
          <w:highlight w:val="none"/>
        </w:rPr>
        <w:fldChar w:fldCharType="separate"/>
      </w:r>
      <w:r>
        <w:rPr>
          <w:rFonts w:hint="eastAsia" w:hAnsi="宋体" w:cs="宋体"/>
          <w:color w:val="auto"/>
          <w:szCs w:val="28"/>
          <w:highlight w:val="none"/>
        </w:rPr>
        <w:t>第一节 投标文件外层包装封面</w:t>
      </w:r>
      <w:r>
        <w:rPr>
          <w:color w:val="auto"/>
          <w:highlight w:val="none"/>
        </w:rPr>
        <w:tab/>
      </w:r>
      <w:r>
        <w:rPr>
          <w:color w:val="auto"/>
          <w:highlight w:val="none"/>
        </w:rPr>
        <w:fldChar w:fldCharType="begin"/>
      </w:r>
      <w:r>
        <w:rPr>
          <w:color w:val="auto"/>
          <w:highlight w:val="none"/>
        </w:rPr>
        <w:instrText xml:space="preserve"> PAGEREF _Toc13658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7B6913E0">
      <w:pPr>
        <w:pStyle w:val="19"/>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"_Toc20946" </w:instrText>
      </w:r>
      <w:r>
        <w:rPr>
          <w:color w:val="auto"/>
          <w:highlight w:val="none"/>
        </w:rPr>
        <w:fldChar w:fldCharType="separate"/>
      </w:r>
      <w:r>
        <w:rPr>
          <w:rFonts w:hint="eastAsia" w:hAnsi="宋体" w:cs="宋体"/>
          <w:color w:val="auto"/>
          <w:szCs w:val="28"/>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_Toc20946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08EA0802">
      <w:pPr>
        <w:pStyle w:val="19"/>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"_Toc30766" </w:instrText>
      </w:r>
      <w:r>
        <w:rPr>
          <w:color w:val="auto"/>
          <w:highlight w:val="none"/>
        </w:rPr>
        <w:fldChar w:fldCharType="separate"/>
      </w:r>
      <w:r>
        <w:rPr>
          <w:rFonts w:hint="eastAsia" w:hAnsi="宋体" w:cs="宋体"/>
          <w:color w:val="auto"/>
          <w:szCs w:val="28"/>
          <w:highlight w:val="none"/>
        </w:rPr>
        <w:t>第三节 商务文件格式</w:t>
      </w:r>
      <w:r>
        <w:rPr>
          <w:color w:val="auto"/>
          <w:highlight w:val="none"/>
        </w:rPr>
        <w:tab/>
      </w:r>
      <w:r>
        <w:rPr>
          <w:color w:val="auto"/>
          <w:highlight w:val="none"/>
        </w:rPr>
        <w:fldChar w:fldCharType="begin"/>
      </w:r>
      <w:r>
        <w:rPr>
          <w:color w:val="auto"/>
          <w:highlight w:val="none"/>
        </w:rPr>
        <w:instrText xml:space="preserve"> PAGEREF _Toc30766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11361A7A">
      <w:pPr>
        <w:pStyle w:val="19"/>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"_Toc27389" </w:instrText>
      </w:r>
      <w:r>
        <w:rPr>
          <w:color w:val="auto"/>
          <w:highlight w:val="none"/>
        </w:rPr>
        <w:fldChar w:fldCharType="separate"/>
      </w:r>
      <w:r>
        <w:rPr>
          <w:rFonts w:hint="eastAsia" w:hAnsi="宋体" w:cs="宋体"/>
          <w:color w:val="auto"/>
          <w:szCs w:val="28"/>
          <w:highlight w:val="none"/>
        </w:rPr>
        <w:t>第四节 技术文件格式</w:t>
      </w:r>
      <w:r>
        <w:rPr>
          <w:color w:val="auto"/>
          <w:highlight w:val="none"/>
        </w:rPr>
        <w:tab/>
      </w:r>
      <w:r>
        <w:rPr>
          <w:color w:val="auto"/>
          <w:highlight w:val="none"/>
        </w:rPr>
        <w:fldChar w:fldCharType="begin"/>
      </w:r>
      <w:r>
        <w:rPr>
          <w:color w:val="auto"/>
          <w:highlight w:val="none"/>
        </w:rPr>
        <w:instrText xml:space="preserve"> PAGEREF _Toc27389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14:paraId="13AA2046">
      <w:pPr>
        <w:pStyle w:val="19"/>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"_Toc5466" </w:instrText>
      </w:r>
      <w:r>
        <w:rPr>
          <w:color w:val="auto"/>
          <w:highlight w:val="none"/>
        </w:rPr>
        <w:fldChar w:fldCharType="separate"/>
      </w:r>
      <w:r>
        <w:rPr>
          <w:rFonts w:hint="eastAsia" w:hAnsi="宋体" w:cs="宋体"/>
          <w:color w:val="auto"/>
          <w:szCs w:val="28"/>
          <w:highlight w:val="none"/>
        </w:rPr>
        <w:t>第五节 报价文件格式</w:t>
      </w:r>
      <w:r>
        <w:rPr>
          <w:color w:val="auto"/>
          <w:highlight w:val="none"/>
        </w:rPr>
        <w:tab/>
      </w:r>
      <w:r>
        <w:rPr>
          <w:color w:val="auto"/>
          <w:highlight w:val="none"/>
        </w:rPr>
        <w:fldChar w:fldCharType="begin"/>
      </w:r>
      <w:r>
        <w:rPr>
          <w:color w:val="auto"/>
          <w:highlight w:val="none"/>
        </w:rPr>
        <w:instrText xml:space="preserve"> PAGEREF _Toc5466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14:paraId="60658609">
      <w:pPr>
        <w:pStyle w:val="19"/>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"_Toc12438" </w:instrText>
      </w:r>
      <w:r>
        <w:rPr>
          <w:color w:val="auto"/>
          <w:highlight w:val="none"/>
        </w:rPr>
        <w:fldChar w:fldCharType="separate"/>
      </w:r>
      <w:r>
        <w:rPr>
          <w:rFonts w:hint="eastAsia" w:ascii="宋体" w:hAnsi="宋体" w:cs="宋体"/>
          <w:color w:val="auto"/>
          <w:szCs w:val="28"/>
          <w:highlight w:val="none"/>
        </w:rPr>
        <w:t>第六节 其他文书、文件格式</w:t>
      </w:r>
      <w:r>
        <w:rPr>
          <w:color w:val="auto"/>
          <w:highlight w:val="none"/>
        </w:rPr>
        <w:tab/>
      </w:r>
      <w:r>
        <w:rPr>
          <w:color w:val="auto"/>
          <w:highlight w:val="none"/>
        </w:rPr>
        <w:fldChar w:fldCharType="begin"/>
      </w:r>
      <w:r>
        <w:rPr>
          <w:color w:val="auto"/>
          <w:highlight w:val="none"/>
        </w:rPr>
        <w:instrText xml:space="preserve"> PAGEREF _Toc12438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14:paraId="1F802F5A">
      <w:pPr>
        <w:pStyle w:val="17"/>
        <w:pageBreakBefore w:val="0"/>
        <w:tabs>
          <w:tab w:val="right" w:leader="dot" w:pos="9746"/>
        </w:tabs>
        <w:overflowPunct/>
        <w:topLinePunct w:val="0"/>
        <w:bidi w:val="0"/>
        <w:spacing w:before="0" w:after="0" w:line="360" w:lineRule="auto"/>
        <w:rPr>
          <w:color w:val="auto"/>
          <w:highlight w:val="none"/>
        </w:rPr>
      </w:pPr>
      <w:r>
        <w:rPr>
          <w:color w:val="auto"/>
          <w:highlight w:val="none"/>
        </w:rPr>
        <w:fldChar w:fldCharType="begin"/>
      </w:r>
      <w:r>
        <w:rPr>
          <w:color w:val="auto"/>
          <w:highlight w:val="none"/>
        </w:rPr>
        <w:instrText xml:space="preserve"> HYPERLINK \l "_Toc26579" </w:instrText>
      </w:r>
      <w:r>
        <w:rPr>
          <w:color w:val="auto"/>
          <w:highlight w:val="none"/>
        </w:rPr>
        <w:fldChar w:fldCharType="separate"/>
      </w:r>
      <w:r>
        <w:rPr>
          <w:rFonts w:hint="eastAsia" w:hAnsi="宋体" w:cs="宋体"/>
          <w:color w:val="auto"/>
          <w:highlight w:val="none"/>
        </w:rPr>
        <w:t>第七章 质疑、投诉证明材料格式</w:t>
      </w:r>
      <w:r>
        <w:rPr>
          <w:color w:val="auto"/>
          <w:highlight w:val="none"/>
        </w:rPr>
        <w:tab/>
      </w:r>
      <w:r>
        <w:rPr>
          <w:color w:val="auto"/>
          <w:highlight w:val="none"/>
        </w:rPr>
        <w:fldChar w:fldCharType="begin"/>
      </w:r>
      <w:r>
        <w:rPr>
          <w:color w:val="auto"/>
          <w:highlight w:val="none"/>
        </w:rPr>
        <w:instrText xml:space="preserve"> PAGEREF _Toc26579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14:paraId="19C865BA">
      <w:pPr>
        <w:pStyle w:val="19"/>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"_Toc24445" </w:instrText>
      </w:r>
      <w:r>
        <w:rPr>
          <w:color w:val="auto"/>
          <w:highlight w:val="none"/>
        </w:rPr>
        <w:fldChar w:fldCharType="separate"/>
      </w:r>
      <w:r>
        <w:rPr>
          <w:rFonts w:hint="eastAsia" w:ascii="宋体" w:hAnsi="宋体" w:cs="宋体"/>
          <w:bCs w:val="0"/>
          <w:color w:val="auto"/>
          <w:highlight w:val="none"/>
        </w:rPr>
        <w:t>第一节 质疑函（格式）</w:t>
      </w:r>
      <w:r>
        <w:rPr>
          <w:color w:val="auto"/>
          <w:highlight w:val="none"/>
        </w:rPr>
        <w:tab/>
      </w:r>
      <w:r>
        <w:rPr>
          <w:color w:val="auto"/>
          <w:highlight w:val="none"/>
        </w:rPr>
        <w:fldChar w:fldCharType="begin"/>
      </w:r>
      <w:r>
        <w:rPr>
          <w:color w:val="auto"/>
          <w:highlight w:val="none"/>
        </w:rPr>
        <w:instrText xml:space="preserve"> PAGEREF _Toc24445 \h </w:instrText>
      </w:r>
      <w:r>
        <w:rPr>
          <w:color w:val="auto"/>
          <w:highlight w:val="none"/>
        </w:rPr>
        <w:fldChar w:fldCharType="separate"/>
      </w:r>
      <w:r>
        <w:rPr>
          <w:color w:val="auto"/>
          <w:highlight w:val="none"/>
        </w:rPr>
        <w:t>110</w:t>
      </w:r>
      <w:r>
        <w:rPr>
          <w:color w:val="auto"/>
          <w:highlight w:val="none"/>
        </w:rPr>
        <w:fldChar w:fldCharType="end"/>
      </w:r>
      <w:r>
        <w:rPr>
          <w:color w:val="auto"/>
          <w:highlight w:val="none"/>
        </w:rPr>
        <w:fldChar w:fldCharType="end"/>
      </w:r>
    </w:p>
    <w:p w14:paraId="059C5F65">
      <w:pPr>
        <w:pStyle w:val="19"/>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"_Toc14288" </w:instrText>
      </w:r>
      <w:r>
        <w:rPr>
          <w:color w:val="auto"/>
          <w:highlight w:val="none"/>
        </w:rPr>
        <w:fldChar w:fldCharType="separate"/>
      </w:r>
      <w:r>
        <w:rPr>
          <w:rFonts w:hint="eastAsia" w:ascii="宋体" w:hAnsi="宋体" w:cs="宋体"/>
          <w:bCs w:val="0"/>
          <w:color w:val="auto"/>
          <w:highlight w:val="none"/>
        </w:rPr>
        <w:t>第二节 投诉书（格式）</w:t>
      </w:r>
      <w:r>
        <w:rPr>
          <w:color w:val="auto"/>
          <w:highlight w:val="none"/>
        </w:rPr>
        <w:tab/>
      </w:r>
      <w:r>
        <w:rPr>
          <w:color w:val="auto"/>
          <w:highlight w:val="none"/>
        </w:rPr>
        <w:fldChar w:fldCharType="begin"/>
      </w:r>
      <w:r>
        <w:rPr>
          <w:color w:val="auto"/>
          <w:highlight w:val="none"/>
        </w:rPr>
        <w:instrText xml:space="preserve"> PAGEREF _Toc14288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14:paraId="36165B49">
      <w:pPr>
        <w:pStyle w:val="14"/>
        <w:pageBreakBefore w:val="0"/>
        <w:wordWrap w:val="0"/>
        <w:overflowPunct/>
        <w:topLinePunct w:val="0"/>
        <w:bidi w:val="0"/>
        <w:spacing w:line="360" w:lineRule="auto"/>
        <w:jc w:val="center"/>
        <w:rPr>
          <w:rFonts w:hAnsi="宋体" w:cs="宋体"/>
          <w:color w:val="auto"/>
          <w:highlight w:val="none"/>
        </w:rPr>
        <w:sectPr>
          <w:headerReference r:id="rId3" w:type="default"/>
          <w:pgSz w:w="11906" w:h="16838"/>
          <w:pgMar w:top="1440" w:right="1080" w:bottom="1440" w:left="1080" w:header="720" w:footer="720" w:gutter="0"/>
          <w:pgNumType w:start="1"/>
          <w:cols w:space="720" w:num="1"/>
          <w:docGrid w:type="lines" w:linePitch="331" w:charSpace="0"/>
        </w:sectPr>
      </w:pPr>
      <w:r>
        <w:rPr>
          <w:rFonts w:hint="eastAsia" w:hAnsi="宋体" w:cs="宋体"/>
          <w:bCs/>
          <w:caps/>
          <w:color w:val="auto"/>
          <w:szCs w:val="32"/>
          <w:highlight w:val="none"/>
          <w:u w:val="single"/>
        </w:rPr>
        <w:fldChar w:fldCharType="end"/>
      </w:r>
      <w:bookmarkStart w:id="0" w:name="_Toc11954"/>
      <w:r>
        <w:rPr>
          <w:rFonts w:hint="eastAsia" w:hAnsi="宋体" w:cs="宋体"/>
          <w:color w:val="auto"/>
          <w:highlight w:val="none"/>
        </w:rPr>
        <w:tab/>
      </w:r>
      <w:bookmarkEnd w:id="0"/>
      <w:bookmarkStart w:id="1" w:name="_Toc532545041"/>
    </w:p>
    <w:bookmarkEnd w:id="1"/>
    <w:p w14:paraId="432250A3">
      <w:pPr>
        <w:pStyle w:val="14"/>
        <w:pageBreakBefore w:val="0"/>
        <w:wordWrap w:val="0"/>
        <w:overflowPunct/>
        <w:topLinePunct w:val="0"/>
        <w:bidi w:val="0"/>
        <w:spacing w:line="360" w:lineRule="auto"/>
        <w:jc w:val="center"/>
        <w:outlineLvl w:val="0"/>
        <w:rPr>
          <w:rFonts w:hAnsi="宋体" w:cs="宋体"/>
          <w:b/>
          <w:color w:val="auto"/>
          <w:sz w:val="36"/>
          <w:szCs w:val="36"/>
          <w:highlight w:val="none"/>
        </w:rPr>
      </w:pPr>
      <w:bookmarkStart w:id="2" w:name="_Toc532545042"/>
      <w:r>
        <w:rPr>
          <w:rFonts w:hint="eastAsia" w:hAnsi="宋体" w:cs="宋体"/>
          <w:b/>
          <w:color w:val="auto"/>
          <w:sz w:val="36"/>
          <w:highlight w:val="none"/>
        </w:rPr>
        <w:t xml:space="preserve"> </w:t>
      </w:r>
      <w:bookmarkStart w:id="3" w:name="_Toc12415"/>
      <w:r>
        <w:rPr>
          <w:rFonts w:hint="eastAsia" w:hAnsi="宋体" w:cs="宋体"/>
          <w:b/>
          <w:color w:val="auto"/>
          <w:sz w:val="36"/>
          <w:highlight w:val="none"/>
        </w:rPr>
        <w:t>第一章  招标公告</w:t>
      </w:r>
      <w:bookmarkEnd w:id="3"/>
    </w:p>
    <w:p w14:paraId="68152A63">
      <w:pPr>
        <w:pStyle w:val="14"/>
        <w:pageBreakBefore w:val="0"/>
        <w:wordWrap w:val="0"/>
        <w:overflowPunct/>
        <w:topLinePunct w:val="0"/>
        <w:bidi w:val="0"/>
        <w:spacing w:line="360" w:lineRule="auto"/>
        <w:jc w:val="center"/>
        <w:rPr>
          <w:rFonts w:hAnsi="宋体" w:cs="宋体"/>
          <w:b/>
          <w:color w:val="auto"/>
          <w:sz w:val="30"/>
          <w:szCs w:val="30"/>
          <w:highlight w:val="none"/>
        </w:rPr>
      </w:pPr>
      <w:r>
        <w:rPr>
          <w:rFonts w:hint="eastAsia" w:hAnsi="宋体" w:cs="宋体"/>
          <w:b/>
          <w:color w:val="auto"/>
          <w:sz w:val="30"/>
          <w:szCs w:val="30"/>
          <w:highlight w:val="none"/>
        </w:rPr>
        <w:t>公开招标公告</w:t>
      </w:r>
    </w:p>
    <w:p w14:paraId="143F9418">
      <w:pPr>
        <w:pageBreakBefore w:val="0"/>
        <w:pBdr>
          <w:top w:val="single" w:color="auto" w:sz="4" w:space="1"/>
          <w:left w:val="single" w:color="auto" w:sz="4" w:space="4"/>
          <w:bottom w:val="single" w:color="auto" w:sz="4" w:space="1"/>
          <w:right w:val="single" w:color="auto" w:sz="4" w:space="4"/>
        </w:pBdr>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54A62793">
      <w:pPr>
        <w:pageBreakBefore w:val="0"/>
        <w:pBdr>
          <w:top w:val="single" w:color="auto" w:sz="4" w:space="1"/>
          <w:left w:val="single" w:color="auto" w:sz="4" w:space="4"/>
          <w:bottom w:val="single" w:color="auto" w:sz="4" w:space="1"/>
          <w:right w:val="single" w:color="auto" w:sz="4" w:space="4"/>
        </w:pBdr>
        <w:wordWrap w:val="0"/>
        <w:overflowPunct/>
        <w:topLinePunct w:val="0"/>
        <w:bidi w:val="0"/>
        <w:spacing w:line="360" w:lineRule="auto"/>
        <w:ind w:firstLine="600" w:firstLineChars="250"/>
        <w:rPr>
          <w:rFonts w:ascii="宋体" w:hAnsi="宋体" w:cs="宋体"/>
          <w:color w:val="auto"/>
          <w:sz w:val="24"/>
          <w:highlight w:val="none"/>
          <w:u w:val="single"/>
        </w:rPr>
      </w:pPr>
      <w:r>
        <w:rPr>
          <w:rFonts w:hint="eastAsia" w:ascii="宋体" w:hAnsi="宋体" w:cs="宋体"/>
          <w:color w:val="auto"/>
          <w:sz w:val="24"/>
          <w:highlight w:val="none"/>
          <w:u w:val="single"/>
          <w:lang w:eastAsia="zh-CN"/>
        </w:rPr>
        <w:t>南宁市第一人民医院污水处理系统运营服务采购项目</w:t>
      </w:r>
      <w:r>
        <w:rPr>
          <w:rFonts w:hint="eastAsia" w:ascii="宋体" w:hAnsi="宋体" w:cs="宋体"/>
          <w:color w:val="auto"/>
          <w:sz w:val="24"/>
          <w:highlight w:val="none"/>
        </w:rPr>
        <w:t>招标项目的潜在投标人应在</w:t>
      </w:r>
      <w:r>
        <w:rPr>
          <w:rFonts w:hint="eastAsia" w:ascii="宋体" w:hAnsi="宋体" w:cs="宋体"/>
          <w:color w:val="auto"/>
          <w:sz w:val="24"/>
          <w:highlight w:val="none"/>
          <w:lang w:eastAsia="zh-CN"/>
        </w:rPr>
        <w:t>广西政府采购云平台（https://login.gcy.zfcg.gxzf.gov.cn/user-login/#/）</w:t>
      </w:r>
      <w:r>
        <w:rPr>
          <w:rFonts w:hint="eastAsia" w:ascii="宋体" w:hAnsi="宋体" w:cs="宋体"/>
          <w:color w:val="auto"/>
          <w:sz w:val="24"/>
          <w:highlight w:val="none"/>
        </w:rPr>
        <w:t>获取（下载）招标文件，并于</w:t>
      </w:r>
      <w:r>
        <w:rPr>
          <w:rFonts w:hint="eastAsia" w:ascii="宋体" w:hAnsi="宋体" w:cs="宋体"/>
          <w:color w:val="auto"/>
          <w:sz w:val="24"/>
          <w:highlight w:val="none"/>
          <w:u w:val="single"/>
          <w:lang w:eastAsia="zh-CN" w:bidi="ar"/>
        </w:rPr>
        <w:t>202</w:t>
      </w:r>
      <w:r>
        <w:rPr>
          <w:rFonts w:hint="eastAsia" w:ascii="宋体" w:hAnsi="宋体" w:cs="宋体"/>
          <w:color w:val="auto"/>
          <w:sz w:val="24"/>
          <w:highlight w:val="none"/>
          <w:u w:val="single"/>
          <w:lang w:val="en-US" w:eastAsia="zh-CN" w:bidi="ar"/>
        </w:rPr>
        <w:t>6</w:t>
      </w:r>
      <w:r>
        <w:rPr>
          <w:rFonts w:hint="eastAsia" w:ascii="宋体" w:hAnsi="宋体" w:cs="宋体"/>
          <w:color w:val="auto"/>
          <w:sz w:val="24"/>
          <w:highlight w:val="none"/>
          <w:u w:val="single"/>
          <w:lang w:eastAsia="zh-CN" w:bidi="ar"/>
        </w:rPr>
        <w:t>年</w:t>
      </w:r>
      <w:r>
        <w:rPr>
          <w:rFonts w:hint="eastAsia" w:ascii="宋体" w:hAnsi="宋体" w:cs="宋体"/>
          <w:color w:val="auto"/>
          <w:sz w:val="24"/>
          <w:highlight w:val="none"/>
          <w:u w:val="single"/>
          <w:lang w:val="en-US" w:eastAsia="zh-CN" w:bidi="ar"/>
        </w:rPr>
        <w:t>2</w:t>
      </w:r>
      <w:r>
        <w:rPr>
          <w:rFonts w:hint="eastAsia" w:ascii="宋体" w:hAnsi="宋体" w:cs="宋体"/>
          <w:color w:val="auto"/>
          <w:sz w:val="24"/>
          <w:highlight w:val="none"/>
          <w:u w:val="single"/>
          <w:lang w:eastAsia="zh-CN" w:bidi="ar"/>
        </w:rPr>
        <w:t>月</w:t>
      </w:r>
      <w:r>
        <w:rPr>
          <w:rFonts w:hint="eastAsia" w:ascii="宋体" w:hAnsi="宋体" w:cs="宋体"/>
          <w:color w:val="auto"/>
          <w:sz w:val="24"/>
          <w:highlight w:val="none"/>
          <w:u w:val="single"/>
          <w:lang w:val="en-US" w:eastAsia="zh-CN" w:bidi="ar"/>
        </w:rPr>
        <w:t>10</w:t>
      </w:r>
      <w:r>
        <w:rPr>
          <w:rFonts w:hint="eastAsia" w:ascii="宋体" w:hAnsi="宋体" w:cs="宋体"/>
          <w:color w:val="auto"/>
          <w:sz w:val="24"/>
          <w:highlight w:val="none"/>
          <w:u w:val="single"/>
          <w:lang w:eastAsia="zh-CN" w:bidi="ar"/>
        </w:rPr>
        <w:t>日</w:t>
      </w:r>
      <w:r>
        <w:rPr>
          <w:rFonts w:hint="eastAsia" w:ascii="宋体" w:hAnsi="宋体" w:cs="宋体"/>
          <w:color w:val="auto"/>
          <w:sz w:val="24"/>
          <w:highlight w:val="none"/>
          <w:u w:val="single"/>
          <w:lang w:val="en-US" w:eastAsia="zh-CN" w:bidi="ar"/>
        </w:rPr>
        <w:t>0</w:t>
      </w:r>
      <w:r>
        <w:rPr>
          <w:rFonts w:hint="eastAsia" w:ascii="宋体" w:hAnsi="宋体" w:cs="宋体"/>
          <w:color w:val="auto"/>
          <w:sz w:val="24"/>
          <w:highlight w:val="none"/>
          <w:u w:val="single"/>
          <w:lang w:eastAsia="zh-CN" w:bidi="ar"/>
        </w:rPr>
        <w:t>9时30分00秒</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065773E5">
      <w:pPr>
        <w:pageBreakBefore w:val="0"/>
        <w:wordWrap w:val="0"/>
        <w:overflowPunct/>
        <w:topLinePunct w:val="0"/>
        <w:bidi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一、项目基本情况</w:t>
      </w:r>
    </w:p>
    <w:p w14:paraId="03451019">
      <w:pPr>
        <w:pageBreakBefore w:val="0"/>
        <w:wordWrap w:val="0"/>
        <w:overflowPunct/>
        <w:topLinePunct w:val="0"/>
        <w:bidi w:val="0"/>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项目编号：NNZC2025-G3-991501-GXYZ</w:t>
      </w:r>
    </w:p>
    <w:p w14:paraId="1FF941D6">
      <w:pPr>
        <w:pageBreakBefore w:val="0"/>
        <w:wordWrap w:val="0"/>
        <w:overflowPunct/>
        <w:topLinePunct w:val="0"/>
        <w:bidi w:val="0"/>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采购计划文号：NNZC[2025]9386号</w:t>
      </w:r>
    </w:p>
    <w:p w14:paraId="1C9D13F1">
      <w:pPr>
        <w:pageBreakBefore w:val="0"/>
        <w:wordWrap w:val="0"/>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项目名称：南宁市第一人民医院污水处理系统运营服务采购项目</w:t>
      </w:r>
    </w:p>
    <w:p w14:paraId="5892500E">
      <w:pPr>
        <w:pageBreakBefore w:val="0"/>
        <w:wordWrap w:val="0"/>
        <w:overflowPunct/>
        <w:topLinePunct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预算金额：人民币</w:t>
      </w:r>
      <w:r>
        <w:rPr>
          <w:rFonts w:hint="eastAsia" w:ascii="宋体" w:hAnsi="宋体" w:cs="宋体"/>
          <w:color w:val="auto"/>
          <w:sz w:val="24"/>
          <w:highlight w:val="none"/>
          <w:lang w:val="en-US" w:eastAsia="zh-CN"/>
        </w:rPr>
        <w:t>柒拾捌万陆仟肆佰元整</w:t>
      </w:r>
      <w:r>
        <w:rPr>
          <w:rFonts w:hint="eastAsia" w:ascii="宋体" w:hAnsi="宋体" w:cs="宋体"/>
          <w:color w:val="auto"/>
          <w:sz w:val="24"/>
          <w:highlight w:val="none"/>
        </w:rPr>
        <w:t>（¥786400.00）</w:t>
      </w:r>
    </w:p>
    <w:p w14:paraId="6C4DB6DD">
      <w:pPr>
        <w:pageBreakBefore w:val="0"/>
        <w:wordWrap w:val="0"/>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最高限价：人民币</w:t>
      </w:r>
      <w:r>
        <w:rPr>
          <w:rFonts w:hint="eastAsia" w:ascii="宋体" w:hAnsi="宋体" w:cs="宋体"/>
          <w:color w:val="auto"/>
          <w:sz w:val="24"/>
          <w:highlight w:val="none"/>
          <w:lang w:val="en-US" w:eastAsia="zh-CN"/>
        </w:rPr>
        <w:t>柒拾捌万陆仟肆佰元整</w:t>
      </w:r>
      <w:r>
        <w:rPr>
          <w:rFonts w:hint="eastAsia" w:ascii="宋体" w:hAnsi="宋体" w:cs="宋体"/>
          <w:color w:val="auto"/>
          <w:sz w:val="24"/>
          <w:highlight w:val="none"/>
        </w:rPr>
        <w:t>（¥786400.00）</w:t>
      </w:r>
    </w:p>
    <w:p w14:paraId="5D2F0576">
      <w:pPr>
        <w:pageBreakBefore w:val="0"/>
        <w:wordWrap w:val="0"/>
        <w:overflowPunct/>
        <w:topLinePunct w:val="0"/>
        <w:bidi w:val="0"/>
        <w:spacing w:line="360" w:lineRule="auto"/>
        <w:rPr>
          <w:color w:val="auto"/>
          <w:highlight w:val="none"/>
        </w:rPr>
      </w:pPr>
      <w:r>
        <w:rPr>
          <w:rFonts w:hint="eastAsia" w:ascii="宋体" w:hAnsi="宋体" w:cs="宋体"/>
          <w:color w:val="auto"/>
          <w:sz w:val="24"/>
          <w:highlight w:val="none"/>
        </w:rPr>
        <w:t xml:space="preserve">采购需求： </w:t>
      </w:r>
    </w:p>
    <w:tbl>
      <w:tblPr>
        <w:tblStyle w:val="22"/>
        <w:tblW w:w="101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2"/>
        <w:gridCol w:w="2046"/>
        <w:gridCol w:w="600"/>
        <w:gridCol w:w="613"/>
        <w:gridCol w:w="6262"/>
      </w:tblGrid>
      <w:tr w14:paraId="63577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26D1213B">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2046" w:type="dxa"/>
            <w:tcBorders>
              <w:top w:val="single" w:color="auto" w:sz="4" w:space="0"/>
              <w:left w:val="single" w:color="auto" w:sz="4" w:space="0"/>
              <w:bottom w:val="single" w:color="auto" w:sz="4" w:space="0"/>
              <w:right w:val="single" w:color="auto" w:sz="4" w:space="0"/>
            </w:tcBorders>
            <w:vAlign w:val="center"/>
          </w:tcPr>
          <w:p w14:paraId="5342231C">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标的的名称</w:t>
            </w:r>
          </w:p>
        </w:tc>
        <w:tc>
          <w:tcPr>
            <w:tcW w:w="600" w:type="dxa"/>
            <w:tcBorders>
              <w:top w:val="single" w:color="auto" w:sz="4" w:space="0"/>
              <w:left w:val="single" w:color="auto" w:sz="4" w:space="0"/>
              <w:bottom w:val="single" w:color="auto" w:sz="4" w:space="0"/>
              <w:right w:val="single" w:color="auto" w:sz="4" w:space="0"/>
            </w:tcBorders>
            <w:vAlign w:val="center"/>
          </w:tcPr>
          <w:p w14:paraId="0CFCC0CA">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单位</w:t>
            </w:r>
          </w:p>
        </w:tc>
        <w:tc>
          <w:tcPr>
            <w:tcW w:w="613" w:type="dxa"/>
            <w:tcBorders>
              <w:top w:val="single" w:color="auto" w:sz="4" w:space="0"/>
              <w:left w:val="single" w:color="auto" w:sz="4" w:space="0"/>
              <w:bottom w:val="single" w:color="auto" w:sz="4" w:space="0"/>
              <w:right w:val="single" w:color="auto" w:sz="4" w:space="0"/>
            </w:tcBorders>
            <w:vAlign w:val="center"/>
          </w:tcPr>
          <w:p w14:paraId="3CFFBD76">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6262" w:type="dxa"/>
            <w:tcBorders>
              <w:top w:val="single" w:color="auto" w:sz="4" w:space="0"/>
              <w:left w:val="single" w:color="auto" w:sz="4" w:space="0"/>
              <w:bottom w:val="single" w:color="auto" w:sz="4" w:space="0"/>
              <w:right w:val="single" w:color="auto" w:sz="4" w:space="0"/>
            </w:tcBorders>
            <w:vAlign w:val="center"/>
          </w:tcPr>
          <w:p w14:paraId="33D1416B">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简要服务要求或者技术需求</w:t>
            </w:r>
          </w:p>
        </w:tc>
      </w:tr>
      <w:tr w14:paraId="4A777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2" w:type="dxa"/>
            <w:tcBorders>
              <w:top w:val="single" w:color="auto" w:sz="4" w:space="0"/>
              <w:left w:val="single" w:color="auto" w:sz="4" w:space="0"/>
              <w:bottom w:val="single" w:color="auto" w:sz="4" w:space="0"/>
              <w:right w:val="single" w:color="auto" w:sz="4" w:space="0"/>
            </w:tcBorders>
            <w:vAlign w:val="center"/>
          </w:tcPr>
          <w:p w14:paraId="7FC8B33F">
            <w:pPr>
              <w:keepNext w:val="0"/>
              <w:keepLines w:val="0"/>
              <w:pageBreakBefore w:val="0"/>
              <w:kinsoku/>
              <w:wordWrap w:val="0"/>
              <w:overflowPunct/>
              <w:topLinePunct w:val="0"/>
              <w:autoSpaceDE/>
              <w:autoSpaceDN/>
              <w:bidi w:val="0"/>
              <w:adjustRightInd/>
              <w:snapToGrid/>
              <w:spacing w:line="360" w:lineRule="auto"/>
              <w:textAlignment w:val="auto"/>
              <w:rPr>
                <w:rFonts w:ascii="宋体" w:hAnsi="宋体" w:cs="宋体"/>
                <w:color w:val="auto"/>
                <w:sz w:val="24"/>
                <w:highlight w:val="none"/>
              </w:rPr>
            </w:pPr>
            <w:r>
              <w:rPr>
                <w:rFonts w:hint="eastAsia" w:ascii="宋体" w:hAnsi="宋体" w:eastAsia="宋体" w:cs="宋体"/>
                <w:bCs/>
                <w:color w:val="auto"/>
                <w:sz w:val="24"/>
                <w:szCs w:val="24"/>
                <w:highlight w:val="none"/>
              </w:rPr>
              <w:t>1</w:t>
            </w:r>
          </w:p>
        </w:tc>
        <w:tc>
          <w:tcPr>
            <w:tcW w:w="2046" w:type="dxa"/>
            <w:tcBorders>
              <w:top w:val="single" w:color="auto" w:sz="4" w:space="0"/>
              <w:left w:val="single" w:color="auto" w:sz="4" w:space="0"/>
              <w:bottom w:val="single" w:color="auto" w:sz="4" w:space="0"/>
              <w:right w:val="single" w:color="auto" w:sz="4" w:space="0"/>
            </w:tcBorders>
            <w:vAlign w:val="center"/>
          </w:tcPr>
          <w:p w14:paraId="71E10DB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南宁市第一人民医院污水处理系统运营服务采购项目</w:t>
            </w:r>
          </w:p>
        </w:tc>
        <w:tc>
          <w:tcPr>
            <w:tcW w:w="600" w:type="dxa"/>
            <w:tcBorders>
              <w:top w:val="single" w:color="auto" w:sz="4" w:space="0"/>
              <w:left w:val="single" w:color="auto" w:sz="4" w:space="0"/>
              <w:bottom w:val="single" w:color="auto" w:sz="4" w:space="0"/>
              <w:right w:val="single" w:color="auto" w:sz="4" w:space="0"/>
            </w:tcBorders>
            <w:vAlign w:val="center"/>
          </w:tcPr>
          <w:p w14:paraId="1A25933D">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项</w:t>
            </w:r>
          </w:p>
        </w:tc>
        <w:tc>
          <w:tcPr>
            <w:tcW w:w="613" w:type="dxa"/>
            <w:tcBorders>
              <w:top w:val="single" w:color="auto" w:sz="4" w:space="0"/>
              <w:left w:val="single" w:color="auto" w:sz="4" w:space="0"/>
              <w:bottom w:val="single" w:color="auto" w:sz="4" w:space="0"/>
              <w:right w:val="single" w:color="auto" w:sz="4" w:space="0"/>
            </w:tcBorders>
            <w:vAlign w:val="center"/>
          </w:tcPr>
          <w:p w14:paraId="61E2C9F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1</w:t>
            </w:r>
          </w:p>
        </w:tc>
        <w:tc>
          <w:tcPr>
            <w:tcW w:w="6262" w:type="dxa"/>
            <w:tcBorders>
              <w:top w:val="single" w:color="auto" w:sz="4" w:space="0"/>
              <w:left w:val="single" w:color="auto" w:sz="4" w:space="0"/>
              <w:bottom w:val="single" w:color="auto" w:sz="4" w:space="0"/>
              <w:right w:val="single" w:color="auto" w:sz="4" w:space="0"/>
            </w:tcBorders>
            <w:vAlign w:val="center"/>
          </w:tcPr>
          <w:p w14:paraId="4CC8184D">
            <w:pPr>
              <w:wordWrap w:val="0"/>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一、基本情况</w:t>
            </w:r>
          </w:p>
          <w:p w14:paraId="574E1775">
            <w:pPr>
              <w:wordWrap w:val="0"/>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总院污水站实际处理量约1600吨/天、总院感染性疾病楼污水站实际处理量约25吨/天，埌东医院污水站实际处理量约118吨/天，青秀分院污水站实际处理量约150吨/天，枫林社区服务中心污水站实际处理量约15吨/天，南湖社区卫生服务中心污水站实际处理量约5吨/天，安阳社区卫生服务中心污水站实际处理量约15吨/天。</w:t>
            </w:r>
          </w:p>
          <w:p w14:paraId="28A4BBC6">
            <w:pPr>
              <w:pageBreakBefore w:val="0"/>
              <w:wordWrap w:val="0"/>
              <w:overflowPunct/>
              <w:topLinePunct w:val="0"/>
              <w:bidi w:val="0"/>
              <w:spacing w:line="360" w:lineRule="auto"/>
              <w:ind w:firstLine="482" w:firstLineChars="200"/>
              <w:rPr>
                <w:rFonts w:ascii="宋体" w:hAnsi="宋体" w:cs="宋体"/>
                <w:color w:val="auto"/>
                <w:sz w:val="24"/>
                <w:highlight w:val="none"/>
              </w:rPr>
            </w:pPr>
            <w:r>
              <w:rPr>
                <w:rFonts w:hint="eastAsia" w:ascii="宋体" w:hAnsi="宋体" w:cs="宋体"/>
                <w:b/>
                <w:bCs/>
                <w:color w:val="auto"/>
                <w:sz w:val="24"/>
                <w:szCs w:val="24"/>
                <w:highlight w:val="none"/>
                <w:vertAlign w:val="baseline"/>
                <w:lang w:eastAsia="zh-CN"/>
              </w:rPr>
              <w:t>……具体</w:t>
            </w:r>
            <w:r>
              <w:rPr>
                <w:rFonts w:hint="eastAsia" w:ascii="宋体" w:hAnsi="宋体" w:eastAsia="宋体" w:cs="宋体"/>
                <w:b/>
                <w:bCs/>
                <w:color w:val="auto"/>
                <w:sz w:val="24"/>
                <w:szCs w:val="24"/>
                <w:highlight w:val="none"/>
                <w:vertAlign w:val="baseline"/>
                <w:lang w:eastAsia="zh-CN"/>
              </w:rPr>
              <w:t>详见公开招标文件</w:t>
            </w:r>
            <w:r>
              <w:rPr>
                <w:rFonts w:hint="eastAsia" w:ascii="宋体" w:hAnsi="宋体" w:cs="宋体"/>
                <w:b/>
                <w:bCs/>
                <w:color w:val="auto"/>
                <w:sz w:val="24"/>
                <w:szCs w:val="24"/>
                <w:highlight w:val="none"/>
                <w:vertAlign w:val="baseline"/>
                <w:lang w:val="en-US" w:eastAsia="zh-CN"/>
              </w:rPr>
              <w:t xml:space="preserve"> </w:t>
            </w:r>
            <w:r>
              <w:rPr>
                <w:rFonts w:hint="eastAsia" w:ascii="宋体" w:hAnsi="宋体" w:eastAsia="宋体" w:cs="宋体"/>
                <w:b/>
                <w:bCs/>
                <w:color w:val="auto"/>
                <w:sz w:val="24"/>
                <w:szCs w:val="24"/>
                <w:highlight w:val="none"/>
                <w:vertAlign w:val="baseline"/>
                <w:lang w:eastAsia="zh-CN"/>
              </w:rPr>
              <w:t>第二章 采购需求</w:t>
            </w:r>
            <w:r>
              <w:rPr>
                <w:rFonts w:hint="eastAsia" w:ascii="宋体" w:hAnsi="宋体" w:cs="宋体"/>
                <w:b/>
                <w:bCs/>
                <w:color w:val="auto"/>
                <w:sz w:val="24"/>
                <w:szCs w:val="24"/>
                <w:highlight w:val="none"/>
                <w:vertAlign w:val="baseline"/>
                <w:lang w:eastAsia="zh-CN"/>
              </w:rPr>
              <w:t>。</w:t>
            </w:r>
          </w:p>
        </w:tc>
      </w:tr>
    </w:tbl>
    <w:p w14:paraId="2DE7F291">
      <w:pPr>
        <w:pageBreakBefore w:val="0"/>
        <w:wordWrap w:val="0"/>
        <w:overflowPunct/>
        <w:topLinePunct w:val="0"/>
        <w:bidi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合同履行期限：详见公开招标文件。</w:t>
      </w:r>
    </w:p>
    <w:p w14:paraId="4D27D607">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是否接受联合体投标：本项目</w:t>
      </w:r>
      <w:r>
        <w:rPr>
          <w:rFonts w:hint="eastAsia" w:ascii="宋体" w:hAnsi="宋体" w:cs="宋体"/>
          <w:color w:val="auto"/>
          <w:sz w:val="24"/>
          <w:highlight w:val="none"/>
          <w:lang w:val="en-US" w:eastAsia="zh-CN"/>
        </w:rPr>
        <w:t>不</w:t>
      </w:r>
      <w:r>
        <w:rPr>
          <w:rFonts w:hint="eastAsia" w:ascii="宋体" w:hAnsi="宋体" w:cs="宋体"/>
          <w:color w:val="auto"/>
          <w:sz w:val="24"/>
          <w:highlight w:val="none"/>
        </w:rPr>
        <w:t>接受联合体。</w:t>
      </w:r>
    </w:p>
    <w:p w14:paraId="3C2BB026">
      <w:pPr>
        <w:pageBreakBefore w:val="0"/>
        <w:wordWrap w:val="0"/>
        <w:overflowPunct/>
        <w:topLinePunct w:val="0"/>
        <w:bidi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二、投标人的资格要求：</w:t>
      </w:r>
    </w:p>
    <w:p w14:paraId="0F86DEEE">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5DF5F4D2">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2.落实政府采购政策需满足的资格要求：专门面向</w:t>
      </w:r>
      <w:r>
        <w:rPr>
          <w:rFonts w:hint="eastAsia" w:ascii="宋体" w:hAnsi="宋体" w:cs="宋体"/>
          <w:color w:val="auto"/>
          <w:sz w:val="24"/>
          <w:highlight w:val="none"/>
          <w:lang w:val="en-US" w:eastAsia="zh-CN"/>
        </w:rPr>
        <w:t>中小</w:t>
      </w:r>
      <w:r>
        <w:rPr>
          <w:rFonts w:hint="eastAsia" w:ascii="宋体" w:hAnsi="宋体" w:cs="宋体"/>
          <w:color w:val="auto"/>
          <w:sz w:val="24"/>
          <w:highlight w:val="none"/>
        </w:rPr>
        <w:t>企业采购的项目（供应商应为</w:t>
      </w:r>
      <w:r>
        <w:rPr>
          <w:rFonts w:hint="eastAsia" w:ascii="宋体" w:hAnsi="宋体" w:cs="宋体"/>
          <w:color w:val="auto"/>
          <w:sz w:val="24"/>
          <w:highlight w:val="none"/>
          <w:lang w:val="en-US" w:eastAsia="zh-CN"/>
        </w:rPr>
        <w:t>中、</w:t>
      </w:r>
      <w:r>
        <w:rPr>
          <w:rFonts w:hint="eastAsia" w:ascii="宋体" w:hAnsi="宋体" w:cs="宋体"/>
          <w:color w:val="auto"/>
          <w:sz w:val="24"/>
          <w:highlight w:val="none"/>
        </w:rPr>
        <w:t>小</w:t>
      </w:r>
      <w:r>
        <w:rPr>
          <w:rFonts w:hint="eastAsia" w:ascii="宋体" w:hAnsi="宋体" w:cs="宋体"/>
          <w:color w:val="auto"/>
          <w:sz w:val="24"/>
          <w:highlight w:val="none"/>
          <w:lang w:eastAsia="zh-CN"/>
        </w:rPr>
        <w:t>、</w:t>
      </w:r>
      <w:r>
        <w:rPr>
          <w:rFonts w:hint="eastAsia" w:ascii="宋体" w:hAnsi="宋体" w:cs="宋体"/>
          <w:color w:val="auto"/>
          <w:sz w:val="24"/>
          <w:highlight w:val="none"/>
        </w:rPr>
        <w:t>微企业、监狱企业、残疾人福利性单位)</w:t>
      </w:r>
      <w:r>
        <w:rPr>
          <w:rFonts w:hint="eastAsia" w:ascii="宋体" w:hAnsi="宋体" w:cs="宋体"/>
          <w:color w:val="auto"/>
          <w:sz w:val="24"/>
          <w:highlight w:val="none"/>
          <w:lang w:eastAsia="zh-CN"/>
        </w:rPr>
        <w:t>。</w:t>
      </w:r>
    </w:p>
    <w:p w14:paraId="49A5B1FE">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w:t>
      </w:r>
      <w:r>
        <w:rPr>
          <w:rFonts w:hint="eastAsia" w:ascii="宋体" w:hAnsi="宋体" w:cs="宋体"/>
          <w:color w:val="auto"/>
          <w:sz w:val="24"/>
          <w:highlight w:val="none"/>
          <w:lang w:val="en-US" w:eastAsia="zh-CN"/>
        </w:rPr>
        <w:t>无</w:t>
      </w:r>
      <w:r>
        <w:rPr>
          <w:rFonts w:hint="eastAsia" w:ascii="宋体" w:hAnsi="宋体" w:cs="宋体"/>
          <w:color w:val="auto"/>
          <w:sz w:val="24"/>
          <w:highlight w:val="none"/>
          <w:lang w:eastAsia="zh-CN"/>
        </w:rPr>
        <w:t>。</w:t>
      </w:r>
    </w:p>
    <w:p w14:paraId="4C1B2808">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4.本项目的特定条件：无。</w:t>
      </w:r>
    </w:p>
    <w:p w14:paraId="75397820">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2C20943">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 对在“信用中国”网站(www.creditchina.gov.cn) 、中国政府采购网(www.ccgp.gov.cn)被列入失信被执行人、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、政府采购严重违法失信行为记录名单及其他不符合《中华人民共和国政府采购法》第二十二条规定条件的供应商，不得参与政府采购活动。</w:t>
      </w:r>
    </w:p>
    <w:p w14:paraId="7E823B3B">
      <w:pPr>
        <w:pageBreakBefore w:val="0"/>
        <w:wordWrap w:val="0"/>
        <w:overflowPunct/>
        <w:topLinePunct w:val="0"/>
        <w:bidi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三、获取招标文件</w:t>
      </w:r>
    </w:p>
    <w:p w14:paraId="575D6515">
      <w:pPr>
        <w:pageBreakBefore w:val="0"/>
        <w:wordWrap w:val="0"/>
        <w:overflowPunct/>
        <w:topLinePunct w:val="0"/>
        <w:bidi w:val="0"/>
        <w:snapToGrid w:val="0"/>
        <w:spacing w:line="360" w:lineRule="auto"/>
        <w:ind w:firstLine="540" w:firstLineChars="225"/>
        <w:rPr>
          <w:rFonts w:ascii="宋体" w:hAnsi="宋体" w:cs="宋体"/>
          <w:color w:val="auto"/>
          <w:sz w:val="24"/>
          <w:highlight w:val="none"/>
        </w:rPr>
      </w:pPr>
      <w:r>
        <w:rPr>
          <w:rFonts w:hint="eastAsia" w:ascii="宋体" w:hAnsi="宋体" w:cs="宋体"/>
          <w:color w:val="auto"/>
          <w:sz w:val="24"/>
          <w:highlight w:val="none"/>
        </w:rPr>
        <w:t>时间：自公告发布之日起。</w:t>
      </w:r>
    </w:p>
    <w:p w14:paraId="1659417E">
      <w:pPr>
        <w:pageBreakBefore w:val="0"/>
        <w:wordWrap w:val="0"/>
        <w:overflowPunct/>
        <w:topLinePunct w:val="0"/>
        <w:bidi w:val="0"/>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获取方式:网上下载。本项目不发放纸质文件，供应商可自行在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color w:val="auto"/>
          <w:sz w:val="24"/>
          <w:highlight w:val="none"/>
        </w:rPr>
        <w:t>广西政府采购云平台（https://login.gcy.zfcg.gxzf.gov.cn/user-login/#/）下载招标文件（操作路径：登录广西政府采购云平台-项目采购-获取采购文件-找到本项目-点击“申请获取采购文件”），电子投标文件制作需要基于广西政府采购云平台获取的招标文件编制。</w:t>
      </w:r>
    </w:p>
    <w:p w14:paraId="3E7B7499">
      <w:pPr>
        <w:pageBreakBefore w:val="0"/>
        <w:wordWrap w:val="0"/>
        <w:overflowPunct/>
        <w:topLinePunct w:val="0"/>
        <w:bidi w:val="0"/>
        <w:snapToGrid w:val="0"/>
        <w:spacing w:line="360" w:lineRule="auto"/>
        <w:ind w:firstLine="540" w:firstLineChars="225"/>
        <w:rPr>
          <w:rFonts w:ascii="宋体" w:hAnsi="宋体" w:cs="宋体"/>
          <w:color w:val="auto"/>
          <w:sz w:val="24"/>
          <w:highlight w:val="none"/>
        </w:rPr>
      </w:pPr>
      <w:r>
        <w:rPr>
          <w:rFonts w:hint="eastAsia" w:ascii="宋体" w:hAnsi="宋体" w:cs="宋体"/>
          <w:color w:val="auto"/>
          <w:sz w:val="24"/>
          <w:highlight w:val="none"/>
        </w:rPr>
        <w:t>售价：0元。</w:t>
      </w:r>
    </w:p>
    <w:p w14:paraId="44CE5443">
      <w:pPr>
        <w:pageBreakBefore w:val="0"/>
        <w:wordWrap w:val="0"/>
        <w:overflowPunct/>
        <w:topLinePunct w:val="0"/>
        <w:bidi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四、提交投标文件截止时间、开标时间和地点</w:t>
      </w:r>
    </w:p>
    <w:p w14:paraId="05B6C9B7">
      <w:pPr>
        <w:pageBreakBefore w:val="0"/>
        <w:wordWrap w:val="0"/>
        <w:overflowPunct/>
        <w:topLinePunct w:val="0"/>
        <w:bidi w:val="0"/>
        <w:spacing w:line="360" w:lineRule="auto"/>
        <w:ind w:firstLine="480" w:firstLineChars="200"/>
        <w:rPr>
          <w:rFonts w:ascii="宋体" w:hAnsi="宋体" w:cs="宋体"/>
          <w:color w:val="auto"/>
          <w:sz w:val="24"/>
          <w:highlight w:val="none"/>
          <w:u w:val="single"/>
        </w:rPr>
      </w:pPr>
      <w:r>
        <w:rPr>
          <w:rFonts w:hint="eastAsia" w:ascii="宋体" w:hAnsi="宋体" w:cs="宋体"/>
          <w:bCs/>
          <w:color w:val="auto"/>
          <w:sz w:val="24"/>
          <w:highlight w:val="none"/>
        </w:rPr>
        <w:t>1、提交投标文件截止时间和开标时间：</w:t>
      </w:r>
      <w:r>
        <w:rPr>
          <w:rFonts w:hint="eastAsia" w:ascii="宋体" w:hAnsi="宋体" w:cs="宋体"/>
          <w:color w:val="auto"/>
          <w:sz w:val="24"/>
          <w:highlight w:val="none"/>
          <w:u w:val="single"/>
          <w:lang w:eastAsia="zh-CN" w:bidi="ar"/>
        </w:rPr>
        <w:t>202</w:t>
      </w:r>
      <w:r>
        <w:rPr>
          <w:rFonts w:hint="eastAsia" w:ascii="宋体" w:hAnsi="宋体" w:cs="宋体"/>
          <w:color w:val="auto"/>
          <w:sz w:val="24"/>
          <w:highlight w:val="none"/>
          <w:u w:val="single"/>
          <w:lang w:val="en-US" w:eastAsia="zh-CN" w:bidi="ar"/>
        </w:rPr>
        <w:t>6</w:t>
      </w:r>
      <w:r>
        <w:rPr>
          <w:rFonts w:hint="eastAsia" w:ascii="宋体" w:hAnsi="宋体" w:cs="宋体"/>
          <w:color w:val="auto"/>
          <w:sz w:val="24"/>
          <w:highlight w:val="none"/>
          <w:u w:val="single"/>
          <w:lang w:eastAsia="zh-CN" w:bidi="ar"/>
        </w:rPr>
        <w:t>年</w:t>
      </w:r>
      <w:r>
        <w:rPr>
          <w:rFonts w:hint="eastAsia" w:ascii="宋体" w:hAnsi="宋体" w:cs="宋体"/>
          <w:color w:val="auto"/>
          <w:sz w:val="24"/>
          <w:highlight w:val="none"/>
          <w:u w:val="single"/>
          <w:lang w:val="en-US" w:eastAsia="zh-CN" w:bidi="ar"/>
        </w:rPr>
        <w:t>2</w:t>
      </w:r>
      <w:r>
        <w:rPr>
          <w:rFonts w:hint="eastAsia" w:ascii="宋体" w:hAnsi="宋体" w:cs="宋体"/>
          <w:color w:val="auto"/>
          <w:sz w:val="24"/>
          <w:highlight w:val="none"/>
          <w:u w:val="single"/>
          <w:lang w:eastAsia="zh-CN" w:bidi="ar"/>
        </w:rPr>
        <w:t>月</w:t>
      </w:r>
      <w:r>
        <w:rPr>
          <w:rFonts w:hint="eastAsia" w:ascii="宋体" w:hAnsi="宋体" w:cs="宋体"/>
          <w:color w:val="auto"/>
          <w:sz w:val="24"/>
          <w:highlight w:val="none"/>
          <w:u w:val="single"/>
          <w:lang w:val="en-US" w:eastAsia="zh-CN" w:bidi="ar"/>
        </w:rPr>
        <w:t>10</w:t>
      </w:r>
      <w:r>
        <w:rPr>
          <w:rFonts w:hint="eastAsia" w:ascii="宋体" w:hAnsi="宋体" w:cs="宋体"/>
          <w:color w:val="auto"/>
          <w:sz w:val="24"/>
          <w:highlight w:val="none"/>
          <w:u w:val="single"/>
          <w:lang w:eastAsia="zh-CN" w:bidi="ar"/>
        </w:rPr>
        <w:t>日</w:t>
      </w:r>
      <w:r>
        <w:rPr>
          <w:rFonts w:hint="eastAsia" w:ascii="宋体" w:hAnsi="宋体" w:cs="宋体"/>
          <w:color w:val="auto"/>
          <w:sz w:val="24"/>
          <w:highlight w:val="none"/>
          <w:u w:val="single"/>
          <w:lang w:val="en-US" w:eastAsia="zh-CN" w:bidi="ar"/>
        </w:rPr>
        <w:t>0</w:t>
      </w:r>
      <w:r>
        <w:rPr>
          <w:rFonts w:hint="eastAsia" w:ascii="宋体" w:hAnsi="宋体" w:cs="宋体"/>
          <w:color w:val="auto"/>
          <w:sz w:val="24"/>
          <w:highlight w:val="none"/>
          <w:u w:val="single"/>
          <w:lang w:eastAsia="zh-CN" w:bidi="ar"/>
        </w:rPr>
        <w:t>9时30分00秒</w:t>
      </w:r>
      <w:r>
        <w:rPr>
          <w:rFonts w:hint="eastAsia" w:ascii="宋体" w:hAnsi="宋体" w:cs="宋体"/>
          <w:bCs/>
          <w:color w:val="auto"/>
          <w:sz w:val="24"/>
          <w:highlight w:val="none"/>
        </w:rPr>
        <w:t>（北京时间）</w:t>
      </w:r>
    </w:p>
    <w:p w14:paraId="1CD1972D">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2、投标和开标地点：</w:t>
      </w:r>
    </w:p>
    <w:p w14:paraId="5EC1A3B5">
      <w:pPr>
        <w:pageBreakBefore w:val="0"/>
        <w:widowControl/>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（1）投标文件提交方式：本项目为南宁市全流程电子化项目，通过广西政府采购云平台（https://login.gcy.zfcg.gxzf.gov.cn/user-login/#/）实行在线电子投标，供应商应先安装“</w:t>
      </w:r>
      <w:r>
        <w:rPr>
          <w:rFonts w:hint="eastAsia" w:ascii="宋体" w:hAnsi="宋体" w:cs="宋体"/>
          <w:color w:val="auto"/>
          <w:sz w:val="24"/>
          <w:highlight w:val="none"/>
          <w:lang w:val="en-US" w:eastAsia="zh-CN"/>
        </w:rPr>
        <w:t>广西采购云平台</w:t>
      </w:r>
      <w:r>
        <w:rPr>
          <w:rFonts w:hint="eastAsia" w:ascii="宋体" w:hAnsi="宋体" w:cs="宋体"/>
          <w:color w:val="auto"/>
          <w:sz w:val="24"/>
          <w:highlight w:val="none"/>
        </w:rPr>
        <w:t>电子交易客户端”（请自行前往广西政府采购云平台进行下载），并按照本项目招标文件和广西政府采购云平台的要求编制、加密后在投标截止时间前通过网络上传至南宁市广西政府采购云平台，</w:t>
      </w:r>
      <w:r>
        <w:rPr>
          <w:rFonts w:hint="eastAsia" w:ascii="宋体" w:hAnsi="宋体" w:cs="宋体"/>
          <w:b/>
          <w:color w:val="auto"/>
          <w:sz w:val="24"/>
          <w:highlight w:val="none"/>
        </w:rPr>
        <w:t>供应商在广西政府采购云平台提交电子版投标文件时，请填写参加远程开标活动经办人联系方式，</w:t>
      </w:r>
      <w:r>
        <w:rPr>
          <w:rFonts w:hint="eastAsia" w:ascii="宋体" w:hAnsi="宋体" w:cs="宋体"/>
          <w:color w:val="auto"/>
          <w:sz w:val="24"/>
          <w:highlight w:val="none"/>
        </w:rPr>
        <w:t>电子投标具体操作流程详见本公告附件 。</w:t>
      </w:r>
    </w:p>
    <w:p w14:paraId="547F0A2B">
      <w:pPr>
        <w:pageBreakBefore w:val="0"/>
        <w:widowControl/>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72C02166">
      <w:pPr>
        <w:pageBreakBefore w:val="0"/>
        <w:widowControl/>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（3）为确保网上操作合法、有效和安全，请投标人确保在电子投标过程中能够对相关数据电文进行加密和使用电子签章，妥善保管CA数字证书并使用有效的CA数字证书参与整个招标活动。</w:t>
      </w:r>
    </w:p>
    <w:p w14:paraId="42624634">
      <w:pPr>
        <w:pageBreakBefore w:val="0"/>
        <w:wordWrap w:val="0"/>
        <w:overflowPunct/>
        <w:topLinePunct w:val="0"/>
        <w:bidi w:val="0"/>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1928B066">
      <w:pPr>
        <w:pageBreakBefore w:val="0"/>
        <w:widowControl/>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（4）开标地点：本次招标将于</w:t>
      </w:r>
      <w:r>
        <w:rPr>
          <w:rFonts w:hint="eastAsia" w:ascii="宋体" w:hAnsi="宋体" w:cs="宋体"/>
          <w:color w:val="auto"/>
          <w:sz w:val="24"/>
          <w:highlight w:val="none"/>
          <w:u w:val="single"/>
          <w:lang w:eastAsia="zh-CN" w:bidi="ar"/>
        </w:rPr>
        <w:t>202</w:t>
      </w:r>
      <w:r>
        <w:rPr>
          <w:rFonts w:hint="eastAsia" w:ascii="宋体" w:hAnsi="宋体" w:cs="宋体"/>
          <w:color w:val="auto"/>
          <w:sz w:val="24"/>
          <w:highlight w:val="none"/>
          <w:u w:val="single"/>
          <w:lang w:val="en-US" w:eastAsia="zh-CN" w:bidi="ar"/>
        </w:rPr>
        <w:t>6</w:t>
      </w:r>
      <w:r>
        <w:rPr>
          <w:rFonts w:hint="eastAsia" w:ascii="宋体" w:hAnsi="宋体" w:cs="宋体"/>
          <w:color w:val="auto"/>
          <w:sz w:val="24"/>
          <w:highlight w:val="none"/>
          <w:u w:val="single"/>
          <w:lang w:eastAsia="zh-CN" w:bidi="ar"/>
        </w:rPr>
        <w:t>年</w:t>
      </w:r>
      <w:r>
        <w:rPr>
          <w:rFonts w:hint="eastAsia" w:ascii="宋体" w:hAnsi="宋体" w:cs="宋体"/>
          <w:color w:val="auto"/>
          <w:sz w:val="24"/>
          <w:highlight w:val="none"/>
          <w:u w:val="single"/>
          <w:lang w:val="en-US" w:eastAsia="zh-CN" w:bidi="ar"/>
        </w:rPr>
        <w:t>2</w:t>
      </w:r>
      <w:r>
        <w:rPr>
          <w:rFonts w:hint="eastAsia" w:ascii="宋体" w:hAnsi="宋体" w:cs="宋体"/>
          <w:color w:val="auto"/>
          <w:sz w:val="24"/>
          <w:highlight w:val="none"/>
          <w:u w:val="single"/>
          <w:lang w:eastAsia="zh-CN" w:bidi="ar"/>
        </w:rPr>
        <w:t>月</w:t>
      </w:r>
      <w:r>
        <w:rPr>
          <w:rFonts w:hint="eastAsia" w:ascii="宋体" w:hAnsi="宋体" w:cs="宋体"/>
          <w:color w:val="auto"/>
          <w:sz w:val="24"/>
          <w:highlight w:val="none"/>
          <w:u w:val="single"/>
          <w:lang w:val="en-US" w:eastAsia="zh-CN" w:bidi="ar"/>
        </w:rPr>
        <w:t>10</w:t>
      </w:r>
      <w:r>
        <w:rPr>
          <w:rFonts w:hint="eastAsia" w:ascii="宋体" w:hAnsi="宋体" w:cs="宋体"/>
          <w:color w:val="auto"/>
          <w:sz w:val="24"/>
          <w:highlight w:val="none"/>
          <w:u w:val="single"/>
          <w:lang w:eastAsia="zh-CN" w:bidi="ar"/>
        </w:rPr>
        <w:t>日</w:t>
      </w:r>
      <w:r>
        <w:rPr>
          <w:rFonts w:hint="eastAsia" w:ascii="宋体" w:hAnsi="宋体" w:cs="宋体"/>
          <w:color w:val="auto"/>
          <w:sz w:val="24"/>
          <w:highlight w:val="none"/>
          <w:u w:val="single"/>
          <w:lang w:val="en-US" w:eastAsia="zh-CN" w:bidi="ar"/>
        </w:rPr>
        <w:t>0</w:t>
      </w:r>
      <w:r>
        <w:rPr>
          <w:rFonts w:hint="eastAsia" w:ascii="宋体" w:hAnsi="宋体" w:cs="宋体"/>
          <w:color w:val="auto"/>
          <w:sz w:val="24"/>
          <w:highlight w:val="none"/>
          <w:u w:val="single"/>
          <w:lang w:eastAsia="zh-CN" w:bidi="ar"/>
        </w:rPr>
        <w:t>9时30分00秒</w:t>
      </w:r>
      <w:r>
        <w:rPr>
          <w:rFonts w:hint="eastAsia" w:ascii="宋体" w:hAnsi="宋体" w:cs="宋体"/>
          <w:color w:val="auto"/>
          <w:sz w:val="24"/>
          <w:highlight w:val="none"/>
        </w:rPr>
        <w:t>在广西政府采购云平台电子开标大厅开标。</w:t>
      </w:r>
    </w:p>
    <w:p w14:paraId="363AB8DB">
      <w:pPr>
        <w:pageBreakBefore w:val="0"/>
        <w:wordWrap w:val="0"/>
        <w:overflowPunct/>
        <w:topLinePunct w:val="0"/>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（5）CA证书在线解密：供应商投标时，需携带制作投标文件时用来加密的有效数字证书（CA认证）登录广西政府采购云平台电子开标大厅现场按规定时间对加密的投标文件进行解密，</w:t>
      </w:r>
      <w:r>
        <w:rPr>
          <w:rFonts w:ascii="宋体" w:hAnsi="宋体" w:cs="宋体"/>
          <w:color w:val="auto"/>
          <w:sz w:val="24"/>
          <w:highlight w:val="none"/>
        </w:rPr>
        <w:t>未能按要求进行解密的，由此产生的后果由投标人自行承担</w:t>
      </w:r>
      <w:r>
        <w:rPr>
          <w:rFonts w:hint="eastAsia" w:ascii="宋体" w:hAnsi="宋体" w:cs="宋体"/>
          <w:color w:val="auto"/>
          <w:kern w:val="0"/>
          <w:sz w:val="24"/>
          <w:highlight w:val="none"/>
        </w:rPr>
        <w:t>。</w:t>
      </w:r>
    </w:p>
    <w:p w14:paraId="41FEDF75">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cs="宋体"/>
          <w:b/>
          <w:bCs/>
          <w:color w:val="auto"/>
          <w:sz w:val="24"/>
          <w:highlight w:val="none"/>
        </w:rPr>
      </w:pPr>
      <w:r>
        <w:rPr>
          <w:rFonts w:hint="eastAsia" w:ascii="宋体" w:hAnsi="宋体" w:cs="宋体"/>
          <w:b/>
          <w:bCs/>
          <w:color w:val="auto"/>
          <w:sz w:val="24"/>
          <w:highlight w:val="none"/>
        </w:rPr>
        <w:t>五、公告期限</w:t>
      </w:r>
    </w:p>
    <w:p w14:paraId="450E120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7B0A2ACA">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cs="宋体"/>
          <w:b/>
          <w:bCs/>
          <w:color w:val="auto"/>
          <w:sz w:val="24"/>
          <w:highlight w:val="none"/>
        </w:rPr>
      </w:pPr>
      <w:r>
        <w:rPr>
          <w:rFonts w:hint="eastAsia" w:ascii="宋体" w:hAnsi="宋体" w:cs="宋体"/>
          <w:b/>
          <w:bCs/>
          <w:color w:val="auto"/>
          <w:sz w:val="24"/>
          <w:highlight w:val="none"/>
        </w:rPr>
        <w:t>六、其他补充事宜</w:t>
      </w:r>
    </w:p>
    <w:p w14:paraId="055C2BF6">
      <w:pPr>
        <w:keepNext w:val="0"/>
        <w:keepLines w:val="0"/>
        <w:pageBreakBefore w:val="0"/>
        <w:widowControl w:val="0"/>
        <w:kinsoku/>
        <w:wordWrap w:val="0"/>
        <w:overflowPunct/>
        <w:topLinePunct w:val="0"/>
        <w:autoSpaceDE/>
        <w:autoSpaceDN/>
        <w:bidi w:val="0"/>
        <w:adjustRightInd/>
        <w:snapToGrid/>
        <w:spacing w:line="360" w:lineRule="auto"/>
        <w:ind w:firstLine="360" w:firstLineChars="15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1.投标保证金：本项目不收取投标保证金</w:t>
      </w:r>
    </w:p>
    <w:p w14:paraId="2351190B">
      <w:pPr>
        <w:keepNext w:val="0"/>
        <w:keepLines w:val="0"/>
        <w:pageBreakBefore w:val="0"/>
        <w:widowControl w:val="0"/>
        <w:kinsoku/>
        <w:wordWrap w:val="0"/>
        <w:overflowPunct/>
        <w:topLinePunct w:val="0"/>
        <w:autoSpaceDE/>
        <w:autoSpaceDN/>
        <w:bidi w:val="0"/>
        <w:adjustRightInd/>
        <w:snapToGrid/>
        <w:spacing w:line="360" w:lineRule="auto"/>
        <w:ind w:firstLine="360" w:firstLineChars="150"/>
        <w:textAlignment w:val="auto"/>
        <w:rPr>
          <w:rFonts w:hint="eastAsia" w:ascii="宋体" w:hAnsi="宋体" w:cs="宋体"/>
          <w:color w:val="auto"/>
          <w:sz w:val="24"/>
          <w:highlight w:val="none"/>
          <w:u w:val="single"/>
          <w:lang w:eastAsia="zh-CN" w:bidi="ar"/>
        </w:rPr>
      </w:pPr>
      <w:r>
        <w:rPr>
          <w:rFonts w:hint="eastAsia" w:ascii="宋体" w:hAnsi="宋体" w:cs="宋体"/>
          <w:color w:val="auto"/>
          <w:kern w:val="0"/>
          <w:sz w:val="24"/>
          <w:highlight w:val="none"/>
        </w:rPr>
        <w:t>2.采购意向公开链</w:t>
      </w:r>
      <w:r>
        <w:rPr>
          <w:rFonts w:hint="eastAsia" w:ascii="宋体" w:hAnsi="宋体" w:cs="宋体"/>
          <w:color w:val="auto"/>
          <w:kern w:val="0"/>
          <w:sz w:val="24"/>
          <w:highlight w:val="none"/>
          <w:lang w:eastAsia="zh-CN"/>
        </w:rPr>
        <w:t>接：南宁市第一人民医院2024年3月至12月政府采购意向：https://zfcg.gxzf.gov.cn/site/detail?parentId=66601&amp;articleId=nLPcM73hwtArOZHOP6ZDng==</w:t>
      </w:r>
    </w:p>
    <w:p w14:paraId="5615739D">
      <w:pPr>
        <w:keepNext w:val="0"/>
        <w:keepLines w:val="0"/>
        <w:pageBreakBefore w:val="0"/>
        <w:widowControl w:val="0"/>
        <w:kinsoku/>
        <w:wordWrap w:val="0"/>
        <w:overflowPunct/>
        <w:topLinePunct w:val="0"/>
        <w:autoSpaceDE/>
        <w:autoSpaceDN/>
        <w:bidi w:val="0"/>
        <w:adjustRightInd/>
        <w:snapToGrid/>
        <w:spacing w:line="360" w:lineRule="auto"/>
        <w:ind w:firstLine="360" w:firstLineChars="150"/>
        <w:textAlignment w:val="auto"/>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网上查询地址</w:t>
      </w:r>
    </w:p>
    <w:p w14:paraId="0203393A">
      <w:pPr>
        <w:pageBreakBefore w:val="0"/>
        <w:wordWrap w:val="0"/>
        <w:overflowPunct/>
        <w:topLinePunct w:val="0"/>
        <w:bidi w:val="0"/>
        <w:spacing w:line="360" w:lineRule="auto"/>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中国政府采购网（www.ccgp.gov.cn）、广西壮族自治区政府采购网（http://zfcg.gxzf.gov.cn/）、全国公共资源交易平台（广西·南宁）（http://ggzy.jgswj.gxzf.gov.cn/nnggzy/）；</w:t>
      </w:r>
    </w:p>
    <w:p w14:paraId="44A6933D">
      <w:pPr>
        <w:keepNext w:val="0"/>
        <w:keepLines w:val="0"/>
        <w:pageBreakBefore w:val="0"/>
        <w:widowControl w:val="0"/>
        <w:kinsoku/>
        <w:wordWrap w:val="0"/>
        <w:overflowPunct/>
        <w:topLinePunct w:val="0"/>
        <w:autoSpaceDE/>
        <w:autoSpaceDN/>
        <w:bidi w:val="0"/>
        <w:adjustRightInd/>
        <w:snapToGrid/>
        <w:spacing w:line="360" w:lineRule="auto"/>
        <w:ind w:firstLine="240" w:firstLineChars="100"/>
        <w:textAlignment w:val="auto"/>
        <w:rPr>
          <w:rFonts w:ascii="宋体" w:hAnsi="宋体" w:cs="宋体"/>
          <w:color w:val="auto"/>
          <w:kern w:val="0"/>
          <w:sz w:val="24"/>
          <w:highlight w:val="none"/>
        </w:rPr>
      </w:pPr>
      <w:r>
        <w:rPr>
          <w:rFonts w:hint="eastAsia" w:ascii="宋体" w:hAnsi="宋体" w:cs="宋体"/>
          <w:color w:val="auto"/>
          <w:kern w:val="0"/>
          <w:sz w:val="24"/>
          <w:highlight w:val="none"/>
        </w:rPr>
        <w:t>4.本项目需要落实的政府采购政策：</w:t>
      </w:r>
    </w:p>
    <w:p w14:paraId="1D474BB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（1）政府采购促进</w:t>
      </w:r>
      <w:r>
        <w:rPr>
          <w:rFonts w:hint="eastAsia" w:ascii="宋体" w:hAnsi="宋体" w:cs="宋体"/>
          <w:color w:val="auto"/>
          <w:kern w:val="0"/>
          <w:sz w:val="24"/>
          <w:highlight w:val="none"/>
          <w:lang w:val="en-US" w:eastAsia="zh-CN"/>
        </w:rPr>
        <w:t>中小</w:t>
      </w:r>
      <w:r>
        <w:rPr>
          <w:rFonts w:hint="eastAsia" w:ascii="宋体" w:hAnsi="宋体" w:cs="宋体"/>
          <w:color w:val="auto"/>
          <w:kern w:val="0"/>
          <w:sz w:val="24"/>
          <w:highlight w:val="none"/>
        </w:rPr>
        <w:t>企业发展。</w:t>
      </w:r>
    </w:p>
    <w:p w14:paraId="558173E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456F231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（3）政府采购促进残疾人就业政策。</w:t>
      </w:r>
    </w:p>
    <w:p w14:paraId="51107B1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（4）政府采购支持监狱企业发展。</w:t>
      </w:r>
    </w:p>
    <w:p w14:paraId="15E66A0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（5）扶持不发达地区和少数民族地区政策。</w:t>
      </w:r>
    </w:p>
    <w:p w14:paraId="57756EA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545D458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6.若对项目采购电子交易系统操作有疑问，可登录广西政府采购云平台（https://login.gcy.zfcg.gxzf.gov.cn/user-login/#/），点击右侧咨询小采，获取采小蜜智能服务管家帮助，或拨打服务热线95763获取热线服务帮助。</w:t>
      </w:r>
    </w:p>
    <w:p w14:paraId="6C62C559">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p>
    <w:p w14:paraId="14DC42EF">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cs="宋体"/>
          <w:color w:val="auto"/>
          <w:sz w:val="24"/>
          <w:highlight w:val="none"/>
        </w:rPr>
      </w:pPr>
      <w:r>
        <w:rPr>
          <w:rFonts w:hint="eastAsia" w:ascii="宋体" w:hAnsi="宋体" w:cs="宋体"/>
          <w:color w:val="auto"/>
          <w:sz w:val="24"/>
          <w:highlight w:val="none"/>
        </w:rPr>
        <w:t>　　　1.采购人信息</w:t>
      </w:r>
    </w:p>
    <w:p w14:paraId="2C784D18">
      <w:pPr>
        <w:keepNext w:val="0"/>
        <w:keepLines w:val="0"/>
        <w:pageBreakBefore w:val="0"/>
        <w:widowControl w:val="0"/>
        <w:kinsoku/>
        <w:wordWrap w:val="0"/>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名 称：</w:t>
      </w:r>
      <w:r>
        <w:rPr>
          <w:rFonts w:hint="eastAsia" w:ascii="宋体" w:hAnsi="宋体" w:cs="宋体"/>
          <w:color w:val="auto"/>
          <w:sz w:val="24"/>
          <w:highlight w:val="none"/>
          <w:u w:val="single"/>
          <w:lang w:eastAsia="zh-CN"/>
        </w:rPr>
        <w:t>南宁市第一人民医院</w:t>
      </w:r>
    </w:p>
    <w:p w14:paraId="60EA7867">
      <w:pPr>
        <w:keepNext w:val="0"/>
        <w:keepLines w:val="0"/>
        <w:pageBreakBefore w:val="0"/>
        <w:widowControl w:val="0"/>
        <w:kinsoku/>
        <w:wordWrap w:val="0"/>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lang w:eastAsia="zh-CN"/>
        </w:rPr>
        <w:t>广西南宁市七星路89号</w:t>
      </w:r>
    </w:p>
    <w:p w14:paraId="49D93DF8">
      <w:pPr>
        <w:keepNext w:val="0"/>
        <w:keepLines w:val="0"/>
        <w:pageBreakBefore w:val="0"/>
        <w:widowControl w:val="0"/>
        <w:kinsoku/>
        <w:wordWrap w:val="0"/>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项目联系人：</w:t>
      </w:r>
      <w:r>
        <w:rPr>
          <w:rFonts w:hint="eastAsia" w:ascii="宋体" w:hAnsi="宋体" w:cs="宋体"/>
          <w:color w:val="auto"/>
          <w:sz w:val="24"/>
          <w:highlight w:val="none"/>
          <w:u w:val="single"/>
          <w:lang w:val="en-US" w:eastAsia="zh-CN"/>
        </w:rPr>
        <w:t>卢老师</w:t>
      </w:r>
    </w:p>
    <w:p w14:paraId="5211B1E3">
      <w:pPr>
        <w:keepNext w:val="0"/>
        <w:keepLines w:val="0"/>
        <w:pageBreakBefore w:val="0"/>
        <w:widowControl w:val="0"/>
        <w:kinsoku/>
        <w:wordWrap w:val="0"/>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联系电话：</w:t>
      </w:r>
      <w:r>
        <w:rPr>
          <w:rFonts w:hint="eastAsia" w:ascii="宋体" w:hAnsi="宋体" w:cs="宋体"/>
          <w:color w:val="auto"/>
          <w:sz w:val="24"/>
          <w:highlight w:val="none"/>
          <w:u w:val="single"/>
          <w:lang w:val="en-US" w:eastAsia="zh-CN"/>
        </w:rPr>
        <w:t xml:space="preserve">0771-2636272 </w:t>
      </w:r>
    </w:p>
    <w:p w14:paraId="4C43F833">
      <w:pPr>
        <w:keepNext w:val="0"/>
        <w:keepLines w:val="0"/>
        <w:pageBreakBefore w:val="0"/>
        <w:widowControl w:val="0"/>
        <w:kinsoku/>
        <w:wordWrap w:val="0"/>
        <w:overflowPunct/>
        <w:topLinePunct w:val="0"/>
        <w:autoSpaceDE/>
        <w:autoSpaceDN/>
        <w:bidi w:val="0"/>
        <w:adjustRightInd/>
        <w:snapToGrid/>
        <w:spacing w:line="360" w:lineRule="auto"/>
        <w:ind w:left="1079" w:leftChars="371" w:hanging="300" w:hangingChars="125"/>
        <w:jc w:val="left"/>
        <w:textAlignment w:val="auto"/>
        <w:rPr>
          <w:rFonts w:ascii="宋体" w:hAnsi="宋体" w:cs="宋体"/>
          <w:color w:val="auto"/>
          <w:sz w:val="24"/>
          <w:highlight w:val="none"/>
        </w:rPr>
      </w:pPr>
      <w:r>
        <w:rPr>
          <w:rFonts w:hint="eastAsia" w:ascii="宋体" w:hAnsi="宋体" w:cs="宋体"/>
          <w:color w:val="auto"/>
          <w:sz w:val="24"/>
          <w:highlight w:val="none"/>
        </w:rPr>
        <w:t>2.采购代理机构信息</w:t>
      </w:r>
    </w:p>
    <w:p w14:paraId="12CFF85F">
      <w:pPr>
        <w:keepNext w:val="0"/>
        <w:keepLines w:val="0"/>
        <w:pageBreakBefore w:val="0"/>
        <w:widowControl w:val="0"/>
        <w:kinsoku/>
        <w:wordWrap w:val="0"/>
        <w:overflowPunct/>
        <w:topLinePunct w:val="0"/>
        <w:autoSpaceDE/>
        <w:autoSpaceDN/>
        <w:bidi w:val="0"/>
        <w:adjustRightInd/>
        <w:snapToGrid/>
        <w:spacing w:line="360" w:lineRule="auto"/>
        <w:ind w:firstLine="840" w:firstLineChars="350"/>
        <w:textAlignment w:val="auto"/>
        <w:rPr>
          <w:rFonts w:ascii="宋体" w:hAnsi="宋体" w:cs="宋体"/>
          <w:color w:val="auto"/>
          <w:sz w:val="24"/>
          <w:highlight w:val="none"/>
          <w:u w:val="single"/>
        </w:rPr>
      </w:pPr>
      <w:r>
        <w:rPr>
          <w:rFonts w:hint="eastAsia" w:ascii="宋体" w:hAnsi="宋体" w:cs="宋体"/>
          <w:color w:val="auto"/>
          <w:sz w:val="24"/>
          <w:highlight w:val="none"/>
        </w:rPr>
        <w:t>名 称：</w:t>
      </w:r>
      <w:r>
        <w:rPr>
          <w:rFonts w:hint="eastAsia" w:ascii="宋体" w:hAnsi="宋体" w:cs="宋体"/>
          <w:color w:val="auto"/>
          <w:sz w:val="24"/>
          <w:highlight w:val="none"/>
          <w:u w:val="single"/>
        </w:rPr>
        <w:t>广西邕政采购代理有限公司</w:t>
      </w:r>
    </w:p>
    <w:p w14:paraId="2A991E4E">
      <w:pPr>
        <w:keepNext w:val="0"/>
        <w:keepLines w:val="0"/>
        <w:pageBreakBefore w:val="0"/>
        <w:widowControl w:val="0"/>
        <w:kinsoku/>
        <w:wordWrap w:val="0"/>
        <w:overflowPunct/>
        <w:topLinePunct w:val="0"/>
        <w:autoSpaceDE/>
        <w:autoSpaceDN/>
        <w:bidi w:val="0"/>
        <w:adjustRightInd/>
        <w:snapToGrid/>
        <w:spacing w:line="360" w:lineRule="auto"/>
        <w:ind w:firstLine="840" w:firstLineChars="350"/>
        <w:textAlignment w:val="auto"/>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南宁市青秀区民族大道180号（</w:t>
      </w:r>
      <w:r>
        <w:rPr>
          <w:rFonts w:hint="eastAsia" w:ascii="宋体" w:hAnsi="宋体" w:cs="宋体"/>
          <w:color w:val="auto"/>
          <w:sz w:val="24"/>
          <w:highlight w:val="none"/>
          <w:u w:val="single"/>
          <w:lang w:eastAsia="zh-CN"/>
        </w:rPr>
        <w:t>威壮大厦</w:t>
      </w:r>
      <w:r>
        <w:rPr>
          <w:rFonts w:hint="eastAsia" w:ascii="宋体" w:hAnsi="宋体" w:cs="宋体"/>
          <w:color w:val="auto"/>
          <w:sz w:val="24"/>
          <w:highlight w:val="none"/>
          <w:u w:val="single"/>
        </w:rPr>
        <w:t>）22层2210～2217室</w:t>
      </w:r>
    </w:p>
    <w:p w14:paraId="4FC867AE">
      <w:pPr>
        <w:keepNext w:val="0"/>
        <w:keepLines w:val="0"/>
        <w:pageBreakBefore w:val="0"/>
        <w:widowControl w:val="0"/>
        <w:kinsoku/>
        <w:wordWrap w:val="0"/>
        <w:overflowPunct/>
        <w:topLinePunct w:val="0"/>
        <w:autoSpaceDE/>
        <w:autoSpaceDN/>
        <w:bidi w:val="0"/>
        <w:adjustRightInd/>
        <w:snapToGrid/>
        <w:spacing w:line="360" w:lineRule="auto"/>
        <w:ind w:firstLine="840" w:firstLineChars="350"/>
        <w:textAlignment w:val="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0771-2225338</w:t>
      </w:r>
    </w:p>
    <w:p w14:paraId="29BD04D3">
      <w:pPr>
        <w:keepNext w:val="0"/>
        <w:keepLines w:val="0"/>
        <w:pageBreakBefore w:val="0"/>
        <w:widowControl w:val="0"/>
        <w:kinsoku/>
        <w:wordWrap w:val="0"/>
        <w:overflowPunct/>
        <w:topLinePunct w:val="0"/>
        <w:autoSpaceDE/>
        <w:autoSpaceDN/>
        <w:bidi w:val="0"/>
        <w:adjustRightInd/>
        <w:snapToGrid/>
        <w:spacing w:line="360" w:lineRule="auto"/>
        <w:ind w:firstLine="840" w:firstLineChars="350"/>
        <w:textAlignment w:val="auto"/>
        <w:rPr>
          <w:rFonts w:ascii="宋体" w:hAnsi="宋体" w:cs="宋体"/>
          <w:color w:val="auto"/>
          <w:sz w:val="24"/>
          <w:highlight w:val="none"/>
        </w:rPr>
      </w:pPr>
      <w:r>
        <w:rPr>
          <w:rFonts w:hint="eastAsia" w:ascii="宋体" w:hAnsi="宋体" w:cs="宋体"/>
          <w:color w:val="auto"/>
          <w:sz w:val="24"/>
          <w:highlight w:val="none"/>
        </w:rPr>
        <w:t>3.项目联系方式</w:t>
      </w:r>
    </w:p>
    <w:p w14:paraId="35E45AE6">
      <w:pPr>
        <w:keepNext w:val="0"/>
        <w:keepLines w:val="0"/>
        <w:pageBreakBefore w:val="0"/>
        <w:widowControl w:val="0"/>
        <w:kinsoku/>
        <w:wordWrap w:val="0"/>
        <w:overflowPunct/>
        <w:topLinePunct w:val="0"/>
        <w:autoSpaceDE/>
        <w:autoSpaceDN/>
        <w:bidi w:val="0"/>
        <w:adjustRightInd/>
        <w:snapToGrid/>
        <w:spacing w:line="360" w:lineRule="auto"/>
        <w:ind w:firstLine="840" w:firstLineChars="35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u w:val="single"/>
          <w:lang w:eastAsia="zh-CN"/>
        </w:rPr>
        <w:t>欧昌梅、黄秀丽</w:t>
      </w:r>
    </w:p>
    <w:p w14:paraId="02F9EA05">
      <w:pPr>
        <w:keepNext w:val="0"/>
        <w:keepLines w:val="0"/>
        <w:pageBreakBefore w:val="0"/>
        <w:widowControl w:val="0"/>
        <w:kinsoku/>
        <w:wordWrap w:val="0"/>
        <w:overflowPunct/>
        <w:topLinePunct w:val="0"/>
        <w:autoSpaceDE/>
        <w:autoSpaceDN/>
        <w:bidi w:val="0"/>
        <w:adjustRightInd/>
        <w:snapToGrid/>
        <w:spacing w:line="360" w:lineRule="auto"/>
        <w:ind w:firstLine="840" w:firstLineChars="350"/>
        <w:textAlignment w:val="auto"/>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0771-2225338</w:t>
      </w:r>
    </w:p>
    <w:p w14:paraId="5944898A">
      <w:pPr>
        <w:pageBreakBefore w:val="0"/>
        <w:overflowPunct/>
        <w:topLinePunct w:val="0"/>
        <w:bidi w:val="0"/>
        <w:spacing w:line="360" w:lineRule="auto"/>
        <w:rPr>
          <w:rFonts w:ascii="宋体" w:hAnsi="宋体" w:cs="宋体"/>
          <w:color w:val="auto"/>
          <w:sz w:val="24"/>
          <w:highlight w:val="none"/>
          <w:u w:val="single"/>
        </w:rPr>
      </w:pPr>
    </w:p>
    <w:p w14:paraId="59C4EC96">
      <w:pPr>
        <w:pageBreakBefore w:val="0"/>
        <w:overflowPunct/>
        <w:topLinePunct w:val="0"/>
        <w:bidi w:val="0"/>
        <w:spacing w:line="360" w:lineRule="auto"/>
        <w:rPr>
          <w:rFonts w:ascii="宋体" w:hAnsi="宋体" w:cs="宋体"/>
          <w:color w:val="auto"/>
          <w:sz w:val="24"/>
          <w:highlight w:val="none"/>
          <w:u w:val="single"/>
        </w:rPr>
      </w:pPr>
      <w:r>
        <w:rPr>
          <w:rFonts w:ascii="宋体" w:hAnsi="宋体" w:cs="宋体"/>
          <w:color w:val="auto"/>
          <w:sz w:val="24"/>
          <w:highlight w:val="none"/>
          <w:u w:val="single"/>
        </w:rPr>
        <w:t xml:space="preserve">附件： 1.CA 证书申请方式及操作指南下载地址（登陆 http://nncz.nanning.gov.cn/（南宁市财政局官 网）-业务专题-政府采购监督管理-资料下载-“广西政采云西部 CA 办理方式”或“南宁市政采云 CA 证 书办理操作指南”） </w:t>
      </w:r>
    </w:p>
    <w:p w14:paraId="7711E6C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sz w:val="24"/>
          <w:highlight w:val="none"/>
          <w:u w:val="single"/>
        </w:rPr>
      </w:pPr>
      <w:r>
        <w:rPr>
          <w:rFonts w:ascii="宋体" w:hAnsi="宋体" w:cs="宋体"/>
          <w:color w:val="auto"/>
          <w:sz w:val="24"/>
          <w:highlight w:val="none"/>
          <w:u w:val="single"/>
        </w:rPr>
        <w:t>2.电子投标文件制作与投送教程（在此网址下载：http://nncz.nanning.gov.cn/（南宁市财政局官网）- 业务专题-政府采购监督管理-资料下载-南宁市政府采购项目全流程电子化交易操作指南）</w:t>
      </w:r>
    </w:p>
    <w:p w14:paraId="5E2BE8D8">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ascii="宋体" w:hAnsi="宋体" w:cs="宋体"/>
          <w:color w:val="auto"/>
          <w:sz w:val="24"/>
          <w:highlight w:val="none"/>
        </w:rPr>
      </w:pPr>
      <w:r>
        <w:rPr>
          <w:rFonts w:hint="eastAsia" w:ascii="宋体" w:hAnsi="宋体" w:cs="宋体"/>
          <w:color w:val="auto"/>
          <w:sz w:val="24"/>
          <w:highlight w:val="none"/>
          <w:u w:val="single"/>
        </w:rPr>
        <w:t>广西邕政采购代理有限公司</w:t>
      </w:r>
    </w:p>
    <w:p w14:paraId="4603C308">
      <w:pPr>
        <w:keepNext w:val="0"/>
        <w:keepLines w:val="0"/>
        <w:pageBreakBefore w:val="0"/>
        <w:widowControl w:val="0"/>
        <w:kinsoku/>
        <w:wordWrap w:val="0"/>
        <w:overflowPunct/>
        <w:topLinePunct w:val="0"/>
        <w:autoSpaceDE/>
        <w:autoSpaceDN/>
        <w:bidi w:val="0"/>
        <w:adjustRightInd/>
        <w:snapToGrid/>
        <w:spacing w:line="360" w:lineRule="auto"/>
        <w:ind w:firstLine="240" w:firstLineChars="100"/>
        <w:jc w:val="right"/>
        <w:textAlignment w:val="auto"/>
        <w:rPr>
          <w:rFonts w:ascii="宋体" w:hAnsi="宋体" w:cs="宋体"/>
          <w:color w:val="auto"/>
          <w:sz w:val="24"/>
          <w:highlight w:val="none"/>
        </w:rPr>
      </w:pP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20</w:t>
      </w:r>
      <w:r>
        <w:rPr>
          <w:rFonts w:hint="eastAsia" w:ascii="宋体" w:hAnsi="宋体" w:cs="宋体"/>
          <w:color w:val="auto"/>
          <w:sz w:val="24"/>
          <w:highlight w:val="none"/>
        </w:rPr>
        <w:t>日</w:t>
      </w:r>
    </w:p>
    <w:p w14:paraId="56E8A160">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br w:type="page"/>
      </w:r>
    </w:p>
    <w:p w14:paraId="5EA51A41">
      <w:pPr>
        <w:pStyle w:val="12"/>
        <w:pageBreakBefore w:val="0"/>
        <w:wordWrap w:val="0"/>
        <w:overflowPunct/>
        <w:topLinePunct w:val="0"/>
        <w:bidi w:val="0"/>
        <w:spacing w:after="0" w:line="360" w:lineRule="auto"/>
        <w:rPr>
          <w:color w:val="auto"/>
          <w:highlight w:val="none"/>
        </w:rPr>
      </w:pPr>
    </w:p>
    <w:p w14:paraId="37829255">
      <w:pPr>
        <w:pStyle w:val="14"/>
        <w:pageBreakBefore w:val="0"/>
        <w:wordWrap w:val="0"/>
        <w:overflowPunct/>
        <w:topLinePunct w:val="0"/>
        <w:bidi w:val="0"/>
        <w:spacing w:line="360" w:lineRule="auto"/>
        <w:jc w:val="center"/>
        <w:outlineLvl w:val="0"/>
        <w:rPr>
          <w:rFonts w:hAnsi="宋体" w:cs="宋体"/>
          <w:b/>
          <w:color w:val="auto"/>
          <w:sz w:val="36"/>
          <w:highlight w:val="none"/>
        </w:rPr>
      </w:pPr>
      <w:bookmarkStart w:id="4" w:name="_Toc2043"/>
      <w:r>
        <w:rPr>
          <w:rFonts w:hint="eastAsia" w:hAnsi="宋体" w:cs="宋体"/>
          <w:b/>
          <w:color w:val="auto"/>
          <w:sz w:val="36"/>
          <w:highlight w:val="none"/>
        </w:rPr>
        <w:t xml:space="preserve">第二章  </w:t>
      </w:r>
      <w:bookmarkEnd w:id="2"/>
      <w:r>
        <w:rPr>
          <w:rFonts w:hint="eastAsia" w:hAnsi="宋体" w:cs="宋体"/>
          <w:b/>
          <w:color w:val="auto"/>
          <w:sz w:val="36"/>
          <w:highlight w:val="none"/>
        </w:rPr>
        <w:t>采购需求</w:t>
      </w:r>
      <w:bookmarkEnd w:id="4"/>
    </w:p>
    <w:p w14:paraId="67B17CC9">
      <w:pPr>
        <w:pageBreakBefore w:val="0"/>
        <w:wordWrap w:val="0"/>
        <w:overflowPunct/>
        <w:topLinePunct w:val="0"/>
        <w:bidi w:val="0"/>
        <w:adjustRightInd w:val="0"/>
        <w:spacing w:line="360" w:lineRule="auto"/>
        <w:rPr>
          <w:rFonts w:ascii="宋体" w:hAnsi="宋体" w:cs="宋体"/>
          <w:b/>
          <w:color w:val="auto"/>
          <w:szCs w:val="21"/>
          <w:highlight w:val="none"/>
        </w:rPr>
      </w:pPr>
    </w:p>
    <w:p w14:paraId="70FD7137">
      <w:pPr>
        <w:pageBreakBefore w:val="0"/>
        <w:wordWrap w:val="0"/>
        <w:overflowPunct/>
        <w:topLinePunct w:val="0"/>
        <w:bidi w:val="0"/>
        <w:adjustRightInd w:val="0"/>
        <w:spacing w:line="360" w:lineRule="auto"/>
        <w:rPr>
          <w:rFonts w:ascii="宋体" w:hAnsi="宋体" w:cs="宋体"/>
          <w:b/>
          <w:color w:val="auto"/>
          <w:sz w:val="24"/>
          <w:highlight w:val="none"/>
        </w:rPr>
      </w:pPr>
      <w:r>
        <w:rPr>
          <w:rFonts w:hint="eastAsia" w:ascii="宋体" w:hAnsi="宋体" w:cs="宋体"/>
          <w:b/>
          <w:color w:val="auto"/>
          <w:sz w:val="24"/>
          <w:highlight w:val="none"/>
        </w:rPr>
        <w:t>说明：</w:t>
      </w:r>
    </w:p>
    <w:p w14:paraId="32BE7E88">
      <w:pPr>
        <w:pageBreakBefore w:val="0"/>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 为落实政府采购政策需满足的要求：</w:t>
      </w:r>
    </w:p>
    <w:p w14:paraId="692AF789">
      <w:pPr>
        <w:pageBreakBefore w:val="0"/>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（1）本招标文件所称中小企业必须符合《政府采购促进中小企业发展管理办法》（财库〔2020〕46号）的规定。</w:t>
      </w:r>
    </w:p>
    <w:p w14:paraId="4D29CA6C">
      <w:pPr>
        <w:pageBreakBefore w:val="0"/>
        <w:wordWrap w:val="0"/>
        <w:overflowPunct/>
        <w:topLinePunct w:val="0"/>
        <w:bidi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17B08DD9">
      <w:pPr>
        <w:pageBreakBefore w:val="0"/>
        <w:wordWrap w:val="0"/>
        <w:overflowPunct/>
        <w:topLinePunct w:val="0"/>
        <w:bidi w:val="0"/>
        <w:spacing w:line="360" w:lineRule="auto"/>
        <w:ind w:firstLine="487" w:firstLineChars="202"/>
        <w:jc w:val="left"/>
        <w:rPr>
          <w:rFonts w:ascii="宋体" w:hAnsi="宋体" w:cs="宋体"/>
          <w:b w:val="0"/>
          <w:bCs w:val="0"/>
          <w:color w:val="auto"/>
          <w:sz w:val="24"/>
          <w:highlight w:val="none"/>
        </w:rPr>
      </w:pPr>
      <w:r>
        <w:rPr>
          <w:rFonts w:hint="eastAsia" w:ascii="宋体" w:hAnsi="宋体" w:cs="宋体"/>
          <w:b/>
          <w:bCs/>
          <w:color w:val="auto"/>
          <w:sz w:val="24"/>
          <w:highlight w:val="none"/>
        </w:rPr>
        <w:t>（3）</w:t>
      </w:r>
      <w:r>
        <w:rPr>
          <w:rFonts w:hint="eastAsia" w:ascii="宋体" w:hAnsi="宋体" w:cs="宋体"/>
          <w:b/>
          <w:color w:val="auto"/>
          <w:sz w:val="24"/>
          <w:highlight w:val="none"/>
        </w:rPr>
        <w:t>服务项目中伴随的货物包含列入《网络关键设备和网络安全专用产品目录》的网络安全专用产品，应当按照《信息安全技术网络安全专用产品安全技术要求》等相关国家标准的强制性要求，提供具备资格的机构安全认证合格或者安全检测证明材料（加盖投标人公章），否则投标文件作无效处理。</w:t>
      </w:r>
    </w:p>
    <w:p w14:paraId="43218E67">
      <w:pPr>
        <w:pageBreakBefore w:val="0"/>
        <w:numPr>
          <w:ilvl w:val="0"/>
          <w:numId w:val="1"/>
        </w:numPr>
        <w:wordWrap w:val="0"/>
        <w:overflowPunct/>
        <w:topLinePunct w:val="0"/>
        <w:bidi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“实质性要求”是指招标文件中已经指明不满足则投标无效的条款，或者不能负偏离的条款，或者采购需求中带“▲”的条款。</w:t>
      </w:r>
    </w:p>
    <w:p w14:paraId="593D42AA">
      <w:pPr>
        <w:pageBreakBefore w:val="0"/>
        <w:numPr>
          <w:ilvl w:val="0"/>
          <w:numId w:val="1"/>
        </w:numPr>
        <w:wordWrap w:val="0"/>
        <w:overflowPunct/>
        <w:topLinePunct w:val="0"/>
        <w:bidi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不需要投标人对采购需求响应为具体数值的，此采购需求的数值后将以◆号标注。</w:t>
      </w:r>
    </w:p>
    <w:p w14:paraId="17FA7C90">
      <w:pPr>
        <w:pageBreakBefore w:val="0"/>
        <w:numPr>
          <w:ilvl w:val="0"/>
          <w:numId w:val="1"/>
        </w:numPr>
        <w:wordWrap w:val="0"/>
        <w:overflowPunct/>
        <w:topLinePunct w:val="0"/>
        <w:bidi w:val="0"/>
        <w:spacing w:line="360" w:lineRule="auto"/>
        <w:ind w:firstLine="484" w:firstLineChars="202"/>
        <w:jc w:val="left"/>
        <w:rPr>
          <w:rFonts w:ascii="宋体" w:hAnsi="宋体" w:cs="宋体"/>
          <w:color w:val="auto"/>
          <w:sz w:val="24"/>
          <w:highlight w:val="none"/>
        </w:rPr>
        <w:sectPr>
          <w:footerReference r:id="rId4" w:type="default"/>
          <w:pgSz w:w="11906" w:h="16838"/>
          <w:pgMar w:top="1440" w:right="1080" w:bottom="1440" w:left="1080" w:header="720" w:footer="720" w:gutter="0"/>
          <w:pgNumType w:fmt="decimal" w:start="1"/>
          <w:cols w:space="720" w:num="1"/>
          <w:docGrid w:type="lines" w:linePitch="331" w:charSpace="0"/>
        </w:sectPr>
      </w:pPr>
      <w:r>
        <w:rPr>
          <w:rFonts w:hint="eastAsia" w:ascii="宋体" w:hAnsi="宋体" w:cs="宋体"/>
          <w:color w:val="auto"/>
          <w:sz w:val="24"/>
          <w:highlight w:val="none"/>
        </w:rPr>
        <w:t>如投标人投标产品存在侵犯他人的知识产权或者专利成果行为的，应承担相应法律责任</w:t>
      </w:r>
      <w:bookmarkStart w:id="5" w:name="PO_TDCUS_ITEM_PB_REQ_TITLE_1"/>
      <w:r>
        <w:rPr>
          <w:rFonts w:hint="eastAsia" w:ascii="宋体" w:hAnsi="宋体" w:cs="宋体"/>
          <w:color w:val="auto"/>
          <w:sz w:val="24"/>
          <w:highlight w:val="none"/>
        </w:rPr>
        <w:t>。</w:t>
      </w:r>
    </w:p>
    <w:bookmarkEnd w:id="5"/>
    <w:tbl>
      <w:tblPr>
        <w:tblStyle w:val="22"/>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16"/>
        <w:gridCol w:w="316"/>
        <w:gridCol w:w="820"/>
        <w:gridCol w:w="420"/>
        <w:gridCol w:w="465"/>
        <w:gridCol w:w="4817"/>
        <w:gridCol w:w="1318"/>
        <w:gridCol w:w="1248"/>
      </w:tblGrid>
      <w:tr w14:paraId="0F97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9820" w:type="dxa"/>
            <w:gridSpan w:val="8"/>
            <w:shd w:val="clear" w:color="auto" w:fill="auto"/>
            <w:vAlign w:val="center"/>
          </w:tcPr>
          <w:p w14:paraId="6FC5BAA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auto"/>
                <w:sz w:val="24"/>
                <w:szCs w:val="24"/>
                <w:highlight w:val="none"/>
              </w:rPr>
            </w:pPr>
            <w:bookmarkStart w:id="6" w:name="PO_TDCUS_ITEM_PB_REQ_TABLE_1_1"/>
            <w:bookmarkEnd w:id="6"/>
            <w:bookmarkStart w:id="7" w:name="PO_TDCUS_ITEM_PB_REQ_TITLE_2"/>
            <w:r>
              <w:rPr>
                <w:rFonts w:hint="eastAsia" w:asciiTheme="minorEastAsia" w:hAnsiTheme="minorEastAsia" w:eastAsiaTheme="minorEastAsia" w:cstheme="minorEastAsia"/>
                <w:b/>
                <w:color w:val="auto"/>
                <w:sz w:val="24"/>
                <w:szCs w:val="24"/>
                <w:highlight w:val="none"/>
              </w:rPr>
              <w:t>服务需求一览表</w:t>
            </w:r>
          </w:p>
        </w:tc>
      </w:tr>
      <w:tr w14:paraId="2ED9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6" w:type="dxa"/>
            <w:vMerge w:val="restart"/>
            <w:shd w:val="clear" w:color="auto" w:fill="auto"/>
          </w:tcPr>
          <w:p w14:paraId="1115F697">
            <w:pPr>
              <w:keepNext w:val="0"/>
              <w:keepLines w:val="0"/>
              <w:pageBreakBefore w:val="0"/>
              <w:widowControl/>
              <w:kinsoku/>
              <w:wordWrap w:val="0"/>
              <w:overflowPunct/>
              <w:topLinePunct w:val="0"/>
              <w:autoSpaceDE/>
              <w:autoSpaceDN/>
              <w:bidi w:val="0"/>
              <w:adjustRightInd/>
              <w:snapToGrid/>
              <w:spacing w:line="360" w:lineRule="auto"/>
              <w:ind w:leftChars="0"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采购清单及服务参数</w:t>
            </w:r>
          </w:p>
        </w:tc>
        <w:tc>
          <w:tcPr>
            <w:tcW w:w="316" w:type="dxa"/>
            <w:shd w:val="clear" w:color="auto" w:fill="auto"/>
            <w:tcMar>
              <w:top w:w="0" w:type="dxa"/>
              <w:left w:w="0" w:type="dxa"/>
              <w:bottom w:w="0" w:type="dxa"/>
              <w:right w:w="0" w:type="dxa"/>
            </w:tcMar>
            <w:vAlign w:val="center"/>
          </w:tcPr>
          <w:p w14:paraId="134640B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820" w:type="dxa"/>
            <w:shd w:val="clear" w:color="auto" w:fill="auto"/>
            <w:vAlign w:val="center"/>
          </w:tcPr>
          <w:p w14:paraId="405404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采购服务</w:t>
            </w:r>
            <w:r>
              <w:rPr>
                <w:rFonts w:hint="eastAsia" w:asciiTheme="minorEastAsia" w:hAnsiTheme="minorEastAsia" w:eastAsiaTheme="minorEastAsia" w:cstheme="minorEastAsia"/>
                <w:color w:val="auto"/>
                <w:sz w:val="24"/>
                <w:szCs w:val="24"/>
                <w:highlight w:val="none"/>
                <w:lang w:val="en-US" w:eastAsia="zh-CN"/>
              </w:rPr>
              <w:t>标的</w:t>
            </w:r>
            <w:r>
              <w:rPr>
                <w:rFonts w:hint="eastAsia" w:asciiTheme="minorEastAsia" w:hAnsiTheme="minorEastAsia" w:eastAsiaTheme="minorEastAsia" w:cstheme="minorEastAsia"/>
                <w:color w:val="auto"/>
                <w:sz w:val="24"/>
                <w:szCs w:val="24"/>
                <w:highlight w:val="none"/>
              </w:rPr>
              <w:t>名称</w:t>
            </w:r>
          </w:p>
        </w:tc>
        <w:tc>
          <w:tcPr>
            <w:tcW w:w="420" w:type="dxa"/>
            <w:shd w:val="clear" w:color="auto" w:fill="auto"/>
            <w:vAlign w:val="center"/>
          </w:tcPr>
          <w:p w14:paraId="77AA420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单位</w:t>
            </w:r>
          </w:p>
        </w:tc>
        <w:tc>
          <w:tcPr>
            <w:tcW w:w="465" w:type="dxa"/>
            <w:shd w:val="clear" w:color="auto" w:fill="auto"/>
            <w:vAlign w:val="center"/>
          </w:tcPr>
          <w:p w14:paraId="13BE641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数量</w:t>
            </w:r>
          </w:p>
        </w:tc>
        <w:tc>
          <w:tcPr>
            <w:tcW w:w="4817" w:type="dxa"/>
            <w:shd w:val="clear" w:color="auto" w:fill="auto"/>
            <w:vAlign w:val="center"/>
          </w:tcPr>
          <w:p w14:paraId="597CD2E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服务参数</w:t>
            </w:r>
          </w:p>
          <w:p w14:paraId="15B9D19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1318" w:type="dxa"/>
            <w:shd w:val="clear" w:color="auto" w:fill="auto"/>
            <w:vAlign w:val="center"/>
          </w:tcPr>
          <w:p w14:paraId="0F05503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分项预算合计（元）</w:t>
            </w:r>
          </w:p>
        </w:tc>
        <w:tc>
          <w:tcPr>
            <w:tcW w:w="1248" w:type="dxa"/>
            <w:shd w:val="clear" w:color="auto" w:fill="auto"/>
            <w:vAlign w:val="center"/>
          </w:tcPr>
          <w:p w14:paraId="30A9813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中小企业划分标准所属行业名称（行业名称及划分见本章附件</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w:t>
            </w:r>
          </w:p>
        </w:tc>
      </w:tr>
      <w:tr w14:paraId="6FAB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16" w:type="dxa"/>
            <w:vMerge w:val="continue"/>
            <w:shd w:val="clear" w:color="auto" w:fill="auto"/>
            <w:vAlign w:val="center"/>
          </w:tcPr>
          <w:p w14:paraId="6AAC5A7D">
            <w:pPr>
              <w:keepNext w:val="0"/>
              <w:keepLines w:val="0"/>
              <w:pageBreakBefore w:val="0"/>
              <w:widowControl/>
              <w:kinsoku/>
              <w:wordWrap w:val="0"/>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p>
        </w:tc>
        <w:tc>
          <w:tcPr>
            <w:tcW w:w="316" w:type="dxa"/>
            <w:shd w:val="clear" w:color="auto" w:fill="auto"/>
            <w:vAlign w:val="center"/>
          </w:tcPr>
          <w:p w14:paraId="79C1EB55">
            <w:pPr>
              <w:keepNext w:val="0"/>
              <w:keepLines w:val="0"/>
              <w:pageBreakBefore w:val="0"/>
              <w:widowControl/>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p>
          <w:p w14:paraId="1D0C6C0B">
            <w:pPr>
              <w:keepNext w:val="0"/>
              <w:keepLines w:val="0"/>
              <w:pageBreakBefore w:val="0"/>
              <w:widowControl/>
              <w:kinsoku/>
              <w:wordWrap w:val="0"/>
              <w:overflowPunct/>
              <w:topLinePunct w:val="0"/>
              <w:autoSpaceDE/>
              <w:autoSpaceDN/>
              <w:bidi w:val="0"/>
              <w:adjustRightInd/>
              <w:snapToGrid/>
              <w:textAlignment w:val="auto"/>
              <w:rPr>
                <w:rFonts w:hint="eastAsia" w:ascii="Times New Roman" w:hAnsi="Times New Roman" w:eastAsia="宋体" w:cs="Times New Roman"/>
                <w:color w:val="auto"/>
                <w:kern w:val="2"/>
                <w:sz w:val="21"/>
                <w:szCs w:val="24"/>
                <w:highlight w:val="none"/>
                <w:lang w:val="en-US" w:eastAsia="zh-CN" w:bidi="ar-SA"/>
              </w:rPr>
            </w:pPr>
          </w:p>
          <w:p w14:paraId="56F8FF49">
            <w:pPr>
              <w:keepNext w:val="0"/>
              <w:keepLines w:val="0"/>
              <w:pageBreakBefore w:val="0"/>
              <w:widowControl/>
              <w:kinsoku/>
              <w:wordWrap w:val="0"/>
              <w:overflowPunct/>
              <w:topLinePunct w:val="0"/>
              <w:autoSpaceDE/>
              <w:autoSpaceDN/>
              <w:bidi w:val="0"/>
              <w:adjustRightInd/>
              <w:snapToGrid/>
              <w:ind w:firstLine="252"/>
              <w:jc w:val="left"/>
              <w:textAlignment w:val="auto"/>
              <w:rPr>
                <w:rFonts w:hint="default"/>
                <w:color w:val="auto"/>
                <w:highlight w:val="none"/>
                <w:lang w:val="en-US" w:eastAsia="zh-CN"/>
              </w:rPr>
            </w:pPr>
            <w:r>
              <w:rPr>
                <w:rFonts w:hint="eastAsia"/>
                <w:color w:val="auto"/>
                <w:highlight w:val="none"/>
                <w:lang w:val="en-US" w:eastAsia="zh-CN"/>
              </w:rPr>
              <w:t>1</w:t>
            </w:r>
          </w:p>
        </w:tc>
        <w:tc>
          <w:tcPr>
            <w:tcW w:w="820" w:type="dxa"/>
            <w:shd w:val="clear" w:color="auto" w:fill="auto"/>
            <w:vAlign w:val="center"/>
          </w:tcPr>
          <w:p w14:paraId="5BD2626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宋体" w:hAnsi="宋体" w:cs="宋体"/>
                <w:color w:val="auto"/>
                <w:sz w:val="24"/>
                <w:highlight w:val="none"/>
                <w:lang w:eastAsia="zh-CN"/>
              </w:rPr>
              <w:t>南宁市第一人民医院污水处理系统运营服务采购项目</w:t>
            </w:r>
          </w:p>
        </w:tc>
        <w:tc>
          <w:tcPr>
            <w:tcW w:w="420" w:type="dxa"/>
            <w:shd w:val="clear" w:color="auto" w:fill="auto"/>
            <w:vAlign w:val="center"/>
          </w:tcPr>
          <w:p w14:paraId="7F43CA76">
            <w:pPr>
              <w:pStyle w:val="36"/>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w:t>
            </w:r>
          </w:p>
        </w:tc>
        <w:tc>
          <w:tcPr>
            <w:tcW w:w="465" w:type="dxa"/>
            <w:shd w:val="clear" w:color="auto" w:fill="auto"/>
            <w:vAlign w:val="center"/>
          </w:tcPr>
          <w:p w14:paraId="6F44210B">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817" w:type="dxa"/>
            <w:shd w:val="clear" w:color="auto" w:fill="auto"/>
            <w:vAlign w:val="center"/>
          </w:tcPr>
          <w:p w14:paraId="67F558A0">
            <w:pPr>
              <w:keepNext w:val="0"/>
              <w:keepLines w:val="0"/>
              <w:pageBreakBefore w:val="0"/>
              <w:widowControl/>
              <w:kinsoku/>
              <w:wordWrap w:val="0"/>
              <w:overflowPunct/>
              <w:topLinePunct w:val="0"/>
              <w:autoSpaceDE/>
              <w:autoSpaceDN/>
              <w:bidi w:val="0"/>
              <w:adjustRightInd/>
              <w:snapToGrid/>
              <w:spacing w:line="360" w:lineRule="auto"/>
              <w:ind w:lef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一、服务范围及基本情况</w:t>
            </w:r>
          </w:p>
          <w:p w14:paraId="5B777FD6">
            <w:pPr>
              <w:keepNext w:val="0"/>
              <w:keepLines w:val="0"/>
              <w:pageBreakBefore w:val="0"/>
              <w:widowControl/>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总院污水站实际处理量约1600吨/天、总院感染性疾病楼污水站实际处理量约25吨/天，埌东医院污水站实际处理量约118吨/天，青秀分院污水站实际处理量约150吨/天，枫林社区服务中心污水站实际处理量约15吨/天，南湖社区卫生服务中心污水站实际处理量约5吨/天，安阳社区卫生服务中心污水站实际处理量约15吨/天。</w:t>
            </w:r>
          </w:p>
          <w:p w14:paraId="0A5024E0">
            <w:pPr>
              <w:keepNext w:val="0"/>
              <w:keepLines w:val="0"/>
              <w:pageBreakBefore w:val="0"/>
              <w:widowControl/>
              <w:kinsoku/>
              <w:wordWrap w:val="0"/>
              <w:overflowPunct/>
              <w:topLinePunct w:val="0"/>
              <w:autoSpaceDE/>
              <w:autoSpaceDN/>
              <w:bidi w:val="0"/>
              <w:adjustRightInd/>
              <w:snapToGrid/>
              <w:spacing w:line="360" w:lineRule="auto"/>
              <w:ind w:lef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二、服务需求</w:t>
            </w:r>
          </w:p>
          <w:p w14:paraId="25E92D37">
            <w:pPr>
              <w:keepNext w:val="0"/>
              <w:keepLines w:val="0"/>
              <w:pageBreakBefore w:val="0"/>
              <w:widowControl/>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中标供应商负责污水处理及设备维护维修更新服务，污水处理水质标准达到《医疗机构水污染物排放标准》（GB18466-2005）预处理排放标准，大气污染物排放标准达到《恶臭污染物排放标准》（GB14554-1993）及《排污许可证》等要求正常运营和合格排放的其他各项标准，如合同履行期间发生不可预见的疫情或其它卫生突发紧急事件，污水处理水质除达到上述标准，还需达到政府管理部门要求的其他相关标准。</w:t>
            </w:r>
          </w:p>
          <w:p w14:paraId="58360720">
            <w:pPr>
              <w:keepNext w:val="0"/>
              <w:keepLines w:val="0"/>
              <w:pageBreakBefore w:val="0"/>
              <w:widowControl/>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▲2、中标供应商必须保证污水处理结果符合国家标准和地方环保部门的要求。</w:t>
            </w:r>
          </w:p>
          <w:p w14:paraId="665205FF">
            <w:pPr>
              <w:keepNext w:val="0"/>
              <w:keepLines w:val="0"/>
              <w:pageBreakBefore w:val="0"/>
              <w:widowControl/>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中标供应商负责派遣具有相关操作证件（易制爆危险品安全员或危险化学品安全员或污水处理技能证书）及具有操作经验的操作人员操作运行全套污水处理系统并承担因此所产生的所有费用，拟投入的人员不少于6人，操作人员每天24小时派人值守（上班时间人员正常在岗，非工作时间电话值班），配合环保部门按环保部门和卫生部门的时间要求定期填写数据资料，负责污水处理设施的日常运营工作，按医院《排污许可证》副本的监测要求对污水处理站的排放进行监测，并负责相关的排放项目监测并记录，要求真实有效，中标供应商须对监测记录真实性负责，做好监测台账。保证定时对污水处理站周边环境、卫生和水位状况进行巡视并做好记录，每月向采购人上报运营报表。</w:t>
            </w:r>
          </w:p>
          <w:p w14:paraId="4939CD37">
            <w:pPr>
              <w:keepNext w:val="0"/>
              <w:keepLines w:val="0"/>
              <w:pageBreakBefore w:val="0"/>
              <w:widowControl/>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4、中标供应商每日工作事项为检查水泵出水是否正常；检查加药设备运行是否正常；查看消毒药剂消耗情况及时添加；常规余氯检测和 PH 值检测并做好登记；清理格栅池的垃圾；检查出水池液位是否正常；检查设备及调节池内的水位控制器动作是否正常，发现问题及时修复调整；检查控制柜的所有手动功能是否正常，如有故障应及时排除；检查控制柜内的继电器、接触器、短路保护器等电气元件技术性能是否良好，如有误差应及时报修或调整；检查控制柜的液位信号、工作指示信号及报警信号是否正常，如发现问题应及时修复或更换；检测机电设备的工作运行电流并作记录，如有异常及时检查原因；检查并调整设施的污水处理量；检查污水站是否有跑、冒、滴漏现象，如有异常应及时修复；检查污水站中所有阀门是否运行正常，并及时维护；清理污水站中的垃圾，并保持地面和设备外表清洁干净。</w:t>
            </w:r>
          </w:p>
          <w:p w14:paraId="10395818">
            <w:pPr>
              <w:keepNext w:val="0"/>
              <w:keepLines w:val="0"/>
              <w:pageBreakBefore w:val="0"/>
              <w:widowControl/>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中标供应商负责污水处理站的污泥清理，保持清理后目视池内无积物浮于水面至清水状，出入口畅通，保持污水不溢出地面，未到清理时间中途堵塞也须免费处理（即随满随处理），污水处理站沉淀池、淤泥回收池清理污泥时，池中污泥杂物要求全部抽净，并保证沉淀池清理后，四周墙壁清洁，底部干净。污泥处置方式要提供正确、合法处置的证明材料（可以是自身处置资质证明材料或委托第三方处置的证明材料）。</w:t>
            </w:r>
          </w:p>
          <w:p w14:paraId="46211875">
            <w:pPr>
              <w:keepNext w:val="0"/>
              <w:keepLines w:val="0"/>
              <w:pageBreakBefore w:val="0"/>
              <w:widowControl/>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中标供应商负责污水处理所需药剂的采购、运输、保管、投放等工作，并承担因此所产生的所有费用。污水消毒可采用次氯酸钠、三氯消毒片、活性氧消毒粉、臭氧等，投加浓度由中标供应商根据污水处理站进水水质情况自行确定，必须保证消毒后出水水质达标。</w:t>
            </w:r>
          </w:p>
          <w:p w14:paraId="787F6F64">
            <w:pPr>
              <w:keepNext w:val="0"/>
              <w:keepLines w:val="0"/>
              <w:pageBreakBefore w:val="0"/>
              <w:widowControl/>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运营期间，除日常维护外，中标供应商对建筑物进行内部装修对设备进行大修、对报废设备进行更换等，均应提前将详细内容以书面形式报采购人，经采购人同意后方可实施。装修、设备大修和报废设备更换的费用均由中标供应商承担。</w:t>
            </w:r>
          </w:p>
          <w:p w14:paraId="0187866F">
            <w:pPr>
              <w:keepNext w:val="0"/>
              <w:keepLines w:val="0"/>
              <w:pageBreakBefore w:val="0"/>
              <w:widowControl/>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运营服务期间，为配合有关上级部门检查，需要临时将污水送检时，监测费用由中标供应商负担。日常监测出现不合格时，进行补测的费用由中标供应商负担。如出现环保、卫生监督部门监测结果不达标而给采购人造成的损失及产生的费用，全部由中标供应商承担（因不可抗拒的原因如：自然灾害、停电、停水等造成的不达标除外）。如采购人因此受到有关部门罚款，罚款由中标供应商承担。连续出现三次不达标的，</w:t>
            </w:r>
            <w:r>
              <w:rPr>
                <w:rFonts w:hint="eastAsia" w:ascii="宋体" w:hAnsi="宋体" w:eastAsia="宋体" w:cs="宋体"/>
                <w:color w:val="auto"/>
                <w:sz w:val="24"/>
                <w:szCs w:val="24"/>
                <w:highlight w:val="none"/>
                <w:u w:val="none"/>
                <w:lang w:val="en-US" w:eastAsia="zh-CN"/>
              </w:rPr>
              <w:t>采购人有权上报相关监督部门申请终止合同</w:t>
            </w:r>
            <w:r>
              <w:rPr>
                <w:rFonts w:hint="eastAsia" w:asciiTheme="minorEastAsia" w:hAnsiTheme="minorEastAsia" w:eastAsiaTheme="minorEastAsia" w:cstheme="minorEastAsia"/>
                <w:color w:val="auto"/>
                <w:sz w:val="24"/>
                <w:highlight w:val="none"/>
              </w:rPr>
              <w:t>，所有后果均由中标供应商承担。</w:t>
            </w:r>
          </w:p>
          <w:p w14:paraId="0B04B40D">
            <w:pPr>
              <w:keepNext w:val="0"/>
              <w:keepLines w:val="0"/>
              <w:pageBreakBefore w:val="0"/>
              <w:widowControl/>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9、所需的办公设备、办公家具、办公用品、劳保用品、消毒药剂等一切物料由中标供应商自行承担添置。</w:t>
            </w:r>
          </w:p>
          <w:p w14:paraId="585C0B4D">
            <w:pPr>
              <w:keepNext w:val="0"/>
              <w:keepLines w:val="0"/>
              <w:pageBreakBefore w:val="0"/>
              <w:widowControl/>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10、服务期内除日常维护外，装修、设备大修和报废设备更换的费用均由中标供应商承担。如需添置或更新设备的，由中标供应商自行添置。</w:t>
            </w:r>
          </w:p>
          <w:p w14:paraId="371479C5">
            <w:pPr>
              <w:keepNext w:val="0"/>
              <w:keepLines w:val="0"/>
              <w:pageBreakBefore w:val="0"/>
              <w:widowControl/>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运营服务期限内，中标供应商自行承担各项费用、风险和所有责任，包括安全事故、污染事故和超标排放责任。负责项目设施的运营与维护，包含污水处理所需净水剂、消毒剂等药剂，负责废弃物的妥善处置，保证污水处理稳定达标排放。如环保有关部门监测或验收检查不达标，其一切后果由中标供应商承担。</w:t>
            </w:r>
          </w:p>
          <w:p w14:paraId="0342EED4">
            <w:pPr>
              <w:keepNext w:val="0"/>
              <w:keepLines w:val="0"/>
              <w:pageBreakBefore w:val="0"/>
              <w:widowControl/>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协助完成在广西固定污染源自动监控平台、全国排污许可证管理平台、广西企业环境信息依法披露系统等官方信息平台的数据上报及资料填写（含编写年度排污许可执行报告），合同期内配合制定排污自行监测方案。</w:t>
            </w:r>
          </w:p>
          <w:p w14:paraId="3D6310C7">
            <w:pPr>
              <w:keepNext w:val="0"/>
              <w:keepLines w:val="0"/>
              <w:pageBreakBefore w:val="0"/>
              <w:widowControl/>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13、中标供应商所有日常运营事宜要严格按照《排污许可证》要求进行。</w:t>
            </w:r>
          </w:p>
          <w:p w14:paraId="459EDBD1">
            <w:pPr>
              <w:keepNext w:val="0"/>
              <w:keepLines w:val="0"/>
              <w:pageBreakBefore w:val="0"/>
              <w:widowControl/>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14、中标供应商提供的证照，在合同期内应保证合法有效。在中标供应商证照按照国家规定审查换证后，应将有效证照复印件送医院备案。</w:t>
            </w:r>
          </w:p>
          <w:p w14:paraId="61210BA1">
            <w:pPr>
              <w:keepNext w:val="0"/>
              <w:keepLines w:val="0"/>
              <w:pageBreakBefore w:val="0"/>
              <w:widowControl/>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15、在医院规模扩大，污水量增加时，中标供应商负责及时添置新的设备，以保证符合国家有关法规、污水处理排放标准或环保主管部门的要求。</w:t>
            </w:r>
          </w:p>
          <w:p w14:paraId="5990385A">
            <w:pPr>
              <w:keepNext w:val="0"/>
              <w:keepLines w:val="0"/>
              <w:pageBreakBefore w:val="0"/>
              <w:widowControl/>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医院现有污水处理站设施免费提供给中标供应商使用。医院有权监督中标供应商污水处理站的运行情况。中标供应商应将污水处理系统运行的管理规章、制度报医院备案，应将每月的运行记录在次月报医院备案。</w:t>
            </w:r>
          </w:p>
          <w:p w14:paraId="3E329198">
            <w:pPr>
              <w:keepNext w:val="0"/>
              <w:keepLines w:val="0"/>
              <w:pageBreakBefore w:val="0"/>
              <w:widowControl/>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合同期满后，中标供应商将采购人原有的污水处理站设施交还采购人，交还的设施应保证合理的折旧水平，使用年限参照国家的有关规定。因中标供应商责任，使得设施设备提前报废的，中标供应商补偿相应损失。</w:t>
            </w:r>
          </w:p>
          <w:p w14:paraId="36BB2C4E">
            <w:pPr>
              <w:keepNext w:val="0"/>
              <w:keepLines w:val="0"/>
              <w:pageBreakBefore w:val="0"/>
              <w:widowControl/>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在医院内工作和生活的中标供应商有关人员，应服从采购人的监督与管理，自觉遵守国家法律法规以及医院的规章制度，不得影响医院正常工作和生活。否则，医院有权要求中标供应商更换人员直至终止合同。另外中标供应商所聘请的工作人员工资福利、医疗保险、人身安全等所产生的一切开支均由中标供应商负责。</w:t>
            </w:r>
          </w:p>
          <w:p w14:paraId="0FECAE7F">
            <w:pPr>
              <w:keepNext w:val="0"/>
              <w:keepLines w:val="0"/>
              <w:pageBreakBefore w:val="0"/>
              <w:widowControl/>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19、负责环保部门、卫生监督部门及上级领导部门工作检查中的汇报和答疑，且配合医院制作检查时所需材料，如安全生产检查、环保检查等。</w:t>
            </w:r>
          </w:p>
          <w:p w14:paraId="20F38769">
            <w:pPr>
              <w:keepNext w:val="0"/>
              <w:keepLines w:val="0"/>
              <w:pageBreakBefore w:val="0"/>
              <w:widowControl/>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20、本合同终止时，必须向采购人移交相关管理档案资料，否则采购人有权暂停支付应付供应商的费用。</w:t>
            </w:r>
          </w:p>
        </w:tc>
        <w:tc>
          <w:tcPr>
            <w:tcW w:w="1318" w:type="dxa"/>
            <w:shd w:val="clear" w:color="auto" w:fill="auto"/>
            <w:vAlign w:val="center"/>
          </w:tcPr>
          <w:p w14:paraId="2D798CC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786400.00</w:t>
            </w:r>
          </w:p>
        </w:tc>
        <w:tc>
          <w:tcPr>
            <w:tcW w:w="1248" w:type="dxa"/>
            <w:shd w:val="clear" w:color="auto" w:fill="auto"/>
            <w:vAlign w:val="center"/>
          </w:tcPr>
          <w:p w14:paraId="4C3B3676">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其它未列明行业</w:t>
            </w:r>
          </w:p>
        </w:tc>
      </w:tr>
      <w:tr w14:paraId="6781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16" w:type="dxa"/>
            <w:shd w:val="clear" w:color="auto" w:fill="auto"/>
            <w:vAlign w:val="center"/>
          </w:tcPr>
          <w:p w14:paraId="283E2319">
            <w:pPr>
              <w:keepNext w:val="0"/>
              <w:keepLines w:val="0"/>
              <w:pageBreakBefore w:val="0"/>
              <w:widowControl/>
              <w:kinsoku/>
              <w:wordWrap w:val="0"/>
              <w:overflowPunct/>
              <w:topLinePunct w:val="0"/>
              <w:autoSpaceDE/>
              <w:autoSpaceDN/>
              <w:bidi w:val="0"/>
              <w:adjustRightInd/>
              <w:snapToGrid/>
              <w:spacing w:line="360" w:lineRule="auto"/>
              <w:ind w:leftChars="0" w:firstLine="0" w:firstLineChars="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b/>
                <w:color w:val="auto"/>
                <w:sz w:val="24"/>
                <w:szCs w:val="24"/>
                <w:highlight w:val="none"/>
                <w:u w:val="none"/>
              </w:rPr>
              <w:t>商务条款</w:t>
            </w:r>
          </w:p>
        </w:tc>
        <w:tc>
          <w:tcPr>
            <w:tcW w:w="9404" w:type="dxa"/>
            <w:gridSpan w:val="7"/>
            <w:shd w:val="clear" w:color="auto" w:fill="auto"/>
            <w:vAlign w:val="top"/>
          </w:tcPr>
          <w:p w14:paraId="27EA4CC0">
            <w:pPr>
              <w:keepNext w:val="0"/>
              <w:keepLines w:val="0"/>
              <w:pageBreakBefore w:val="0"/>
              <w:widowControl/>
              <w:shd w:val="clear" w:color="auto" w:fill="FFFFFF"/>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▲一、合同签订期：自中标通知书发出之日起25日内</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 xml:space="preserve"> </w:t>
            </w:r>
          </w:p>
          <w:p w14:paraId="12F10223">
            <w:pPr>
              <w:keepNext w:val="0"/>
              <w:keepLines w:val="0"/>
              <w:pageBreakBefore w:val="0"/>
              <w:widowControl/>
              <w:shd w:val="clear" w:color="auto" w:fill="FFFFFF"/>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▲二、</w:t>
            </w:r>
            <w:r>
              <w:rPr>
                <w:rFonts w:hint="eastAsia" w:ascii="宋体" w:hAnsi="宋体" w:eastAsia="宋体" w:cs="宋体"/>
                <w:bCs/>
                <w:color w:val="auto"/>
                <w:sz w:val="24"/>
                <w:szCs w:val="24"/>
                <w:highlight w:val="none"/>
                <w:u w:val="none"/>
              </w:rPr>
              <w:t>服务时间：自合同签订之日起一年。</w:t>
            </w:r>
            <w:r>
              <w:rPr>
                <w:rFonts w:hint="eastAsia" w:ascii="宋体" w:hAnsi="宋体" w:eastAsia="宋体" w:cs="宋体"/>
                <w:bCs/>
                <w:strike w:val="0"/>
                <w:dstrike w:val="0"/>
                <w:color w:val="auto"/>
                <w:sz w:val="24"/>
                <w:szCs w:val="24"/>
                <w:highlight w:val="none"/>
                <w:u w:val="none"/>
              </w:rPr>
              <w:t>根据《财政部关于推进和完善服务项目政府有关问题的通知》（财库〔2014〕37号）及《政府购买服务管理办法》（财政部令第102号）等规定，在年度预算保障的前提下，对于购买内容（采购需求）相对固定、连续（延续）性强、经费来源稳定、价格变化幅度小的政府采购服务项目，可以通过一年一续签方式签订合同，期限总长不得超过三年。</w:t>
            </w:r>
          </w:p>
          <w:p w14:paraId="1494BB51">
            <w:pPr>
              <w:keepNext w:val="0"/>
              <w:keepLines w:val="0"/>
              <w:pageBreakBefore w:val="0"/>
              <w:widowControl/>
              <w:shd w:val="clear" w:color="auto" w:fill="FFFFFF"/>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三</w:t>
            </w:r>
            <w:r>
              <w:rPr>
                <w:rFonts w:hint="eastAsia" w:ascii="宋体" w:hAnsi="宋体" w:eastAsia="宋体" w:cs="宋体"/>
                <w:color w:val="auto"/>
                <w:sz w:val="24"/>
                <w:szCs w:val="24"/>
                <w:highlight w:val="none"/>
                <w:u w:val="none"/>
              </w:rPr>
              <w:t>、服务地点：南宁市市内采购人指定地点</w:t>
            </w:r>
          </w:p>
          <w:p w14:paraId="383D6F2D">
            <w:pPr>
              <w:keepNext w:val="0"/>
              <w:keepLines w:val="0"/>
              <w:pageBreakBefore w:val="0"/>
              <w:widowControl/>
              <w:shd w:val="clear" w:color="auto" w:fill="FFFFFF"/>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bCs/>
                <w:color w:val="auto"/>
                <w:sz w:val="24"/>
                <w:szCs w:val="24"/>
                <w:highlight w:val="none"/>
                <w:u w:val="none"/>
                <w:lang w:val="en-US" w:eastAsia="zh-CN"/>
              </w:rPr>
              <w:t>四</w:t>
            </w:r>
            <w:r>
              <w:rPr>
                <w:rFonts w:hint="eastAsia" w:ascii="宋体" w:hAnsi="宋体" w:eastAsia="宋体" w:cs="宋体"/>
                <w:bCs/>
                <w:color w:val="auto"/>
                <w:sz w:val="24"/>
                <w:szCs w:val="24"/>
                <w:highlight w:val="none"/>
                <w:u w:val="none"/>
              </w:rPr>
              <w:t>、</w:t>
            </w:r>
            <w:r>
              <w:rPr>
                <w:rFonts w:hint="eastAsia" w:ascii="宋体" w:hAnsi="宋体" w:eastAsia="宋体" w:cs="宋体"/>
                <w:color w:val="auto"/>
                <w:sz w:val="24"/>
                <w:szCs w:val="24"/>
                <w:highlight w:val="none"/>
                <w:u w:val="none"/>
              </w:rPr>
              <w:t>验收标准、规范：符合国家标准、行业标准、地方标准或者其他标准、规范。</w:t>
            </w:r>
          </w:p>
          <w:p w14:paraId="4FC310F1">
            <w:pPr>
              <w:keepNext w:val="0"/>
              <w:keepLines w:val="0"/>
              <w:pageBreakBefore w:val="0"/>
              <w:widowControl/>
              <w:shd w:val="clear" w:color="auto" w:fill="FFFFFF"/>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▲五、其他要求：</w:t>
            </w:r>
          </w:p>
          <w:p w14:paraId="150FF852">
            <w:pPr>
              <w:keepNext w:val="0"/>
              <w:keepLines w:val="0"/>
              <w:pageBreakBefore w:val="0"/>
              <w:widowControl/>
              <w:shd w:val="clear" w:color="auto" w:fill="FFFFFF"/>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1、报价必须含以下部分，包括：南宁市第一人民医院医疗集团污水处理服务等全部费用。具体包括：</w:t>
            </w:r>
          </w:p>
          <w:p w14:paraId="611826D5">
            <w:pPr>
              <w:keepNext w:val="0"/>
              <w:keepLines w:val="0"/>
              <w:pageBreakBefore w:val="0"/>
              <w:widowControl/>
              <w:shd w:val="clear" w:color="auto" w:fill="FFFFFF"/>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（1）服务的价格；</w:t>
            </w:r>
          </w:p>
          <w:p w14:paraId="6D15E735">
            <w:pPr>
              <w:keepNext w:val="0"/>
              <w:keepLines w:val="0"/>
              <w:pageBreakBefore w:val="0"/>
              <w:widowControl/>
              <w:shd w:val="clear" w:color="auto" w:fill="FFFFFF"/>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（2）必要的保险费用和各项税金；</w:t>
            </w:r>
          </w:p>
          <w:p w14:paraId="62C11500">
            <w:pPr>
              <w:keepNext w:val="0"/>
              <w:keepLines w:val="0"/>
              <w:pageBreakBefore w:val="0"/>
              <w:widowControl/>
              <w:shd w:val="clear" w:color="auto" w:fill="FFFFFF"/>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必须含但不限于全部的住宿费、伙食费、交通费、劳务费、劳保费、实地考察费、能源消耗费、人工费、药剂费、设备维保费、设备投入费、污泥清理费、管道淤堵疏通费、排污费、管理费、各项税金等全部费用。</w:t>
            </w:r>
          </w:p>
          <w:p w14:paraId="1743E74B">
            <w:pPr>
              <w:keepNext w:val="0"/>
              <w:keepLines w:val="0"/>
              <w:pageBreakBefore w:val="0"/>
              <w:widowControl/>
              <w:shd w:val="clear" w:color="auto" w:fill="FFFFFF"/>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（4）招标文件所要求的相关服务，以及合同明示或暗示的所有责任、义务和一般风险等费用</w:t>
            </w:r>
            <w:r>
              <w:rPr>
                <w:rFonts w:hint="eastAsia" w:ascii="宋体" w:hAnsi="宋体" w:cs="宋体"/>
                <w:color w:val="auto"/>
                <w:sz w:val="24"/>
                <w:szCs w:val="24"/>
                <w:highlight w:val="none"/>
                <w:u w:val="none"/>
                <w:lang w:val="en-US" w:eastAsia="zh-CN"/>
              </w:rPr>
              <w:t>。</w:t>
            </w:r>
          </w:p>
          <w:p w14:paraId="5A5DD41E">
            <w:pPr>
              <w:keepNext w:val="0"/>
              <w:keepLines w:val="0"/>
              <w:pageBreakBefore w:val="0"/>
              <w:widowControl/>
              <w:shd w:val="clear" w:color="auto" w:fill="FFFFFF"/>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2、付款方式：</w:t>
            </w:r>
            <w:r>
              <w:rPr>
                <w:rFonts w:hint="eastAsia" w:ascii="宋体" w:hAnsi="宋体" w:cs="宋体"/>
                <w:color w:val="auto"/>
                <w:sz w:val="24"/>
                <w:szCs w:val="24"/>
                <w:highlight w:val="none"/>
                <w:u w:val="none"/>
                <w:lang w:val="en-US" w:eastAsia="zh-CN"/>
              </w:rPr>
              <w:t>中标供应商</w:t>
            </w:r>
            <w:r>
              <w:rPr>
                <w:rFonts w:hint="eastAsia" w:ascii="宋体" w:hAnsi="宋体" w:eastAsia="宋体" w:cs="宋体"/>
                <w:color w:val="auto"/>
                <w:sz w:val="24"/>
                <w:szCs w:val="24"/>
                <w:highlight w:val="none"/>
                <w:u w:val="none"/>
                <w:lang w:val="en-US" w:eastAsia="zh-CN"/>
              </w:rPr>
              <w:t>每季度结束后，将上个季度的金额发票开具给采购人，采购人在收到发票</w:t>
            </w:r>
            <w:r>
              <w:rPr>
                <w:rFonts w:hint="eastAsia" w:ascii="宋体" w:hAnsi="宋体" w:cs="宋体"/>
                <w:color w:val="auto"/>
                <w:sz w:val="24"/>
                <w:szCs w:val="24"/>
                <w:highlight w:val="none"/>
                <w:u w:val="none"/>
                <w:lang w:val="en-US" w:eastAsia="zh-CN"/>
              </w:rPr>
              <w:t>60</w:t>
            </w:r>
            <w:r>
              <w:rPr>
                <w:rFonts w:hint="eastAsia" w:ascii="宋体" w:hAnsi="宋体" w:eastAsia="宋体" w:cs="宋体"/>
                <w:color w:val="auto"/>
                <w:sz w:val="24"/>
                <w:szCs w:val="24"/>
                <w:highlight w:val="none"/>
                <w:u w:val="none"/>
                <w:lang w:val="en-US" w:eastAsia="zh-CN"/>
              </w:rPr>
              <w:t>日内将该费用以转账转入</w:t>
            </w:r>
            <w:r>
              <w:rPr>
                <w:rFonts w:hint="eastAsia" w:ascii="宋体" w:hAnsi="宋体" w:cs="宋体"/>
                <w:color w:val="auto"/>
                <w:sz w:val="24"/>
                <w:szCs w:val="24"/>
                <w:highlight w:val="none"/>
                <w:u w:val="none"/>
                <w:lang w:val="en-US" w:eastAsia="zh-CN"/>
              </w:rPr>
              <w:t>中标供应商</w:t>
            </w:r>
            <w:r>
              <w:rPr>
                <w:rFonts w:hint="eastAsia" w:ascii="宋体" w:hAnsi="宋体" w:eastAsia="宋体" w:cs="宋体"/>
                <w:color w:val="auto"/>
                <w:sz w:val="24"/>
                <w:szCs w:val="24"/>
                <w:highlight w:val="none"/>
                <w:u w:val="none"/>
                <w:lang w:val="en-US" w:eastAsia="zh-CN"/>
              </w:rPr>
              <w:t>指定账户。</w:t>
            </w:r>
          </w:p>
          <w:p w14:paraId="46551E63">
            <w:pPr>
              <w:keepNext w:val="0"/>
              <w:keepLines w:val="0"/>
              <w:pageBreakBefore w:val="0"/>
              <w:widowControl/>
              <w:shd w:val="clear" w:color="auto" w:fill="FFFFFF"/>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val="en-US" w:eastAsia="zh-CN"/>
              </w:rPr>
              <w:t>、在合同约定的期限内中标供应商达到三次违约情况的，采购人有权上报相关监督部门申请终止合同，所有后果均由中标供应商承担。</w:t>
            </w:r>
          </w:p>
          <w:p w14:paraId="4C908A70">
            <w:pPr>
              <w:pStyle w:val="15"/>
              <w:keepNext w:val="0"/>
              <w:keepLines w:val="0"/>
              <w:pageBreakBefore w:val="0"/>
              <w:widowControl/>
              <w:kinsoku/>
              <w:wordWrap w:val="0"/>
              <w:overflowPunct/>
              <w:topLinePunct w:val="0"/>
              <w:autoSpaceDE/>
              <w:autoSpaceDN/>
              <w:bidi w:val="0"/>
              <w:adjustRightInd/>
              <w:snapToGrid/>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六、服务要求：</w:t>
            </w:r>
          </w:p>
          <w:p w14:paraId="11CE91CC">
            <w:pPr>
              <w:keepNext w:val="0"/>
              <w:keepLines w:val="0"/>
              <w:pageBreakBefore w:val="0"/>
              <w:widowControl/>
              <w:shd w:val="clear" w:color="auto" w:fill="FFFFFF"/>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1、</w:t>
            </w:r>
            <w:r>
              <w:rPr>
                <w:rFonts w:hint="eastAsia" w:ascii="宋体" w:hAnsi="宋体" w:cs="宋体"/>
                <w:color w:val="auto"/>
                <w:sz w:val="24"/>
                <w:szCs w:val="24"/>
                <w:highlight w:val="none"/>
                <w:u w:val="none"/>
                <w:lang w:val="en-US" w:eastAsia="zh-CN"/>
              </w:rPr>
              <w:t>中标供应商</w:t>
            </w:r>
            <w:r>
              <w:rPr>
                <w:rFonts w:hint="eastAsia" w:ascii="宋体" w:hAnsi="宋体" w:eastAsia="宋体" w:cs="宋体"/>
                <w:color w:val="auto"/>
                <w:kern w:val="0"/>
                <w:sz w:val="24"/>
                <w:szCs w:val="24"/>
                <w:highlight w:val="none"/>
                <w:u w:val="none"/>
                <w:lang w:val="en-US" w:eastAsia="zh-CN"/>
              </w:rPr>
              <w:t>应当为采购人提供技术援助电话，解答采购人在使用中遇到的问题，及时为采购人提出解决问题的建议。</w:t>
            </w:r>
            <w:r>
              <w:rPr>
                <w:rFonts w:hint="eastAsia" w:ascii="宋体" w:hAnsi="宋体" w:cs="宋体"/>
                <w:color w:val="auto"/>
                <w:sz w:val="24"/>
                <w:szCs w:val="24"/>
                <w:highlight w:val="none"/>
                <w:u w:val="none"/>
                <w:lang w:val="en-US" w:eastAsia="zh-CN"/>
              </w:rPr>
              <w:t>中标供应商</w:t>
            </w:r>
            <w:r>
              <w:rPr>
                <w:rFonts w:hint="eastAsia" w:ascii="宋体" w:hAnsi="宋体" w:eastAsia="宋体" w:cs="宋体"/>
                <w:color w:val="auto"/>
                <w:kern w:val="0"/>
                <w:sz w:val="24"/>
                <w:szCs w:val="24"/>
                <w:highlight w:val="none"/>
                <w:u w:val="none"/>
                <w:lang w:val="en-US" w:eastAsia="zh-CN"/>
              </w:rPr>
              <w:t>需要2小时内做出响应，12小时内派工程师到现场进行故障排除，以保证采购人的正常工作。</w:t>
            </w:r>
          </w:p>
          <w:p w14:paraId="50A2528E">
            <w:pPr>
              <w:keepNext w:val="0"/>
              <w:keepLines w:val="0"/>
              <w:pageBreakBefore w:val="0"/>
              <w:widowControl/>
              <w:shd w:val="clear" w:color="auto" w:fill="FFFFFF"/>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2、</w:t>
            </w:r>
            <w:r>
              <w:rPr>
                <w:rFonts w:hint="eastAsia" w:ascii="宋体" w:hAnsi="宋体" w:cs="宋体"/>
                <w:color w:val="auto"/>
                <w:sz w:val="24"/>
                <w:szCs w:val="24"/>
                <w:highlight w:val="none"/>
                <w:u w:val="none"/>
                <w:lang w:val="en-US" w:eastAsia="zh-CN"/>
              </w:rPr>
              <w:t>中标供应商</w:t>
            </w:r>
            <w:r>
              <w:rPr>
                <w:rFonts w:hint="eastAsia" w:ascii="宋体" w:hAnsi="宋体" w:eastAsia="宋体" w:cs="宋体"/>
                <w:color w:val="auto"/>
                <w:kern w:val="0"/>
                <w:sz w:val="24"/>
                <w:szCs w:val="24"/>
                <w:highlight w:val="none"/>
                <w:u w:val="none"/>
                <w:lang w:val="en-US" w:eastAsia="zh-CN"/>
              </w:rPr>
              <w:t>必须保证在服务期内的所有生产运营达到国家相关环保部门及相关监督管理部门的验收标准及考核要求，并由</w:t>
            </w:r>
            <w:r>
              <w:rPr>
                <w:rFonts w:hint="eastAsia" w:ascii="宋体" w:hAnsi="宋体" w:cs="宋体"/>
                <w:color w:val="auto"/>
                <w:sz w:val="24"/>
                <w:szCs w:val="24"/>
                <w:highlight w:val="none"/>
                <w:u w:val="none"/>
                <w:lang w:val="en-US" w:eastAsia="zh-CN"/>
              </w:rPr>
              <w:t>中标供应商</w:t>
            </w:r>
            <w:r>
              <w:rPr>
                <w:rFonts w:hint="eastAsia" w:ascii="宋体" w:hAnsi="宋体" w:eastAsia="宋体" w:cs="宋体"/>
                <w:color w:val="auto"/>
                <w:kern w:val="0"/>
                <w:sz w:val="24"/>
                <w:szCs w:val="24"/>
                <w:highlight w:val="none"/>
                <w:u w:val="none"/>
                <w:lang w:val="en-US" w:eastAsia="zh-CN"/>
              </w:rPr>
              <w:t>承担验收的所有技术环节及与国家相关环保部门及相关监督管理部门协调沟通工作，采购人负责配合</w:t>
            </w:r>
            <w:r>
              <w:rPr>
                <w:rFonts w:hint="eastAsia" w:ascii="宋体" w:hAnsi="宋体" w:cs="宋体"/>
                <w:color w:val="auto"/>
                <w:kern w:val="0"/>
                <w:sz w:val="24"/>
                <w:szCs w:val="24"/>
                <w:highlight w:val="none"/>
                <w:u w:val="none"/>
                <w:lang w:val="en-US" w:eastAsia="zh-CN"/>
              </w:rPr>
              <w:t>中标</w:t>
            </w:r>
            <w:r>
              <w:rPr>
                <w:rFonts w:hint="eastAsia" w:ascii="宋体" w:hAnsi="宋体" w:eastAsia="宋体" w:cs="宋体"/>
                <w:color w:val="auto"/>
                <w:kern w:val="0"/>
                <w:sz w:val="24"/>
                <w:szCs w:val="24"/>
                <w:highlight w:val="none"/>
                <w:u w:val="none"/>
                <w:lang w:val="en-US" w:eastAsia="zh-CN"/>
              </w:rPr>
              <w:t>供应商的验收、检查工作，要求通过国家相关环保部门及相关监督管理部门验收；如在服务期内，由于</w:t>
            </w:r>
            <w:r>
              <w:rPr>
                <w:rFonts w:hint="eastAsia" w:ascii="宋体" w:hAnsi="宋体" w:cs="宋体"/>
                <w:color w:val="auto"/>
                <w:sz w:val="24"/>
                <w:szCs w:val="24"/>
                <w:highlight w:val="none"/>
                <w:u w:val="none"/>
                <w:lang w:val="en-US" w:eastAsia="zh-CN"/>
              </w:rPr>
              <w:t>中标供应商</w:t>
            </w:r>
            <w:r>
              <w:rPr>
                <w:rFonts w:hint="eastAsia" w:ascii="宋体" w:hAnsi="宋体" w:eastAsia="宋体" w:cs="宋体"/>
                <w:color w:val="auto"/>
                <w:kern w:val="0"/>
                <w:sz w:val="24"/>
                <w:szCs w:val="24"/>
                <w:highlight w:val="none"/>
                <w:u w:val="none"/>
                <w:lang w:val="en-US" w:eastAsia="zh-CN"/>
              </w:rPr>
              <w:t>存在过错而受到国家相关环保部门或相关监督管理部门处罚的，由</w:t>
            </w:r>
            <w:r>
              <w:rPr>
                <w:rFonts w:hint="eastAsia" w:ascii="宋体" w:hAnsi="宋体" w:cs="宋体"/>
                <w:color w:val="auto"/>
                <w:sz w:val="24"/>
                <w:szCs w:val="24"/>
                <w:highlight w:val="none"/>
                <w:u w:val="none"/>
                <w:lang w:val="en-US" w:eastAsia="zh-CN"/>
              </w:rPr>
              <w:t>中标供应商</w:t>
            </w:r>
            <w:r>
              <w:rPr>
                <w:rFonts w:hint="eastAsia" w:ascii="宋体" w:hAnsi="宋体" w:eastAsia="宋体" w:cs="宋体"/>
                <w:color w:val="auto"/>
                <w:kern w:val="0"/>
                <w:sz w:val="24"/>
                <w:szCs w:val="24"/>
                <w:highlight w:val="none"/>
                <w:u w:val="none"/>
                <w:lang w:val="en-US" w:eastAsia="zh-CN"/>
              </w:rPr>
              <w:t>承担一切责任及费用。</w:t>
            </w:r>
          </w:p>
          <w:p w14:paraId="65D5B08A">
            <w:pPr>
              <w:keepNext w:val="0"/>
              <w:keepLines w:val="0"/>
              <w:pageBreakBefore w:val="0"/>
              <w:widowControl/>
              <w:shd w:val="clear" w:color="auto" w:fill="FFFFFF"/>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3、由于</w:t>
            </w:r>
            <w:r>
              <w:rPr>
                <w:rFonts w:hint="eastAsia" w:ascii="宋体" w:hAnsi="宋体" w:cs="宋体"/>
                <w:color w:val="auto"/>
                <w:sz w:val="24"/>
                <w:szCs w:val="24"/>
                <w:highlight w:val="none"/>
                <w:u w:val="none"/>
                <w:lang w:val="en-US" w:eastAsia="zh-CN"/>
              </w:rPr>
              <w:t>中标供应商</w:t>
            </w:r>
            <w:r>
              <w:rPr>
                <w:rFonts w:hint="eastAsia" w:ascii="宋体" w:hAnsi="宋体" w:eastAsia="宋体" w:cs="宋体"/>
                <w:color w:val="auto"/>
                <w:kern w:val="0"/>
                <w:sz w:val="24"/>
                <w:szCs w:val="24"/>
                <w:highlight w:val="none"/>
                <w:u w:val="none"/>
                <w:lang w:val="en-US" w:eastAsia="zh-CN"/>
              </w:rPr>
              <w:t>责任造成污水处理结果不达标而给</w:t>
            </w:r>
            <w:r>
              <w:rPr>
                <w:rFonts w:hint="eastAsia" w:ascii="宋体" w:hAnsi="宋体" w:cs="宋体"/>
                <w:color w:val="auto"/>
                <w:kern w:val="0"/>
                <w:sz w:val="24"/>
                <w:szCs w:val="24"/>
                <w:highlight w:val="none"/>
                <w:u w:val="none"/>
                <w:lang w:val="en-US" w:eastAsia="zh-CN"/>
              </w:rPr>
              <w:t>采购人</w:t>
            </w:r>
            <w:r>
              <w:rPr>
                <w:rFonts w:hint="eastAsia" w:ascii="宋体" w:hAnsi="宋体" w:eastAsia="宋体" w:cs="宋体"/>
                <w:color w:val="auto"/>
                <w:kern w:val="0"/>
                <w:sz w:val="24"/>
                <w:szCs w:val="24"/>
                <w:highlight w:val="none"/>
                <w:u w:val="none"/>
                <w:lang w:val="en-US" w:eastAsia="zh-CN"/>
              </w:rPr>
              <w:t>造成的损失及产生的费用，全部由</w:t>
            </w:r>
            <w:r>
              <w:rPr>
                <w:rFonts w:hint="eastAsia" w:ascii="宋体" w:hAnsi="宋体" w:cs="宋体"/>
                <w:color w:val="auto"/>
                <w:sz w:val="24"/>
                <w:szCs w:val="24"/>
                <w:highlight w:val="none"/>
                <w:u w:val="none"/>
                <w:lang w:val="en-US" w:eastAsia="zh-CN"/>
              </w:rPr>
              <w:t>中标供应商</w:t>
            </w:r>
            <w:r>
              <w:rPr>
                <w:rFonts w:hint="eastAsia" w:ascii="宋体" w:hAnsi="宋体" w:eastAsia="宋体" w:cs="宋体"/>
                <w:color w:val="auto"/>
                <w:kern w:val="0"/>
                <w:sz w:val="24"/>
                <w:szCs w:val="24"/>
                <w:highlight w:val="none"/>
                <w:u w:val="none"/>
                <w:lang w:val="en-US" w:eastAsia="zh-CN"/>
              </w:rPr>
              <w:t>承担（因不可抗拒的原因如：自然灾害、停电、停水等造成的不达标除外）。如采购人因此受到有关部门罚款，罚款由</w:t>
            </w:r>
            <w:r>
              <w:rPr>
                <w:rFonts w:hint="eastAsia" w:ascii="宋体" w:hAnsi="宋体" w:cs="宋体"/>
                <w:color w:val="auto"/>
                <w:sz w:val="24"/>
                <w:szCs w:val="24"/>
                <w:highlight w:val="none"/>
                <w:u w:val="none"/>
                <w:lang w:val="en-US" w:eastAsia="zh-CN"/>
              </w:rPr>
              <w:t>中标供应商</w:t>
            </w:r>
            <w:r>
              <w:rPr>
                <w:rFonts w:hint="eastAsia" w:ascii="宋体" w:hAnsi="宋体" w:eastAsia="宋体" w:cs="宋体"/>
                <w:color w:val="auto"/>
                <w:kern w:val="0"/>
                <w:sz w:val="24"/>
                <w:szCs w:val="24"/>
                <w:highlight w:val="none"/>
                <w:u w:val="none"/>
                <w:lang w:val="en-US" w:eastAsia="zh-CN"/>
              </w:rPr>
              <w:t>承担</w:t>
            </w:r>
            <w:r>
              <w:rPr>
                <w:rFonts w:hint="eastAsia" w:ascii="宋体" w:hAnsi="宋体" w:cs="宋体"/>
                <w:color w:val="auto"/>
                <w:kern w:val="0"/>
                <w:sz w:val="24"/>
                <w:szCs w:val="24"/>
                <w:highlight w:val="none"/>
                <w:u w:val="none"/>
                <w:lang w:val="en-US" w:eastAsia="zh-CN"/>
              </w:rPr>
              <w:t>，同时</w:t>
            </w:r>
            <w:r>
              <w:rPr>
                <w:rFonts w:hint="eastAsia" w:ascii="宋体" w:hAnsi="宋体" w:eastAsia="宋体" w:cs="宋体"/>
                <w:color w:val="auto"/>
                <w:kern w:val="0"/>
                <w:sz w:val="24"/>
                <w:szCs w:val="24"/>
                <w:highlight w:val="none"/>
                <w:u w:val="none"/>
                <w:lang w:val="en-US" w:eastAsia="zh-CN"/>
              </w:rPr>
              <w:t>采购人有权上报相关监督部门，所有后果均由中标供应商承担。</w:t>
            </w:r>
          </w:p>
          <w:p w14:paraId="2A14177A">
            <w:pPr>
              <w:keepNext w:val="0"/>
              <w:keepLines w:val="0"/>
              <w:pageBreakBefore w:val="0"/>
              <w:widowControl/>
              <w:shd w:val="clear" w:color="auto" w:fill="FFFFFF"/>
              <w:kinsoku/>
              <w:wordWrap w:val="0"/>
              <w:overflowPunct/>
              <w:topLinePunct w:val="0"/>
              <w:autoSpaceDE/>
              <w:autoSpaceDN/>
              <w:bidi w:val="0"/>
              <w:adjustRightInd/>
              <w:snapToGrid/>
              <w:spacing w:line="360" w:lineRule="auto"/>
              <w:jc w:val="left"/>
              <w:textAlignment w:val="auto"/>
              <w:rPr>
                <w:rFonts w:hint="default" w:eastAsia="宋体"/>
                <w:color w:val="auto"/>
                <w:highlight w:val="none"/>
                <w:lang w:val="en-US" w:eastAsia="zh-CN"/>
              </w:rPr>
            </w:pPr>
            <w:r>
              <w:rPr>
                <w:rFonts w:hint="eastAsia" w:ascii="宋体" w:hAnsi="宋体" w:eastAsia="宋体" w:cs="宋体"/>
                <w:color w:val="auto"/>
                <w:kern w:val="0"/>
                <w:sz w:val="24"/>
                <w:szCs w:val="24"/>
                <w:highlight w:val="none"/>
                <w:u w:val="none"/>
                <w:lang w:val="en-US" w:eastAsia="zh-CN"/>
              </w:rPr>
              <w:t>4、运营服务期限内，</w:t>
            </w:r>
            <w:r>
              <w:rPr>
                <w:rFonts w:hint="eastAsia" w:ascii="宋体" w:hAnsi="宋体" w:cs="宋体"/>
                <w:color w:val="auto"/>
                <w:sz w:val="24"/>
                <w:szCs w:val="24"/>
                <w:highlight w:val="none"/>
                <w:u w:val="none"/>
                <w:lang w:val="en-US" w:eastAsia="zh-CN"/>
              </w:rPr>
              <w:t>中标供应商</w:t>
            </w:r>
            <w:r>
              <w:rPr>
                <w:rFonts w:hint="eastAsia" w:ascii="宋体" w:hAnsi="宋体" w:eastAsia="宋体" w:cs="宋体"/>
                <w:color w:val="auto"/>
                <w:kern w:val="0"/>
                <w:sz w:val="24"/>
                <w:szCs w:val="24"/>
                <w:highlight w:val="none"/>
                <w:u w:val="none"/>
                <w:lang w:val="en-US" w:eastAsia="zh-CN"/>
              </w:rPr>
              <w:t>自行承担各项费用、风险和所有责任，包括安全事故、污染事故和超标排放责任。负责项目设施的运营与维护，包含污水处理所需净水剂、消毒剂等药剂，负责废弃物的妥善处置，保证污水处理稳定达标排放。如环保有关部门监测或验收检查不达标，其一切后果由</w:t>
            </w:r>
            <w:r>
              <w:rPr>
                <w:rFonts w:hint="eastAsia" w:ascii="宋体" w:hAnsi="宋体" w:cs="宋体"/>
                <w:color w:val="auto"/>
                <w:sz w:val="24"/>
                <w:szCs w:val="24"/>
                <w:highlight w:val="none"/>
                <w:u w:val="none"/>
                <w:lang w:val="en-US" w:eastAsia="zh-CN"/>
              </w:rPr>
              <w:t>中标供应商</w:t>
            </w:r>
            <w:r>
              <w:rPr>
                <w:rFonts w:hint="eastAsia" w:ascii="宋体" w:hAnsi="宋体" w:eastAsia="宋体" w:cs="宋体"/>
                <w:color w:val="auto"/>
                <w:kern w:val="0"/>
                <w:sz w:val="24"/>
                <w:szCs w:val="24"/>
                <w:highlight w:val="none"/>
                <w:u w:val="none"/>
                <w:lang w:val="en-US" w:eastAsia="zh-CN"/>
              </w:rPr>
              <w:t>承担。</w:t>
            </w:r>
          </w:p>
        </w:tc>
      </w:tr>
      <w:tr w14:paraId="241F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6" w:type="dxa"/>
            <w:shd w:val="clear" w:color="auto" w:fill="auto"/>
            <w:vAlign w:val="center"/>
          </w:tcPr>
          <w:p w14:paraId="204675C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其他说明</w:t>
            </w:r>
          </w:p>
        </w:tc>
        <w:tc>
          <w:tcPr>
            <w:tcW w:w="9404" w:type="dxa"/>
            <w:gridSpan w:val="7"/>
            <w:shd w:val="clear" w:color="auto" w:fill="auto"/>
          </w:tcPr>
          <w:p w14:paraId="79DED4C0">
            <w:pPr>
              <w:keepNext w:val="0"/>
              <w:keepLines w:val="0"/>
              <w:pageBreakBefore w:val="0"/>
              <w:widowControl/>
              <w:kinsoku/>
              <w:wordWrap w:val="0"/>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一、进口产品说明</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本分标服务所涉及的货物不接受进口产品（即通过中国海关报关验放进入中国境内且产自关境外的产品）参与投标，</w:t>
            </w:r>
            <w:r>
              <w:rPr>
                <w:rFonts w:hint="eastAsia" w:asciiTheme="minorEastAsia" w:hAnsiTheme="minorEastAsia" w:eastAsiaTheme="minorEastAsia" w:cstheme="minorEastAsia"/>
                <w:b/>
                <w:bCs/>
                <w:color w:val="auto"/>
                <w:sz w:val="24"/>
                <w:szCs w:val="24"/>
                <w:highlight w:val="none"/>
                <w:lang w:val="en-US"/>
              </w:rPr>
              <w:t>如有进口产品参与投标的作无效标处理。</w:t>
            </w:r>
          </w:p>
          <w:p w14:paraId="76810509">
            <w:pPr>
              <w:keepNext w:val="0"/>
              <w:keepLines w:val="0"/>
              <w:pageBreakBefore w:val="0"/>
              <w:widowControl/>
              <w:kinsoku/>
              <w:wordWrap w:val="0"/>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二</w:t>
            </w:r>
            <w:r>
              <w:rPr>
                <w:rFonts w:hint="eastAsia" w:asciiTheme="minorEastAsia" w:hAnsiTheme="minorEastAsia" w:eastAsiaTheme="minorEastAsia" w:cstheme="minorEastAsia"/>
                <w:b w:val="0"/>
                <w:bCs w:val="0"/>
                <w:color w:val="auto"/>
                <w:sz w:val="24"/>
                <w:szCs w:val="24"/>
                <w:highlight w:val="none"/>
                <w:lang w:val="en-US"/>
              </w:rPr>
              <w:t>、本项目合同文本中的条款与项目采购需求不一致的，以</w:t>
            </w:r>
            <w:r>
              <w:rPr>
                <w:rFonts w:hint="eastAsia" w:asciiTheme="minorEastAsia" w:hAnsiTheme="minorEastAsia" w:eastAsiaTheme="minorEastAsia" w:cstheme="minorEastAsia"/>
                <w:b w:val="0"/>
                <w:bCs w:val="0"/>
                <w:color w:val="auto"/>
                <w:sz w:val="24"/>
                <w:szCs w:val="24"/>
                <w:highlight w:val="none"/>
                <w:lang w:val="en-US" w:eastAsia="zh-CN"/>
              </w:rPr>
              <w:t>招标</w:t>
            </w:r>
            <w:r>
              <w:rPr>
                <w:rFonts w:hint="eastAsia" w:asciiTheme="minorEastAsia" w:hAnsiTheme="minorEastAsia" w:eastAsiaTheme="minorEastAsia" w:cstheme="minorEastAsia"/>
                <w:b w:val="0"/>
                <w:bCs w:val="0"/>
                <w:color w:val="auto"/>
                <w:sz w:val="24"/>
                <w:szCs w:val="24"/>
                <w:highlight w:val="none"/>
                <w:lang w:val="en-US"/>
              </w:rPr>
              <w:t>文件服务需求一览表、中标供应商响应条款为准</w:t>
            </w:r>
          </w:p>
        </w:tc>
      </w:tr>
      <w:bookmarkEnd w:id="7"/>
    </w:tbl>
    <w:p w14:paraId="6B85F986">
      <w:pP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2D707A73">
      <w:pPr>
        <w:pageBreakBefore w:val="0"/>
        <w:numPr>
          <w:ilvl w:val="-1"/>
          <w:numId w:val="0"/>
        </w:numPr>
        <w:wordWrap w:val="0"/>
        <w:overflowPunct/>
        <w:topLinePunct w:val="0"/>
        <w:bidi w:val="0"/>
        <w:spacing w:line="360" w:lineRule="auto"/>
        <w:outlineLvl w:val="9"/>
        <w:rPr>
          <w:rFonts w:hint="eastAsia" w:ascii="宋体" w:hAnsi="宋体" w:eastAsia="宋体" w:cs="宋体"/>
          <w:color w:val="auto"/>
          <w:sz w:val="32"/>
          <w:szCs w:val="32"/>
          <w:highlight w:val="none"/>
          <w:lang w:val="en-US" w:eastAsia="zh-CN"/>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一</w:t>
      </w:r>
    </w:p>
    <w:p w14:paraId="2A3D6B6C">
      <w:pPr>
        <w:pageBreakBefore w:val="0"/>
        <w:wordWrap w:val="0"/>
        <w:overflowPunct/>
        <w:topLinePunct w:val="0"/>
        <w:bidi w:val="0"/>
        <w:spacing w:line="360" w:lineRule="auto"/>
        <w:rPr>
          <w:rFonts w:ascii="宋体" w:hAnsi="宋体" w:cs="宋体"/>
          <w:color w:val="auto"/>
          <w:sz w:val="17"/>
          <w:szCs w:val="17"/>
          <w:highlight w:val="none"/>
        </w:rPr>
      </w:pPr>
    </w:p>
    <w:p w14:paraId="3A23FDA7">
      <w:pPr>
        <w:pageBreakBefore w:val="0"/>
        <w:wordWrap w:val="0"/>
        <w:overflowPunct/>
        <w:topLinePunct w:val="0"/>
        <w:bidi w:val="0"/>
        <w:spacing w:line="360" w:lineRule="auto"/>
        <w:ind w:left="1871"/>
        <w:rPr>
          <w:rFonts w:ascii="宋体" w:hAnsi="宋体" w:cs="宋体"/>
          <w:color w:val="auto"/>
          <w:sz w:val="40"/>
          <w:szCs w:val="40"/>
          <w:highlight w:val="none"/>
        </w:rPr>
      </w:pPr>
      <w:r>
        <w:rPr>
          <w:rFonts w:hint="eastAsia" w:ascii="宋体" w:hAnsi="宋体" w:cs="宋体"/>
          <w:color w:val="auto"/>
          <w:sz w:val="40"/>
          <w:szCs w:val="40"/>
          <w:highlight w:val="none"/>
        </w:rPr>
        <w:t>节能产品政府采购品目清单</w:t>
      </w:r>
    </w:p>
    <w:tbl>
      <w:tblPr>
        <w:tblStyle w:val="22"/>
        <w:tblW w:w="9220" w:type="dxa"/>
        <w:tblInd w:w="93" w:type="dxa"/>
        <w:tblLayout w:type="fixed"/>
        <w:tblCellMar>
          <w:top w:w="0" w:type="dxa"/>
          <w:left w:w="108" w:type="dxa"/>
          <w:bottom w:w="0" w:type="dxa"/>
          <w:right w:w="108" w:type="dxa"/>
        </w:tblCellMar>
      </w:tblPr>
      <w:tblGrid>
        <w:gridCol w:w="660"/>
        <w:gridCol w:w="1080"/>
        <w:gridCol w:w="1320"/>
        <w:gridCol w:w="1620"/>
        <w:gridCol w:w="4540"/>
      </w:tblGrid>
      <w:tr w14:paraId="7E5C4235">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tcPr>
          <w:p w14:paraId="217EEC16">
            <w:pPr>
              <w:pageBreakBefore w:val="0"/>
              <w:widowControl/>
              <w:wordWrap w:val="0"/>
              <w:overflowPunct/>
              <w:topLinePunct w:val="0"/>
              <w:bidi w:val="0"/>
              <w:spacing w:line="360" w:lineRule="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37266025">
            <w:pPr>
              <w:pageBreakBefore w:val="0"/>
              <w:widowControl/>
              <w:wordWrap w:val="0"/>
              <w:overflowPunct/>
              <w:topLinePunct w:val="0"/>
              <w:bidi w:val="0"/>
              <w:spacing w:line="360" w:lineRule="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vAlign w:val="center"/>
          </w:tcPr>
          <w:p w14:paraId="0D2C6573">
            <w:pPr>
              <w:pageBreakBefore w:val="0"/>
              <w:widowControl/>
              <w:wordWrap w:val="0"/>
              <w:overflowPunct/>
              <w:topLinePunct w:val="0"/>
              <w:bidi w:val="0"/>
              <w:spacing w:line="360" w:lineRule="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39B96ED4">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1AEFEF81">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vAlign w:val="center"/>
          </w:tcPr>
          <w:p w14:paraId="5F5D663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vAlign w:val="center"/>
          </w:tcPr>
          <w:p w14:paraId="2D3A7FE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vAlign w:val="center"/>
          </w:tcPr>
          <w:p w14:paraId="2A3AB2D8">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7F42D8E">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0DA1147E">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3ADB6C0">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8B9E3DA">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2AC2E4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vAlign w:val="center"/>
          </w:tcPr>
          <w:p w14:paraId="0D02881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2A77ECC">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6940DE3B">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32B1832C">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4B30D6E">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CD42042">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vAlign w:val="center"/>
          </w:tcPr>
          <w:p w14:paraId="1FD9513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BAD9F3A">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566A9C3C">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6299D4D3">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vAlign w:val="center"/>
          </w:tcPr>
          <w:p w14:paraId="2D66C2C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7B3315D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vAlign w:val="center"/>
          </w:tcPr>
          <w:p w14:paraId="735E27A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vAlign w:val="center"/>
          </w:tcPr>
          <w:p w14:paraId="42084AA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4FBF92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FF1303F">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709C48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B538F67">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C11318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vAlign w:val="center"/>
          </w:tcPr>
          <w:p w14:paraId="1E04AA5A">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380B13D4">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D5396C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434728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3987FF4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3D53B82">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vAlign w:val="center"/>
          </w:tcPr>
          <w:p w14:paraId="615C3DBF">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46D0655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6A2F9A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147F3D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E4E9E4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vAlign w:val="center"/>
          </w:tcPr>
          <w:p w14:paraId="46A4DCFA">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vAlign w:val="center"/>
          </w:tcPr>
          <w:p w14:paraId="098837C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1D9928A7">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1D6F8ED1">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E4CC12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5BE7FF49">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vAlign w:val="center"/>
          </w:tcPr>
          <w:p w14:paraId="43919FBA">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vAlign w:val="center"/>
          </w:tcPr>
          <w:p w14:paraId="03975E8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14E78A1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04C9406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vAlign w:val="center"/>
          </w:tcPr>
          <w:p w14:paraId="5DB39C9A">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vAlign w:val="center"/>
          </w:tcPr>
          <w:p w14:paraId="501C2E4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09E523F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5AAE41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30EABE7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C2A7F92">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vAlign w:val="center"/>
          </w:tcPr>
          <w:p w14:paraId="5ADD9D5C">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vAlign w:val="center"/>
          </w:tcPr>
          <w:p w14:paraId="498B7C8C">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71DA13E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E386280">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6D39F93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C49AA2E">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vAlign w:val="center"/>
          </w:tcPr>
          <w:p w14:paraId="41A6D28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vAlign w:val="center"/>
          </w:tcPr>
          <w:p w14:paraId="36ECDB71">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vAlign w:val="center"/>
          </w:tcPr>
          <w:p w14:paraId="1909CED3">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922A42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522EDD52">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vAlign w:val="center"/>
          </w:tcPr>
          <w:p w14:paraId="2C0B885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vAlign w:val="center"/>
          </w:tcPr>
          <w:p w14:paraId="4749930A">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vAlign w:val="center"/>
          </w:tcPr>
          <w:p w14:paraId="301185B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vAlign w:val="center"/>
          </w:tcPr>
          <w:p w14:paraId="07246909">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vAlign w:val="center"/>
          </w:tcPr>
          <w:p w14:paraId="05BD5C2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114FDD34">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13F05F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3BE83A9">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4ED2BDA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6BF3D98">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vAlign w:val="center"/>
          </w:tcPr>
          <w:p w14:paraId="4847A5D7">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4D596B6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6BF7712">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157F7FA">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2FF7E66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D0A840C">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vAlign w:val="center"/>
          </w:tcPr>
          <w:p w14:paraId="3DAC6621">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5BB0C9BE">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526A9A8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8E332CE">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10CDAAE8">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vAlign w:val="center"/>
          </w:tcPr>
          <w:p w14:paraId="6FE013DA">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vAlign w:val="center"/>
          </w:tcPr>
          <w:p w14:paraId="4F9EE1D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6497D0AF">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64F98B5D">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5FDAF0E">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29D652A">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1BC2451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vAlign w:val="center"/>
          </w:tcPr>
          <w:p w14:paraId="372BC131">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2B2FE07B">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5D53132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4B6D7A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93CE581">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vAlign w:val="center"/>
          </w:tcPr>
          <w:p w14:paraId="6740296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vAlign w:val="center"/>
          </w:tcPr>
          <w:p w14:paraId="4DD154C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2C7F0F9A">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1E21BF57">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63900CD">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0FD0CC1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vAlign w:val="center"/>
          </w:tcPr>
          <w:p w14:paraId="721E076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vAlign w:val="center"/>
          </w:tcPr>
          <w:p w14:paraId="6474C74D">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74C7C9B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CA8F1E2">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vAlign w:val="center"/>
          </w:tcPr>
          <w:p w14:paraId="36467C2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vAlign w:val="center"/>
          </w:tcPr>
          <w:p w14:paraId="11A2CA52">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3E2963C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6FDF2BA">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41A4D5C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124C1B9">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vAlign w:val="center"/>
          </w:tcPr>
          <w:p w14:paraId="4174BD79">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vAlign w:val="center"/>
          </w:tcPr>
          <w:p w14:paraId="1AA3D50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vAlign w:val="center"/>
          </w:tcPr>
          <w:p w14:paraId="78127FC9">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794F83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4CB284B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DDBC33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vAlign w:val="center"/>
          </w:tcPr>
          <w:p w14:paraId="7EBEF03C">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vAlign w:val="center"/>
          </w:tcPr>
          <w:p w14:paraId="44FC860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vAlign w:val="center"/>
          </w:tcPr>
          <w:p w14:paraId="575424DC">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334071E">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26E46A19">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150EB6A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vAlign w:val="center"/>
          </w:tcPr>
          <w:p w14:paraId="4E464F6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vAlign w:val="center"/>
          </w:tcPr>
          <w:p w14:paraId="3AB02A4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vAlign w:val="center"/>
          </w:tcPr>
          <w:p w14:paraId="7B3A6A2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94F1B1C">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07577638">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4DEC2A9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05762C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21E4A4C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vAlign w:val="center"/>
          </w:tcPr>
          <w:p w14:paraId="64E4DD43">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vAlign w:val="center"/>
          </w:tcPr>
          <w:p w14:paraId="378C70F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3DD5DF77">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5B59032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74F723C">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3BCB503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3E75E389">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vAlign w:val="center"/>
          </w:tcPr>
          <w:p w14:paraId="4D183603">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7A0BF229">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0124DBF7">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AD8D512">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3B8EF0E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89E1B8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vAlign w:val="center"/>
          </w:tcPr>
          <w:p w14:paraId="158A42D0">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0514C2F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FEF11FC">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AA7BBD0">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5576E14E">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vAlign w:val="center"/>
          </w:tcPr>
          <w:p w14:paraId="2424A651">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A165DB2">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2B2089D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67CF50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2A30E41">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529895E8">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vAlign w:val="center"/>
          </w:tcPr>
          <w:p w14:paraId="3B8FFC1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vAlign w:val="center"/>
          </w:tcPr>
          <w:p w14:paraId="72DC26B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52A7996A">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2B702BF">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B8855D9">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5AEA201C">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104616C">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vAlign w:val="center"/>
          </w:tcPr>
          <w:p w14:paraId="51FCD06A">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3509ECE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5426D2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FA43750">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8BBBFCA">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3419CC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vAlign w:val="center"/>
          </w:tcPr>
          <w:p w14:paraId="11C6677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4AAF2F62">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F6DCC5A">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D251F4E">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3EFAD92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F7DAD1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vAlign w:val="center"/>
          </w:tcPr>
          <w:p w14:paraId="620F16FC">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15C937F0">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76D5F97B">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vAlign w:val="center"/>
          </w:tcPr>
          <w:p w14:paraId="53DAB307">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vAlign w:val="center"/>
          </w:tcPr>
          <w:p w14:paraId="67E62C9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vAlign w:val="center"/>
          </w:tcPr>
          <w:p w14:paraId="6383240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CED6FA1">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3FBC22EA">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3E734E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00B501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58C8BC7">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vAlign w:val="center"/>
          </w:tcPr>
          <w:p w14:paraId="54148D3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069C2FD">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05A77F0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4CB78E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7BA0CB9">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D31165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vAlign w:val="center"/>
          </w:tcPr>
          <w:p w14:paraId="544C41D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0BACA23">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11512871">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60AEF9D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D53530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906F21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vAlign w:val="center"/>
          </w:tcPr>
          <w:p w14:paraId="0A111339">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7A7A0AA">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74A93CB7">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vAlign w:val="center"/>
          </w:tcPr>
          <w:p w14:paraId="7297800C">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vAlign w:val="center"/>
          </w:tcPr>
          <w:p w14:paraId="5625927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vAlign w:val="center"/>
          </w:tcPr>
          <w:p w14:paraId="741FB34E">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vAlign w:val="center"/>
          </w:tcPr>
          <w:p w14:paraId="2D457FC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340D66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70371360">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vAlign w:val="center"/>
          </w:tcPr>
          <w:p w14:paraId="548C40C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vAlign w:val="center"/>
          </w:tcPr>
          <w:p w14:paraId="09ACF131">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vAlign w:val="center"/>
          </w:tcPr>
          <w:p w14:paraId="70FA6BA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vAlign w:val="center"/>
          </w:tcPr>
          <w:p w14:paraId="4DA4FB6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vAlign w:val="center"/>
          </w:tcPr>
          <w:p w14:paraId="3CDAD937">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76F8754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E51979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vAlign w:val="center"/>
          </w:tcPr>
          <w:p w14:paraId="0961D57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vAlign w:val="center"/>
          </w:tcPr>
          <w:p w14:paraId="2159742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vAlign w:val="center"/>
          </w:tcPr>
          <w:p w14:paraId="7EDA7DF2">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203E2FC">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1EE1D207">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vAlign w:val="center"/>
          </w:tcPr>
          <w:p w14:paraId="0E553B07">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vAlign w:val="center"/>
          </w:tcPr>
          <w:p w14:paraId="65518787">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vAlign w:val="center"/>
          </w:tcPr>
          <w:p w14:paraId="74D6ECC3">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vAlign w:val="center"/>
          </w:tcPr>
          <w:p w14:paraId="6CC76D4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21EBA2C">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4E709FB9">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220AF9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DFA65A0">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FAA7D0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vAlign w:val="center"/>
          </w:tcPr>
          <w:p w14:paraId="2B10744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A1986D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2F132A7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852C74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3E35A72">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036A4DAB">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vAlign w:val="center"/>
          </w:tcPr>
          <w:p w14:paraId="3C210FDB">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23575FF">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4E625BF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D3B271A">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vAlign w:val="center"/>
          </w:tcPr>
          <w:p w14:paraId="185B64F2">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vAlign w:val="center"/>
          </w:tcPr>
          <w:p w14:paraId="4E6C872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5A34385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90F3F5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3DDB73A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C6204D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vAlign w:val="center"/>
          </w:tcPr>
          <w:p w14:paraId="24E6AB22">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vAlign w:val="center"/>
          </w:tcPr>
          <w:p w14:paraId="657CEDB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04282F1E">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F1FEC7F">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5999A99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A714A4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vAlign w:val="center"/>
          </w:tcPr>
          <w:p w14:paraId="42B42D63">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vAlign w:val="center"/>
          </w:tcPr>
          <w:p w14:paraId="7985251E">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29F495F8">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13DDA01">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6D828DB3">
      <w:pPr>
        <w:pStyle w:val="12"/>
        <w:pageBreakBefore w:val="0"/>
        <w:wordWrap w:val="0"/>
        <w:overflowPunct/>
        <w:topLinePunct w:val="0"/>
        <w:bidi w:val="0"/>
        <w:spacing w:after="0" w:line="360" w:lineRule="auto"/>
        <w:rPr>
          <w:rFonts w:ascii="宋体" w:hAnsi="宋体" w:cs="宋体"/>
          <w:color w:val="auto"/>
          <w:spacing w:val="-3"/>
          <w:szCs w:val="21"/>
          <w:highlight w:val="none"/>
        </w:rPr>
      </w:pPr>
    </w:p>
    <w:p w14:paraId="24DB17D8">
      <w:pPr>
        <w:pStyle w:val="12"/>
        <w:pageBreakBefore w:val="0"/>
        <w:wordWrap w:val="0"/>
        <w:overflowPunct/>
        <w:topLinePunct w:val="0"/>
        <w:bidi w:val="0"/>
        <w:spacing w:after="0" w:line="360" w:lineRule="auto"/>
        <w:rPr>
          <w:rFonts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14:paraId="5AD3D825">
      <w:pPr>
        <w:pStyle w:val="12"/>
        <w:pageBreakBefore w:val="0"/>
        <w:wordWrap w:val="0"/>
        <w:overflowPunct/>
        <w:topLinePunct w:val="0"/>
        <w:bidi w:val="0"/>
        <w:spacing w:after="0" w:line="360" w:lineRule="auto"/>
        <w:rPr>
          <w:rFonts w:ascii="宋体" w:hAnsi="宋体" w:cs="宋体"/>
          <w:b/>
          <w:bCs/>
          <w:color w:val="auto"/>
          <w:szCs w:val="21"/>
          <w:highlight w:val="none"/>
        </w:rPr>
      </w:pPr>
      <w:r>
        <w:rPr>
          <w:rFonts w:hint="eastAsia" w:ascii="宋体" w:hAnsi="宋体" w:cs="宋体"/>
          <w:color w:val="auto"/>
          <w:szCs w:val="21"/>
          <w:highlight w:val="none"/>
        </w:rPr>
        <w:t xml:space="preserve">    2</w:t>
      </w:r>
      <w:r>
        <w:rPr>
          <w:rFonts w:hint="eastAsia" w:ascii="宋体" w:hAnsi="宋体" w:cs="宋体"/>
          <w:b/>
          <w:bCs/>
          <w:color w:val="auto"/>
          <w:szCs w:val="21"/>
          <w:highlight w:val="none"/>
        </w:rPr>
        <w:t>.以“★”标注的为政府强制采购产品。</w:t>
      </w:r>
    </w:p>
    <w:p w14:paraId="2ACA517B">
      <w:pPr>
        <w:pStyle w:val="14"/>
        <w:pageBreakBefore w:val="0"/>
        <w:wordWrap w:val="0"/>
        <w:overflowPunct/>
        <w:topLinePunct w:val="0"/>
        <w:bidi w:val="0"/>
        <w:spacing w:line="360" w:lineRule="auto"/>
        <w:jc w:val="left"/>
        <w:rPr>
          <w:rFonts w:hint="eastAsia" w:hAnsi="宋体" w:cs="宋体"/>
          <w:color w:val="auto"/>
          <w:highlight w:val="none"/>
        </w:rPr>
        <w:sectPr>
          <w:headerReference r:id="rId5" w:type="default"/>
          <w:footerReference r:id="rId6" w:type="default"/>
          <w:pgSz w:w="11906" w:h="16838"/>
          <w:pgMar w:top="1440" w:right="1080" w:bottom="1440" w:left="1080" w:header="720" w:footer="720" w:gutter="0"/>
          <w:pgNumType w:fmt="decimal"/>
          <w:cols w:space="720" w:num="1"/>
          <w:docGrid w:type="lines" w:linePitch="331" w:charSpace="0"/>
        </w:sectPr>
      </w:pPr>
    </w:p>
    <w:p w14:paraId="659A9C85">
      <w:pPr>
        <w:pStyle w:val="14"/>
        <w:pageBreakBefore w:val="0"/>
        <w:wordWrap w:val="0"/>
        <w:overflowPunct/>
        <w:topLinePunct w:val="0"/>
        <w:bidi w:val="0"/>
        <w:spacing w:line="360" w:lineRule="auto"/>
        <w:jc w:val="left"/>
        <w:outlineLvl w:val="9"/>
        <w:rPr>
          <w:rFonts w:hAnsi="宋体" w:cs="宋体"/>
          <w:color w:val="auto"/>
          <w:sz w:val="32"/>
          <w:szCs w:val="32"/>
          <w:highlight w:val="none"/>
        </w:rPr>
      </w:pPr>
      <w:r>
        <w:rPr>
          <w:rFonts w:hint="eastAsia" w:hAnsi="宋体" w:cs="宋体"/>
          <w:color w:val="auto"/>
          <w:sz w:val="32"/>
          <w:szCs w:val="32"/>
          <w:highlight w:val="none"/>
        </w:rPr>
        <w:t>附件</w:t>
      </w:r>
      <w:r>
        <w:rPr>
          <w:rFonts w:hint="eastAsia" w:hAnsi="宋体" w:cs="宋体"/>
          <w:color w:val="auto"/>
          <w:sz w:val="32"/>
          <w:szCs w:val="32"/>
          <w:highlight w:val="none"/>
          <w:lang w:val="en-US" w:eastAsia="zh-CN"/>
        </w:rPr>
        <w:t>二</w:t>
      </w:r>
      <w:r>
        <w:rPr>
          <w:rFonts w:hint="eastAsia" w:hAnsi="宋体" w:cs="宋体"/>
          <w:color w:val="auto"/>
          <w:sz w:val="32"/>
          <w:szCs w:val="32"/>
          <w:highlight w:val="none"/>
        </w:rPr>
        <w:t>：</w:t>
      </w:r>
    </w:p>
    <w:p w14:paraId="03E0FBE6">
      <w:pPr>
        <w:pageBreakBefore w:val="0"/>
        <w:wordWrap w:val="0"/>
        <w:overflowPunct/>
        <w:topLinePunct w:val="0"/>
        <w:bidi w:val="0"/>
        <w:spacing w:line="360" w:lineRule="auto"/>
        <w:ind w:left="11" w:leftChars="0" w:hanging="11" w:firstLineChars="0"/>
        <w:jc w:val="center"/>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2"/>
        <w:tblW w:w="9537" w:type="dxa"/>
        <w:tblInd w:w="250" w:type="dxa"/>
        <w:tblLayout w:type="fixed"/>
        <w:tblCellMar>
          <w:top w:w="0" w:type="dxa"/>
          <w:left w:w="108" w:type="dxa"/>
          <w:bottom w:w="0" w:type="dxa"/>
          <w:right w:w="108" w:type="dxa"/>
        </w:tblCellMar>
      </w:tblPr>
      <w:tblGrid>
        <w:gridCol w:w="2033"/>
        <w:gridCol w:w="1653"/>
        <w:gridCol w:w="1091"/>
        <w:gridCol w:w="1935"/>
        <w:gridCol w:w="1720"/>
        <w:gridCol w:w="1105"/>
      </w:tblGrid>
      <w:tr w14:paraId="2F529076">
        <w:tblPrEx>
          <w:tblCellMar>
            <w:top w:w="0" w:type="dxa"/>
            <w:left w:w="108" w:type="dxa"/>
            <w:bottom w:w="0" w:type="dxa"/>
            <w:right w:w="108" w:type="dxa"/>
          </w:tblCellMar>
        </w:tblPrEx>
        <w:trPr>
          <w:trHeight w:val="285" w:hRule="atLeast"/>
        </w:trPr>
        <w:tc>
          <w:tcPr>
            <w:tcW w:w="2033" w:type="dxa"/>
            <w:tcBorders>
              <w:top w:val="single" w:color="auto" w:sz="4" w:space="0"/>
              <w:left w:val="single" w:color="auto" w:sz="4" w:space="0"/>
              <w:bottom w:val="single" w:color="auto" w:sz="4" w:space="0"/>
              <w:right w:val="single" w:color="auto" w:sz="4" w:space="0"/>
            </w:tcBorders>
            <w:vAlign w:val="center"/>
          </w:tcPr>
          <w:p w14:paraId="237E79E5">
            <w:pPr>
              <w:pageBreakBefore w:val="0"/>
              <w:widowControl/>
              <w:wordWrap w:val="0"/>
              <w:overflowPunct/>
              <w:topLinePunct w:val="0"/>
              <w:bidi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653" w:type="dxa"/>
            <w:tcBorders>
              <w:top w:val="single" w:color="auto" w:sz="4" w:space="0"/>
              <w:left w:val="nil"/>
              <w:bottom w:val="single" w:color="auto" w:sz="4" w:space="0"/>
              <w:right w:val="single" w:color="auto" w:sz="4" w:space="0"/>
            </w:tcBorders>
            <w:vAlign w:val="center"/>
          </w:tcPr>
          <w:p w14:paraId="635AE706">
            <w:pPr>
              <w:pageBreakBefore w:val="0"/>
              <w:widowControl/>
              <w:wordWrap w:val="0"/>
              <w:overflowPunct/>
              <w:topLinePunct w:val="0"/>
              <w:bidi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1091" w:type="dxa"/>
            <w:tcBorders>
              <w:top w:val="single" w:color="auto" w:sz="4" w:space="0"/>
              <w:left w:val="nil"/>
              <w:bottom w:val="single" w:color="auto" w:sz="4" w:space="0"/>
              <w:right w:val="single" w:color="auto" w:sz="4" w:space="0"/>
            </w:tcBorders>
            <w:vAlign w:val="center"/>
          </w:tcPr>
          <w:p w14:paraId="46F65685">
            <w:pPr>
              <w:pageBreakBefore w:val="0"/>
              <w:widowControl/>
              <w:wordWrap w:val="0"/>
              <w:overflowPunct/>
              <w:topLinePunct w:val="0"/>
              <w:bidi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935" w:type="dxa"/>
            <w:tcBorders>
              <w:top w:val="single" w:color="auto" w:sz="4" w:space="0"/>
              <w:left w:val="nil"/>
              <w:bottom w:val="single" w:color="auto" w:sz="4" w:space="0"/>
              <w:right w:val="single" w:color="auto" w:sz="4" w:space="0"/>
            </w:tcBorders>
            <w:vAlign w:val="center"/>
          </w:tcPr>
          <w:p w14:paraId="24A16FE8">
            <w:pPr>
              <w:pageBreakBefore w:val="0"/>
              <w:widowControl/>
              <w:wordWrap w:val="0"/>
              <w:overflowPunct/>
              <w:topLinePunct w:val="0"/>
              <w:bidi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20" w:type="dxa"/>
            <w:tcBorders>
              <w:top w:val="single" w:color="auto" w:sz="4" w:space="0"/>
              <w:left w:val="nil"/>
              <w:bottom w:val="single" w:color="auto" w:sz="4" w:space="0"/>
              <w:right w:val="single" w:color="auto" w:sz="4" w:space="0"/>
            </w:tcBorders>
            <w:vAlign w:val="center"/>
          </w:tcPr>
          <w:p w14:paraId="07BB0285">
            <w:pPr>
              <w:pageBreakBefore w:val="0"/>
              <w:widowControl/>
              <w:wordWrap w:val="0"/>
              <w:overflowPunct/>
              <w:topLinePunct w:val="0"/>
              <w:bidi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05" w:type="dxa"/>
            <w:tcBorders>
              <w:top w:val="single" w:color="auto" w:sz="4" w:space="0"/>
              <w:left w:val="nil"/>
              <w:bottom w:val="single" w:color="auto" w:sz="4" w:space="0"/>
              <w:right w:val="single" w:color="auto" w:sz="4" w:space="0"/>
            </w:tcBorders>
            <w:vAlign w:val="center"/>
          </w:tcPr>
          <w:p w14:paraId="60F2CF3D">
            <w:pPr>
              <w:pageBreakBefore w:val="0"/>
              <w:widowControl/>
              <w:wordWrap w:val="0"/>
              <w:overflowPunct/>
              <w:topLinePunct w:val="0"/>
              <w:bidi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60EF456F">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2C1D0F7E">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653" w:type="dxa"/>
            <w:tcBorders>
              <w:top w:val="nil"/>
              <w:left w:val="nil"/>
              <w:bottom w:val="single" w:color="auto" w:sz="4" w:space="0"/>
              <w:right w:val="single" w:color="auto" w:sz="4" w:space="0"/>
            </w:tcBorders>
            <w:vAlign w:val="center"/>
          </w:tcPr>
          <w:p w14:paraId="60CB80E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43D617E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A8E72B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251AAFEF">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05" w:type="dxa"/>
            <w:tcBorders>
              <w:top w:val="nil"/>
              <w:left w:val="nil"/>
              <w:bottom w:val="single" w:color="auto" w:sz="4" w:space="0"/>
              <w:right w:val="single" w:color="auto" w:sz="4" w:space="0"/>
            </w:tcBorders>
            <w:vAlign w:val="center"/>
          </w:tcPr>
          <w:p w14:paraId="1508D86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19AF78C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39A8CA6B">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653" w:type="dxa"/>
            <w:tcBorders>
              <w:top w:val="nil"/>
              <w:left w:val="nil"/>
              <w:bottom w:val="single" w:color="auto" w:sz="4" w:space="0"/>
              <w:right w:val="single" w:color="auto" w:sz="4" w:space="0"/>
            </w:tcBorders>
            <w:vAlign w:val="center"/>
          </w:tcPr>
          <w:p w14:paraId="6FF93D2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23D8E86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A23944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4756960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20E9121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E0AB547">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262E1288">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680A179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4FB9A2E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A974D1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20" w:type="dxa"/>
            <w:tcBorders>
              <w:top w:val="nil"/>
              <w:left w:val="nil"/>
              <w:bottom w:val="single" w:color="auto" w:sz="4" w:space="0"/>
              <w:right w:val="single" w:color="auto" w:sz="4" w:space="0"/>
            </w:tcBorders>
            <w:vAlign w:val="center"/>
          </w:tcPr>
          <w:p w14:paraId="46F1A69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05" w:type="dxa"/>
            <w:tcBorders>
              <w:top w:val="nil"/>
              <w:left w:val="nil"/>
              <w:bottom w:val="single" w:color="auto" w:sz="4" w:space="0"/>
              <w:right w:val="single" w:color="auto" w:sz="4" w:space="0"/>
            </w:tcBorders>
            <w:vAlign w:val="center"/>
          </w:tcPr>
          <w:p w14:paraId="11B18C9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14E32E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AB4D01D">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653" w:type="dxa"/>
            <w:tcBorders>
              <w:top w:val="nil"/>
              <w:left w:val="nil"/>
              <w:bottom w:val="single" w:color="auto" w:sz="4" w:space="0"/>
              <w:right w:val="single" w:color="auto" w:sz="4" w:space="0"/>
            </w:tcBorders>
            <w:vAlign w:val="center"/>
          </w:tcPr>
          <w:p w14:paraId="23D69CE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4243E40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7A9609B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20" w:type="dxa"/>
            <w:tcBorders>
              <w:top w:val="nil"/>
              <w:left w:val="nil"/>
              <w:bottom w:val="single" w:color="auto" w:sz="4" w:space="0"/>
              <w:right w:val="single" w:color="auto" w:sz="4" w:space="0"/>
            </w:tcBorders>
            <w:vAlign w:val="center"/>
          </w:tcPr>
          <w:p w14:paraId="6869FD2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05" w:type="dxa"/>
            <w:tcBorders>
              <w:top w:val="nil"/>
              <w:left w:val="nil"/>
              <w:bottom w:val="single" w:color="auto" w:sz="4" w:space="0"/>
              <w:right w:val="single" w:color="auto" w:sz="4" w:space="0"/>
            </w:tcBorders>
            <w:vAlign w:val="center"/>
          </w:tcPr>
          <w:p w14:paraId="593A9D5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B45A3B1">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724C02E">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39FAEA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2998D1B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52B624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20" w:type="dxa"/>
            <w:tcBorders>
              <w:top w:val="nil"/>
              <w:left w:val="nil"/>
              <w:bottom w:val="single" w:color="auto" w:sz="4" w:space="0"/>
              <w:right w:val="single" w:color="auto" w:sz="4" w:space="0"/>
            </w:tcBorders>
            <w:vAlign w:val="center"/>
          </w:tcPr>
          <w:p w14:paraId="5E79CF9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05" w:type="dxa"/>
            <w:tcBorders>
              <w:top w:val="nil"/>
              <w:left w:val="nil"/>
              <w:bottom w:val="single" w:color="auto" w:sz="4" w:space="0"/>
              <w:right w:val="single" w:color="auto" w:sz="4" w:space="0"/>
            </w:tcBorders>
            <w:vAlign w:val="center"/>
          </w:tcPr>
          <w:p w14:paraId="61F029A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7EC60D1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38A7907">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653" w:type="dxa"/>
            <w:tcBorders>
              <w:top w:val="nil"/>
              <w:left w:val="nil"/>
              <w:bottom w:val="single" w:color="auto" w:sz="4" w:space="0"/>
              <w:right w:val="single" w:color="auto" w:sz="4" w:space="0"/>
            </w:tcBorders>
            <w:vAlign w:val="center"/>
          </w:tcPr>
          <w:p w14:paraId="3C35884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5364E65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3AADF71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20" w:type="dxa"/>
            <w:tcBorders>
              <w:top w:val="nil"/>
              <w:left w:val="nil"/>
              <w:bottom w:val="single" w:color="auto" w:sz="4" w:space="0"/>
              <w:right w:val="single" w:color="auto" w:sz="4" w:space="0"/>
            </w:tcBorders>
            <w:vAlign w:val="center"/>
          </w:tcPr>
          <w:p w14:paraId="7413971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05" w:type="dxa"/>
            <w:tcBorders>
              <w:top w:val="nil"/>
              <w:left w:val="nil"/>
              <w:bottom w:val="single" w:color="auto" w:sz="4" w:space="0"/>
              <w:right w:val="single" w:color="auto" w:sz="4" w:space="0"/>
            </w:tcBorders>
            <w:vAlign w:val="center"/>
          </w:tcPr>
          <w:p w14:paraId="34D9B0B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7741E52B">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56D9F8E6">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1CABA4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56123A7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0D7ABE8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20" w:type="dxa"/>
            <w:tcBorders>
              <w:top w:val="nil"/>
              <w:left w:val="nil"/>
              <w:bottom w:val="single" w:color="auto" w:sz="4" w:space="0"/>
              <w:right w:val="single" w:color="auto" w:sz="4" w:space="0"/>
            </w:tcBorders>
            <w:vAlign w:val="center"/>
          </w:tcPr>
          <w:p w14:paraId="1E05C7E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05" w:type="dxa"/>
            <w:tcBorders>
              <w:top w:val="nil"/>
              <w:left w:val="nil"/>
              <w:bottom w:val="single" w:color="auto" w:sz="4" w:space="0"/>
              <w:right w:val="single" w:color="auto" w:sz="4" w:space="0"/>
            </w:tcBorders>
            <w:vAlign w:val="center"/>
          </w:tcPr>
          <w:p w14:paraId="1B032A9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54096E18">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024992C8">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653" w:type="dxa"/>
            <w:tcBorders>
              <w:top w:val="nil"/>
              <w:left w:val="nil"/>
              <w:bottom w:val="single" w:color="auto" w:sz="4" w:space="0"/>
              <w:right w:val="single" w:color="auto" w:sz="4" w:space="0"/>
            </w:tcBorders>
            <w:vAlign w:val="center"/>
          </w:tcPr>
          <w:p w14:paraId="26235C0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40B7F18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7D1E0AE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20" w:type="dxa"/>
            <w:tcBorders>
              <w:top w:val="nil"/>
              <w:left w:val="nil"/>
              <w:bottom w:val="single" w:color="auto" w:sz="4" w:space="0"/>
              <w:right w:val="single" w:color="auto" w:sz="4" w:space="0"/>
            </w:tcBorders>
            <w:vAlign w:val="center"/>
          </w:tcPr>
          <w:p w14:paraId="69F758D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05" w:type="dxa"/>
            <w:tcBorders>
              <w:top w:val="nil"/>
              <w:left w:val="nil"/>
              <w:bottom w:val="single" w:color="auto" w:sz="4" w:space="0"/>
              <w:right w:val="single" w:color="auto" w:sz="4" w:space="0"/>
            </w:tcBorders>
            <w:vAlign w:val="center"/>
          </w:tcPr>
          <w:p w14:paraId="528C92E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E1B8E82">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D776441">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0219F17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179319F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7BD5197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030DA35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05" w:type="dxa"/>
            <w:tcBorders>
              <w:top w:val="nil"/>
              <w:left w:val="nil"/>
              <w:bottom w:val="single" w:color="auto" w:sz="4" w:space="0"/>
              <w:right w:val="single" w:color="auto" w:sz="4" w:space="0"/>
            </w:tcBorders>
            <w:vAlign w:val="center"/>
          </w:tcPr>
          <w:p w14:paraId="0B0EB25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D0D0A7A">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07A70DB7">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653" w:type="dxa"/>
            <w:tcBorders>
              <w:top w:val="nil"/>
              <w:left w:val="nil"/>
              <w:bottom w:val="single" w:color="auto" w:sz="4" w:space="0"/>
              <w:right w:val="single" w:color="auto" w:sz="4" w:space="0"/>
            </w:tcBorders>
            <w:vAlign w:val="center"/>
          </w:tcPr>
          <w:p w14:paraId="3BB047BF">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ED38DEF">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3DA720F">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59EC52E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24DD3A3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0602305">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5784452">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4F83640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0493C22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7598104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20" w:type="dxa"/>
            <w:tcBorders>
              <w:top w:val="nil"/>
              <w:left w:val="nil"/>
              <w:bottom w:val="single" w:color="auto" w:sz="4" w:space="0"/>
              <w:right w:val="single" w:color="auto" w:sz="4" w:space="0"/>
            </w:tcBorders>
            <w:vAlign w:val="center"/>
          </w:tcPr>
          <w:p w14:paraId="7A306BB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05" w:type="dxa"/>
            <w:tcBorders>
              <w:top w:val="nil"/>
              <w:left w:val="nil"/>
              <w:bottom w:val="single" w:color="auto" w:sz="4" w:space="0"/>
              <w:right w:val="single" w:color="auto" w:sz="4" w:space="0"/>
            </w:tcBorders>
            <w:vAlign w:val="center"/>
          </w:tcPr>
          <w:p w14:paraId="5A70AFF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1E33030D">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BB83563">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653" w:type="dxa"/>
            <w:tcBorders>
              <w:top w:val="nil"/>
              <w:left w:val="nil"/>
              <w:bottom w:val="single" w:color="auto" w:sz="4" w:space="0"/>
              <w:right w:val="single" w:color="auto" w:sz="4" w:space="0"/>
            </w:tcBorders>
            <w:vAlign w:val="center"/>
          </w:tcPr>
          <w:p w14:paraId="0B317DC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6A62E29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2C87DD5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20" w:type="dxa"/>
            <w:tcBorders>
              <w:top w:val="nil"/>
              <w:left w:val="nil"/>
              <w:bottom w:val="single" w:color="auto" w:sz="4" w:space="0"/>
              <w:right w:val="single" w:color="auto" w:sz="4" w:space="0"/>
            </w:tcBorders>
            <w:vAlign w:val="center"/>
          </w:tcPr>
          <w:p w14:paraId="4B582BCF">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05" w:type="dxa"/>
            <w:tcBorders>
              <w:top w:val="nil"/>
              <w:left w:val="nil"/>
              <w:bottom w:val="single" w:color="auto" w:sz="4" w:space="0"/>
              <w:right w:val="single" w:color="auto" w:sz="4" w:space="0"/>
            </w:tcBorders>
            <w:vAlign w:val="center"/>
          </w:tcPr>
          <w:p w14:paraId="2FC6F5D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45C8984">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453F513">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BEC3B9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161AF16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0977D68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20" w:type="dxa"/>
            <w:tcBorders>
              <w:top w:val="nil"/>
              <w:left w:val="nil"/>
              <w:bottom w:val="single" w:color="auto" w:sz="4" w:space="0"/>
              <w:right w:val="single" w:color="auto" w:sz="4" w:space="0"/>
            </w:tcBorders>
            <w:vAlign w:val="center"/>
          </w:tcPr>
          <w:p w14:paraId="2E4EFF9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05" w:type="dxa"/>
            <w:tcBorders>
              <w:top w:val="nil"/>
              <w:left w:val="nil"/>
              <w:bottom w:val="single" w:color="auto" w:sz="4" w:space="0"/>
              <w:right w:val="single" w:color="auto" w:sz="4" w:space="0"/>
            </w:tcBorders>
            <w:vAlign w:val="center"/>
          </w:tcPr>
          <w:p w14:paraId="3F1A4C3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182B992">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69316B2">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653" w:type="dxa"/>
            <w:tcBorders>
              <w:top w:val="nil"/>
              <w:left w:val="nil"/>
              <w:bottom w:val="single" w:color="auto" w:sz="4" w:space="0"/>
              <w:right w:val="single" w:color="auto" w:sz="4" w:space="0"/>
            </w:tcBorders>
            <w:vAlign w:val="center"/>
          </w:tcPr>
          <w:p w14:paraId="0D275C0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362CE55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0EF5140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47F4324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664F9B4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697D9DF">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242A6D92">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124FE65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5405977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2368DE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20" w:type="dxa"/>
            <w:tcBorders>
              <w:top w:val="nil"/>
              <w:left w:val="nil"/>
              <w:bottom w:val="single" w:color="auto" w:sz="4" w:space="0"/>
              <w:right w:val="single" w:color="auto" w:sz="4" w:space="0"/>
            </w:tcBorders>
            <w:vAlign w:val="center"/>
          </w:tcPr>
          <w:p w14:paraId="690784E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0A2204F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7BBEC77">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62F46C15">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653" w:type="dxa"/>
            <w:tcBorders>
              <w:top w:val="nil"/>
              <w:left w:val="nil"/>
              <w:bottom w:val="single" w:color="auto" w:sz="4" w:space="0"/>
              <w:right w:val="single" w:color="auto" w:sz="4" w:space="0"/>
            </w:tcBorders>
            <w:vAlign w:val="center"/>
          </w:tcPr>
          <w:p w14:paraId="5624F2E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A3094B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77767F7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18810CB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06875E3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C03BE5B">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F691DA0">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4ADE08C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402616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3D4F7B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525BC2E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50540A3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1DB78C1">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6E03056">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653" w:type="dxa"/>
            <w:tcBorders>
              <w:top w:val="nil"/>
              <w:left w:val="nil"/>
              <w:bottom w:val="single" w:color="auto" w:sz="4" w:space="0"/>
              <w:right w:val="single" w:color="auto" w:sz="4" w:space="0"/>
            </w:tcBorders>
            <w:vAlign w:val="center"/>
          </w:tcPr>
          <w:p w14:paraId="7639383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5DC99B4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2E80165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6AD03C5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01F7D93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29DF9C1">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0992667">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CA62EE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3781126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B58793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237AF9D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1FC9D97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6FCAD9C">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45E57E6">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653" w:type="dxa"/>
            <w:tcBorders>
              <w:top w:val="nil"/>
              <w:left w:val="nil"/>
              <w:bottom w:val="single" w:color="auto" w:sz="4" w:space="0"/>
              <w:right w:val="single" w:color="auto" w:sz="4" w:space="0"/>
            </w:tcBorders>
            <w:vAlign w:val="center"/>
          </w:tcPr>
          <w:p w14:paraId="50DA7E2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4937326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4C905A1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20" w:type="dxa"/>
            <w:tcBorders>
              <w:top w:val="nil"/>
              <w:left w:val="nil"/>
              <w:bottom w:val="single" w:color="auto" w:sz="4" w:space="0"/>
              <w:right w:val="single" w:color="auto" w:sz="4" w:space="0"/>
            </w:tcBorders>
            <w:vAlign w:val="center"/>
          </w:tcPr>
          <w:p w14:paraId="7F51A38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754DEC7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D06DD67">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216D7A90">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1FA595D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5ACDAD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FFE7E5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20" w:type="dxa"/>
            <w:tcBorders>
              <w:top w:val="nil"/>
              <w:left w:val="nil"/>
              <w:bottom w:val="single" w:color="auto" w:sz="4" w:space="0"/>
              <w:right w:val="single" w:color="auto" w:sz="4" w:space="0"/>
            </w:tcBorders>
            <w:vAlign w:val="center"/>
          </w:tcPr>
          <w:p w14:paraId="1E9755A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05" w:type="dxa"/>
            <w:tcBorders>
              <w:top w:val="nil"/>
              <w:left w:val="nil"/>
              <w:bottom w:val="single" w:color="auto" w:sz="4" w:space="0"/>
              <w:right w:val="single" w:color="auto" w:sz="4" w:space="0"/>
            </w:tcBorders>
            <w:vAlign w:val="center"/>
          </w:tcPr>
          <w:p w14:paraId="2944917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7CD088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7FAAB492">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653" w:type="dxa"/>
            <w:tcBorders>
              <w:top w:val="nil"/>
              <w:left w:val="nil"/>
              <w:bottom w:val="single" w:color="auto" w:sz="4" w:space="0"/>
              <w:right w:val="single" w:color="auto" w:sz="4" w:space="0"/>
            </w:tcBorders>
            <w:vAlign w:val="center"/>
          </w:tcPr>
          <w:p w14:paraId="6C14E2E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31B79EC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3EB556F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0443EDC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7D76199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5A43C17">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39CAC9C7">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37E8C5E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6AE6A99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44C956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20" w:type="dxa"/>
            <w:tcBorders>
              <w:top w:val="nil"/>
              <w:left w:val="nil"/>
              <w:bottom w:val="single" w:color="auto" w:sz="4" w:space="0"/>
              <w:right w:val="single" w:color="auto" w:sz="4" w:space="0"/>
            </w:tcBorders>
            <w:vAlign w:val="center"/>
          </w:tcPr>
          <w:p w14:paraId="7947083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05" w:type="dxa"/>
            <w:tcBorders>
              <w:top w:val="nil"/>
              <w:left w:val="nil"/>
              <w:bottom w:val="single" w:color="auto" w:sz="4" w:space="0"/>
              <w:right w:val="single" w:color="auto" w:sz="4" w:space="0"/>
            </w:tcBorders>
            <w:vAlign w:val="center"/>
          </w:tcPr>
          <w:p w14:paraId="6B76819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FD309D9">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33EB960">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653" w:type="dxa"/>
            <w:tcBorders>
              <w:top w:val="nil"/>
              <w:left w:val="nil"/>
              <w:bottom w:val="single" w:color="auto" w:sz="4" w:space="0"/>
              <w:right w:val="single" w:color="auto" w:sz="4" w:space="0"/>
            </w:tcBorders>
            <w:vAlign w:val="center"/>
          </w:tcPr>
          <w:p w14:paraId="45318C3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CFFA4D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B43093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20" w:type="dxa"/>
            <w:tcBorders>
              <w:top w:val="nil"/>
              <w:left w:val="nil"/>
              <w:bottom w:val="single" w:color="auto" w:sz="4" w:space="0"/>
              <w:right w:val="single" w:color="auto" w:sz="4" w:space="0"/>
            </w:tcBorders>
            <w:vAlign w:val="center"/>
          </w:tcPr>
          <w:p w14:paraId="43A9580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05" w:type="dxa"/>
            <w:tcBorders>
              <w:top w:val="nil"/>
              <w:left w:val="nil"/>
              <w:bottom w:val="single" w:color="auto" w:sz="4" w:space="0"/>
              <w:right w:val="single" w:color="auto" w:sz="4" w:space="0"/>
            </w:tcBorders>
            <w:vAlign w:val="center"/>
          </w:tcPr>
          <w:p w14:paraId="6EE9117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5C6F72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1B0B67B">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1F9F9EF">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674C4D5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020277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20" w:type="dxa"/>
            <w:tcBorders>
              <w:top w:val="nil"/>
              <w:left w:val="nil"/>
              <w:bottom w:val="single" w:color="auto" w:sz="4" w:space="0"/>
              <w:right w:val="single" w:color="auto" w:sz="4" w:space="0"/>
            </w:tcBorders>
            <w:vAlign w:val="center"/>
          </w:tcPr>
          <w:p w14:paraId="00011CE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05" w:type="dxa"/>
            <w:tcBorders>
              <w:top w:val="nil"/>
              <w:left w:val="nil"/>
              <w:bottom w:val="single" w:color="auto" w:sz="4" w:space="0"/>
              <w:right w:val="single" w:color="auto" w:sz="4" w:space="0"/>
            </w:tcBorders>
            <w:vAlign w:val="center"/>
          </w:tcPr>
          <w:p w14:paraId="054C3B9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7108E51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3AFB9FA1">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653" w:type="dxa"/>
            <w:tcBorders>
              <w:top w:val="nil"/>
              <w:left w:val="nil"/>
              <w:bottom w:val="single" w:color="auto" w:sz="4" w:space="0"/>
              <w:right w:val="single" w:color="auto" w:sz="4" w:space="0"/>
            </w:tcBorders>
            <w:vAlign w:val="center"/>
          </w:tcPr>
          <w:p w14:paraId="6237B28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65FB12D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6AFD542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0A75AA3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05" w:type="dxa"/>
            <w:tcBorders>
              <w:top w:val="nil"/>
              <w:left w:val="nil"/>
              <w:bottom w:val="single" w:color="auto" w:sz="4" w:space="0"/>
              <w:right w:val="single" w:color="auto" w:sz="4" w:space="0"/>
            </w:tcBorders>
            <w:vAlign w:val="center"/>
          </w:tcPr>
          <w:p w14:paraId="5AEE6AA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7CA2899">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778DA84">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4BDF2C0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15FDDFF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6ECB7B7F">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20" w:type="dxa"/>
            <w:tcBorders>
              <w:top w:val="nil"/>
              <w:left w:val="nil"/>
              <w:bottom w:val="single" w:color="auto" w:sz="4" w:space="0"/>
              <w:right w:val="single" w:color="auto" w:sz="4" w:space="0"/>
            </w:tcBorders>
            <w:vAlign w:val="center"/>
          </w:tcPr>
          <w:p w14:paraId="1B09547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05" w:type="dxa"/>
            <w:tcBorders>
              <w:top w:val="nil"/>
              <w:left w:val="nil"/>
              <w:bottom w:val="single" w:color="auto" w:sz="4" w:space="0"/>
              <w:right w:val="single" w:color="auto" w:sz="4" w:space="0"/>
            </w:tcBorders>
            <w:vAlign w:val="center"/>
          </w:tcPr>
          <w:p w14:paraId="4944520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1C889BEF">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7FE2E832">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653" w:type="dxa"/>
            <w:tcBorders>
              <w:top w:val="nil"/>
              <w:left w:val="nil"/>
              <w:bottom w:val="single" w:color="auto" w:sz="4" w:space="0"/>
              <w:right w:val="single" w:color="auto" w:sz="4" w:space="0"/>
            </w:tcBorders>
            <w:vAlign w:val="center"/>
          </w:tcPr>
          <w:p w14:paraId="462693B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3E1E59A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129818B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0C6F46A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196A766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D43BE28">
        <w:tblPrEx>
          <w:tblCellMar>
            <w:top w:w="0" w:type="dxa"/>
            <w:left w:w="108" w:type="dxa"/>
            <w:bottom w:w="0" w:type="dxa"/>
            <w:right w:w="108" w:type="dxa"/>
          </w:tblCellMar>
        </w:tblPrEx>
        <w:trPr>
          <w:trHeight w:val="90" w:hRule="atLeast"/>
        </w:trPr>
        <w:tc>
          <w:tcPr>
            <w:tcW w:w="2033" w:type="dxa"/>
            <w:vMerge w:val="continue"/>
            <w:tcBorders>
              <w:top w:val="nil"/>
              <w:left w:val="single" w:color="auto" w:sz="4" w:space="0"/>
              <w:bottom w:val="single" w:color="auto" w:sz="4" w:space="0"/>
              <w:right w:val="single" w:color="auto" w:sz="4" w:space="0"/>
            </w:tcBorders>
            <w:vAlign w:val="center"/>
          </w:tcPr>
          <w:p w14:paraId="252DE4CB">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738BCE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10183DA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284851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20" w:type="dxa"/>
            <w:tcBorders>
              <w:top w:val="nil"/>
              <w:left w:val="nil"/>
              <w:bottom w:val="single" w:color="auto" w:sz="4" w:space="0"/>
              <w:right w:val="single" w:color="auto" w:sz="4" w:space="0"/>
            </w:tcBorders>
            <w:vAlign w:val="center"/>
          </w:tcPr>
          <w:p w14:paraId="72F49FC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05" w:type="dxa"/>
            <w:tcBorders>
              <w:top w:val="nil"/>
              <w:left w:val="nil"/>
              <w:bottom w:val="single" w:color="auto" w:sz="4" w:space="0"/>
              <w:right w:val="single" w:color="auto" w:sz="4" w:space="0"/>
            </w:tcBorders>
            <w:vAlign w:val="center"/>
          </w:tcPr>
          <w:p w14:paraId="369CDEB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C9935D8">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0A123045">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653" w:type="dxa"/>
            <w:tcBorders>
              <w:top w:val="nil"/>
              <w:left w:val="nil"/>
              <w:bottom w:val="single" w:color="auto" w:sz="4" w:space="0"/>
              <w:right w:val="single" w:color="auto" w:sz="4" w:space="0"/>
            </w:tcBorders>
            <w:vAlign w:val="center"/>
          </w:tcPr>
          <w:p w14:paraId="0E43D72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5F900B1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78628D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2D68AA9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500DBF7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171444C0">
      <w:pPr>
        <w:pageBreakBefore w:val="0"/>
        <w:overflowPunct/>
        <w:topLinePunct w:val="0"/>
        <w:bidi w:val="0"/>
        <w:spacing w:line="360" w:lineRule="auto"/>
        <w:rPr>
          <w:color w:val="auto"/>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78DEB9E">
      <w:pPr>
        <w:rPr>
          <w:rFonts w:hint="eastAsia" w:hAnsi="宋体" w:cs="宋体"/>
          <w:b/>
          <w:color w:val="auto"/>
          <w:sz w:val="36"/>
          <w:highlight w:val="none"/>
        </w:rPr>
      </w:pPr>
      <w:bookmarkStart w:id="8" w:name="_Toc29457"/>
      <w:bookmarkStart w:id="9" w:name="_Toc532545044"/>
      <w:r>
        <w:rPr>
          <w:rFonts w:hint="eastAsia" w:hAnsi="宋体" w:cs="宋体"/>
          <w:b/>
          <w:color w:val="auto"/>
          <w:sz w:val="36"/>
          <w:highlight w:val="none"/>
        </w:rPr>
        <w:br w:type="page"/>
      </w:r>
    </w:p>
    <w:p w14:paraId="38C62045">
      <w:pPr>
        <w:pStyle w:val="14"/>
        <w:pageBreakBefore w:val="0"/>
        <w:wordWrap w:val="0"/>
        <w:overflowPunct/>
        <w:topLinePunct w:val="0"/>
        <w:bidi w:val="0"/>
        <w:spacing w:line="360" w:lineRule="auto"/>
        <w:jc w:val="center"/>
        <w:outlineLvl w:val="0"/>
        <w:rPr>
          <w:rFonts w:hAnsi="宋体" w:cs="宋体"/>
          <w:b/>
          <w:color w:val="auto"/>
          <w:sz w:val="36"/>
          <w:szCs w:val="36"/>
          <w:highlight w:val="none"/>
        </w:rPr>
      </w:pPr>
      <w:r>
        <w:rPr>
          <w:rFonts w:hint="eastAsia" w:hAnsi="宋体" w:cs="宋体"/>
          <w:b/>
          <w:color w:val="auto"/>
          <w:sz w:val="36"/>
          <w:highlight w:val="none"/>
        </w:rPr>
        <w:t>第三章  投标人须知</w:t>
      </w:r>
      <w:bookmarkEnd w:id="8"/>
      <w:bookmarkEnd w:id="9"/>
    </w:p>
    <w:p w14:paraId="618EA3E6">
      <w:pPr>
        <w:pStyle w:val="14"/>
        <w:pageBreakBefore w:val="0"/>
        <w:wordWrap w:val="0"/>
        <w:overflowPunct/>
        <w:topLinePunct w:val="0"/>
        <w:bidi w:val="0"/>
        <w:spacing w:line="360" w:lineRule="auto"/>
        <w:jc w:val="center"/>
        <w:outlineLvl w:val="1"/>
        <w:rPr>
          <w:rFonts w:hAnsi="宋体" w:cs="宋体"/>
          <w:b/>
          <w:color w:val="auto"/>
          <w:sz w:val="30"/>
          <w:szCs w:val="30"/>
          <w:highlight w:val="none"/>
        </w:rPr>
      </w:pPr>
      <w:bookmarkStart w:id="10" w:name="_Toc26080"/>
      <w:r>
        <w:rPr>
          <w:rFonts w:hint="eastAsia" w:hAnsi="宋体" w:cs="宋体"/>
          <w:b/>
          <w:color w:val="auto"/>
          <w:sz w:val="30"/>
          <w:szCs w:val="30"/>
          <w:highlight w:val="none"/>
        </w:rPr>
        <w:t>第一节 投标人须知前附表</w:t>
      </w:r>
      <w:bookmarkEnd w:id="10"/>
    </w:p>
    <w:tbl>
      <w:tblPr>
        <w:tblStyle w:val="22"/>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566"/>
        <w:gridCol w:w="6999"/>
      </w:tblGrid>
      <w:tr w14:paraId="42EDFF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B385CEE">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条款号</w:t>
            </w:r>
          </w:p>
        </w:tc>
        <w:tc>
          <w:tcPr>
            <w:tcW w:w="2566" w:type="dxa"/>
            <w:tcBorders>
              <w:top w:val="single" w:color="auto" w:sz="4" w:space="0"/>
              <w:left w:val="single" w:color="auto" w:sz="4" w:space="0"/>
              <w:bottom w:val="single" w:color="auto" w:sz="4" w:space="0"/>
              <w:right w:val="single" w:color="auto" w:sz="4" w:space="0"/>
            </w:tcBorders>
            <w:vAlign w:val="center"/>
          </w:tcPr>
          <w:p w14:paraId="04F8EE71">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项目内容</w:t>
            </w:r>
          </w:p>
        </w:tc>
        <w:tc>
          <w:tcPr>
            <w:tcW w:w="6999" w:type="dxa"/>
            <w:tcBorders>
              <w:top w:val="single" w:color="auto" w:sz="4" w:space="0"/>
              <w:left w:val="single" w:color="auto" w:sz="4" w:space="0"/>
              <w:bottom w:val="single" w:color="auto" w:sz="4" w:space="0"/>
              <w:right w:val="single" w:color="auto" w:sz="4" w:space="0"/>
            </w:tcBorders>
            <w:vAlign w:val="center"/>
          </w:tcPr>
          <w:p w14:paraId="26707875">
            <w:pPr>
              <w:keepLines/>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编列内容</w:t>
            </w:r>
          </w:p>
        </w:tc>
      </w:tr>
      <w:tr w14:paraId="3FB5CE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473DF81">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6.1</w:t>
            </w:r>
          </w:p>
        </w:tc>
        <w:tc>
          <w:tcPr>
            <w:tcW w:w="2566" w:type="dxa"/>
            <w:tcBorders>
              <w:top w:val="single" w:color="auto" w:sz="4" w:space="0"/>
              <w:left w:val="single" w:color="auto" w:sz="4" w:space="0"/>
              <w:bottom w:val="single" w:color="auto" w:sz="4" w:space="0"/>
              <w:right w:val="single" w:color="auto" w:sz="4" w:space="0"/>
            </w:tcBorders>
            <w:vAlign w:val="center"/>
          </w:tcPr>
          <w:p w14:paraId="18E73AD2">
            <w:pPr>
              <w:keepLines/>
              <w:pageBreakBefore w:val="0"/>
              <w:wordWrap w:val="0"/>
              <w:overflowPunct/>
              <w:topLinePunct w:val="0"/>
              <w:bidi w:val="0"/>
              <w:spacing w:line="360" w:lineRule="auto"/>
              <w:rPr>
                <w:rFonts w:ascii="宋体" w:hAnsi="宋体" w:cs="宋体"/>
                <w:color w:val="auto"/>
                <w:sz w:val="24"/>
                <w:highlight w:val="none"/>
              </w:rPr>
            </w:pPr>
            <w:bookmarkStart w:id="11" w:name="_9.2"/>
            <w:bookmarkEnd w:id="11"/>
            <w:bookmarkStart w:id="12" w:name="_8.1"/>
            <w:bookmarkEnd w:id="12"/>
            <w:bookmarkStart w:id="13" w:name="_5"/>
            <w:bookmarkEnd w:id="13"/>
            <w:r>
              <w:rPr>
                <w:rFonts w:hint="eastAsia" w:ascii="宋体" w:hAnsi="宋体" w:cs="宋体"/>
                <w:color w:val="auto"/>
                <w:sz w:val="24"/>
                <w:highlight w:val="none"/>
              </w:rPr>
              <w:t>是否接受联合体投标</w:t>
            </w:r>
          </w:p>
        </w:tc>
        <w:tc>
          <w:tcPr>
            <w:tcW w:w="6999" w:type="dxa"/>
            <w:tcBorders>
              <w:top w:val="single" w:color="auto" w:sz="4" w:space="0"/>
              <w:left w:val="single" w:color="auto" w:sz="4" w:space="0"/>
              <w:bottom w:val="single" w:color="auto" w:sz="4" w:space="0"/>
              <w:right w:val="single" w:color="auto" w:sz="4" w:space="0"/>
            </w:tcBorders>
            <w:vAlign w:val="center"/>
          </w:tcPr>
          <w:p w14:paraId="7FECAD93">
            <w:pPr>
              <w:pStyle w:val="11"/>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不</w:t>
            </w:r>
            <w:r>
              <w:rPr>
                <w:rFonts w:hint="eastAsia" w:ascii="宋体" w:hAnsi="宋体" w:cs="宋体"/>
                <w:color w:val="auto"/>
                <w:sz w:val="24"/>
                <w:highlight w:val="none"/>
              </w:rPr>
              <w:t>允许联合体投标</w:t>
            </w:r>
          </w:p>
        </w:tc>
      </w:tr>
      <w:tr w14:paraId="403B2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2350442">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6.2</w:t>
            </w:r>
          </w:p>
        </w:tc>
        <w:tc>
          <w:tcPr>
            <w:tcW w:w="2566" w:type="dxa"/>
            <w:tcBorders>
              <w:top w:val="single" w:color="auto" w:sz="4" w:space="0"/>
              <w:left w:val="single" w:color="auto" w:sz="4" w:space="0"/>
              <w:bottom w:val="single" w:color="auto" w:sz="4" w:space="0"/>
              <w:right w:val="single" w:color="auto" w:sz="4" w:space="0"/>
            </w:tcBorders>
            <w:vAlign w:val="center"/>
          </w:tcPr>
          <w:p w14:paraId="76D1EFCE">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联合体投标要求</w:t>
            </w:r>
          </w:p>
        </w:tc>
        <w:tc>
          <w:tcPr>
            <w:tcW w:w="6999" w:type="dxa"/>
            <w:tcBorders>
              <w:top w:val="single" w:color="auto" w:sz="4" w:space="0"/>
              <w:left w:val="single" w:color="auto" w:sz="4" w:space="0"/>
              <w:bottom w:val="single" w:color="auto" w:sz="4" w:space="0"/>
              <w:right w:val="single" w:color="auto" w:sz="4" w:space="0"/>
            </w:tcBorders>
            <w:vAlign w:val="center"/>
          </w:tcPr>
          <w:p w14:paraId="08BE6E28">
            <w:pPr>
              <w:pStyle w:val="11"/>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无</w:t>
            </w:r>
          </w:p>
        </w:tc>
      </w:tr>
      <w:tr w14:paraId="5FCF6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A04729D">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7.2</w:t>
            </w:r>
          </w:p>
        </w:tc>
        <w:tc>
          <w:tcPr>
            <w:tcW w:w="2566" w:type="dxa"/>
            <w:tcBorders>
              <w:top w:val="single" w:color="auto" w:sz="4" w:space="0"/>
              <w:left w:val="single" w:color="auto" w:sz="4" w:space="0"/>
              <w:bottom w:val="single" w:color="auto" w:sz="4" w:space="0"/>
              <w:right w:val="single" w:color="auto" w:sz="4" w:space="0"/>
            </w:tcBorders>
            <w:vAlign w:val="center"/>
          </w:tcPr>
          <w:p w14:paraId="7C757B8A">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是否允许转包/分包</w:t>
            </w:r>
          </w:p>
        </w:tc>
        <w:tc>
          <w:tcPr>
            <w:tcW w:w="6999" w:type="dxa"/>
            <w:tcBorders>
              <w:top w:val="single" w:color="auto" w:sz="4" w:space="0"/>
              <w:left w:val="single" w:color="auto" w:sz="4" w:space="0"/>
              <w:bottom w:val="single" w:color="auto" w:sz="4" w:space="0"/>
              <w:right w:val="single" w:color="auto" w:sz="4" w:space="0"/>
            </w:tcBorders>
            <w:vAlign w:val="center"/>
          </w:tcPr>
          <w:p w14:paraId="1A0A304B">
            <w:pPr>
              <w:pStyle w:val="11"/>
              <w:keepLines/>
              <w:pageBreakBefore w:val="0"/>
              <w:wordWrap w:val="0"/>
              <w:overflowPunct/>
              <w:topLinePunct w:val="0"/>
              <w:bidi w:val="0"/>
              <w:spacing w:line="360" w:lineRule="auto"/>
              <w:rPr>
                <w:rFonts w:ascii="宋体" w:hAnsi="宋体" w:cs="宋体"/>
                <w:color w:val="auto"/>
                <w:sz w:val="24"/>
                <w:highlight w:val="none"/>
              </w:rPr>
            </w:pPr>
            <w:bookmarkStart w:id="14" w:name="PO_3000001866_PM044"/>
            <w:r>
              <w:rPr>
                <w:rFonts w:hint="eastAsia" w:ascii="宋体" w:hAnsi="宋体" w:cs="宋体"/>
                <w:color w:val="auto"/>
                <w:sz w:val="24"/>
                <w:highlight w:val="none"/>
              </w:rPr>
              <w:t>☑不允许分包</w:t>
            </w:r>
            <w:bookmarkEnd w:id="14"/>
          </w:p>
          <w:p w14:paraId="5742E61E">
            <w:pPr>
              <w:pStyle w:val="11"/>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□转包/分包内容：</w:t>
            </w:r>
            <w:r>
              <w:rPr>
                <w:rFonts w:hint="eastAsia" w:ascii="宋体" w:hAnsi="宋体" w:cs="宋体"/>
                <w:color w:val="auto"/>
                <w:sz w:val="24"/>
                <w:highlight w:val="none"/>
                <w:u w:val="single"/>
              </w:rPr>
              <w:t xml:space="preserve">                                     。</w:t>
            </w:r>
          </w:p>
          <w:p w14:paraId="6C15E851">
            <w:pPr>
              <w:pStyle w:val="11"/>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□转包/分包金额或者比例：</w:t>
            </w:r>
            <w:r>
              <w:rPr>
                <w:rFonts w:hint="eastAsia" w:ascii="宋体" w:hAnsi="宋体" w:cs="宋体"/>
                <w:color w:val="auto"/>
                <w:sz w:val="24"/>
                <w:highlight w:val="none"/>
                <w:u w:val="single"/>
              </w:rPr>
              <w:t xml:space="preserve">                                     。</w:t>
            </w:r>
          </w:p>
        </w:tc>
      </w:tr>
      <w:tr w14:paraId="3CB52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227C0CD">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11.4</w:t>
            </w:r>
          </w:p>
        </w:tc>
        <w:tc>
          <w:tcPr>
            <w:tcW w:w="2566" w:type="dxa"/>
            <w:tcBorders>
              <w:top w:val="single" w:color="auto" w:sz="4" w:space="0"/>
              <w:left w:val="single" w:color="auto" w:sz="4" w:space="0"/>
              <w:bottom w:val="single" w:color="auto" w:sz="4" w:space="0"/>
              <w:right w:val="single" w:color="auto" w:sz="4" w:space="0"/>
            </w:tcBorders>
            <w:vAlign w:val="center"/>
          </w:tcPr>
          <w:p w14:paraId="61C212AE">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媒体发布渠道</w:t>
            </w:r>
          </w:p>
        </w:tc>
        <w:tc>
          <w:tcPr>
            <w:tcW w:w="6999" w:type="dxa"/>
            <w:tcBorders>
              <w:top w:val="single" w:color="auto" w:sz="4" w:space="0"/>
              <w:left w:val="single" w:color="auto" w:sz="4" w:space="0"/>
              <w:bottom w:val="single" w:color="auto" w:sz="4" w:space="0"/>
              <w:right w:val="single" w:color="auto" w:sz="4" w:space="0"/>
            </w:tcBorders>
            <w:vAlign w:val="center"/>
          </w:tcPr>
          <w:p w14:paraId="4268CA78">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与本项目相关的政府采购业务澄清、更正及与之相关的事项将在采购公告中“六、其他补充事宜”中网上查询地址上发布</w:t>
            </w:r>
            <w:r>
              <w:rPr>
                <w:rFonts w:hint="eastAsia" w:ascii="宋体" w:hAnsi="宋体" w:cs="宋体"/>
                <w:color w:val="auto"/>
                <w:kern w:val="0"/>
                <w:sz w:val="24"/>
                <w:highlight w:val="none"/>
              </w:rPr>
              <w:t>。</w:t>
            </w:r>
          </w:p>
        </w:tc>
      </w:tr>
      <w:tr w14:paraId="5A6E11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52E16BE">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11.6</w:t>
            </w:r>
          </w:p>
        </w:tc>
        <w:tc>
          <w:tcPr>
            <w:tcW w:w="2566" w:type="dxa"/>
            <w:tcBorders>
              <w:top w:val="single" w:color="auto" w:sz="4" w:space="0"/>
              <w:left w:val="single" w:color="auto" w:sz="4" w:space="0"/>
              <w:bottom w:val="single" w:color="auto" w:sz="4" w:space="0"/>
              <w:right w:val="single" w:color="auto" w:sz="4" w:space="0"/>
            </w:tcBorders>
            <w:vAlign w:val="center"/>
          </w:tcPr>
          <w:p w14:paraId="50F1179B">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是否组织标前答疑会</w:t>
            </w:r>
          </w:p>
        </w:tc>
        <w:tc>
          <w:tcPr>
            <w:tcW w:w="6999" w:type="dxa"/>
            <w:tcBorders>
              <w:top w:val="single" w:color="auto" w:sz="4" w:space="0"/>
              <w:left w:val="single" w:color="auto" w:sz="4" w:space="0"/>
              <w:bottom w:val="single" w:color="auto" w:sz="4" w:space="0"/>
              <w:right w:val="single" w:color="auto" w:sz="4" w:space="0"/>
            </w:tcBorders>
            <w:vAlign w:val="center"/>
          </w:tcPr>
          <w:p w14:paraId="248B4047">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☑不组织召开开标前答疑会</w:t>
            </w:r>
          </w:p>
          <w:p w14:paraId="7CA9C780">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□组织召开开标前答疑会</w:t>
            </w:r>
          </w:p>
          <w:p w14:paraId="29B35700">
            <w:pPr>
              <w:keepLines/>
              <w:pageBreakBefore w:val="0"/>
              <w:wordWrap w:val="0"/>
              <w:overflowPunct/>
              <w:topLinePunct w:val="0"/>
              <w:bidi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会议开始时间：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分</w:t>
            </w:r>
            <w:r>
              <w:rPr>
                <w:rFonts w:hint="eastAsia" w:ascii="宋体" w:hAnsi="宋体" w:cs="宋体"/>
                <w:color w:val="auto"/>
                <w:sz w:val="24"/>
                <w:highlight w:val="none"/>
              </w:rPr>
              <w:t>，逾期后果自负。会议地点：</w:t>
            </w:r>
            <w:r>
              <w:rPr>
                <w:rFonts w:hint="eastAsia" w:ascii="宋体" w:hAnsi="宋体" w:cs="宋体"/>
                <w:color w:val="auto"/>
                <w:sz w:val="24"/>
                <w:highlight w:val="none"/>
                <w:u w:val="single"/>
              </w:rPr>
              <w:t xml:space="preserve">      </w:t>
            </w:r>
          </w:p>
        </w:tc>
      </w:tr>
      <w:tr w14:paraId="55304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28929CF7">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13.1</w:t>
            </w:r>
          </w:p>
        </w:tc>
        <w:tc>
          <w:tcPr>
            <w:tcW w:w="2566" w:type="dxa"/>
            <w:tcBorders>
              <w:top w:val="single" w:color="auto" w:sz="4" w:space="0"/>
              <w:left w:val="single" w:color="auto" w:sz="4" w:space="0"/>
              <w:bottom w:val="single" w:color="auto" w:sz="4" w:space="0"/>
              <w:right w:val="single" w:color="auto" w:sz="4" w:space="0"/>
            </w:tcBorders>
            <w:vAlign w:val="center"/>
          </w:tcPr>
          <w:p w14:paraId="1B364D8C">
            <w:pPr>
              <w:keepLines/>
              <w:pageBreakBefore w:val="0"/>
              <w:wordWrap w:val="0"/>
              <w:overflowPunct/>
              <w:topLinePunct w:val="0"/>
              <w:bidi w:val="0"/>
              <w:snapToGrid w:val="0"/>
              <w:spacing w:line="360" w:lineRule="auto"/>
              <w:jc w:val="left"/>
              <w:rPr>
                <w:rFonts w:ascii="宋体" w:hAnsi="宋体" w:cs="宋体"/>
                <w:color w:val="auto"/>
                <w:sz w:val="24"/>
                <w:highlight w:val="none"/>
              </w:rPr>
            </w:pPr>
            <w:bookmarkStart w:id="15" w:name="_13.2"/>
            <w:bookmarkEnd w:id="15"/>
            <w:r>
              <w:rPr>
                <w:rFonts w:hint="eastAsia" w:ascii="宋体" w:hAnsi="宋体" w:cs="宋体"/>
                <w:color w:val="auto"/>
                <w:sz w:val="24"/>
                <w:highlight w:val="none"/>
              </w:rPr>
              <w:t>资格证明文件组成</w:t>
            </w:r>
          </w:p>
        </w:tc>
        <w:tc>
          <w:tcPr>
            <w:tcW w:w="6999" w:type="dxa"/>
            <w:tcBorders>
              <w:top w:val="single" w:color="auto" w:sz="4" w:space="0"/>
              <w:left w:val="single" w:color="auto" w:sz="4" w:space="0"/>
              <w:bottom w:val="single" w:color="auto" w:sz="4" w:space="0"/>
              <w:right w:val="single" w:color="auto" w:sz="4" w:space="0"/>
            </w:tcBorders>
            <w:vAlign w:val="center"/>
          </w:tcPr>
          <w:p w14:paraId="0F42EAF4">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1、投标人为法人或者其他组织的，提供营业执照等证明文件（如营业执照或者事业单位法人证书或者</w:t>
            </w:r>
            <w:r>
              <w:rPr>
                <w:rStyle w:val="32"/>
                <w:rFonts w:hint="eastAsia"/>
                <w:color w:val="auto"/>
                <w:sz w:val="24"/>
                <w:szCs w:val="24"/>
                <w:highlight w:val="none"/>
              </w:rPr>
              <w:t>执业许可证</w:t>
            </w:r>
            <w:r>
              <w:rPr>
                <w:rFonts w:hint="eastAsia" w:ascii="宋体" w:hAnsi="宋体" w:cs="宋体"/>
                <w:color w:val="auto"/>
                <w:sz w:val="24"/>
                <w:highlight w:val="none"/>
              </w:rPr>
              <w:t>等），投标人为自然人的，提供身份证复印件。（</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28A548E2">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2、投标人依法缴纳税收的相关材料[</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rPr>
              <w:t>月至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]任意</w:t>
            </w:r>
            <w:r>
              <w:rPr>
                <w:rFonts w:hint="eastAsia" w:ascii="宋体" w:hAnsi="宋体" w:cs="宋体"/>
                <w:color w:val="auto"/>
                <w:sz w:val="24"/>
                <w:highlight w:val="none"/>
              </w:rPr>
              <w:t>连续</w:t>
            </w:r>
            <w:r>
              <w:rPr>
                <w:rFonts w:hint="eastAsia" w:ascii="宋体" w:hAnsi="宋体" w:cs="宋体"/>
                <w:color w:val="auto"/>
                <w:sz w:val="24"/>
                <w:highlight w:val="none"/>
                <w:u w:val="single"/>
              </w:rPr>
              <w:t xml:space="preserve"> 三 </w:t>
            </w:r>
            <w:r>
              <w:rPr>
                <w:rFonts w:hint="eastAsia" w:ascii="宋体" w:hAnsi="宋体" w:cs="宋体"/>
                <w:color w:val="auto"/>
                <w:sz w:val="24"/>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40A75E71">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3、投标人依法缴纳社会保障资金的相关材料[</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rPr>
              <w:t>月至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]任意</w:t>
            </w:r>
            <w:r>
              <w:rPr>
                <w:rFonts w:hint="eastAsia" w:ascii="宋体" w:hAnsi="宋体" w:cs="宋体"/>
                <w:color w:val="auto"/>
                <w:sz w:val="24"/>
                <w:highlight w:val="none"/>
              </w:rPr>
              <w:t>连续</w:t>
            </w:r>
            <w:r>
              <w:rPr>
                <w:rFonts w:hint="eastAsia" w:ascii="宋体" w:hAnsi="宋体" w:cs="宋体"/>
                <w:color w:val="auto"/>
                <w:sz w:val="24"/>
                <w:highlight w:val="none"/>
                <w:u w:val="single"/>
              </w:rPr>
              <w:t xml:space="preserve"> 三 </w:t>
            </w:r>
            <w:r>
              <w:rPr>
                <w:rFonts w:hint="eastAsia" w:ascii="宋体" w:hAnsi="宋体" w:cs="宋体"/>
                <w:color w:val="auto"/>
                <w:sz w:val="24"/>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52487252">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4、投标人财务状况报告：[</w:t>
            </w:r>
            <w:r>
              <w:rPr>
                <w:rFonts w:hint="eastAsia" w:ascii="宋体" w:hAnsi="宋体" w:cs="宋体"/>
                <w:color w:val="auto"/>
                <w:sz w:val="24"/>
                <w:highlight w:val="none"/>
                <w:u w:val="single"/>
                <w:lang w:val="en-US" w:eastAsia="zh-CN"/>
              </w:rPr>
              <w:t>2024</w:t>
            </w:r>
            <w:r>
              <w:rPr>
                <w:rFonts w:hint="eastAsia" w:ascii="宋体" w:hAnsi="宋体" w:cs="宋体"/>
                <w:color w:val="auto"/>
                <w:sz w:val="24"/>
                <w:highlight w:val="none"/>
                <w:lang w:val="en-US" w:eastAsia="zh-CN"/>
              </w:rPr>
              <w:t>年</w:t>
            </w:r>
            <w:r>
              <w:rPr>
                <w:rFonts w:hint="eastAsia" w:ascii="宋体" w:hAnsi="宋体" w:cs="宋体"/>
                <w:color w:val="auto"/>
                <w:sz w:val="24"/>
                <w:highlight w:val="none"/>
              </w:rPr>
              <w:t>]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7DE3898D">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5、投标人直接控股股东信息</w:t>
            </w:r>
            <w:r>
              <w:rPr>
                <w:rFonts w:hint="eastAsia" w:ascii="宋体" w:hAnsi="宋体" w:cs="宋体"/>
                <w:color w:val="auto"/>
                <w:sz w:val="24"/>
                <w:highlight w:val="none"/>
                <w:lang w:val="en-US" w:eastAsia="zh-CN"/>
              </w:rPr>
              <w:t>表</w:t>
            </w:r>
            <w:r>
              <w:rPr>
                <w:rFonts w:hint="eastAsia" w:ascii="宋体" w:hAnsi="宋体" w:cs="宋体"/>
                <w:color w:val="auto"/>
                <w:sz w:val="24"/>
                <w:highlight w:val="none"/>
              </w:rPr>
              <w:t>、管理关系信息表。（</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275D1279">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6、投标资格声明</w:t>
            </w:r>
            <w:r>
              <w:rPr>
                <w:rFonts w:hint="eastAsia" w:ascii="宋体" w:hAnsi="宋体" w:cs="宋体"/>
                <w:color w:val="auto"/>
                <w:sz w:val="24"/>
                <w:highlight w:val="none"/>
                <w:lang w:val="en-US" w:eastAsia="zh-CN"/>
              </w:rPr>
              <w:t>函</w:t>
            </w:r>
            <w:r>
              <w:rPr>
                <w:rFonts w:hint="eastAsia" w:ascii="宋体" w:hAnsi="宋体" w:cs="宋体"/>
                <w:color w:val="auto"/>
                <w:sz w:val="24"/>
                <w:highlight w:val="none"/>
              </w:rPr>
              <w:t>。（</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01D37ACB">
            <w:pPr>
              <w:keepLines/>
              <w:pageBreakBefore w:val="0"/>
              <w:tabs>
                <w:tab w:val="left" w:pos="459"/>
              </w:tabs>
              <w:wordWrap w:val="0"/>
              <w:overflowPunct/>
              <w:topLinePunct w:val="0"/>
              <w:bidi w:val="0"/>
              <w:snapToGrid w:val="0"/>
              <w:spacing w:line="360" w:lineRule="auto"/>
              <w:jc w:val="left"/>
              <w:rPr>
                <w:rFonts w:hint="eastAsia" w:ascii="宋体" w:hAnsi="宋体" w:cs="宋体"/>
                <w:b/>
                <w:bCs/>
                <w:color w:val="auto"/>
                <w:sz w:val="24"/>
                <w:highlight w:val="none"/>
                <w:lang w:val="en-US"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中小</w:t>
            </w:r>
            <w:r>
              <w:rPr>
                <w:rFonts w:hint="eastAsia" w:ascii="宋体" w:hAnsi="宋体" w:eastAsia="宋体" w:cs="宋体"/>
                <w:color w:val="auto"/>
                <w:sz w:val="24"/>
                <w:highlight w:val="none"/>
              </w:rPr>
              <w:t>企业声明函。</w:t>
            </w:r>
            <w:r>
              <w:rPr>
                <w:rFonts w:hint="eastAsia" w:ascii="宋体" w:hAnsi="宋体" w:eastAsia="宋体" w:cs="宋体"/>
                <w:b/>
                <w:bCs/>
                <w:color w:val="auto"/>
                <w:sz w:val="24"/>
                <w:highlight w:val="none"/>
              </w:rPr>
              <w:t>（</w:t>
            </w:r>
            <w:r>
              <w:rPr>
                <w:rFonts w:hint="eastAsia" w:ascii="宋体" w:hAnsi="宋体" w:cs="宋体"/>
                <w:b/>
                <w:color w:val="auto"/>
                <w:sz w:val="24"/>
                <w:highlight w:val="none"/>
              </w:rPr>
              <w:t>必须提供，否则作无效投标处理</w:t>
            </w:r>
            <w:r>
              <w:rPr>
                <w:rFonts w:hint="eastAsia" w:ascii="宋体" w:hAnsi="宋体" w:eastAsia="宋体" w:cs="宋体"/>
                <w:b/>
                <w:bCs/>
                <w:color w:val="auto"/>
                <w:sz w:val="24"/>
                <w:highlight w:val="none"/>
              </w:rPr>
              <w:t>）</w:t>
            </w:r>
          </w:p>
          <w:p w14:paraId="2E94B55D">
            <w:pPr>
              <w:keepLines/>
              <w:pageBreakBefore w:val="0"/>
              <w:wordWrap w:val="0"/>
              <w:overflowPunct/>
              <w:topLinePunct w:val="0"/>
              <w:bidi w:val="0"/>
              <w:snapToGrid w:val="0"/>
              <w:spacing w:line="360" w:lineRule="auto"/>
              <w:jc w:val="left"/>
              <w:rPr>
                <w:rFonts w:ascii="宋体" w:hAnsi="宋体" w:cs="宋体"/>
                <w:b/>
                <w:bCs/>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联合体协议书。</w:t>
            </w:r>
            <w:r>
              <w:rPr>
                <w:rFonts w:hint="eastAsia" w:ascii="宋体" w:hAnsi="宋体" w:cs="宋体"/>
                <w:b/>
                <w:bCs/>
                <w:color w:val="auto"/>
                <w:sz w:val="24"/>
                <w:highlight w:val="none"/>
              </w:rPr>
              <w:t>（以联合体形式投标的，提供联合体协议；本项目不接受联合体投标或者投标人不以联合体形式投标的，则不需要提供）</w:t>
            </w:r>
          </w:p>
          <w:p w14:paraId="08B0E77E">
            <w:pPr>
              <w:keepLines/>
              <w:pageBreakBefore w:val="0"/>
              <w:wordWrap w:val="0"/>
              <w:overflowPunct/>
              <w:topLinePunct w:val="0"/>
              <w:bidi w:val="0"/>
              <w:snapToGrid w:val="0"/>
              <w:spacing w:line="360" w:lineRule="auto"/>
              <w:jc w:val="left"/>
              <w:rPr>
                <w:rFonts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、除招标文件规定必须提供以外，投标人认为需要提供的其他证明材料。</w:t>
            </w:r>
          </w:p>
          <w:p w14:paraId="3A3D41FB">
            <w:pPr>
              <w:keepLines/>
              <w:pageBreakBefore w:val="0"/>
              <w:wordWrap w:val="0"/>
              <w:overflowPunct/>
              <w:topLinePunct w:val="0"/>
              <w:bidi w:val="0"/>
              <w:snapToGrid w:val="0"/>
              <w:spacing w:line="360" w:lineRule="auto"/>
              <w:jc w:val="left"/>
              <w:rPr>
                <w:rFonts w:ascii="宋体" w:hAnsi="宋体" w:cs="宋体"/>
                <w:b/>
                <w:color w:val="auto"/>
                <w:sz w:val="24"/>
                <w:highlight w:val="none"/>
              </w:rPr>
            </w:pPr>
            <w:r>
              <w:rPr>
                <w:rFonts w:hint="eastAsia" w:ascii="宋体" w:hAnsi="宋体" w:cs="宋体"/>
                <w:b/>
                <w:bCs/>
                <w:color w:val="auto"/>
                <w:sz w:val="24"/>
                <w:highlight w:val="none"/>
              </w:rPr>
              <w:t>注：1.</w:t>
            </w:r>
            <w:r>
              <w:rPr>
                <w:rFonts w:hint="eastAsia" w:ascii="宋体" w:hAnsi="宋体" w:cs="宋体"/>
                <w:color w:val="auto"/>
                <w:sz w:val="24"/>
                <w:highlight w:val="none"/>
              </w:rPr>
              <w:t xml:space="preserve"> </w:t>
            </w:r>
            <w:r>
              <w:rPr>
                <w:rFonts w:hint="eastAsia" w:ascii="宋体" w:hAnsi="宋体" w:cs="宋体"/>
                <w:b/>
                <w:bCs/>
                <w:color w:val="auto"/>
                <w:sz w:val="24"/>
                <w:highlight w:val="none"/>
              </w:rPr>
              <w:t>以上标明“必须提供”的材料</w:t>
            </w:r>
            <w:r>
              <w:rPr>
                <w:rFonts w:hint="eastAsia" w:ascii="宋体" w:hAnsi="宋体" w:cs="宋体"/>
                <w:b/>
                <w:color w:val="auto"/>
                <w:sz w:val="24"/>
                <w:highlight w:val="none"/>
              </w:rPr>
              <w:t>属于复印件的扫描件的</w:t>
            </w:r>
            <w:r>
              <w:rPr>
                <w:rFonts w:hint="eastAsia" w:ascii="宋体" w:hAnsi="宋体" w:cs="宋体"/>
                <w:b/>
                <w:bCs/>
                <w:color w:val="auto"/>
                <w:sz w:val="24"/>
                <w:highlight w:val="none"/>
              </w:rPr>
              <w:t>，必须加盖投标人电子公章，否则</w:t>
            </w:r>
            <w:r>
              <w:rPr>
                <w:rFonts w:hint="eastAsia" w:ascii="宋体" w:hAnsi="宋体" w:cs="宋体"/>
                <w:b/>
                <w:color w:val="auto"/>
                <w:sz w:val="24"/>
                <w:highlight w:val="none"/>
              </w:rPr>
              <w:t>作无效投标处理。</w:t>
            </w:r>
          </w:p>
          <w:p w14:paraId="34AE5261">
            <w:pPr>
              <w:keepLines/>
              <w:pageBreakBefore w:val="0"/>
              <w:wordWrap w:val="0"/>
              <w:overflowPunct/>
              <w:topLinePunct w:val="0"/>
              <w:bidi w:val="0"/>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color w:val="auto"/>
                <w:sz w:val="24"/>
                <w:highlight w:val="none"/>
              </w:rPr>
              <w:t>2</w:t>
            </w:r>
            <w:r>
              <w:rPr>
                <w:rFonts w:hint="eastAsia" w:ascii="宋体" w:hAnsi="宋体" w:cs="宋体"/>
                <w:b/>
                <w:bCs/>
                <w:color w:val="auto"/>
                <w:sz w:val="24"/>
                <w:highlight w:val="none"/>
              </w:rPr>
              <w:t>.联合体投标时，第1-5项资格证明文件联合体各方均必须分别提供，联合体各方分别盖章，否则投标文件按无效投标处理。</w:t>
            </w:r>
          </w:p>
        </w:tc>
      </w:tr>
      <w:tr w14:paraId="41EADE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14970CA9">
            <w:pPr>
              <w:keepLines/>
              <w:pageBreakBefore w:val="0"/>
              <w:wordWrap w:val="0"/>
              <w:overflowPunct/>
              <w:topLinePunct w:val="0"/>
              <w:bidi w:val="0"/>
              <w:spacing w:line="360" w:lineRule="auto"/>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68DF591D">
            <w:pPr>
              <w:keepLines/>
              <w:pageBreakBefore w:val="0"/>
              <w:wordWrap w:val="0"/>
              <w:overflowPunct/>
              <w:topLinePunct w:val="0"/>
              <w:bidi w:val="0"/>
              <w:snapToGrid w:val="0"/>
              <w:spacing w:line="360" w:lineRule="auto"/>
              <w:jc w:val="left"/>
              <w:rPr>
                <w:rFonts w:ascii="宋体" w:hAnsi="宋体" w:cs="宋体"/>
                <w:color w:val="auto"/>
                <w:sz w:val="24"/>
                <w:highlight w:val="none"/>
              </w:rPr>
            </w:pPr>
            <w:bookmarkStart w:id="16" w:name="_13.3"/>
            <w:bookmarkEnd w:id="16"/>
            <w:r>
              <w:rPr>
                <w:rFonts w:hint="eastAsia" w:ascii="宋体" w:hAnsi="宋体" w:cs="宋体"/>
                <w:color w:val="auto"/>
                <w:sz w:val="24"/>
                <w:highlight w:val="none"/>
              </w:rPr>
              <w:t>商务文件组成</w:t>
            </w:r>
          </w:p>
          <w:p w14:paraId="4EE79305">
            <w:pPr>
              <w:keepLines/>
              <w:pageBreakBefore w:val="0"/>
              <w:wordWrap w:val="0"/>
              <w:overflowPunct/>
              <w:topLinePunct w:val="0"/>
              <w:bidi w:val="0"/>
              <w:spacing w:line="360" w:lineRule="auto"/>
              <w:rPr>
                <w:rFonts w:ascii="宋体" w:hAnsi="宋体" w:cs="宋体"/>
                <w:color w:val="auto"/>
                <w:sz w:val="24"/>
                <w:highlight w:val="none"/>
              </w:rPr>
            </w:pPr>
          </w:p>
        </w:tc>
        <w:tc>
          <w:tcPr>
            <w:tcW w:w="6999" w:type="dxa"/>
            <w:tcBorders>
              <w:top w:val="single" w:color="auto" w:sz="4" w:space="0"/>
              <w:left w:val="single" w:color="auto" w:sz="4" w:space="0"/>
              <w:bottom w:val="single" w:color="auto" w:sz="4" w:space="0"/>
              <w:right w:val="single" w:color="auto" w:sz="4" w:space="0"/>
            </w:tcBorders>
            <w:vAlign w:val="center"/>
          </w:tcPr>
          <w:p w14:paraId="066F6057">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1、无串通投标行为的承诺函；（</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07405540">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2、法定代表人身份证明及法定代表人有效身份证正反面复印件；（</w:t>
            </w:r>
            <w:r>
              <w:rPr>
                <w:rFonts w:hint="eastAsia" w:ascii="宋体" w:hAnsi="宋体" w:cs="宋体"/>
                <w:b/>
                <w:bCs/>
                <w:color w:val="auto"/>
                <w:sz w:val="24"/>
                <w:highlight w:val="none"/>
              </w:rPr>
              <w:t>除自然人投标外</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6F6B1A5F">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3、法定代表人授权委托书及委托代理人有效身份证正反面复印件；（</w:t>
            </w:r>
            <w:r>
              <w:rPr>
                <w:rFonts w:hint="eastAsia" w:ascii="宋体" w:hAnsi="宋体" w:cs="宋体"/>
                <w:b/>
                <w:color w:val="auto"/>
                <w:sz w:val="24"/>
                <w:highlight w:val="none"/>
              </w:rPr>
              <w:t>委托时必须提供，否则作无效投标处理</w:t>
            </w:r>
            <w:r>
              <w:rPr>
                <w:rFonts w:hint="eastAsia" w:ascii="宋体" w:hAnsi="宋体" w:cs="宋体"/>
                <w:color w:val="auto"/>
                <w:sz w:val="24"/>
                <w:highlight w:val="none"/>
              </w:rPr>
              <w:t>）</w:t>
            </w:r>
          </w:p>
          <w:p w14:paraId="2651C1AD">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4、商务条款偏离表；（</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4124A7A0">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5、投标人情况介绍；</w:t>
            </w:r>
          </w:p>
          <w:p w14:paraId="154F451A">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6、除采购文件规定必须提供以外，投标人认为需要提供的其他证明材料。（投标人根据“第二章 采购需求”及“第四章 评标方法及评标标准”提供有关证明材料）。</w:t>
            </w:r>
          </w:p>
          <w:p w14:paraId="76261B8C">
            <w:pPr>
              <w:keepLines/>
              <w:pageBreakBefore w:val="0"/>
              <w:wordWrap w:val="0"/>
              <w:overflowPunct/>
              <w:topLinePunct w:val="0"/>
              <w:bidi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注： 1.法定代表人授权委托书必须由法定代表人及委托代理人签字，并加盖投标人公章，否则作无效投标处理。</w:t>
            </w:r>
          </w:p>
          <w:p w14:paraId="06FA0A67">
            <w:pPr>
              <w:keepLines/>
              <w:pageBreakBefore w:val="0"/>
              <w:wordWrap w:val="0"/>
              <w:overflowPunct/>
              <w:topLinePunct w:val="0"/>
              <w:bidi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bCs/>
                <w:color w:val="auto"/>
                <w:sz w:val="24"/>
                <w:highlight w:val="none"/>
              </w:rPr>
              <w:t>2.</w:t>
            </w:r>
            <w:r>
              <w:rPr>
                <w:rFonts w:hint="eastAsia" w:ascii="宋体" w:hAnsi="宋体" w:cs="宋体"/>
                <w:color w:val="auto"/>
                <w:sz w:val="24"/>
                <w:highlight w:val="none"/>
              </w:rPr>
              <w:t xml:space="preserve"> </w:t>
            </w:r>
            <w:r>
              <w:rPr>
                <w:rFonts w:hint="eastAsia" w:ascii="宋体" w:hAnsi="宋体" w:cs="宋体"/>
                <w:b/>
                <w:bCs/>
                <w:color w:val="auto"/>
                <w:sz w:val="24"/>
                <w:highlight w:val="none"/>
              </w:rPr>
              <w:t>以上标明“必须提供”的材料</w:t>
            </w:r>
            <w:r>
              <w:rPr>
                <w:rFonts w:hint="eastAsia" w:ascii="宋体" w:hAnsi="宋体" w:cs="宋体"/>
                <w:b/>
                <w:color w:val="auto"/>
                <w:sz w:val="24"/>
                <w:highlight w:val="none"/>
              </w:rPr>
              <w:t>属于复印件的扫描件的</w:t>
            </w:r>
            <w:r>
              <w:rPr>
                <w:rFonts w:hint="eastAsia" w:ascii="宋体" w:hAnsi="宋体" w:cs="宋体"/>
                <w:b/>
                <w:bCs/>
                <w:color w:val="auto"/>
                <w:sz w:val="24"/>
                <w:highlight w:val="none"/>
              </w:rPr>
              <w:t>，必须加盖投标人电子公章，否则</w:t>
            </w:r>
            <w:r>
              <w:rPr>
                <w:rFonts w:hint="eastAsia" w:ascii="宋体" w:hAnsi="宋体" w:cs="宋体"/>
                <w:b/>
                <w:color w:val="auto"/>
                <w:sz w:val="24"/>
                <w:highlight w:val="none"/>
              </w:rPr>
              <w:t>作无效投标处理</w:t>
            </w:r>
            <w:r>
              <w:rPr>
                <w:rFonts w:hint="eastAsia" w:ascii="宋体" w:hAnsi="宋体" w:cs="宋体"/>
                <w:b/>
                <w:bCs/>
                <w:color w:val="auto"/>
                <w:sz w:val="24"/>
                <w:highlight w:val="none"/>
              </w:rPr>
              <w:t>。</w:t>
            </w:r>
          </w:p>
        </w:tc>
      </w:tr>
      <w:tr w14:paraId="1F33D5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vAlign w:val="center"/>
          </w:tcPr>
          <w:p w14:paraId="6517E4A9">
            <w:pPr>
              <w:keepLines/>
              <w:pageBreakBefore w:val="0"/>
              <w:wordWrap w:val="0"/>
              <w:overflowPunct/>
              <w:topLinePunct w:val="0"/>
              <w:bidi w:val="0"/>
              <w:spacing w:line="360" w:lineRule="auto"/>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1F8960B7">
            <w:pPr>
              <w:keepLines/>
              <w:pageBreakBefore w:val="0"/>
              <w:wordWrap w:val="0"/>
              <w:overflowPunct/>
              <w:topLinePunct w:val="0"/>
              <w:bidi w:val="0"/>
              <w:snapToGrid w:val="0"/>
              <w:spacing w:line="360" w:lineRule="auto"/>
              <w:jc w:val="left"/>
              <w:rPr>
                <w:rFonts w:ascii="宋体" w:hAnsi="宋体" w:cs="宋体"/>
                <w:color w:val="auto"/>
                <w:sz w:val="24"/>
                <w:highlight w:val="none"/>
              </w:rPr>
            </w:pPr>
            <w:bookmarkStart w:id="17" w:name="_13.4"/>
            <w:bookmarkEnd w:id="17"/>
            <w:r>
              <w:rPr>
                <w:rFonts w:hint="eastAsia" w:ascii="宋体" w:hAnsi="宋体" w:cs="宋体"/>
                <w:color w:val="auto"/>
                <w:sz w:val="24"/>
                <w:highlight w:val="none"/>
              </w:rPr>
              <w:t>技术文件组成</w:t>
            </w:r>
          </w:p>
          <w:p w14:paraId="79982514">
            <w:pPr>
              <w:keepLines/>
              <w:pageBreakBefore w:val="0"/>
              <w:wordWrap w:val="0"/>
              <w:overflowPunct/>
              <w:topLinePunct w:val="0"/>
              <w:bidi w:val="0"/>
              <w:spacing w:line="360" w:lineRule="auto"/>
              <w:rPr>
                <w:rFonts w:ascii="宋体" w:hAnsi="宋体" w:cs="宋体"/>
                <w:color w:val="auto"/>
                <w:sz w:val="24"/>
                <w:highlight w:val="none"/>
              </w:rPr>
            </w:pPr>
          </w:p>
        </w:tc>
        <w:tc>
          <w:tcPr>
            <w:tcW w:w="6999" w:type="dxa"/>
            <w:tcBorders>
              <w:top w:val="single" w:color="auto" w:sz="4" w:space="0"/>
              <w:left w:val="single" w:color="auto" w:sz="4" w:space="0"/>
              <w:bottom w:val="single" w:color="auto" w:sz="4" w:space="0"/>
              <w:right w:val="single" w:color="auto" w:sz="4" w:space="0"/>
            </w:tcBorders>
            <w:vAlign w:val="center"/>
          </w:tcPr>
          <w:p w14:paraId="5EE3FCBA">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1、服务需求、技术需求偏离表；（</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0FDE16C0">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2、组织服务方案；（</w:t>
            </w:r>
            <w:r>
              <w:rPr>
                <w:rFonts w:hint="eastAsia" w:ascii="宋体" w:hAnsi="宋体" w:cs="宋体"/>
                <w:b/>
                <w:color w:val="auto"/>
                <w:sz w:val="24"/>
                <w:highlight w:val="none"/>
              </w:rPr>
              <w:t>如有请提供</w:t>
            </w:r>
            <w:r>
              <w:rPr>
                <w:rFonts w:hint="eastAsia" w:ascii="宋体" w:hAnsi="宋体" w:cs="宋体"/>
                <w:color w:val="auto"/>
                <w:sz w:val="24"/>
                <w:highlight w:val="none"/>
              </w:rPr>
              <w:t>）</w:t>
            </w:r>
          </w:p>
          <w:p w14:paraId="36209C81">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3、售后服务方案；（</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467E1BBE">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4、项目实施人员一览表；（</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784D4D86">
            <w:pPr>
              <w:keepLines/>
              <w:pageBreakBefore w:val="0"/>
              <w:wordWrap w:val="0"/>
              <w:overflowPunct/>
              <w:topLinePunct w:val="0"/>
              <w:bidi w:val="0"/>
              <w:snapToGrid w:val="0"/>
              <w:spacing w:line="360" w:lineRule="auto"/>
              <w:jc w:val="left"/>
              <w:rPr>
                <w:rFonts w:ascii="宋体" w:hAnsi="宋体" w:cs="宋体"/>
                <w:b/>
                <w:bCs/>
                <w:color w:val="auto"/>
                <w:sz w:val="24"/>
                <w:highlight w:val="none"/>
              </w:rPr>
            </w:pPr>
            <w:r>
              <w:rPr>
                <w:rFonts w:hint="eastAsia" w:ascii="宋体" w:hAnsi="宋体" w:cs="宋体"/>
                <w:color w:val="auto"/>
                <w:sz w:val="24"/>
                <w:highlight w:val="none"/>
              </w:rPr>
              <w:t>5、投标人对本项目的合理化建议和改进措施；</w:t>
            </w:r>
            <w:r>
              <w:rPr>
                <w:rFonts w:hint="eastAsia" w:ascii="宋体" w:hAnsi="宋体" w:cs="宋体"/>
                <w:b/>
                <w:bCs/>
                <w:color w:val="auto"/>
                <w:sz w:val="24"/>
                <w:highlight w:val="none"/>
              </w:rPr>
              <w:t>（如有请提供）</w:t>
            </w:r>
          </w:p>
          <w:p w14:paraId="3858A9B9">
            <w:pPr>
              <w:keepLines/>
              <w:pageBreakBefore w:val="0"/>
              <w:wordWrap w:val="0"/>
              <w:overflowPunct/>
              <w:topLinePunct w:val="0"/>
              <w:bidi w:val="0"/>
              <w:snapToGrid w:val="0"/>
              <w:spacing w:line="360" w:lineRule="auto"/>
              <w:jc w:val="left"/>
              <w:rPr>
                <w:rFonts w:ascii="宋体" w:hAnsi="宋体" w:cs="宋体"/>
                <w:bCs/>
                <w:color w:val="auto"/>
                <w:sz w:val="24"/>
                <w:highlight w:val="none"/>
              </w:rPr>
            </w:pPr>
            <w:r>
              <w:rPr>
                <w:rFonts w:hint="eastAsia" w:ascii="宋体" w:hAnsi="宋体" w:cs="宋体"/>
                <w:color w:val="auto"/>
                <w:sz w:val="24"/>
                <w:highlight w:val="none"/>
              </w:rPr>
              <w:t>6、除招标文件规定必须提供以外，投标人需要说明的其他文件和说明。</w:t>
            </w:r>
          </w:p>
          <w:p w14:paraId="19785C5C">
            <w:pPr>
              <w:keepLines/>
              <w:pageBreakBefore w:val="0"/>
              <w:wordWrap w:val="0"/>
              <w:overflowPunct/>
              <w:topLinePunct w:val="0"/>
              <w:bidi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注：以上标明“必须提供”的材料</w:t>
            </w:r>
            <w:r>
              <w:rPr>
                <w:rFonts w:hint="eastAsia" w:ascii="宋体" w:hAnsi="宋体" w:cs="宋体"/>
                <w:b/>
                <w:color w:val="auto"/>
                <w:sz w:val="24"/>
                <w:highlight w:val="none"/>
              </w:rPr>
              <w:t>属于复印件的扫描件的</w:t>
            </w:r>
            <w:r>
              <w:rPr>
                <w:rFonts w:hint="eastAsia" w:ascii="宋体" w:hAnsi="宋体" w:cs="宋体"/>
                <w:b/>
                <w:bCs/>
                <w:color w:val="auto"/>
                <w:sz w:val="24"/>
                <w:highlight w:val="none"/>
              </w:rPr>
              <w:t>，必须加盖投标人电子公章，否则</w:t>
            </w:r>
            <w:r>
              <w:rPr>
                <w:rFonts w:hint="eastAsia" w:ascii="宋体" w:hAnsi="宋体" w:cs="宋体"/>
                <w:b/>
                <w:color w:val="auto"/>
                <w:sz w:val="24"/>
                <w:highlight w:val="none"/>
              </w:rPr>
              <w:t>作无效投标处理</w:t>
            </w:r>
            <w:r>
              <w:rPr>
                <w:rFonts w:hint="eastAsia" w:ascii="宋体" w:hAnsi="宋体" w:cs="宋体"/>
                <w:b/>
                <w:bCs/>
                <w:color w:val="auto"/>
                <w:sz w:val="24"/>
                <w:highlight w:val="none"/>
              </w:rPr>
              <w:t>。</w:t>
            </w:r>
          </w:p>
        </w:tc>
      </w:tr>
      <w:tr w14:paraId="6A9B8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vAlign w:val="center"/>
          </w:tcPr>
          <w:p w14:paraId="6F50B1AF">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0AF51CFE">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报价文件组成</w:t>
            </w:r>
          </w:p>
        </w:tc>
        <w:tc>
          <w:tcPr>
            <w:tcW w:w="6999" w:type="dxa"/>
            <w:tcBorders>
              <w:top w:val="single" w:color="auto" w:sz="4" w:space="0"/>
              <w:left w:val="single" w:color="auto" w:sz="4" w:space="0"/>
              <w:bottom w:val="single" w:color="auto" w:sz="4" w:space="0"/>
              <w:right w:val="single" w:color="auto" w:sz="4" w:space="0"/>
            </w:tcBorders>
            <w:vAlign w:val="center"/>
          </w:tcPr>
          <w:p w14:paraId="526F4924">
            <w:pPr>
              <w:keepLines/>
              <w:pageBreakBefore w:val="0"/>
              <w:tabs>
                <w:tab w:val="left" w:pos="459"/>
              </w:tabs>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1、投标函；（</w:t>
            </w:r>
            <w:r>
              <w:rPr>
                <w:rFonts w:hint="eastAsia" w:ascii="宋体" w:hAnsi="宋体" w:eastAsia="宋体" w:cs="宋体"/>
                <w:b/>
                <w:color w:val="auto"/>
                <w:sz w:val="24"/>
                <w:highlight w:val="none"/>
              </w:rPr>
              <w:t>必须提供，否则作无效投标处理</w:t>
            </w:r>
            <w:r>
              <w:rPr>
                <w:rFonts w:hint="eastAsia" w:ascii="宋体" w:hAnsi="宋体" w:eastAsia="宋体" w:cs="宋体"/>
                <w:color w:val="auto"/>
                <w:sz w:val="24"/>
                <w:highlight w:val="none"/>
              </w:rPr>
              <w:t>）</w:t>
            </w:r>
          </w:p>
          <w:p w14:paraId="414A8DCA">
            <w:pPr>
              <w:keepLines/>
              <w:pageBreakBefore w:val="0"/>
              <w:tabs>
                <w:tab w:val="left" w:pos="459"/>
              </w:tabs>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2、开标一览表；（</w:t>
            </w:r>
            <w:r>
              <w:rPr>
                <w:rFonts w:hint="eastAsia" w:ascii="宋体" w:hAnsi="宋体" w:eastAsia="宋体" w:cs="宋体"/>
                <w:b/>
                <w:color w:val="auto"/>
                <w:sz w:val="24"/>
                <w:highlight w:val="none"/>
              </w:rPr>
              <w:t>必须提供，否则作无效投标处理</w:t>
            </w:r>
            <w:r>
              <w:rPr>
                <w:rFonts w:hint="eastAsia" w:ascii="宋体" w:hAnsi="宋体" w:eastAsia="宋体" w:cs="宋体"/>
                <w:color w:val="auto"/>
                <w:sz w:val="24"/>
                <w:highlight w:val="none"/>
              </w:rPr>
              <w:t>）</w:t>
            </w:r>
          </w:p>
          <w:p w14:paraId="179A712D">
            <w:pPr>
              <w:keepLines/>
              <w:pageBreakBefore w:val="0"/>
              <w:tabs>
                <w:tab w:val="left" w:pos="459"/>
              </w:tabs>
              <w:wordWrap w:val="0"/>
              <w:overflowPunct/>
              <w:topLinePunct w:val="0"/>
              <w:bidi w:val="0"/>
              <w:snapToGrid w:val="0"/>
              <w:spacing w:line="360" w:lineRule="auto"/>
              <w:jc w:val="left"/>
              <w:rPr>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、投标人针对报价需要说明的其他文</w:t>
            </w:r>
            <w:r>
              <w:rPr>
                <w:rFonts w:hint="eastAsia"/>
                <w:color w:val="auto"/>
                <w:sz w:val="24"/>
                <w:highlight w:val="none"/>
              </w:rPr>
              <w:t>件和说明明。</w:t>
            </w:r>
          </w:p>
        </w:tc>
      </w:tr>
      <w:tr w14:paraId="37260A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5E661D8">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2566" w:type="dxa"/>
            <w:tcBorders>
              <w:top w:val="single" w:color="auto" w:sz="4" w:space="0"/>
              <w:left w:val="single" w:color="auto" w:sz="4" w:space="0"/>
              <w:bottom w:val="single" w:color="auto" w:sz="4" w:space="0"/>
              <w:right w:val="single" w:color="auto" w:sz="4" w:space="0"/>
            </w:tcBorders>
            <w:vAlign w:val="center"/>
          </w:tcPr>
          <w:p w14:paraId="01FDD484">
            <w:pPr>
              <w:keepLines/>
              <w:pageBreakBefore w:val="0"/>
              <w:wordWrap w:val="0"/>
              <w:overflowPunct/>
              <w:topLinePunct w:val="0"/>
              <w:bidi w:val="0"/>
              <w:spacing w:line="360" w:lineRule="auto"/>
              <w:rPr>
                <w:rFonts w:ascii="宋体" w:hAnsi="宋体" w:cs="宋体"/>
                <w:color w:val="auto"/>
                <w:sz w:val="24"/>
                <w:highlight w:val="none"/>
              </w:rPr>
            </w:pPr>
            <w:bookmarkStart w:id="18" w:name="_16.2"/>
            <w:bookmarkEnd w:id="18"/>
            <w:r>
              <w:rPr>
                <w:rFonts w:hint="eastAsia" w:ascii="宋体" w:hAnsi="宋体" w:cs="宋体"/>
                <w:color w:val="auto"/>
                <w:sz w:val="24"/>
                <w:highlight w:val="none"/>
              </w:rPr>
              <w:t>投标报价要求</w:t>
            </w:r>
          </w:p>
        </w:tc>
        <w:tc>
          <w:tcPr>
            <w:tcW w:w="6999" w:type="dxa"/>
            <w:tcBorders>
              <w:top w:val="single" w:color="auto" w:sz="4" w:space="0"/>
              <w:left w:val="single" w:color="auto" w:sz="4" w:space="0"/>
              <w:bottom w:val="single" w:color="auto" w:sz="4" w:space="0"/>
              <w:right w:val="single" w:color="auto" w:sz="4" w:space="0"/>
            </w:tcBorders>
            <w:vAlign w:val="center"/>
          </w:tcPr>
          <w:p w14:paraId="01898C90">
            <w:pPr>
              <w:keepLines/>
              <w:pageBreakBefore w:val="0"/>
              <w:wordWrap w:val="0"/>
              <w:overflowPunct/>
              <w:topLinePunct w:val="0"/>
              <w:bidi w:val="0"/>
              <w:snapToGrid w:val="0"/>
              <w:spacing w:line="360" w:lineRule="auto"/>
              <w:rPr>
                <w:rFonts w:ascii="宋体" w:hAnsi="宋体" w:cs="宋体"/>
                <w:b/>
                <w:color w:val="auto"/>
                <w:sz w:val="24"/>
                <w:highlight w:val="none"/>
              </w:rPr>
            </w:pPr>
            <w:r>
              <w:rPr>
                <w:rFonts w:hint="eastAsia" w:ascii="宋体" w:hAnsi="宋体" w:cs="宋体"/>
                <w:color w:val="auto"/>
                <w:sz w:val="24"/>
                <w:highlight w:val="none"/>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59D71D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6E78653">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2566" w:type="dxa"/>
            <w:tcBorders>
              <w:top w:val="single" w:color="auto" w:sz="4" w:space="0"/>
              <w:left w:val="single" w:color="auto" w:sz="4" w:space="0"/>
              <w:bottom w:val="single" w:color="auto" w:sz="4" w:space="0"/>
              <w:right w:val="single" w:color="auto" w:sz="4" w:space="0"/>
            </w:tcBorders>
            <w:vAlign w:val="center"/>
          </w:tcPr>
          <w:p w14:paraId="3C940343">
            <w:pPr>
              <w:keepLines/>
              <w:pageBreakBefore w:val="0"/>
              <w:wordWrap w:val="0"/>
              <w:overflowPunct/>
              <w:topLinePunct w:val="0"/>
              <w:bidi w:val="0"/>
              <w:spacing w:line="360" w:lineRule="auto"/>
              <w:rPr>
                <w:rFonts w:ascii="宋体" w:hAnsi="宋体" w:cs="宋体"/>
                <w:color w:val="auto"/>
                <w:sz w:val="24"/>
                <w:highlight w:val="none"/>
              </w:rPr>
            </w:pPr>
            <w:bookmarkStart w:id="19" w:name="_17.1"/>
            <w:bookmarkEnd w:id="19"/>
            <w:r>
              <w:rPr>
                <w:rFonts w:hint="eastAsia" w:ascii="宋体" w:hAnsi="宋体" w:cs="宋体"/>
                <w:color w:val="auto"/>
                <w:sz w:val="24"/>
                <w:highlight w:val="none"/>
              </w:rPr>
              <w:t>投标有效期</w:t>
            </w:r>
          </w:p>
        </w:tc>
        <w:tc>
          <w:tcPr>
            <w:tcW w:w="6999" w:type="dxa"/>
            <w:tcBorders>
              <w:top w:val="single" w:color="auto" w:sz="4" w:space="0"/>
              <w:left w:val="single" w:color="auto" w:sz="4" w:space="0"/>
              <w:bottom w:val="single" w:color="auto" w:sz="4" w:space="0"/>
              <w:right w:val="single" w:color="auto" w:sz="4" w:space="0"/>
            </w:tcBorders>
            <w:vAlign w:val="center"/>
          </w:tcPr>
          <w:p w14:paraId="12B34400">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自投标截止之日起</w:t>
            </w:r>
            <w:r>
              <w:rPr>
                <w:rFonts w:hint="eastAsia" w:ascii="宋体" w:hAnsi="宋体" w:cs="宋体"/>
                <w:color w:val="auto"/>
                <w:sz w:val="24"/>
                <w:highlight w:val="none"/>
                <w:u w:val="single"/>
              </w:rPr>
              <w:t xml:space="preserve"> </w:t>
            </w:r>
            <w:bookmarkStart w:id="20" w:name="PO_3000001866_PM046"/>
            <w:r>
              <w:rPr>
                <w:rFonts w:hint="eastAsia" w:ascii="宋体" w:hAnsi="宋体" w:cs="宋体"/>
                <w:color w:val="auto"/>
                <w:sz w:val="24"/>
                <w:highlight w:val="none"/>
                <w:u w:val="single"/>
              </w:rPr>
              <w:t>60日历天</w:t>
            </w:r>
            <w:bookmarkEnd w:id="20"/>
            <w:r>
              <w:rPr>
                <w:rFonts w:hint="eastAsia" w:ascii="宋体" w:hAnsi="宋体" w:cs="宋体"/>
                <w:color w:val="auto"/>
                <w:sz w:val="24"/>
                <w:highlight w:val="none"/>
              </w:rPr>
              <w:t>。</w:t>
            </w:r>
          </w:p>
        </w:tc>
      </w:tr>
      <w:tr w14:paraId="28B1CC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2332F03">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18</w:t>
            </w:r>
          </w:p>
        </w:tc>
        <w:tc>
          <w:tcPr>
            <w:tcW w:w="2566" w:type="dxa"/>
            <w:tcBorders>
              <w:top w:val="single" w:color="auto" w:sz="4" w:space="0"/>
              <w:left w:val="single" w:color="auto" w:sz="4" w:space="0"/>
              <w:bottom w:val="single" w:color="auto" w:sz="4" w:space="0"/>
              <w:right w:val="single" w:color="auto" w:sz="4" w:space="0"/>
            </w:tcBorders>
            <w:vAlign w:val="center"/>
          </w:tcPr>
          <w:p w14:paraId="235274E2">
            <w:pPr>
              <w:keepLines/>
              <w:pageBreakBefore w:val="0"/>
              <w:wordWrap w:val="0"/>
              <w:overflowPunct/>
              <w:topLinePunct w:val="0"/>
              <w:bidi w:val="0"/>
              <w:spacing w:line="360" w:lineRule="auto"/>
              <w:rPr>
                <w:rFonts w:ascii="宋体" w:hAnsi="宋体" w:cs="宋体"/>
                <w:color w:val="auto"/>
                <w:sz w:val="24"/>
                <w:highlight w:val="none"/>
              </w:rPr>
            </w:pPr>
            <w:bookmarkStart w:id="21" w:name="_18"/>
            <w:bookmarkEnd w:id="21"/>
            <w:r>
              <w:rPr>
                <w:rFonts w:hint="eastAsia" w:ascii="宋体" w:hAnsi="宋体" w:cs="宋体"/>
                <w:color w:val="auto"/>
                <w:sz w:val="24"/>
                <w:highlight w:val="none"/>
              </w:rPr>
              <w:t>投标保证金金额</w:t>
            </w:r>
          </w:p>
        </w:tc>
        <w:tc>
          <w:tcPr>
            <w:tcW w:w="6999" w:type="dxa"/>
            <w:tcBorders>
              <w:top w:val="single" w:color="auto" w:sz="4" w:space="0"/>
              <w:left w:val="single" w:color="auto" w:sz="4" w:space="0"/>
              <w:bottom w:val="single" w:color="auto" w:sz="4" w:space="0"/>
              <w:right w:val="single" w:color="auto" w:sz="4" w:space="0"/>
            </w:tcBorders>
            <w:vAlign w:val="center"/>
          </w:tcPr>
          <w:p w14:paraId="5EDD1AB3">
            <w:pPr>
              <w:keepLines/>
              <w:pageBreakBefore w:val="0"/>
              <w:wordWrap w:val="0"/>
              <w:overflowPunct/>
              <w:topLinePunct w:val="0"/>
              <w:autoSpaceDE w:val="0"/>
              <w:autoSpaceDN w:val="0"/>
              <w:bidi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本项目不收取投标保证金。</w:t>
            </w:r>
          </w:p>
        </w:tc>
      </w:tr>
      <w:tr w14:paraId="61F00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3EB24E5">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2566" w:type="dxa"/>
            <w:tcBorders>
              <w:top w:val="single" w:color="auto" w:sz="4" w:space="0"/>
              <w:left w:val="single" w:color="auto" w:sz="4" w:space="0"/>
              <w:bottom w:val="single" w:color="auto" w:sz="4" w:space="0"/>
              <w:right w:val="single" w:color="auto" w:sz="4" w:space="0"/>
            </w:tcBorders>
            <w:vAlign w:val="center"/>
          </w:tcPr>
          <w:p w14:paraId="4EC8FE0F">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投标文件编制要求</w:t>
            </w:r>
          </w:p>
        </w:tc>
        <w:tc>
          <w:tcPr>
            <w:tcW w:w="6999" w:type="dxa"/>
            <w:tcBorders>
              <w:top w:val="single" w:color="auto" w:sz="4" w:space="0"/>
              <w:left w:val="single" w:color="auto" w:sz="4" w:space="0"/>
              <w:bottom w:val="single" w:color="auto" w:sz="4" w:space="0"/>
              <w:right w:val="single" w:color="auto" w:sz="4" w:space="0"/>
            </w:tcBorders>
            <w:vAlign w:val="center"/>
          </w:tcPr>
          <w:p w14:paraId="59F43679">
            <w:pPr>
              <w:keepLines/>
              <w:pageBreakBefore w:val="0"/>
              <w:wordWrap w:val="0"/>
              <w:overflowPunct/>
              <w:topLinePunct w:val="0"/>
              <w:bidi w:val="0"/>
              <w:spacing w:line="360" w:lineRule="auto"/>
              <w:rPr>
                <w:rFonts w:ascii="宋体" w:hAnsi="宋体" w:cs="宋体"/>
                <w:b/>
                <w:color w:val="auto"/>
                <w:sz w:val="24"/>
                <w:highlight w:val="none"/>
                <w:u w:val="single"/>
              </w:rPr>
            </w:pPr>
            <w:r>
              <w:rPr>
                <w:rFonts w:hint="eastAsia" w:ascii="宋体" w:hAnsi="宋体" w:cs="宋体"/>
                <w:color w:val="auto"/>
                <w:sz w:val="24"/>
                <w:highlight w:val="none"/>
              </w:rPr>
              <w:t>投标文件应按报价文件、资格证明文件、商务文件、技术文件分别编制，报价文件、资格证明文件</w:t>
            </w:r>
            <w:r>
              <w:rPr>
                <w:rFonts w:hint="eastAsia" w:ascii="宋体" w:hAnsi="宋体" w:cs="宋体"/>
                <w:color w:val="auto"/>
                <w:sz w:val="24"/>
                <w:highlight w:val="none"/>
                <w:lang w:eastAsia="zh-CN"/>
              </w:rPr>
              <w:t>、</w:t>
            </w:r>
            <w:r>
              <w:rPr>
                <w:rFonts w:hint="eastAsia" w:ascii="宋体" w:hAnsi="宋体" w:cs="宋体"/>
                <w:color w:val="auto"/>
                <w:sz w:val="24"/>
                <w:highlight w:val="none"/>
              </w:rPr>
              <w:t>商务文件</w:t>
            </w:r>
            <w:r>
              <w:rPr>
                <w:rFonts w:hint="eastAsia" w:ascii="宋体" w:hAnsi="宋体" w:cs="宋体"/>
                <w:color w:val="auto"/>
                <w:sz w:val="24"/>
                <w:highlight w:val="none"/>
                <w:lang w:eastAsia="zh-CN"/>
              </w:rPr>
              <w:t>、</w:t>
            </w:r>
            <w:r>
              <w:rPr>
                <w:rFonts w:hint="eastAsia" w:ascii="宋体" w:hAnsi="宋体" w:cs="宋体"/>
                <w:color w:val="auto"/>
                <w:sz w:val="24"/>
                <w:highlight w:val="none"/>
              </w:rPr>
              <w:t>技术文件分别生产电子文件。</w:t>
            </w:r>
            <w:r>
              <w:rPr>
                <w:rFonts w:hint="eastAsia" w:ascii="宋体" w:hAnsi="宋体" w:cs="宋体"/>
                <w:b/>
                <w:color w:val="auto"/>
                <w:sz w:val="24"/>
                <w:highlight w:val="none"/>
                <w:u w:val="single"/>
              </w:rPr>
              <w:t>电子版投标文件制作方式见招标公告附件。</w:t>
            </w:r>
          </w:p>
        </w:tc>
      </w:tr>
      <w:tr w14:paraId="4DEFA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B7EAA46">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20</w:t>
            </w:r>
          </w:p>
        </w:tc>
        <w:tc>
          <w:tcPr>
            <w:tcW w:w="2566" w:type="dxa"/>
            <w:tcBorders>
              <w:top w:val="single" w:color="auto" w:sz="4" w:space="0"/>
              <w:left w:val="single" w:color="auto" w:sz="4" w:space="0"/>
              <w:bottom w:val="single" w:color="auto" w:sz="4" w:space="0"/>
              <w:right w:val="single" w:color="auto" w:sz="4" w:space="0"/>
            </w:tcBorders>
            <w:vAlign w:val="center"/>
          </w:tcPr>
          <w:p w14:paraId="490A818B">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备份投标文件</w:t>
            </w:r>
          </w:p>
        </w:tc>
        <w:tc>
          <w:tcPr>
            <w:tcW w:w="6999" w:type="dxa"/>
            <w:tcBorders>
              <w:top w:val="single" w:color="auto" w:sz="4" w:space="0"/>
              <w:left w:val="single" w:color="auto" w:sz="4" w:space="0"/>
              <w:bottom w:val="single" w:color="auto" w:sz="4" w:space="0"/>
              <w:right w:val="single" w:color="auto" w:sz="4" w:space="0"/>
            </w:tcBorders>
            <w:vAlign w:val="center"/>
          </w:tcPr>
          <w:p w14:paraId="1B8D8AAF">
            <w:pPr>
              <w:keepLines/>
              <w:pageBreakBefore w:val="0"/>
              <w:wordWrap w:val="0"/>
              <w:overflowPunct/>
              <w:topLinePunct w:val="0"/>
              <w:autoSpaceDE w:val="0"/>
              <w:autoSpaceDN w:val="0"/>
              <w:bidi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本项目不接受备份投标文件。</w:t>
            </w:r>
          </w:p>
        </w:tc>
      </w:tr>
      <w:tr w14:paraId="24948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vAlign w:val="center"/>
          </w:tcPr>
          <w:p w14:paraId="1DDAD11A">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21.1</w:t>
            </w:r>
          </w:p>
        </w:tc>
        <w:tc>
          <w:tcPr>
            <w:tcW w:w="2566" w:type="dxa"/>
            <w:tcBorders>
              <w:top w:val="single" w:color="auto" w:sz="4" w:space="0"/>
              <w:left w:val="single" w:color="auto" w:sz="4" w:space="0"/>
              <w:bottom w:val="single" w:color="auto" w:sz="4" w:space="0"/>
              <w:right w:val="single" w:color="auto" w:sz="4" w:space="0"/>
            </w:tcBorders>
            <w:vAlign w:val="center"/>
          </w:tcPr>
          <w:p w14:paraId="394CEAE5">
            <w:pPr>
              <w:keepLines/>
              <w:pageBreakBefore w:val="0"/>
              <w:wordWrap w:val="0"/>
              <w:overflowPunct/>
              <w:topLinePunct w:val="0"/>
              <w:bidi w:val="0"/>
              <w:spacing w:line="360" w:lineRule="auto"/>
              <w:rPr>
                <w:rFonts w:ascii="宋体" w:hAnsi="宋体" w:cs="宋体"/>
                <w:color w:val="auto"/>
                <w:sz w:val="24"/>
                <w:highlight w:val="none"/>
              </w:rPr>
            </w:pPr>
            <w:bookmarkStart w:id="22" w:name="_21.1"/>
            <w:bookmarkEnd w:id="22"/>
            <w:r>
              <w:rPr>
                <w:rFonts w:hint="eastAsia" w:ascii="宋体" w:hAnsi="宋体" w:cs="宋体"/>
                <w:color w:val="auto"/>
                <w:sz w:val="24"/>
                <w:highlight w:val="none"/>
              </w:rPr>
              <w:t>投标截止时间</w:t>
            </w:r>
          </w:p>
        </w:tc>
        <w:tc>
          <w:tcPr>
            <w:tcW w:w="6999" w:type="dxa"/>
            <w:tcBorders>
              <w:top w:val="single" w:color="auto" w:sz="4" w:space="0"/>
              <w:left w:val="single" w:color="auto" w:sz="4" w:space="0"/>
              <w:bottom w:val="single" w:color="auto" w:sz="4" w:space="0"/>
              <w:right w:val="single" w:color="auto" w:sz="4" w:space="0"/>
            </w:tcBorders>
            <w:vAlign w:val="center"/>
          </w:tcPr>
          <w:p w14:paraId="415174F5">
            <w:pPr>
              <w:keepLines/>
              <w:pageBreakBefore w:val="0"/>
              <w:wordWrap w:val="0"/>
              <w:overflowPunct/>
              <w:topLinePunct w:val="0"/>
              <w:bidi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详见招标公告</w:t>
            </w:r>
          </w:p>
        </w:tc>
      </w:tr>
      <w:tr w14:paraId="796901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2F1E68BC">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685F4930">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投标文件提交起止时间</w:t>
            </w:r>
          </w:p>
        </w:tc>
        <w:tc>
          <w:tcPr>
            <w:tcW w:w="6999" w:type="dxa"/>
            <w:tcBorders>
              <w:top w:val="single" w:color="auto" w:sz="4" w:space="0"/>
              <w:left w:val="single" w:color="auto" w:sz="4" w:space="0"/>
              <w:bottom w:val="single" w:color="auto" w:sz="4" w:space="0"/>
              <w:right w:val="single" w:color="auto" w:sz="4" w:space="0"/>
            </w:tcBorders>
            <w:vAlign w:val="center"/>
          </w:tcPr>
          <w:p w14:paraId="56E4EFEC">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详见招标公告</w:t>
            </w:r>
          </w:p>
        </w:tc>
      </w:tr>
      <w:tr w14:paraId="5F6146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53D576AC">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0E3249CB">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投标地点</w:t>
            </w:r>
          </w:p>
        </w:tc>
        <w:tc>
          <w:tcPr>
            <w:tcW w:w="6999" w:type="dxa"/>
            <w:tcBorders>
              <w:top w:val="single" w:color="auto" w:sz="4" w:space="0"/>
              <w:left w:val="single" w:color="auto" w:sz="4" w:space="0"/>
              <w:bottom w:val="single" w:color="auto" w:sz="4" w:space="0"/>
              <w:right w:val="single" w:color="auto" w:sz="4" w:space="0"/>
            </w:tcBorders>
            <w:vAlign w:val="center"/>
          </w:tcPr>
          <w:p w14:paraId="6E28F499">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详见招标公告</w:t>
            </w:r>
          </w:p>
        </w:tc>
      </w:tr>
      <w:tr w14:paraId="3D6574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4ED2F5E4">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28C9FDD0">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投标人递交投标样品截止时间及地点</w:t>
            </w:r>
          </w:p>
        </w:tc>
        <w:tc>
          <w:tcPr>
            <w:tcW w:w="6999" w:type="dxa"/>
            <w:tcBorders>
              <w:top w:val="single" w:color="auto" w:sz="4" w:space="0"/>
              <w:left w:val="single" w:color="auto" w:sz="4" w:space="0"/>
              <w:bottom w:val="single" w:color="auto" w:sz="4" w:space="0"/>
              <w:right w:val="single" w:color="auto" w:sz="4" w:space="0"/>
            </w:tcBorders>
            <w:vAlign w:val="center"/>
          </w:tcPr>
          <w:p w14:paraId="701C7F7B">
            <w:pPr>
              <w:keepLines/>
              <w:pageBreakBefore w:val="0"/>
              <w:wordWrap w:val="0"/>
              <w:overflowPunct/>
              <w:topLinePunct w:val="0"/>
              <w:bidi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时间：</w:t>
            </w:r>
            <w:r>
              <w:rPr>
                <w:rFonts w:hint="eastAsia" w:ascii="宋体" w:hAnsi="宋体" w:cs="宋体"/>
                <w:bCs/>
                <w:color w:val="auto"/>
                <w:sz w:val="24"/>
                <w:highlight w:val="none"/>
                <w:u w:val="single"/>
              </w:rPr>
              <w:t xml:space="preserve">    /年 /月 / 日 / 时  /分</w:t>
            </w:r>
            <w:r>
              <w:rPr>
                <w:rFonts w:hint="eastAsia" w:ascii="宋体" w:hAnsi="宋体" w:cs="宋体"/>
                <w:bCs/>
                <w:color w:val="auto"/>
                <w:sz w:val="24"/>
                <w:highlight w:val="none"/>
              </w:rPr>
              <w:t>（北京时间）</w:t>
            </w:r>
          </w:p>
          <w:p w14:paraId="560F381F">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bCs/>
                <w:color w:val="auto"/>
                <w:sz w:val="24"/>
                <w:highlight w:val="none"/>
              </w:rPr>
              <w:t>地点：</w:t>
            </w:r>
            <w:r>
              <w:rPr>
                <w:rFonts w:hint="eastAsia" w:ascii="宋体" w:hAnsi="宋体" w:cs="宋体"/>
                <w:bCs/>
                <w:color w:val="auto"/>
                <w:sz w:val="24"/>
                <w:highlight w:val="none"/>
                <w:u w:val="single"/>
              </w:rPr>
              <w:t xml:space="preserve">        /                        </w:t>
            </w:r>
          </w:p>
        </w:tc>
      </w:tr>
      <w:tr w14:paraId="568B2E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4911D20">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23</w:t>
            </w:r>
          </w:p>
        </w:tc>
        <w:tc>
          <w:tcPr>
            <w:tcW w:w="2566" w:type="dxa"/>
            <w:tcBorders>
              <w:top w:val="single" w:color="auto" w:sz="4" w:space="0"/>
              <w:left w:val="single" w:color="auto" w:sz="4" w:space="0"/>
              <w:bottom w:val="single" w:color="auto" w:sz="4" w:space="0"/>
              <w:right w:val="single" w:color="auto" w:sz="4" w:space="0"/>
            </w:tcBorders>
            <w:vAlign w:val="center"/>
          </w:tcPr>
          <w:p w14:paraId="113D7C1D">
            <w:pPr>
              <w:keepLines/>
              <w:pageBreakBefore w:val="0"/>
              <w:wordWrap w:val="0"/>
              <w:overflowPunct/>
              <w:topLinePunct w:val="0"/>
              <w:bidi w:val="0"/>
              <w:spacing w:line="360" w:lineRule="auto"/>
              <w:rPr>
                <w:rFonts w:ascii="宋体" w:hAnsi="宋体" w:cs="宋体"/>
                <w:color w:val="auto"/>
                <w:sz w:val="24"/>
                <w:highlight w:val="none"/>
              </w:rPr>
            </w:pPr>
            <w:bookmarkStart w:id="23" w:name="_23"/>
            <w:bookmarkEnd w:id="23"/>
            <w:r>
              <w:rPr>
                <w:rFonts w:hint="eastAsia" w:ascii="宋体" w:hAnsi="宋体" w:cs="宋体"/>
                <w:color w:val="auto"/>
                <w:sz w:val="24"/>
                <w:highlight w:val="none"/>
              </w:rPr>
              <w:t>开标时间、地点</w:t>
            </w:r>
          </w:p>
        </w:tc>
        <w:tc>
          <w:tcPr>
            <w:tcW w:w="6999" w:type="dxa"/>
            <w:tcBorders>
              <w:top w:val="single" w:color="auto" w:sz="4" w:space="0"/>
              <w:left w:val="single" w:color="auto" w:sz="4" w:space="0"/>
              <w:bottom w:val="single" w:color="auto" w:sz="4" w:space="0"/>
              <w:right w:val="single" w:color="auto" w:sz="4" w:space="0"/>
            </w:tcBorders>
            <w:vAlign w:val="center"/>
          </w:tcPr>
          <w:p w14:paraId="60EBF303">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详见招标公告 </w:t>
            </w:r>
          </w:p>
        </w:tc>
      </w:tr>
      <w:tr w14:paraId="5BE85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6D2DF66">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25.3（2）</w:t>
            </w:r>
          </w:p>
        </w:tc>
        <w:tc>
          <w:tcPr>
            <w:tcW w:w="2566" w:type="dxa"/>
            <w:tcBorders>
              <w:top w:val="single" w:color="auto" w:sz="4" w:space="0"/>
              <w:left w:val="single" w:color="auto" w:sz="4" w:space="0"/>
              <w:bottom w:val="single" w:color="auto" w:sz="4" w:space="0"/>
              <w:right w:val="single" w:color="auto" w:sz="4" w:space="0"/>
            </w:tcBorders>
            <w:vAlign w:val="center"/>
          </w:tcPr>
          <w:p w14:paraId="22DEC63D">
            <w:pPr>
              <w:keepLines/>
              <w:pageBreakBefore w:val="0"/>
              <w:wordWrap w:val="0"/>
              <w:overflowPunct/>
              <w:topLinePunct w:val="0"/>
              <w:bidi w:val="0"/>
              <w:spacing w:line="360" w:lineRule="auto"/>
              <w:rPr>
                <w:rFonts w:ascii="宋体" w:hAnsi="宋体" w:cs="宋体"/>
                <w:color w:val="auto"/>
                <w:sz w:val="24"/>
                <w:highlight w:val="none"/>
              </w:rPr>
            </w:pPr>
            <w:bookmarkStart w:id="24" w:name="_25.3"/>
            <w:bookmarkEnd w:id="24"/>
            <w:r>
              <w:rPr>
                <w:rFonts w:hint="eastAsia" w:ascii="宋体" w:hAnsi="宋体" w:cs="宋体"/>
                <w:color w:val="auto"/>
                <w:sz w:val="24"/>
                <w:highlight w:val="none"/>
              </w:rPr>
              <w:t>投标人信用查询渠道</w:t>
            </w:r>
          </w:p>
        </w:tc>
        <w:tc>
          <w:tcPr>
            <w:tcW w:w="6999" w:type="dxa"/>
            <w:tcBorders>
              <w:top w:val="single" w:color="auto" w:sz="4" w:space="0"/>
              <w:left w:val="single" w:color="auto" w:sz="4" w:space="0"/>
              <w:bottom w:val="single" w:color="auto" w:sz="4" w:space="0"/>
              <w:right w:val="single" w:color="auto" w:sz="4" w:space="0"/>
            </w:tcBorders>
            <w:vAlign w:val="center"/>
          </w:tcPr>
          <w:p w14:paraId="673C1DFD">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采购人或者采购代理机构在资格审查结束前，对投标人进行信用查询。</w:t>
            </w:r>
          </w:p>
          <w:p w14:paraId="682859A0">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查询渠道：“信用中国”网站(www.creditchina.gov.cn) 、中国政府采购网(www.ccgp.gov.cn)。</w:t>
            </w:r>
          </w:p>
        </w:tc>
      </w:tr>
      <w:tr w14:paraId="7D6E3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16F33DF">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60CE4C85">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信用查询截止时点</w:t>
            </w:r>
          </w:p>
        </w:tc>
        <w:tc>
          <w:tcPr>
            <w:tcW w:w="6999" w:type="dxa"/>
            <w:tcBorders>
              <w:top w:val="single" w:color="auto" w:sz="4" w:space="0"/>
              <w:left w:val="single" w:color="auto" w:sz="4" w:space="0"/>
              <w:bottom w:val="single" w:color="auto" w:sz="4" w:space="0"/>
              <w:right w:val="single" w:color="auto" w:sz="4" w:space="0"/>
            </w:tcBorders>
            <w:vAlign w:val="center"/>
          </w:tcPr>
          <w:p w14:paraId="2CC6F1CE">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资格审查结束前</w:t>
            </w:r>
          </w:p>
        </w:tc>
      </w:tr>
      <w:tr w14:paraId="02D4EA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6E1E4DF">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094DDEF3">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查询记录和证据留存方式</w:t>
            </w:r>
          </w:p>
        </w:tc>
        <w:tc>
          <w:tcPr>
            <w:tcW w:w="6999" w:type="dxa"/>
            <w:tcBorders>
              <w:top w:val="single" w:color="auto" w:sz="4" w:space="0"/>
              <w:left w:val="single" w:color="auto" w:sz="4" w:space="0"/>
              <w:bottom w:val="single" w:color="auto" w:sz="4" w:space="0"/>
              <w:right w:val="single" w:color="auto" w:sz="4" w:space="0"/>
            </w:tcBorders>
            <w:vAlign w:val="center"/>
          </w:tcPr>
          <w:p w14:paraId="4F61407D">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在查询网站中直接截图查询记录，截图作为在广西政府采购云平台作为附件上传保存。</w:t>
            </w:r>
          </w:p>
        </w:tc>
      </w:tr>
      <w:tr w14:paraId="4EA6A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764D910">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2BC7C63E">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信用信息使用规则</w:t>
            </w:r>
          </w:p>
        </w:tc>
        <w:tc>
          <w:tcPr>
            <w:tcW w:w="6999" w:type="dxa"/>
            <w:tcBorders>
              <w:top w:val="single" w:color="auto" w:sz="4" w:space="0"/>
              <w:left w:val="single" w:color="auto" w:sz="4" w:space="0"/>
              <w:bottom w:val="single" w:color="auto" w:sz="4" w:space="0"/>
              <w:right w:val="single" w:color="auto" w:sz="4" w:space="0"/>
            </w:tcBorders>
            <w:vAlign w:val="center"/>
          </w:tcPr>
          <w:p w14:paraId="4D0E587B">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对在“信用中国”网站(www.creditchina.gov.cn) 、中国政府采购网(www.ccgp.gov.cn)被列入失信被执行人、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D88F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0481CCA">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29.1</w:t>
            </w:r>
          </w:p>
        </w:tc>
        <w:tc>
          <w:tcPr>
            <w:tcW w:w="2566" w:type="dxa"/>
            <w:tcBorders>
              <w:top w:val="single" w:color="auto" w:sz="4" w:space="0"/>
              <w:left w:val="single" w:color="auto" w:sz="4" w:space="0"/>
              <w:bottom w:val="single" w:color="auto" w:sz="4" w:space="0"/>
              <w:right w:val="single" w:color="auto" w:sz="4" w:space="0"/>
            </w:tcBorders>
            <w:vAlign w:val="center"/>
          </w:tcPr>
          <w:p w14:paraId="3B5C264D">
            <w:pPr>
              <w:keepLines/>
              <w:pageBreakBefore w:val="0"/>
              <w:wordWrap w:val="0"/>
              <w:overflowPunct/>
              <w:topLinePunct w:val="0"/>
              <w:bidi w:val="0"/>
              <w:spacing w:line="360" w:lineRule="auto"/>
              <w:rPr>
                <w:rFonts w:ascii="宋体" w:hAnsi="宋体" w:cs="宋体"/>
                <w:color w:val="auto"/>
                <w:sz w:val="24"/>
                <w:highlight w:val="none"/>
              </w:rPr>
            </w:pPr>
            <w:bookmarkStart w:id="25" w:name="_28.3"/>
            <w:bookmarkEnd w:id="25"/>
            <w:bookmarkStart w:id="26" w:name="_26"/>
            <w:bookmarkEnd w:id="26"/>
            <w:r>
              <w:rPr>
                <w:rFonts w:hint="eastAsia" w:ascii="宋体" w:hAnsi="宋体" w:cs="宋体"/>
                <w:color w:val="auto"/>
                <w:sz w:val="24"/>
                <w:highlight w:val="none"/>
              </w:rPr>
              <w:t>评标方法</w:t>
            </w:r>
          </w:p>
        </w:tc>
        <w:tc>
          <w:tcPr>
            <w:tcW w:w="6999" w:type="dxa"/>
            <w:tcBorders>
              <w:top w:val="single" w:color="auto" w:sz="4" w:space="0"/>
              <w:left w:val="single" w:color="auto" w:sz="4" w:space="0"/>
              <w:bottom w:val="single" w:color="auto" w:sz="4" w:space="0"/>
              <w:right w:val="single" w:color="auto" w:sz="4" w:space="0"/>
            </w:tcBorders>
            <w:vAlign w:val="center"/>
          </w:tcPr>
          <w:p w14:paraId="770EB2B1">
            <w:pPr>
              <w:keepLines/>
              <w:pageBreakBefore w:val="0"/>
              <w:wordWrap w:val="0"/>
              <w:overflowPunct/>
              <w:topLinePunct w:val="0"/>
              <w:autoSpaceDE w:val="0"/>
              <w:autoSpaceDN w:val="0"/>
              <w:bidi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☑综合评分法</w:t>
            </w:r>
          </w:p>
          <w:p w14:paraId="06697F7C">
            <w:pPr>
              <w:keepLines/>
              <w:pageBreakBefore w:val="0"/>
              <w:wordWrap w:val="0"/>
              <w:overflowPunct/>
              <w:topLinePunct w:val="0"/>
              <w:autoSpaceDE w:val="0"/>
              <w:autoSpaceDN w:val="0"/>
              <w:bidi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□最低评标价法</w:t>
            </w:r>
          </w:p>
        </w:tc>
      </w:tr>
      <w:tr w14:paraId="69E100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bottom w:val="nil"/>
              <w:right w:val="single" w:color="auto" w:sz="4" w:space="0"/>
            </w:tcBorders>
            <w:vAlign w:val="center"/>
          </w:tcPr>
          <w:p w14:paraId="211F7C13">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29.2</w:t>
            </w:r>
          </w:p>
        </w:tc>
        <w:tc>
          <w:tcPr>
            <w:tcW w:w="2566" w:type="dxa"/>
            <w:tcBorders>
              <w:top w:val="single" w:color="auto" w:sz="4" w:space="0"/>
              <w:left w:val="single" w:color="auto" w:sz="4" w:space="0"/>
              <w:bottom w:val="nil"/>
              <w:right w:val="single" w:color="auto" w:sz="4" w:space="0"/>
            </w:tcBorders>
            <w:vAlign w:val="center"/>
          </w:tcPr>
          <w:p w14:paraId="15A49B27">
            <w:pPr>
              <w:keepLines/>
              <w:pageBreakBefore w:val="0"/>
              <w:wordWrap w:val="0"/>
              <w:overflowPunct/>
              <w:topLinePunct w:val="0"/>
              <w:bidi w:val="0"/>
              <w:spacing w:line="360" w:lineRule="auto"/>
              <w:rPr>
                <w:rFonts w:ascii="宋体" w:hAnsi="宋体" w:cs="宋体"/>
                <w:color w:val="auto"/>
                <w:sz w:val="24"/>
                <w:highlight w:val="none"/>
              </w:rPr>
            </w:pPr>
            <w:bookmarkStart w:id="27" w:name="_29.2.2（2）"/>
            <w:bookmarkEnd w:id="27"/>
            <w:r>
              <w:rPr>
                <w:rFonts w:hint="eastAsia" w:ascii="宋体" w:hAnsi="宋体" w:cs="宋体"/>
                <w:color w:val="auto"/>
                <w:sz w:val="24"/>
                <w:highlight w:val="none"/>
              </w:rPr>
              <w:t>允许负偏离项</w:t>
            </w:r>
          </w:p>
        </w:tc>
        <w:tc>
          <w:tcPr>
            <w:tcW w:w="6999" w:type="dxa"/>
            <w:tcBorders>
              <w:top w:val="single" w:color="auto" w:sz="4" w:space="0"/>
              <w:left w:val="single" w:color="auto" w:sz="4" w:space="0"/>
              <w:bottom w:val="nil"/>
              <w:right w:val="single" w:color="auto" w:sz="4" w:space="0"/>
            </w:tcBorders>
            <w:vAlign w:val="center"/>
          </w:tcPr>
          <w:p w14:paraId="6A1DDB3F">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商务条款评审中允许负偏离的条款数为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w:t>
            </w:r>
          </w:p>
          <w:p w14:paraId="02D5ADD5">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技术需求评审中允许负偏离的条款数为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w:t>
            </w:r>
          </w:p>
        </w:tc>
      </w:tr>
      <w:tr w14:paraId="18829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375A2A3">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30.1</w:t>
            </w:r>
          </w:p>
        </w:tc>
        <w:tc>
          <w:tcPr>
            <w:tcW w:w="2566" w:type="dxa"/>
            <w:tcBorders>
              <w:top w:val="single" w:color="auto" w:sz="4" w:space="0"/>
              <w:left w:val="single" w:color="auto" w:sz="4" w:space="0"/>
              <w:bottom w:val="single" w:color="auto" w:sz="4" w:space="0"/>
              <w:right w:val="single" w:color="auto" w:sz="4" w:space="0"/>
            </w:tcBorders>
            <w:vAlign w:val="center"/>
          </w:tcPr>
          <w:p w14:paraId="64F643CD">
            <w:pPr>
              <w:keepLines/>
              <w:pageBreakBefore w:val="0"/>
              <w:wordWrap w:val="0"/>
              <w:overflowPunct/>
              <w:topLinePunct w:val="0"/>
              <w:autoSpaceDE w:val="0"/>
              <w:autoSpaceDN w:val="0"/>
              <w:bidi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 xml:space="preserve">确定中标供应商时，出现中标候选人分数并列的情形，确定中标供应商方式 </w:t>
            </w:r>
          </w:p>
        </w:tc>
        <w:tc>
          <w:tcPr>
            <w:tcW w:w="6999" w:type="dxa"/>
            <w:tcBorders>
              <w:top w:val="single" w:color="auto" w:sz="4" w:space="0"/>
              <w:left w:val="single" w:color="auto" w:sz="4" w:space="0"/>
              <w:bottom w:val="single" w:color="auto" w:sz="4" w:space="0"/>
              <w:right w:val="single" w:color="auto" w:sz="4" w:space="0"/>
            </w:tcBorders>
            <w:vAlign w:val="center"/>
          </w:tcPr>
          <w:p w14:paraId="65E0D1D5">
            <w:pPr>
              <w:keepLines/>
              <w:pageBreakBefore w:val="0"/>
              <w:wordWrap w:val="0"/>
              <w:overflowPunct/>
              <w:topLinePunct w:val="0"/>
              <w:autoSpaceDE w:val="0"/>
              <w:autoSpaceDN w:val="0"/>
              <w:bidi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 xml:space="preserve">□采用最低评标价法的，投标文件满足招标文件全部实质性要求且投标报价最低的投标人为排名第一的中标候选人； </w:t>
            </w:r>
          </w:p>
          <w:p w14:paraId="45D54F07">
            <w:pPr>
              <w:keepLines/>
              <w:pageBreakBefore w:val="0"/>
              <w:wordWrap w:val="0"/>
              <w:overflowPunct/>
              <w:topLinePunct w:val="0"/>
              <w:autoSpaceDE w:val="0"/>
              <w:autoSpaceDN w:val="0"/>
              <w:bidi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255F97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243854C6">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35</w:t>
            </w:r>
          </w:p>
        </w:tc>
        <w:tc>
          <w:tcPr>
            <w:tcW w:w="2566" w:type="dxa"/>
            <w:tcBorders>
              <w:top w:val="single" w:color="auto" w:sz="4" w:space="0"/>
              <w:left w:val="single" w:color="auto" w:sz="4" w:space="0"/>
              <w:bottom w:val="single" w:color="auto" w:sz="4" w:space="0"/>
              <w:right w:val="single" w:color="auto" w:sz="4" w:space="0"/>
            </w:tcBorders>
            <w:vAlign w:val="center"/>
          </w:tcPr>
          <w:p w14:paraId="3CED9FAC">
            <w:pPr>
              <w:keepLines/>
              <w:pageBreakBefore w:val="0"/>
              <w:wordWrap w:val="0"/>
              <w:overflowPunct/>
              <w:topLinePunct w:val="0"/>
              <w:bidi w:val="0"/>
              <w:spacing w:line="360" w:lineRule="auto"/>
              <w:rPr>
                <w:rFonts w:ascii="宋体" w:hAnsi="宋体" w:cs="宋体"/>
                <w:color w:val="auto"/>
                <w:sz w:val="24"/>
                <w:highlight w:val="none"/>
              </w:rPr>
            </w:pPr>
            <w:bookmarkStart w:id="28" w:name="_39.1"/>
            <w:bookmarkEnd w:id="28"/>
            <w:r>
              <w:rPr>
                <w:rFonts w:hint="eastAsia" w:ascii="宋体" w:hAnsi="宋体" w:cs="宋体"/>
                <w:color w:val="auto"/>
                <w:sz w:val="24"/>
                <w:highlight w:val="none"/>
              </w:rPr>
              <w:t>履约保证金金额</w:t>
            </w:r>
          </w:p>
        </w:tc>
        <w:tc>
          <w:tcPr>
            <w:tcW w:w="6999" w:type="dxa"/>
            <w:tcBorders>
              <w:top w:val="single" w:color="auto" w:sz="4" w:space="0"/>
              <w:left w:val="single" w:color="auto" w:sz="4" w:space="0"/>
              <w:bottom w:val="single" w:color="auto" w:sz="4" w:space="0"/>
              <w:right w:val="single" w:color="auto" w:sz="4" w:space="0"/>
            </w:tcBorders>
            <w:vAlign w:val="bottom"/>
          </w:tcPr>
          <w:p w14:paraId="2BCAE39A">
            <w:pPr>
              <w:keepLines/>
              <w:pageBreakBefore w:val="0"/>
              <w:wordWrap w:val="0"/>
              <w:overflowPunct/>
              <w:topLinePunct w:val="0"/>
              <w:autoSpaceDE w:val="0"/>
              <w:autoSpaceDN w:val="0"/>
              <w:bidi w:val="0"/>
              <w:snapToGrid w:val="0"/>
              <w:spacing w:line="360" w:lineRule="auto"/>
              <w:jc w:val="left"/>
              <w:textAlignment w:val="bottom"/>
              <w:rPr>
                <w:rFonts w:ascii="宋体" w:hAnsi="宋体" w:cs="宋体"/>
                <w:color w:val="auto"/>
                <w:sz w:val="24"/>
                <w:highlight w:val="none"/>
              </w:rPr>
            </w:pPr>
            <w:r>
              <w:rPr>
                <w:rFonts w:hint="eastAsia" w:ascii="宋体" w:hAnsi="宋体" w:cs="宋体"/>
                <w:color w:val="auto"/>
                <w:sz w:val="24"/>
                <w:highlight w:val="none"/>
              </w:rPr>
              <w:t>本项目不收取履约保证金。</w:t>
            </w:r>
          </w:p>
        </w:tc>
      </w:tr>
      <w:tr w14:paraId="6AFE7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C8AE447">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36.1</w:t>
            </w:r>
          </w:p>
        </w:tc>
        <w:tc>
          <w:tcPr>
            <w:tcW w:w="2566" w:type="dxa"/>
            <w:tcBorders>
              <w:top w:val="single" w:color="auto" w:sz="4" w:space="0"/>
              <w:left w:val="single" w:color="auto" w:sz="4" w:space="0"/>
              <w:bottom w:val="single" w:color="auto" w:sz="4" w:space="0"/>
              <w:right w:val="single" w:color="auto" w:sz="4" w:space="0"/>
            </w:tcBorders>
            <w:vAlign w:val="center"/>
          </w:tcPr>
          <w:p w14:paraId="7CA6B622">
            <w:pPr>
              <w:keepLines/>
              <w:pageBreakBefore w:val="0"/>
              <w:wordWrap w:val="0"/>
              <w:overflowPunct/>
              <w:topLinePunct w:val="0"/>
              <w:bidi w:val="0"/>
              <w:spacing w:line="360" w:lineRule="auto"/>
              <w:rPr>
                <w:rFonts w:ascii="宋体" w:hAnsi="宋体" w:cs="宋体"/>
                <w:color w:val="auto"/>
                <w:sz w:val="24"/>
                <w:highlight w:val="none"/>
              </w:rPr>
            </w:pPr>
            <w:bookmarkStart w:id="29" w:name="_40.1"/>
            <w:bookmarkEnd w:id="29"/>
            <w:r>
              <w:rPr>
                <w:rFonts w:hint="eastAsia" w:ascii="宋体" w:hAnsi="宋体" w:cs="宋体"/>
                <w:color w:val="auto"/>
                <w:sz w:val="24"/>
                <w:highlight w:val="none"/>
              </w:rPr>
              <w:t>签订电子合同携带的材料</w:t>
            </w:r>
          </w:p>
        </w:tc>
        <w:tc>
          <w:tcPr>
            <w:tcW w:w="6999" w:type="dxa"/>
            <w:tcBorders>
              <w:top w:val="single" w:color="auto" w:sz="4" w:space="0"/>
              <w:left w:val="single" w:color="auto" w:sz="4" w:space="0"/>
              <w:bottom w:val="single" w:color="auto" w:sz="4" w:space="0"/>
              <w:right w:val="single" w:color="auto" w:sz="4" w:space="0"/>
            </w:tcBorders>
            <w:vAlign w:val="center"/>
          </w:tcPr>
          <w:p w14:paraId="0D64364D">
            <w:pPr>
              <w:keepLines/>
              <w:pageBreakBefore w:val="0"/>
              <w:wordWrap w:val="0"/>
              <w:overflowPunct/>
              <w:topLinePunct w:val="0"/>
              <w:autoSpaceDE w:val="0"/>
              <w:autoSpaceDN w:val="0"/>
              <w:bidi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电子采购合同需要供应商通过有效CA证书进行电子签署</w:t>
            </w:r>
          </w:p>
        </w:tc>
      </w:tr>
      <w:tr w14:paraId="725BD6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B7756F4">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38.2.1</w:t>
            </w:r>
          </w:p>
        </w:tc>
        <w:tc>
          <w:tcPr>
            <w:tcW w:w="2566" w:type="dxa"/>
            <w:tcBorders>
              <w:top w:val="single" w:color="auto" w:sz="4" w:space="0"/>
              <w:left w:val="single" w:color="auto" w:sz="4" w:space="0"/>
              <w:bottom w:val="single" w:color="auto" w:sz="4" w:space="0"/>
              <w:right w:val="single" w:color="auto" w:sz="4" w:space="0"/>
            </w:tcBorders>
            <w:vAlign w:val="center"/>
          </w:tcPr>
          <w:p w14:paraId="2478DC2A">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接收质疑函方式</w:t>
            </w:r>
          </w:p>
        </w:tc>
        <w:tc>
          <w:tcPr>
            <w:tcW w:w="6999" w:type="dxa"/>
            <w:tcBorders>
              <w:top w:val="single" w:color="auto" w:sz="4" w:space="0"/>
              <w:left w:val="single" w:color="auto" w:sz="4" w:space="0"/>
              <w:bottom w:val="single" w:color="auto" w:sz="4" w:space="0"/>
              <w:right w:val="single" w:color="auto" w:sz="4" w:space="0"/>
            </w:tcBorders>
            <w:vAlign w:val="center"/>
          </w:tcPr>
          <w:p w14:paraId="427A10A6">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以书面形式</w:t>
            </w:r>
          </w:p>
        </w:tc>
      </w:tr>
      <w:tr w14:paraId="59630E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35FAECC">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1BCCC5B1">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质疑联系部门及联系方式</w:t>
            </w:r>
          </w:p>
        </w:tc>
        <w:tc>
          <w:tcPr>
            <w:tcW w:w="6999" w:type="dxa"/>
            <w:tcBorders>
              <w:top w:val="single" w:color="auto" w:sz="4" w:space="0"/>
              <w:left w:val="single" w:color="auto" w:sz="4" w:space="0"/>
              <w:bottom w:val="single" w:color="auto" w:sz="4" w:space="0"/>
              <w:right w:val="single" w:color="auto" w:sz="4" w:space="0"/>
            </w:tcBorders>
            <w:vAlign w:val="center"/>
          </w:tcPr>
          <w:p w14:paraId="4CD7C575">
            <w:pPr>
              <w:keepLines/>
              <w:pageBreakBefore w:val="0"/>
              <w:wordWrap w:val="0"/>
              <w:overflowPunct/>
              <w:topLinePunct w:val="0"/>
              <w:bidi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（1）</w:t>
            </w:r>
            <w:bookmarkStart w:id="30" w:name="PO_3000001866_PM031_3"/>
            <w:r>
              <w:rPr>
                <w:rFonts w:hint="eastAsia" w:ascii="宋体" w:hAnsi="宋体" w:cs="宋体"/>
                <w:color w:val="auto"/>
                <w:sz w:val="24"/>
                <w:highlight w:val="none"/>
                <w:u w:val="single"/>
              </w:rPr>
              <w:t>广西邕政采购代理有限公司</w:t>
            </w:r>
            <w:bookmarkEnd w:id="30"/>
            <w:r>
              <w:rPr>
                <w:rFonts w:hint="eastAsia" w:ascii="宋体" w:hAnsi="宋体" w:cs="宋体"/>
                <w:color w:val="auto"/>
                <w:sz w:val="24"/>
                <w:highlight w:val="none"/>
                <w:u w:val="single"/>
              </w:rPr>
              <w:t>；</w:t>
            </w:r>
          </w:p>
          <w:p w14:paraId="479BACF3">
            <w:pPr>
              <w:keepLines/>
              <w:pageBreakBefore w:val="0"/>
              <w:wordWrap w:val="0"/>
              <w:overflowPunct/>
              <w:topLinePunct w:val="0"/>
              <w:bidi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联系电话：0771-2225338，</w:t>
            </w:r>
          </w:p>
          <w:p w14:paraId="0B45538F">
            <w:pPr>
              <w:keepLines/>
              <w:pageBreakBefore w:val="0"/>
              <w:wordWrap w:val="0"/>
              <w:overflowPunct/>
              <w:topLinePunct w:val="0"/>
              <w:bidi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通讯地址：南宁市青秀区民族大道180号（</w:t>
            </w:r>
            <w:r>
              <w:rPr>
                <w:rFonts w:hint="eastAsia" w:ascii="宋体" w:hAnsi="宋体" w:cs="宋体"/>
                <w:color w:val="auto"/>
                <w:sz w:val="24"/>
                <w:highlight w:val="none"/>
                <w:u w:val="single"/>
                <w:lang w:eastAsia="zh-CN"/>
              </w:rPr>
              <w:t>威壮大厦</w:t>
            </w:r>
            <w:r>
              <w:rPr>
                <w:rFonts w:hint="eastAsia" w:ascii="宋体" w:hAnsi="宋体" w:cs="宋体"/>
                <w:color w:val="auto"/>
                <w:sz w:val="24"/>
                <w:highlight w:val="none"/>
                <w:u w:val="single"/>
              </w:rPr>
              <w:t xml:space="preserve">）22层2210～2217室 </w:t>
            </w:r>
          </w:p>
          <w:p w14:paraId="4312824D">
            <w:pPr>
              <w:keepLines/>
              <w:pageBreakBefore w:val="0"/>
              <w:wordWrap w:val="0"/>
              <w:overflowPunct/>
              <w:topLinePunct w:val="0"/>
              <w:bidi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（2）</w:t>
            </w:r>
            <w:r>
              <w:rPr>
                <w:rFonts w:hint="eastAsia" w:ascii="宋体" w:hAnsi="宋体" w:cs="宋体"/>
                <w:color w:val="auto"/>
                <w:sz w:val="24"/>
                <w:highlight w:val="none"/>
                <w:u w:val="single"/>
                <w:lang w:eastAsia="zh-CN"/>
              </w:rPr>
              <w:t>南宁市第一人民医院</w:t>
            </w:r>
            <w:r>
              <w:rPr>
                <w:rFonts w:hint="eastAsia" w:ascii="宋体" w:hAnsi="宋体" w:cs="宋体"/>
                <w:color w:val="auto"/>
                <w:sz w:val="24"/>
                <w:highlight w:val="none"/>
                <w:u w:val="single"/>
              </w:rPr>
              <w:t>；</w:t>
            </w:r>
          </w:p>
          <w:p w14:paraId="34A15129">
            <w:pPr>
              <w:keepLines/>
              <w:pageBreakBefore w:val="0"/>
              <w:wordWrap w:val="0"/>
              <w:overflowPunct/>
              <w:topLinePunct w:val="0"/>
              <w:bidi w:val="0"/>
              <w:snapToGrid w:val="0"/>
              <w:spacing w:line="360" w:lineRule="auto"/>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u w:val="single"/>
              </w:rPr>
              <w:t>联系电话：</w:t>
            </w:r>
            <w:r>
              <w:rPr>
                <w:rFonts w:hint="eastAsia" w:ascii="宋体" w:hAnsi="宋体" w:cs="宋体"/>
                <w:color w:val="auto"/>
                <w:sz w:val="24"/>
                <w:highlight w:val="none"/>
                <w:u w:val="single"/>
                <w:lang w:eastAsia="zh-CN"/>
              </w:rPr>
              <w:t>0771-2636272</w:t>
            </w:r>
          </w:p>
          <w:p w14:paraId="0F96E6B5">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u w:val="single"/>
              </w:rPr>
              <w:t>通讯地址：</w:t>
            </w:r>
            <w:r>
              <w:rPr>
                <w:rFonts w:hint="eastAsia" w:ascii="宋体" w:hAnsi="宋体" w:cs="Arial"/>
                <w:bCs/>
                <w:color w:val="auto"/>
                <w:kern w:val="0"/>
                <w:sz w:val="24"/>
                <w:highlight w:val="none"/>
                <w:u w:val="single"/>
                <w:lang w:eastAsia="zh-CN"/>
              </w:rPr>
              <w:t>广西南宁市七星路89号</w:t>
            </w:r>
            <w:r>
              <w:rPr>
                <w:rFonts w:hint="eastAsia" w:ascii="宋体" w:hAnsi="宋体" w:cs="宋体"/>
                <w:color w:val="auto"/>
                <w:sz w:val="24"/>
                <w:highlight w:val="none"/>
              </w:rPr>
              <w:t xml:space="preserve"> </w:t>
            </w:r>
          </w:p>
        </w:tc>
      </w:tr>
      <w:tr w14:paraId="2F660A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DE255D5">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47916CD8">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现场提交质疑办理业务时间</w:t>
            </w:r>
          </w:p>
        </w:tc>
        <w:tc>
          <w:tcPr>
            <w:tcW w:w="6999" w:type="dxa"/>
            <w:tcBorders>
              <w:top w:val="single" w:color="auto" w:sz="4" w:space="0"/>
              <w:left w:val="single" w:color="auto" w:sz="4" w:space="0"/>
              <w:bottom w:val="single" w:color="auto" w:sz="4" w:space="0"/>
              <w:right w:val="single" w:color="auto" w:sz="4" w:space="0"/>
            </w:tcBorders>
            <w:vAlign w:val="center"/>
          </w:tcPr>
          <w:p w14:paraId="31FE15E3">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质疑期内每个工作日</w:t>
            </w:r>
            <w:r>
              <w:rPr>
                <w:rFonts w:hint="eastAsia" w:ascii="宋体" w:hAnsi="宋体" w:cs="宋体"/>
                <w:color w:val="auto"/>
                <w:sz w:val="24"/>
                <w:highlight w:val="none"/>
                <w:u w:val="single"/>
              </w:rPr>
              <w:t xml:space="preserve"> 09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30 </w:t>
            </w:r>
            <w:r>
              <w:rPr>
                <w:rFonts w:hint="eastAsia" w:ascii="宋体" w:hAnsi="宋体" w:cs="宋体"/>
                <w:color w:val="auto"/>
                <w:sz w:val="24"/>
                <w:highlight w:val="none"/>
              </w:rPr>
              <w:t>分到</w:t>
            </w:r>
            <w:r>
              <w:rPr>
                <w:rFonts w:hint="eastAsia" w:ascii="宋体" w:hAnsi="宋体" w:cs="宋体"/>
                <w:color w:val="auto"/>
                <w:sz w:val="24"/>
                <w:highlight w:val="none"/>
                <w:u w:val="single"/>
              </w:rPr>
              <w:t xml:space="preserve"> 12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00 </w:t>
            </w:r>
            <w:r>
              <w:rPr>
                <w:rFonts w:hint="eastAsia" w:ascii="宋体" w:hAnsi="宋体" w:cs="宋体"/>
                <w:color w:val="auto"/>
                <w:sz w:val="24"/>
                <w:highlight w:val="none"/>
              </w:rPr>
              <w:t>分，</w:t>
            </w:r>
            <w:r>
              <w:rPr>
                <w:rFonts w:hint="eastAsia" w:ascii="宋体" w:hAnsi="宋体" w:cs="宋体"/>
                <w:color w:val="auto"/>
                <w:sz w:val="24"/>
                <w:highlight w:val="none"/>
                <w:u w:val="single"/>
              </w:rPr>
              <w:t xml:space="preserve"> 15</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00 </w:t>
            </w:r>
            <w:r>
              <w:rPr>
                <w:rFonts w:hint="eastAsia" w:ascii="宋体" w:hAnsi="宋体" w:cs="宋体"/>
                <w:color w:val="auto"/>
                <w:sz w:val="24"/>
                <w:highlight w:val="none"/>
              </w:rPr>
              <w:t>分到</w:t>
            </w:r>
            <w:r>
              <w:rPr>
                <w:rFonts w:hint="eastAsia" w:ascii="宋体" w:hAnsi="宋体" w:cs="宋体"/>
                <w:color w:val="auto"/>
                <w:sz w:val="24"/>
                <w:highlight w:val="none"/>
                <w:u w:val="single"/>
              </w:rPr>
              <w:t xml:space="preserve"> 18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00 </w:t>
            </w:r>
            <w:r>
              <w:rPr>
                <w:rFonts w:hint="eastAsia" w:ascii="宋体" w:hAnsi="宋体" w:cs="宋体"/>
                <w:color w:val="auto"/>
                <w:sz w:val="24"/>
                <w:highlight w:val="none"/>
              </w:rPr>
              <w:t>分</w:t>
            </w:r>
          </w:p>
        </w:tc>
      </w:tr>
      <w:tr w14:paraId="29C06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vAlign w:val="center"/>
          </w:tcPr>
          <w:p w14:paraId="7A1BBE0E">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38.3.1</w:t>
            </w:r>
          </w:p>
        </w:tc>
        <w:tc>
          <w:tcPr>
            <w:tcW w:w="2566" w:type="dxa"/>
            <w:tcBorders>
              <w:top w:val="single" w:color="auto" w:sz="4" w:space="0"/>
              <w:left w:val="single" w:color="auto" w:sz="4" w:space="0"/>
              <w:bottom w:val="single" w:color="auto" w:sz="4" w:space="0"/>
              <w:right w:val="single" w:color="auto" w:sz="4" w:space="0"/>
            </w:tcBorders>
            <w:vAlign w:val="center"/>
          </w:tcPr>
          <w:p w14:paraId="2DAB39ED">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投诉受理方式</w:t>
            </w:r>
          </w:p>
        </w:tc>
        <w:tc>
          <w:tcPr>
            <w:tcW w:w="6999" w:type="dxa"/>
            <w:tcBorders>
              <w:top w:val="single" w:color="auto" w:sz="4" w:space="0"/>
              <w:left w:val="single" w:color="auto" w:sz="4" w:space="0"/>
              <w:bottom w:val="single" w:color="auto" w:sz="4" w:space="0"/>
              <w:right w:val="single" w:color="auto" w:sz="4" w:space="0"/>
            </w:tcBorders>
            <w:vAlign w:val="center"/>
          </w:tcPr>
          <w:p w14:paraId="182D97D1">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1、受理方式：纸质方式受理，投诉书正、副本（经过质疑的事项才可投诉）。</w:t>
            </w:r>
          </w:p>
          <w:p w14:paraId="61647A4C">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2、邮寄地址：</w:t>
            </w:r>
          </w:p>
          <w:p w14:paraId="63E89F82">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名称：</w:t>
            </w:r>
            <w:bookmarkStart w:id="31" w:name="PO_3000001866_PM036"/>
            <w:r>
              <w:rPr>
                <w:rFonts w:hint="eastAsia" w:ascii="宋体" w:hAnsi="宋体" w:cs="宋体"/>
                <w:color w:val="auto"/>
                <w:sz w:val="24"/>
                <w:highlight w:val="none"/>
              </w:rPr>
              <w:t>南宁市财政局政府采购监督管理科</w:t>
            </w:r>
            <w:bookmarkEnd w:id="31"/>
          </w:p>
          <w:p w14:paraId="2D1611EA">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bookmarkStart w:id="32" w:name="PO_3000001866_PM039"/>
            <w:r>
              <w:rPr>
                <w:rFonts w:hint="eastAsia" w:ascii="宋体" w:hAnsi="宋体" w:cs="宋体"/>
                <w:color w:val="auto"/>
                <w:sz w:val="24"/>
                <w:highlight w:val="none"/>
              </w:rPr>
              <w:t xml:space="preserve">南宁市东葛路129号   </w:t>
            </w:r>
            <w:bookmarkEnd w:id="32"/>
          </w:p>
          <w:p w14:paraId="40B37191">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bookmarkStart w:id="33" w:name="PO_3000001866_PM038_1"/>
            <w:r>
              <w:rPr>
                <w:rFonts w:hint="eastAsia" w:ascii="宋体" w:hAnsi="宋体" w:cs="宋体"/>
                <w:color w:val="auto"/>
                <w:sz w:val="24"/>
                <w:highlight w:val="none"/>
              </w:rPr>
              <w:t>0771-2189091</w:t>
            </w:r>
            <w:bookmarkEnd w:id="33"/>
          </w:p>
        </w:tc>
      </w:tr>
      <w:tr w14:paraId="72AB8F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4C157735">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40</w:t>
            </w:r>
          </w:p>
        </w:tc>
        <w:tc>
          <w:tcPr>
            <w:tcW w:w="2566" w:type="dxa"/>
            <w:tcBorders>
              <w:top w:val="single" w:color="auto" w:sz="4" w:space="0"/>
              <w:left w:val="single" w:color="auto" w:sz="4" w:space="0"/>
              <w:bottom w:val="single" w:color="auto" w:sz="4" w:space="0"/>
              <w:right w:val="single" w:color="auto" w:sz="4" w:space="0"/>
            </w:tcBorders>
            <w:vAlign w:val="center"/>
          </w:tcPr>
          <w:p w14:paraId="1BE51D09">
            <w:pPr>
              <w:keepLines/>
              <w:pageBreakBefore w:val="0"/>
              <w:wordWrap w:val="0"/>
              <w:overflowPunct/>
              <w:topLinePunct w:val="0"/>
              <w:bidi w:val="0"/>
              <w:spacing w:line="360" w:lineRule="auto"/>
              <w:rPr>
                <w:rFonts w:ascii="宋体" w:hAnsi="宋体" w:cs="宋体"/>
                <w:color w:val="auto"/>
                <w:sz w:val="24"/>
                <w:highlight w:val="none"/>
              </w:rPr>
            </w:pPr>
            <w:bookmarkStart w:id="34" w:name="_41"/>
            <w:bookmarkEnd w:id="34"/>
            <w:bookmarkStart w:id="35" w:name="_42"/>
            <w:bookmarkEnd w:id="35"/>
            <w:r>
              <w:rPr>
                <w:rFonts w:hint="eastAsia" w:ascii="宋体" w:hAnsi="宋体" w:cs="宋体"/>
                <w:color w:val="auto"/>
                <w:sz w:val="24"/>
                <w:highlight w:val="none"/>
              </w:rPr>
              <w:t>采购代理费支付方式</w:t>
            </w:r>
          </w:p>
        </w:tc>
        <w:tc>
          <w:tcPr>
            <w:tcW w:w="6999" w:type="dxa"/>
            <w:tcBorders>
              <w:top w:val="single" w:color="auto" w:sz="4" w:space="0"/>
              <w:left w:val="single" w:color="auto" w:sz="4" w:space="0"/>
              <w:bottom w:val="single" w:color="auto" w:sz="4" w:space="0"/>
              <w:right w:val="single" w:color="auto" w:sz="4" w:space="0"/>
            </w:tcBorders>
            <w:vAlign w:val="center"/>
          </w:tcPr>
          <w:p w14:paraId="18FAF878">
            <w:pPr>
              <w:pStyle w:val="14"/>
              <w:keepLines/>
              <w:pageBreakBefore w:val="0"/>
              <w:wordWrap w:val="0"/>
              <w:overflowPunct/>
              <w:topLinePunct w:val="0"/>
              <w:bidi w:val="0"/>
              <w:snapToGrid w:val="0"/>
              <w:spacing w:line="360" w:lineRule="auto"/>
              <w:rPr>
                <w:rFonts w:hAnsi="宋体" w:cs="宋体"/>
                <w:color w:val="auto"/>
                <w:sz w:val="24"/>
                <w:szCs w:val="24"/>
                <w:highlight w:val="none"/>
              </w:rPr>
            </w:pPr>
            <w:r>
              <w:rPr>
                <w:rFonts w:hint="eastAsia" w:hAnsi="宋体" w:cs="宋体"/>
                <w:color w:val="auto"/>
                <w:sz w:val="24"/>
                <w:szCs w:val="24"/>
                <w:highlight w:val="none"/>
              </w:rPr>
              <w:t>☑本项目代理服务费由</w:t>
            </w:r>
            <w:r>
              <w:rPr>
                <w:rFonts w:hint="eastAsia" w:hAnsi="宋体" w:cs="宋体"/>
                <w:color w:val="auto"/>
                <w:sz w:val="24"/>
                <w:szCs w:val="24"/>
                <w:highlight w:val="none"/>
                <w:u w:val="single"/>
              </w:rPr>
              <w:t>中标供应商</w:t>
            </w:r>
            <w:r>
              <w:rPr>
                <w:rFonts w:hint="eastAsia" w:hAnsi="宋体" w:cs="宋体"/>
                <w:color w:val="auto"/>
                <w:sz w:val="24"/>
                <w:szCs w:val="24"/>
                <w:highlight w:val="none"/>
              </w:rPr>
              <w:t>在领取中标通知书时，一次性向采购代理机构支付。</w:t>
            </w:r>
          </w:p>
          <w:p w14:paraId="14B94A5E">
            <w:pPr>
              <w:pStyle w:val="14"/>
              <w:keepLines/>
              <w:pageBreakBefore w:val="0"/>
              <w:wordWrap w:val="0"/>
              <w:overflowPunct/>
              <w:topLinePunct w:val="0"/>
              <w:bidi w:val="0"/>
              <w:snapToGrid w:val="0"/>
              <w:spacing w:line="360" w:lineRule="auto"/>
              <w:rPr>
                <w:rFonts w:hAnsi="宋体" w:cs="宋体"/>
                <w:color w:val="auto"/>
                <w:sz w:val="24"/>
                <w:szCs w:val="24"/>
                <w:highlight w:val="none"/>
              </w:rPr>
            </w:pPr>
            <w:r>
              <w:rPr>
                <w:rFonts w:hint="eastAsia" w:hAnsi="宋体" w:cs="宋体"/>
                <w:color w:val="auto"/>
                <w:sz w:val="24"/>
                <w:szCs w:val="24"/>
                <w:highlight w:val="none"/>
              </w:rPr>
              <w:t>□采购人支付。</w:t>
            </w:r>
          </w:p>
          <w:p w14:paraId="50EFA0C3">
            <w:pPr>
              <w:pStyle w:val="14"/>
              <w:keepLines/>
              <w:pageBreakBefore w:val="0"/>
              <w:wordWrap w:val="0"/>
              <w:overflowPunct/>
              <w:topLinePunct w:val="0"/>
              <w:bidi w:val="0"/>
              <w:snapToGrid w:val="0"/>
              <w:spacing w:line="360" w:lineRule="auto"/>
              <w:rPr>
                <w:rFonts w:hAnsi="宋体" w:cs="宋体"/>
                <w:color w:val="auto"/>
                <w:sz w:val="24"/>
                <w:szCs w:val="24"/>
                <w:highlight w:val="none"/>
              </w:rPr>
            </w:pPr>
            <w:r>
              <w:rPr>
                <w:rFonts w:hint="eastAsia" w:hAnsi="宋体" w:cs="宋体"/>
                <w:color w:val="auto"/>
                <w:sz w:val="24"/>
                <w:szCs w:val="24"/>
                <w:highlight w:val="none"/>
              </w:rPr>
              <w:t>□本项目不收取代理服务费。</w:t>
            </w:r>
          </w:p>
        </w:tc>
      </w:tr>
      <w:tr w14:paraId="04FF4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7"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A0C153D">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65D4862B">
            <w:pPr>
              <w:keepLines/>
              <w:pageBreakBefore w:val="0"/>
              <w:wordWrap w:val="0"/>
              <w:overflowPunct/>
              <w:topLinePunct w:val="0"/>
              <w:bidi w:val="0"/>
              <w:spacing w:line="360" w:lineRule="auto"/>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采购代理费收取标准</w:t>
            </w:r>
          </w:p>
        </w:tc>
        <w:tc>
          <w:tcPr>
            <w:tcW w:w="6999" w:type="dxa"/>
            <w:tcBorders>
              <w:top w:val="single" w:color="auto" w:sz="4" w:space="0"/>
              <w:left w:val="single" w:color="auto" w:sz="4" w:space="0"/>
              <w:bottom w:val="single" w:color="auto" w:sz="4" w:space="0"/>
              <w:right w:val="single" w:color="auto" w:sz="4" w:space="0"/>
            </w:tcBorders>
            <w:vAlign w:val="center"/>
          </w:tcPr>
          <w:p w14:paraId="52070FDE">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1. 是否收取采购代理费：</w:t>
            </w:r>
          </w:p>
          <w:p w14:paraId="7A3D64A8">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是    □ 否</w:t>
            </w:r>
          </w:p>
          <w:p w14:paraId="10526550">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2.采购代理费支付方式：</w:t>
            </w:r>
          </w:p>
          <w:p w14:paraId="6C83872D">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本项目代理服务费由</w:t>
            </w:r>
            <w:r>
              <w:rPr>
                <w:rFonts w:hint="eastAsia" w:asciiTheme="minorEastAsia" w:hAnsiTheme="minorEastAsia" w:eastAsiaTheme="minorEastAsia" w:cstheme="minorEastAsia"/>
                <w:color w:val="auto"/>
                <w:kern w:val="0"/>
                <w:sz w:val="24"/>
                <w:highlight w:val="none"/>
                <w:u w:val="single"/>
                <w:lang w:bidi="ar"/>
              </w:rPr>
              <w:t>中标供应商</w:t>
            </w:r>
            <w:r>
              <w:rPr>
                <w:rFonts w:hint="eastAsia" w:asciiTheme="minorEastAsia" w:hAnsiTheme="minorEastAsia" w:eastAsiaTheme="minorEastAsia" w:cstheme="minorEastAsia"/>
                <w:color w:val="auto"/>
                <w:kern w:val="0"/>
                <w:sz w:val="24"/>
                <w:highlight w:val="none"/>
                <w:lang w:bidi="ar"/>
              </w:rPr>
              <w:t>领取</w:t>
            </w:r>
            <w:r>
              <w:rPr>
                <w:rFonts w:hint="eastAsia" w:asciiTheme="minorEastAsia" w:hAnsiTheme="minorEastAsia" w:eastAsiaTheme="minorEastAsia" w:cstheme="minorEastAsia"/>
                <w:color w:val="auto"/>
                <w:kern w:val="0"/>
                <w:sz w:val="24"/>
                <w:highlight w:val="none"/>
                <w:lang w:val="en-US" w:eastAsia="zh-CN" w:bidi="ar"/>
              </w:rPr>
              <w:t>中标</w:t>
            </w:r>
            <w:r>
              <w:rPr>
                <w:rFonts w:hint="eastAsia" w:asciiTheme="minorEastAsia" w:hAnsiTheme="minorEastAsia" w:eastAsiaTheme="minorEastAsia" w:cstheme="minorEastAsia"/>
                <w:color w:val="auto"/>
                <w:kern w:val="0"/>
                <w:sz w:val="24"/>
                <w:highlight w:val="none"/>
                <w:lang w:bidi="ar"/>
              </w:rPr>
              <w:t>通知书</w:t>
            </w:r>
            <w:r>
              <w:rPr>
                <w:rFonts w:hint="eastAsia" w:asciiTheme="minorEastAsia" w:hAnsiTheme="minorEastAsia" w:eastAsiaTheme="minorEastAsia" w:cstheme="minorEastAsia"/>
                <w:color w:val="auto"/>
                <w:kern w:val="0"/>
                <w:sz w:val="24"/>
                <w:highlight w:val="none"/>
                <w:lang w:val="en-US" w:eastAsia="zh-CN" w:bidi="ar"/>
              </w:rPr>
              <w:t>时</w:t>
            </w:r>
            <w:r>
              <w:rPr>
                <w:rFonts w:hint="eastAsia" w:asciiTheme="minorEastAsia" w:hAnsiTheme="minorEastAsia" w:eastAsiaTheme="minorEastAsia" w:cstheme="minorEastAsia"/>
                <w:color w:val="auto"/>
                <w:kern w:val="0"/>
                <w:sz w:val="24"/>
                <w:highlight w:val="none"/>
                <w:lang w:bidi="ar"/>
              </w:rPr>
              <w:t>，一次性向采购代理机构支付。</w:t>
            </w:r>
          </w:p>
          <w:p w14:paraId="3296C254">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□采购人支付。</w:t>
            </w:r>
          </w:p>
          <w:p w14:paraId="1BCED224">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3.采购代理费收取标准：</w:t>
            </w:r>
          </w:p>
          <w:p w14:paraId="31F8C9FC">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以分标（</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中标（成交）金额/</w:t>
            </w:r>
            <w:r>
              <w:rPr>
                <w:rFonts w:hint="eastAsia" w:asciiTheme="minorEastAsia" w:hAnsiTheme="minorEastAsia" w:eastAsiaTheme="minorEastAsia" w:cstheme="minorEastAsia"/>
                <w:color w:val="auto"/>
                <w:sz w:val="24"/>
                <w:highlight w:val="none"/>
                <w:lang w:bidi="ar"/>
              </w:rPr>
              <w:sym w:font="Wingdings 2" w:char="00A3"/>
            </w:r>
            <w:r>
              <w:rPr>
                <w:rFonts w:hint="eastAsia" w:asciiTheme="minorEastAsia" w:hAnsiTheme="minorEastAsia" w:eastAsiaTheme="minorEastAsia" w:cstheme="minorEastAsia"/>
                <w:color w:val="auto"/>
                <w:sz w:val="24"/>
                <w:highlight w:val="none"/>
                <w:lang w:bidi="ar"/>
              </w:rPr>
              <w:t>采购预算/□暂定成交金额/□其他</w:t>
            </w:r>
            <w:r>
              <w:rPr>
                <w:rFonts w:hint="eastAsia" w:asciiTheme="minorEastAsia" w:hAnsiTheme="minorEastAsia" w:eastAsiaTheme="minorEastAsia" w:cstheme="minorEastAsia"/>
                <w:color w:val="auto"/>
                <w:sz w:val="24"/>
                <w:highlight w:val="none"/>
                <w:u w:val="single"/>
                <w:lang w:val="en-US" w:eastAsia="zh-CN" w:bidi="ar"/>
              </w:rPr>
              <w:t xml:space="preserve">      </w:t>
            </w:r>
            <w:r>
              <w:rPr>
                <w:rFonts w:hint="eastAsia" w:asciiTheme="minorEastAsia" w:hAnsiTheme="minorEastAsia" w:eastAsiaTheme="minorEastAsia" w:cstheme="minorEastAsia"/>
                <w:color w:val="auto"/>
                <w:sz w:val="24"/>
                <w:highlight w:val="none"/>
                <w:lang w:bidi="ar"/>
              </w:rPr>
              <w:t>）为计费额，</w:t>
            </w:r>
          </w:p>
          <w:p w14:paraId="53A942BA">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按</w:t>
            </w:r>
            <w:r>
              <w:rPr>
                <w:rFonts w:hint="eastAsia" w:asciiTheme="minorEastAsia" w:hAnsiTheme="minorEastAsia" w:eastAsiaTheme="minorEastAsia" w:cstheme="minorEastAsia"/>
                <w:color w:val="auto"/>
                <w:sz w:val="24"/>
                <w:highlight w:val="none"/>
                <w:u w:val="single"/>
                <w:lang w:bidi="ar"/>
              </w:rPr>
              <w:t>服务类</w:t>
            </w:r>
            <w:r>
              <w:rPr>
                <w:rFonts w:hint="eastAsia" w:asciiTheme="minorEastAsia" w:hAnsiTheme="minorEastAsia" w:eastAsiaTheme="minorEastAsia" w:cstheme="minorEastAsia"/>
                <w:color w:val="auto"/>
                <w:sz w:val="24"/>
                <w:highlight w:val="none"/>
                <w:lang w:bidi="ar"/>
              </w:rPr>
              <w:t>采用差额定率累进法计算出收费基准价格，采购代理收费以（</w:t>
            </w:r>
            <w:r>
              <w:rPr>
                <w:rFonts w:hint="eastAsia" w:asciiTheme="minorEastAsia" w:hAnsiTheme="minorEastAsia" w:eastAsiaTheme="minorEastAsia" w:cstheme="minorEastAsia"/>
                <w:color w:val="auto"/>
                <w:sz w:val="24"/>
                <w:highlight w:val="none"/>
                <w:lang w:bidi="ar"/>
              </w:rPr>
              <w:sym w:font="Wingdings 2" w:char="00A3"/>
            </w:r>
            <w:r>
              <w:rPr>
                <w:rFonts w:hint="eastAsia" w:asciiTheme="minorEastAsia" w:hAnsiTheme="minorEastAsia" w:eastAsiaTheme="minorEastAsia" w:cstheme="minorEastAsia"/>
                <w:color w:val="auto"/>
                <w:sz w:val="24"/>
                <w:highlight w:val="none"/>
                <w:lang w:bidi="ar"/>
              </w:rPr>
              <w:t>收费基准价格/</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收费基准价下浮</w:t>
            </w:r>
            <w:r>
              <w:rPr>
                <w:rFonts w:hint="eastAsia" w:asciiTheme="minorEastAsia" w:hAnsiTheme="minorEastAsia" w:eastAsiaTheme="minorEastAsia" w:cstheme="minorEastAsia"/>
                <w:color w:val="auto"/>
                <w:sz w:val="24"/>
                <w:highlight w:val="none"/>
                <w:u w:val="single"/>
                <w:lang w:val="en-US" w:eastAsia="zh-CN" w:bidi="ar"/>
              </w:rPr>
              <w:t xml:space="preserve"> 20%</w:t>
            </w:r>
            <w:r>
              <w:rPr>
                <w:rFonts w:hint="eastAsia" w:asciiTheme="minorEastAsia" w:hAnsiTheme="minorEastAsia" w:eastAsiaTheme="minorEastAsia" w:cstheme="minorEastAsia"/>
                <w:color w:val="auto"/>
                <w:sz w:val="24"/>
                <w:highlight w:val="none"/>
                <w:lang w:bidi="ar"/>
              </w:rPr>
              <w:t>/□收费基准价格上浮</w:t>
            </w:r>
            <w:r>
              <w:rPr>
                <w:rFonts w:hint="eastAsia" w:asciiTheme="minorEastAsia" w:hAnsiTheme="minorEastAsia" w:eastAsiaTheme="minorEastAsia" w:cstheme="minorEastAsia"/>
                <w:color w:val="auto"/>
                <w:sz w:val="24"/>
                <w:highlight w:val="none"/>
                <w:u w:val="single"/>
                <w:lang w:bidi="ar"/>
              </w:rPr>
              <w:t xml:space="preserve"> </w:t>
            </w:r>
            <w:r>
              <w:rPr>
                <w:rFonts w:hint="eastAsia" w:asciiTheme="minorEastAsia" w:hAnsiTheme="minorEastAsia" w:eastAsiaTheme="minorEastAsia" w:cstheme="minorEastAsia"/>
                <w:color w:val="auto"/>
                <w:sz w:val="24"/>
                <w:highlight w:val="none"/>
                <w:u w:val="single"/>
                <w:lang w:val="en-US" w:eastAsia="zh-CN" w:bidi="ar"/>
              </w:rPr>
              <w:t xml:space="preserve">   </w:t>
            </w:r>
            <w:r>
              <w:rPr>
                <w:rFonts w:hint="eastAsia" w:asciiTheme="minorEastAsia" w:hAnsiTheme="minorEastAsia" w:eastAsiaTheme="minorEastAsia" w:cstheme="minorEastAsia"/>
                <w:color w:val="auto"/>
                <w:sz w:val="24"/>
                <w:highlight w:val="none"/>
                <w:u w:val="single"/>
                <w:lang w:bidi="ar"/>
              </w:rPr>
              <w:t xml:space="preserve"> %</w:t>
            </w:r>
            <w:r>
              <w:rPr>
                <w:rFonts w:hint="eastAsia" w:asciiTheme="minorEastAsia" w:hAnsiTheme="minorEastAsia" w:eastAsiaTheme="minorEastAsia" w:cstheme="minorEastAsia"/>
                <w:color w:val="auto"/>
                <w:sz w:val="24"/>
                <w:highlight w:val="none"/>
                <w:lang w:bidi="ar"/>
              </w:rPr>
              <w:t>）计算。</w:t>
            </w:r>
          </w:p>
          <w:p w14:paraId="3153DA56">
            <w:pPr>
              <w:keepLines/>
              <w:pageBreakBefore w:val="0"/>
              <w:wordWrap w:val="0"/>
              <w:overflowPunct/>
              <w:topLinePunct w:val="0"/>
              <w:bidi w:val="0"/>
              <w:snapToGrid w:val="0"/>
              <w:spacing w:line="360" w:lineRule="auto"/>
              <w:rPr>
                <w:color w:val="auto"/>
                <w:highlight w:val="none"/>
              </w:rPr>
            </w:pPr>
            <w:r>
              <w:rPr>
                <w:rFonts w:hint="eastAsia" w:asciiTheme="minorEastAsia" w:hAnsiTheme="minorEastAsia" w:eastAsiaTheme="minorEastAsia" w:cstheme="minorEastAsia"/>
                <w:color w:val="auto"/>
                <w:kern w:val="0"/>
                <w:sz w:val="24"/>
                <w:highlight w:val="none"/>
                <w:lang w:eastAsia="zh-CN" w:bidi="ar"/>
              </w:rPr>
              <w:t>□</w:t>
            </w:r>
            <w:r>
              <w:rPr>
                <w:rFonts w:hint="eastAsia" w:asciiTheme="minorEastAsia" w:hAnsiTheme="minorEastAsia" w:eastAsiaTheme="minorEastAsia" w:cstheme="minorEastAsia"/>
                <w:color w:val="auto"/>
                <w:sz w:val="24"/>
                <w:highlight w:val="none"/>
                <w:lang w:bidi="ar"/>
              </w:rPr>
              <w:t>固定采购代理收费</w:t>
            </w:r>
            <w:r>
              <w:rPr>
                <w:rFonts w:hint="eastAsia" w:asciiTheme="minorEastAsia" w:hAnsiTheme="minorEastAsia" w:eastAsiaTheme="minorEastAsia" w:cstheme="minorEastAsia"/>
                <w:color w:val="auto"/>
                <w:sz w:val="24"/>
                <w:highlight w:val="none"/>
                <w:u w:val="single"/>
                <w:lang w:bidi="ar"/>
              </w:rPr>
              <w:t xml:space="preserve"> </w:t>
            </w:r>
            <w:r>
              <w:rPr>
                <w:rFonts w:hint="eastAsia" w:asciiTheme="minorEastAsia" w:hAnsiTheme="minorEastAsia" w:eastAsiaTheme="minorEastAsia" w:cstheme="minorEastAsia"/>
                <w:color w:val="auto"/>
                <w:sz w:val="24"/>
                <w:highlight w:val="none"/>
                <w:u w:val="single"/>
                <w:lang w:val="en-US" w:eastAsia="zh-CN" w:bidi="ar"/>
              </w:rPr>
              <w:t xml:space="preserve">          </w:t>
            </w:r>
            <w:r>
              <w:rPr>
                <w:rFonts w:hint="eastAsia" w:asciiTheme="minorEastAsia" w:hAnsiTheme="minorEastAsia" w:eastAsiaTheme="minorEastAsia" w:cstheme="minorEastAsia"/>
                <w:color w:val="auto"/>
                <w:sz w:val="24"/>
                <w:highlight w:val="none"/>
                <w:u w:val="single"/>
                <w:lang w:bidi="ar"/>
              </w:rPr>
              <w:t>。</w:t>
            </w:r>
          </w:p>
        </w:tc>
      </w:tr>
      <w:tr w14:paraId="30483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8F6CA9E">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72160E4B">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代理服务费收款账户信息</w:t>
            </w:r>
          </w:p>
        </w:tc>
        <w:tc>
          <w:tcPr>
            <w:tcW w:w="6999" w:type="dxa"/>
            <w:tcBorders>
              <w:top w:val="single" w:color="auto" w:sz="4" w:space="0"/>
              <w:left w:val="single" w:color="auto" w:sz="4" w:space="0"/>
              <w:bottom w:val="single" w:color="auto" w:sz="4" w:space="0"/>
              <w:right w:val="single" w:color="auto" w:sz="4" w:space="0"/>
            </w:tcBorders>
            <w:vAlign w:val="center"/>
          </w:tcPr>
          <w:p w14:paraId="4217B5BE">
            <w:pPr>
              <w:pStyle w:val="14"/>
              <w:keepLines/>
              <w:pageBreakBefore w:val="0"/>
              <w:wordWrap w:val="0"/>
              <w:overflowPunct/>
              <w:topLinePunct w:val="0"/>
              <w:bidi w:val="0"/>
              <w:snapToGrid w:val="0"/>
              <w:spacing w:line="360" w:lineRule="auto"/>
              <w:rPr>
                <w:rFonts w:hAnsi="宋体" w:cs="宋体"/>
                <w:color w:val="auto"/>
                <w:sz w:val="24"/>
                <w:szCs w:val="24"/>
                <w:highlight w:val="none"/>
              </w:rPr>
            </w:pPr>
            <w:r>
              <w:rPr>
                <w:rFonts w:hint="eastAsia" w:hAnsi="宋体" w:cs="宋体"/>
                <w:color w:val="auto"/>
                <w:sz w:val="24"/>
                <w:szCs w:val="24"/>
                <w:highlight w:val="none"/>
              </w:rPr>
              <w:t>账户名称：广西邕政采购代理有限公司</w:t>
            </w:r>
          </w:p>
          <w:p w14:paraId="42F09734">
            <w:pPr>
              <w:pStyle w:val="14"/>
              <w:keepLines/>
              <w:pageBreakBefore w:val="0"/>
              <w:wordWrap w:val="0"/>
              <w:overflowPunct/>
              <w:topLinePunct w:val="0"/>
              <w:bidi w:val="0"/>
              <w:snapToGrid w:val="0"/>
              <w:spacing w:line="360" w:lineRule="auto"/>
              <w:rPr>
                <w:rFonts w:hAnsi="宋体" w:cs="宋体"/>
                <w:color w:val="auto"/>
                <w:sz w:val="24"/>
                <w:szCs w:val="24"/>
                <w:highlight w:val="none"/>
              </w:rPr>
            </w:pPr>
            <w:r>
              <w:rPr>
                <w:rFonts w:hint="eastAsia" w:hAnsi="宋体" w:cs="宋体"/>
                <w:color w:val="auto"/>
                <w:sz w:val="24"/>
                <w:szCs w:val="24"/>
                <w:highlight w:val="none"/>
              </w:rPr>
              <w:t>开户银行：交通银行南宁东葛西支行</w:t>
            </w:r>
          </w:p>
          <w:p w14:paraId="27073058">
            <w:pPr>
              <w:pStyle w:val="14"/>
              <w:keepLines/>
              <w:pageBreakBefore w:val="0"/>
              <w:wordWrap w:val="0"/>
              <w:overflowPunct/>
              <w:topLinePunct w:val="0"/>
              <w:bidi w:val="0"/>
              <w:snapToGrid w:val="0"/>
              <w:spacing w:line="360" w:lineRule="auto"/>
              <w:rPr>
                <w:rFonts w:hAnsi="宋体" w:cs="宋体"/>
                <w:color w:val="auto"/>
                <w:sz w:val="24"/>
                <w:szCs w:val="24"/>
                <w:highlight w:val="none"/>
              </w:rPr>
            </w:pPr>
            <w:r>
              <w:rPr>
                <w:rFonts w:hint="eastAsia" w:hAnsi="宋体" w:cs="宋体"/>
                <w:color w:val="auto"/>
                <w:sz w:val="24"/>
                <w:szCs w:val="24"/>
                <w:highlight w:val="none"/>
              </w:rPr>
              <w:t xml:space="preserve">银行账号：4510 6070 1018 1602 32818 </w:t>
            </w:r>
          </w:p>
          <w:p w14:paraId="2EEF7459">
            <w:pPr>
              <w:pStyle w:val="14"/>
              <w:keepLines/>
              <w:pageBreakBefore w:val="0"/>
              <w:wordWrap w:val="0"/>
              <w:overflowPunct/>
              <w:topLinePunct w:val="0"/>
              <w:bidi w:val="0"/>
              <w:snapToGrid w:val="0"/>
              <w:spacing w:line="360" w:lineRule="auto"/>
              <w:rPr>
                <w:rFonts w:hAnsi="宋体" w:cs="宋体"/>
                <w:color w:val="auto"/>
                <w:sz w:val="24"/>
                <w:szCs w:val="24"/>
                <w:highlight w:val="none"/>
              </w:rPr>
            </w:pPr>
            <w:r>
              <w:rPr>
                <w:rFonts w:hint="eastAsia" w:hAnsi="宋体" w:cs="宋体"/>
                <w:color w:val="auto"/>
                <w:sz w:val="24"/>
                <w:szCs w:val="24"/>
                <w:highlight w:val="none"/>
              </w:rPr>
              <w:t>开户行行号：301611000718</w:t>
            </w:r>
          </w:p>
        </w:tc>
      </w:tr>
      <w:tr w14:paraId="552FF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C98111D">
            <w:pPr>
              <w:keepLines/>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41.1</w:t>
            </w:r>
          </w:p>
        </w:tc>
        <w:tc>
          <w:tcPr>
            <w:tcW w:w="2566" w:type="dxa"/>
            <w:tcBorders>
              <w:top w:val="single" w:color="auto" w:sz="4" w:space="0"/>
              <w:left w:val="single" w:color="auto" w:sz="4" w:space="0"/>
              <w:bottom w:val="single" w:color="auto" w:sz="4" w:space="0"/>
              <w:right w:val="single" w:color="auto" w:sz="4" w:space="0"/>
            </w:tcBorders>
            <w:vAlign w:val="center"/>
          </w:tcPr>
          <w:p w14:paraId="075818BF">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解释</w:t>
            </w:r>
          </w:p>
        </w:tc>
        <w:tc>
          <w:tcPr>
            <w:tcW w:w="6999" w:type="dxa"/>
            <w:tcBorders>
              <w:top w:val="single" w:color="auto" w:sz="4" w:space="0"/>
              <w:left w:val="single" w:color="auto" w:sz="4" w:space="0"/>
              <w:bottom w:val="single" w:color="auto" w:sz="4" w:space="0"/>
              <w:right w:val="single" w:color="auto" w:sz="4" w:space="0"/>
            </w:tcBorders>
            <w:vAlign w:val="center"/>
          </w:tcPr>
          <w:p w14:paraId="321103B4">
            <w:pPr>
              <w:keepLines/>
              <w:pageBreakBefore w:val="0"/>
              <w:wordWrap w:val="0"/>
              <w:overflowPunct/>
              <w:topLinePunct w:val="0"/>
              <w:bidi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解释权：</w:t>
            </w:r>
            <w:r>
              <w:rPr>
                <w:rFonts w:hint="eastAsia" w:ascii="宋体" w:hAnsi="宋体" w:cs="宋体"/>
                <w:color w:val="auto"/>
                <w:sz w:val="24"/>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 w:val="24"/>
                <w:highlight w:val="none"/>
              </w:rPr>
              <w:t>，由采购人或者采购代理机构负责解释。</w:t>
            </w:r>
          </w:p>
          <w:p w14:paraId="0441B626">
            <w:pPr>
              <w:keepLines/>
              <w:pageBreakBefore w:val="0"/>
              <w:wordWrap w:val="0"/>
              <w:overflowPunct/>
              <w:topLinePunct w:val="0"/>
              <w:bidi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法律责任：</w:t>
            </w:r>
          </w:p>
          <w:p w14:paraId="34A74239">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1.本采购文件根据《中华人民共和国政府采购法》、《中华人民共和国民法典》；《中华人民共和国政府采购法实施条例》、、《政府采购货物和服务招标投 标管理办法》等有关法律、法规编制，参与本项目的各政府采购当事人依法享有上述法律法规所赋予的权利与义务。</w:t>
            </w:r>
          </w:p>
          <w:p w14:paraId="6C5D4253">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b/>
                <w:color w:val="auto"/>
                <w:sz w:val="24"/>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06F91C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1A788A4">
            <w:pPr>
              <w:keepLines/>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41.2</w:t>
            </w:r>
          </w:p>
        </w:tc>
        <w:tc>
          <w:tcPr>
            <w:tcW w:w="2566" w:type="dxa"/>
            <w:tcBorders>
              <w:top w:val="single" w:color="auto" w:sz="4" w:space="0"/>
              <w:left w:val="single" w:color="auto" w:sz="4" w:space="0"/>
              <w:bottom w:val="single" w:color="auto" w:sz="4" w:space="0"/>
              <w:right w:val="single" w:color="auto" w:sz="4" w:space="0"/>
            </w:tcBorders>
            <w:vAlign w:val="center"/>
          </w:tcPr>
          <w:p w14:paraId="517F8D11">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其他释义</w:t>
            </w:r>
          </w:p>
        </w:tc>
        <w:tc>
          <w:tcPr>
            <w:tcW w:w="6999" w:type="dxa"/>
            <w:tcBorders>
              <w:top w:val="single" w:color="auto" w:sz="4" w:space="0"/>
              <w:left w:val="single" w:color="auto" w:sz="4" w:space="0"/>
              <w:bottom w:val="single" w:color="auto" w:sz="4" w:space="0"/>
              <w:right w:val="single" w:color="auto" w:sz="4" w:space="0"/>
            </w:tcBorders>
            <w:vAlign w:val="center"/>
          </w:tcPr>
          <w:p w14:paraId="7F7C1E58">
            <w:pPr>
              <w:pStyle w:val="14"/>
              <w:keepLines/>
              <w:pageBreakBefore w:val="0"/>
              <w:wordWrap w:val="0"/>
              <w:overflowPunct/>
              <w:topLinePunct w:val="0"/>
              <w:bidi w:val="0"/>
              <w:snapToGrid w:val="0"/>
              <w:spacing w:line="360" w:lineRule="auto"/>
              <w:rPr>
                <w:rFonts w:hAnsi="宋体" w:cs="宋体"/>
                <w:b/>
                <w:bCs/>
                <w:color w:val="auto"/>
                <w:sz w:val="24"/>
                <w:szCs w:val="24"/>
                <w:highlight w:val="none"/>
              </w:rPr>
            </w:pPr>
            <w:r>
              <w:rPr>
                <w:rFonts w:hint="eastAsia" w:hAnsi="宋体" w:cs="宋体"/>
                <w:b/>
                <w:bCs/>
                <w:color w:val="auto"/>
                <w:sz w:val="24"/>
                <w:szCs w:val="24"/>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30DA4D0">
            <w:pPr>
              <w:pStyle w:val="14"/>
              <w:keepLines/>
              <w:pageBreakBefore w:val="0"/>
              <w:wordWrap w:val="0"/>
              <w:overflowPunct/>
              <w:topLinePunct w:val="0"/>
              <w:bidi w:val="0"/>
              <w:snapToGrid w:val="0"/>
              <w:spacing w:line="360" w:lineRule="auto"/>
              <w:rPr>
                <w:rFonts w:hAnsi="宋体" w:cs="宋体"/>
                <w:b/>
                <w:bCs/>
                <w:color w:val="auto"/>
                <w:sz w:val="24"/>
                <w:szCs w:val="24"/>
                <w:highlight w:val="none"/>
              </w:rPr>
            </w:pPr>
            <w:r>
              <w:rPr>
                <w:rFonts w:hint="eastAsia" w:hAnsi="宋体" w:cs="宋体"/>
                <w:b/>
                <w:bCs/>
                <w:color w:val="auto"/>
                <w:sz w:val="24"/>
                <w:szCs w:val="24"/>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7B99C5D4">
            <w:pPr>
              <w:pStyle w:val="14"/>
              <w:keepLines/>
              <w:pageBreakBefore w:val="0"/>
              <w:wordWrap w:val="0"/>
              <w:overflowPunct/>
              <w:topLinePunct w:val="0"/>
              <w:bidi w:val="0"/>
              <w:snapToGrid w:val="0"/>
              <w:spacing w:line="360" w:lineRule="auto"/>
              <w:rPr>
                <w:rFonts w:hAnsi="宋体" w:cs="宋体"/>
                <w:b/>
                <w:bCs/>
                <w:color w:val="auto"/>
                <w:sz w:val="24"/>
                <w:szCs w:val="24"/>
                <w:highlight w:val="none"/>
              </w:rPr>
            </w:pPr>
            <w:r>
              <w:rPr>
                <w:rFonts w:hint="eastAsia" w:hAnsi="宋体" w:cs="宋体"/>
                <w:b/>
                <w:bCs/>
                <w:color w:val="auto"/>
                <w:sz w:val="24"/>
                <w:szCs w:val="24"/>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63D77CC2">
            <w:pPr>
              <w:pStyle w:val="14"/>
              <w:keepLines/>
              <w:pageBreakBefore w:val="0"/>
              <w:wordWrap w:val="0"/>
              <w:overflowPunct/>
              <w:topLinePunct w:val="0"/>
              <w:bidi w:val="0"/>
              <w:snapToGrid w:val="0"/>
              <w:spacing w:line="360" w:lineRule="auto"/>
              <w:rPr>
                <w:rFonts w:hAnsi="宋体" w:cs="宋体"/>
                <w:b/>
                <w:bCs/>
                <w:color w:val="auto"/>
                <w:sz w:val="24"/>
                <w:szCs w:val="24"/>
                <w:highlight w:val="none"/>
              </w:rPr>
            </w:pPr>
            <w:r>
              <w:rPr>
                <w:rFonts w:hint="eastAsia" w:hAnsi="宋体" w:cs="宋体"/>
                <w:b/>
                <w:bCs/>
                <w:color w:val="auto"/>
                <w:sz w:val="24"/>
                <w:szCs w:val="24"/>
                <w:highlight w:val="none"/>
              </w:rPr>
              <w:t>4.自然人投标的，招标文件规定盖公章处由自然人摁手指指印。</w:t>
            </w:r>
          </w:p>
          <w:p w14:paraId="0ECB4F0D">
            <w:pPr>
              <w:keepLines/>
              <w:pageBreakBefore w:val="0"/>
              <w:wordWrap w:val="0"/>
              <w:overflowPunct/>
              <w:topLinePunct w:val="0"/>
              <w:bidi w:val="0"/>
              <w:spacing w:line="360" w:lineRule="auto"/>
              <w:jc w:val="left"/>
              <w:rPr>
                <w:rFonts w:ascii="宋体" w:hAnsi="宋体" w:cs="宋体"/>
                <w:color w:val="auto"/>
                <w:sz w:val="24"/>
                <w:highlight w:val="none"/>
              </w:rPr>
            </w:pPr>
            <w:r>
              <w:rPr>
                <w:rFonts w:hint="eastAsia" w:ascii="宋体" w:hAnsi="宋体" w:cs="宋体"/>
                <w:b/>
                <w:bCs/>
                <w:color w:val="auto"/>
                <w:sz w:val="24"/>
                <w:highlight w:val="none"/>
              </w:rPr>
              <w:t>5.本招标文件所称的“以上”“以下”“以内”“届满”，包括本数；所称的“不满”“超过”“以外”，不包括本数。</w:t>
            </w:r>
          </w:p>
        </w:tc>
      </w:tr>
    </w:tbl>
    <w:p w14:paraId="46912CD1">
      <w:pPr>
        <w:pageBreakBefore w:val="0"/>
        <w:widowControl/>
        <w:wordWrap w:val="0"/>
        <w:overflowPunct/>
        <w:topLinePunct w:val="0"/>
        <w:bidi w:val="0"/>
        <w:spacing w:line="360" w:lineRule="auto"/>
        <w:jc w:val="left"/>
        <w:rPr>
          <w:rFonts w:ascii="宋体" w:hAnsi="宋体" w:cs="宋体"/>
          <w:b/>
          <w:bCs/>
          <w:color w:val="auto"/>
          <w:sz w:val="32"/>
          <w:szCs w:val="32"/>
          <w:highlight w:val="none"/>
        </w:rPr>
        <w:sectPr>
          <w:footerReference r:id="rId7" w:type="default"/>
          <w:pgSz w:w="11906" w:h="16838"/>
          <w:pgMar w:top="1440" w:right="1080" w:bottom="1440" w:left="1080" w:header="720" w:footer="720" w:gutter="0"/>
          <w:pgNumType w:fmt="decimal"/>
          <w:cols w:space="720" w:num="1"/>
          <w:docGrid w:type="lines" w:linePitch="331" w:charSpace="0"/>
        </w:sectPr>
      </w:pPr>
    </w:p>
    <w:p w14:paraId="68CA3C14">
      <w:pPr>
        <w:pageBreakBefore w:val="0"/>
        <w:wordWrap w:val="0"/>
        <w:overflowPunct/>
        <w:topLinePunct w:val="0"/>
        <w:bidi w:val="0"/>
        <w:spacing w:line="360" w:lineRule="auto"/>
        <w:rPr>
          <w:rFonts w:ascii="宋体" w:hAnsi="宋体" w:cs="宋体"/>
          <w:color w:val="auto"/>
          <w:highlight w:val="none"/>
        </w:rPr>
      </w:pPr>
    </w:p>
    <w:p w14:paraId="1AE40463">
      <w:pPr>
        <w:pStyle w:val="6"/>
        <w:pageBreakBefore w:val="0"/>
        <w:wordWrap w:val="0"/>
        <w:overflowPunct/>
        <w:topLinePunct w:val="0"/>
        <w:bidi w:val="0"/>
        <w:spacing w:before="0" w:after="0" w:line="360" w:lineRule="auto"/>
        <w:jc w:val="center"/>
        <w:rPr>
          <w:rFonts w:ascii="宋体" w:hAnsi="宋体" w:eastAsia="宋体" w:cs="宋体"/>
          <w:color w:val="auto"/>
          <w:highlight w:val="none"/>
        </w:rPr>
      </w:pPr>
      <w:bookmarkStart w:id="36" w:name="_Toc5937"/>
      <w:r>
        <w:rPr>
          <w:rFonts w:hint="eastAsia" w:ascii="宋体" w:hAnsi="宋体" w:eastAsia="宋体" w:cs="宋体"/>
          <w:color w:val="auto"/>
          <w:highlight w:val="none"/>
        </w:rPr>
        <w:t>第二节 投标人须知正文</w:t>
      </w:r>
      <w:bookmarkEnd w:id="36"/>
    </w:p>
    <w:p w14:paraId="1F493BF0">
      <w:pPr>
        <w:pStyle w:val="7"/>
        <w:keepNext w:val="0"/>
        <w:keepLines w:val="0"/>
        <w:pageBreakBefore w:val="0"/>
        <w:wordWrap w:val="0"/>
        <w:overflowPunct/>
        <w:topLinePunct w:val="0"/>
        <w:bidi w:val="0"/>
        <w:spacing w:line="360" w:lineRule="auto"/>
        <w:jc w:val="center"/>
        <w:rPr>
          <w:rFonts w:ascii="宋体" w:hAnsi="宋体" w:cs="宋体"/>
          <w:color w:val="auto"/>
          <w:highlight w:val="none"/>
        </w:rPr>
      </w:pPr>
      <w:bookmarkStart w:id="37" w:name="_Toc13364"/>
      <w:r>
        <w:rPr>
          <w:rFonts w:hint="eastAsia" w:ascii="宋体" w:hAnsi="宋体" w:cs="宋体"/>
          <w:color w:val="auto"/>
          <w:highlight w:val="none"/>
        </w:rPr>
        <w:t>一、总  则</w:t>
      </w:r>
      <w:bookmarkEnd w:id="37"/>
    </w:p>
    <w:p w14:paraId="50B9132E">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38" w:name="_Toc254970527"/>
      <w:bookmarkStart w:id="39" w:name="_Toc254970668"/>
      <w:r>
        <w:rPr>
          <w:rFonts w:hint="eastAsia" w:ascii="宋体" w:hAnsi="宋体" w:cs="宋体"/>
          <w:color w:val="auto"/>
          <w:sz w:val="24"/>
          <w:highlight w:val="none"/>
        </w:rPr>
        <w:t>1.适用范围</w:t>
      </w:r>
      <w:bookmarkEnd w:id="38"/>
      <w:bookmarkEnd w:id="39"/>
    </w:p>
    <w:p w14:paraId="6AA2039B">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7BDAADF">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13FB9956">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40" w:name="_Toc254970528"/>
      <w:bookmarkStart w:id="41" w:name="_Toc254970669"/>
      <w:r>
        <w:rPr>
          <w:rFonts w:hint="eastAsia" w:ascii="宋体" w:hAnsi="宋体" w:cs="宋体"/>
          <w:color w:val="auto"/>
          <w:sz w:val="24"/>
          <w:highlight w:val="none"/>
        </w:rPr>
        <w:t>2.定义</w:t>
      </w:r>
      <w:bookmarkEnd w:id="40"/>
      <w:bookmarkEnd w:id="41"/>
    </w:p>
    <w:p w14:paraId="45DA5FE8">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2.1“采购人”是指依法进行政府采购的国家机关、事业单位、团体组织。</w:t>
      </w:r>
    </w:p>
    <w:p w14:paraId="6B9F44EB">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2.2“采购代理机构” 指政府采购集中采购机构和集中采购机构以外的采购代理机构。</w:t>
      </w:r>
    </w:p>
    <w:p w14:paraId="1523F53E">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2.3“供应商”是指向采购人提供货物、工程或者服务的法人、其他组织或者自然人。</w:t>
      </w:r>
    </w:p>
    <w:p w14:paraId="4233F158">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2.4“投标人”是指响应招标、参加投标竞争的法人、非法人组织或者自然人。</w:t>
      </w:r>
    </w:p>
    <w:p w14:paraId="17ECD9A0">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2.5“服务”是指除货物和工程以外的其他政府采购对象。</w:t>
      </w:r>
    </w:p>
    <w:p w14:paraId="1D157206">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2.6“书面形式”是指合同书、信件和数据电文（包括电报、电传、传真、短信、电子数据交换和电子邮件）等可以有形地表现所载内容的形式。</w:t>
      </w:r>
    </w:p>
    <w:p w14:paraId="53A1AD45">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2.7“实质性要求”是指招标文件中已经指明不满足则投标无效的条款，或者不能负偏离的条款，或者采购需求中带“</w:t>
      </w:r>
      <w:r>
        <w:rPr>
          <w:rFonts w:hint="eastAsia" w:ascii="宋体" w:hAnsi="宋体" w:cs="宋体"/>
          <w:b/>
          <w:bCs/>
          <w:color w:val="auto"/>
          <w:szCs w:val="21"/>
          <w:highlight w:val="none"/>
        </w:rPr>
        <w:t>▲</w:t>
      </w:r>
      <w:r>
        <w:rPr>
          <w:rFonts w:hint="eastAsia" w:ascii="宋体" w:hAnsi="宋体" w:cs="宋体"/>
          <w:b/>
          <w:color w:val="auto"/>
          <w:szCs w:val="21"/>
          <w:highlight w:val="none"/>
        </w:rPr>
        <w:t>”的条款。</w:t>
      </w:r>
    </w:p>
    <w:p w14:paraId="04504617">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5CBBA330">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7EE66652">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42" w:name="_Toc254970670"/>
      <w:bookmarkStart w:id="43" w:name="_Toc254970529"/>
    </w:p>
    <w:p w14:paraId="31EFAC05">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bookmarkEnd w:id="42"/>
      <w:bookmarkEnd w:id="43"/>
      <w:r>
        <w:rPr>
          <w:rFonts w:hint="eastAsia" w:ascii="宋体" w:hAnsi="宋体" w:cs="宋体"/>
          <w:color w:val="auto"/>
          <w:sz w:val="24"/>
          <w:highlight w:val="none"/>
        </w:rPr>
        <w:t>投标人的资格要求</w:t>
      </w:r>
    </w:p>
    <w:p w14:paraId="2914CFEB">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投标人的资格要求详见“招标公告”。</w:t>
      </w:r>
    </w:p>
    <w:p w14:paraId="29B1B477">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44" w:name="_Toc254970530"/>
      <w:bookmarkStart w:id="45" w:name="_Toc254970671"/>
      <w:r>
        <w:rPr>
          <w:rFonts w:hint="eastAsia" w:ascii="宋体" w:hAnsi="宋体" w:cs="宋体"/>
          <w:color w:val="auto"/>
          <w:sz w:val="24"/>
          <w:highlight w:val="none"/>
        </w:rPr>
        <w:t>4.投标委托</w:t>
      </w:r>
      <w:bookmarkEnd w:id="44"/>
      <w:bookmarkEnd w:id="45"/>
    </w:p>
    <w:p w14:paraId="75087D73">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56A67C4A">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46" w:name="_5.投标费用"/>
      <w:bookmarkEnd w:id="46"/>
      <w:bookmarkStart w:id="47" w:name="_Toc254970531"/>
      <w:bookmarkStart w:id="48" w:name="_Toc254970672"/>
      <w:r>
        <w:rPr>
          <w:rFonts w:hint="eastAsia" w:ascii="宋体" w:hAnsi="宋体" w:cs="宋体"/>
          <w:color w:val="auto"/>
          <w:sz w:val="24"/>
          <w:highlight w:val="none"/>
        </w:rPr>
        <w:t>5.投标费用</w:t>
      </w:r>
      <w:bookmarkEnd w:id="47"/>
      <w:bookmarkEnd w:id="48"/>
    </w:p>
    <w:p w14:paraId="13538BBC">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4AFFB45F">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6.联合体投标</w:t>
      </w:r>
    </w:p>
    <w:p w14:paraId="1A154F9F">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37A3FFD6">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279EBEFB">
      <w:pPr>
        <w:pageBreakBefore w:val="0"/>
        <w:wordWrap w:val="0"/>
        <w:overflowPunct/>
        <w:topLinePunct w:val="0"/>
        <w:bidi w:val="0"/>
        <w:spacing w:line="360" w:lineRule="auto"/>
        <w:ind w:firstLine="420" w:firstLineChars="200"/>
        <w:rPr>
          <w:rFonts w:ascii="宋体" w:hAnsi="宋体" w:cs="宋体"/>
          <w:bCs/>
          <w:color w:val="auto"/>
          <w:sz w:val="24"/>
          <w:szCs w:val="21"/>
          <w:highlight w:val="none"/>
          <w:shd w:val="clear" w:color="auto" w:fill="FFFFFF"/>
        </w:rPr>
      </w:pPr>
      <w:r>
        <w:rPr>
          <w:rFonts w:hint="eastAsia" w:ascii="宋体" w:hAnsi="宋体" w:cs="宋体"/>
          <w:bCs/>
          <w:color w:val="auto"/>
          <w:szCs w:val="21"/>
          <w:highlight w:val="none"/>
        </w:rPr>
        <w:t>6.3根据《政府采购促进中小企业发展管理办法》（财库[2020]46号）第九条、</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47888FD3">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5FC69C9F">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256E7BE6">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7.2根据《政府采购促进中小企业发展管理办法》（财库[2020]46号）第九条及</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16936551">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49" w:name="_Toc254970532"/>
      <w:bookmarkStart w:id="50" w:name="_Toc254970673"/>
      <w:r>
        <w:rPr>
          <w:rFonts w:hint="eastAsia" w:ascii="宋体" w:hAnsi="宋体" w:cs="宋体"/>
          <w:color w:val="auto"/>
          <w:sz w:val="24"/>
          <w:highlight w:val="none"/>
        </w:rPr>
        <w:t>8.特别说明：</w:t>
      </w:r>
      <w:bookmarkEnd w:id="49"/>
      <w:bookmarkEnd w:id="50"/>
      <w:bookmarkStart w:id="51" w:name="_8.1提供相同品牌产品且通过资格审查、符合性审查的不同投标人参加同一合"/>
      <w:bookmarkEnd w:id="51"/>
    </w:p>
    <w:p w14:paraId="5BFBBF45">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8.1如果本招标文件要求投标人提供资格、信誉、荣誉、业绩与企业认证等材料的，则投标人所提供的以上材料必须为投标人所拥有。</w:t>
      </w:r>
    </w:p>
    <w:p w14:paraId="4FC84E07">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8.2投标人应仔细阅读招标文件的所有内容，按照招标文件的要求提交投标文件，并对所提供的全部资料的真实性承担法律责任。</w:t>
      </w:r>
    </w:p>
    <w:p w14:paraId="256B354E">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10932B97">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9.回避与串通投标</w:t>
      </w:r>
    </w:p>
    <w:p w14:paraId="319394FF">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9.1在政府采购活动中，采购人员及相关人员与供应商有下列利害关系之一的，应当回避：</w:t>
      </w:r>
    </w:p>
    <w:p w14:paraId="71A68BFE">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（1）参加采购活动前3年内与供应商存在劳动关系；</w:t>
      </w:r>
    </w:p>
    <w:p w14:paraId="033BBCE1">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（2）参加采购活动前3年内担任供应商的董事、监事；</w:t>
      </w:r>
    </w:p>
    <w:p w14:paraId="35768106">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（3）参加采购活动前3年内是供应商的控股股东或者实际控制人；</w:t>
      </w:r>
    </w:p>
    <w:p w14:paraId="25C53BAE">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（4）与供应商的法定代表人或者负责人有夫妻、直系血亲、三代以内旁系血亲或者近姻亲关系；</w:t>
      </w:r>
    </w:p>
    <w:p w14:paraId="0C6D56A3">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（5）与供应商有其他可能影响政府采购活动公平、公正进行的关系。</w:t>
      </w:r>
    </w:p>
    <w:p w14:paraId="38046D39">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C622341">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9.2有下列情形之一的视为投标人相互串通投标，投标文件将被视为无效：</w:t>
      </w:r>
    </w:p>
    <w:p w14:paraId="28144300">
      <w:pPr>
        <w:pageBreakBefore w:val="0"/>
        <w:wordWrap w:val="0"/>
        <w:overflowPunct/>
        <w:topLinePunct w:val="0"/>
        <w:bidi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（1）不同投标人的投标文件由同一单位或者个人编制；或者不同投标人报名的IP地址一致的；或者编制标书硬件设备CPU编号、硬盘编号、网卡地址一致的情况。</w:t>
      </w:r>
    </w:p>
    <w:p w14:paraId="32CDA353">
      <w:pPr>
        <w:pageBreakBefore w:val="0"/>
        <w:wordWrap w:val="0"/>
        <w:overflowPunct/>
        <w:topLinePunct w:val="0"/>
        <w:bidi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（2）不同投标人委托同一单位或者个人办理投标事宜；</w:t>
      </w:r>
    </w:p>
    <w:p w14:paraId="36D3E366">
      <w:pPr>
        <w:pageBreakBefore w:val="0"/>
        <w:wordWrap w:val="0"/>
        <w:overflowPunct/>
        <w:topLinePunct w:val="0"/>
        <w:bidi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（3）不同的投标人的投标文件载明的项目管理员为同一个人；</w:t>
      </w:r>
    </w:p>
    <w:p w14:paraId="43140141">
      <w:pPr>
        <w:pageBreakBefore w:val="0"/>
        <w:wordWrap w:val="0"/>
        <w:overflowPunct/>
        <w:topLinePunct w:val="0"/>
        <w:bidi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（4）不同投标人的电子或纸质投标文件异常一致或者投标报价呈规律性差异；</w:t>
      </w:r>
    </w:p>
    <w:p w14:paraId="348C0188">
      <w:pPr>
        <w:pageBreakBefore w:val="0"/>
        <w:wordWrap w:val="0"/>
        <w:overflowPunct/>
        <w:topLinePunct w:val="0"/>
        <w:bidi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（5）不同投标人的纸质投标文件相互混装；</w:t>
      </w:r>
    </w:p>
    <w:p w14:paraId="5C0E0B27">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1437F40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（1）供应商直接或者间接从采购人或者采购代理机构处获得其他供应商的相关信息并修改其投标文件或者投标文件；</w:t>
      </w:r>
    </w:p>
    <w:p w14:paraId="07EDD51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（2）供应商按照采购人或者采购代理机构的授意撤换、修改投标文件或者投标文件；</w:t>
      </w:r>
    </w:p>
    <w:p w14:paraId="1E3A8A9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（3）供应商之间协商报价、技术方案等投标文件或者投标文件的实质性内容；</w:t>
      </w:r>
    </w:p>
    <w:p w14:paraId="2F8BE7C8">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（4）属于同一集团、协会、商会等组织成员的供应商按照该组织要求协同参加政府采购活动；</w:t>
      </w:r>
    </w:p>
    <w:p w14:paraId="0027F63E">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7E3AB2EE">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（6）供应商之间商定部分供应商放弃参加政府采购活动或者放弃中标；</w:t>
      </w:r>
    </w:p>
    <w:p w14:paraId="1BD53F19">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（7）供应商与采购人或者采购代理机构之间、供应商相互之间，为谋求特定供应商中标或者排斥其他供应商的其他串通行为。</w:t>
      </w:r>
    </w:p>
    <w:p w14:paraId="1095BAFD">
      <w:pPr>
        <w:pStyle w:val="14"/>
        <w:pageBreakBefore w:val="0"/>
        <w:wordWrap w:val="0"/>
        <w:overflowPunct/>
        <w:topLinePunct w:val="0"/>
        <w:bidi w:val="0"/>
        <w:snapToGrid w:val="0"/>
        <w:spacing w:line="360" w:lineRule="auto"/>
        <w:ind w:left="2" w:leftChars="1" w:firstLine="422" w:firstLineChars="200"/>
        <w:rPr>
          <w:rFonts w:hAnsi="宋体" w:cs="宋体"/>
          <w:b/>
          <w:color w:val="auto"/>
          <w:highlight w:val="none"/>
        </w:rPr>
      </w:pPr>
    </w:p>
    <w:p w14:paraId="4D78CDFF">
      <w:pPr>
        <w:pStyle w:val="7"/>
        <w:keepNext w:val="0"/>
        <w:keepLines w:val="0"/>
        <w:pageBreakBefore w:val="0"/>
        <w:wordWrap w:val="0"/>
        <w:overflowPunct/>
        <w:topLinePunct w:val="0"/>
        <w:bidi w:val="0"/>
        <w:spacing w:line="360" w:lineRule="auto"/>
        <w:jc w:val="center"/>
        <w:rPr>
          <w:rFonts w:ascii="宋体" w:hAnsi="宋体" w:cs="宋体"/>
          <w:color w:val="auto"/>
          <w:highlight w:val="none"/>
        </w:rPr>
      </w:pPr>
      <w:bookmarkStart w:id="52" w:name="_Toc8119"/>
      <w:bookmarkStart w:id="53" w:name="_Toc254970534"/>
      <w:bookmarkStart w:id="54" w:name="_Toc254970675"/>
      <w:r>
        <w:rPr>
          <w:rFonts w:hint="eastAsia" w:ascii="宋体" w:hAnsi="宋体" w:cs="宋体"/>
          <w:color w:val="auto"/>
          <w:highlight w:val="none"/>
        </w:rPr>
        <w:t>二、招标文件</w:t>
      </w:r>
      <w:bookmarkEnd w:id="52"/>
      <w:bookmarkEnd w:id="53"/>
      <w:bookmarkEnd w:id="54"/>
    </w:p>
    <w:p w14:paraId="74ECF143">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10.招标文件的组成</w:t>
      </w:r>
    </w:p>
    <w:p w14:paraId="0BC264EB">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 招标公告；</w:t>
      </w:r>
    </w:p>
    <w:p w14:paraId="58C9407C">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第二章 采购需求； </w:t>
      </w:r>
    </w:p>
    <w:p w14:paraId="25453813">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 投标人须知；</w:t>
      </w:r>
    </w:p>
    <w:p w14:paraId="16A8B326">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 评标方法及评标标准；</w:t>
      </w:r>
    </w:p>
    <w:p w14:paraId="2FF18362">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第五章 拟签订的合同文本；</w:t>
      </w:r>
    </w:p>
    <w:p w14:paraId="77245608">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5BD23F69">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质疑、投诉材料格式</w:t>
      </w:r>
    </w:p>
    <w:p w14:paraId="2AAB17B6">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43C5D239">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43B939AF">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7808AD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11.2 投标人应认真审阅本公开招标文件，如有疑问，或发现其中有误或有要求不合理的，应在投标人须知前附表规定的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highlight w:val="none"/>
        </w:rPr>
        <w:t>前以书面形式要求采购人或采购代理机构对招标文件予以澄清；否则，由此产生的后果由投标人自行负责。</w:t>
      </w:r>
    </w:p>
    <w:p w14:paraId="3E2A09F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auto"/>
          <w:szCs w:val="21"/>
          <w:highlight w:val="none"/>
        </w:rPr>
        <w:t>投标人须知前附表”</w:t>
      </w:r>
      <w:r>
        <w:rPr>
          <w:rFonts w:hint="eastAsia" w:ascii="宋体" w:hAnsi="宋体" w:cs="宋体"/>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35840F90">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11.4 采购人和采购代理机构可以视采购具体情况，变更投标截止时间和开标时间，将变更时间将在“</w:t>
      </w:r>
      <w:r>
        <w:rPr>
          <w:rFonts w:hint="eastAsia" w:ascii="宋体" w:hAnsi="宋体" w:cs="宋体"/>
          <w:color w:val="auto"/>
          <w:szCs w:val="21"/>
          <w:highlight w:val="none"/>
        </w:rPr>
        <w:t>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highlight w:val="none"/>
        </w:rPr>
        <w:t>发布更正公告。</w:t>
      </w:r>
    </w:p>
    <w:p w14:paraId="600333DD">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w:t>
      </w:r>
      <w:bookmarkStart w:id="55" w:name="_Hlk53134511"/>
      <w:r>
        <w:rPr>
          <w:rFonts w:hint="eastAsia" w:ascii="宋体" w:hAnsi="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55"/>
    <w:p w14:paraId="2B86FA3C">
      <w:pPr>
        <w:pStyle w:val="7"/>
        <w:keepNext w:val="0"/>
        <w:keepLines w:val="0"/>
        <w:pageBreakBefore w:val="0"/>
        <w:wordWrap w:val="0"/>
        <w:overflowPunct/>
        <w:topLinePunct w:val="0"/>
        <w:bidi w:val="0"/>
        <w:spacing w:line="360" w:lineRule="auto"/>
        <w:jc w:val="center"/>
        <w:rPr>
          <w:rFonts w:ascii="宋体" w:hAnsi="宋体" w:cs="宋体"/>
          <w:color w:val="auto"/>
          <w:highlight w:val="none"/>
        </w:rPr>
      </w:pPr>
      <w:bookmarkStart w:id="56" w:name="_Toc254970676"/>
      <w:bookmarkStart w:id="57" w:name="_Toc21817"/>
      <w:bookmarkStart w:id="58" w:name="_Toc254970535"/>
      <w:bookmarkStart w:id="59" w:name="_Toc254970544"/>
      <w:bookmarkStart w:id="60" w:name="_Toc19841"/>
      <w:bookmarkStart w:id="61" w:name="_Toc254970685"/>
      <w:r>
        <w:rPr>
          <w:rFonts w:hint="eastAsia" w:ascii="宋体" w:hAnsi="宋体" w:cs="宋体"/>
          <w:color w:val="auto"/>
          <w:highlight w:val="none"/>
        </w:rPr>
        <w:t>三、投标文件的编制</w:t>
      </w:r>
      <w:bookmarkEnd w:id="56"/>
      <w:bookmarkEnd w:id="57"/>
      <w:bookmarkEnd w:id="58"/>
    </w:p>
    <w:p w14:paraId="2CB96689">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62" w:name="_Toc254970677"/>
      <w:bookmarkStart w:id="63" w:name="_Toc254970536"/>
      <w:r>
        <w:rPr>
          <w:rFonts w:hint="eastAsia" w:ascii="宋体" w:hAnsi="宋体" w:cs="宋体"/>
          <w:color w:val="auto"/>
          <w:sz w:val="24"/>
          <w:highlight w:val="none"/>
        </w:rPr>
        <w:t>12.投标文件的编制原则</w:t>
      </w:r>
    </w:p>
    <w:p w14:paraId="72806B23">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12.1投标人必须按照招标文件的要求编制投标文件。投标文件必须对招标文件提出的要求和条件作出明确响应。</w:t>
      </w:r>
    </w:p>
    <w:p w14:paraId="0630BD4A">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2A919815">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62"/>
      <w:bookmarkEnd w:id="63"/>
    </w:p>
    <w:p w14:paraId="2EAE6001">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4111FD2A">
      <w:pPr>
        <w:pageBreakBefore w:val="0"/>
        <w:wordWrap w:val="0"/>
        <w:overflowPunct/>
        <w:topLinePunct w:val="0"/>
        <w:bidi w:val="0"/>
        <w:spacing w:line="360" w:lineRule="auto"/>
        <w:ind w:firstLine="420" w:firstLineChars="200"/>
        <w:rPr>
          <w:rFonts w:ascii="宋体" w:hAnsi="宋体" w:cs="宋体"/>
          <w:bCs/>
          <w:color w:val="auto"/>
          <w:szCs w:val="21"/>
          <w:highlight w:val="none"/>
        </w:rPr>
      </w:pPr>
      <w:bookmarkStart w:id="64" w:name="_13.1报价文件:_具体材料见“投标人须知前附表”。"/>
      <w:bookmarkEnd w:id="64"/>
      <w:bookmarkStart w:id="65" w:name="_13.2资格证明文件：具体材料见“投标人须知前附表”。"/>
      <w:bookmarkEnd w:id="65"/>
      <w:r>
        <w:rPr>
          <w:rFonts w:hint="eastAsia" w:ascii="宋体" w:hAnsi="宋体" w:cs="宋体"/>
          <w:bCs/>
          <w:color w:val="auto"/>
          <w:szCs w:val="21"/>
          <w:highlight w:val="none"/>
        </w:rPr>
        <w:t>（1）资格证明文件：具体材料见“投标人须知前附表”。</w:t>
      </w:r>
    </w:p>
    <w:p w14:paraId="79A7FCF9">
      <w:pPr>
        <w:pageBreakBefore w:val="0"/>
        <w:wordWrap w:val="0"/>
        <w:overflowPunct/>
        <w:topLinePunct w:val="0"/>
        <w:bidi w:val="0"/>
        <w:spacing w:line="360" w:lineRule="auto"/>
        <w:ind w:firstLine="420" w:firstLineChars="200"/>
        <w:rPr>
          <w:rFonts w:ascii="宋体" w:hAnsi="宋体" w:cs="宋体"/>
          <w:bCs/>
          <w:color w:val="auto"/>
          <w:szCs w:val="21"/>
          <w:highlight w:val="none"/>
        </w:rPr>
      </w:pPr>
      <w:bookmarkStart w:id="66" w:name="_13.3商务文件:_具体材料见“投标人须知前附表”。"/>
      <w:bookmarkEnd w:id="66"/>
      <w:r>
        <w:rPr>
          <w:rFonts w:hint="eastAsia" w:ascii="宋体" w:hAnsi="宋体" w:cs="宋体"/>
          <w:bCs/>
          <w:color w:val="auto"/>
          <w:szCs w:val="21"/>
          <w:highlight w:val="none"/>
        </w:rPr>
        <w:t>（2）商务文件：具体材料见“投标人须知前附表”。</w:t>
      </w:r>
    </w:p>
    <w:p w14:paraId="42997A97">
      <w:pPr>
        <w:pageBreakBefore w:val="0"/>
        <w:wordWrap w:val="0"/>
        <w:overflowPunct/>
        <w:topLinePunct w:val="0"/>
        <w:bidi w:val="0"/>
        <w:spacing w:line="360" w:lineRule="auto"/>
        <w:ind w:firstLine="420" w:firstLineChars="200"/>
        <w:rPr>
          <w:rFonts w:ascii="宋体" w:hAnsi="宋体" w:cs="宋体"/>
          <w:bCs/>
          <w:color w:val="auto"/>
          <w:szCs w:val="21"/>
          <w:highlight w:val="none"/>
        </w:rPr>
      </w:pPr>
      <w:bookmarkStart w:id="67" w:name="_13.4技术文件：具体材料见“投标人须知前附表”。"/>
      <w:bookmarkEnd w:id="67"/>
      <w:r>
        <w:rPr>
          <w:rFonts w:hint="eastAsia" w:ascii="宋体" w:hAnsi="宋体" w:cs="宋体"/>
          <w:bCs/>
          <w:color w:val="auto"/>
          <w:szCs w:val="21"/>
          <w:highlight w:val="none"/>
        </w:rPr>
        <w:t xml:space="preserve">（3）技术文件：具体材料见“投标人须知前附表”。 </w:t>
      </w:r>
    </w:p>
    <w:p w14:paraId="3BFE3465">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（4）报价文件： 具体材料见“投标人须知前附表”。</w:t>
      </w:r>
    </w:p>
    <w:p w14:paraId="53CC564B">
      <w:pPr>
        <w:pageBreakBefore w:val="0"/>
        <w:wordWrap w:val="0"/>
        <w:overflowPunct/>
        <w:topLinePunct w:val="0"/>
        <w:bidi w:val="0"/>
        <w:spacing w:line="360" w:lineRule="auto"/>
        <w:ind w:firstLine="420" w:firstLineChars="200"/>
        <w:rPr>
          <w:rFonts w:ascii="宋体" w:hAnsi="宋体" w:cs="宋体"/>
          <w:bCs/>
          <w:color w:val="auto"/>
          <w:szCs w:val="21"/>
          <w:highlight w:val="none"/>
        </w:rPr>
      </w:pPr>
      <w:bookmarkStart w:id="68" w:name="_13.5投标文件电子版：具体材料见“投标人须知前附表”。"/>
      <w:bookmarkEnd w:id="68"/>
      <w:r>
        <w:rPr>
          <w:rFonts w:hint="eastAsia" w:ascii="宋体" w:hAnsi="宋体" w:cs="宋体"/>
          <w:bCs/>
          <w:color w:val="auto"/>
          <w:szCs w:val="21"/>
          <w:highlight w:val="none"/>
        </w:rPr>
        <w:t>13.2投标文件电子版：具体要求见本节19.投标文件编制。</w:t>
      </w:r>
    </w:p>
    <w:p w14:paraId="6444FF84">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69" w:name="_Toc254970537"/>
      <w:bookmarkStart w:id="70" w:name="_Toc254970678"/>
      <w:r>
        <w:rPr>
          <w:rFonts w:hint="eastAsia" w:ascii="宋体" w:hAnsi="宋体" w:cs="宋体"/>
          <w:color w:val="auto"/>
          <w:sz w:val="24"/>
          <w:highlight w:val="none"/>
        </w:rPr>
        <w:t>14.投标文件的语言及计量</w:t>
      </w:r>
      <w:bookmarkEnd w:id="69"/>
      <w:bookmarkEnd w:id="70"/>
    </w:p>
    <w:p w14:paraId="32FF82FB">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14.1语言文字</w:t>
      </w:r>
    </w:p>
    <w:p w14:paraId="7E7E9D11">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B034F2B">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14.2投标计量单位</w:t>
      </w:r>
    </w:p>
    <w:p w14:paraId="19E8402E">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79FEEE45">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71" w:name="_Toc254970679"/>
      <w:bookmarkStart w:id="72" w:name="_Toc254970538"/>
      <w:r>
        <w:rPr>
          <w:rFonts w:hint="eastAsia" w:ascii="宋体" w:hAnsi="宋体" w:cs="宋体"/>
          <w:color w:val="auto"/>
          <w:sz w:val="24"/>
          <w:highlight w:val="none"/>
        </w:rPr>
        <w:t xml:space="preserve">15.投标文件提交的风险 </w:t>
      </w:r>
    </w:p>
    <w:p w14:paraId="52AD52CD">
      <w:pPr>
        <w:pageBreakBefore w:val="0"/>
        <w:wordWrap w:val="0"/>
        <w:overflowPunct/>
        <w:topLinePunct w:val="0"/>
        <w:bidi w:val="0"/>
        <w:spacing w:line="360" w:lineRule="auto"/>
        <w:ind w:firstLine="420" w:firstLineChars="200"/>
        <w:rPr>
          <w:rFonts w:ascii="宋体" w:hAnsi="宋体" w:cs="宋体"/>
          <w:bCs/>
          <w:color w:val="auto"/>
          <w:szCs w:val="20"/>
          <w:highlight w:val="none"/>
        </w:rPr>
      </w:pPr>
      <w:r>
        <w:rPr>
          <w:rFonts w:hint="eastAsia" w:ascii="宋体" w:hAnsi="宋体" w:cs="宋体"/>
          <w:bCs/>
          <w:color w:val="auto"/>
          <w:szCs w:val="20"/>
          <w:highlight w:val="none"/>
        </w:rPr>
        <w:t>投标文件分为资格文件、商务文件、技术文件、报价文件四部分（其中：商务文件与技术文件合并编辑 成一个电子文档）。各投标人在编制投标文件时请按照招标文件规定的编排格式进行，不按要求提交齐全 的文件、混乱的编排导致投标文件被误读或评标委员会查找不到有效文件是造成投标人投标文件无效的风 险。▲投标文件内容不齐全、未按规定的文件格式编制的、没有对招标文件作出实质性响应，投标无效；</w:t>
      </w:r>
    </w:p>
    <w:p w14:paraId="2A1B6011">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16.投标报价</w:t>
      </w:r>
      <w:bookmarkEnd w:id="71"/>
      <w:bookmarkEnd w:id="72"/>
    </w:p>
    <w:p w14:paraId="1196EEEB">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16.1投标报价应</w:t>
      </w:r>
      <w:r>
        <w:rPr>
          <w:rFonts w:hint="eastAsia" w:ascii="宋体" w:hAnsi="宋体" w:cs="宋体"/>
          <w:bCs/>
          <w:color w:val="auto"/>
          <w:szCs w:val="20"/>
          <w:highlight w:val="none"/>
        </w:rPr>
        <w:t>按“第六章　投标文件格式”中“开标一览表”格式填写。</w:t>
      </w:r>
    </w:p>
    <w:p w14:paraId="48649367">
      <w:pPr>
        <w:pageBreakBefore w:val="0"/>
        <w:wordWrap w:val="0"/>
        <w:overflowPunct/>
        <w:topLinePunct w:val="0"/>
        <w:bidi w:val="0"/>
        <w:spacing w:line="360" w:lineRule="auto"/>
        <w:ind w:firstLine="420" w:firstLineChars="200"/>
        <w:rPr>
          <w:rFonts w:ascii="宋体" w:hAnsi="宋体" w:cs="宋体"/>
          <w:bCs/>
          <w:color w:val="auto"/>
          <w:szCs w:val="21"/>
          <w:highlight w:val="none"/>
        </w:rPr>
      </w:pPr>
      <w:bookmarkStart w:id="73" w:name="_16.2投标报价具体定义见投标人须知前附表。"/>
      <w:bookmarkEnd w:id="73"/>
      <w:r>
        <w:rPr>
          <w:rFonts w:hint="eastAsia" w:ascii="宋体" w:hAnsi="宋体" w:cs="宋体"/>
          <w:bCs/>
          <w:color w:val="auto"/>
          <w:szCs w:val="21"/>
          <w:highlight w:val="none"/>
        </w:rPr>
        <w:t>16.2投标报价具体包括内容详见“投标人须知前附表”。</w:t>
      </w:r>
    </w:p>
    <w:p w14:paraId="35BD45DF">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16.3投标人必须就所投每个分标的全部内容分别作完整唯一总价报价，不得存在漏项报价；投标人必须就所投分标的单项内容作唯一报价。</w:t>
      </w:r>
    </w:p>
    <w:p w14:paraId="0A08423B">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17.投标有效期</w:t>
      </w:r>
    </w:p>
    <w:p w14:paraId="0E8E3836">
      <w:pPr>
        <w:pageBreakBefore w:val="0"/>
        <w:wordWrap w:val="0"/>
        <w:overflowPunct/>
        <w:topLinePunct w:val="0"/>
        <w:bidi w:val="0"/>
        <w:spacing w:line="360" w:lineRule="auto"/>
        <w:ind w:firstLine="420" w:firstLineChars="200"/>
        <w:rPr>
          <w:rFonts w:ascii="宋体" w:hAnsi="宋体" w:cs="宋体"/>
          <w:bCs/>
          <w:color w:val="auto"/>
          <w:szCs w:val="21"/>
          <w:highlight w:val="none"/>
        </w:rPr>
      </w:pPr>
      <w:bookmarkStart w:id="74" w:name="_17.1投标有效期应按“投标人须知中的前附表”规定的期限。"/>
      <w:bookmarkEnd w:id="74"/>
      <w:r>
        <w:rPr>
          <w:rFonts w:hint="eastAsia" w:ascii="宋体" w:hAnsi="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4B69D8C7">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17.2</w:t>
      </w:r>
      <w:bookmarkStart w:id="75" w:name="_Toc254970681"/>
      <w:bookmarkStart w:id="76" w:name="_Toc254970540"/>
      <w:r>
        <w:rPr>
          <w:rFonts w:hint="eastAsia" w:ascii="宋体" w:hAnsi="宋体" w:cs="宋体"/>
          <w:bCs/>
          <w:color w:val="auto"/>
          <w:szCs w:val="21"/>
          <w:highlight w:val="none"/>
        </w:rPr>
        <w:t xml:space="preserve"> 投标有效期应按规定的期限作出承诺，具体详见“投标人须知前附表”。</w:t>
      </w:r>
    </w:p>
    <w:p w14:paraId="0CFA27A7">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17.3投标人的投标文件在投标有效期内均保持有效。</w:t>
      </w:r>
      <w:bookmarkEnd w:id="75"/>
      <w:bookmarkEnd w:id="76"/>
    </w:p>
    <w:p w14:paraId="035DBDBB">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77" w:name="_18.投标保证金"/>
      <w:bookmarkEnd w:id="77"/>
      <w:bookmarkStart w:id="78" w:name="_Toc254970541"/>
      <w:bookmarkStart w:id="79" w:name="_Toc254970682"/>
      <w:r>
        <w:rPr>
          <w:rFonts w:hint="eastAsia" w:ascii="宋体" w:hAnsi="宋体" w:cs="宋体"/>
          <w:color w:val="auto"/>
          <w:sz w:val="24"/>
          <w:highlight w:val="none"/>
        </w:rPr>
        <w:t>18.投标保证金</w:t>
      </w:r>
      <w:bookmarkEnd w:id="78"/>
      <w:bookmarkEnd w:id="79"/>
    </w:p>
    <w:p w14:paraId="562CACC9">
      <w:pPr>
        <w:pageBreakBefore w:val="0"/>
        <w:wordWrap w:val="0"/>
        <w:overflowPunct/>
        <w:topLinePunct w:val="0"/>
        <w:bidi w:val="0"/>
        <w:spacing w:line="360" w:lineRule="auto"/>
        <w:ind w:firstLine="420" w:firstLineChars="200"/>
        <w:rPr>
          <w:rFonts w:ascii="宋体" w:hAnsi="宋体" w:cs="宋体"/>
          <w:color w:val="auto"/>
          <w:szCs w:val="21"/>
          <w:highlight w:val="none"/>
        </w:rPr>
      </w:pPr>
      <w:bookmarkStart w:id="80" w:name="_Toc254970542"/>
      <w:bookmarkStart w:id="81" w:name="_Toc254970683"/>
      <w:r>
        <w:rPr>
          <w:rFonts w:hint="eastAsia" w:ascii="宋体" w:hAnsi="宋体" w:cs="宋体"/>
          <w:color w:val="auto"/>
          <w:szCs w:val="21"/>
          <w:highlight w:val="none"/>
        </w:rPr>
        <w:t>见“投标人须知前附表”。</w:t>
      </w:r>
    </w:p>
    <w:p w14:paraId="0B90DF20">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19.投标文件的</w:t>
      </w:r>
      <w:bookmarkEnd w:id="80"/>
      <w:bookmarkEnd w:id="81"/>
      <w:r>
        <w:rPr>
          <w:rFonts w:hint="eastAsia" w:ascii="宋体" w:hAnsi="宋体" w:cs="宋体"/>
          <w:color w:val="auto"/>
          <w:sz w:val="24"/>
          <w:highlight w:val="none"/>
        </w:rPr>
        <w:t>编制</w:t>
      </w:r>
    </w:p>
    <w:p w14:paraId="71174705">
      <w:pPr>
        <w:pageBreakBefore w:val="0"/>
        <w:wordWrap w:val="0"/>
        <w:overflowPunct/>
        <w:topLinePunct w:val="0"/>
        <w:bidi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82" w:name="_19.2投标文件应按报价文件、资格证明文件、商务文件、技术文件分别编制"/>
      <w:bookmarkEnd w:id="82"/>
      <w:r>
        <w:rPr>
          <w:rFonts w:hint="eastAsia" w:ascii="宋体" w:hAnsi="宋体" w:cs="宋体"/>
          <w:color w:val="auto"/>
          <w:szCs w:val="21"/>
          <w:highlight w:val="none"/>
        </w:rPr>
        <w:t xml:space="preserve"> </w:t>
      </w:r>
    </w:p>
    <w:p w14:paraId="7AD0F2A9">
      <w:pPr>
        <w:pStyle w:val="33"/>
        <w:pageBreakBefore w:val="0"/>
        <w:wordWrap w:val="0"/>
        <w:overflowPunct/>
        <w:topLinePunct w:val="0"/>
        <w:bidi w:val="0"/>
        <w:snapToGrid w:val="0"/>
        <w:spacing w:before="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19.2投标文件按照招标文件第六章格式要求在规定位置进行签署、盖章。投标人的投标文件未按照招标文件要求签署、盖章的，</w:t>
      </w:r>
      <w:r>
        <w:rPr>
          <w:rFonts w:hint="eastAsia" w:ascii="宋体" w:hAnsi="宋体" w:cs="宋体"/>
          <w:b/>
          <w:color w:val="auto"/>
          <w:sz w:val="21"/>
          <w:szCs w:val="21"/>
          <w:highlight w:val="none"/>
        </w:rPr>
        <w:t>其投标无效。</w:t>
      </w:r>
      <w:r>
        <w:rPr>
          <w:rFonts w:hint="eastAsia" w:ascii="宋体" w:hAnsi="宋体" w:cs="宋体"/>
          <w:color w:val="auto"/>
          <w:sz w:val="21"/>
          <w:szCs w:val="21"/>
          <w:highlight w:val="none"/>
        </w:rPr>
        <w:t>骑缝盖公章不视为在规定位置盖章。</w:t>
      </w:r>
    </w:p>
    <w:p w14:paraId="0044CDFA">
      <w:pPr>
        <w:pStyle w:val="33"/>
        <w:pageBreakBefore w:val="0"/>
        <w:wordWrap w:val="0"/>
        <w:overflowPunct/>
        <w:topLinePunct w:val="0"/>
        <w:bidi w:val="0"/>
        <w:snapToGrid w:val="0"/>
        <w:spacing w:before="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19.3为确保网上操作合法、有效和安全，投标人应当在投标截止时间前完成在广西政府采购云平台的身份认证，确保在电子投标过程中能够对相关数据电文进行加密和使用电子签名。</w:t>
      </w:r>
    </w:p>
    <w:p w14:paraId="123861E3">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color w:val="auto"/>
          <w:szCs w:val="21"/>
          <w:highlight w:val="none"/>
        </w:rPr>
        <w:t>否则作无效投标处理</w:t>
      </w:r>
      <w:r>
        <w:rPr>
          <w:rFonts w:hint="eastAsia" w:ascii="宋体" w:hAnsi="宋体" w:cs="宋体"/>
          <w:b/>
          <w:color w:val="auto"/>
          <w:szCs w:val="21"/>
          <w:highlight w:val="none"/>
        </w:rPr>
        <w:t>。</w:t>
      </w:r>
    </w:p>
    <w:p w14:paraId="1EEB37CF">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19.5投标文件应避免涂改、行间插字或者删除，</w:t>
      </w:r>
      <w:r>
        <w:rPr>
          <w:rFonts w:hint="eastAsia" w:ascii="宋体" w:hAnsi="宋体" w:cs="宋体"/>
          <w:b/>
          <w:color w:val="auto"/>
          <w:szCs w:val="21"/>
          <w:highlight w:val="none"/>
        </w:rPr>
        <w:t>否则其投标无效。</w:t>
      </w:r>
    </w:p>
    <w:p w14:paraId="1F1A1056">
      <w:pPr>
        <w:pageBreakBefore w:val="0"/>
        <w:wordWrap w:val="0"/>
        <w:overflowPunct/>
        <w:topLinePunct w:val="0"/>
        <w:bidi w:val="0"/>
        <w:spacing w:line="360" w:lineRule="auto"/>
        <w:ind w:firstLine="525" w:firstLineChars="250"/>
        <w:rPr>
          <w:rFonts w:ascii="宋体" w:hAnsi="宋体" w:cs="宋体"/>
          <w:color w:val="auto"/>
          <w:highlight w:val="none"/>
        </w:rPr>
      </w:pPr>
      <w:r>
        <w:rPr>
          <w:rFonts w:hint="eastAsia" w:ascii="宋体" w:hAnsi="宋体" w:cs="宋体"/>
          <w:color w:val="auto"/>
          <w:highlight w:val="none"/>
        </w:rPr>
        <w:t>19.6 对招标文件的实质性要求和条件作出响应是指投标人必须对招标文件中标注为实质性要求和条件的</w:t>
      </w:r>
      <w:r>
        <w:rPr>
          <w:rFonts w:hint="eastAsia" w:ascii="宋体" w:hAnsi="宋体" w:cs="宋体"/>
          <w:color w:val="auto"/>
          <w:szCs w:val="21"/>
          <w:highlight w:val="none"/>
        </w:rPr>
        <w:t>服务内容及要求</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14:paraId="54659DC8">
      <w:pPr>
        <w:pageBreakBefore w:val="0"/>
        <w:wordWrap w:val="0"/>
        <w:overflowPunct/>
        <w:topLinePunct w:val="0"/>
        <w:bidi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19.7本项目为南宁市全流程电子化项目，异常情况见“第二节 投标人须知正文”中“四、24.2开标程序。</w:t>
      </w:r>
    </w:p>
    <w:p w14:paraId="5230838C">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20.备份投标文件</w:t>
      </w:r>
    </w:p>
    <w:p w14:paraId="650CCA6F">
      <w:pPr>
        <w:pageBreakBefore w:val="0"/>
        <w:wordWrap w:val="0"/>
        <w:overflowPunct/>
        <w:topLinePunct w:val="0"/>
        <w:bidi w:val="0"/>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详见在“投标人须知前附表”。</w:t>
      </w:r>
    </w:p>
    <w:p w14:paraId="30E5C5FE">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21.投标文件的提交</w:t>
      </w:r>
    </w:p>
    <w:p w14:paraId="2803006D">
      <w:pPr>
        <w:pageBreakBefore w:val="0"/>
        <w:wordWrap w:val="0"/>
        <w:overflowPunct/>
        <w:topLinePunct w:val="0"/>
        <w:bidi w:val="0"/>
        <w:spacing w:line="360" w:lineRule="auto"/>
        <w:ind w:firstLine="420" w:firstLineChars="200"/>
        <w:rPr>
          <w:rFonts w:hint="eastAsia" w:ascii="宋体" w:hAnsi="宋体" w:cs="宋体"/>
          <w:bCs/>
          <w:color w:val="auto"/>
          <w:szCs w:val="21"/>
          <w:highlight w:val="none"/>
        </w:rPr>
      </w:pPr>
      <w:bookmarkStart w:id="83" w:name="_21.1投标人必须在“投标人须知中的前附表”规定的投标文件接收时间和投"/>
      <w:bookmarkEnd w:id="83"/>
      <w:r>
        <w:rPr>
          <w:rFonts w:hint="eastAsia" w:ascii="宋体" w:hAnsi="宋体" w:cs="宋体"/>
          <w:bCs/>
          <w:color w:val="auto"/>
          <w:szCs w:val="21"/>
          <w:highlight w:val="none"/>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Pr>
          <w:rFonts w:hint="eastAsia" w:ascii="宋体" w:hAnsi="宋体" w:cs="宋体"/>
          <w:bCs/>
          <w:color w:val="auto"/>
          <w:szCs w:val="21"/>
          <w:highlight w:val="none"/>
          <w:lang w:val="en-US" w:eastAsia="zh-CN"/>
        </w:rPr>
        <w:t>广西采购</w:t>
      </w:r>
      <w:r>
        <w:rPr>
          <w:rFonts w:hint="eastAsia" w:ascii="宋体" w:hAnsi="宋体" w:cs="宋体"/>
          <w:bCs/>
          <w:color w:val="auto"/>
          <w:szCs w:val="21"/>
          <w:highlight w:val="none"/>
        </w:rPr>
        <w:t>云平台”。</w:t>
      </w:r>
    </w:p>
    <w:p w14:paraId="198D3A06">
      <w:pPr>
        <w:pageBreakBefore w:val="0"/>
        <w:wordWrap w:val="0"/>
        <w:overflowPunct/>
        <w:topLinePunct w:val="0"/>
        <w:bidi w:val="0"/>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21.2未在规定时间内提交或者未按照招标文件要求密封或者标记的电子投标文件，广西政府采购云平台将拒收。</w:t>
      </w:r>
    </w:p>
    <w:p w14:paraId="4C91906C">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21.3电子版投标文件提交方式见“招标公告”中“四、提交投标文件截止时间、开标时间和地点”</w:t>
      </w:r>
      <w:r>
        <w:rPr>
          <w:rFonts w:hint="eastAsia" w:ascii="宋体" w:hAnsi="宋体" w:cs="宋体"/>
          <w:b/>
          <w:color w:val="auto"/>
          <w:szCs w:val="21"/>
          <w:highlight w:val="none"/>
        </w:rPr>
        <w:t xml:space="preserve"> 。</w:t>
      </w:r>
    </w:p>
    <w:p w14:paraId="42543FA1">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投标文件的补充、修改、撤回与退回</w:t>
      </w:r>
      <w:bookmarkStart w:id="84" w:name="_Toc254970543"/>
      <w:bookmarkStart w:id="85" w:name="_Toc254970684"/>
    </w:p>
    <w:p w14:paraId="41585057">
      <w:pPr>
        <w:pageBreakBefore w:val="0"/>
        <w:wordWrap w:val="0"/>
        <w:overflowPunct/>
        <w:topLinePunct w:val="0"/>
        <w:bidi w:val="0"/>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bookmarkEnd w:id="84"/>
    <w:bookmarkEnd w:id="85"/>
    <w:p w14:paraId="5BBF21D6">
      <w:pPr>
        <w:pStyle w:val="33"/>
        <w:pageBreakBefore w:val="0"/>
        <w:wordWrap w:val="0"/>
        <w:overflowPunct/>
        <w:topLinePunct w:val="0"/>
        <w:bidi w:val="0"/>
        <w:spacing w:before="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22.2广西政府采购云平台收到投标文件，将妥善保存并即时向供应商发出确认回执通知。在投标截止时间前，除供应商补充、修改或者撤回投标文件外，任何单位和个人不得解密或提取投标文件。</w:t>
      </w:r>
    </w:p>
    <w:p w14:paraId="06AC7E96">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22.3在投标截止时间止提交电子版投标文件的投标人不足3家时，电子版投标文件由代理机构在广西政府采购云平台操作退回，除此之外采购人和采购代理机构对已提交的投标文件概不退回。</w:t>
      </w:r>
    </w:p>
    <w:p w14:paraId="3BC2417D">
      <w:pPr>
        <w:pStyle w:val="3"/>
        <w:pageBreakBefore w:val="0"/>
        <w:wordWrap w:val="0"/>
        <w:overflowPunct/>
        <w:topLinePunct w:val="0"/>
        <w:bidi w:val="0"/>
        <w:snapToGrid w:val="0"/>
        <w:spacing w:line="360" w:lineRule="auto"/>
        <w:ind w:firstLine="739"/>
        <w:rPr>
          <w:rFonts w:hAnsi="宋体" w:cs="宋体"/>
          <w:snapToGrid w:val="0"/>
          <w:color w:val="auto"/>
          <w:sz w:val="21"/>
          <w:szCs w:val="21"/>
          <w:highlight w:val="none"/>
        </w:rPr>
      </w:pPr>
    </w:p>
    <w:p w14:paraId="4C63C9FF">
      <w:pPr>
        <w:pStyle w:val="7"/>
        <w:keepNext w:val="0"/>
        <w:keepLines w:val="0"/>
        <w:pageBreakBefore w:val="0"/>
        <w:wordWrap w:val="0"/>
        <w:overflowPunct/>
        <w:topLinePunct w:val="0"/>
        <w:bidi w:val="0"/>
        <w:spacing w:line="360" w:lineRule="auto"/>
        <w:jc w:val="center"/>
        <w:rPr>
          <w:rFonts w:ascii="宋体" w:hAnsi="宋体" w:cs="宋体"/>
          <w:color w:val="auto"/>
          <w:highlight w:val="none"/>
        </w:rPr>
      </w:pPr>
      <w:r>
        <w:rPr>
          <w:rFonts w:hint="eastAsia" w:ascii="宋体" w:hAnsi="宋体" w:cs="宋体"/>
          <w:color w:val="auto"/>
          <w:highlight w:val="none"/>
        </w:rPr>
        <w:t>四、开    标</w:t>
      </w:r>
      <w:bookmarkEnd w:id="59"/>
      <w:bookmarkEnd w:id="60"/>
      <w:bookmarkEnd w:id="61"/>
    </w:p>
    <w:p w14:paraId="17B957CB">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86" w:name="_23.开标时间和地点"/>
      <w:bookmarkEnd w:id="86"/>
      <w:r>
        <w:rPr>
          <w:rFonts w:hint="eastAsia" w:ascii="宋体" w:hAnsi="宋体" w:cs="宋体"/>
          <w:color w:val="auto"/>
          <w:sz w:val="24"/>
          <w:highlight w:val="none"/>
        </w:rPr>
        <w:t>23.开标时间和地点</w:t>
      </w:r>
    </w:p>
    <w:p w14:paraId="46F5A703">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23.1开标时间及地点详见“投标人须知前附表”</w:t>
      </w:r>
    </w:p>
    <w:p w14:paraId="13BC8B66">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23.2如</w:t>
      </w:r>
      <w:r>
        <w:rPr>
          <w:rFonts w:hint="eastAsia" w:ascii="宋体" w:hAnsi="宋体" w:cs="宋体"/>
          <w:bCs/>
          <w:color w:val="auto"/>
          <w:highlight w:val="none"/>
        </w:rPr>
        <w:t>投标人成功解密投标文件，但未在“</w:t>
      </w:r>
      <w:r>
        <w:rPr>
          <w:rFonts w:hint="eastAsia" w:ascii="宋体" w:hAnsi="宋体" w:cs="宋体"/>
          <w:bCs/>
          <w:color w:val="auto"/>
          <w:highlight w:val="none"/>
          <w:lang w:val="en-US" w:eastAsia="zh-CN"/>
        </w:rPr>
        <w:t>广西政府采购云平台</w:t>
      </w:r>
      <w:r>
        <w:rPr>
          <w:rFonts w:hint="eastAsia" w:ascii="宋体" w:hAnsi="宋体" w:cs="宋体"/>
          <w:bCs/>
          <w:color w:val="auto"/>
          <w:highlight w:val="none"/>
        </w:rPr>
        <w:t>”电子开标大厅参加开标的，视同认可开标过程和结果，</w:t>
      </w:r>
      <w:r>
        <w:rPr>
          <w:rFonts w:hint="eastAsia" w:ascii="宋体" w:hAnsi="宋体" w:cs="宋体"/>
          <w:color w:val="auto"/>
          <w:highlight w:val="none"/>
        </w:rPr>
        <w:t>由此产生的后果由投标人自行负责。 投标人不足3家的，不得开标。</w:t>
      </w:r>
    </w:p>
    <w:p w14:paraId="42E2AEAF">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24.开标程序</w:t>
      </w:r>
    </w:p>
    <w:p w14:paraId="4D7D2EA2">
      <w:pPr>
        <w:pageBreakBefore w:val="0"/>
        <w:wordWrap w:val="0"/>
        <w:overflowPunct/>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5C1D7B90">
      <w:pPr>
        <w:pageBreakBefore w:val="0"/>
        <w:wordWrap w:val="0"/>
        <w:overflowPunct/>
        <w:topLinePunct w:val="0"/>
        <w:autoSpaceDE w:val="0"/>
        <w:autoSpaceDN w:val="0"/>
        <w:bidi w:val="0"/>
        <w:adjustRightIn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开标的准备工作由采购代理机构负责落实，采购代理机构必须基于广西政府采购云平台选取评审专家，如采购代理机构未按规定选取专家的，视为本次开评标无效，应当重新采购；</w:t>
      </w:r>
    </w:p>
    <w:p w14:paraId="778CF925">
      <w:pPr>
        <w:pageBreakBefore w:val="0"/>
        <w:wordWrap w:val="0"/>
        <w:overflowPunct/>
        <w:topLinePunct w:val="0"/>
        <w:autoSpaceDE w:val="0"/>
        <w:autoSpaceDN w:val="0"/>
        <w:bidi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2946E93">
      <w:pPr>
        <w:pageBreakBefore w:val="0"/>
        <w:wordWrap w:val="0"/>
        <w:overflowPunct/>
        <w:topLinePunct w:val="0"/>
        <w:autoSpaceDE w:val="0"/>
        <w:autoSpaceDN w:val="0"/>
        <w:bidi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24.2开标程序：</w:t>
      </w:r>
    </w:p>
    <w:p w14:paraId="2D5FC619">
      <w:pPr>
        <w:pStyle w:val="14"/>
        <w:pageBreakBefore w:val="0"/>
        <w:wordWrap w:val="0"/>
        <w:overflowPunct/>
        <w:topLinePunct w:val="0"/>
        <w:bidi w:val="0"/>
        <w:snapToGrid w:val="0"/>
        <w:spacing w:line="360" w:lineRule="auto"/>
        <w:ind w:firstLine="422" w:firstLineChars="200"/>
        <w:rPr>
          <w:rFonts w:hAnsi="宋体" w:cs="宋体"/>
          <w:color w:val="auto"/>
          <w:szCs w:val="21"/>
          <w:highlight w:val="none"/>
        </w:rPr>
      </w:pPr>
      <w:r>
        <w:rPr>
          <w:rFonts w:hint="eastAsia" w:hAnsi="宋体" w:cs="宋体"/>
          <w:b/>
          <w:color w:val="auto"/>
          <w:szCs w:val="21"/>
          <w:highlight w:val="none"/>
        </w:rPr>
        <w:t>（1）解密电子投标文件。广西政府采购云平台</w:t>
      </w:r>
      <w:r>
        <w:rPr>
          <w:rFonts w:hint="eastAsia" w:hAnsi="宋体" w:cs="宋体"/>
          <w:color w:val="auto"/>
          <w:szCs w:val="21"/>
          <w:highlight w:val="none"/>
        </w:rPr>
        <w:t>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w:t>
      </w:r>
      <w:r>
        <w:rPr>
          <w:rFonts w:hint="eastAsia" w:hAnsi="宋体" w:cs="宋体"/>
          <w:b/>
          <w:color w:val="auto"/>
          <w:szCs w:val="21"/>
          <w:highlight w:val="none"/>
        </w:rPr>
        <w:t>须携带加密时所用的CA锁准时登录到广西政府采购云平台电子开标大厅签到并对电子投标文件解密</w:t>
      </w:r>
      <w:r>
        <w:rPr>
          <w:rFonts w:hint="eastAsia" w:hAnsi="宋体" w:cs="宋体"/>
          <w:color w:val="auto"/>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hAnsi="宋体" w:cs="宋体"/>
          <w:b/>
          <w:color w:val="auto"/>
          <w:szCs w:val="21"/>
          <w:highlight w:val="none"/>
        </w:rPr>
        <w:t>均视为无效投标。</w:t>
      </w:r>
    </w:p>
    <w:p w14:paraId="3288F553">
      <w:pPr>
        <w:pStyle w:val="14"/>
        <w:pageBreakBefore w:val="0"/>
        <w:wordWrap w:val="0"/>
        <w:overflowPunct/>
        <w:topLinePunct w:val="0"/>
        <w:bidi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（解密</w:t>
      </w:r>
      <w:r>
        <w:rPr>
          <w:rFonts w:hint="eastAsia" w:hAnsi="宋体" w:cs="宋体"/>
          <w:bCs/>
          <w:color w:val="auto"/>
          <w:szCs w:val="21"/>
          <w:highlight w:val="none"/>
        </w:rPr>
        <w:t>异常情况处理：详见本章</w:t>
      </w:r>
      <w:r>
        <w:rPr>
          <w:rFonts w:hint="eastAsia" w:hAnsi="宋体" w:cs="宋体"/>
          <w:color w:val="auto"/>
          <w:highlight w:val="none"/>
        </w:rPr>
        <w:t>29.3 电子交易活动的中止。</w:t>
      </w:r>
      <w:r>
        <w:rPr>
          <w:rFonts w:hint="eastAsia" w:hAnsi="宋体" w:cs="宋体"/>
          <w:color w:val="auto"/>
          <w:szCs w:val="21"/>
          <w:highlight w:val="none"/>
        </w:rPr>
        <w:t>）</w:t>
      </w:r>
    </w:p>
    <w:p w14:paraId="38D5AE02">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电子唱标。</w:t>
      </w:r>
      <w:r>
        <w:rPr>
          <w:rFonts w:hint="eastAsia" w:ascii="宋体" w:hAnsi="宋体" w:cs="宋体"/>
          <w:color w:val="auto"/>
          <w:szCs w:val="21"/>
          <w:highlight w:val="none"/>
        </w:rPr>
        <w:t>投标文件解密结束，各投标人报价均在广西政府采购云平台远程不见面开标大厅展示；</w:t>
      </w:r>
    </w:p>
    <w:p w14:paraId="6CFA535B">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签署电子《政府采购活动现场确认声明书》。</w:t>
      </w:r>
      <w:r>
        <w:rPr>
          <w:rFonts w:hint="eastAsia" w:ascii="宋体" w:hAnsi="宋体" w:cs="宋体"/>
          <w:color w:val="auto"/>
          <w:szCs w:val="21"/>
          <w:highlight w:val="none"/>
        </w:rPr>
        <w:t>通过邮件形式在远程不见面开标大厅发送各投标人签署电子《政府采购活动现场确认声明书》。</w:t>
      </w:r>
    </w:p>
    <w:p w14:paraId="7EB5293F">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5C2845E7">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E554A60">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（6）开标结束。</w:t>
      </w:r>
    </w:p>
    <w:p w14:paraId="7CCD0F2A">
      <w:pPr>
        <w:pStyle w:val="14"/>
        <w:pageBreakBefore w:val="0"/>
        <w:wordWrap w:val="0"/>
        <w:overflowPunct/>
        <w:topLinePunct w:val="0"/>
        <w:bidi w:val="0"/>
        <w:snapToGrid w:val="0"/>
        <w:spacing w:line="360" w:lineRule="auto"/>
        <w:ind w:firstLine="422" w:firstLineChars="200"/>
        <w:rPr>
          <w:rFonts w:hAnsi="宋体" w:cs="宋体"/>
          <w:color w:val="auto"/>
          <w:szCs w:val="21"/>
          <w:highlight w:val="none"/>
        </w:rPr>
      </w:pPr>
      <w:r>
        <w:rPr>
          <w:rFonts w:hint="eastAsia" w:hAnsi="宋体" w:cs="宋体"/>
          <w:b/>
          <w:bCs/>
          <w:color w:val="auto"/>
          <w:szCs w:val="21"/>
          <w:highlight w:val="none"/>
        </w:rPr>
        <w:t>特别说明：</w:t>
      </w:r>
      <w:r>
        <w:rPr>
          <w:rFonts w:hint="eastAsia" w:hAnsi="宋体" w:cs="宋体"/>
          <w:color w:val="auto"/>
          <w:szCs w:val="21"/>
          <w:highlight w:val="none"/>
        </w:rPr>
        <w:t>如遇广西政府采购云平台电子化开标或评审程序调整的，按调整后执行。</w:t>
      </w:r>
    </w:p>
    <w:p w14:paraId="06506D94">
      <w:pPr>
        <w:pStyle w:val="14"/>
        <w:pageBreakBefore w:val="0"/>
        <w:wordWrap w:val="0"/>
        <w:overflowPunct/>
        <w:topLinePunct w:val="0"/>
        <w:bidi w:val="0"/>
        <w:snapToGrid w:val="0"/>
        <w:spacing w:line="360" w:lineRule="auto"/>
        <w:ind w:left="689" w:leftChars="228" w:hanging="210" w:hangingChars="100"/>
        <w:rPr>
          <w:rFonts w:hAnsi="宋体" w:cs="宋体"/>
          <w:color w:val="auto"/>
          <w:highlight w:val="none"/>
        </w:rPr>
      </w:pPr>
    </w:p>
    <w:p w14:paraId="435F29CD">
      <w:pPr>
        <w:pStyle w:val="7"/>
        <w:keepNext w:val="0"/>
        <w:keepLines w:val="0"/>
        <w:pageBreakBefore w:val="0"/>
        <w:wordWrap w:val="0"/>
        <w:overflowPunct/>
        <w:topLinePunct w:val="0"/>
        <w:bidi w:val="0"/>
        <w:spacing w:line="360" w:lineRule="auto"/>
        <w:jc w:val="center"/>
        <w:rPr>
          <w:rFonts w:ascii="宋体" w:hAnsi="宋体" w:cs="宋体"/>
          <w:color w:val="auto"/>
          <w:highlight w:val="none"/>
        </w:rPr>
      </w:pPr>
      <w:bookmarkStart w:id="87" w:name="_Toc25263"/>
      <w:r>
        <w:rPr>
          <w:rFonts w:hint="eastAsia" w:ascii="宋体" w:hAnsi="宋体" w:cs="宋体"/>
          <w:color w:val="auto"/>
          <w:highlight w:val="none"/>
        </w:rPr>
        <w:t>五、资格审查</w:t>
      </w:r>
      <w:bookmarkEnd w:id="87"/>
    </w:p>
    <w:p w14:paraId="55A853C1">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25.资格审查</w:t>
      </w:r>
    </w:p>
    <w:p w14:paraId="33CAA823">
      <w:pPr>
        <w:pageBreakBefore w:val="0"/>
        <w:wordWrap w:val="0"/>
        <w:overflowPunct/>
        <w:topLinePunct w:val="0"/>
        <w:bidi w:val="0"/>
        <w:spacing w:line="360" w:lineRule="auto"/>
        <w:ind w:firstLine="422" w:firstLineChars="200"/>
        <w:rPr>
          <w:rFonts w:ascii="宋体" w:hAnsi="宋体" w:cs="宋体"/>
          <w:b/>
          <w:bCs/>
          <w:color w:val="auto"/>
          <w:szCs w:val="20"/>
          <w:highlight w:val="none"/>
        </w:rPr>
      </w:pPr>
      <w:r>
        <w:rPr>
          <w:rFonts w:hint="eastAsia" w:ascii="宋体" w:hAnsi="宋体" w:cs="宋体"/>
          <w:b/>
          <w:bCs/>
          <w:color w:val="auto"/>
          <w:szCs w:val="20"/>
          <w:highlight w:val="none"/>
        </w:rPr>
        <w:t xml:space="preserve"> 25.1开标结束后，采购人或采购机构依法通过电子投标文件对投标人的资格进行线上审查。</w:t>
      </w:r>
    </w:p>
    <w:p w14:paraId="4F0CCC45">
      <w:pPr>
        <w:pageBreakBefore w:val="0"/>
        <w:wordWrap w:val="0"/>
        <w:overflowPunct/>
        <w:topLinePunct w:val="0"/>
        <w:bidi w:val="0"/>
        <w:spacing w:line="360" w:lineRule="auto"/>
        <w:ind w:firstLine="422" w:firstLineChars="200"/>
        <w:rPr>
          <w:rFonts w:ascii="宋体" w:hAnsi="宋体" w:cs="宋体"/>
          <w:b/>
          <w:bCs/>
          <w:color w:val="auto"/>
          <w:szCs w:val="20"/>
          <w:highlight w:val="none"/>
        </w:rPr>
      </w:pPr>
      <w:r>
        <w:rPr>
          <w:rFonts w:hint="eastAsia" w:ascii="宋体" w:hAnsi="宋体" w:cs="宋体"/>
          <w:b/>
          <w:bCs/>
          <w:color w:val="auto"/>
          <w:szCs w:val="20"/>
          <w:highlight w:val="none"/>
        </w:rPr>
        <w:t xml:space="preserve"> 25.2采购人或采购机构依据法律法规和招标文件的规定，对投标人的基本资格条件、特定资格条件进行审查。</w:t>
      </w:r>
    </w:p>
    <w:p w14:paraId="47E62623">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21B7E78F">
      <w:pPr>
        <w:pageBreakBefore w:val="0"/>
        <w:wordWrap w:val="0"/>
        <w:overflowPunct/>
        <w:topLinePunct w:val="0"/>
        <w:bidi w:val="0"/>
        <w:spacing w:line="360" w:lineRule="auto"/>
        <w:ind w:firstLine="422" w:firstLineChars="200"/>
        <w:rPr>
          <w:rFonts w:ascii="宋体" w:hAnsi="宋体" w:cs="宋体"/>
          <w:b/>
          <w:bCs/>
          <w:color w:val="auto"/>
          <w:szCs w:val="20"/>
          <w:highlight w:val="none"/>
        </w:rPr>
      </w:pPr>
      <w:bookmarkStart w:id="88" w:name="_25.3_投标人有下列情形之一的，资格审查不通过而导致其投标无效："/>
      <w:bookmarkEnd w:id="88"/>
      <w:r>
        <w:rPr>
          <w:rFonts w:hint="eastAsia" w:ascii="宋体" w:hAnsi="宋体" w:cs="宋体"/>
          <w:b/>
          <w:bCs/>
          <w:color w:val="auto"/>
          <w:szCs w:val="20"/>
          <w:highlight w:val="none"/>
        </w:rPr>
        <w:t>25.4投标人有下列情形之一的，资格审查不通过，作无效投标处理：</w:t>
      </w:r>
    </w:p>
    <w:p w14:paraId="23E51C0E">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（1）不具备招标文件中规定的资格要求的；（注：其中信用查询规则见“投标人须知前附表”，广西政府采购云平台已与“信用中国”平台做接口，审查专家可直接在线查询）</w:t>
      </w:r>
    </w:p>
    <w:p w14:paraId="4DC468D6">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（2）投标文件未提供任一项“投标人须知前附表”资格证明文件规定的“必须提供”的文件资料的；</w:t>
      </w:r>
    </w:p>
    <w:p w14:paraId="45223A07">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（3）投标文件提供的资格证明文件出现任一项不符合“投标人须知前附表”资格证明文件规定的“必须提供”的文件资料要求或者无效的。</w:t>
      </w:r>
    </w:p>
    <w:p w14:paraId="798653ED">
      <w:pPr>
        <w:pageBreakBefore w:val="0"/>
        <w:wordWrap w:val="0"/>
        <w:overflowPunct/>
        <w:topLinePunct w:val="0"/>
        <w:bidi w:val="0"/>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25.5资格审查的合格投标人不足3家的，不得评标。</w:t>
      </w:r>
    </w:p>
    <w:p w14:paraId="5C8A2AFA">
      <w:pPr>
        <w:pStyle w:val="7"/>
        <w:keepNext w:val="0"/>
        <w:keepLines w:val="0"/>
        <w:pageBreakBefore w:val="0"/>
        <w:wordWrap w:val="0"/>
        <w:overflowPunct/>
        <w:topLinePunct w:val="0"/>
        <w:bidi w:val="0"/>
        <w:spacing w:line="360" w:lineRule="auto"/>
        <w:jc w:val="center"/>
        <w:rPr>
          <w:rFonts w:ascii="宋体" w:hAnsi="宋体" w:cs="宋体"/>
          <w:color w:val="auto"/>
          <w:highlight w:val="none"/>
        </w:rPr>
      </w:pPr>
      <w:bookmarkStart w:id="89" w:name="_Toc31393"/>
      <w:r>
        <w:rPr>
          <w:rFonts w:hint="eastAsia" w:ascii="宋体" w:hAnsi="宋体" w:cs="宋体"/>
          <w:color w:val="auto"/>
          <w:highlight w:val="none"/>
        </w:rPr>
        <w:t>六、评   标</w:t>
      </w:r>
      <w:bookmarkEnd w:id="89"/>
    </w:p>
    <w:p w14:paraId="459B5273">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90" w:name="_26.组建评标委员会"/>
      <w:bookmarkEnd w:id="90"/>
      <w:r>
        <w:rPr>
          <w:rFonts w:hint="eastAsia" w:ascii="宋体" w:hAnsi="宋体" w:cs="宋体"/>
          <w:color w:val="auto"/>
          <w:sz w:val="24"/>
          <w:highlight w:val="none"/>
        </w:rPr>
        <w:t>26.组建评标委员会</w:t>
      </w:r>
    </w:p>
    <w:p w14:paraId="057E2158">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评标委员会由采购人代表和评审专家组成，人数为5人以上单数，其中评审专家不得少于成员总数的三分之二。</w:t>
      </w:r>
    </w:p>
    <w:p w14:paraId="7E23BE69">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参加过采购项目前期咨询论证的专家，不得参加该采购项目的评审活动。</w:t>
      </w:r>
    </w:p>
    <w:p w14:paraId="0C1F1E1E">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27.评标的依据</w:t>
      </w:r>
    </w:p>
    <w:p w14:paraId="1E1EA98B">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评标委员会以招标文件为依据对投标文件进行评审，“第四章 评标方法和评标标准”没有规定的方法、评审因素和标准，不作为评标依据。</w:t>
      </w:r>
    </w:p>
    <w:p w14:paraId="5E9AD836">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28.评标原则</w:t>
      </w:r>
    </w:p>
    <w:p w14:paraId="57346682">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B88C3BD">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91" w:name="_28.3评标方法。本项目将按须知前附表规定的评标办法进行评标，具体评标"/>
      <w:bookmarkEnd w:id="91"/>
    </w:p>
    <w:p w14:paraId="7C4AE538">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88F157C">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28.4评标过程的监控。本项目电子评标过程实行网上留痕、全程录音、录像监控，投标人在评标过程中所进行的试图影响评标结果的不公正活动，可能导致其投标按无效处理。</w:t>
      </w:r>
    </w:p>
    <w:p w14:paraId="3C874345">
      <w:pPr>
        <w:pageBreakBefore w:val="0"/>
        <w:widowControl/>
        <w:wordWrap w:val="0"/>
        <w:overflowPunct/>
        <w:topLinePunct w:val="0"/>
        <w:bidi w:val="0"/>
        <w:spacing w:line="360" w:lineRule="auto"/>
        <w:ind w:firstLine="420" w:firstLineChars="200"/>
        <w:jc w:val="left"/>
        <w:textAlignment w:val="baseline"/>
        <w:rPr>
          <w:rFonts w:ascii="宋体" w:hAnsi="宋体" w:cs="宋体"/>
          <w:color w:val="auto"/>
          <w:highlight w:val="none"/>
        </w:rPr>
      </w:pPr>
      <w:r>
        <w:rPr>
          <w:rFonts w:hint="eastAsia" w:ascii="宋体" w:hAnsi="宋体" w:cs="宋体"/>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D31613F">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29.评标方法及评标标准</w:t>
      </w:r>
    </w:p>
    <w:p w14:paraId="7E2773FE">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29.1本项目的评标方法详见“投标人须知前附表”。</w:t>
      </w:r>
    </w:p>
    <w:p w14:paraId="6821D5C3">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29.2 评标委员会按照</w:t>
      </w:r>
      <w:r>
        <w:rPr>
          <w:rFonts w:hint="eastAsia" w:ascii="宋体" w:hAnsi="宋体" w:cs="宋体"/>
          <w:b/>
          <w:color w:val="auto"/>
          <w:highlight w:val="none"/>
        </w:rPr>
        <w:t>“第四章 评标方法和评标标准”</w:t>
      </w:r>
      <w:r>
        <w:rPr>
          <w:rFonts w:hint="eastAsia" w:ascii="宋体" w:hAnsi="宋体" w:cs="宋体"/>
          <w:color w:val="auto"/>
          <w:highlight w:val="none"/>
        </w:rPr>
        <w:t>规定的方法、评审因素、标准和程序对投标文件进行评审。</w:t>
      </w:r>
    </w:p>
    <w:p w14:paraId="057D9982">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1CB7DE5F">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1E5E6AEB">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2B003577">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2B598FD6">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15ED8A9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）其他无法保证电子交易的公平、公正和安全的情况。</w:t>
      </w:r>
    </w:p>
    <w:p w14:paraId="3647DBC1">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BDA0FB9">
      <w:pPr>
        <w:pStyle w:val="14"/>
        <w:pageBreakBefore w:val="0"/>
        <w:wordWrap w:val="0"/>
        <w:overflowPunct/>
        <w:topLinePunct w:val="0"/>
        <w:bidi w:val="0"/>
        <w:snapToGrid w:val="0"/>
        <w:spacing w:line="360" w:lineRule="auto"/>
        <w:ind w:firstLine="420" w:firstLineChars="200"/>
        <w:rPr>
          <w:rFonts w:hAnsi="宋体" w:cs="宋体"/>
          <w:color w:val="auto"/>
          <w:highlight w:val="none"/>
        </w:rPr>
      </w:pPr>
    </w:p>
    <w:p w14:paraId="0A10A19F">
      <w:pPr>
        <w:pStyle w:val="7"/>
        <w:keepNext w:val="0"/>
        <w:keepLines w:val="0"/>
        <w:pageBreakBefore w:val="0"/>
        <w:wordWrap w:val="0"/>
        <w:overflowPunct/>
        <w:topLinePunct w:val="0"/>
        <w:bidi w:val="0"/>
        <w:spacing w:line="360" w:lineRule="auto"/>
        <w:jc w:val="center"/>
        <w:rPr>
          <w:rFonts w:ascii="宋体" w:hAnsi="宋体" w:cs="宋体"/>
          <w:color w:val="auto"/>
          <w:highlight w:val="none"/>
        </w:rPr>
      </w:pPr>
      <w:bookmarkStart w:id="92" w:name="_Toc254970546"/>
      <w:bookmarkStart w:id="93" w:name="_Toc254970687"/>
      <w:bookmarkStart w:id="94" w:name="_Toc19723"/>
      <w:r>
        <w:rPr>
          <w:rFonts w:hint="eastAsia" w:ascii="宋体" w:hAnsi="宋体" w:cs="宋体"/>
          <w:color w:val="auto"/>
          <w:highlight w:val="none"/>
        </w:rPr>
        <w:t>七、</w:t>
      </w:r>
      <w:bookmarkEnd w:id="92"/>
      <w:bookmarkEnd w:id="93"/>
      <w:r>
        <w:rPr>
          <w:rFonts w:hint="eastAsia" w:ascii="宋体" w:hAnsi="宋体" w:cs="宋体"/>
          <w:color w:val="auto"/>
          <w:highlight w:val="none"/>
        </w:rPr>
        <w:t>中标和合同</w:t>
      </w:r>
      <w:bookmarkEnd w:id="94"/>
    </w:p>
    <w:p w14:paraId="5D0BD546">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30.确定中标供应商</w:t>
      </w:r>
    </w:p>
    <w:p w14:paraId="10A49D5E">
      <w:pPr>
        <w:pageBreakBefore w:val="0"/>
        <w:wordWrap w:val="0"/>
        <w:overflowPunct/>
        <w:topLinePunct w:val="0"/>
        <w:bidi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30.1本项目授权评标委员会直接按第四章“评标方法及标准”的规定排列中标候选人顺序，并依照次序确定中标供应商。</w:t>
      </w:r>
    </w:p>
    <w:p w14:paraId="66B752A5">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供应商的，应当依法另行确定中标供应商；否则应当重新开展采购活动。</w:t>
      </w:r>
    </w:p>
    <w:p w14:paraId="3A0955B7">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30.3中标供应商无正当理由拒签合同的，根据《中华人民共和国政府采购法》第七十七条第一款规定处理。</w:t>
      </w:r>
    </w:p>
    <w:p w14:paraId="5724E6D4">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30.4根据《中华人民共和国民法典》</w:t>
      </w:r>
      <w:r>
        <w:rPr>
          <w:rFonts w:hint="eastAsia" w:ascii="宋体" w:hAnsi="宋体" w:cs="宋体"/>
          <w:color w:val="auto"/>
          <w:sz w:val="19"/>
          <w:szCs w:val="19"/>
          <w:highlight w:val="none"/>
        </w:rPr>
        <w:t>第五百六十三条</w:t>
      </w:r>
      <w:r>
        <w:rPr>
          <w:rFonts w:hint="eastAsia" w:ascii="宋体" w:hAnsi="宋体" w:cs="宋体"/>
          <w:color w:val="auto"/>
          <w:szCs w:val="21"/>
          <w:highlight w:val="none"/>
        </w:rPr>
        <w:t>，因不可抗力致使不能实现合同目的的，当事人可以解除合同。</w:t>
      </w:r>
    </w:p>
    <w:p w14:paraId="59D9A4F0">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结果公告</w:t>
      </w:r>
    </w:p>
    <w:p w14:paraId="50637D34">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31.1</w:t>
      </w:r>
      <w:r>
        <w:rPr>
          <w:rFonts w:hint="eastAsia" w:ascii="宋体" w:hAnsi="宋体" w:cs="宋体"/>
          <w:color w:val="auto"/>
          <w:highlight w:val="none"/>
        </w:rPr>
        <w:t>在中标供应商确定之日起2个工作日内，由采购代理机构</w:t>
      </w:r>
      <w:r>
        <w:rPr>
          <w:rFonts w:hint="eastAsia" w:ascii="宋体" w:hAnsi="宋体" w:cs="宋体"/>
          <w:b/>
          <w:color w:val="auto"/>
          <w:szCs w:val="21"/>
          <w:highlight w:val="none"/>
        </w:rPr>
        <w:t>在招标公告发布媒体上</w:t>
      </w:r>
      <w:r>
        <w:rPr>
          <w:rFonts w:hint="eastAsia" w:ascii="宋体" w:hAnsi="宋体" w:cs="宋体"/>
          <w:color w:val="auto"/>
          <w:highlight w:val="none"/>
        </w:rPr>
        <w:t>发布中标结果公告，中标结果公告期限为1个工作日，发布中标结果公告的同时向中标供应商发出中标通知书。</w:t>
      </w:r>
      <w:r>
        <w:rPr>
          <w:rFonts w:hint="eastAsia" w:ascii="宋体" w:hAnsi="宋体" w:cs="宋体"/>
          <w:b/>
          <w:color w:val="auto"/>
          <w:szCs w:val="21"/>
          <w:highlight w:val="none"/>
        </w:rPr>
        <w:t>采购代理机构发出中标通知书前，应当对中标供应商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供应商。</w:t>
      </w:r>
      <w:r>
        <w:rPr>
          <w:rFonts w:hint="eastAsia" w:ascii="宋体" w:hAnsi="宋体" w:cs="宋体"/>
          <w:color w:val="auto"/>
          <w:szCs w:val="21"/>
          <w:highlight w:val="none"/>
        </w:rPr>
        <w:t>排名第二的中标候选人因前款规定的同样原因被取消中标资格的，授权的评标委员会可以确定排名第三的中标候选人为中标供应商，以此类推。</w:t>
      </w:r>
    </w:p>
    <w:p w14:paraId="4D4683B8">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1B87E3D2">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4FA727A3">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32.发出中标通知书</w:t>
      </w:r>
    </w:p>
    <w:p w14:paraId="600188EA">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32.1在发布中标公告的同时，采购代理机构向中标供应商通过广西政府采购云平台发出电子中标通知书。</w:t>
      </w:r>
    </w:p>
    <w:p w14:paraId="24618ED9">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32.2对未通过资格审查的投标人，采购人或采购机构应当告知其未通过的原因；采用综合评分办法评审的，采购人或采购机构还应当告知未中标供应商本人的评审得分与排序。</w:t>
      </w:r>
    </w:p>
    <w:p w14:paraId="62BE1E81">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14:paraId="743E75DE">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采购代理机构无义务向未中标的投标人解释未中标原因和退还投标文件。</w:t>
      </w:r>
    </w:p>
    <w:p w14:paraId="59FF4BC2">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34.合同授予标准</w:t>
      </w:r>
    </w:p>
    <w:p w14:paraId="60C21388">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合同将授予被确定实质上响应招标文件要求，具备履行合同能力的中标供应商（招标文件另有约定多名中标供应商的除外）。</w:t>
      </w:r>
    </w:p>
    <w:p w14:paraId="62E8147C">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35.履约保证金</w:t>
      </w:r>
    </w:p>
    <w:p w14:paraId="2FB7B666">
      <w:pPr>
        <w:pageBreakBefore w:val="0"/>
        <w:wordWrap w:val="0"/>
        <w:overflowPunct/>
        <w:topLinePunct w:val="0"/>
        <w:bidi w:val="0"/>
        <w:spacing w:line="360" w:lineRule="auto"/>
        <w:ind w:firstLine="420" w:firstLineChars="200"/>
        <w:rPr>
          <w:rFonts w:ascii="宋体" w:hAnsi="宋体" w:cs="宋体"/>
          <w:color w:val="auto"/>
          <w:szCs w:val="21"/>
          <w:highlight w:val="none"/>
        </w:rPr>
      </w:pPr>
      <w:bookmarkStart w:id="95" w:name="_39.1中标人须于签订合同前按本须知前附表规定的金额转账或电汇到指定账"/>
      <w:bookmarkEnd w:id="95"/>
      <w:r>
        <w:rPr>
          <w:rFonts w:hint="eastAsia" w:ascii="宋体" w:hAnsi="宋体" w:cs="宋体"/>
          <w:color w:val="auto"/>
          <w:szCs w:val="21"/>
          <w:highlight w:val="none"/>
        </w:rPr>
        <w:t>见“投标人须知前附表”。</w:t>
      </w:r>
    </w:p>
    <w:p w14:paraId="7E13CAC6">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36.签订合同</w:t>
      </w:r>
    </w:p>
    <w:p w14:paraId="39B1E782">
      <w:pPr>
        <w:pStyle w:val="33"/>
        <w:pageBreakBefore w:val="0"/>
        <w:wordWrap w:val="0"/>
        <w:overflowPunct/>
        <w:topLinePunct w:val="0"/>
        <w:bidi w:val="0"/>
        <w:snapToGrid w:val="0"/>
        <w:spacing w:before="0" w:line="360" w:lineRule="auto"/>
        <w:ind w:firstLine="422"/>
        <w:rPr>
          <w:rFonts w:ascii="宋体" w:hAnsi="宋体" w:cs="宋体"/>
          <w:color w:val="auto"/>
          <w:kern w:val="0"/>
          <w:sz w:val="21"/>
          <w:szCs w:val="21"/>
          <w:highlight w:val="none"/>
          <w:lang w:val="zh-CN"/>
        </w:rPr>
      </w:pPr>
      <w:bookmarkStart w:id="96" w:name="_40.1投标人接到中标通知书后，按须知前附表规定向采购人出示相关资格证"/>
      <w:bookmarkEnd w:id="96"/>
      <w:r>
        <w:rPr>
          <w:rFonts w:hint="eastAsia" w:ascii="宋体" w:hAnsi="宋体" w:cs="宋体"/>
          <w:b/>
          <w:color w:val="auto"/>
          <w:sz w:val="21"/>
          <w:szCs w:val="21"/>
          <w:highlight w:val="none"/>
        </w:rPr>
        <w:t xml:space="preserve"> 36.1中标供应商领取电子中标通知书后，</w:t>
      </w:r>
      <w:r>
        <w:rPr>
          <w:rFonts w:hint="eastAsia" w:ascii="宋体" w:hAnsi="宋体" w:cs="宋体"/>
          <w:color w:val="auto"/>
          <w:kern w:val="0"/>
          <w:sz w:val="21"/>
          <w:szCs w:val="21"/>
          <w:highlight w:val="none"/>
          <w:lang w:val="zh-CN"/>
        </w:rPr>
        <w:t>按规定的日期、时间、地点，由法定代表人或其授权代表与采购人代表签订电子采购合同。如中标供应商为联合体的，由联合体成员各方法定代表人或其授权代表与采购人代表签订合同，签订携带资料详见“投标人须知前附表”。</w:t>
      </w:r>
    </w:p>
    <w:p w14:paraId="370B5D71">
      <w:pPr>
        <w:pStyle w:val="33"/>
        <w:pageBreakBefore w:val="0"/>
        <w:wordWrap w:val="0"/>
        <w:overflowPunct/>
        <w:topLinePunct w:val="0"/>
        <w:bidi w:val="0"/>
        <w:snapToGrid w:val="0"/>
        <w:spacing w:before="0" w:line="360" w:lineRule="auto"/>
        <w:ind w:firstLine="42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36.2</w:t>
      </w:r>
      <w:r>
        <w:rPr>
          <w:rFonts w:hint="eastAsia" w:ascii="宋体" w:hAnsi="宋体" w:cs="宋体"/>
          <w:color w:val="auto"/>
          <w:sz w:val="21"/>
          <w:szCs w:val="21"/>
          <w:highlight w:val="none"/>
        </w:rPr>
        <w:t>采购合同由采购人与中标供应商根据招标文件、投标文件等内容通过政府采购电子交易平台在线签订，自动备案。</w:t>
      </w:r>
    </w:p>
    <w:p w14:paraId="668253BC">
      <w:pPr>
        <w:pStyle w:val="33"/>
        <w:pageBreakBefore w:val="0"/>
        <w:wordWrap w:val="0"/>
        <w:overflowPunct/>
        <w:topLinePunct w:val="0"/>
        <w:bidi w:val="0"/>
        <w:snapToGrid w:val="0"/>
        <w:spacing w:before="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36.3签订合同时间：按中标通知书规定的时间与采购人签订合同（最长不能超过25日）。</w:t>
      </w:r>
    </w:p>
    <w:p w14:paraId="5BA57C1E">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36.4中标供应商拒绝与采购人签订合同的，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5A4083D3">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0B2B1D9">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0E35EF69">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36.7如签订合同并生效后，供应商无故拒绝或延期，除按照合同条款处理外，将承担相应的法律责任。</w:t>
      </w:r>
    </w:p>
    <w:p w14:paraId="1A1718B8">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4D899709">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97" w:name="_41.政府采购合同公告"/>
      <w:bookmarkEnd w:id="97"/>
      <w:r>
        <w:rPr>
          <w:rFonts w:hint="eastAsia" w:ascii="宋体" w:hAnsi="宋体" w:cs="宋体"/>
          <w:color w:val="auto"/>
          <w:sz w:val="24"/>
          <w:highlight w:val="none"/>
        </w:rPr>
        <w:t>37.政府采购合同公告</w:t>
      </w:r>
    </w:p>
    <w:p w14:paraId="5E7805C9">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070427FA">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49106BD9">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38.1询问</w:t>
      </w:r>
    </w:p>
    <w:p w14:paraId="7784CD8A">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38.1.1供应商在开标前对政府采购活动事项有疑问的，可以向采购人或采购代理机构项目负责人提出询问。</w:t>
      </w:r>
    </w:p>
    <w:p w14:paraId="63EDB536">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38.1.2采购人或采购人委托的采购代理机构自受理询问之日起3个工作日内对供应商依法提出的询问作出答复，</w:t>
      </w:r>
      <w:r>
        <w:rPr>
          <w:rFonts w:hint="eastAsia" w:ascii="宋体" w:hAnsi="宋体" w:cs="宋体"/>
          <w:color w:val="auto"/>
          <w:highlight w:val="none"/>
        </w:rPr>
        <w:t>但答复内容不得涉及商业秘密</w:t>
      </w:r>
      <w:r>
        <w:rPr>
          <w:rFonts w:hint="eastAsia" w:ascii="宋体" w:hAnsi="宋体" w:cs="宋体"/>
          <w:bCs/>
          <w:color w:val="auto"/>
          <w:szCs w:val="21"/>
          <w:highlight w:val="none"/>
        </w:rPr>
        <w:t>。</w:t>
      </w:r>
    </w:p>
    <w:p w14:paraId="22100792">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38.1.3 询问事项可能影响中标、成交结果的，采购人应当暂停签订合同，已经签订合同的，应当中止履行合同。</w:t>
      </w:r>
    </w:p>
    <w:p w14:paraId="1B0BB822">
      <w:pPr>
        <w:pageBreakBefore w:val="0"/>
        <w:wordWrap w:val="0"/>
        <w:overflowPunct/>
        <w:topLinePunct w:val="0"/>
        <w:bidi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38.2质疑</w:t>
      </w:r>
    </w:p>
    <w:p w14:paraId="76B36959">
      <w:pPr>
        <w:pageBreakBefore w:val="0"/>
        <w:wordWrap w:val="0"/>
        <w:overflowPunct/>
        <w:topLinePunct w:val="0"/>
        <w:bidi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38.2.1</w:t>
      </w:r>
      <w:r>
        <w:rPr>
          <w:rFonts w:hint="eastAsia" w:ascii="宋体" w:hAnsi="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7EBB0CD7">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（1）潜在供应商依法获取公开招标文件后，认为采购文件使自己的权益受到损害的，应当在公开招标文件公告期限届满之日起7个工作日内提出质疑。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65E6A13E">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D7A46D3">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495840D9">
      <w:pPr>
        <w:pageBreakBefore w:val="0"/>
        <w:wordWrap w:val="0"/>
        <w:overflowPunct/>
        <w:topLinePunct w:val="0"/>
        <w:bidi w:val="0"/>
        <w:spacing w:line="360" w:lineRule="auto"/>
        <w:ind w:firstLine="422" w:firstLineChars="200"/>
        <w:rPr>
          <w:rFonts w:ascii="宋体" w:hAnsi="宋体" w:cs="宋体"/>
          <w:bCs/>
          <w:color w:val="auto"/>
          <w:szCs w:val="21"/>
          <w:highlight w:val="none"/>
        </w:rPr>
      </w:pPr>
      <w:r>
        <w:rPr>
          <w:rFonts w:hint="eastAsia" w:ascii="宋体" w:hAnsi="宋体" w:cs="宋体"/>
          <w:b/>
          <w:bCs/>
          <w:color w:val="auto"/>
          <w:szCs w:val="21"/>
          <w:highlight w:val="none"/>
        </w:rPr>
        <w:t>38.2.2</w:t>
      </w:r>
      <w:r>
        <w:rPr>
          <w:rFonts w:hint="eastAsia" w:ascii="宋体" w:hAnsi="宋体" w:cs="宋体"/>
          <w:bCs/>
          <w:color w:val="auto"/>
          <w:szCs w:val="21"/>
          <w:highlight w:val="none"/>
        </w:rPr>
        <w:t>供应商质疑实行实名制，其质疑应当有具体的质疑事项及事实根据，质疑应当坚持依法依规、诚实信用原则，不得进行虚假、恶意质疑。</w:t>
      </w:r>
    </w:p>
    <w:p w14:paraId="76496836">
      <w:pPr>
        <w:pageBreakBefore w:val="0"/>
        <w:wordWrap w:val="0"/>
        <w:overflowPunct/>
        <w:topLinePunct w:val="0"/>
        <w:bidi w:val="0"/>
        <w:spacing w:line="360" w:lineRule="auto"/>
        <w:ind w:firstLine="422" w:firstLineChars="200"/>
        <w:rPr>
          <w:rFonts w:ascii="宋体" w:hAnsi="宋体" w:cs="宋体"/>
          <w:bCs/>
          <w:color w:val="auto"/>
          <w:highlight w:val="none"/>
        </w:rPr>
      </w:pPr>
      <w:r>
        <w:rPr>
          <w:rFonts w:hint="eastAsia" w:ascii="宋体" w:hAnsi="宋体" w:cs="宋体"/>
          <w:b/>
          <w:bCs/>
          <w:color w:val="auto"/>
          <w:highlight w:val="none"/>
        </w:rPr>
        <w:t>38.2.3</w:t>
      </w:r>
      <w:r>
        <w:rPr>
          <w:rFonts w:hint="eastAsia" w:ascii="宋体" w:hAnsi="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highlight w:val="none"/>
        </w:rPr>
        <w:t>。</w:t>
      </w:r>
    </w:p>
    <w:p w14:paraId="06FFF3F6">
      <w:pPr>
        <w:pageBreakBefore w:val="0"/>
        <w:wordWrap w:val="0"/>
        <w:overflowPunct/>
        <w:topLinePunct w:val="0"/>
        <w:bidi w:val="0"/>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38.2.4 质疑供应商提起质疑应当符合下列条件：</w:t>
      </w:r>
    </w:p>
    <w:p w14:paraId="26B3BCD3">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（1）质疑供应商是参与所质疑</w:t>
      </w:r>
      <w:r>
        <w:rPr>
          <w:rFonts w:hint="eastAsia" w:ascii="宋体" w:hAnsi="宋体" w:cs="宋体"/>
          <w:bCs/>
          <w:color w:val="auto"/>
          <w:szCs w:val="21"/>
          <w:highlight w:val="none"/>
        </w:rPr>
        <w:t>项目</w:t>
      </w:r>
      <w:r>
        <w:rPr>
          <w:rFonts w:hint="eastAsia" w:ascii="宋体" w:hAnsi="宋体" w:cs="宋体"/>
          <w:bCs/>
          <w:color w:val="auto"/>
          <w:highlight w:val="none"/>
        </w:rPr>
        <w:t>采购活动的供应商（潜在供应商已依法获取可之一的采购文件的，可以对该采购文件质疑）；</w:t>
      </w:r>
    </w:p>
    <w:p w14:paraId="15DC4B91">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（2）质疑函内容符合本章第38.2.5项的规定；</w:t>
      </w:r>
    </w:p>
    <w:p w14:paraId="420E4462">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（3）在质疑有效期限内提起质疑；</w:t>
      </w:r>
    </w:p>
    <w:p w14:paraId="58CB4E1A">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（4）属于所质疑的采购人或采购人委托的采购代理机构组织的采购活动；</w:t>
      </w:r>
    </w:p>
    <w:p w14:paraId="455DE3ED">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xml:space="preserve">（5）同一质疑事项未经采购人或采购人委托的采购代理机构质疑处理； </w:t>
      </w:r>
    </w:p>
    <w:p w14:paraId="121C1CC6">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（6）供应商对同一采购程序环节的质疑应当在质疑有效期内一次性提出；</w:t>
      </w:r>
    </w:p>
    <w:p w14:paraId="619AE03F">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（7）供应商提交质疑应当提交必要的证明材料，证明材料应以合法手段取得；</w:t>
      </w:r>
    </w:p>
    <w:p w14:paraId="69EC573D">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bCs/>
          <w:color w:val="auto"/>
          <w:highlight w:val="none"/>
        </w:rPr>
        <w:t>（8）财政部门规定的其他条件。</w:t>
      </w:r>
    </w:p>
    <w:p w14:paraId="4D1E23A4">
      <w:pPr>
        <w:pageBreakBefore w:val="0"/>
        <w:wordWrap w:val="0"/>
        <w:overflowPunct/>
        <w:topLinePunct w:val="0"/>
        <w:bidi w:val="0"/>
        <w:spacing w:line="360" w:lineRule="auto"/>
        <w:ind w:firstLine="420" w:firstLineChars="200"/>
        <w:rPr>
          <w:rFonts w:ascii="宋体" w:hAnsi="宋体" w:cs="宋体"/>
          <w:b/>
          <w:color w:val="auto"/>
          <w:szCs w:val="21"/>
          <w:highlight w:val="none"/>
        </w:rPr>
      </w:pPr>
      <w:bookmarkStart w:id="98" w:name="_9.2质疑、投诉应当采用书面形式，质疑函、投诉书均应明确阐述招标文件、"/>
      <w:bookmarkEnd w:id="98"/>
      <w:r>
        <w:rPr>
          <w:rFonts w:hint="eastAsia" w:ascii="宋体" w:hAnsi="宋体" w:cs="宋体"/>
          <w:color w:val="auto"/>
          <w:szCs w:val="21"/>
          <w:highlight w:val="none"/>
        </w:rPr>
        <w:t xml:space="preserve"> 38.2.5 </w:t>
      </w:r>
      <w:r>
        <w:rPr>
          <w:rFonts w:hint="eastAsia" w:ascii="宋体" w:hAnsi="宋体" w:cs="宋体"/>
          <w:bCs/>
          <w:color w:val="auto"/>
          <w:highlight w:val="none"/>
        </w:rPr>
        <w:t>供应商提出质疑应当提交质疑函和必要的证明材料，针对同一采购程序环节的质疑必须在法定质疑期内一次性提出。质疑函应当包括下列内容（质疑函格式后附）：</w:t>
      </w:r>
    </w:p>
    <w:p w14:paraId="18DE7F89">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（1）供应商的姓名或者名称、地址、邮编、联系人及联系电话；</w:t>
      </w:r>
    </w:p>
    <w:p w14:paraId="58C9B212">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（2）质疑项目的名称、编号；</w:t>
      </w:r>
    </w:p>
    <w:p w14:paraId="5A137AFA">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（3）具体、明确的质疑事项和与质疑事项相关的请求；</w:t>
      </w:r>
    </w:p>
    <w:p w14:paraId="3860CE40">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（4）事实依据（列明权益受到损害的事实和理由）；</w:t>
      </w:r>
    </w:p>
    <w:p w14:paraId="5BB414F2">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（5）必要的法律依据；</w:t>
      </w:r>
    </w:p>
    <w:p w14:paraId="261CFA01">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（6）提出质疑的日期。</w:t>
      </w:r>
    </w:p>
    <w:p w14:paraId="03F2BB98">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供应商为自然人的，应当由本人签字；供应商为法人或者其他组织的，应当由法定代表人、主要负责人，或者其委托代理人签字或者盖章，并加盖公章。</w:t>
      </w:r>
    </w:p>
    <w:p w14:paraId="2F124BD9">
      <w:pPr>
        <w:pageBreakBefore w:val="0"/>
        <w:wordWrap w:val="0"/>
        <w:overflowPunct/>
        <w:topLinePunct w:val="0"/>
        <w:bidi w:val="0"/>
        <w:spacing w:line="360" w:lineRule="auto"/>
        <w:ind w:firstLine="422" w:firstLineChars="200"/>
        <w:rPr>
          <w:rFonts w:ascii="宋体" w:hAnsi="宋体" w:cs="宋体"/>
          <w:b/>
          <w:color w:val="auto"/>
          <w:szCs w:val="20"/>
          <w:highlight w:val="none"/>
        </w:rPr>
      </w:pPr>
      <w:r>
        <w:rPr>
          <w:rFonts w:hint="eastAsia" w:ascii="宋体" w:hAnsi="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24CBC910">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20233446">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34605422">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3E45D00E">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质疑答复导致中标结果改变的，采购人或者采购代理机构应当将有关情况书面报告本级财政部门。</w:t>
      </w:r>
    </w:p>
    <w:p w14:paraId="0633EC09">
      <w:pPr>
        <w:pageBreakBefore w:val="0"/>
        <w:wordWrap w:val="0"/>
        <w:overflowPunct/>
        <w:topLinePunct w:val="0"/>
        <w:bidi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38.3投诉</w:t>
      </w:r>
    </w:p>
    <w:p w14:paraId="549D7641">
      <w:pPr>
        <w:pageBreakBefore w:val="0"/>
        <w:wordWrap w:val="0"/>
        <w:overflowPunct/>
        <w:topLinePunct w:val="0"/>
        <w:bidi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38.3</w:t>
      </w:r>
      <w:r>
        <w:rPr>
          <w:rFonts w:hint="eastAsia" w:ascii="宋体" w:hAnsi="宋体" w:cs="宋体"/>
          <w:bCs/>
          <w:color w:val="auto"/>
          <w:highlight w:val="none"/>
        </w:rPr>
        <w:t>.</w:t>
      </w:r>
      <w:r>
        <w:rPr>
          <w:rFonts w:hint="eastAsia" w:ascii="宋体" w:hAnsi="宋体" w:cs="宋体"/>
          <w:b/>
          <w:bCs/>
          <w:color w:val="auto"/>
          <w:highlight w:val="none"/>
        </w:rPr>
        <w:t xml:space="preserve">1 </w:t>
      </w:r>
      <w:r>
        <w:rPr>
          <w:rFonts w:hint="eastAsia" w:ascii="宋体" w:hAnsi="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cs="宋体"/>
          <w:color w:val="auto"/>
          <w:highlight w:val="none"/>
        </w:rPr>
        <w:t>采购代理机构</w:t>
      </w:r>
      <w:r>
        <w:rPr>
          <w:rFonts w:hint="eastAsia" w:ascii="宋体" w:hAnsi="宋体" w:cs="宋体"/>
          <w:bCs/>
          <w:color w:val="auto"/>
          <w:highlight w:val="none"/>
        </w:rPr>
        <w:t>提出质疑。对采购人、</w:t>
      </w:r>
      <w:r>
        <w:rPr>
          <w:rFonts w:hint="eastAsia" w:ascii="宋体" w:hAnsi="宋体" w:cs="宋体"/>
          <w:color w:val="auto"/>
          <w:highlight w:val="none"/>
        </w:rPr>
        <w:t>采购代理机构</w:t>
      </w:r>
      <w:r>
        <w:rPr>
          <w:rFonts w:hint="eastAsia" w:ascii="宋体" w:hAnsi="宋体" w:cs="宋体"/>
          <w:bCs/>
          <w:color w:val="auto"/>
          <w:highlight w:val="none"/>
        </w:rPr>
        <w:t>的答复不满意，或者采购人、</w:t>
      </w:r>
      <w:r>
        <w:rPr>
          <w:rFonts w:hint="eastAsia" w:ascii="宋体" w:hAnsi="宋体" w:cs="宋体"/>
          <w:color w:val="auto"/>
          <w:highlight w:val="none"/>
        </w:rPr>
        <w:t>采购代理机构</w:t>
      </w:r>
      <w:r>
        <w:rPr>
          <w:rFonts w:hint="eastAsia" w:ascii="宋体" w:hAnsi="宋体" w:cs="宋体"/>
          <w:bCs/>
          <w:color w:val="auto"/>
          <w:highlight w:val="none"/>
        </w:rPr>
        <w:t>未在规定期限内做出答复的，供应商可以在答复期满后15个工作日内向南宁市政府采购监督管理部门提起投诉，投诉方式见“投标人须知前附表”。</w:t>
      </w:r>
    </w:p>
    <w:p w14:paraId="4DFEABAF">
      <w:pPr>
        <w:pageBreakBefore w:val="0"/>
        <w:wordWrap w:val="0"/>
        <w:overflowPunct/>
        <w:topLinePunct w:val="0"/>
        <w:bidi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38.3.2 </w:t>
      </w:r>
      <w:r>
        <w:rPr>
          <w:rFonts w:hint="eastAsia" w:ascii="宋体" w:hAnsi="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cs="宋体"/>
          <w:color w:val="auto"/>
          <w:szCs w:val="21"/>
          <w:highlight w:val="none"/>
        </w:rPr>
        <w:t>应当包括下列主要内容</w:t>
      </w:r>
      <w:r>
        <w:rPr>
          <w:rFonts w:hint="eastAsia" w:ascii="宋体" w:hAnsi="宋体" w:cs="宋体"/>
          <w:color w:val="auto"/>
          <w:highlight w:val="none"/>
        </w:rPr>
        <w:t>（如材料中有外文资料应同时附上对应的中文译本）</w:t>
      </w:r>
      <w:r>
        <w:rPr>
          <w:rFonts w:hint="eastAsia" w:ascii="宋体" w:hAnsi="宋体" w:cs="宋体"/>
          <w:bCs/>
          <w:color w:val="auto"/>
          <w:highlight w:val="none"/>
        </w:rPr>
        <w:t>（投诉书格式后附）</w:t>
      </w:r>
      <w:r>
        <w:rPr>
          <w:rFonts w:hint="eastAsia" w:ascii="宋体" w:hAnsi="宋体" w:cs="宋体"/>
          <w:color w:val="auto"/>
          <w:szCs w:val="21"/>
          <w:highlight w:val="none"/>
        </w:rPr>
        <w:t>：</w:t>
      </w:r>
    </w:p>
    <w:p w14:paraId="2C5FEDE4">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（1）投诉人和被投诉人的名称、地址、邮编、联系人及联系电话等； </w:t>
      </w:r>
    </w:p>
    <w:p w14:paraId="3CC5C338">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（2）质疑和质疑答复情况及相关证明材料； </w:t>
      </w:r>
    </w:p>
    <w:p w14:paraId="32E553D9">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（3）具体、明确的投诉事项和与投诉事项相关的投诉请求；</w:t>
      </w:r>
    </w:p>
    <w:p w14:paraId="55E05E8C">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09243C28">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（5）法律依据；</w:t>
      </w:r>
    </w:p>
    <w:p w14:paraId="243AFBC6">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（6）提起投诉的日期。</w:t>
      </w:r>
    </w:p>
    <w:p w14:paraId="2D63F23D">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cs="宋体"/>
          <w:color w:val="auto"/>
          <w:highlight w:val="none"/>
        </w:rPr>
        <w:tab/>
      </w:r>
    </w:p>
    <w:p w14:paraId="78D73AC8">
      <w:pPr>
        <w:pageBreakBefore w:val="0"/>
        <w:wordWrap w:val="0"/>
        <w:overflowPunct/>
        <w:topLinePunct w:val="0"/>
        <w:bidi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38.3.3  </w:t>
      </w:r>
      <w:r>
        <w:rPr>
          <w:rFonts w:hint="eastAsia" w:ascii="宋体" w:hAnsi="宋体" w:cs="宋体"/>
          <w:color w:val="auto"/>
          <w:highlight w:val="none"/>
        </w:rPr>
        <w:t>投诉人可以委托代理人办理投诉事务。</w:t>
      </w:r>
      <w:r>
        <w:rPr>
          <w:rFonts w:hint="eastAsia" w:ascii="宋体" w:hAnsi="宋体" w:cs="宋体"/>
          <w:bCs/>
          <w:color w:val="auto"/>
          <w:highlight w:val="none"/>
        </w:rPr>
        <w:t>委托代理人应熟悉相关业务情况。</w:t>
      </w:r>
      <w:r>
        <w:rPr>
          <w:rFonts w:hint="eastAsia" w:ascii="宋体" w:hAnsi="宋体" w:cs="宋体"/>
          <w:color w:val="auto"/>
          <w:highlight w:val="none"/>
        </w:rPr>
        <w:t>代理人办理投诉事务时，除提交投诉书外，还应当提交投诉人的授权委托书和委托代理人身份证明复印件。</w:t>
      </w:r>
    </w:p>
    <w:p w14:paraId="3AF9B704">
      <w:pPr>
        <w:pageBreakBefore w:val="0"/>
        <w:wordWrap w:val="0"/>
        <w:overflowPunct/>
        <w:topLinePunct w:val="0"/>
        <w:bidi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38.3.4</w:t>
      </w:r>
      <w:r>
        <w:rPr>
          <w:rFonts w:hint="eastAsia" w:ascii="宋体" w:hAnsi="宋体" w:cs="宋体"/>
          <w:color w:val="auto"/>
          <w:highlight w:val="none"/>
        </w:rPr>
        <w:t xml:space="preserve">  投诉人提起投诉应当符合下列条件：</w:t>
      </w:r>
    </w:p>
    <w:p w14:paraId="0069EB5D">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（1）投诉人是参与所投诉政府采购活动的供应商；</w:t>
      </w:r>
    </w:p>
    <w:p w14:paraId="2E312B79">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（2）提起投诉前已依法进行质疑；</w:t>
      </w:r>
    </w:p>
    <w:p w14:paraId="5D0FD43F">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（3）投诉书内容符合本章第38.3.2项的规定；</w:t>
      </w:r>
    </w:p>
    <w:p w14:paraId="3D2EE2D3">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（4）在投诉有效期限内提起投诉；</w:t>
      </w:r>
    </w:p>
    <w:p w14:paraId="72185A67">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（5）属于南宁市政府采购监督管理部门管辖；</w:t>
      </w:r>
    </w:p>
    <w:p w14:paraId="5DE4258E">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（6）同一投诉事项未经</w:t>
      </w:r>
      <w:r>
        <w:rPr>
          <w:rFonts w:hint="eastAsia" w:ascii="宋体" w:hAnsi="宋体" w:cs="宋体"/>
          <w:bCs/>
          <w:color w:val="auto"/>
          <w:highlight w:val="none"/>
        </w:rPr>
        <w:t>南宁市政府采购监督管理部门</w:t>
      </w:r>
      <w:r>
        <w:rPr>
          <w:rFonts w:hint="eastAsia" w:ascii="宋体" w:hAnsi="宋体" w:cs="宋体"/>
          <w:color w:val="auto"/>
          <w:highlight w:val="none"/>
        </w:rPr>
        <w:t>投诉处理；</w:t>
      </w:r>
    </w:p>
    <w:p w14:paraId="171DDB13">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（7）国务院财政部门规定的其他条件。</w:t>
      </w:r>
    </w:p>
    <w:p w14:paraId="500605F2">
      <w:pPr>
        <w:pageBreakBefore w:val="0"/>
        <w:wordWrap w:val="0"/>
        <w:overflowPunct/>
        <w:topLinePunct w:val="0"/>
        <w:bidi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38.3.5</w:t>
      </w:r>
      <w:r>
        <w:rPr>
          <w:rFonts w:hint="eastAsia" w:ascii="宋体" w:hAnsi="宋体" w:cs="宋体"/>
          <w:color w:val="auto"/>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color w:val="auto"/>
          <w:kern w:val="0"/>
          <w:szCs w:val="21"/>
          <w:highlight w:val="none"/>
        </w:rPr>
        <w:t>“广西政府采购网”（http://zfcg.gxzf.gov.cn）</w:t>
      </w:r>
      <w:r>
        <w:rPr>
          <w:rFonts w:hint="eastAsia" w:ascii="宋体" w:hAnsi="宋体" w:cs="宋体"/>
          <w:color w:val="auto"/>
          <w:highlight w:val="none"/>
        </w:rPr>
        <w:t>发布。</w:t>
      </w:r>
    </w:p>
    <w:p w14:paraId="7B1C49D1">
      <w:pPr>
        <w:pageBreakBefore w:val="0"/>
        <w:wordWrap w:val="0"/>
        <w:overflowPunct/>
        <w:topLinePunct w:val="0"/>
        <w:bidi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38.3.6</w:t>
      </w:r>
      <w:r>
        <w:rPr>
          <w:rFonts w:hint="eastAsia" w:ascii="宋体" w:hAnsi="宋体" w:cs="宋体"/>
          <w:color w:val="auto"/>
          <w:highlight w:val="none"/>
        </w:rPr>
        <w:t xml:space="preserve">  南宁市政府采购监督管理部门在处理投诉事项期间，可以视具体情况暂停采购活动。</w:t>
      </w:r>
    </w:p>
    <w:p w14:paraId="44B2194C">
      <w:pPr>
        <w:pageBreakBefore w:val="0"/>
        <w:wordWrap w:val="0"/>
        <w:overflowPunct/>
        <w:topLinePunct w:val="0"/>
        <w:bidi w:val="0"/>
        <w:snapToGrid w:val="0"/>
        <w:spacing w:line="360" w:lineRule="auto"/>
        <w:ind w:left="120" w:leftChars="57" w:firstLine="482" w:firstLineChars="150"/>
        <w:jc w:val="center"/>
        <w:outlineLvl w:val="9"/>
        <w:rPr>
          <w:rFonts w:hint="eastAsia" w:ascii="宋体" w:hAnsi="宋体" w:cs="宋体"/>
          <w:b/>
          <w:bCs/>
          <w:color w:val="auto"/>
          <w:sz w:val="32"/>
          <w:szCs w:val="32"/>
          <w:highlight w:val="none"/>
        </w:rPr>
      </w:pPr>
    </w:p>
    <w:p w14:paraId="4E63C802">
      <w:pPr>
        <w:pageBreakBefore w:val="0"/>
        <w:wordWrap w:val="0"/>
        <w:overflowPunct/>
        <w:topLinePunct w:val="0"/>
        <w:bidi w:val="0"/>
        <w:snapToGrid w:val="0"/>
        <w:spacing w:line="360" w:lineRule="auto"/>
        <w:ind w:left="120" w:leftChars="57" w:firstLine="482" w:firstLineChars="150"/>
        <w:jc w:val="center"/>
        <w:outlineLvl w:val="2"/>
        <w:rPr>
          <w:rFonts w:ascii="宋体" w:hAnsi="宋体" w:cs="宋体"/>
          <w:b/>
          <w:bCs/>
          <w:color w:val="auto"/>
          <w:sz w:val="32"/>
          <w:szCs w:val="32"/>
          <w:highlight w:val="none"/>
        </w:rPr>
      </w:pPr>
      <w:bookmarkStart w:id="99" w:name="_Toc6519"/>
      <w:r>
        <w:rPr>
          <w:rFonts w:hint="eastAsia" w:ascii="宋体" w:hAnsi="宋体" w:cs="宋体"/>
          <w:b/>
          <w:bCs/>
          <w:color w:val="auto"/>
          <w:sz w:val="32"/>
          <w:szCs w:val="32"/>
          <w:highlight w:val="none"/>
        </w:rPr>
        <w:t>八、验收</w:t>
      </w:r>
      <w:bookmarkEnd w:id="99"/>
    </w:p>
    <w:p w14:paraId="7FCE95B7">
      <w:pPr>
        <w:pageBreakBefore w:val="0"/>
        <w:wordWrap w:val="0"/>
        <w:overflowPunct/>
        <w:topLinePunct w:val="0"/>
        <w:bidi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39.验收</w:t>
      </w:r>
    </w:p>
    <w:p w14:paraId="75E0EFA6">
      <w:pPr>
        <w:pageBreakBefore w:val="0"/>
        <w:tabs>
          <w:tab w:val="left" w:pos="0"/>
        </w:tabs>
        <w:wordWrap w:val="0"/>
        <w:overflowPunct/>
        <w:topLinePunct w:val="0"/>
        <w:bidi w:val="0"/>
        <w:spacing w:line="360" w:lineRule="auto"/>
        <w:ind w:firstLine="480"/>
        <w:rPr>
          <w:rFonts w:ascii="宋体" w:hAnsi="宋体" w:cs="宋体"/>
          <w:color w:val="auto"/>
          <w:highlight w:val="none"/>
        </w:rPr>
      </w:pPr>
      <w:r>
        <w:rPr>
          <w:rFonts w:hint="eastAsia" w:ascii="宋体" w:hAnsi="宋体" w:cs="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7DABC8A">
      <w:pPr>
        <w:pageBreakBefore w:val="0"/>
        <w:tabs>
          <w:tab w:val="left" w:pos="0"/>
        </w:tabs>
        <w:wordWrap w:val="0"/>
        <w:overflowPunct/>
        <w:topLinePunct w:val="0"/>
        <w:bidi w:val="0"/>
        <w:spacing w:line="360" w:lineRule="auto"/>
        <w:ind w:firstLine="480"/>
        <w:rPr>
          <w:rFonts w:ascii="宋体" w:hAnsi="宋体" w:cs="宋体"/>
          <w:color w:val="auto"/>
          <w:highlight w:val="none"/>
        </w:rPr>
      </w:pPr>
      <w:r>
        <w:rPr>
          <w:rFonts w:hint="eastAsia" w:ascii="宋体" w:hAnsi="宋体" w:cs="宋体"/>
          <w:color w:val="auto"/>
          <w:highlight w:val="none"/>
        </w:rPr>
        <w:t>39.2采购人可以邀请参加本项目的其他投标人或者第三方机构参与验收。参与验收的投标人或者第三方机构的意见作为验收书的参考资料一并存档。</w:t>
      </w:r>
    </w:p>
    <w:p w14:paraId="57B684FD">
      <w:pPr>
        <w:pageBreakBefore w:val="0"/>
        <w:tabs>
          <w:tab w:val="left" w:pos="0"/>
        </w:tabs>
        <w:wordWrap w:val="0"/>
        <w:overflowPunct/>
        <w:topLinePunct w:val="0"/>
        <w:bidi w:val="0"/>
        <w:spacing w:line="360" w:lineRule="auto"/>
        <w:ind w:firstLine="480"/>
        <w:rPr>
          <w:rFonts w:ascii="宋体" w:hAnsi="宋体" w:cs="宋体"/>
          <w:color w:val="auto"/>
          <w:highlight w:val="none"/>
        </w:rPr>
      </w:pPr>
      <w:r>
        <w:rPr>
          <w:rFonts w:hint="eastAsia" w:ascii="宋体" w:hAnsi="宋体" w:cs="宋体"/>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B1F4420">
      <w:pPr>
        <w:pageBreakBefore w:val="0"/>
        <w:tabs>
          <w:tab w:val="left" w:pos="0"/>
        </w:tabs>
        <w:wordWrap w:val="0"/>
        <w:overflowPunct/>
        <w:topLinePunct w:val="0"/>
        <w:bidi w:val="0"/>
        <w:spacing w:line="360" w:lineRule="auto"/>
        <w:ind w:firstLine="480"/>
        <w:rPr>
          <w:rFonts w:ascii="宋体" w:hAnsi="宋体" w:cs="宋体"/>
          <w:color w:val="auto"/>
          <w:highlight w:val="none"/>
        </w:rPr>
      </w:pPr>
      <w:r>
        <w:rPr>
          <w:rFonts w:hint="eastAsia" w:ascii="宋体" w:hAnsi="宋体" w:cs="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95FC048">
      <w:pPr>
        <w:pStyle w:val="14"/>
        <w:pageBreakBefore w:val="0"/>
        <w:wordWrap w:val="0"/>
        <w:overflowPunct/>
        <w:topLinePunct w:val="0"/>
        <w:bidi w:val="0"/>
        <w:snapToGrid w:val="0"/>
        <w:spacing w:line="360" w:lineRule="auto"/>
        <w:rPr>
          <w:rFonts w:hAnsi="宋体" w:cs="宋体"/>
          <w:color w:val="auto"/>
          <w:highlight w:val="none"/>
        </w:rPr>
      </w:pPr>
    </w:p>
    <w:p w14:paraId="4D08F456">
      <w:pPr>
        <w:pStyle w:val="7"/>
        <w:keepNext w:val="0"/>
        <w:keepLines w:val="0"/>
        <w:pageBreakBefore w:val="0"/>
        <w:wordWrap w:val="0"/>
        <w:overflowPunct/>
        <w:topLinePunct w:val="0"/>
        <w:bidi w:val="0"/>
        <w:spacing w:line="360" w:lineRule="auto"/>
        <w:jc w:val="center"/>
        <w:rPr>
          <w:rFonts w:ascii="宋体" w:hAnsi="宋体" w:cs="宋体"/>
          <w:color w:val="auto"/>
          <w:highlight w:val="none"/>
        </w:rPr>
      </w:pPr>
      <w:bookmarkStart w:id="100" w:name="_八、其他事项"/>
      <w:bookmarkEnd w:id="100"/>
      <w:bookmarkStart w:id="101" w:name="_Toc29156"/>
      <w:r>
        <w:rPr>
          <w:rFonts w:hint="eastAsia" w:ascii="宋体" w:hAnsi="宋体" w:cs="宋体"/>
          <w:color w:val="auto"/>
          <w:highlight w:val="none"/>
        </w:rPr>
        <w:t>九、其他事项</w:t>
      </w:r>
      <w:bookmarkEnd w:id="101"/>
    </w:p>
    <w:p w14:paraId="52C38450">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102" w:name="_42.代理服务费"/>
      <w:bookmarkEnd w:id="102"/>
      <w:r>
        <w:rPr>
          <w:rFonts w:hint="eastAsia" w:ascii="宋体" w:hAnsi="宋体" w:cs="宋体"/>
          <w:color w:val="auto"/>
          <w:sz w:val="24"/>
          <w:highlight w:val="none"/>
        </w:rPr>
        <w:t>40.代理服务费</w:t>
      </w:r>
    </w:p>
    <w:p w14:paraId="5BA528BB">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代理服务收费标准及缴费账户详见“投标人须知前附表”，投标人为联合体的，可以由联合体中的一方或者多方共同交纳代理服务费。</w:t>
      </w:r>
    </w:p>
    <w:p w14:paraId="03045207">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 需要补充的其他内容</w:t>
      </w:r>
    </w:p>
    <w:p w14:paraId="4597409C">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41.1本招标文件解释规则详见“投标人须知前附表”。</w:t>
      </w:r>
    </w:p>
    <w:p w14:paraId="530A5D7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41.2 其他事项详见“投标人须知前附表”。</w:t>
      </w:r>
    </w:p>
    <w:p w14:paraId="330E9E8D">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62D69601">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以联合体形式参加政府采购活动，联合体各方均为中小企业的，联合体视同中小企业。其中，联合体各方均为小微企业的，联合体视同小微企业。</w:t>
      </w:r>
    </w:p>
    <w:p w14:paraId="5CD2512D">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依据本文件规定享受扶持政策获得政府采购合同的，小微企业不得将合同分包给大中型企业，中型企业不得将合同分包给大型企业。</w:t>
      </w:r>
    </w:p>
    <w:p w14:paraId="7F1C1A1C">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 政采贷相关说明</w:t>
      </w:r>
    </w:p>
    <w:p w14:paraId="3A43538A">
      <w:pPr>
        <w:pageBreakBefore w:val="0"/>
        <w:numPr>
          <w:ilvl w:val="0"/>
          <w:numId w:val="2"/>
        </w:numPr>
        <w:wordWrap w:val="0"/>
        <w:overflowPunct/>
        <w:topLinePunct w:val="0"/>
        <w:bidi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为优化政府采购营商环境，缓解供应商资金难题，南宁市政府采购试行政府采购信用融资制度，中 标供应商如有融资需求，可凭政府采购合同通过以下方式申请政府采购信用融资贷款： （1）线下渠道：在“南宁市公共资源交易中心”官网（网址： http://www.nnggzy.org.cn ）“交易信 息- 政府采购- 政府采购信用融资”中融资银行和南宁市企业融资服务中心专栏信息申请政府采购信用融资 。 （2）线上渠道：登录中征营应收账款融资服务平台（网址：https://www.crcrfsp.com，客服电话： 400-009-0001），选择相关金融产品和银行业金融机构金融融资贷款。具体操作方式见《中国人民银行南宁 中心支行广西壮族自治区财政厅关于推广线上“政采贷”融资模式的通知》（南宁银发〔2021〕258 号）文 （文件公开网址详情见：“广西政府采购网”——http://www.ccgpguangxi.gov.cn/AdministrativeRegulations/AutonomousRegion/9830442.html）</w:t>
      </w:r>
      <w:r>
        <w:rPr>
          <w:rFonts w:hint="eastAsia" w:ascii="宋体" w:hAnsi="宋体" w:cs="宋体"/>
          <w:color w:val="auto"/>
          <w:highlight w:val="none"/>
        </w:rPr>
        <w:br w:type="page"/>
      </w:r>
    </w:p>
    <w:p w14:paraId="6CD7D174">
      <w:pPr>
        <w:pStyle w:val="14"/>
        <w:pageBreakBefore w:val="0"/>
        <w:wordWrap w:val="0"/>
        <w:overflowPunct/>
        <w:topLinePunct w:val="0"/>
        <w:bidi w:val="0"/>
        <w:spacing w:line="360" w:lineRule="auto"/>
        <w:jc w:val="center"/>
        <w:outlineLvl w:val="0"/>
        <w:rPr>
          <w:rFonts w:hAnsi="宋体" w:cs="宋体"/>
          <w:b/>
          <w:color w:val="auto"/>
          <w:sz w:val="36"/>
          <w:highlight w:val="none"/>
        </w:rPr>
      </w:pPr>
      <w:bookmarkStart w:id="103" w:name="_Toc532545043"/>
      <w:bookmarkStart w:id="104" w:name="_Toc4997"/>
      <w:r>
        <w:rPr>
          <w:rFonts w:hint="eastAsia" w:hAnsi="宋体" w:cs="宋体"/>
          <w:b/>
          <w:color w:val="auto"/>
          <w:sz w:val="36"/>
          <w:highlight w:val="none"/>
        </w:rPr>
        <w:t>第四章  评标方法</w:t>
      </w:r>
      <w:bookmarkEnd w:id="103"/>
      <w:r>
        <w:rPr>
          <w:rFonts w:hint="eastAsia" w:hAnsi="宋体" w:cs="宋体"/>
          <w:b/>
          <w:color w:val="auto"/>
          <w:sz w:val="36"/>
          <w:highlight w:val="none"/>
        </w:rPr>
        <w:t>及评分标准</w:t>
      </w:r>
      <w:bookmarkEnd w:id="104"/>
    </w:p>
    <w:p w14:paraId="4E4082CE">
      <w:pPr>
        <w:pStyle w:val="14"/>
        <w:pageBreakBefore w:val="0"/>
        <w:wordWrap w:val="0"/>
        <w:overflowPunct/>
        <w:topLinePunct w:val="0"/>
        <w:bidi w:val="0"/>
        <w:spacing w:line="360" w:lineRule="auto"/>
        <w:jc w:val="center"/>
        <w:outlineLvl w:val="1"/>
        <w:rPr>
          <w:rFonts w:hAnsi="宋体" w:cs="宋体"/>
          <w:b/>
          <w:bCs/>
          <w:color w:val="auto"/>
          <w:sz w:val="32"/>
          <w:szCs w:val="32"/>
          <w:highlight w:val="none"/>
        </w:rPr>
      </w:pPr>
      <w:bookmarkStart w:id="105" w:name="_Toc2118"/>
      <w:r>
        <w:rPr>
          <w:rFonts w:hint="eastAsia" w:hAnsi="宋体" w:cs="宋体"/>
          <w:b/>
          <w:bCs/>
          <w:color w:val="auto"/>
          <w:sz w:val="32"/>
          <w:szCs w:val="32"/>
          <w:highlight w:val="none"/>
        </w:rPr>
        <w:t>第一节 评标方法</w:t>
      </w:r>
      <w:bookmarkEnd w:id="105"/>
    </w:p>
    <w:p w14:paraId="21B6CC97">
      <w:pPr>
        <w:pStyle w:val="14"/>
        <w:pageBreakBefore w:val="0"/>
        <w:tabs>
          <w:tab w:val="left" w:pos="2472"/>
        </w:tabs>
        <w:wordWrap w:val="0"/>
        <w:overflowPunct/>
        <w:topLinePunct w:val="0"/>
        <w:bidi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综合评分法 </w:t>
      </w:r>
      <w:r>
        <w:rPr>
          <w:rFonts w:hint="eastAsia" w:hAnsi="宋体" w:cs="宋体"/>
          <w:color w:val="auto"/>
          <w:szCs w:val="21"/>
          <w:highlight w:val="none"/>
        </w:rPr>
        <w:t>进行评审。</w:t>
      </w:r>
    </w:p>
    <w:p w14:paraId="0AFAE18D">
      <w:pPr>
        <w:pageBreakBefore w:val="0"/>
        <w:wordWrap w:val="0"/>
        <w:overflowPunct/>
        <w:topLinePunct w:val="0"/>
        <w:autoSpaceDE w:val="0"/>
        <w:autoSpaceDN w:val="0"/>
        <w:bidi w:val="0"/>
        <w:adjustRightInd w:val="0"/>
        <w:spacing w:line="360" w:lineRule="auto"/>
        <w:ind w:firstLine="420" w:firstLineChars="200"/>
        <w:rPr>
          <w:rFonts w:ascii="宋体" w:hAnsi="宋体" w:cs="宋体"/>
          <w:color w:val="auto"/>
          <w:sz w:val="24"/>
          <w:highlight w:val="none"/>
        </w:rPr>
      </w:pPr>
      <w:r>
        <w:rPr>
          <w:rFonts w:hint="eastAsia" w:ascii="宋体" w:hAnsi="宋体" w:cs="宋体"/>
          <w:color w:val="auto"/>
          <w:highlight w:val="none"/>
        </w:rPr>
        <w:t>综合评分法，</w:t>
      </w:r>
      <w:r>
        <w:rPr>
          <w:rFonts w:hint="eastAsia" w:ascii="宋体" w:hAnsi="宋体" w:cs="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7287C944">
      <w:pPr>
        <w:pStyle w:val="14"/>
        <w:pageBreakBefore w:val="0"/>
        <w:wordWrap w:val="0"/>
        <w:overflowPunct/>
        <w:topLinePunct w:val="0"/>
        <w:bidi w:val="0"/>
        <w:spacing w:line="360" w:lineRule="auto"/>
        <w:ind w:firstLine="420"/>
        <w:rPr>
          <w:rFonts w:hAnsi="宋体" w:cs="宋体"/>
          <w:color w:val="auto"/>
          <w:highlight w:val="none"/>
        </w:rPr>
      </w:pPr>
    </w:p>
    <w:p w14:paraId="330545CD">
      <w:pPr>
        <w:pStyle w:val="14"/>
        <w:pageBreakBefore w:val="0"/>
        <w:tabs>
          <w:tab w:val="left" w:pos="2472"/>
        </w:tabs>
        <w:wordWrap w:val="0"/>
        <w:overflowPunct/>
        <w:topLinePunct w:val="0"/>
        <w:bidi w:val="0"/>
        <w:spacing w:line="360" w:lineRule="auto"/>
        <w:jc w:val="center"/>
        <w:outlineLvl w:val="1"/>
        <w:rPr>
          <w:rFonts w:hAnsi="宋体" w:cs="宋体"/>
          <w:b/>
          <w:bCs/>
          <w:color w:val="auto"/>
          <w:sz w:val="32"/>
          <w:szCs w:val="32"/>
          <w:highlight w:val="none"/>
        </w:rPr>
      </w:pPr>
      <w:bookmarkStart w:id="106" w:name="_Toc3444"/>
      <w:r>
        <w:rPr>
          <w:rFonts w:hint="eastAsia" w:hAnsi="宋体" w:cs="宋体"/>
          <w:b/>
          <w:bCs/>
          <w:color w:val="auto"/>
          <w:sz w:val="32"/>
          <w:szCs w:val="32"/>
          <w:highlight w:val="none"/>
        </w:rPr>
        <w:t>第二节 评标程序</w:t>
      </w:r>
      <w:bookmarkEnd w:id="106"/>
    </w:p>
    <w:p w14:paraId="606EC918">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1.符合性审查</w:t>
      </w:r>
    </w:p>
    <w:p w14:paraId="2F8AFD63">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评标委员会应当对符合资格的投标人的投标文件进行投标报价、商务、技术等实质性内容符合性审查，以确定其是否满足招标文件的实质性要求。</w:t>
      </w:r>
    </w:p>
    <w:p w14:paraId="1D2323F9">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2.符合性审查不通过而导致投标无效的情形</w:t>
      </w:r>
    </w:p>
    <w:p w14:paraId="5DF2BE7F">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投标人的投标文件中存在对招标文件的任何实质性要求和条件的负偏离，将被视为投标无效。</w:t>
      </w:r>
    </w:p>
    <w:p w14:paraId="35BAFE5B">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2.1在报价评审时，如发现下列情形之一的，将被视为投标无效：</w:t>
      </w:r>
    </w:p>
    <w:p w14:paraId="1893679D">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（1）投标文件未提供“投标人须知前附表”第13.1条规定中“必须提供”的文件资料的;</w:t>
      </w:r>
    </w:p>
    <w:p w14:paraId="3D2B0C39">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（2）未采用人民币报价或者未按照招标文件标明的币种报价的；</w:t>
      </w:r>
    </w:p>
    <w:p w14:paraId="403B401F">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（3）报价超出招标文件规定最高限价，或者超出采购预算金额（包括分项预算）的；</w:t>
      </w:r>
    </w:p>
    <w:p w14:paraId="5ACA5307">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7E1F7795">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（5）修正后的报价，投标人不确认的；</w:t>
      </w:r>
    </w:p>
    <w:p w14:paraId="08F8D90D">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（6）投标人属于本章第5条第（2）项情形的。</w:t>
      </w:r>
    </w:p>
    <w:p w14:paraId="2F1A433E">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2.2在商务评审时，如发现下列情形之一的，将被视为投标无效：</w:t>
      </w:r>
    </w:p>
    <w:p w14:paraId="039CA1DA">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（1）投标文件未按招标文件要求签署、盖章的；</w:t>
      </w:r>
    </w:p>
    <w:p w14:paraId="2CC08F01">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13E77F49">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（3）投标文件未提供“投标人须知前附表”第13.1条规定中“必须提供”或者“委托时必须提供”的文件资料的;</w:t>
      </w:r>
    </w:p>
    <w:p w14:paraId="2A5DA654">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（4）投标有效期、项目完成时间（交货时间、服务完成时间或者服务期等）、质保期、售后服务等招标文件中标“▲”的商务条款发生负偏离的；</w:t>
      </w:r>
    </w:p>
    <w:p w14:paraId="67C4C155">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（5）商务条款评审允许负偏离的条款数超过“投标人须知前附表”规定项数的。</w:t>
      </w:r>
    </w:p>
    <w:p w14:paraId="1262D2C3">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（6）投标文件的实质性内容未使用中文表述、使用计量单位不符合招标文件要求的；</w:t>
      </w:r>
    </w:p>
    <w:p w14:paraId="39EE086A">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（7）投标文件中的文件资料因填写不齐全或者内容虚假或者出现其他情形而导致被评标委员会认定无效的；</w:t>
      </w:r>
    </w:p>
    <w:p w14:paraId="5CA9F427">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（8）投标文件含有采购人不能接受的附加条件的；</w:t>
      </w:r>
    </w:p>
    <w:p w14:paraId="18E49A6C">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（9）未响应招标文件实质性要求的；</w:t>
      </w:r>
    </w:p>
    <w:p w14:paraId="181110BD">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（10）属于投标人须知正文第9.2条情形的；</w:t>
      </w:r>
    </w:p>
    <w:p w14:paraId="08EF77C2">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（11）法律、法规和招标文件规定的其他无效情形。</w:t>
      </w:r>
    </w:p>
    <w:p w14:paraId="2A868A4A">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1F0262EA">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（1）不满足招标文件要求的服务内容、技术要求、安全、质量标准，或者与招标文件中标“▲”的技术需求发生负偏离的；</w:t>
      </w:r>
    </w:p>
    <w:p w14:paraId="603BF934">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4A54D59B">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（3）投标文件未提供“投标人须知前附表”第13.1条规定中“必须提供”的文件资料的;</w:t>
      </w:r>
    </w:p>
    <w:p w14:paraId="33783038">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41C15CD8">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（5）如招标文件需要提供技术方案的，投标技术方案不明确，招标文件未允许但存在一个或者一个以上备选（替代）投标方案的。</w:t>
      </w:r>
    </w:p>
    <w:p w14:paraId="30F49A7B">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3.澄清补正、说明或者补正</w:t>
      </w:r>
    </w:p>
    <w:p w14:paraId="434E2855">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68D48CFF">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96A6647">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4.投标文件修正</w:t>
      </w:r>
    </w:p>
    <w:p w14:paraId="047CD993">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268DB497">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64EC82A8">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（2）大写金额和小写金额不一致的，以大写金额为准；</w:t>
      </w:r>
    </w:p>
    <w:p w14:paraId="251A707E">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3E46C540">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5E3D9688">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同时出现两种以上不一致的，按照以上（1）-（4）规定的顺序修正。修正后的报价经投标人确认后产生约束力，投标人不确认的，其投标无效。</w:t>
      </w:r>
    </w:p>
    <w:p w14:paraId="61274277">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4.2经投标人确认修正后的报价若超过采购预算金额或者最高限价，投标人的投标文件作无效投标处理。</w:t>
      </w:r>
    </w:p>
    <w:p w14:paraId="322EAB82">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3DF99567">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5.比较与评价</w:t>
      </w:r>
    </w:p>
    <w:p w14:paraId="07AAC59F">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5.1评标委员会按照招标文件中规定的评标方法和评标标准，对符合性审查合格的投标文件进行商务和技术评估，综合比较与评价。</w:t>
      </w:r>
    </w:p>
    <w:p w14:paraId="46E6D504">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5.2评标委员会独立对每个投标人的投标文件进行评价，并汇总每个投标人的得分。</w:t>
      </w:r>
    </w:p>
    <w:p w14:paraId="2177052C">
      <w:pPr>
        <w:pageBreakBefore w:val="0"/>
        <w:widowControl/>
        <w:numPr>
          <w:ilvl w:val="0"/>
          <w:numId w:val="3"/>
        </w:numPr>
        <w:wordWrap w:val="0"/>
        <w:overflowPunct/>
        <w:topLinePunct w:val="0"/>
        <w:bidi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07DE69D8">
      <w:pPr>
        <w:pageBreakBefore w:val="0"/>
        <w:widowControl/>
        <w:numPr>
          <w:ilvl w:val="0"/>
          <w:numId w:val="3"/>
        </w:numPr>
        <w:wordWrap w:val="0"/>
        <w:overflowPunct/>
        <w:topLinePunct w:val="0"/>
        <w:bidi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31C3CD25">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5.3评标委员会按照招标文件中规定的评标方法和标准计算各投标人的报价得分。在计算过程中，不得去掉最高报价或者最低报价。</w:t>
      </w:r>
    </w:p>
    <w:p w14:paraId="4154880E">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5.4各投标人的得分为所有评委的有效评分的算术平均数。</w:t>
      </w:r>
    </w:p>
    <w:p w14:paraId="0029DBAD">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5.5评标委员会按照招标文件中的规定推荐中标候选人。</w:t>
      </w:r>
    </w:p>
    <w:p w14:paraId="2C89353B">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01F40E5D">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6.评审复核</w:t>
      </w:r>
    </w:p>
    <w:p w14:paraId="07C001D4">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6.1评标报告签署前，评标委员会要对评审结果进行复核，复核意见要体现在评标报告中。</w:t>
      </w:r>
    </w:p>
    <w:p w14:paraId="4B4E1063">
      <w:pPr>
        <w:pageBreakBefore w:val="0"/>
        <w:widowControl/>
        <w:wordWrap w:val="0"/>
        <w:overflowPunct/>
        <w:topLinePunct w:val="0"/>
        <w:bidi w:val="0"/>
        <w:spacing w:line="360" w:lineRule="auto"/>
        <w:ind w:firstLine="420" w:firstLineChars="200"/>
        <w:jc w:val="left"/>
        <w:textAlignment w:val="baseline"/>
        <w:rPr>
          <w:rFonts w:ascii="宋体" w:hAnsi="宋体" w:cs="宋体"/>
          <w:color w:val="auto"/>
          <w:highlight w:val="none"/>
        </w:rPr>
      </w:pPr>
      <w:r>
        <w:rPr>
          <w:rFonts w:hint="eastAsia" w:ascii="宋体" w:hAnsi="宋体" w:cs="宋体"/>
          <w:color w:val="auto"/>
          <w:highlight w:val="none"/>
        </w:rPr>
        <w:t>6.2评标结果汇总完成后，除下列情形外，任何人不得修改评标结果：</w:t>
      </w:r>
    </w:p>
    <w:p w14:paraId="122199D6">
      <w:pPr>
        <w:pageBreakBefore w:val="0"/>
        <w:widowControl/>
        <w:wordWrap w:val="0"/>
        <w:overflowPunct/>
        <w:topLinePunct w:val="0"/>
        <w:bidi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（一）分值汇总计算错误的；</w:t>
      </w:r>
    </w:p>
    <w:p w14:paraId="66AABE3F">
      <w:pPr>
        <w:pageBreakBefore w:val="0"/>
        <w:widowControl/>
        <w:wordWrap w:val="0"/>
        <w:overflowPunct/>
        <w:topLinePunct w:val="0"/>
        <w:bidi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（二）分项评分超出评分标准范围的；</w:t>
      </w:r>
    </w:p>
    <w:p w14:paraId="54D58A05">
      <w:pPr>
        <w:pageBreakBefore w:val="0"/>
        <w:widowControl/>
        <w:wordWrap w:val="0"/>
        <w:overflowPunct/>
        <w:topLinePunct w:val="0"/>
        <w:bidi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（三）评标委员会成员对客观评审因素评分不一致的；</w:t>
      </w:r>
    </w:p>
    <w:p w14:paraId="0D74E237">
      <w:pPr>
        <w:pageBreakBefore w:val="0"/>
        <w:widowControl/>
        <w:wordWrap w:val="0"/>
        <w:overflowPunct/>
        <w:topLinePunct w:val="0"/>
        <w:bidi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（四）经评标委员会认定评分畸高、畸低的。</w:t>
      </w:r>
    </w:p>
    <w:p w14:paraId="571DA6B0">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AA33D82">
      <w:pPr>
        <w:pageBreakBefore w:val="0"/>
        <w:wordWrap w:val="0"/>
        <w:overflowPunct/>
        <w:topLinePunct w:val="0"/>
        <w:bidi w:val="0"/>
        <w:spacing w:before="0" w:after="0" w:line="360" w:lineRule="auto"/>
        <w:jc w:val="center"/>
        <w:outlineLvl w:val="9"/>
        <w:rPr>
          <w:rFonts w:hint="eastAsia" w:ascii="宋体" w:hAnsi="宋体" w:eastAsia="宋体" w:cs="宋体"/>
          <w:b w:val="0"/>
          <w:color w:val="auto"/>
          <w:sz w:val="30"/>
          <w:szCs w:val="30"/>
          <w:highlight w:val="none"/>
        </w:rPr>
      </w:pPr>
      <w:bookmarkStart w:id="107" w:name="_Toc32456"/>
    </w:p>
    <w:p w14:paraId="27354589">
      <w:pPr>
        <w:pageBreakBefore w:val="0"/>
        <w:wordWrap w:val="0"/>
        <w:overflowPunct/>
        <w:topLinePunct w:val="0"/>
        <w:bidi w:val="0"/>
        <w:spacing w:before="0" w:after="0" w:line="360" w:lineRule="auto"/>
        <w:jc w:val="center"/>
        <w:outlineLvl w:val="9"/>
        <w:rPr>
          <w:rFonts w:hint="eastAsia" w:ascii="宋体" w:hAnsi="宋体" w:eastAsia="宋体" w:cs="宋体"/>
          <w:b w:val="0"/>
          <w:color w:val="auto"/>
          <w:sz w:val="30"/>
          <w:szCs w:val="30"/>
          <w:highlight w:val="none"/>
        </w:rPr>
      </w:pPr>
    </w:p>
    <w:p w14:paraId="6E23C27A">
      <w:pPr>
        <w:pageBreakBefore w:val="0"/>
        <w:wordWrap w:val="0"/>
        <w:overflowPunct/>
        <w:topLinePunct w:val="0"/>
        <w:bidi w:val="0"/>
        <w:spacing w:before="0" w:after="0" w:line="360" w:lineRule="auto"/>
        <w:jc w:val="center"/>
        <w:outlineLvl w:val="9"/>
        <w:rPr>
          <w:rFonts w:hint="eastAsia" w:ascii="宋体" w:hAnsi="宋体" w:eastAsia="宋体" w:cs="宋体"/>
          <w:b w:val="0"/>
          <w:color w:val="auto"/>
          <w:sz w:val="30"/>
          <w:szCs w:val="30"/>
          <w:highlight w:val="none"/>
        </w:rPr>
      </w:pPr>
    </w:p>
    <w:p w14:paraId="0BF82A59">
      <w:pPr>
        <w:pageBreakBefore w:val="0"/>
        <w:wordWrap w:val="0"/>
        <w:overflowPunct/>
        <w:topLinePunct w:val="0"/>
        <w:bidi w:val="0"/>
        <w:spacing w:before="0" w:after="0" w:line="360" w:lineRule="auto"/>
        <w:jc w:val="center"/>
        <w:outlineLvl w:val="9"/>
        <w:rPr>
          <w:rFonts w:hint="eastAsia" w:ascii="宋体" w:hAnsi="宋体" w:eastAsia="宋体" w:cs="宋体"/>
          <w:b w:val="0"/>
          <w:color w:val="auto"/>
          <w:sz w:val="30"/>
          <w:szCs w:val="30"/>
          <w:highlight w:val="none"/>
        </w:rPr>
      </w:pPr>
    </w:p>
    <w:p w14:paraId="5E7BBC55">
      <w:pPr>
        <w:pageBreakBefore w:val="0"/>
        <w:wordWrap w:val="0"/>
        <w:overflowPunct/>
        <w:topLinePunct w:val="0"/>
        <w:bidi w:val="0"/>
        <w:spacing w:before="0" w:after="0" w:line="360" w:lineRule="auto"/>
        <w:jc w:val="center"/>
        <w:outlineLvl w:val="9"/>
        <w:rPr>
          <w:rFonts w:hint="eastAsia" w:ascii="宋体" w:hAnsi="宋体" w:eastAsia="宋体" w:cs="宋体"/>
          <w:b w:val="0"/>
          <w:color w:val="auto"/>
          <w:sz w:val="30"/>
          <w:szCs w:val="30"/>
          <w:highlight w:val="none"/>
        </w:rPr>
      </w:pPr>
    </w:p>
    <w:p w14:paraId="4BBB1D55">
      <w:pPr>
        <w:pageBreakBefore w:val="0"/>
        <w:wordWrap w:val="0"/>
        <w:overflowPunct/>
        <w:topLinePunct w:val="0"/>
        <w:bidi w:val="0"/>
        <w:spacing w:before="0" w:after="0" w:line="360" w:lineRule="auto"/>
        <w:jc w:val="center"/>
        <w:outlineLvl w:val="9"/>
        <w:rPr>
          <w:rFonts w:hint="eastAsia" w:ascii="宋体" w:hAnsi="宋体" w:eastAsia="宋体" w:cs="宋体"/>
          <w:b w:val="0"/>
          <w:color w:val="auto"/>
          <w:sz w:val="30"/>
          <w:szCs w:val="30"/>
          <w:highlight w:val="none"/>
        </w:rPr>
      </w:pPr>
    </w:p>
    <w:p w14:paraId="084B35FD">
      <w:pPr>
        <w:pageBreakBefore w:val="0"/>
        <w:wordWrap w:val="0"/>
        <w:overflowPunct/>
        <w:topLinePunct w:val="0"/>
        <w:bidi w:val="0"/>
        <w:spacing w:before="0" w:after="0" w:line="360" w:lineRule="auto"/>
        <w:jc w:val="center"/>
        <w:outlineLvl w:val="9"/>
        <w:rPr>
          <w:rFonts w:hint="eastAsia" w:ascii="宋体" w:hAnsi="宋体" w:eastAsia="宋体" w:cs="宋体"/>
          <w:b w:val="0"/>
          <w:color w:val="auto"/>
          <w:sz w:val="30"/>
          <w:szCs w:val="30"/>
          <w:highlight w:val="none"/>
        </w:rPr>
      </w:pPr>
    </w:p>
    <w:p w14:paraId="653D033A">
      <w:pPr>
        <w:pageBreakBefore w:val="0"/>
        <w:wordWrap w:val="0"/>
        <w:overflowPunct/>
        <w:topLinePunct w:val="0"/>
        <w:bidi w:val="0"/>
        <w:spacing w:before="0" w:after="0" w:line="360" w:lineRule="auto"/>
        <w:jc w:val="center"/>
        <w:outlineLvl w:val="9"/>
        <w:rPr>
          <w:rFonts w:hint="eastAsia" w:ascii="宋体" w:hAnsi="宋体" w:eastAsia="宋体" w:cs="宋体"/>
          <w:b w:val="0"/>
          <w:color w:val="auto"/>
          <w:sz w:val="30"/>
          <w:szCs w:val="30"/>
          <w:highlight w:val="none"/>
        </w:rPr>
      </w:pPr>
    </w:p>
    <w:p w14:paraId="4E7DC249">
      <w:pPr>
        <w:pageBreakBefore w:val="0"/>
        <w:wordWrap w:val="0"/>
        <w:overflowPunct/>
        <w:topLinePunct w:val="0"/>
        <w:bidi w:val="0"/>
        <w:spacing w:before="0" w:after="0" w:line="360" w:lineRule="auto"/>
        <w:jc w:val="center"/>
        <w:outlineLvl w:val="9"/>
        <w:rPr>
          <w:rFonts w:hint="eastAsia" w:ascii="宋体" w:hAnsi="宋体" w:eastAsia="宋体" w:cs="宋体"/>
          <w:b w:val="0"/>
          <w:color w:val="auto"/>
          <w:sz w:val="30"/>
          <w:szCs w:val="30"/>
          <w:highlight w:val="none"/>
        </w:rPr>
      </w:pPr>
    </w:p>
    <w:p w14:paraId="5944B4A2">
      <w:pPr>
        <w:pageBreakBefore w:val="0"/>
        <w:wordWrap w:val="0"/>
        <w:overflowPunct/>
        <w:topLinePunct w:val="0"/>
        <w:bidi w:val="0"/>
        <w:spacing w:before="0" w:after="0" w:line="360" w:lineRule="auto"/>
        <w:jc w:val="both"/>
        <w:outlineLvl w:val="9"/>
        <w:rPr>
          <w:rFonts w:hint="eastAsia" w:ascii="宋体" w:hAnsi="宋体" w:eastAsia="宋体" w:cs="宋体"/>
          <w:b w:val="0"/>
          <w:color w:val="auto"/>
          <w:sz w:val="30"/>
          <w:szCs w:val="30"/>
          <w:highlight w:val="none"/>
        </w:rPr>
      </w:pPr>
    </w:p>
    <w:p w14:paraId="3512155E">
      <w:pPr>
        <w:outlineLvl w:val="9"/>
        <w:rPr>
          <w:rFonts w:hint="default" w:eastAsia="宋体"/>
          <w:color w:val="auto"/>
          <w:highlight w:val="none"/>
          <w:lang w:val="en-US" w:eastAsia="zh-CN"/>
        </w:rPr>
      </w:pPr>
      <w:r>
        <w:rPr>
          <w:rFonts w:hint="eastAsia" w:ascii="宋体" w:hAnsi="宋体" w:cs="宋体"/>
          <w:b w:val="0"/>
          <w:color w:val="auto"/>
          <w:sz w:val="30"/>
          <w:szCs w:val="30"/>
          <w:highlight w:val="none"/>
          <w:lang w:val="en-US" w:eastAsia="zh-CN"/>
        </w:rPr>
        <w:t xml:space="preserve">  </w:t>
      </w:r>
    </w:p>
    <w:p w14:paraId="19FACC58">
      <w:pPr>
        <w:pStyle w:val="6"/>
        <w:pageBreakBefore w:val="0"/>
        <w:wordWrap w:val="0"/>
        <w:overflowPunct/>
        <w:topLinePunct w:val="0"/>
        <w:bidi w:val="0"/>
        <w:spacing w:before="0" w:after="0" w:line="360" w:lineRule="auto"/>
        <w:ind w:firstLine="4200" w:firstLineChars="1400"/>
        <w:jc w:val="both"/>
        <w:rPr>
          <w:rFonts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第三节 评分标准</w:t>
      </w:r>
      <w:bookmarkEnd w:id="107"/>
    </w:p>
    <w:p w14:paraId="0E00AD0F">
      <w:pPr>
        <w:pStyle w:val="14"/>
        <w:pageBreakBefore w:val="0"/>
        <w:widowControl/>
        <w:wordWrap w:val="0"/>
        <w:overflowPunct/>
        <w:topLinePunct w:val="0"/>
        <w:bidi w:val="0"/>
        <w:spacing w:line="360" w:lineRule="auto"/>
        <w:ind w:firstLine="602" w:firstLineChars="200"/>
        <w:jc w:val="center"/>
        <w:rPr>
          <w:rFonts w:hAnsi="宋体" w:cs="宋体"/>
          <w:b/>
          <w:color w:val="auto"/>
          <w:sz w:val="30"/>
          <w:szCs w:val="30"/>
          <w:highlight w:val="none"/>
        </w:rPr>
      </w:pPr>
      <w:r>
        <w:rPr>
          <w:rFonts w:hint="eastAsia" w:hAnsi="宋体" w:cs="宋体"/>
          <w:b/>
          <w:color w:val="auto"/>
          <w:sz w:val="30"/>
          <w:szCs w:val="30"/>
          <w:highlight w:val="none"/>
        </w:rPr>
        <w:t>二、综合评分法</w:t>
      </w:r>
    </w:p>
    <w:p w14:paraId="47C0E644">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t>注：1.计分方法按四舍五入取至百分位。</w:t>
      </w:r>
    </w:p>
    <w:p w14:paraId="59356073">
      <w:pPr>
        <w:pageBreakBefore w:val="0"/>
        <w:wordWrap w:val="0"/>
        <w:overflowPunct/>
        <w:topLinePunct w:val="0"/>
        <w:bidi w:val="0"/>
        <w:spacing w:line="360" w:lineRule="auto"/>
        <w:ind w:firstLine="1050" w:firstLineChars="500"/>
        <w:rPr>
          <w:rFonts w:ascii="宋体" w:hAnsi="宋体" w:cs="宋体"/>
          <w:color w:val="auto"/>
          <w:szCs w:val="21"/>
          <w:highlight w:val="none"/>
        </w:rPr>
      </w:pPr>
      <w:r>
        <w:rPr>
          <w:rFonts w:hint="eastAsia" w:ascii="宋体" w:hAnsi="宋体" w:cs="宋体"/>
          <w:color w:val="auto"/>
          <w:szCs w:val="21"/>
          <w:highlight w:val="none"/>
        </w:rPr>
        <w:t>总得分=报价分+技术分+商务分</w:t>
      </w:r>
    </w:p>
    <w:p w14:paraId="3CB00674">
      <w:pPr>
        <w:pageBreakBefore w:val="0"/>
        <w:wordWrap w:val="0"/>
        <w:overflowPunct/>
        <w:topLinePunct w:val="0"/>
        <w:bidi w:val="0"/>
        <w:spacing w:line="36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2.商务技术评审因素为客观评分项的，应在评分项目或评分标准中予以标注为‘客观分’。对投标人的客观评分项目，各评标专家评分应当一致。</w:t>
      </w:r>
      <w:bookmarkStart w:id="108" w:name="PO_TDCUS_ITEM_SM_TITLE_1"/>
    </w:p>
    <w:bookmarkEnd w:id="108"/>
    <w:tbl>
      <w:tblPr>
        <w:tblStyle w:val="22"/>
        <w:tblpPr w:leftFromText="180" w:rightFromText="180" w:vertAnchor="text" w:horzAnchor="page" w:tblpX="1139" w:tblpY="94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481"/>
        <w:gridCol w:w="6554"/>
        <w:gridCol w:w="1410"/>
      </w:tblGrid>
      <w:tr w14:paraId="3007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tcPr>
          <w:p w14:paraId="7A92E80A">
            <w:pPr>
              <w:pStyle w:val="14"/>
              <w:keepNext w:val="0"/>
              <w:keepLines w:val="0"/>
              <w:pageBreakBefore w:val="0"/>
              <w:widowControl/>
              <w:kinsoku/>
              <w:wordWrap w:val="0"/>
              <w:overflowPunct/>
              <w:topLinePunct w:val="0"/>
              <w:autoSpaceDE/>
              <w:autoSpaceDN/>
              <w:bidi w:val="0"/>
              <w:spacing w:line="500" w:lineRule="exact"/>
              <w:rPr>
                <w:rFonts w:hint="eastAsia" w:asciiTheme="minorEastAsia" w:hAnsiTheme="minorEastAsia" w:eastAsiaTheme="minorEastAsia" w:cstheme="minorEastAsia"/>
                <w:bCs/>
                <w:color w:val="auto"/>
                <w:sz w:val="24"/>
                <w:szCs w:val="24"/>
                <w:highlight w:val="none"/>
              </w:rPr>
            </w:pPr>
            <w:bookmarkStart w:id="109" w:name="_Toc26276"/>
            <w:r>
              <w:rPr>
                <w:rFonts w:hint="eastAsia" w:asciiTheme="minorEastAsia" w:hAnsiTheme="minorEastAsia" w:eastAsiaTheme="minorEastAsia" w:cstheme="minorEastAsia"/>
                <w:bCs/>
                <w:color w:val="auto"/>
                <w:sz w:val="24"/>
                <w:szCs w:val="24"/>
                <w:highlight w:val="none"/>
              </w:rPr>
              <w:t>序号</w:t>
            </w:r>
          </w:p>
        </w:tc>
        <w:tc>
          <w:tcPr>
            <w:tcW w:w="1481" w:type="dxa"/>
            <w:tcBorders>
              <w:top w:val="single" w:color="auto" w:sz="4" w:space="0"/>
              <w:left w:val="single" w:color="auto" w:sz="4" w:space="0"/>
              <w:bottom w:val="single" w:color="auto" w:sz="4" w:space="0"/>
              <w:right w:val="single" w:color="auto" w:sz="4" w:space="0"/>
            </w:tcBorders>
          </w:tcPr>
          <w:p w14:paraId="0CBA8923">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评分类型</w:t>
            </w:r>
          </w:p>
        </w:tc>
        <w:tc>
          <w:tcPr>
            <w:tcW w:w="6554" w:type="dxa"/>
            <w:tcBorders>
              <w:top w:val="single" w:color="auto" w:sz="4" w:space="0"/>
              <w:left w:val="single" w:color="auto" w:sz="4" w:space="0"/>
              <w:bottom w:val="single" w:color="auto" w:sz="4" w:space="0"/>
              <w:right w:val="single" w:color="auto" w:sz="4" w:space="0"/>
            </w:tcBorders>
          </w:tcPr>
          <w:p w14:paraId="1012107A">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评分标准</w:t>
            </w:r>
          </w:p>
        </w:tc>
        <w:tc>
          <w:tcPr>
            <w:tcW w:w="1410" w:type="dxa"/>
            <w:tcBorders>
              <w:top w:val="single" w:color="auto" w:sz="4" w:space="0"/>
              <w:left w:val="single" w:color="auto" w:sz="4" w:space="0"/>
              <w:bottom w:val="single" w:color="auto" w:sz="4" w:space="0"/>
              <w:right w:val="single" w:color="auto" w:sz="4" w:space="0"/>
            </w:tcBorders>
          </w:tcPr>
          <w:p w14:paraId="0F7C7981">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分值</w:t>
            </w:r>
          </w:p>
        </w:tc>
      </w:tr>
      <w:tr w14:paraId="4F56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vAlign w:val="center"/>
          </w:tcPr>
          <w:p w14:paraId="4296D552">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p>
        </w:tc>
        <w:tc>
          <w:tcPr>
            <w:tcW w:w="1481" w:type="dxa"/>
            <w:tcBorders>
              <w:top w:val="single" w:color="auto" w:sz="4" w:space="0"/>
              <w:left w:val="single" w:color="auto" w:sz="4" w:space="0"/>
              <w:bottom w:val="single" w:color="auto" w:sz="4" w:space="0"/>
              <w:right w:val="single" w:color="auto" w:sz="4" w:space="0"/>
            </w:tcBorders>
            <w:vAlign w:val="center"/>
          </w:tcPr>
          <w:p w14:paraId="79006AC8">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报价分</w:t>
            </w:r>
          </w:p>
        </w:tc>
        <w:tc>
          <w:tcPr>
            <w:tcW w:w="6554" w:type="dxa"/>
            <w:tcBorders>
              <w:top w:val="single" w:color="auto" w:sz="4" w:space="0"/>
              <w:left w:val="single" w:color="auto" w:sz="4" w:space="0"/>
              <w:bottom w:val="single" w:color="auto" w:sz="4" w:space="0"/>
              <w:right w:val="single" w:color="auto" w:sz="4" w:space="0"/>
            </w:tcBorders>
          </w:tcPr>
          <w:p w14:paraId="52D02F28">
            <w:pPr>
              <w:keepNext w:val="0"/>
              <w:keepLines w:val="0"/>
              <w:pageBreakBefore w:val="0"/>
              <w:kinsoku/>
              <w:overflowPunct/>
              <w:topLinePunct w:val="0"/>
              <w:autoSpaceDE/>
              <w:autoSpaceDN/>
              <w:bidi w:val="0"/>
              <w:snapToGrid w:val="0"/>
              <w:spacing w:line="50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 专门面向</w:t>
            </w:r>
            <w:r>
              <w:rPr>
                <w:rFonts w:hint="eastAsia" w:asciiTheme="minorEastAsia" w:hAnsiTheme="minorEastAsia" w:eastAsiaTheme="minorEastAsia" w:cstheme="minorEastAsia"/>
                <w:b/>
                <w:bCs/>
                <w:color w:val="auto"/>
                <w:sz w:val="24"/>
                <w:szCs w:val="24"/>
                <w:highlight w:val="none"/>
                <w:lang w:val="en-US" w:eastAsia="zh-CN"/>
              </w:rPr>
              <w:t>中小</w:t>
            </w:r>
            <w:r>
              <w:rPr>
                <w:rFonts w:hint="eastAsia" w:asciiTheme="minorEastAsia" w:hAnsiTheme="minorEastAsia" w:eastAsiaTheme="minorEastAsia" w:cstheme="minorEastAsia"/>
                <w:b/>
                <w:bCs/>
                <w:color w:val="auto"/>
                <w:sz w:val="24"/>
                <w:szCs w:val="24"/>
                <w:highlight w:val="none"/>
              </w:rPr>
              <w:t>企业采购项目</w:t>
            </w:r>
          </w:p>
          <w:p w14:paraId="5B4E74A5">
            <w:pPr>
              <w:keepNext w:val="0"/>
              <w:keepLines w:val="0"/>
              <w:pageBreakBefore w:val="0"/>
              <w:kinsoku/>
              <w:overflowPunct/>
              <w:topLinePunct w:val="0"/>
              <w:autoSpaceDE/>
              <w:autoSpaceDN/>
              <w:bidi w:val="0"/>
              <w:snapToGrid w:val="0"/>
              <w:spacing w:line="50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本项目为专门面对中小企业采购项目，小型企业、微型企业、监狱企业、残疾人福利性单位均不再执行价格评审优惠的扶持政策。</w:t>
            </w:r>
          </w:p>
          <w:p w14:paraId="33FD4E66">
            <w:pPr>
              <w:keepNext w:val="0"/>
              <w:keepLines w:val="0"/>
              <w:pageBreakBefore w:val="0"/>
              <w:kinsoku/>
              <w:overflowPunct/>
              <w:topLinePunct w:val="0"/>
              <w:autoSpaceDE/>
              <w:autoSpaceDN/>
              <w:bidi w:val="0"/>
              <w:snapToGrid w:val="0"/>
              <w:spacing w:line="50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 本项目为非专门面向中小企业采购项目（政府采购政策性扣除计算方法）：</w:t>
            </w:r>
          </w:p>
          <w:p w14:paraId="6F1476B6">
            <w:pPr>
              <w:pStyle w:val="14"/>
              <w:keepNext w:val="0"/>
              <w:keepLines w:val="0"/>
              <w:pageBreakBefore w:val="0"/>
              <w:kinsoku/>
              <w:wordWrap w:val="0"/>
              <w:overflowPunct/>
              <w:topLinePunct w:val="0"/>
              <w:autoSpaceDE/>
              <w:autoSpaceDN/>
              <w:bidi w:val="0"/>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（1）评标报价为投标人的投标报价进行政策性扣除后的价格，评标报价只是作为评标时使用。最终中标供应商的中标金额等于投标报价。</w:t>
            </w:r>
          </w:p>
          <w:p w14:paraId="52B5FDF1">
            <w:pPr>
              <w:pStyle w:val="14"/>
              <w:keepNext w:val="0"/>
              <w:keepLines w:val="0"/>
              <w:pageBreakBefore w:val="0"/>
              <w:kinsoku/>
              <w:wordWrap w:val="0"/>
              <w:overflowPunct/>
              <w:topLinePunct w:val="0"/>
              <w:autoSpaceDE/>
              <w:autoSpaceDN/>
              <w:bidi w:val="0"/>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（2）按照《政府采购促进中小企业发展管理办法》（财库〔2020〕46号）的规定，投标人在其投标文件中提供《中小企业声明函》，且其服务为小型和微型企业承接的，对其最后报价给予10%的扣除。</w:t>
            </w:r>
          </w:p>
          <w:p w14:paraId="6FBC89E3">
            <w:pPr>
              <w:pStyle w:val="14"/>
              <w:keepNext w:val="0"/>
              <w:keepLines w:val="0"/>
              <w:pageBreakBefore w:val="0"/>
              <w:kinsoku/>
              <w:wordWrap w:val="0"/>
              <w:overflowPunct/>
              <w:topLinePunct w:val="0"/>
              <w:autoSpaceDE/>
              <w:autoSpaceDN/>
              <w:bidi w:val="0"/>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9BE197F">
            <w:pPr>
              <w:pStyle w:val="14"/>
              <w:keepNext w:val="0"/>
              <w:keepLines w:val="0"/>
              <w:pageBreakBefore w:val="0"/>
              <w:kinsoku/>
              <w:wordWrap w:val="0"/>
              <w:overflowPunct/>
              <w:topLinePunct w:val="0"/>
              <w:autoSpaceDE/>
              <w:autoSpaceDN/>
              <w:bidi w:val="0"/>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E7EC3B6">
            <w:pPr>
              <w:pStyle w:val="14"/>
              <w:keepNext w:val="0"/>
              <w:keepLines w:val="0"/>
              <w:pageBreakBefore w:val="0"/>
              <w:kinsoku/>
              <w:wordWrap w:val="0"/>
              <w:overflowPunct/>
              <w:topLinePunct w:val="0"/>
              <w:autoSpaceDE/>
              <w:autoSpaceDN/>
              <w:bidi w:val="0"/>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（5）政策性扣除计算方法。</w:t>
            </w:r>
          </w:p>
          <w:p w14:paraId="5036627F">
            <w:pPr>
              <w:pStyle w:val="14"/>
              <w:keepNext w:val="0"/>
              <w:keepLines w:val="0"/>
              <w:pageBreakBefore w:val="0"/>
              <w:kinsoku/>
              <w:wordWrap w:val="0"/>
              <w:overflowPunct/>
              <w:topLinePunct w:val="0"/>
              <w:autoSpaceDE/>
              <w:autoSpaceDN/>
              <w:bidi w:val="0"/>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在服务采购项目中，服务由小微企业承接；对符合上述要求的投标人的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3%的扣除，用扣除后的价格参加评审，扣除后的价格为评标报价，即评标报价=投标报价×（1-3%）。除上述情况外，评标报价=投标报价。</w:t>
            </w:r>
          </w:p>
          <w:p w14:paraId="324A0EE8">
            <w:pPr>
              <w:pStyle w:val="14"/>
              <w:keepNext w:val="0"/>
              <w:keepLines w:val="0"/>
              <w:pageBreakBefore w:val="0"/>
              <w:kinsoku/>
              <w:wordWrap w:val="0"/>
              <w:overflowPunct/>
              <w:topLinePunct w:val="0"/>
              <w:autoSpaceDE/>
              <w:autoSpaceDN/>
              <w:bidi w:val="0"/>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（6）满足招标文件要求且评标报价最低的评标报价为评标基准价，其价格分为满分。</w:t>
            </w:r>
          </w:p>
          <w:p w14:paraId="2332BA00">
            <w:pPr>
              <w:pStyle w:val="14"/>
              <w:keepNext w:val="0"/>
              <w:keepLines w:val="0"/>
              <w:pageBreakBefore w:val="0"/>
              <w:kinsoku/>
              <w:wordWrap w:val="0"/>
              <w:overflowPunct/>
              <w:topLinePunct w:val="0"/>
              <w:autoSpaceDE/>
              <w:autoSpaceDN/>
              <w:bidi w:val="0"/>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（7）价格分计算公式：        </w:t>
            </w:r>
          </w:p>
          <w:p w14:paraId="45DA0D59">
            <w:pPr>
              <w:pStyle w:val="14"/>
              <w:keepNext w:val="0"/>
              <w:keepLines w:val="0"/>
              <w:pageBreakBefore w:val="0"/>
              <w:widowControl/>
              <w:kinsoku/>
              <w:wordWrap w:val="0"/>
              <w:overflowPunct/>
              <w:topLinePunct w:val="0"/>
              <w:autoSpaceDE/>
              <w:autoSpaceDN/>
              <w:bidi w:val="0"/>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价格分=(评标基准价／评标报价)×</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3</w:t>
            </w:r>
            <w:r>
              <w:rPr>
                <w:rFonts w:hint="eastAsia" w:asciiTheme="minorEastAsia" w:hAnsiTheme="minorEastAsia" w:eastAsiaTheme="minorEastAsia" w:cstheme="minorEastAsia"/>
                <w:bCs/>
                <w:color w:val="auto"/>
                <w:sz w:val="24"/>
                <w:szCs w:val="24"/>
                <w:highlight w:val="none"/>
                <w:u w:val="single"/>
              </w:rPr>
              <w:t xml:space="preserve">0 </w:t>
            </w:r>
            <w:r>
              <w:rPr>
                <w:rFonts w:hint="eastAsia" w:asciiTheme="minorEastAsia" w:hAnsiTheme="minorEastAsia" w:eastAsiaTheme="minorEastAsia" w:cstheme="minorEastAsia"/>
                <w:bCs/>
                <w:color w:val="auto"/>
                <w:sz w:val="24"/>
                <w:szCs w:val="24"/>
                <w:highlight w:val="none"/>
              </w:rPr>
              <w:t>分</w:t>
            </w:r>
          </w:p>
        </w:tc>
        <w:tc>
          <w:tcPr>
            <w:tcW w:w="1410" w:type="dxa"/>
            <w:tcBorders>
              <w:top w:val="single" w:color="auto" w:sz="4" w:space="0"/>
              <w:left w:val="single" w:color="auto" w:sz="4" w:space="0"/>
              <w:bottom w:val="single" w:color="auto" w:sz="4" w:space="0"/>
              <w:right w:val="single" w:color="auto" w:sz="4" w:space="0"/>
            </w:tcBorders>
            <w:vAlign w:val="center"/>
          </w:tcPr>
          <w:p w14:paraId="170E5916">
            <w:pPr>
              <w:pStyle w:val="14"/>
              <w:keepNext w:val="0"/>
              <w:keepLines w:val="0"/>
              <w:pageBreakBefore w:val="0"/>
              <w:widowControl/>
              <w:kinsoku/>
              <w:wordWrap w:val="0"/>
              <w:overflowPunct/>
              <w:topLinePunct w:val="0"/>
              <w:autoSpaceDE/>
              <w:autoSpaceDN/>
              <w:bidi w:val="0"/>
              <w:spacing w:line="500" w:lineRule="exact"/>
              <w:jc w:val="center"/>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0~</w:t>
            </w:r>
            <w:r>
              <w:rPr>
                <w:rFonts w:hint="eastAsia" w:asciiTheme="minorEastAsia" w:hAnsiTheme="minorEastAsia" w:eastAsiaTheme="minorEastAsia" w:cstheme="minorEastAsia"/>
                <w:bCs/>
                <w:color w:val="auto"/>
                <w:sz w:val="24"/>
                <w:szCs w:val="24"/>
                <w:highlight w:val="none"/>
                <w:lang w:val="en-US" w:eastAsia="zh-CN"/>
              </w:rPr>
              <w:t>30</w:t>
            </w:r>
          </w:p>
        </w:tc>
      </w:tr>
      <w:tr w14:paraId="1A8B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tcBorders>
              <w:top w:val="single" w:color="auto" w:sz="4" w:space="0"/>
              <w:left w:val="single" w:color="auto" w:sz="4" w:space="0"/>
              <w:right w:val="single" w:color="auto" w:sz="4" w:space="0"/>
            </w:tcBorders>
            <w:vAlign w:val="center"/>
          </w:tcPr>
          <w:p w14:paraId="0F4641EF">
            <w:pPr>
              <w:pStyle w:val="14"/>
              <w:keepNext w:val="0"/>
              <w:keepLines w:val="0"/>
              <w:pageBreakBefore w:val="0"/>
              <w:widowControl/>
              <w:kinsoku/>
              <w:wordWrap w:val="0"/>
              <w:overflowPunct/>
              <w:topLinePunct w:val="0"/>
              <w:autoSpaceDE/>
              <w:autoSpaceDN/>
              <w:bidi w:val="0"/>
              <w:spacing w:line="50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技术分（满分</w:t>
            </w:r>
            <w:r>
              <w:rPr>
                <w:rFonts w:hint="eastAsia" w:asciiTheme="minorEastAsia" w:hAnsiTheme="minorEastAsia" w:eastAsiaTheme="minorEastAsia" w:cstheme="minorEastAsia"/>
                <w:b/>
                <w:color w:val="auto"/>
                <w:sz w:val="24"/>
                <w:szCs w:val="24"/>
                <w:highlight w:val="none"/>
                <w:lang w:val="en-US" w:eastAsia="zh-CN"/>
              </w:rPr>
              <w:t>45</w:t>
            </w:r>
            <w:r>
              <w:rPr>
                <w:rFonts w:hint="eastAsia" w:asciiTheme="minorEastAsia" w:hAnsiTheme="minorEastAsia" w:eastAsiaTheme="minorEastAsia" w:cstheme="minorEastAsia"/>
                <w:b/>
                <w:color w:val="auto"/>
                <w:sz w:val="24"/>
                <w:szCs w:val="24"/>
                <w:highlight w:val="none"/>
              </w:rPr>
              <w:t>分）</w:t>
            </w:r>
          </w:p>
        </w:tc>
      </w:tr>
      <w:tr w14:paraId="60A6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tcBorders>
              <w:top w:val="single" w:color="auto" w:sz="4" w:space="0"/>
              <w:left w:val="single" w:color="auto" w:sz="4" w:space="0"/>
              <w:right w:val="single" w:color="auto" w:sz="4" w:space="0"/>
            </w:tcBorders>
            <w:vAlign w:val="center"/>
          </w:tcPr>
          <w:p w14:paraId="19439FCD">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2</w:t>
            </w:r>
          </w:p>
        </w:tc>
        <w:tc>
          <w:tcPr>
            <w:tcW w:w="8035" w:type="dxa"/>
            <w:gridSpan w:val="2"/>
            <w:tcBorders>
              <w:top w:val="single" w:color="auto" w:sz="4" w:space="0"/>
              <w:left w:val="single" w:color="auto" w:sz="4" w:space="0"/>
              <w:bottom w:val="single" w:color="auto" w:sz="4" w:space="0"/>
              <w:right w:val="single" w:color="auto" w:sz="4" w:space="0"/>
            </w:tcBorders>
          </w:tcPr>
          <w:p w14:paraId="66C3808B">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评审因素</w:t>
            </w:r>
          </w:p>
        </w:tc>
        <w:tc>
          <w:tcPr>
            <w:tcW w:w="1410" w:type="dxa"/>
            <w:tcBorders>
              <w:top w:val="single" w:color="auto" w:sz="4" w:space="0"/>
              <w:left w:val="single" w:color="auto" w:sz="4" w:space="0"/>
              <w:bottom w:val="single" w:color="auto" w:sz="4" w:space="0"/>
              <w:right w:val="single" w:color="auto" w:sz="4" w:space="0"/>
            </w:tcBorders>
          </w:tcPr>
          <w:p w14:paraId="610474A6">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分值</w:t>
            </w:r>
          </w:p>
        </w:tc>
      </w:tr>
      <w:tr w14:paraId="315D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517" w:type="dxa"/>
            <w:vMerge w:val="continue"/>
            <w:tcBorders>
              <w:left w:val="single" w:color="auto" w:sz="4" w:space="0"/>
              <w:right w:val="single" w:color="auto" w:sz="4" w:space="0"/>
            </w:tcBorders>
          </w:tcPr>
          <w:p w14:paraId="13F20EAB">
            <w:pPr>
              <w:pStyle w:val="14"/>
              <w:keepNext w:val="0"/>
              <w:keepLines w:val="0"/>
              <w:pageBreakBefore w:val="0"/>
              <w:widowControl/>
              <w:kinsoku/>
              <w:wordWrap w:val="0"/>
              <w:overflowPunct/>
              <w:topLinePunct w:val="0"/>
              <w:autoSpaceDE/>
              <w:autoSpaceDN/>
              <w:bidi w:val="0"/>
              <w:spacing w:line="500" w:lineRule="exact"/>
              <w:rPr>
                <w:rFonts w:hint="eastAsia" w:asciiTheme="minorEastAsia" w:hAnsiTheme="minorEastAsia" w:eastAsiaTheme="minorEastAsia" w:cstheme="minorEastAsia"/>
                <w:bCs/>
                <w:color w:val="auto"/>
                <w:sz w:val="24"/>
                <w:szCs w:val="24"/>
                <w:highlight w:val="none"/>
              </w:rPr>
            </w:pPr>
          </w:p>
        </w:tc>
        <w:tc>
          <w:tcPr>
            <w:tcW w:w="1481" w:type="dxa"/>
            <w:tcBorders>
              <w:top w:val="single" w:color="auto" w:sz="4" w:space="0"/>
              <w:left w:val="single" w:color="auto" w:sz="4" w:space="0"/>
              <w:right w:val="single" w:color="auto" w:sz="4" w:space="0"/>
            </w:tcBorders>
            <w:vAlign w:val="center"/>
          </w:tcPr>
          <w:p w14:paraId="48297A61">
            <w:pPr>
              <w:keepNext w:val="0"/>
              <w:keepLines w:val="0"/>
              <w:pageBreakBefore w:val="0"/>
              <w:tabs>
                <w:tab w:val="left" w:pos="2472"/>
              </w:tabs>
              <w:kinsoku/>
              <w:overflowPunct/>
              <w:topLinePunct w:val="0"/>
              <w:autoSpaceDE/>
              <w:autoSpaceDN/>
              <w:bidi w:val="0"/>
              <w:spacing w:line="50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lang w:eastAsia="zh-CN"/>
              </w:rPr>
              <w:t>）运营方案</w:t>
            </w:r>
            <w:r>
              <w:rPr>
                <w:rFonts w:hint="eastAsia" w:asciiTheme="minorEastAsia" w:hAnsiTheme="minorEastAsia" w:eastAsiaTheme="minorEastAsia" w:cstheme="minorEastAsia"/>
                <w:bCs/>
                <w:color w:val="auto"/>
                <w:sz w:val="24"/>
                <w:szCs w:val="24"/>
                <w:highlight w:val="none"/>
              </w:rPr>
              <w:t>分</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满分</w:t>
            </w:r>
            <w:r>
              <w:rPr>
                <w:rFonts w:hint="eastAsia" w:asciiTheme="minorEastAsia" w:hAnsiTheme="minorEastAsia" w:eastAsiaTheme="minorEastAsia" w:cstheme="minorEastAsia"/>
                <w:color w:val="auto"/>
                <w:sz w:val="24"/>
                <w:szCs w:val="24"/>
                <w:highlight w:val="none"/>
                <w:lang w:val="en-US" w:eastAsia="zh-CN"/>
              </w:rPr>
              <w:t>15分，</w:t>
            </w:r>
            <w:r>
              <w:rPr>
                <w:rFonts w:hint="eastAsia" w:asciiTheme="minorEastAsia" w:hAnsiTheme="minorEastAsia" w:eastAsiaTheme="minorEastAsia" w:cstheme="minorEastAsia"/>
                <w:bCs/>
                <w:color w:val="auto"/>
                <w:sz w:val="24"/>
                <w:szCs w:val="24"/>
                <w:highlight w:val="none"/>
              </w:rPr>
              <w:t>不提供或不满足一档不得分。</w:t>
            </w:r>
            <w:r>
              <w:rPr>
                <w:rFonts w:hint="eastAsia" w:asciiTheme="minorEastAsia" w:hAnsiTheme="minorEastAsia" w:eastAsiaTheme="minorEastAsia" w:cstheme="minorEastAsia"/>
                <w:bCs/>
                <w:color w:val="auto"/>
                <w:sz w:val="24"/>
                <w:szCs w:val="24"/>
                <w:highlight w:val="none"/>
                <w:lang w:eastAsia="zh-CN"/>
              </w:rPr>
              <w:t>）</w:t>
            </w:r>
          </w:p>
        </w:tc>
        <w:tc>
          <w:tcPr>
            <w:tcW w:w="6554" w:type="dxa"/>
            <w:tcBorders>
              <w:top w:val="single" w:color="auto" w:sz="4" w:space="0"/>
              <w:left w:val="single" w:color="auto" w:sz="4" w:space="0"/>
              <w:bottom w:val="single" w:color="auto" w:sz="4" w:space="0"/>
              <w:right w:val="single" w:color="auto" w:sz="4" w:space="0"/>
            </w:tcBorders>
            <w:vAlign w:val="center"/>
          </w:tcPr>
          <w:p w14:paraId="2EB46008">
            <w:pPr>
              <w:keepNext w:val="0"/>
              <w:keepLines w:val="0"/>
              <w:pageBreakBefore w:val="0"/>
              <w:widowControl/>
              <w:kinsoku/>
              <w:overflowPunct/>
              <w:topLinePunct w:val="0"/>
              <w:autoSpaceDE/>
              <w:autoSpaceDN/>
              <w:bidi w:val="0"/>
              <w:spacing w:line="500" w:lineRule="exact"/>
              <w:rPr>
                <w:rFonts w:hint="eastAsia" w:asciiTheme="minorEastAsia" w:hAnsiTheme="minorEastAsia" w:eastAsiaTheme="minorEastAsia" w:cstheme="minorEastAsia"/>
                <w:color w:val="auto"/>
                <w:kern w:val="0"/>
                <w:sz w:val="24"/>
                <w:szCs w:val="24"/>
                <w:highlight w:val="none"/>
                <w:shd w:val="clear" w:color="auto" w:fill="FFFFFF"/>
              </w:rPr>
            </w:pPr>
            <w:r>
              <w:rPr>
                <w:rFonts w:hint="eastAsia" w:asciiTheme="minorEastAsia" w:hAnsiTheme="minorEastAsia" w:eastAsiaTheme="minorEastAsia" w:cstheme="minorEastAsia"/>
                <w:color w:val="auto"/>
                <w:kern w:val="0"/>
                <w:sz w:val="24"/>
                <w:szCs w:val="24"/>
                <w:highlight w:val="none"/>
                <w:shd w:val="clear" w:color="auto" w:fill="FFFFFF"/>
              </w:rPr>
              <w:t>运营方案包括但不仅限于：（1）运营工艺及项目管理：工艺概述、项目管理方案等；（2）设备系统操作及污水处理系统运行管理；（3）污水处理</w:t>
            </w:r>
            <w:r>
              <w:rPr>
                <w:rFonts w:hint="eastAsia" w:asciiTheme="minorEastAsia" w:hAnsiTheme="minorEastAsia" w:eastAsiaTheme="minorEastAsia" w:cstheme="minorEastAsia"/>
                <w:color w:val="auto"/>
                <w:kern w:val="0"/>
                <w:sz w:val="24"/>
                <w:szCs w:val="24"/>
                <w:highlight w:val="none"/>
                <w:shd w:val="clear" w:color="auto" w:fill="FFFFFF"/>
                <w:lang w:val="en-US" w:eastAsia="zh-CN"/>
              </w:rPr>
              <w:t>站</w:t>
            </w:r>
            <w:r>
              <w:rPr>
                <w:rFonts w:hint="eastAsia" w:asciiTheme="minorEastAsia" w:hAnsiTheme="minorEastAsia" w:eastAsiaTheme="minorEastAsia" w:cstheme="minorEastAsia"/>
                <w:color w:val="auto"/>
                <w:kern w:val="0"/>
                <w:sz w:val="24"/>
                <w:szCs w:val="24"/>
                <w:highlight w:val="none"/>
                <w:shd w:val="clear" w:color="auto" w:fill="FFFFFF"/>
              </w:rPr>
              <w:t>设施设备运营维护方案，包括保养计划和日常运营维护方案；（4）运营人员配置及管理培训；（5）安全生产及应急预案等内容的完整。</w:t>
            </w:r>
          </w:p>
          <w:p w14:paraId="22E82D1B">
            <w:pPr>
              <w:keepNext w:val="0"/>
              <w:keepLines w:val="0"/>
              <w:pageBreakBefore w:val="0"/>
              <w:widowControl/>
              <w:kinsoku/>
              <w:overflowPunct/>
              <w:topLinePunct w:val="0"/>
              <w:autoSpaceDE/>
              <w:autoSpaceDN/>
              <w:bidi w:val="0"/>
              <w:spacing w:line="500" w:lineRule="exact"/>
              <w:rPr>
                <w:rFonts w:hint="eastAsia" w:asciiTheme="minorEastAsia" w:hAnsiTheme="minorEastAsia" w:eastAsiaTheme="minorEastAsia" w:cstheme="minorEastAsia"/>
                <w:color w:val="auto"/>
                <w:kern w:val="0"/>
                <w:sz w:val="24"/>
                <w:szCs w:val="24"/>
                <w:highlight w:val="none"/>
                <w:shd w:val="clear" w:color="auto" w:fill="FFFFFF"/>
              </w:rPr>
            </w:pPr>
            <w:r>
              <w:rPr>
                <w:rFonts w:hint="eastAsia" w:asciiTheme="minorEastAsia" w:hAnsiTheme="minorEastAsia" w:eastAsiaTheme="minorEastAsia" w:cstheme="minorEastAsia"/>
                <w:color w:val="auto"/>
                <w:kern w:val="0"/>
                <w:sz w:val="24"/>
                <w:szCs w:val="24"/>
                <w:highlight w:val="none"/>
                <w:shd w:val="clear" w:color="auto" w:fill="FFFFFF"/>
              </w:rPr>
              <w:t>一档（</w:t>
            </w:r>
            <w:r>
              <w:rPr>
                <w:rFonts w:hint="eastAsia" w:asciiTheme="minorEastAsia" w:hAnsiTheme="minorEastAsia" w:eastAsiaTheme="minorEastAsia" w:cstheme="minorEastAsia"/>
                <w:color w:val="auto"/>
                <w:kern w:val="0"/>
                <w:sz w:val="24"/>
                <w:szCs w:val="24"/>
                <w:highlight w:val="none"/>
                <w:shd w:val="clear" w:color="auto" w:fill="FFFFFF"/>
                <w:lang w:val="en-US" w:eastAsia="zh-CN"/>
              </w:rPr>
              <w:t>4</w:t>
            </w:r>
            <w:r>
              <w:rPr>
                <w:rFonts w:hint="eastAsia" w:asciiTheme="minorEastAsia" w:hAnsiTheme="minorEastAsia" w:eastAsiaTheme="minorEastAsia" w:cstheme="minorEastAsia"/>
                <w:color w:val="auto"/>
                <w:kern w:val="0"/>
                <w:sz w:val="24"/>
                <w:szCs w:val="24"/>
                <w:highlight w:val="none"/>
                <w:shd w:val="clear" w:color="auto" w:fill="FFFFFF"/>
              </w:rPr>
              <w:t>分）：制定的运营方案内容简单，基本满足项目要求。</w:t>
            </w:r>
          </w:p>
          <w:p w14:paraId="3C357107">
            <w:pPr>
              <w:keepNext w:val="0"/>
              <w:keepLines w:val="0"/>
              <w:pageBreakBefore w:val="0"/>
              <w:widowControl/>
              <w:kinsoku/>
              <w:overflowPunct/>
              <w:topLinePunct w:val="0"/>
              <w:autoSpaceDE/>
              <w:autoSpaceDN/>
              <w:bidi w:val="0"/>
              <w:spacing w:line="500" w:lineRule="exact"/>
              <w:rPr>
                <w:rFonts w:hint="eastAsia" w:asciiTheme="minorEastAsia" w:hAnsiTheme="minorEastAsia" w:eastAsiaTheme="minorEastAsia" w:cstheme="minorEastAsia"/>
                <w:color w:val="auto"/>
                <w:kern w:val="0"/>
                <w:sz w:val="24"/>
                <w:szCs w:val="24"/>
                <w:highlight w:val="none"/>
                <w:shd w:val="clear" w:color="auto" w:fill="FFFFFF"/>
              </w:rPr>
            </w:pPr>
            <w:r>
              <w:rPr>
                <w:rFonts w:hint="eastAsia" w:asciiTheme="minorEastAsia" w:hAnsiTheme="minorEastAsia" w:eastAsiaTheme="minorEastAsia" w:cstheme="minorEastAsia"/>
                <w:color w:val="auto"/>
                <w:kern w:val="0"/>
                <w:sz w:val="24"/>
                <w:szCs w:val="24"/>
                <w:highlight w:val="none"/>
                <w:shd w:val="clear" w:color="auto" w:fill="FFFFFF"/>
              </w:rPr>
              <w:t>二档（</w:t>
            </w:r>
            <w:r>
              <w:rPr>
                <w:rFonts w:hint="eastAsia" w:asciiTheme="minorEastAsia" w:hAnsiTheme="minorEastAsia" w:eastAsiaTheme="minorEastAsia" w:cstheme="minorEastAsia"/>
                <w:color w:val="auto"/>
                <w:kern w:val="0"/>
                <w:sz w:val="24"/>
                <w:szCs w:val="24"/>
                <w:highlight w:val="none"/>
                <w:shd w:val="clear" w:color="auto" w:fill="FFFFFF"/>
                <w:lang w:val="en-US" w:eastAsia="zh-CN"/>
              </w:rPr>
              <w:t>8</w:t>
            </w:r>
            <w:r>
              <w:rPr>
                <w:rFonts w:hint="eastAsia" w:asciiTheme="minorEastAsia" w:hAnsiTheme="minorEastAsia" w:eastAsiaTheme="minorEastAsia" w:cstheme="minorEastAsia"/>
                <w:color w:val="auto"/>
                <w:kern w:val="0"/>
                <w:sz w:val="24"/>
                <w:szCs w:val="24"/>
                <w:highlight w:val="none"/>
                <w:shd w:val="clear" w:color="auto" w:fill="FFFFFF"/>
              </w:rPr>
              <w:t>分）：制定的运营方案内容完整，符合项目要求，提出的方案基本可行，符合项目基本要求的。</w:t>
            </w:r>
          </w:p>
          <w:p w14:paraId="576F65F4">
            <w:pPr>
              <w:keepNext w:val="0"/>
              <w:keepLines w:val="0"/>
              <w:pageBreakBefore w:val="0"/>
              <w:widowControl/>
              <w:kinsoku/>
              <w:overflowPunct/>
              <w:topLinePunct w:val="0"/>
              <w:autoSpaceDE/>
              <w:autoSpaceDN/>
              <w:bidi w:val="0"/>
              <w:spacing w:line="500" w:lineRule="exact"/>
              <w:rPr>
                <w:rFonts w:hint="eastAsia" w:asciiTheme="minorEastAsia" w:hAnsiTheme="minorEastAsia" w:eastAsiaTheme="minorEastAsia" w:cstheme="minorEastAsia"/>
                <w:color w:val="auto"/>
                <w:kern w:val="0"/>
                <w:sz w:val="24"/>
                <w:szCs w:val="24"/>
                <w:highlight w:val="none"/>
                <w:shd w:val="clear" w:color="auto" w:fill="FFFFFF"/>
              </w:rPr>
            </w:pPr>
            <w:r>
              <w:rPr>
                <w:rFonts w:hint="eastAsia" w:asciiTheme="minorEastAsia" w:hAnsiTheme="minorEastAsia" w:eastAsiaTheme="minorEastAsia" w:cstheme="minorEastAsia"/>
                <w:color w:val="auto"/>
                <w:kern w:val="0"/>
                <w:sz w:val="24"/>
                <w:szCs w:val="24"/>
                <w:highlight w:val="none"/>
                <w:shd w:val="clear" w:color="auto" w:fill="FFFFFF"/>
              </w:rPr>
              <w:t>三档（</w:t>
            </w:r>
            <w:r>
              <w:rPr>
                <w:rFonts w:hint="eastAsia" w:asciiTheme="minorEastAsia" w:hAnsiTheme="minorEastAsia" w:eastAsiaTheme="minorEastAsia" w:cstheme="minorEastAsia"/>
                <w:color w:val="auto"/>
                <w:kern w:val="0"/>
                <w:sz w:val="24"/>
                <w:szCs w:val="24"/>
                <w:highlight w:val="none"/>
                <w:shd w:val="clear" w:color="auto" w:fill="FFFFFF"/>
                <w:lang w:val="en-US" w:eastAsia="zh-CN"/>
              </w:rPr>
              <w:t>12</w:t>
            </w:r>
            <w:r>
              <w:rPr>
                <w:rFonts w:hint="eastAsia" w:asciiTheme="minorEastAsia" w:hAnsiTheme="minorEastAsia" w:eastAsiaTheme="minorEastAsia" w:cstheme="minorEastAsia"/>
                <w:color w:val="auto"/>
                <w:kern w:val="0"/>
                <w:sz w:val="24"/>
                <w:szCs w:val="24"/>
                <w:highlight w:val="none"/>
                <w:shd w:val="clear" w:color="auto" w:fill="FFFFFF"/>
              </w:rPr>
              <w:t>分）：制定的运营方案内容完整、详细，符合项目现状要求的，提出的方案可行，满足项目的全部要求。</w:t>
            </w:r>
          </w:p>
          <w:p w14:paraId="5D4561CA">
            <w:pPr>
              <w:keepNext w:val="0"/>
              <w:keepLines w:val="0"/>
              <w:pageBreakBefore w:val="0"/>
              <w:widowControl/>
              <w:kinsoku/>
              <w:overflowPunct/>
              <w:topLinePunct w:val="0"/>
              <w:autoSpaceDE/>
              <w:autoSpaceDN/>
              <w:bidi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FFFFFF"/>
              </w:rPr>
              <w:t>四档（</w:t>
            </w:r>
            <w:r>
              <w:rPr>
                <w:rFonts w:hint="eastAsia" w:asciiTheme="minorEastAsia" w:hAnsiTheme="minorEastAsia" w:eastAsiaTheme="minorEastAsia" w:cstheme="minorEastAsia"/>
                <w:color w:val="auto"/>
                <w:kern w:val="0"/>
                <w:sz w:val="24"/>
                <w:szCs w:val="24"/>
                <w:highlight w:val="none"/>
                <w:shd w:val="clear" w:color="auto" w:fill="FFFFFF"/>
                <w:lang w:val="en-US" w:eastAsia="zh-CN"/>
              </w:rPr>
              <w:t>15</w:t>
            </w:r>
            <w:r>
              <w:rPr>
                <w:rFonts w:hint="eastAsia" w:asciiTheme="minorEastAsia" w:hAnsiTheme="minorEastAsia" w:eastAsiaTheme="minorEastAsia" w:cstheme="minorEastAsia"/>
                <w:color w:val="auto"/>
                <w:kern w:val="0"/>
                <w:sz w:val="24"/>
                <w:szCs w:val="24"/>
                <w:highlight w:val="none"/>
                <w:shd w:val="clear" w:color="auto" w:fill="FFFFFF"/>
              </w:rPr>
              <w:t>分）：制定的运营方案详细完整，内容详细具体、合理，重点突出，符合项目现状要求并提供有效措施，对项目的实施有实质性保障，方案具有系统性、科学性和先进性，满足方案所有要求。</w:t>
            </w:r>
          </w:p>
        </w:tc>
        <w:tc>
          <w:tcPr>
            <w:tcW w:w="1410" w:type="dxa"/>
            <w:tcBorders>
              <w:top w:val="single" w:color="auto" w:sz="4" w:space="0"/>
              <w:left w:val="single" w:color="auto" w:sz="4" w:space="0"/>
              <w:bottom w:val="single" w:color="auto" w:sz="4" w:space="0"/>
              <w:right w:val="single" w:color="auto" w:sz="4" w:space="0"/>
            </w:tcBorders>
            <w:vAlign w:val="center"/>
          </w:tcPr>
          <w:p w14:paraId="55121283">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kern w:val="0"/>
                <w:sz w:val="24"/>
                <w:szCs w:val="24"/>
                <w:highlight w:val="none"/>
              </w:rPr>
              <w:t>0~</w:t>
            </w:r>
            <w:r>
              <w:rPr>
                <w:rFonts w:hint="eastAsia" w:asciiTheme="minorEastAsia" w:hAnsiTheme="minorEastAsia" w:eastAsiaTheme="minorEastAsia" w:cstheme="minorEastAsia"/>
                <w:bCs/>
                <w:color w:val="auto"/>
                <w:kern w:val="0"/>
                <w:sz w:val="24"/>
                <w:szCs w:val="24"/>
                <w:highlight w:val="none"/>
                <w:lang w:val="en-US" w:eastAsia="zh-CN"/>
              </w:rPr>
              <w:t>15</w:t>
            </w:r>
            <w:r>
              <w:rPr>
                <w:rFonts w:hint="eastAsia" w:asciiTheme="minorEastAsia" w:hAnsiTheme="minorEastAsia" w:eastAsiaTheme="minorEastAsia" w:cstheme="minorEastAsia"/>
                <w:bCs/>
                <w:color w:val="auto"/>
                <w:kern w:val="0"/>
                <w:sz w:val="24"/>
                <w:szCs w:val="24"/>
                <w:highlight w:val="none"/>
              </w:rPr>
              <w:t>分</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主观分</w:t>
            </w:r>
            <w:r>
              <w:rPr>
                <w:rFonts w:hint="eastAsia" w:asciiTheme="minorEastAsia" w:hAnsiTheme="minorEastAsia" w:eastAsiaTheme="minorEastAsia" w:cstheme="minorEastAsia"/>
                <w:bCs/>
                <w:color w:val="auto"/>
                <w:kern w:val="0"/>
                <w:sz w:val="24"/>
                <w:szCs w:val="24"/>
                <w:highlight w:val="none"/>
                <w:lang w:eastAsia="zh-CN"/>
              </w:rPr>
              <w:t>）</w:t>
            </w:r>
          </w:p>
        </w:tc>
      </w:tr>
      <w:tr w14:paraId="59DB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dxa"/>
            <w:vMerge w:val="continue"/>
            <w:tcBorders>
              <w:left w:val="single" w:color="auto" w:sz="4" w:space="0"/>
              <w:right w:val="single" w:color="auto" w:sz="4" w:space="0"/>
            </w:tcBorders>
          </w:tcPr>
          <w:p w14:paraId="5A7C4CE3">
            <w:pPr>
              <w:pStyle w:val="14"/>
              <w:keepNext w:val="0"/>
              <w:keepLines w:val="0"/>
              <w:pageBreakBefore w:val="0"/>
              <w:widowControl/>
              <w:kinsoku/>
              <w:wordWrap w:val="0"/>
              <w:overflowPunct/>
              <w:topLinePunct w:val="0"/>
              <w:autoSpaceDE/>
              <w:autoSpaceDN/>
              <w:bidi w:val="0"/>
              <w:spacing w:line="500" w:lineRule="exact"/>
              <w:rPr>
                <w:rFonts w:hint="eastAsia" w:asciiTheme="minorEastAsia" w:hAnsiTheme="minorEastAsia" w:eastAsiaTheme="minorEastAsia" w:cstheme="minorEastAsia"/>
                <w:bCs/>
                <w:color w:val="auto"/>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14:paraId="260A5FFE">
            <w:pPr>
              <w:keepNext w:val="0"/>
              <w:keepLines w:val="0"/>
              <w:pageBreakBefore w:val="0"/>
              <w:kinsoku/>
              <w:overflowPunct/>
              <w:topLinePunct w:val="0"/>
              <w:autoSpaceDE/>
              <w:autoSpaceDN/>
              <w:bidi w:val="0"/>
              <w:snapToGrid w:val="0"/>
              <w:spacing w:line="500" w:lineRule="exact"/>
              <w:jc w:val="center"/>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lang w:eastAsia="zh-CN"/>
              </w:rPr>
              <w:t>）安全防护制度及应</w:t>
            </w:r>
          </w:p>
          <w:p w14:paraId="4E060DE4">
            <w:pPr>
              <w:keepNext w:val="0"/>
              <w:keepLines w:val="0"/>
              <w:pageBreakBefore w:val="0"/>
              <w:kinsoku/>
              <w:overflowPunct/>
              <w:topLinePunct w:val="0"/>
              <w:autoSpaceDE/>
              <w:autoSpaceDN/>
              <w:bidi w:val="0"/>
              <w:snapToGrid w:val="0"/>
              <w:spacing w:line="500" w:lineRule="exact"/>
              <w:jc w:val="center"/>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sz w:val="24"/>
                <w:szCs w:val="24"/>
                <w:highlight w:val="none"/>
                <w:lang w:eastAsia="zh-CN"/>
              </w:rPr>
              <w:t>急方案</w:t>
            </w:r>
            <w:r>
              <w:rPr>
                <w:rFonts w:hint="eastAsia" w:asciiTheme="minorEastAsia" w:hAnsiTheme="minorEastAsia" w:eastAsiaTheme="minorEastAsia" w:cstheme="minorEastAsia"/>
                <w:bCs/>
                <w:color w:val="auto"/>
                <w:sz w:val="24"/>
                <w:szCs w:val="24"/>
                <w:highlight w:val="none"/>
                <w:lang w:val="en-US" w:eastAsia="zh-CN"/>
              </w:rPr>
              <w:t>分</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满分</w:t>
            </w:r>
            <w:r>
              <w:rPr>
                <w:rFonts w:hint="eastAsia" w:asciiTheme="minorEastAsia" w:hAnsiTheme="minorEastAsia" w:eastAsiaTheme="minorEastAsia" w:cstheme="minorEastAsia"/>
                <w:bCs/>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lang w:val="en-US" w:eastAsia="zh-CN"/>
              </w:rPr>
              <w:t>分，</w:t>
            </w:r>
            <w:r>
              <w:rPr>
                <w:rFonts w:hint="eastAsia" w:asciiTheme="minorEastAsia" w:hAnsiTheme="minorEastAsia" w:eastAsiaTheme="minorEastAsia" w:cstheme="minorEastAsia"/>
                <w:bCs/>
                <w:color w:val="auto"/>
                <w:sz w:val="24"/>
                <w:szCs w:val="24"/>
                <w:highlight w:val="none"/>
              </w:rPr>
              <w:t>不提供或不满足一档不得分。</w:t>
            </w:r>
            <w:r>
              <w:rPr>
                <w:rFonts w:hint="eastAsia" w:asciiTheme="minorEastAsia" w:hAnsiTheme="minorEastAsia" w:eastAsiaTheme="minorEastAsia" w:cstheme="minorEastAsia"/>
                <w:bCs/>
                <w:color w:val="auto"/>
                <w:sz w:val="24"/>
                <w:szCs w:val="24"/>
                <w:highlight w:val="none"/>
                <w:lang w:eastAsia="zh-CN"/>
              </w:rPr>
              <w:t>）</w:t>
            </w:r>
          </w:p>
        </w:tc>
        <w:tc>
          <w:tcPr>
            <w:tcW w:w="6554" w:type="dxa"/>
            <w:tcBorders>
              <w:top w:val="single" w:color="auto" w:sz="4" w:space="0"/>
              <w:left w:val="single" w:color="auto" w:sz="4" w:space="0"/>
              <w:bottom w:val="single" w:color="auto" w:sz="4" w:space="0"/>
              <w:right w:val="single" w:color="auto" w:sz="4" w:space="0"/>
            </w:tcBorders>
            <w:vAlign w:val="center"/>
          </w:tcPr>
          <w:p w14:paraId="10BBE458">
            <w:pPr>
              <w:keepNext w:val="0"/>
              <w:keepLines w:val="0"/>
              <w:pageBreakBefore w:val="0"/>
              <w:widowControl/>
              <w:tabs>
                <w:tab w:val="left" w:pos="2472"/>
              </w:tabs>
              <w:kinsoku/>
              <w:overflowPunct/>
              <w:topLinePunct w:val="0"/>
              <w:autoSpaceDE/>
              <w:autoSpaceDN/>
              <w:bidi w:val="0"/>
              <w:spacing w:line="500" w:lineRule="exact"/>
              <w:jc w:val="left"/>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val="en-US" w:eastAsia="zh-CN"/>
              </w:rPr>
              <w:t>一</w:t>
            </w:r>
            <w:r>
              <w:rPr>
                <w:rFonts w:hint="eastAsia" w:asciiTheme="minorEastAsia" w:hAnsiTheme="minorEastAsia" w:eastAsiaTheme="minorEastAsia" w:cstheme="minorEastAsia"/>
                <w:bCs/>
                <w:color w:val="auto"/>
                <w:kern w:val="0"/>
                <w:sz w:val="24"/>
                <w:szCs w:val="24"/>
                <w:highlight w:val="none"/>
              </w:rPr>
              <w:t>档（</w:t>
            </w:r>
            <w:r>
              <w:rPr>
                <w:rFonts w:hint="eastAsia" w:asciiTheme="minorEastAsia" w:hAnsiTheme="minorEastAsia" w:eastAsiaTheme="minorEastAsia" w:cstheme="minorEastAsia"/>
                <w:bCs/>
                <w:color w:val="auto"/>
                <w:kern w:val="0"/>
                <w:sz w:val="24"/>
                <w:szCs w:val="24"/>
                <w:highlight w:val="none"/>
                <w:lang w:val="en-US" w:eastAsia="zh-CN"/>
              </w:rPr>
              <w:t>5</w:t>
            </w:r>
            <w:r>
              <w:rPr>
                <w:rFonts w:hint="eastAsia" w:asciiTheme="minorEastAsia" w:hAnsiTheme="minorEastAsia" w:eastAsiaTheme="minorEastAsia" w:cstheme="minorEastAsia"/>
                <w:bCs/>
                <w:color w:val="auto"/>
                <w:kern w:val="0"/>
                <w:sz w:val="24"/>
                <w:szCs w:val="24"/>
                <w:highlight w:val="none"/>
              </w:rPr>
              <w:t>分）：安全防护制度及应急方案</w:t>
            </w:r>
            <w:r>
              <w:rPr>
                <w:rFonts w:hint="eastAsia" w:asciiTheme="minorEastAsia" w:hAnsiTheme="minorEastAsia" w:eastAsiaTheme="minorEastAsia" w:cstheme="minorEastAsia"/>
                <w:bCs/>
                <w:color w:val="auto"/>
                <w:kern w:val="0"/>
                <w:sz w:val="24"/>
                <w:szCs w:val="24"/>
                <w:highlight w:val="none"/>
                <w:lang w:val="en-US" w:eastAsia="zh-CN"/>
              </w:rPr>
              <w:t>内容简单</w:t>
            </w:r>
            <w:r>
              <w:rPr>
                <w:rFonts w:hint="eastAsia" w:asciiTheme="minorEastAsia" w:hAnsiTheme="minorEastAsia" w:eastAsiaTheme="minorEastAsia" w:cstheme="minorEastAsia"/>
                <w:bCs/>
                <w:color w:val="auto"/>
                <w:kern w:val="0"/>
                <w:sz w:val="24"/>
                <w:szCs w:val="24"/>
                <w:highlight w:val="none"/>
              </w:rPr>
              <w:t>，响应时间</w:t>
            </w:r>
            <w:r>
              <w:rPr>
                <w:rFonts w:hint="eastAsia" w:asciiTheme="minorEastAsia" w:hAnsiTheme="minorEastAsia" w:eastAsiaTheme="minorEastAsia" w:cstheme="minorEastAsia"/>
                <w:bCs/>
                <w:color w:val="auto"/>
                <w:kern w:val="0"/>
                <w:sz w:val="24"/>
                <w:szCs w:val="24"/>
                <w:highlight w:val="none"/>
                <w:lang w:val="en-US" w:eastAsia="zh-CN"/>
              </w:rPr>
              <w:t>≤2小时，</w:t>
            </w:r>
            <w:r>
              <w:rPr>
                <w:rFonts w:hint="eastAsia" w:asciiTheme="minorEastAsia" w:hAnsiTheme="minorEastAsia" w:eastAsiaTheme="minorEastAsia" w:cstheme="minorEastAsia"/>
                <w:bCs/>
                <w:color w:val="auto"/>
                <w:kern w:val="0"/>
                <w:sz w:val="24"/>
                <w:szCs w:val="24"/>
                <w:highlight w:val="none"/>
              </w:rPr>
              <w:t>人员调配、处置措施合理，应急服务内容基本符合采购人实际，应急措施基本能满足应对突发情况的要求；</w:t>
            </w:r>
          </w:p>
          <w:p w14:paraId="3FAE3713">
            <w:pPr>
              <w:keepNext w:val="0"/>
              <w:keepLines w:val="0"/>
              <w:pageBreakBefore w:val="0"/>
              <w:widowControl/>
              <w:tabs>
                <w:tab w:val="left" w:pos="2472"/>
              </w:tabs>
              <w:kinsoku/>
              <w:overflowPunct/>
              <w:topLinePunct w:val="0"/>
              <w:autoSpaceDE/>
              <w:autoSpaceDN/>
              <w:bidi w:val="0"/>
              <w:spacing w:line="500" w:lineRule="exact"/>
              <w:jc w:val="left"/>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val="en-US" w:eastAsia="zh-CN"/>
              </w:rPr>
              <w:t>二</w:t>
            </w:r>
            <w:r>
              <w:rPr>
                <w:rFonts w:hint="eastAsia" w:asciiTheme="minorEastAsia" w:hAnsiTheme="minorEastAsia" w:eastAsiaTheme="minorEastAsia" w:cstheme="minorEastAsia"/>
                <w:bCs/>
                <w:color w:val="auto"/>
                <w:kern w:val="0"/>
                <w:sz w:val="24"/>
                <w:szCs w:val="24"/>
                <w:highlight w:val="none"/>
              </w:rPr>
              <w:t>档（</w:t>
            </w:r>
            <w:r>
              <w:rPr>
                <w:rFonts w:hint="eastAsia" w:asciiTheme="minorEastAsia" w:hAnsiTheme="minorEastAsia" w:eastAsiaTheme="minorEastAsia" w:cstheme="minorEastAsia"/>
                <w:bCs/>
                <w:color w:val="auto"/>
                <w:kern w:val="0"/>
                <w:sz w:val="24"/>
                <w:szCs w:val="24"/>
                <w:highlight w:val="none"/>
                <w:lang w:val="en-US" w:eastAsia="zh-CN"/>
              </w:rPr>
              <w:t>10</w:t>
            </w:r>
            <w:r>
              <w:rPr>
                <w:rFonts w:hint="eastAsia" w:asciiTheme="minorEastAsia" w:hAnsiTheme="minorEastAsia" w:eastAsiaTheme="minorEastAsia" w:cstheme="minorEastAsia"/>
                <w:bCs/>
                <w:color w:val="auto"/>
                <w:kern w:val="0"/>
                <w:sz w:val="24"/>
                <w:szCs w:val="24"/>
                <w:highlight w:val="none"/>
              </w:rPr>
              <w:t>分）：安全防护制度及应急方案较完整，对可能发生的突发情况的预见和设想符合实际，响应时间</w:t>
            </w:r>
            <w:r>
              <w:rPr>
                <w:rFonts w:hint="eastAsia" w:asciiTheme="minorEastAsia" w:hAnsiTheme="minorEastAsia" w:eastAsiaTheme="minorEastAsia" w:cstheme="minorEastAsia"/>
                <w:bCs/>
                <w:color w:val="auto"/>
                <w:kern w:val="0"/>
                <w:sz w:val="24"/>
                <w:szCs w:val="24"/>
                <w:highlight w:val="none"/>
                <w:lang w:val="en-US" w:eastAsia="zh-CN"/>
              </w:rPr>
              <w:t>≤1.5小时</w:t>
            </w:r>
            <w:r>
              <w:rPr>
                <w:rFonts w:hint="eastAsia" w:asciiTheme="minorEastAsia" w:hAnsiTheme="minorEastAsia" w:eastAsiaTheme="minorEastAsia" w:cstheme="minorEastAsia"/>
                <w:bCs/>
                <w:color w:val="auto"/>
                <w:kern w:val="0"/>
                <w:sz w:val="24"/>
                <w:szCs w:val="24"/>
                <w:highlight w:val="none"/>
              </w:rPr>
              <w:t>，人员结构及调配科学，应急服务内容合理，应急措施明确具体，能够保证在日常及突发事件时正常运行，有基本的迎接协助医院完成相关部门的检查工作方案；</w:t>
            </w:r>
          </w:p>
          <w:p w14:paraId="79EB96A3">
            <w:pPr>
              <w:keepNext w:val="0"/>
              <w:keepLines w:val="0"/>
              <w:pageBreakBefore w:val="0"/>
              <w:widowControl/>
              <w:tabs>
                <w:tab w:val="left" w:pos="2472"/>
              </w:tabs>
              <w:kinsoku/>
              <w:overflowPunct/>
              <w:topLinePunct w:val="0"/>
              <w:autoSpaceDE/>
              <w:autoSpaceDN/>
              <w:bidi w:val="0"/>
              <w:spacing w:line="500" w:lineRule="exact"/>
              <w:jc w:val="left"/>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val="en-US" w:eastAsia="zh-CN"/>
              </w:rPr>
              <w:t>三</w:t>
            </w:r>
            <w:r>
              <w:rPr>
                <w:rFonts w:hint="eastAsia" w:asciiTheme="minorEastAsia" w:hAnsiTheme="minorEastAsia" w:eastAsiaTheme="minorEastAsia" w:cstheme="minorEastAsia"/>
                <w:bCs/>
                <w:color w:val="auto"/>
                <w:kern w:val="0"/>
                <w:sz w:val="24"/>
                <w:szCs w:val="24"/>
                <w:highlight w:val="none"/>
              </w:rPr>
              <w:t>档（</w:t>
            </w:r>
            <w:r>
              <w:rPr>
                <w:rFonts w:hint="eastAsia" w:asciiTheme="minorEastAsia" w:hAnsiTheme="minorEastAsia" w:eastAsiaTheme="minorEastAsia" w:cstheme="minorEastAsia"/>
                <w:bCs/>
                <w:color w:val="auto"/>
                <w:kern w:val="0"/>
                <w:sz w:val="24"/>
                <w:szCs w:val="24"/>
                <w:highlight w:val="none"/>
                <w:lang w:val="en-US" w:eastAsia="zh-CN"/>
              </w:rPr>
              <w:t>15</w:t>
            </w:r>
            <w:r>
              <w:rPr>
                <w:rFonts w:hint="eastAsia" w:asciiTheme="minorEastAsia" w:hAnsiTheme="minorEastAsia" w:eastAsiaTheme="minorEastAsia" w:cstheme="minorEastAsia"/>
                <w:bCs/>
                <w:color w:val="auto"/>
                <w:kern w:val="0"/>
                <w:sz w:val="24"/>
                <w:szCs w:val="24"/>
                <w:highlight w:val="none"/>
              </w:rPr>
              <w:t>分）：安全防护制度及应急方案完整细致，对可能发生的突发情况的预见和设想符合实际，响应时间</w:t>
            </w:r>
            <w:r>
              <w:rPr>
                <w:rFonts w:hint="eastAsia" w:asciiTheme="minorEastAsia" w:hAnsiTheme="minorEastAsia" w:eastAsiaTheme="minorEastAsia" w:cstheme="minorEastAsia"/>
                <w:bCs/>
                <w:color w:val="auto"/>
                <w:kern w:val="0"/>
                <w:sz w:val="24"/>
                <w:szCs w:val="24"/>
                <w:highlight w:val="none"/>
                <w:lang w:val="en-US" w:eastAsia="zh-CN"/>
              </w:rPr>
              <w:t>≤1小时</w:t>
            </w:r>
            <w:r>
              <w:rPr>
                <w:rFonts w:hint="eastAsia" w:asciiTheme="minorEastAsia" w:hAnsiTheme="minorEastAsia" w:eastAsiaTheme="minorEastAsia" w:cstheme="minorEastAsia"/>
                <w:bCs/>
                <w:color w:val="auto"/>
                <w:kern w:val="0"/>
                <w:sz w:val="24"/>
                <w:szCs w:val="24"/>
                <w:highlight w:val="none"/>
              </w:rPr>
              <w:t>，人员结构及调配科学，针对突发事件的处理措施和应急预案编制贴合实际，人员与设备有保证，具有很强的可操作性，有相应的迎检方案，有完善的各类迎接协助医院完成相关部门的检查工作，能够充分保证在日常及重大活动、节假日、突发事件时正常运行。</w:t>
            </w:r>
          </w:p>
        </w:tc>
        <w:tc>
          <w:tcPr>
            <w:tcW w:w="1410" w:type="dxa"/>
            <w:tcBorders>
              <w:top w:val="single" w:color="auto" w:sz="4" w:space="0"/>
              <w:left w:val="single" w:color="auto" w:sz="4" w:space="0"/>
              <w:bottom w:val="single" w:color="auto" w:sz="4" w:space="0"/>
              <w:right w:val="single" w:color="auto" w:sz="4" w:space="0"/>
            </w:tcBorders>
            <w:vAlign w:val="center"/>
          </w:tcPr>
          <w:p w14:paraId="19AB0030">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kern w:val="0"/>
                <w:sz w:val="24"/>
                <w:szCs w:val="24"/>
                <w:highlight w:val="none"/>
              </w:rPr>
              <w:t>0~</w:t>
            </w:r>
            <w:r>
              <w:rPr>
                <w:rFonts w:hint="eastAsia" w:asciiTheme="minorEastAsia" w:hAnsiTheme="minorEastAsia" w:eastAsiaTheme="minorEastAsia" w:cstheme="minorEastAsia"/>
                <w:bCs/>
                <w:color w:val="auto"/>
                <w:kern w:val="0"/>
                <w:sz w:val="24"/>
                <w:szCs w:val="24"/>
                <w:highlight w:val="none"/>
                <w:lang w:val="en-US" w:eastAsia="zh-CN"/>
              </w:rPr>
              <w:t>15</w:t>
            </w:r>
            <w:r>
              <w:rPr>
                <w:rFonts w:hint="eastAsia" w:asciiTheme="minorEastAsia" w:hAnsiTheme="minorEastAsia" w:eastAsiaTheme="minorEastAsia" w:cstheme="minorEastAsia"/>
                <w:bCs/>
                <w:color w:val="auto"/>
                <w:kern w:val="0"/>
                <w:sz w:val="24"/>
                <w:szCs w:val="24"/>
                <w:highlight w:val="none"/>
              </w:rPr>
              <w:t>分</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主观分</w:t>
            </w:r>
            <w:r>
              <w:rPr>
                <w:rFonts w:hint="eastAsia" w:asciiTheme="minorEastAsia" w:hAnsiTheme="minorEastAsia" w:eastAsiaTheme="minorEastAsia" w:cstheme="minorEastAsia"/>
                <w:bCs/>
                <w:color w:val="auto"/>
                <w:kern w:val="0"/>
                <w:sz w:val="24"/>
                <w:szCs w:val="24"/>
                <w:highlight w:val="none"/>
                <w:lang w:eastAsia="zh-CN"/>
              </w:rPr>
              <w:t>）</w:t>
            </w:r>
          </w:p>
        </w:tc>
      </w:tr>
      <w:tr w14:paraId="1433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dxa"/>
            <w:vMerge w:val="continue"/>
            <w:tcBorders>
              <w:left w:val="single" w:color="auto" w:sz="4" w:space="0"/>
              <w:right w:val="single" w:color="auto" w:sz="4" w:space="0"/>
            </w:tcBorders>
          </w:tcPr>
          <w:p w14:paraId="2ECD6415">
            <w:pPr>
              <w:pStyle w:val="14"/>
              <w:keepNext w:val="0"/>
              <w:keepLines w:val="0"/>
              <w:pageBreakBefore w:val="0"/>
              <w:widowControl/>
              <w:kinsoku/>
              <w:wordWrap w:val="0"/>
              <w:overflowPunct/>
              <w:topLinePunct w:val="0"/>
              <w:autoSpaceDE/>
              <w:autoSpaceDN/>
              <w:bidi w:val="0"/>
              <w:spacing w:line="500" w:lineRule="exact"/>
              <w:rPr>
                <w:rFonts w:hint="eastAsia" w:asciiTheme="minorEastAsia" w:hAnsiTheme="minorEastAsia" w:eastAsiaTheme="minorEastAsia" w:cstheme="minorEastAsia"/>
                <w:bCs/>
                <w:color w:val="auto"/>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14:paraId="7F5C8AF3">
            <w:pPr>
              <w:keepNext w:val="0"/>
              <w:keepLines w:val="0"/>
              <w:pageBreakBefore w:val="0"/>
              <w:tabs>
                <w:tab w:val="left" w:pos="2472"/>
              </w:tabs>
              <w:kinsoku/>
              <w:overflowPunct/>
              <w:topLinePunct w:val="0"/>
              <w:autoSpaceDE/>
              <w:autoSpaceDN/>
              <w:bidi w:val="0"/>
              <w:spacing w:line="500" w:lineRule="exact"/>
              <w:ind w:firstLine="0" w:firstLineChars="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（3）服务承诺分</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满分</w:t>
            </w:r>
            <w:r>
              <w:rPr>
                <w:rFonts w:hint="eastAsia" w:asciiTheme="minorEastAsia" w:hAnsiTheme="minorEastAsia" w:eastAsiaTheme="minorEastAsia" w:cstheme="minorEastAsia"/>
                <w:color w:val="auto"/>
                <w:sz w:val="24"/>
                <w:szCs w:val="24"/>
                <w:highlight w:val="none"/>
                <w:lang w:val="en-US" w:eastAsia="zh-CN"/>
              </w:rPr>
              <w:t>15分，</w:t>
            </w:r>
            <w:r>
              <w:rPr>
                <w:rFonts w:hint="eastAsia" w:asciiTheme="minorEastAsia" w:hAnsiTheme="minorEastAsia" w:eastAsiaTheme="minorEastAsia" w:cstheme="minorEastAsia"/>
                <w:bCs/>
                <w:color w:val="auto"/>
                <w:sz w:val="24"/>
                <w:szCs w:val="24"/>
                <w:highlight w:val="none"/>
              </w:rPr>
              <w:t>不提供或不满足一档不得分。</w:t>
            </w:r>
            <w:r>
              <w:rPr>
                <w:rFonts w:hint="eastAsia" w:asciiTheme="minorEastAsia" w:hAnsiTheme="minorEastAsia" w:eastAsiaTheme="minorEastAsia" w:cstheme="minorEastAsia"/>
                <w:bCs/>
                <w:color w:val="auto"/>
                <w:sz w:val="24"/>
                <w:szCs w:val="24"/>
                <w:highlight w:val="none"/>
                <w:lang w:eastAsia="zh-CN"/>
              </w:rPr>
              <w:t>）</w:t>
            </w:r>
          </w:p>
        </w:tc>
        <w:tc>
          <w:tcPr>
            <w:tcW w:w="6554" w:type="dxa"/>
            <w:tcBorders>
              <w:top w:val="single" w:color="auto" w:sz="4" w:space="0"/>
              <w:left w:val="single" w:color="auto" w:sz="4" w:space="0"/>
              <w:bottom w:val="single" w:color="auto" w:sz="4" w:space="0"/>
              <w:right w:val="single" w:color="auto" w:sz="4" w:space="0"/>
            </w:tcBorders>
            <w:vAlign w:val="center"/>
          </w:tcPr>
          <w:p w14:paraId="3A3A30E6">
            <w:pPr>
              <w:keepNext w:val="0"/>
              <w:keepLines w:val="0"/>
              <w:pageBreakBefore w:val="0"/>
              <w:tabs>
                <w:tab w:val="left" w:pos="2472"/>
              </w:tabs>
              <w:kinsoku/>
              <w:overflowPunct/>
              <w:topLinePunct w:val="0"/>
              <w:autoSpaceDE/>
              <w:autoSpaceDN/>
              <w:bidi w:val="0"/>
              <w:spacing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档（</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分）：投标人提供的服务承诺的内容基本满足服务需求，实施效率满足需求，服务计划、措施合理</w:t>
            </w:r>
            <w:r>
              <w:rPr>
                <w:rFonts w:hint="eastAsia" w:asciiTheme="minorEastAsia" w:hAnsiTheme="minorEastAsia" w:eastAsiaTheme="minorEastAsia" w:cstheme="minorEastAsia"/>
                <w:color w:val="auto"/>
                <w:sz w:val="24"/>
                <w:szCs w:val="24"/>
                <w:highlight w:val="none"/>
                <w:lang w:eastAsia="zh-CN"/>
              </w:rPr>
              <w:t>，但缺乏针对性的</w:t>
            </w:r>
            <w:r>
              <w:rPr>
                <w:rFonts w:hint="eastAsia" w:asciiTheme="minorEastAsia" w:hAnsiTheme="minorEastAsia" w:eastAsiaTheme="minorEastAsia" w:cstheme="minorEastAsia"/>
                <w:color w:val="auto"/>
                <w:sz w:val="24"/>
                <w:szCs w:val="24"/>
                <w:highlight w:val="none"/>
              </w:rPr>
              <w:t>；</w:t>
            </w:r>
          </w:p>
          <w:p w14:paraId="64571691">
            <w:pPr>
              <w:keepNext w:val="0"/>
              <w:keepLines w:val="0"/>
              <w:pageBreakBefore w:val="0"/>
              <w:tabs>
                <w:tab w:val="left" w:pos="2472"/>
              </w:tabs>
              <w:kinsoku/>
              <w:overflowPunct/>
              <w:topLinePunct w:val="0"/>
              <w:autoSpaceDE/>
              <w:autoSpaceDN/>
              <w:bidi w:val="0"/>
              <w:spacing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档（</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分）：投标人提供的服务承诺的内容细致，满足服务需求，实施效率高，服务计划、措施详尽，具有很强针对性和可行性。</w:t>
            </w:r>
          </w:p>
          <w:p w14:paraId="44CEDEF9">
            <w:pPr>
              <w:keepNext w:val="0"/>
              <w:keepLines w:val="0"/>
              <w:pageBreakBefore w:val="0"/>
              <w:tabs>
                <w:tab w:val="left" w:pos="2472"/>
              </w:tabs>
              <w:kinsoku/>
              <w:overflowPunct/>
              <w:topLinePunct w:val="0"/>
              <w:autoSpaceDE/>
              <w:autoSpaceDN/>
              <w:bidi w:val="0"/>
              <w:spacing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档（</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5分）：投标人提供的服务承诺的内容细致、详尽，满足服务需求，能应对突发紧急事件，实施效率高，服务计划、措施详尽，切合</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特点，符合</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人需求，考虑全面，具有很强针对性和可行性。</w:t>
            </w:r>
          </w:p>
        </w:tc>
        <w:tc>
          <w:tcPr>
            <w:tcW w:w="1410" w:type="dxa"/>
            <w:tcBorders>
              <w:top w:val="single" w:color="auto" w:sz="4" w:space="0"/>
              <w:left w:val="single" w:color="auto" w:sz="4" w:space="0"/>
              <w:bottom w:val="single" w:color="auto" w:sz="4" w:space="0"/>
              <w:right w:val="single" w:color="auto" w:sz="4" w:space="0"/>
            </w:tcBorders>
            <w:vAlign w:val="center"/>
          </w:tcPr>
          <w:p w14:paraId="1A880223">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0~</w:t>
            </w:r>
            <w:r>
              <w:rPr>
                <w:rFonts w:hint="eastAsia" w:asciiTheme="minorEastAsia" w:hAnsiTheme="minorEastAsia" w:eastAsiaTheme="minorEastAsia" w:cstheme="minorEastAsia"/>
                <w:bCs/>
                <w:color w:val="auto"/>
                <w:kern w:val="0"/>
                <w:sz w:val="24"/>
                <w:szCs w:val="24"/>
                <w:highlight w:val="none"/>
                <w:lang w:val="en-US" w:eastAsia="zh-CN"/>
              </w:rPr>
              <w:t>15</w:t>
            </w:r>
            <w:r>
              <w:rPr>
                <w:rFonts w:hint="eastAsia" w:asciiTheme="minorEastAsia" w:hAnsiTheme="minorEastAsia" w:eastAsiaTheme="minorEastAsia" w:cstheme="minorEastAsia"/>
                <w:bCs/>
                <w:color w:val="auto"/>
                <w:kern w:val="0"/>
                <w:sz w:val="24"/>
                <w:szCs w:val="24"/>
                <w:highlight w:val="none"/>
              </w:rPr>
              <w:t>分</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主观分</w:t>
            </w:r>
            <w:r>
              <w:rPr>
                <w:rFonts w:hint="eastAsia" w:asciiTheme="minorEastAsia" w:hAnsiTheme="minorEastAsia" w:eastAsiaTheme="minorEastAsia" w:cstheme="minorEastAsia"/>
                <w:bCs/>
                <w:color w:val="auto"/>
                <w:kern w:val="0"/>
                <w:sz w:val="24"/>
                <w:szCs w:val="24"/>
                <w:highlight w:val="none"/>
                <w:lang w:eastAsia="zh-CN"/>
              </w:rPr>
              <w:t>）</w:t>
            </w:r>
          </w:p>
        </w:tc>
      </w:tr>
      <w:tr w14:paraId="204D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tcBorders>
              <w:top w:val="single" w:color="auto" w:sz="4" w:space="0"/>
              <w:left w:val="single" w:color="auto" w:sz="4" w:space="0"/>
              <w:right w:val="single" w:color="auto" w:sz="4" w:space="0"/>
            </w:tcBorders>
            <w:vAlign w:val="center"/>
          </w:tcPr>
          <w:p w14:paraId="4F937431">
            <w:pPr>
              <w:pStyle w:val="14"/>
              <w:keepNext w:val="0"/>
              <w:keepLines w:val="0"/>
              <w:pageBreakBefore w:val="0"/>
              <w:widowControl/>
              <w:kinsoku/>
              <w:wordWrap w:val="0"/>
              <w:overflowPunct/>
              <w:topLinePunct w:val="0"/>
              <w:autoSpaceDE/>
              <w:autoSpaceDN/>
              <w:bidi w:val="0"/>
              <w:spacing w:line="500" w:lineRule="exact"/>
              <w:ind w:firstLine="48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商务分（满分</w:t>
            </w:r>
            <w:r>
              <w:rPr>
                <w:rFonts w:hint="eastAsia" w:asciiTheme="minorEastAsia" w:hAnsiTheme="minorEastAsia" w:eastAsiaTheme="minorEastAsia" w:cstheme="minorEastAsia"/>
                <w:b/>
                <w:color w:val="auto"/>
                <w:sz w:val="24"/>
                <w:szCs w:val="24"/>
                <w:highlight w:val="none"/>
                <w:lang w:val="en-US" w:eastAsia="zh-CN"/>
              </w:rPr>
              <w:t>25</w:t>
            </w:r>
            <w:r>
              <w:rPr>
                <w:rFonts w:hint="eastAsia" w:asciiTheme="minorEastAsia" w:hAnsiTheme="minorEastAsia" w:eastAsiaTheme="minorEastAsia" w:cstheme="minorEastAsia"/>
                <w:b/>
                <w:color w:val="auto"/>
                <w:sz w:val="24"/>
                <w:szCs w:val="24"/>
                <w:highlight w:val="none"/>
              </w:rPr>
              <w:t>分）</w:t>
            </w:r>
          </w:p>
        </w:tc>
      </w:tr>
      <w:tr w14:paraId="6A5F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tcBorders>
              <w:top w:val="single" w:color="auto" w:sz="4" w:space="0"/>
              <w:left w:val="single" w:color="auto" w:sz="4" w:space="0"/>
              <w:right w:val="single" w:color="auto" w:sz="4" w:space="0"/>
            </w:tcBorders>
            <w:vAlign w:val="center"/>
          </w:tcPr>
          <w:p w14:paraId="0712A70A">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w:t>
            </w:r>
          </w:p>
        </w:tc>
        <w:tc>
          <w:tcPr>
            <w:tcW w:w="8035" w:type="dxa"/>
            <w:gridSpan w:val="2"/>
            <w:tcBorders>
              <w:top w:val="single" w:color="auto" w:sz="4" w:space="0"/>
              <w:left w:val="single" w:color="auto" w:sz="4" w:space="0"/>
              <w:bottom w:val="single" w:color="auto" w:sz="4" w:space="0"/>
              <w:right w:val="single" w:color="auto" w:sz="4" w:space="0"/>
            </w:tcBorders>
          </w:tcPr>
          <w:p w14:paraId="070C8F62">
            <w:pPr>
              <w:pStyle w:val="14"/>
              <w:keepNext w:val="0"/>
              <w:keepLines w:val="0"/>
              <w:pageBreakBefore w:val="0"/>
              <w:widowControl/>
              <w:kinsoku/>
              <w:wordWrap w:val="0"/>
              <w:overflowPunct/>
              <w:topLinePunct w:val="0"/>
              <w:autoSpaceDE/>
              <w:autoSpaceDN/>
              <w:bidi w:val="0"/>
              <w:spacing w:line="500" w:lineRule="exact"/>
              <w:ind w:firstLine="482"/>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评审因素</w:t>
            </w:r>
          </w:p>
        </w:tc>
        <w:tc>
          <w:tcPr>
            <w:tcW w:w="1410" w:type="dxa"/>
            <w:tcBorders>
              <w:top w:val="single" w:color="auto" w:sz="4" w:space="0"/>
              <w:left w:val="single" w:color="auto" w:sz="4" w:space="0"/>
              <w:bottom w:val="single" w:color="auto" w:sz="4" w:space="0"/>
              <w:right w:val="single" w:color="auto" w:sz="4" w:space="0"/>
            </w:tcBorders>
            <w:vAlign w:val="center"/>
          </w:tcPr>
          <w:p w14:paraId="6D36A738">
            <w:pPr>
              <w:pStyle w:val="14"/>
              <w:keepNext w:val="0"/>
              <w:keepLines w:val="0"/>
              <w:pageBreakBefore w:val="0"/>
              <w:widowControl/>
              <w:kinsoku/>
              <w:wordWrap w:val="0"/>
              <w:overflowPunct/>
              <w:topLinePunct w:val="0"/>
              <w:autoSpaceDE/>
              <w:autoSpaceDN/>
              <w:bidi w:val="0"/>
              <w:spacing w:line="500" w:lineRule="exact"/>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分值</w:t>
            </w:r>
          </w:p>
        </w:tc>
      </w:tr>
      <w:tr w14:paraId="1774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17" w:type="dxa"/>
            <w:vMerge w:val="continue"/>
            <w:tcBorders>
              <w:left w:val="single" w:color="auto" w:sz="4" w:space="0"/>
              <w:right w:val="single" w:color="auto" w:sz="4" w:space="0"/>
            </w:tcBorders>
          </w:tcPr>
          <w:p w14:paraId="65DDCF42">
            <w:pPr>
              <w:pStyle w:val="14"/>
              <w:keepNext w:val="0"/>
              <w:keepLines w:val="0"/>
              <w:pageBreakBefore w:val="0"/>
              <w:widowControl/>
              <w:kinsoku/>
              <w:wordWrap w:val="0"/>
              <w:overflowPunct/>
              <w:topLinePunct w:val="0"/>
              <w:autoSpaceDE/>
              <w:autoSpaceDN/>
              <w:bidi w:val="0"/>
              <w:spacing w:line="500" w:lineRule="exact"/>
              <w:rPr>
                <w:rFonts w:hint="eastAsia" w:asciiTheme="minorEastAsia" w:hAnsiTheme="minorEastAsia" w:eastAsiaTheme="minorEastAsia" w:cstheme="minorEastAsia"/>
                <w:bCs/>
                <w:color w:val="auto"/>
                <w:sz w:val="24"/>
                <w:szCs w:val="24"/>
                <w:highlight w:val="none"/>
              </w:rPr>
            </w:pPr>
          </w:p>
        </w:tc>
        <w:tc>
          <w:tcPr>
            <w:tcW w:w="1481" w:type="dxa"/>
            <w:tcBorders>
              <w:top w:val="single" w:color="auto" w:sz="4" w:space="0"/>
              <w:left w:val="single" w:color="auto" w:sz="4" w:space="0"/>
              <w:right w:val="single" w:color="auto" w:sz="4" w:space="0"/>
            </w:tcBorders>
            <w:vAlign w:val="center"/>
          </w:tcPr>
          <w:p w14:paraId="4ACB270B">
            <w:pPr>
              <w:keepNext w:val="0"/>
              <w:keepLines w:val="0"/>
              <w:pageBreakBefore w:val="0"/>
              <w:kinsoku/>
              <w:overflowPunct/>
              <w:topLinePunct w:val="0"/>
              <w:autoSpaceDE/>
              <w:autoSpaceDN/>
              <w:bidi w:val="0"/>
              <w:adjustRightInd w:val="0"/>
              <w:snapToGrid w:val="0"/>
              <w:spacing w:line="500" w:lineRule="exact"/>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资质</w:t>
            </w:r>
            <w:r>
              <w:rPr>
                <w:rFonts w:hint="eastAsia" w:asciiTheme="minorEastAsia" w:hAnsiTheme="minorEastAsia" w:eastAsiaTheme="minorEastAsia" w:cstheme="minorEastAsia"/>
                <w:bCs/>
                <w:color w:val="auto"/>
                <w:sz w:val="24"/>
                <w:szCs w:val="24"/>
                <w:highlight w:val="none"/>
                <w:lang w:val="en-US" w:eastAsia="zh-CN"/>
              </w:rPr>
              <w:t>能力</w:t>
            </w:r>
            <w:r>
              <w:rPr>
                <w:rFonts w:hint="eastAsia" w:asciiTheme="minorEastAsia" w:hAnsiTheme="minorEastAsia" w:eastAsiaTheme="minorEastAsia" w:cstheme="minorEastAsia"/>
                <w:bCs/>
                <w:color w:val="auto"/>
                <w:sz w:val="24"/>
                <w:szCs w:val="24"/>
                <w:highlight w:val="none"/>
              </w:rPr>
              <w:t>分（满分</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分）</w:t>
            </w:r>
          </w:p>
        </w:tc>
        <w:tc>
          <w:tcPr>
            <w:tcW w:w="6554" w:type="dxa"/>
            <w:tcBorders>
              <w:top w:val="single" w:color="auto" w:sz="4" w:space="0"/>
              <w:left w:val="single" w:color="auto" w:sz="4" w:space="0"/>
              <w:right w:val="single" w:color="auto" w:sz="4" w:space="0"/>
            </w:tcBorders>
            <w:vAlign w:val="center"/>
          </w:tcPr>
          <w:p w14:paraId="4324781F">
            <w:pPr>
              <w:keepNext w:val="0"/>
              <w:keepLines w:val="0"/>
              <w:pageBreakBefore w:val="0"/>
              <w:kinsoku/>
              <w:overflowPunct/>
              <w:topLinePunct w:val="0"/>
              <w:autoSpaceDE/>
              <w:autoSpaceDN/>
              <w:bidi w:val="0"/>
              <w:adjustRightInd w:val="0"/>
              <w:snapToGrid w:val="0"/>
              <w:spacing w:line="50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lang w:val="en-US" w:eastAsia="zh-CN"/>
              </w:rPr>
              <w:t>具有 ISO9001 质量管理体系、ISO14001环境管理体系、ISO45001职业健康安全管理体系</w:t>
            </w:r>
            <w:r>
              <w:rPr>
                <w:rFonts w:hint="eastAsia" w:asciiTheme="minorEastAsia" w:hAnsiTheme="minorEastAsia" w:eastAsiaTheme="minorEastAsia" w:cstheme="minorEastAsia"/>
                <w:color w:val="auto"/>
                <w:sz w:val="24"/>
                <w:szCs w:val="24"/>
                <w:highlight w:val="none"/>
              </w:rPr>
              <w:t>的（投标文件中提供证书</w:t>
            </w:r>
            <w:r>
              <w:rPr>
                <w:rFonts w:hint="eastAsia" w:asciiTheme="minorEastAsia" w:hAnsiTheme="minorEastAsia" w:eastAsiaTheme="minorEastAsia" w:cstheme="minorEastAsia"/>
                <w:color w:val="auto"/>
                <w:sz w:val="24"/>
                <w:szCs w:val="24"/>
                <w:highlight w:val="none"/>
                <w:lang w:val="en-US" w:eastAsia="zh-CN"/>
              </w:rPr>
              <w:t>原件（或</w:t>
            </w:r>
            <w:r>
              <w:rPr>
                <w:rFonts w:hint="eastAsia" w:asciiTheme="minorEastAsia" w:hAnsiTheme="minorEastAsia" w:eastAsiaTheme="minorEastAsia" w:cstheme="minorEastAsia"/>
                <w:color w:val="auto"/>
                <w:sz w:val="24"/>
                <w:szCs w:val="24"/>
                <w:highlight w:val="none"/>
              </w:rPr>
              <w:t>复印件</w:t>
            </w:r>
            <w:r>
              <w:rPr>
                <w:rFonts w:hint="eastAsia" w:asciiTheme="minorEastAsia" w:hAnsiTheme="minorEastAsia" w:eastAsiaTheme="minorEastAsia" w:cstheme="minorEastAsia"/>
                <w:color w:val="auto"/>
                <w:sz w:val="24"/>
                <w:szCs w:val="24"/>
                <w:highlight w:val="none"/>
                <w:lang w:val="en-US" w:eastAsia="zh-CN"/>
              </w:rPr>
              <w:t>）扫描件</w:t>
            </w:r>
            <w:r>
              <w:rPr>
                <w:rFonts w:hint="eastAsia" w:asciiTheme="minorEastAsia" w:hAnsiTheme="minorEastAsia" w:eastAsiaTheme="minorEastAsia" w:cstheme="minorEastAsia"/>
                <w:color w:val="auto"/>
                <w:sz w:val="24"/>
                <w:szCs w:val="24"/>
                <w:highlight w:val="none"/>
              </w:rPr>
              <w:t>并加盖投标人公章），每</w:t>
            </w:r>
            <w:r>
              <w:rPr>
                <w:rFonts w:hint="eastAsia" w:asciiTheme="minorEastAsia" w:hAnsiTheme="minorEastAsia" w:eastAsiaTheme="minorEastAsia" w:cstheme="minorEastAsia"/>
                <w:color w:val="auto"/>
                <w:sz w:val="24"/>
                <w:szCs w:val="24"/>
                <w:highlight w:val="none"/>
                <w:lang w:val="en-US" w:eastAsia="zh-CN"/>
              </w:rPr>
              <w:t>提供1</w:t>
            </w:r>
            <w:r>
              <w:rPr>
                <w:rFonts w:hint="eastAsia" w:asciiTheme="minorEastAsia" w:hAnsiTheme="minorEastAsia" w:eastAsiaTheme="minorEastAsia" w:cstheme="minorEastAsia"/>
                <w:color w:val="auto"/>
                <w:sz w:val="24"/>
                <w:szCs w:val="24"/>
                <w:highlight w:val="none"/>
              </w:rPr>
              <w:t>个得1分，满分3分。</w:t>
            </w:r>
          </w:p>
        </w:tc>
        <w:tc>
          <w:tcPr>
            <w:tcW w:w="1410" w:type="dxa"/>
            <w:tcBorders>
              <w:top w:val="single" w:color="auto" w:sz="4" w:space="0"/>
              <w:left w:val="single" w:color="auto" w:sz="4" w:space="0"/>
              <w:bottom w:val="single" w:color="auto" w:sz="4" w:space="0"/>
              <w:right w:val="single" w:color="auto" w:sz="4" w:space="0"/>
            </w:tcBorders>
            <w:vAlign w:val="center"/>
          </w:tcPr>
          <w:p w14:paraId="7401076F">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0~</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分</w:t>
            </w:r>
          </w:p>
          <w:p w14:paraId="48FF3747">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rPr>
              <w:t>客观分</w:t>
            </w:r>
            <w:r>
              <w:rPr>
                <w:rFonts w:hint="eastAsia" w:asciiTheme="minorEastAsia" w:hAnsiTheme="minorEastAsia" w:eastAsiaTheme="minorEastAsia" w:cstheme="minorEastAsia"/>
                <w:bCs/>
                <w:color w:val="auto"/>
                <w:sz w:val="24"/>
                <w:szCs w:val="24"/>
                <w:highlight w:val="none"/>
              </w:rPr>
              <w:t>）</w:t>
            </w:r>
          </w:p>
        </w:tc>
      </w:tr>
      <w:tr w14:paraId="601D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17" w:type="dxa"/>
            <w:vMerge w:val="continue"/>
            <w:tcBorders>
              <w:left w:val="single" w:color="auto" w:sz="4" w:space="0"/>
              <w:right w:val="single" w:color="auto" w:sz="4" w:space="0"/>
            </w:tcBorders>
          </w:tcPr>
          <w:p w14:paraId="138BA475">
            <w:pPr>
              <w:pStyle w:val="14"/>
              <w:keepNext w:val="0"/>
              <w:keepLines w:val="0"/>
              <w:pageBreakBefore w:val="0"/>
              <w:widowControl/>
              <w:kinsoku/>
              <w:wordWrap w:val="0"/>
              <w:overflowPunct/>
              <w:topLinePunct w:val="0"/>
              <w:autoSpaceDE/>
              <w:autoSpaceDN/>
              <w:bidi w:val="0"/>
              <w:spacing w:line="500" w:lineRule="exact"/>
              <w:rPr>
                <w:rFonts w:hint="eastAsia" w:asciiTheme="minorEastAsia" w:hAnsiTheme="minorEastAsia" w:eastAsiaTheme="minorEastAsia" w:cstheme="minorEastAsia"/>
                <w:bCs/>
                <w:color w:val="auto"/>
                <w:sz w:val="24"/>
                <w:szCs w:val="24"/>
                <w:highlight w:val="none"/>
              </w:rPr>
            </w:pPr>
          </w:p>
        </w:tc>
        <w:tc>
          <w:tcPr>
            <w:tcW w:w="1481" w:type="dxa"/>
            <w:tcBorders>
              <w:top w:val="single" w:color="auto" w:sz="4" w:space="0"/>
              <w:left w:val="single" w:color="auto" w:sz="4" w:space="0"/>
              <w:right w:val="single" w:color="auto" w:sz="4" w:space="0"/>
            </w:tcBorders>
            <w:vAlign w:val="center"/>
          </w:tcPr>
          <w:p w14:paraId="36B46A31">
            <w:pPr>
              <w:keepNext w:val="0"/>
              <w:keepLines w:val="0"/>
              <w:pageBreakBefore w:val="0"/>
              <w:kinsoku/>
              <w:overflowPunct/>
              <w:topLinePunct w:val="0"/>
              <w:autoSpaceDE/>
              <w:autoSpaceDN/>
              <w:bidi w:val="0"/>
              <w:adjustRightInd w:val="0"/>
              <w:snapToGrid w:val="0"/>
              <w:spacing w:line="500" w:lineRule="exact"/>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业绩分（满分</w:t>
            </w: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rPr>
              <w:t>分）</w:t>
            </w:r>
          </w:p>
        </w:tc>
        <w:tc>
          <w:tcPr>
            <w:tcW w:w="6554" w:type="dxa"/>
            <w:tcBorders>
              <w:top w:val="single" w:color="auto" w:sz="4" w:space="0"/>
              <w:left w:val="single" w:color="auto" w:sz="4" w:space="0"/>
              <w:right w:val="single" w:color="auto" w:sz="4" w:space="0"/>
            </w:tcBorders>
            <w:vAlign w:val="center"/>
          </w:tcPr>
          <w:p w14:paraId="089A1E65">
            <w:pPr>
              <w:keepNext w:val="0"/>
              <w:keepLines w:val="0"/>
              <w:pageBreakBefore w:val="0"/>
              <w:kinsoku/>
              <w:overflowPunct/>
              <w:topLinePunct w:val="0"/>
              <w:autoSpaceDE/>
              <w:autoSpaceDN/>
              <w:bidi w:val="0"/>
              <w:adjustRightInd w:val="0"/>
              <w:snapToGrid w:val="0"/>
              <w:spacing w:line="500" w:lineRule="exact"/>
              <w:textAlignment w:val="baseline"/>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投标人2023年以来具有同类项目业绩的，每提供一份有效证明文件，得1分，满分5分【需提供中标（成交）通知书或合同</w:t>
            </w:r>
            <w:r>
              <w:rPr>
                <w:rFonts w:hint="eastAsia" w:asciiTheme="minorEastAsia" w:hAnsiTheme="minorEastAsia" w:eastAsiaTheme="minorEastAsia" w:cstheme="minorEastAsia"/>
                <w:color w:val="auto"/>
                <w:sz w:val="24"/>
                <w:szCs w:val="24"/>
                <w:highlight w:val="none"/>
                <w:lang w:val="en-US" w:eastAsia="zh-CN"/>
              </w:rPr>
              <w:t>原件（或</w:t>
            </w:r>
            <w:r>
              <w:rPr>
                <w:rFonts w:hint="eastAsia" w:asciiTheme="minorEastAsia" w:hAnsiTheme="minorEastAsia" w:eastAsiaTheme="minorEastAsia" w:cstheme="minorEastAsia"/>
                <w:color w:val="auto"/>
                <w:sz w:val="24"/>
                <w:szCs w:val="24"/>
                <w:highlight w:val="none"/>
              </w:rPr>
              <w:t>复印件</w:t>
            </w:r>
            <w:r>
              <w:rPr>
                <w:rFonts w:hint="eastAsia" w:asciiTheme="minorEastAsia" w:hAnsiTheme="minorEastAsia" w:eastAsiaTheme="minorEastAsia" w:cstheme="minorEastAsia"/>
                <w:color w:val="auto"/>
                <w:sz w:val="24"/>
                <w:szCs w:val="24"/>
                <w:highlight w:val="none"/>
                <w:lang w:val="en-US" w:eastAsia="zh-CN"/>
              </w:rPr>
              <w:t>）扫描件</w:t>
            </w:r>
            <w:r>
              <w:rPr>
                <w:rFonts w:hint="eastAsia" w:asciiTheme="minorEastAsia" w:hAnsiTheme="minorEastAsia" w:eastAsiaTheme="minorEastAsia" w:cstheme="minorEastAsia"/>
                <w:color w:val="auto"/>
                <w:sz w:val="24"/>
                <w:szCs w:val="24"/>
                <w:highlight w:val="none"/>
              </w:rPr>
              <w:t>并加盖投标人公章</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eastAsia="zh-CN"/>
              </w:rPr>
              <w:t>。</w:t>
            </w:r>
          </w:p>
        </w:tc>
        <w:tc>
          <w:tcPr>
            <w:tcW w:w="1410" w:type="dxa"/>
            <w:tcBorders>
              <w:top w:val="single" w:color="auto" w:sz="4" w:space="0"/>
              <w:left w:val="single" w:color="auto" w:sz="4" w:space="0"/>
              <w:bottom w:val="single" w:color="auto" w:sz="4" w:space="0"/>
              <w:right w:val="single" w:color="auto" w:sz="4" w:space="0"/>
            </w:tcBorders>
            <w:vAlign w:val="center"/>
          </w:tcPr>
          <w:p w14:paraId="286714AB">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0~</w:t>
            </w: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rPr>
              <w:t>分</w:t>
            </w:r>
          </w:p>
          <w:p w14:paraId="798823AE">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rPr>
              <w:t>客观分</w:t>
            </w:r>
            <w:r>
              <w:rPr>
                <w:rFonts w:hint="eastAsia" w:asciiTheme="minorEastAsia" w:hAnsiTheme="minorEastAsia" w:eastAsiaTheme="minorEastAsia" w:cstheme="minorEastAsia"/>
                <w:bCs/>
                <w:color w:val="auto"/>
                <w:sz w:val="24"/>
                <w:szCs w:val="24"/>
                <w:highlight w:val="none"/>
              </w:rPr>
              <w:t>）</w:t>
            </w:r>
          </w:p>
        </w:tc>
      </w:tr>
      <w:tr w14:paraId="5923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17" w:type="dxa"/>
            <w:vMerge w:val="continue"/>
            <w:tcBorders>
              <w:left w:val="single" w:color="auto" w:sz="4" w:space="0"/>
              <w:right w:val="single" w:color="auto" w:sz="4" w:space="0"/>
            </w:tcBorders>
          </w:tcPr>
          <w:p w14:paraId="55C3AC6C">
            <w:pPr>
              <w:pStyle w:val="14"/>
              <w:keepNext w:val="0"/>
              <w:keepLines w:val="0"/>
              <w:pageBreakBefore w:val="0"/>
              <w:widowControl/>
              <w:kinsoku/>
              <w:wordWrap w:val="0"/>
              <w:overflowPunct/>
              <w:topLinePunct w:val="0"/>
              <w:autoSpaceDE/>
              <w:autoSpaceDN/>
              <w:bidi w:val="0"/>
              <w:spacing w:line="500" w:lineRule="exact"/>
              <w:rPr>
                <w:rFonts w:hint="eastAsia" w:asciiTheme="minorEastAsia" w:hAnsiTheme="minorEastAsia" w:eastAsiaTheme="minorEastAsia" w:cstheme="minorEastAsia"/>
                <w:bCs/>
                <w:color w:val="auto"/>
                <w:sz w:val="24"/>
                <w:szCs w:val="24"/>
                <w:highlight w:val="none"/>
              </w:rPr>
            </w:pPr>
          </w:p>
        </w:tc>
        <w:tc>
          <w:tcPr>
            <w:tcW w:w="1481" w:type="dxa"/>
            <w:tcBorders>
              <w:top w:val="single" w:color="auto" w:sz="4" w:space="0"/>
              <w:left w:val="single" w:color="auto" w:sz="4" w:space="0"/>
              <w:right w:val="single" w:color="auto" w:sz="4" w:space="0"/>
            </w:tcBorders>
            <w:vAlign w:val="center"/>
          </w:tcPr>
          <w:p w14:paraId="1693D1BC">
            <w:pPr>
              <w:keepNext w:val="0"/>
              <w:keepLines w:val="0"/>
              <w:pageBreakBefore w:val="0"/>
              <w:kinsoku/>
              <w:overflowPunct/>
              <w:topLinePunct w:val="0"/>
              <w:autoSpaceDE/>
              <w:autoSpaceDN/>
              <w:bidi w:val="0"/>
              <w:adjustRightInd w:val="0"/>
              <w:snapToGrid w:val="0"/>
              <w:spacing w:line="500" w:lineRule="exact"/>
              <w:ind w:left="0" w:leftChars="0" w:firstLine="0" w:firstLineChars="0"/>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人员团队分（满分</w:t>
            </w:r>
            <w:r>
              <w:rPr>
                <w:rFonts w:hint="eastAsia" w:asciiTheme="minorEastAsia" w:hAnsiTheme="minorEastAsia" w:eastAsiaTheme="minorEastAsia" w:cstheme="minorEastAsia"/>
                <w:bCs/>
                <w:color w:val="auto"/>
                <w:sz w:val="24"/>
                <w:szCs w:val="24"/>
                <w:highlight w:val="none"/>
                <w:lang w:val="en-US" w:eastAsia="zh-CN"/>
              </w:rPr>
              <w:t>17</w:t>
            </w:r>
            <w:r>
              <w:rPr>
                <w:rFonts w:hint="eastAsia" w:asciiTheme="minorEastAsia" w:hAnsiTheme="minorEastAsia" w:eastAsiaTheme="minorEastAsia" w:cstheme="minorEastAsia"/>
                <w:bCs/>
                <w:color w:val="auto"/>
                <w:sz w:val="24"/>
                <w:szCs w:val="24"/>
                <w:highlight w:val="none"/>
              </w:rPr>
              <w:t>分）</w:t>
            </w:r>
          </w:p>
        </w:tc>
        <w:tc>
          <w:tcPr>
            <w:tcW w:w="6554" w:type="dxa"/>
            <w:tcBorders>
              <w:top w:val="single" w:color="auto" w:sz="4" w:space="0"/>
              <w:left w:val="single" w:color="auto" w:sz="4" w:space="0"/>
              <w:right w:val="single" w:color="auto" w:sz="4" w:space="0"/>
            </w:tcBorders>
            <w:vAlign w:val="center"/>
          </w:tcPr>
          <w:p w14:paraId="1B91A64E">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500" w:lineRule="exact"/>
              <w:ind w:left="0" w:leftChars="0" w:right="0" w:firstLine="0" w:firstLineChars="0"/>
              <w:jc w:val="both"/>
              <w:textAlignment w:val="baseline"/>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①投标人拟投入本项目的技术负责人有环境保护专业或污水治理相关专业中级工程师证的得3分，有高级工程师证的得5分，满分5分。</w:t>
            </w:r>
            <w:r>
              <w:rPr>
                <w:rFonts w:hint="eastAsia" w:asciiTheme="minorEastAsia" w:hAnsiTheme="minorEastAsia" w:eastAsiaTheme="minorEastAsia" w:cstheme="minorEastAsia"/>
                <w:b/>
                <w:bCs/>
                <w:color w:val="auto"/>
                <w:kern w:val="0"/>
                <w:sz w:val="24"/>
                <w:szCs w:val="24"/>
                <w:highlight w:val="none"/>
                <w:lang w:val="en-US" w:eastAsia="zh-CN" w:bidi="ar"/>
              </w:rPr>
              <w:t>（人员证书以最高职称加分，不重复计分。）</w:t>
            </w:r>
          </w:p>
          <w:p w14:paraId="4C527F39">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baseline"/>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eastAsia="zh-CN" w:bidi="ar"/>
              </w:rPr>
              <w:t>②拟投入的项目人员具有</w:t>
            </w:r>
            <w:r>
              <w:rPr>
                <w:rFonts w:hint="eastAsia" w:asciiTheme="minorEastAsia" w:hAnsiTheme="minorEastAsia" w:eastAsiaTheme="minorEastAsia" w:cstheme="minorEastAsia"/>
                <w:b w:val="0"/>
                <w:bCs w:val="0"/>
                <w:color w:val="auto"/>
                <w:kern w:val="0"/>
                <w:sz w:val="24"/>
                <w:szCs w:val="24"/>
                <w:highlight w:val="none"/>
                <w:lang w:val="en-US" w:eastAsia="zh-CN" w:bidi="ar"/>
              </w:rPr>
              <w:t>污</w:t>
            </w:r>
            <w:r>
              <w:rPr>
                <w:rFonts w:hint="eastAsia" w:asciiTheme="minorEastAsia" w:hAnsiTheme="minorEastAsia" w:eastAsiaTheme="minorEastAsia" w:cstheme="minorEastAsia"/>
                <w:b w:val="0"/>
                <w:bCs w:val="0"/>
                <w:color w:val="auto"/>
                <w:kern w:val="0"/>
                <w:sz w:val="24"/>
                <w:szCs w:val="24"/>
                <w:highlight w:val="none"/>
                <w:lang w:eastAsia="zh-CN" w:bidi="ar"/>
              </w:rPr>
              <w:t>水处理工</w:t>
            </w:r>
            <w:r>
              <w:rPr>
                <w:rFonts w:hint="eastAsia" w:asciiTheme="minorEastAsia" w:hAnsiTheme="minorEastAsia" w:eastAsiaTheme="minorEastAsia" w:cstheme="minorEastAsia"/>
                <w:b w:val="0"/>
                <w:bCs w:val="0"/>
                <w:color w:val="auto"/>
                <w:kern w:val="0"/>
                <w:sz w:val="24"/>
                <w:szCs w:val="24"/>
                <w:highlight w:val="none"/>
                <w:lang w:val="en-US" w:eastAsia="zh-CN" w:bidi="ar"/>
              </w:rPr>
              <w:t>高级及以上</w:t>
            </w:r>
            <w:r>
              <w:rPr>
                <w:rFonts w:hint="eastAsia" w:asciiTheme="minorEastAsia" w:hAnsiTheme="minorEastAsia" w:eastAsiaTheme="minorEastAsia" w:cstheme="minorEastAsia"/>
                <w:b w:val="0"/>
                <w:bCs w:val="0"/>
                <w:color w:val="auto"/>
                <w:kern w:val="0"/>
                <w:sz w:val="24"/>
                <w:szCs w:val="24"/>
                <w:highlight w:val="none"/>
                <w:lang w:eastAsia="zh-CN" w:bidi="ar"/>
              </w:rPr>
              <w:t>技能证书，</w:t>
            </w:r>
            <w:r>
              <w:rPr>
                <w:rFonts w:hint="eastAsia" w:asciiTheme="minorEastAsia" w:hAnsiTheme="minorEastAsia" w:eastAsiaTheme="minorEastAsia" w:cstheme="minorEastAsia"/>
                <w:b w:val="0"/>
                <w:bCs w:val="0"/>
                <w:color w:val="auto"/>
                <w:kern w:val="0"/>
                <w:sz w:val="24"/>
                <w:szCs w:val="24"/>
                <w:highlight w:val="none"/>
                <w:lang w:val="en-US" w:eastAsia="zh-CN" w:bidi="ar"/>
              </w:rPr>
              <w:t>每提供一个得2分，满分4分；</w:t>
            </w:r>
          </w:p>
          <w:p w14:paraId="4B842EFB">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baseline"/>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default" w:ascii="Calibri" w:hAnsi="Calibri" w:cs="Calibri" w:eastAsiaTheme="minorEastAsia"/>
                <w:b w:val="0"/>
                <w:bCs w:val="0"/>
                <w:color w:val="auto"/>
                <w:kern w:val="0"/>
                <w:sz w:val="24"/>
                <w:szCs w:val="24"/>
                <w:highlight w:val="none"/>
                <w:lang w:eastAsia="zh-CN" w:bidi="ar"/>
              </w:rPr>
              <w:t>③</w:t>
            </w:r>
            <w:r>
              <w:rPr>
                <w:rFonts w:hint="eastAsia" w:asciiTheme="minorEastAsia" w:hAnsiTheme="minorEastAsia" w:eastAsiaTheme="minorEastAsia" w:cstheme="minorEastAsia"/>
                <w:b w:val="0"/>
                <w:bCs w:val="0"/>
                <w:color w:val="auto"/>
                <w:kern w:val="0"/>
                <w:sz w:val="24"/>
                <w:szCs w:val="24"/>
                <w:highlight w:val="none"/>
                <w:lang w:eastAsia="zh-CN" w:bidi="ar"/>
              </w:rPr>
              <w:t>拟投入的项目人员具有</w:t>
            </w:r>
            <w:r>
              <w:rPr>
                <w:rFonts w:hint="eastAsia" w:asciiTheme="minorEastAsia" w:hAnsiTheme="minorEastAsia" w:eastAsiaTheme="minorEastAsia" w:cstheme="minorEastAsia"/>
                <w:b w:val="0"/>
                <w:bCs w:val="0"/>
                <w:color w:val="auto"/>
                <w:kern w:val="0"/>
                <w:sz w:val="24"/>
                <w:szCs w:val="24"/>
                <w:highlight w:val="none"/>
                <w:lang w:val="en-US" w:eastAsia="zh-CN" w:bidi="ar"/>
              </w:rPr>
              <w:t>污水</w:t>
            </w:r>
            <w:r>
              <w:rPr>
                <w:rFonts w:hint="eastAsia" w:asciiTheme="minorEastAsia" w:hAnsiTheme="minorEastAsia" w:eastAsiaTheme="minorEastAsia" w:cstheme="minorEastAsia"/>
                <w:b w:val="0"/>
                <w:bCs w:val="0"/>
                <w:color w:val="auto"/>
                <w:kern w:val="0"/>
                <w:sz w:val="24"/>
                <w:szCs w:val="24"/>
                <w:highlight w:val="none"/>
                <w:lang w:eastAsia="zh-CN" w:bidi="ar"/>
              </w:rPr>
              <w:t>处理工</w:t>
            </w:r>
            <w:r>
              <w:rPr>
                <w:rFonts w:hint="eastAsia" w:asciiTheme="minorEastAsia" w:hAnsiTheme="minorEastAsia" w:eastAsiaTheme="minorEastAsia" w:cstheme="minorEastAsia"/>
                <w:b w:val="0"/>
                <w:bCs w:val="0"/>
                <w:color w:val="auto"/>
                <w:kern w:val="0"/>
                <w:sz w:val="24"/>
                <w:szCs w:val="24"/>
                <w:highlight w:val="none"/>
                <w:lang w:val="en-US" w:eastAsia="zh-CN" w:bidi="ar"/>
              </w:rPr>
              <w:t>中级技能证书，每提供一个得2分，满分4分；</w:t>
            </w:r>
          </w:p>
          <w:p w14:paraId="13BA1F6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baseline"/>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eastAsia="zh-CN" w:bidi="ar"/>
              </w:rPr>
              <w:t>④</w:t>
            </w:r>
            <w:r>
              <w:rPr>
                <w:rFonts w:hint="eastAsia" w:asciiTheme="minorEastAsia" w:hAnsiTheme="minorEastAsia" w:eastAsiaTheme="minorEastAsia" w:cstheme="minorEastAsia"/>
                <w:b w:val="0"/>
                <w:bCs w:val="0"/>
                <w:color w:val="auto"/>
                <w:kern w:val="0"/>
                <w:sz w:val="24"/>
                <w:szCs w:val="24"/>
                <w:highlight w:val="none"/>
                <w:lang w:eastAsia="zh-CN" w:bidi="ar"/>
              </w:rPr>
              <w:t>拟投入的项目人员具有</w:t>
            </w:r>
            <w:r>
              <w:rPr>
                <w:rFonts w:hint="eastAsia" w:asciiTheme="minorEastAsia" w:hAnsiTheme="minorEastAsia" w:eastAsiaTheme="minorEastAsia" w:cstheme="minorEastAsia"/>
                <w:b w:val="0"/>
                <w:bCs w:val="0"/>
                <w:color w:val="auto"/>
                <w:kern w:val="0"/>
                <w:sz w:val="24"/>
                <w:szCs w:val="24"/>
                <w:highlight w:val="none"/>
                <w:lang w:val="en-US" w:eastAsia="zh-CN" w:bidi="ar"/>
              </w:rPr>
              <w:t>污水</w:t>
            </w:r>
            <w:r>
              <w:rPr>
                <w:rFonts w:hint="eastAsia" w:asciiTheme="minorEastAsia" w:hAnsiTheme="minorEastAsia" w:eastAsiaTheme="minorEastAsia" w:cstheme="minorEastAsia"/>
                <w:b w:val="0"/>
                <w:bCs w:val="0"/>
                <w:color w:val="auto"/>
                <w:kern w:val="0"/>
                <w:sz w:val="24"/>
                <w:szCs w:val="24"/>
                <w:highlight w:val="none"/>
                <w:lang w:eastAsia="zh-CN" w:bidi="ar"/>
              </w:rPr>
              <w:t>处理工</w:t>
            </w:r>
            <w:r>
              <w:rPr>
                <w:rFonts w:hint="eastAsia" w:asciiTheme="minorEastAsia" w:hAnsiTheme="minorEastAsia" w:eastAsiaTheme="minorEastAsia" w:cstheme="minorEastAsia"/>
                <w:b w:val="0"/>
                <w:bCs w:val="0"/>
                <w:color w:val="auto"/>
                <w:kern w:val="0"/>
                <w:sz w:val="24"/>
                <w:szCs w:val="24"/>
                <w:highlight w:val="none"/>
                <w:lang w:val="en-US" w:eastAsia="zh-CN" w:bidi="ar"/>
              </w:rPr>
              <w:t>初级技能证书，每提供一个得2分，满分4分。</w:t>
            </w:r>
          </w:p>
          <w:p w14:paraId="31561327">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500" w:lineRule="exact"/>
              <w:ind w:left="0" w:leftChars="0" w:right="0" w:rightChars="0" w:firstLine="0" w:firstLineChars="0"/>
              <w:jc w:val="both"/>
              <w:textAlignment w:val="baseline"/>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b/>
                <w:bCs/>
                <w:color w:val="auto"/>
                <w:kern w:val="0"/>
                <w:sz w:val="24"/>
                <w:szCs w:val="24"/>
                <w:highlight w:val="none"/>
                <w:lang w:eastAsia="zh-CN" w:bidi="ar"/>
              </w:rPr>
              <w:t>注：投标文件中提供</w:t>
            </w:r>
            <w:r>
              <w:rPr>
                <w:rFonts w:hint="eastAsia" w:asciiTheme="minorEastAsia" w:hAnsiTheme="minorEastAsia" w:eastAsiaTheme="minorEastAsia" w:cstheme="minorEastAsia"/>
                <w:b/>
                <w:bCs/>
                <w:color w:val="auto"/>
                <w:kern w:val="0"/>
                <w:sz w:val="24"/>
                <w:szCs w:val="24"/>
                <w:highlight w:val="none"/>
                <w:lang w:val="en-US" w:eastAsia="zh-CN" w:bidi="ar"/>
              </w:rPr>
              <w:t>人员劳动合同或社保证明（投标人</w:t>
            </w:r>
            <w:r>
              <w:rPr>
                <w:rFonts w:hint="eastAsia" w:ascii="宋体" w:hAnsi="宋体" w:eastAsia="宋体" w:cs="宋体"/>
                <w:b/>
                <w:bCs/>
                <w:color w:val="auto"/>
                <w:kern w:val="0"/>
                <w:sz w:val="24"/>
                <w:szCs w:val="24"/>
                <w:highlight w:val="none"/>
                <w:u w:val="none"/>
                <w:lang w:val="en-US" w:eastAsia="zh-CN"/>
              </w:rPr>
              <w:t>为其缴纳近半年内任意1个月社保证明材料</w:t>
            </w:r>
            <w:r>
              <w:rPr>
                <w:rFonts w:hint="eastAsia" w:ascii="宋体" w:hAnsi="宋体" w:cs="宋体"/>
                <w:b/>
                <w:bCs/>
                <w:color w:val="auto"/>
                <w:kern w:val="0"/>
                <w:sz w:val="24"/>
                <w:szCs w:val="24"/>
                <w:highlight w:val="none"/>
                <w:u w:val="none"/>
                <w:lang w:val="en-US" w:eastAsia="zh-CN"/>
              </w:rPr>
              <w:t>原件（或</w:t>
            </w:r>
            <w:r>
              <w:rPr>
                <w:rFonts w:hint="eastAsia" w:ascii="宋体" w:hAnsi="宋体" w:eastAsia="宋体" w:cs="宋体"/>
                <w:b/>
                <w:bCs/>
                <w:color w:val="auto"/>
                <w:kern w:val="0"/>
                <w:sz w:val="24"/>
                <w:szCs w:val="24"/>
                <w:highlight w:val="none"/>
                <w:u w:val="none"/>
                <w:lang w:val="en-US" w:eastAsia="zh-CN"/>
              </w:rPr>
              <w:t>复印件</w:t>
            </w:r>
            <w:r>
              <w:rPr>
                <w:rFonts w:hint="eastAsia" w:ascii="宋体" w:hAnsi="宋体" w:cs="宋体"/>
                <w:b/>
                <w:bCs/>
                <w:color w:val="auto"/>
                <w:kern w:val="0"/>
                <w:sz w:val="24"/>
                <w:szCs w:val="24"/>
                <w:highlight w:val="none"/>
                <w:u w:val="none"/>
                <w:lang w:val="en-US" w:eastAsia="zh-CN"/>
              </w:rPr>
              <w:t>）</w:t>
            </w:r>
            <w:r>
              <w:rPr>
                <w:rFonts w:hint="eastAsia" w:ascii="宋体" w:hAnsi="宋体" w:eastAsia="宋体" w:cs="宋体"/>
                <w:b/>
                <w:bCs/>
                <w:color w:val="auto"/>
                <w:kern w:val="0"/>
                <w:sz w:val="24"/>
                <w:szCs w:val="24"/>
                <w:highlight w:val="none"/>
                <w:u w:val="none"/>
                <w:lang w:val="en-US" w:eastAsia="zh-CN"/>
              </w:rPr>
              <w:t>扫描件</w:t>
            </w:r>
            <w:r>
              <w:rPr>
                <w:rFonts w:hint="eastAsia" w:asciiTheme="minorEastAsia" w:hAnsiTheme="minorEastAsia" w:eastAsiaTheme="minorEastAsia" w:cstheme="minorEastAsia"/>
                <w:b/>
                <w:bCs/>
                <w:color w:val="auto"/>
                <w:kern w:val="0"/>
                <w:sz w:val="24"/>
                <w:szCs w:val="24"/>
                <w:highlight w:val="none"/>
                <w:lang w:val="en-US" w:eastAsia="zh-CN" w:bidi="ar"/>
              </w:rPr>
              <w:t>），</w:t>
            </w:r>
            <w:r>
              <w:rPr>
                <w:rFonts w:hint="eastAsia" w:asciiTheme="minorEastAsia" w:hAnsiTheme="minorEastAsia" w:eastAsiaTheme="minorEastAsia" w:cstheme="minorEastAsia"/>
                <w:b/>
                <w:bCs/>
                <w:color w:val="auto"/>
                <w:kern w:val="0"/>
                <w:sz w:val="24"/>
                <w:szCs w:val="24"/>
                <w:highlight w:val="none"/>
                <w:lang w:eastAsia="zh-CN" w:bidi="ar"/>
              </w:rPr>
              <w:t>有效的证书</w:t>
            </w:r>
            <w:r>
              <w:rPr>
                <w:rFonts w:hint="eastAsia" w:ascii="宋体" w:hAnsi="宋体" w:cs="宋体"/>
                <w:b/>
                <w:bCs/>
                <w:color w:val="auto"/>
                <w:kern w:val="0"/>
                <w:sz w:val="24"/>
                <w:szCs w:val="24"/>
                <w:highlight w:val="none"/>
                <w:u w:val="none"/>
                <w:lang w:val="en-US" w:eastAsia="zh-CN"/>
              </w:rPr>
              <w:t>原件（或</w:t>
            </w:r>
            <w:r>
              <w:rPr>
                <w:rFonts w:hint="eastAsia" w:ascii="宋体" w:hAnsi="宋体" w:eastAsia="宋体" w:cs="宋体"/>
                <w:b/>
                <w:bCs/>
                <w:color w:val="auto"/>
                <w:kern w:val="0"/>
                <w:sz w:val="24"/>
                <w:szCs w:val="24"/>
                <w:highlight w:val="none"/>
                <w:u w:val="none"/>
                <w:lang w:val="en-US" w:eastAsia="zh-CN"/>
              </w:rPr>
              <w:t>复印件</w:t>
            </w:r>
            <w:r>
              <w:rPr>
                <w:rFonts w:hint="eastAsia" w:ascii="宋体" w:hAnsi="宋体" w:cs="宋体"/>
                <w:b/>
                <w:bCs/>
                <w:color w:val="auto"/>
                <w:kern w:val="0"/>
                <w:sz w:val="24"/>
                <w:szCs w:val="24"/>
                <w:highlight w:val="none"/>
                <w:u w:val="none"/>
                <w:lang w:val="en-US" w:eastAsia="zh-CN"/>
              </w:rPr>
              <w:t>）</w:t>
            </w:r>
            <w:r>
              <w:rPr>
                <w:rFonts w:hint="eastAsia" w:ascii="宋体" w:hAnsi="宋体" w:eastAsia="宋体" w:cs="宋体"/>
                <w:b/>
                <w:bCs/>
                <w:color w:val="auto"/>
                <w:kern w:val="0"/>
                <w:sz w:val="24"/>
                <w:szCs w:val="24"/>
                <w:highlight w:val="none"/>
                <w:u w:val="none"/>
                <w:lang w:val="en-US" w:eastAsia="zh-CN"/>
              </w:rPr>
              <w:t>扫描件</w:t>
            </w:r>
            <w:r>
              <w:rPr>
                <w:rFonts w:hint="eastAsia" w:asciiTheme="minorEastAsia" w:hAnsiTheme="minorEastAsia" w:eastAsiaTheme="minorEastAsia" w:cstheme="minorEastAsia"/>
                <w:b/>
                <w:bCs/>
                <w:color w:val="auto"/>
                <w:kern w:val="0"/>
                <w:sz w:val="24"/>
                <w:szCs w:val="24"/>
                <w:highlight w:val="none"/>
                <w:lang w:eastAsia="zh-CN" w:bidi="ar"/>
              </w:rPr>
              <w:t>并加盖投标人电子签章，否则不予以计分。</w:t>
            </w:r>
            <w:r>
              <w:rPr>
                <w:rFonts w:hint="eastAsia" w:asciiTheme="minorEastAsia" w:hAnsiTheme="minorEastAsia" w:eastAsiaTheme="minorEastAsia" w:cstheme="minorEastAsia"/>
                <w:b/>
                <w:bCs/>
                <w:color w:val="auto"/>
                <w:kern w:val="0"/>
                <w:sz w:val="24"/>
                <w:szCs w:val="24"/>
                <w:highlight w:val="none"/>
                <w:lang w:val="en-US" w:eastAsia="zh-CN" w:bidi="ar"/>
              </w:rPr>
              <w:t>同一人具备多种证书不重复计算得分</w:t>
            </w:r>
            <w:r>
              <w:rPr>
                <w:rFonts w:hint="eastAsia" w:asciiTheme="minorEastAsia" w:hAnsiTheme="minorEastAsia" w:eastAsiaTheme="minorEastAsia" w:cstheme="minorEastAsia"/>
                <w:b/>
                <w:bCs/>
                <w:color w:val="auto"/>
                <w:kern w:val="0"/>
                <w:sz w:val="24"/>
                <w:szCs w:val="24"/>
                <w:highlight w:val="none"/>
                <w:lang w:eastAsia="zh-CN" w:bidi="ar"/>
              </w:rPr>
              <w:t>。</w:t>
            </w:r>
          </w:p>
        </w:tc>
        <w:tc>
          <w:tcPr>
            <w:tcW w:w="1410" w:type="dxa"/>
            <w:tcBorders>
              <w:top w:val="single" w:color="auto" w:sz="4" w:space="0"/>
              <w:left w:val="single" w:color="auto" w:sz="4" w:space="0"/>
              <w:bottom w:val="single" w:color="auto" w:sz="4" w:space="0"/>
              <w:right w:val="single" w:color="auto" w:sz="4" w:space="0"/>
            </w:tcBorders>
            <w:vAlign w:val="center"/>
          </w:tcPr>
          <w:p w14:paraId="1CAF6528">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0~</w:t>
            </w:r>
            <w:r>
              <w:rPr>
                <w:rFonts w:hint="eastAsia" w:asciiTheme="minorEastAsia" w:hAnsiTheme="minorEastAsia" w:eastAsiaTheme="minorEastAsia" w:cstheme="minorEastAsia"/>
                <w:bCs/>
                <w:color w:val="auto"/>
                <w:sz w:val="24"/>
                <w:szCs w:val="24"/>
                <w:highlight w:val="none"/>
                <w:lang w:val="en-US" w:eastAsia="zh-CN"/>
              </w:rPr>
              <w:t>17</w:t>
            </w:r>
            <w:r>
              <w:rPr>
                <w:rFonts w:hint="eastAsia" w:asciiTheme="minorEastAsia" w:hAnsiTheme="minorEastAsia" w:eastAsiaTheme="minorEastAsia" w:cstheme="minorEastAsia"/>
                <w:bCs/>
                <w:color w:val="auto"/>
                <w:sz w:val="24"/>
                <w:szCs w:val="24"/>
                <w:highlight w:val="none"/>
              </w:rPr>
              <w:t>分</w:t>
            </w:r>
          </w:p>
          <w:p w14:paraId="1C760AED">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rPr>
              <w:t>客观分</w:t>
            </w:r>
            <w:r>
              <w:rPr>
                <w:rFonts w:hint="eastAsia" w:asciiTheme="minorEastAsia" w:hAnsiTheme="minorEastAsia" w:eastAsiaTheme="minorEastAsia" w:cstheme="minorEastAsia"/>
                <w:bCs/>
                <w:color w:val="auto"/>
                <w:sz w:val="24"/>
                <w:szCs w:val="24"/>
                <w:highlight w:val="none"/>
              </w:rPr>
              <w:t>）</w:t>
            </w:r>
            <w:bookmarkStart w:id="293" w:name="_GoBack"/>
            <w:bookmarkEnd w:id="293"/>
          </w:p>
        </w:tc>
      </w:tr>
    </w:tbl>
    <w:p w14:paraId="21E69A96">
      <w:pPr>
        <w:pageBreakBefore w:val="0"/>
        <w:wordWrap w:val="0"/>
        <w:overflowPunct/>
        <w:topLinePunct w:val="0"/>
        <w:bidi w:val="0"/>
        <w:spacing w:before="0" w:after="0" w:line="360" w:lineRule="auto"/>
        <w:jc w:val="both"/>
        <w:outlineLvl w:val="9"/>
        <w:rPr>
          <w:rFonts w:hint="eastAsia" w:ascii="宋体" w:hAnsi="宋体" w:eastAsia="宋体" w:cs="宋体"/>
          <w:b w:val="0"/>
          <w:color w:val="auto"/>
          <w:sz w:val="30"/>
          <w:szCs w:val="30"/>
          <w:highlight w:val="none"/>
        </w:rPr>
      </w:pPr>
    </w:p>
    <w:p w14:paraId="487758B5">
      <w:pPr>
        <w:outlineLvl w:val="9"/>
        <w:rPr>
          <w:rFonts w:hint="eastAsia"/>
          <w:color w:val="auto"/>
          <w:highlight w:val="none"/>
        </w:rPr>
        <w:sectPr>
          <w:headerReference r:id="rId8" w:type="default"/>
          <w:footerReference r:id="rId9" w:type="default"/>
          <w:pgSz w:w="11906" w:h="16838"/>
          <w:pgMar w:top="1440" w:right="1080" w:bottom="1440" w:left="1080" w:header="720" w:footer="720" w:gutter="0"/>
          <w:pgNumType w:fmt="decimal"/>
          <w:cols w:space="720" w:num="1"/>
          <w:docGrid w:type="lines" w:linePitch="331" w:charSpace="0"/>
        </w:sectPr>
      </w:pPr>
    </w:p>
    <w:p w14:paraId="7D0436F8">
      <w:pPr>
        <w:pStyle w:val="6"/>
        <w:pageBreakBefore w:val="0"/>
        <w:wordWrap w:val="0"/>
        <w:overflowPunct/>
        <w:topLinePunct w:val="0"/>
        <w:bidi w:val="0"/>
        <w:spacing w:before="0" w:after="0" w:line="360" w:lineRule="auto"/>
        <w:jc w:val="center"/>
        <w:rPr>
          <w:rFonts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第四节 中标候选人推荐原则</w:t>
      </w:r>
      <w:bookmarkEnd w:id="109"/>
    </w:p>
    <w:p w14:paraId="151FAC81">
      <w:pPr>
        <w:pStyle w:val="14"/>
        <w:pageBreakBefore w:val="0"/>
        <w:numPr>
          <w:ilvl w:val="0"/>
          <w:numId w:val="4"/>
        </w:numPr>
        <w:wordWrap w:val="0"/>
        <w:overflowPunct/>
        <w:topLinePunct w:val="0"/>
        <w:bidi w:val="0"/>
        <w:spacing w:line="360" w:lineRule="auto"/>
        <w:contextualSpacing/>
        <w:rPr>
          <w:rFonts w:hAnsi="宋体" w:cs="宋体"/>
          <w:b/>
          <w:bCs/>
          <w:color w:val="auto"/>
          <w:sz w:val="24"/>
          <w:szCs w:val="24"/>
          <w:highlight w:val="none"/>
        </w:rPr>
      </w:pPr>
      <w:r>
        <w:rPr>
          <w:rFonts w:hint="eastAsia" w:hAnsi="宋体" w:cs="宋体"/>
          <w:b/>
          <w:bCs/>
          <w:color w:val="auto"/>
          <w:sz w:val="24"/>
          <w:szCs w:val="24"/>
          <w:highlight w:val="none"/>
        </w:rPr>
        <w:t>综合评分法</w:t>
      </w:r>
    </w:p>
    <w:p w14:paraId="2C021B76">
      <w:pPr>
        <w:pStyle w:val="14"/>
        <w:pageBreakBefore w:val="0"/>
        <w:wordWrap w:val="0"/>
        <w:overflowPunct/>
        <w:topLinePunct w:val="0"/>
        <w:bidi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3E142D5A">
      <w:pPr>
        <w:pStyle w:val="6"/>
        <w:pageBreakBefore w:val="0"/>
        <w:wordWrap w:val="0"/>
        <w:overflowPunct/>
        <w:topLinePunct w:val="0"/>
        <w:bidi w:val="0"/>
        <w:spacing w:before="0" w:after="0" w:line="360" w:lineRule="auto"/>
        <w:ind w:firstLine="600" w:firstLineChars="200"/>
        <w:jc w:val="center"/>
        <w:rPr>
          <w:rFonts w:ascii="宋体" w:hAnsi="宋体" w:eastAsia="宋体" w:cs="宋体"/>
          <w:b w:val="0"/>
          <w:color w:val="auto"/>
          <w:sz w:val="30"/>
          <w:szCs w:val="30"/>
          <w:highlight w:val="none"/>
        </w:rPr>
      </w:pPr>
      <w:bookmarkStart w:id="110" w:name="_Toc52"/>
      <w:r>
        <w:rPr>
          <w:rFonts w:hint="eastAsia" w:ascii="宋体" w:hAnsi="宋体" w:eastAsia="宋体" w:cs="宋体"/>
          <w:b w:val="0"/>
          <w:color w:val="auto"/>
          <w:sz w:val="30"/>
          <w:szCs w:val="30"/>
          <w:highlight w:val="none"/>
        </w:rPr>
        <w:t>第五节 评标报告</w:t>
      </w:r>
      <w:bookmarkEnd w:id="110"/>
    </w:p>
    <w:p w14:paraId="7B91D3C2">
      <w:pPr>
        <w:pStyle w:val="33"/>
        <w:pageBreakBefore w:val="0"/>
        <w:wordWrap w:val="0"/>
        <w:overflowPunct/>
        <w:topLinePunct w:val="0"/>
        <w:bidi w:val="0"/>
        <w:spacing w:before="0" w:line="360" w:lineRule="auto"/>
        <w:ind w:firstLine="482"/>
        <w:rPr>
          <w:rFonts w:ascii="宋体" w:hAnsi="宋体" w:cs="宋体"/>
          <w:b/>
          <w:bCs/>
          <w:color w:val="auto"/>
          <w:szCs w:val="24"/>
          <w:highlight w:val="none"/>
        </w:rPr>
      </w:pPr>
      <w:r>
        <w:rPr>
          <w:rFonts w:hint="eastAsia" w:ascii="宋体" w:hAnsi="宋体" w:cs="宋体"/>
          <w:b/>
          <w:bCs/>
          <w:color w:val="auto"/>
          <w:szCs w:val="24"/>
          <w:highlight w:val="none"/>
        </w:rPr>
        <w:t>（一）评标报告与推荐中标候选人</w:t>
      </w:r>
    </w:p>
    <w:p w14:paraId="56FCC52C">
      <w:pPr>
        <w:pStyle w:val="14"/>
        <w:pageBreakBefore w:val="0"/>
        <w:tabs>
          <w:tab w:val="left" w:pos="2472"/>
        </w:tabs>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评标委员会根据原始评标记录和评标结果编写评标报告，并通过电子交易平台向采购人、采购代理机构提交。</w:t>
      </w:r>
    </w:p>
    <w:p w14:paraId="035A0C0D">
      <w:pPr>
        <w:pageBreakBefore w:val="0"/>
        <w:widowControl/>
        <w:wordWrap w:val="0"/>
        <w:overflowPunct/>
        <w:topLinePunct w:val="0"/>
        <w:bidi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（二）评标争议事项处理</w:t>
      </w:r>
    </w:p>
    <w:p w14:paraId="683A64D8">
      <w:pPr>
        <w:pStyle w:val="14"/>
        <w:pageBreakBefore w:val="0"/>
        <w:tabs>
          <w:tab w:val="left" w:pos="2472"/>
        </w:tabs>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16EB6976">
      <w:pPr>
        <w:pageBreakBefore w:val="0"/>
        <w:widowControl/>
        <w:wordWrap w:val="0"/>
        <w:overflowPunct/>
        <w:topLinePunct w:val="0"/>
        <w:bidi w:val="0"/>
        <w:spacing w:line="360" w:lineRule="auto"/>
        <w:jc w:val="left"/>
        <w:rPr>
          <w:rFonts w:ascii="宋体" w:hAnsi="宋体" w:cs="宋体"/>
          <w:b/>
          <w:color w:val="auto"/>
          <w:sz w:val="36"/>
          <w:szCs w:val="20"/>
          <w:highlight w:val="none"/>
        </w:rPr>
        <w:sectPr>
          <w:pgSz w:w="11906" w:h="16838"/>
          <w:pgMar w:top="1440" w:right="1080" w:bottom="1440" w:left="1080" w:header="720" w:footer="720" w:gutter="0"/>
          <w:pgNumType w:fmt="decimal"/>
          <w:cols w:space="720" w:num="1"/>
          <w:docGrid w:type="lines" w:linePitch="331" w:charSpace="0"/>
        </w:sectPr>
      </w:pPr>
    </w:p>
    <w:p w14:paraId="61595307">
      <w:pPr>
        <w:pStyle w:val="14"/>
        <w:pageBreakBefore w:val="0"/>
        <w:tabs>
          <w:tab w:val="left" w:pos="2472"/>
        </w:tabs>
        <w:wordWrap w:val="0"/>
        <w:overflowPunct/>
        <w:topLinePunct w:val="0"/>
        <w:bidi w:val="0"/>
        <w:spacing w:line="360" w:lineRule="auto"/>
        <w:jc w:val="both"/>
        <w:rPr>
          <w:rFonts w:hAnsi="宋体" w:cs="宋体"/>
          <w:b/>
          <w:color w:val="auto"/>
          <w:sz w:val="36"/>
          <w:highlight w:val="none"/>
        </w:rPr>
      </w:pPr>
    </w:p>
    <w:p w14:paraId="5C131264">
      <w:pPr>
        <w:pStyle w:val="9"/>
        <w:pageBreakBefore w:val="0"/>
        <w:overflowPunct/>
        <w:topLinePunct w:val="0"/>
        <w:bidi w:val="0"/>
        <w:spacing w:line="360" w:lineRule="auto"/>
        <w:rPr>
          <w:rFonts w:hAnsi="宋体" w:cs="宋体"/>
          <w:b/>
          <w:color w:val="auto"/>
          <w:sz w:val="36"/>
          <w:highlight w:val="none"/>
        </w:rPr>
      </w:pPr>
    </w:p>
    <w:p w14:paraId="0265F489">
      <w:pPr>
        <w:pageBreakBefore w:val="0"/>
        <w:overflowPunct/>
        <w:topLinePunct w:val="0"/>
        <w:bidi w:val="0"/>
        <w:spacing w:line="360" w:lineRule="auto"/>
        <w:rPr>
          <w:rFonts w:hAnsi="宋体" w:cs="宋体"/>
          <w:b/>
          <w:color w:val="auto"/>
          <w:sz w:val="36"/>
          <w:highlight w:val="none"/>
        </w:rPr>
      </w:pPr>
    </w:p>
    <w:p w14:paraId="1ABF3507">
      <w:pPr>
        <w:pageBreakBefore w:val="0"/>
        <w:overflowPunct/>
        <w:topLinePunct w:val="0"/>
        <w:bidi w:val="0"/>
        <w:spacing w:line="360" w:lineRule="auto"/>
        <w:outlineLvl w:val="9"/>
        <w:rPr>
          <w:rFonts w:hAnsi="宋体" w:cs="宋体"/>
          <w:b/>
          <w:color w:val="auto"/>
          <w:sz w:val="36"/>
          <w:highlight w:val="none"/>
        </w:rPr>
      </w:pPr>
    </w:p>
    <w:p w14:paraId="26B4C5D2">
      <w:pPr>
        <w:pageBreakBefore w:val="0"/>
        <w:overflowPunct/>
        <w:topLinePunct w:val="0"/>
        <w:bidi w:val="0"/>
        <w:spacing w:line="360" w:lineRule="auto"/>
        <w:rPr>
          <w:rFonts w:hAnsi="宋体" w:cs="宋体"/>
          <w:b/>
          <w:color w:val="auto"/>
          <w:sz w:val="36"/>
          <w:highlight w:val="none"/>
        </w:rPr>
      </w:pPr>
    </w:p>
    <w:p w14:paraId="10283457">
      <w:pPr>
        <w:pageBreakBefore w:val="0"/>
        <w:overflowPunct/>
        <w:topLinePunct w:val="0"/>
        <w:bidi w:val="0"/>
        <w:spacing w:line="360" w:lineRule="auto"/>
        <w:outlineLvl w:val="9"/>
        <w:rPr>
          <w:rFonts w:hAnsi="宋体" w:cs="宋体"/>
          <w:b/>
          <w:color w:val="auto"/>
          <w:sz w:val="36"/>
          <w:highlight w:val="none"/>
        </w:rPr>
      </w:pPr>
    </w:p>
    <w:p w14:paraId="74265763">
      <w:pPr>
        <w:pageBreakBefore w:val="0"/>
        <w:overflowPunct/>
        <w:topLinePunct w:val="0"/>
        <w:bidi w:val="0"/>
        <w:spacing w:line="360" w:lineRule="auto"/>
        <w:rPr>
          <w:color w:val="auto"/>
          <w:highlight w:val="none"/>
        </w:rPr>
      </w:pPr>
    </w:p>
    <w:p w14:paraId="76D437D2">
      <w:pPr>
        <w:pStyle w:val="14"/>
        <w:pageBreakBefore w:val="0"/>
        <w:tabs>
          <w:tab w:val="left" w:pos="2472"/>
        </w:tabs>
        <w:wordWrap w:val="0"/>
        <w:overflowPunct/>
        <w:topLinePunct w:val="0"/>
        <w:bidi w:val="0"/>
        <w:spacing w:line="360" w:lineRule="auto"/>
        <w:jc w:val="center"/>
        <w:outlineLvl w:val="0"/>
        <w:rPr>
          <w:rFonts w:ascii="宋体" w:hAnsi="宋体" w:cs="宋体"/>
          <w:bCs/>
          <w:color w:val="auto"/>
          <w:szCs w:val="20"/>
          <w:highlight w:val="none"/>
        </w:rPr>
        <w:sectPr>
          <w:pgSz w:w="11906" w:h="16838"/>
          <w:pgMar w:top="1440" w:right="1080" w:bottom="1440" w:left="1080" w:header="720" w:footer="720" w:gutter="0"/>
          <w:pgNumType w:fmt="decimal"/>
          <w:cols w:space="720" w:num="1"/>
          <w:docGrid w:type="lines" w:linePitch="331" w:charSpace="0"/>
        </w:sectPr>
      </w:pPr>
      <w:bookmarkStart w:id="111" w:name="_Toc29194"/>
      <w:r>
        <w:rPr>
          <w:rFonts w:hint="eastAsia" w:hAnsi="宋体" w:cs="宋体"/>
          <w:b/>
          <w:color w:val="auto"/>
          <w:sz w:val="36"/>
          <w:highlight w:val="none"/>
        </w:rPr>
        <w:t>第五章 拟签订的合同文本</w:t>
      </w:r>
      <w:bookmarkEnd w:id="111"/>
    </w:p>
    <w:p w14:paraId="31C177C8">
      <w:pPr>
        <w:pageBreakBefore w:val="0"/>
        <w:wordWrap w:val="0"/>
        <w:overflowPunct/>
        <w:topLinePunct w:val="0"/>
        <w:bidi w:val="0"/>
        <w:spacing w:line="360" w:lineRule="auto"/>
        <w:rPr>
          <w:rFonts w:ascii="宋体" w:hAnsi="宋体" w:cs="宋体"/>
          <w:color w:val="auto"/>
          <w:sz w:val="24"/>
          <w:highlight w:val="none"/>
          <w:u w:val="single"/>
        </w:rPr>
      </w:pPr>
      <w:r>
        <w:rPr>
          <w:rFonts w:hint="eastAsia" w:ascii="宋体" w:hAnsi="宋体" w:cs="宋体"/>
          <w:color w:val="auto"/>
          <w:sz w:val="24"/>
          <w:highlight w:val="none"/>
        </w:rPr>
        <w:t>广西政府采购云平台合同编号：</w:t>
      </w:r>
      <w:r>
        <w:rPr>
          <w:rFonts w:hint="eastAsia" w:ascii="宋体" w:hAnsi="宋体" w:cs="宋体"/>
          <w:color w:val="auto"/>
          <w:sz w:val="24"/>
          <w:highlight w:val="none"/>
          <w:u w:val="single"/>
        </w:rPr>
        <w:t xml:space="preserve">           </w:t>
      </w:r>
    </w:p>
    <w:p w14:paraId="1261920E">
      <w:pPr>
        <w:pageBreakBefore w:val="0"/>
        <w:wordWrap w:val="0"/>
        <w:overflowPunct/>
        <w:topLinePunct w:val="0"/>
        <w:bidi w:val="0"/>
        <w:spacing w:line="360" w:lineRule="auto"/>
        <w:jc w:val="center"/>
        <w:rPr>
          <w:rFonts w:ascii="宋体" w:hAnsi="宋体" w:cs="宋体"/>
          <w:b/>
          <w:bCs/>
          <w:color w:val="auto"/>
          <w:sz w:val="52"/>
          <w:highlight w:val="none"/>
        </w:rPr>
      </w:pPr>
    </w:p>
    <w:p w14:paraId="304AB54B">
      <w:pPr>
        <w:pageBreakBefore w:val="0"/>
        <w:wordWrap w:val="0"/>
        <w:overflowPunct/>
        <w:topLinePunct w:val="0"/>
        <w:bidi w:val="0"/>
        <w:spacing w:line="360" w:lineRule="auto"/>
        <w:jc w:val="center"/>
        <w:rPr>
          <w:rFonts w:ascii="宋体" w:hAnsi="宋体" w:cs="宋体"/>
          <w:b/>
          <w:bCs/>
          <w:color w:val="auto"/>
          <w:sz w:val="52"/>
          <w:highlight w:val="none"/>
        </w:rPr>
      </w:pPr>
    </w:p>
    <w:p w14:paraId="1D7CE240">
      <w:pPr>
        <w:pageBreakBefore w:val="0"/>
        <w:wordWrap w:val="0"/>
        <w:overflowPunct/>
        <w:topLinePunct w:val="0"/>
        <w:bidi w:val="0"/>
        <w:spacing w:line="360" w:lineRule="auto"/>
        <w:jc w:val="center"/>
        <w:rPr>
          <w:rFonts w:ascii="宋体" w:hAnsi="宋体" w:cs="宋体"/>
          <w:b/>
          <w:bCs/>
          <w:color w:val="auto"/>
          <w:sz w:val="52"/>
          <w:highlight w:val="none"/>
        </w:rPr>
      </w:pPr>
      <w:r>
        <w:rPr>
          <w:rFonts w:hint="eastAsia" w:ascii="宋体" w:hAnsi="宋体" w:cs="宋体"/>
          <w:b/>
          <w:bCs/>
          <w:color w:val="auto"/>
          <w:sz w:val="52"/>
          <w:highlight w:val="none"/>
        </w:rPr>
        <w:t>南 宁 市 政 府 采 购</w:t>
      </w:r>
    </w:p>
    <w:p w14:paraId="41A4017F">
      <w:pPr>
        <w:pageBreakBefore w:val="0"/>
        <w:wordWrap w:val="0"/>
        <w:overflowPunct/>
        <w:topLinePunct w:val="0"/>
        <w:bidi w:val="0"/>
        <w:spacing w:line="360" w:lineRule="auto"/>
        <w:ind w:firstLine="420" w:firstLineChars="200"/>
        <w:rPr>
          <w:rFonts w:ascii="宋体" w:hAnsi="宋体" w:cs="宋体"/>
          <w:color w:val="auto"/>
          <w:highlight w:val="none"/>
        </w:rPr>
      </w:pPr>
    </w:p>
    <w:p w14:paraId="5769BF0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5C985A2B">
      <w:pPr>
        <w:pageBreakBefore w:val="0"/>
        <w:wordWrap w:val="0"/>
        <w:overflowPunct/>
        <w:topLinePunct w:val="0"/>
        <w:bidi w:val="0"/>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r>
        <w:rPr>
          <w:rFonts w:hint="eastAsia" w:ascii="宋体" w:hAnsi="宋体" w:cs="宋体"/>
          <w:b/>
          <w:bCs/>
          <w:color w:val="auto"/>
          <w:sz w:val="44"/>
          <w:highlight w:val="none"/>
        </w:rPr>
        <w:t>合同</w:t>
      </w:r>
    </w:p>
    <w:p w14:paraId="153AE4BA">
      <w:pPr>
        <w:pageBreakBefore w:val="0"/>
        <w:wordWrap w:val="0"/>
        <w:overflowPunct/>
        <w:topLinePunct w:val="0"/>
        <w:bidi w:val="0"/>
        <w:spacing w:line="360" w:lineRule="auto"/>
        <w:ind w:firstLine="3507" w:firstLineChars="794"/>
        <w:rPr>
          <w:rFonts w:ascii="宋体" w:hAnsi="宋体" w:cs="宋体"/>
          <w:b/>
          <w:bCs/>
          <w:color w:val="auto"/>
          <w:sz w:val="44"/>
          <w:highlight w:val="none"/>
        </w:rPr>
      </w:pPr>
    </w:p>
    <w:p w14:paraId="711A7105">
      <w:pPr>
        <w:pageBreakBefore w:val="0"/>
        <w:wordWrap w:val="0"/>
        <w:overflowPunct/>
        <w:topLinePunct w:val="0"/>
        <w:bidi w:val="0"/>
        <w:spacing w:line="360" w:lineRule="auto"/>
        <w:ind w:firstLine="1063" w:firstLineChars="294"/>
        <w:jc w:val="left"/>
        <w:rPr>
          <w:rFonts w:ascii="宋体" w:hAnsi="宋体" w:cs="宋体"/>
          <w:b/>
          <w:color w:val="auto"/>
          <w:sz w:val="36"/>
          <w:szCs w:val="36"/>
          <w:highlight w:val="none"/>
        </w:rPr>
      </w:pPr>
      <w:r>
        <w:rPr>
          <w:rFonts w:hint="eastAsia" w:ascii="宋体" w:hAnsi="宋体" w:cs="宋体"/>
          <w:b/>
          <w:color w:val="auto"/>
          <w:sz w:val="36"/>
          <w:szCs w:val="36"/>
          <w:highlight w:val="none"/>
        </w:rPr>
        <w:t xml:space="preserve">项目编号：   </w:t>
      </w:r>
    </w:p>
    <w:p w14:paraId="77108EC4">
      <w:pPr>
        <w:pageBreakBefore w:val="0"/>
        <w:wordWrap w:val="0"/>
        <w:overflowPunct/>
        <w:topLinePunct w:val="0"/>
        <w:bidi w:val="0"/>
        <w:spacing w:line="360" w:lineRule="auto"/>
        <w:ind w:firstLine="1063" w:firstLineChars="294"/>
        <w:jc w:val="left"/>
        <w:rPr>
          <w:rFonts w:ascii="宋体" w:hAnsi="宋体" w:cs="宋体"/>
          <w:b/>
          <w:color w:val="auto"/>
          <w:sz w:val="36"/>
          <w:szCs w:val="36"/>
          <w:highlight w:val="none"/>
        </w:rPr>
      </w:pPr>
      <w:r>
        <w:rPr>
          <w:rFonts w:hint="eastAsia" w:ascii="宋体" w:hAnsi="宋体" w:cs="宋体"/>
          <w:b/>
          <w:color w:val="auto"/>
          <w:sz w:val="36"/>
          <w:szCs w:val="36"/>
          <w:highlight w:val="none"/>
        </w:rPr>
        <w:t>计划编号：</w:t>
      </w:r>
    </w:p>
    <w:p w14:paraId="7F9324A2">
      <w:pPr>
        <w:pageBreakBefore w:val="0"/>
        <w:tabs>
          <w:tab w:val="left" w:pos="7200"/>
        </w:tabs>
        <w:wordWrap w:val="0"/>
        <w:overflowPunct/>
        <w:topLinePunct w:val="0"/>
        <w:bidi w:val="0"/>
        <w:spacing w:line="360" w:lineRule="auto"/>
        <w:ind w:firstLine="1995" w:firstLineChars="552"/>
        <w:rPr>
          <w:rFonts w:ascii="宋体" w:hAnsi="宋体" w:cs="宋体"/>
          <w:b/>
          <w:color w:val="auto"/>
          <w:sz w:val="36"/>
          <w:szCs w:val="36"/>
          <w:highlight w:val="none"/>
        </w:rPr>
      </w:pPr>
    </w:p>
    <w:p w14:paraId="3D760A9A">
      <w:pPr>
        <w:pStyle w:val="12"/>
        <w:pageBreakBefore w:val="0"/>
        <w:overflowPunct/>
        <w:topLinePunct w:val="0"/>
        <w:bidi w:val="0"/>
        <w:spacing w:after="0" w:line="360" w:lineRule="auto"/>
        <w:rPr>
          <w:color w:val="auto"/>
          <w:highlight w:val="none"/>
        </w:rPr>
      </w:pPr>
    </w:p>
    <w:p w14:paraId="548A36E3">
      <w:pPr>
        <w:pageBreakBefore w:val="0"/>
        <w:tabs>
          <w:tab w:val="left" w:pos="7200"/>
        </w:tabs>
        <w:wordWrap w:val="0"/>
        <w:overflowPunct/>
        <w:topLinePunct w:val="0"/>
        <w:bidi w:val="0"/>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p>
    <w:p w14:paraId="388BA6B3">
      <w:pPr>
        <w:pageBreakBefore w:val="0"/>
        <w:tabs>
          <w:tab w:val="left" w:pos="7380"/>
        </w:tabs>
        <w:wordWrap w:val="0"/>
        <w:overflowPunct/>
        <w:topLinePunct w:val="0"/>
        <w:bidi w:val="0"/>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中标供应商：</w:t>
      </w:r>
      <w:r>
        <w:rPr>
          <w:rFonts w:hint="eastAsia" w:ascii="宋体" w:hAnsi="宋体" w:cs="宋体"/>
          <w:b/>
          <w:color w:val="auto"/>
          <w:sz w:val="36"/>
          <w:szCs w:val="36"/>
          <w:highlight w:val="none"/>
          <w:u w:val="single"/>
        </w:rPr>
        <w:t xml:space="preserve">                   </w:t>
      </w:r>
    </w:p>
    <w:p w14:paraId="52239F84">
      <w:pPr>
        <w:pageBreakBefore w:val="0"/>
        <w:tabs>
          <w:tab w:val="left" w:pos="7380"/>
        </w:tabs>
        <w:wordWrap w:val="0"/>
        <w:overflowPunct/>
        <w:topLinePunct w:val="0"/>
        <w:bidi w:val="0"/>
        <w:spacing w:line="360" w:lineRule="auto"/>
        <w:rPr>
          <w:rFonts w:ascii="宋体" w:hAnsi="宋体" w:cs="宋体"/>
          <w:b/>
          <w:bCs/>
          <w:color w:val="auto"/>
          <w:sz w:val="44"/>
          <w:highlight w:val="none"/>
        </w:rPr>
      </w:pPr>
    </w:p>
    <w:p w14:paraId="1B3F7825">
      <w:pPr>
        <w:pageBreakBefore w:val="0"/>
        <w:wordWrap w:val="0"/>
        <w:overflowPunct/>
        <w:topLinePunct w:val="0"/>
        <w:bidi w:val="0"/>
        <w:spacing w:line="360" w:lineRule="auto"/>
        <w:rPr>
          <w:rFonts w:ascii="宋体" w:hAnsi="宋体" w:cs="宋体"/>
          <w:color w:val="auto"/>
          <w:sz w:val="24"/>
          <w:highlight w:val="none"/>
        </w:rPr>
      </w:pPr>
    </w:p>
    <w:p w14:paraId="01B6EBE3">
      <w:pPr>
        <w:pageBreakBefore w:val="0"/>
        <w:wordWrap w:val="0"/>
        <w:overflowPunct/>
        <w:topLinePunct w:val="0"/>
        <w:bidi w:val="0"/>
        <w:spacing w:line="360" w:lineRule="auto"/>
        <w:ind w:firstLine="2280" w:firstLineChars="950"/>
        <w:rPr>
          <w:rFonts w:ascii="宋体" w:hAnsi="宋体" w:cs="宋体"/>
          <w:b/>
          <w:bCs/>
          <w:color w:val="auto"/>
          <w:sz w:val="44"/>
          <w:highlight w:val="non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B19E24E">
      <w:pPr>
        <w:pageBreakBefore w:val="0"/>
        <w:wordWrap w:val="0"/>
        <w:overflowPunct/>
        <w:topLinePunct w:val="0"/>
        <w:bidi w:val="0"/>
        <w:snapToGrid w:val="0"/>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rPr>
        <w:br w:type="page"/>
      </w:r>
    </w:p>
    <w:p w14:paraId="03F5C27E">
      <w:pPr>
        <w:pageBreakBefore w:val="0"/>
        <w:wordWrap w:val="0"/>
        <w:overflowPunct/>
        <w:topLinePunct w:val="0"/>
        <w:bidi w:val="0"/>
        <w:snapToGrid w:val="0"/>
        <w:spacing w:line="360" w:lineRule="auto"/>
        <w:jc w:val="center"/>
        <w:rPr>
          <w:rFonts w:ascii="宋体" w:hAnsi="宋体" w:cs="宋体"/>
          <w:b/>
          <w:bCs/>
          <w:color w:val="auto"/>
          <w:sz w:val="44"/>
          <w:highlight w:val="none"/>
        </w:rPr>
      </w:pPr>
    </w:p>
    <w:p w14:paraId="6EB16537">
      <w:pPr>
        <w:pageBreakBefore w:val="0"/>
        <w:wordWrap w:val="0"/>
        <w:overflowPunct/>
        <w:topLinePunct w:val="0"/>
        <w:bidi w:val="0"/>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合同目录</w:t>
      </w:r>
    </w:p>
    <w:p w14:paraId="31A6F93C">
      <w:pPr>
        <w:pageBreakBefore w:val="0"/>
        <w:wordWrap w:val="0"/>
        <w:overflowPunct/>
        <w:topLinePunct w:val="0"/>
        <w:bidi w:val="0"/>
        <w:snapToGrid w:val="0"/>
        <w:spacing w:line="360" w:lineRule="auto"/>
        <w:jc w:val="center"/>
        <w:rPr>
          <w:rFonts w:ascii="宋体" w:hAnsi="宋体" w:cs="宋体"/>
          <w:b/>
          <w:bCs/>
          <w:color w:val="auto"/>
          <w:sz w:val="44"/>
          <w:highlight w:val="none"/>
        </w:rPr>
      </w:pPr>
    </w:p>
    <w:p w14:paraId="70D7EF24">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第一部分 合同书</w:t>
      </w:r>
      <w:r>
        <w:rPr>
          <w:rFonts w:hint="eastAsia" w:ascii="宋体" w:hAnsi="宋体" w:cs="宋体"/>
          <w:color w:val="auto"/>
          <w:kern w:val="0"/>
          <w:sz w:val="24"/>
          <w:highlight w:val="none"/>
        </w:rPr>
        <w:t>……………………………………………………………（页码）</w:t>
      </w:r>
    </w:p>
    <w:p w14:paraId="6C220BAF">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二、第二部分 合同一般条款……………………………………………………（页码）</w:t>
      </w:r>
    </w:p>
    <w:p w14:paraId="25085677">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三、第三部分 合同专用条款……………………………………………………（页码）</w:t>
      </w:r>
    </w:p>
    <w:p w14:paraId="59E83A0E">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四、</w:t>
      </w:r>
      <w:r>
        <w:rPr>
          <w:rFonts w:hint="eastAsia" w:ascii="宋体" w:hAnsi="宋体" w:cs="宋体"/>
          <w:color w:val="auto"/>
          <w:sz w:val="24"/>
          <w:highlight w:val="none"/>
        </w:rPr>
        <w:t>第四部分 合同附件</w:t>
      </w:r>
      <w:r>
        <w:rPr>
          <w:rFonts w:hint="eastAsia" w:ascii="宋体" w:hAnsi="宋体" w:cs="宋体"/>
          <w:color w:val="auto"/>
          <w:kern w:val="0"/>
          <w:sz w:val="24"/>
          <w:highlight w:val="none"/>
        </w:rPr>
        <w:t>…………………………………………………………（页码）</w:t>
      </w:r>
    </w:p>
    <w:p w14:paraId="1D75EAD3">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4.1中标通知书 …………………………………………………………………（页码）</w:t>
      </w:r>
    </w:p>
    <w:p w14:paraId="6A648FE9">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4.2招标文件服务需求一览表 …………………………………………………（页码）</w:t>
      </w:r>
    </w:p>
    <w:p w14:paraId="1118E12A">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4.3招标文件的更改通知（如有） ……………………………………………（页码）</w:t>
      </w:r>
    </w:p>
    <w:p w14:paraId="5B9D3FCA">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4.4投标函 ………………………………………………………………………（页码）</w:t>
      </w:r>
    </w:p>
    <w:p w14:paraId="23F670FA">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4.5报价表 ………………………………………………………………………（页码）</w:t>
      </w:r>
    </w:p>
    <w:p w14:paraId="554FF43B">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4.6投标服务技术资料表 ………………………………………………………（页码）</w:t>
      </w:r>
    </w:p>
    <w:p w14:paraId="0E71FF98">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4.7商务条款偏离表 ……………………………………………………………（页码）</w:t>
      </w:r>
    </w:p>
    <w:p w14:paraId="072CC206">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4.8中标供应商澄清函（如有请提供） ………………………………………（页码）</w:t>
      </w:r>
    </w:p>
    <w:p w14:paraId="1A6B76DB">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4.9其他与本合同相关的资料（如有请提供） ………………………………（页码）</w:t>
      </w:r>
    </w:p>
    <w:p w14:paraId="4CC48F91">
      <w:pPr>
        <w:pageBreakBefore w:val="0"/>
        <w:wordWrap w:val="0"/>
        <w:overflowPunct/>
        <w:topLinePunct w:val="0"/>
        <w:bidi w:val="0"/>
        <w:snapToGrid w:val="0"/>
        <w:spacing w:line="360" w:lineRule="auto"/>
        <w:rPr>
          <w:rFonts w:ascii="宋体" w:hAnsi="宋体" w:cs="宋体"/>
          <w:color w:val="auto"/>
          <w:kern w:val="0"/>
          <w:sz w:val="24"/>
          <w:highlight w:val="none"/>
        </w:rPr>
      </w:pPr>
    </w:p>
    <w:p w14:paraId="6AB34763">
      <w:pPr>
        <w:pageBreakBefore w:val="0"/>
        <w:widowControl/>
        <w:wordWrap w:val="0"/>
        <w:overflowPunct/>
        <w:topLinePunct w:val="0"/>
        <w:bidi w:val="0"/>
        <w:spacing w:line="360" w:lineRule="auto"/>
        <w:jc w:val="left"/>
        <w:rPr>
          <w:rFonts w:ascii="宋体" w:hAnsi="宋体" w:cs="宋体"/>
          <w:color w:val="auto"/>
          <w:spacing w:val="-4"/>
          <w:sz w:val="18"/>
          <w:szCs w:val="20"/>
          <w:highlight w:val="none"/>
        </w:rPr>
        <w:sectPr>
          <w:pgSz w:w="11906" w:h="16838"/>
          <w:pgMar w:top="1440" w:right="1080" w:bottom="1440" w:left="1080" w:header="720" w:footer="720" w:gutter="0"/>
          <w:pgNumType w:fmt="decimal"/>
          <w:cols w:space="720" w:num="1"/>
          <w:docGrid w:type="lines" w:linePitch="331" w:charSpace="0"/>
        </w:sectPr>
      </w:pPr>
    </w:p>
    <w:p w14:paraId="5BE2F2CC">
      <w:pPr>
        <w:pStyle w:val="34"/>
        <w:wordWrap w:val="0"/>
        <w:spacing w:after="0"/>
        <w:ind w:firstLine="562"/>
        <w:jc w:val="center"/>
        <w:rPr>
          <w:rFonts w:ascii="宋体" w:hAnsi="宋体" w:cs="宋体"/>
          <w:b/>
          <w:color w:val="auto"/>
          <w:sz w:val="28"/>
          <w:szCs w:val="28"/>
          <w:highlight w:val="none"/>
        </w:rPr>
      </w:pPr>
      <w:r>
        <w:rPr>
          <w:rFonts w:hint="eastAsia" w:ascii="宋体" w:hAnsi="宋体" w:cs="宋体"/>
          <w:b/>
          <w:color w:val="auto"/>
          <w:sz w:val="28"/>
          <w:szCs w:val="28"/>
          <w:highlight w:val="none"/>
        </w:rPr>
        <w:t>第一部分 合同书</w:t>
      </w:r>
    </w:p>
    <w:p w14:paraId="3E20B30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南宁市第一人民医院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公开招标方式  </w:t>
      </w:r>
      <w:r>
        <w:rPr>
          <w:rFonts w:hint="eastAsia" w:ascii="宋体" w:hAnsi="宋体" w:cs="宋体"/>
          <w:color w:val="auto"/>
          <w:sz w:val="24"/>
          <w:highlight w:val="none"/>
        </w:rPr>
        <w:t>对</w:t>
      </w:r>
      <w:r>
        <w:rPr>
          <w:rFonts w:hint="eastAsia" w:ascii="宋体" w:hAnsi="宋体" w:cs="宋体"/>
          <w:color w:val="auto"/>
          <w:sz w:val="24"/>
          <w:highlight w:val="none"/>
          <w:u w:val="single"/>
          <w:lang w:eastAsia="zh-CN"/>
        </w:rPr>
        <w:t>南宁市第一人民医院污水处理系统运营服务采购项目</w:t>
      </w:r>
      <w:r>
        <w:rPr>
          <w:rFonts w:hint="eastAsia" w:ascii="宋体" w:hAnsi="宋体" w:cs="宋体"/>
          <w:color w:val="auto"/>
          <w:sz w:val="24"/>
          <w:highlight w:val="none"/>
          <w:u w:val="single"/>
        </w:rPr>
        <w:t>项目</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评标委员会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rPr>
        <w:t>为该项目中标供应商。现于中标通知书发出之日起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日内（根据项目实际情况填写，不能超过25日），按照采购文件确定的事项签订本合同。</w:t>
      </w:r>
    </w:p>
    <w:p w14:paraId="4139874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3EBA73F7">
      <w:pPr>
        <w:wordWrap w:val="0"/>
        <w:spacing w:line="360" w:lineRule="auto"/>
        <w:ind w:firstLine="482" w:firstLineChars="200"/>
        <w:rPr>
          <w:rFonts w:ascii="宋体" w:hAnsi="宋体" w:cs="宋体"/>
          <w:b/>
          <w:color w:val="auto"/>
          <w:sz w:val="24"/>
          <w:highlight w:val="none"/>
        </w:rPr>
      </w:pPr>
      <w:bookmarkStart w:id="112" w:name="_Toc24059"/>
      <w:bookmarkStart w:id="113" w:name="_Toc2232"/>
      <w:bookmarkStart w:id="114" w:name="_Toc3029"/>
      <w:r>
        <w:rPr>
          <w:rFonts w:hint="eastAsia" w:ascii="宋体" w:hAnsi="宋体" w:cs="宋体"/>
          <w:b/>
          <w:color w:val="auto"/>
          <w:sz w:val="24"/>
          <w:highlight w:val="none"/>
        </w:rPr>
        <w:t>1.1 合同组成部分</w:t>
      </w:r>
      <w:bookmarkEnd w:id="112"/>
      <w:bookmarkEnd w:id="113"/>
      <w:bookmarkEnd w:id="114"/>
    </w:p>
    <w:p w14:paraId="24A4766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F3A7FC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3D9F250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中标通知书；</w:t>
      </w:r>
    </w:p>
    <w:p w14:paraId="07E15DE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投标文件及“投标报价”（含澄清或者说明文件）；</w:t>
      </w:r>
    </w:p>
    <w:p w14:paraId="7831D0C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招标文件（含澄清或者修改文件）；</w:t>
      </w:r>
    </w:p>
    <w:p w14:paraId="5FB2D24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14:paraId="322F5F02">
      <w:pPr>
        <w:wordWrap w:val="0"/>
        <w:spacing w:line="360" w:lineRule="auto"/>
        <w:ind w:firstLine="482" w:firstLineChars="200"/>
        <w:rPr>
          <w:rFonts w:ascii="宋体" w:hAnsi="宋体" w:cs="宋体"/>
          <w:b/>
          <w:color w:val="auto"/>
          <w:sz w:val="24"/>
          <w:highlight w:val="none"/>
        </w:rPr>
      </w:pPr>
      <w:bookmarkStart w:id="115" w:name="_Toc27126"/>
      <w:bookmarkStart w:id="116" w:name="_Toc21295"/>
      <w:bookmarkStart w:id="117" w:name="_Toc24300"/>
      <w:r>
        <w:rPr>
          <w:rFonts w:hint="eastAsia" w:ascii="宋体" w:hAnsi="宋体" w:cs="宋体"/>
          <w:b/>
          <w:color w:val="auto"/>
          <w:sz w:val="24"/>
          <w:highlight w:val="none"/>
        </w:rPr>
        <w:t>1.2 标的物</w:t>
      </w:r>
      <w:bookmarkEnd w:id="115"/>
      <w:bookmarkEnd w:id="116"/>
      <w:bookmarkEnd w:id="117"/>
    </w:p>
    <w:p w14:paraId="586F0AB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标的物1信息</w:t>
      </w:r>
    </w:p>
    <w:p w14:paraId="5CDBDC8A">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1.2.1.1名称：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1A589ED">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1.2.1.2数量：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2575F6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1.2.1.3质量：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05F51E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22CDB628">
      <w:pPr>
        <w:wordWrap w:val="0"/>
        <w:spacing w:line="360" w:lineRule="auto"/>
        <w:ind w:firstLine="482" w:firstLineChars="200"/>
        <w:rPr>
          <w:rFonts w:ascii="宋体" w:hAnsi="宋体" w:cs="宋体"/>
          <w:b/>
          <w:color w:val="auto"/>
          <w:sz w:val="24"/>
          <w:highlight w:val="none"/>
        </w:rPr>
      </w:pPr>
      <w:bookmarkStart w:id="118" w:name="_Toc21551"/>
      <w:bookmarkStart w:id="119" w:name="_Toc23292"/>
      <w:bookmarkStart w:id="120" w:name="_Toc21631"/>
      <w:r>
        <w:rPr>
          <w:rFonts w:hint="eastAsia" w:ascii="宋体" w:hAnsi="宋体" w:cs="宋体"/>
          <w:b/>
          <w:color w:val="auto"/>
          <w:sz w:val="24"/>
          <w:highlight w:val="none"/>
        </w:rPr>
        <w:t>1.3 价款</w:t>
      </w:r>
      <w:bookmarkEnd w:id="118"/>
      <w:bookmarkEnd w:id="119"/>
      <w:bookmarkEnd w:id="120"/>
    </w:p>
    <w:p w14:paraId="1D3582B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本合同总价为：人民币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元人民币，含税）。</w:t>
      </w:r>
    </w:p>
    <w:p w14:paraId="6708FAF0">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2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7BC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64B535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25DFDAE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0A9B273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分项价格</w:t>
            </w:r>
          </w:p>
        </w:tc>
      </w:tr>
      <w:tr w14:paraId="6E2A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ED5994B">
            <w:pPr>
              <w:wordWrap w:val="0"/>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61B1CB9">
            <w:pPr>
              <w:wordWrap w:val="0"/>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56D3E7EF">
            <w:pPr>
              <w:wordWrap w:val="0"/>
              <w:spacing w:line="360" w:lineRule="auto"/>
              <w:ind w:firstLine="480" w:firstLineChars="200"/>
              <w:rPr>
                <w:rFonts w:ascii="宋体" w:hAnsi="宋体" w:cs="宋体"/>
                <w:color w:val="auto"/>
                <w:sz w:val="24"/>
                <w:highlight w:val="none"/>
              </w:rPr>
            </w:pPr>
          </w:p>
        </w:tc>
      </w:tr>
      <w:tr w14:paraId="606AC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F0107E7">
            <w:pPr>
              <w:wordWrap w:val="0"/>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64ECCA4">
            <w:pPr>
              <w:wordWrap w:val="0"/>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4F7B0B59">
            <w:pPr>
              <w:wordWrap w:val="0"/>
              <w:spacing w:line="360" w:lineRule="auto"/>
              <w:ind w:firstLine="480" w:firstLineChars="200"/>
              <w:rPr>
                <w:rFonts w:ascii="宋体" w:hAnsi="宋体" w:cs="宋体"/>
                <w:color w:val="auto"/>
                <w:sz w:val="24"/>
                <w:highlight w:val="none"/>
              </w:rPr>
            </w:pPr>
          </w:p>
        </w:tc>
      </w:tr>
      <w:tr w14:paraId="48EA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67AB0CCA">
            <w:pPr>
              <w:wordWrap w:val="0"/>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176AD6B">
            <w:pPr>
              <w:wordWrap w:val="0"/>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7A34C9CA">
            <w:pPr>
              <w:wordWrap w:val="0"/>
              <w:spacing w:line="360" w:lineRule="auto"/>
              <w:ind w:firstLine="480" w:firstLineChars="200"/>
              <w:rPr>
                <w:rFonts w:ascii="宋体" w:hAnsi="宋体" w:cs="宋体"/>
                <w:color w:val="auto"/>
                <w:sz w:val="24"/>
                <w:highlight w:val="none"/>
              </w:rPr>
            </w:pPr>
          </w:p>
        </w:tc>
      </w:tr>
      <w:tr w14:paraId="2DB8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40EA74F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5F4C658E">
            <w:pPr>
              <w:wordWrap w:val="0"/>
              <w:spacing w:line="360" w:lineRule="auto"/>
              <w:ind w:firstLine="480" w:firstLineChars="200"/>
              <w:rPr>
                <w:rFonts w:ascii="宋体" w:hAnsi="宋体" w:cs="宋体"/>
                <w:color w:val="auto"/>
                <w:sz w:val="24"/>
                <w:highlight w:val="none"/>
              </w:rPr>
            </w:pPr>
          </w:p>
        </w:tc>
      </w:tr>
    </w:tbl>
    <w:p w14:paraId="21E71407">
      <w:pPr>
        <w:wordWrap w:val="0"/>
        <w:spacing w:line="360" w:lineRule="auto"/>
        <w:ind w:firstLine="482" w:firstLineChars="200"/>
        <w:rPr>
          <w:rFonts w:ascii="宋体" w:hAnsi="宋体" w:cs="宋体"/>
          <w:b/>
          <w:color w:val="auto"/>
          <w:sz w:val="24"/>
          <w:highlight w:val="none"/>
        </w:rPr>
      </w:pPr>
      <w:bookmarkStart w:id="121" w:name="_Toc22618"/>
      <w:bookmarkStart w:id="122" w:name="_Toc10340"/>
      <w:bookmarkStart w:id="123" w:name="_Toc1814"/>
      <w:r>
        <w:rPr>
          <w:rFonts w:hint="eastAsia" w:ascii="宋体" w:hAnsi="宋体" w:cs="宋体"/>
          <w:b/>
          <w:color w:val="auto"/>
          <w:sz w:val="24"/>
          <w:highlight w:val="none"/>
        </w:rPr>
        <w:t>1.4 付款方式和发票开具方式</w:t>
      </w:r>
      <w:bookmarkEnd w:id="121"/>
      <w:bookmarkEnd w:id="122"/>
      <w:bookmarkEnd w:id="123"/>
    </w:p>
    <w:p w14:paraId="039B35D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 付款方式：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AAE7B9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455FE88">
      <w:pPr>
        <w:wordWrap w:val="0"/>
        <w:spacing w:line="360" w:lineRule="auto"/>
        <w:ind w:firstLine="482" w:firstLineChars="200"/>
        <w:rPr>
          <w:rFonts w:ascii="宋体" w:hAnsi="宋体" w:cs="宋体"/>
          <w:b/>
          <w:color w:val="auto"/>
          <w:sz w:val="24"/>
          <w:highlight w:val="none"/>
        </w:rPr>
      </w:pPr>
      <w:bookmarkStart w:id="124" w:name="_Toc19304"/>
      <w:bookmarkStart w:id="125" w:name="_Toc2846"/>
      <w:bookmarkStart w:id="126" w:name="_Toc32071"/>
      <w:r>
        <w:rPr>
          <w:rFonts w:hint="eastAsia" w:ascii="宋体" w:hAnsi="宋体" w:cs="宋体"/>
          <w:b/>
          <w:color w:val="auto"/>
          <w:sz w:val="24"/>
          <w:highlight w:val="none"/>
        </w:rPr>
        <w:t>1.5 标的物交付期限、地点、方式</w:t>
      </w:r>
      <w:bookmarkEnd w:id="124"/>
      <w:bookmarkEnd w:id="125"/>
      <w:bookmarkEnd w:id="126"/>
      <w:r>
        <w:rPr>
          <w:rFonts w:hint="eastAsia" w:ascii="宋体" w:hAnsi="宋体" w:cs="宋体"/>
          <w:b/>
          <w:color w:val="auto"/>
          <w:sz w:val="24"/>
          <w:highlight w:val="none"/>
        </w:rPr>
        <w:t>和服务期限</w:t>
      </w:r>
    </w:p>
    <w:p w14:paraId="3863FF5B">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1.5.1 服务时间：</w:t>
      </w:r>
      <w:r>
        <w:rPr>
          <w:rFonts w:hint="eastAsia" w:ascii="宋体" w:hAnsi="宋体" w:cs="宋体"/>
          <w:color w:val="auto"/>
          <w:sz w:val="24"/>
          <w:highlight w:val="none"/>
          <w:u w:val="single"/>
        </w:rPr>
        <w:t xml:space="preserve">                                       ；</w:t>
      </w:r>
    </w:p>
    <w:p w14:paraId="748DB42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 服务地点：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B75838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 交付方式：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100996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 服务及质保期限：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B55B389">
      <w:pPr>
        <w:wordWrap w:val="0"/>
        <w:spacing w:line="360" w:lineRule="auto"/>
        <w:ind w:firstLine="482" w:firstLineChars="200"/>
        <w:rPr>
          <w:rFonts w:ascii="宋体" w:hAnsi="宋体" w:cs="宋体"/>
          <w:b/>
          <w:color w:val="auto"/>
          <w:sz w:val="24"/>
          <w:highlight w:val="none"/>
        </w:rPr>
      </w:pPr>
      <w:bookmarkStart w:id="127" w:name="_Toc21423"/>
      <w:bookmarkStart w:id="128" w:name="_Toc27250"/>
      <w:bookmarkStart w:id="129" w:name="_Toc19554"/>
      <w:r>
        <w:rPr>
          <w:rFonts w:hint="eastAsia" w:ascii="宋体" w:hAnsi="宋体" w:cs="宋体"/>
          <w:b/>
          <w:color w:val="auto"/>
          <w:sz w:val="24"/>
          <w:highlight w:val="none"/>
        </w:rPr>
        <w:t>1.6 违约责任</w:t>
      </w:r>
      <w:bookmarkEnd w:id="127"/>
      <w:bookmarkEnd w:id="128"/>
      <w:bookmarkEnd w:id="129"/>
    </w:p>
    <w:p w14:paraId="35EF7FE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万分之</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rPr>
        <w:t>%（根据项目实际填写，一般为20%）；迟延超过【</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】（根据项目实际填写）日的，甲方有权在要求乙方支付违约金的同时，书面通知乙方解除本合同，乙方应退回全部已收取的合同价款并按合同总金额的</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%向甲方支付违约金；</w:t>
      </w:r>
    </w:p>
    <w:p w14:paraId="4B5650D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万分之</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计算，最高限额为欠付金额的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14:paraId="17FE0CF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BCBB11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1.6.4乙方在质保期内未按承诺提供售后等服务的，每发生一次向甲方支付违约金额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元。（根据项目实际填写）</w:t>
      </w:r>
    </w:p>
    <w:p w14:paraId="54F6BF3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1F2CE2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385EA5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53A6F1FC">
      <w:pPr>
        <w:wordWrap w:val="0"/>
        <w:spacing w:line="360" w:lineRule="auto"/>
        <w:ind w:firstLine="482" w:firstLineChars="200"/>
        <w:rPr>
          <w:rFonts w:ascii="宋体" w:hAnsi="宋体" w:cs="宋体"/>
          <w:b/>
          <w:color w:val="auto"/>
          <w:sz w:val="24"/>
          <w:highlight w:val="none"/>
        </w:rPr>
      </w:pPr>
      <w:bookmarkStart w:id="130" w:name="_Toc28375"/>
      <w:bookmarkStart w:id="131" w:name="_Toc15583"/>
      <w:bookmarkStart w:id="132" w:name="_Toc16021"/>
      <w:r>
        <w:rPr>
          <w:rFonts w:hint="eastAsia" w:ascii="宋体" w:hAnsi="宋体" w:cs="宋体"/>
          <w:b/>
          <w:color w:val="auto"/>
          <w:sz w:val="24"/>
          <w:highlight w:val="none"/>
        </w:rPr>
        <w:t>1.7 合同争议的解决</w:t>
      </w:r>
      <w:bookmarkEnd w:id="130"/>
      <w:bookmarkEnd w:id="131"/>
      <w:bookmarkEnd w:id="132"/>
    </w:p>
    <w:p w14:paraId="2E095D9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14:paraId="4E94E57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南宁市</w:t>
      </w:r>
      <w:r>
        <w:rPr>
          <w:rFonts w:hint="eastAsia" w:ascii="宋体" w:hAnsi="宋体" w:cs="宋体"/>
          <w:color w:val="auto"/>
          <w:sz w:val="24"/>
          <w:highlight w:val="none"/>
        </w:rPr>
        <w:t>仲裁委员会依申请仲裁时其现行有效的仲裁规则裁决；</w:t>
      </w:r>
    </w:p>
    <w:p w14:paraId="6426C25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甲方所在地    有管辖权的</w:t>
      </w:r>
      <w:r>
        <w:rPr>
          <w:rFonts w:hint="eastAsia" w:ascii="宋体" w:hAnsi="宋体" w:cs="宋体"/>
          <w:color w:val="auto"/>
          <w:sz w:val="24"/>
          <w:highlight w:val="none"/>
        </w:rPr>
        <w:t>人民法院起诉。</w:t>
      </w:r>
    </w:p>
    <w:p w14:paraId="7649F6EC">
      <w:pPr>
        <w:wordWrap w:val="0"/>
        <w:spacing w:line="360" w:lineRule="auto"/>
        <w:ind w:firstLine="482" w:firstLineChars="200"/>
        <w:rPr>
          <w:rFonts w:ascii="宋体" w:hAnsi="宋体" w:cs="宋体"/>
          <w:b/>
          <w:color w:val="auto"/>
          <w:sz w:val="24"/>
          <w:highlight w:val="none"/>
        </w:rPr>
      </w:pPr>
      <w:bookmarkStart w:id="133" w:name="_Toc15322"/>
      <w:bookmarkStart w:id="134" w:name="_Toc11173"/>
      <w:bookmarkStart w:id="135" w:name="_Toc7245"/>
      <w:r>
        <w:rPr>
          <w:rFonts w:hint="eastAsia" w:ascii="宋体" w:hAnsi="宋体" w:cs="宋体"/>
          <w:b/>
          <w:color w:val="auto"/>
          <w:sz w:val="24"/>
          <w:highlight w:val="none"/>
        </w:rPr>
        <w:t>1.8 合同生效</w:t>
      </w:r>
      <w:bookmarkEnd w:id="133"/>
      <w:bookmarkEnd w:id="134"/>
      <w:bookmarkEnd w:id="135"/>
    </w:p>
    <w:p w14:paraId="7C7EB15D">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本合同自双方当事人加盖有效电子公章时生效。</w:t>
      </w:r>
    </w:p>
    <w:p w14:paraId="1A7DB813">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甲方：                                  乙方：</w:t>
      </w:r>
    </w:p>
    <w:p w14:paraId="599CBD8F">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564F4499">
      <w:pPr>
        <w:wordWrap w:val="0"/>
        <w:spacing w:line="360" w:lineRule="auto"/>
        <w:ind w:firstLine="200"/>
        <w:rPr>
          <w:rFonts w:ascii="宋体" w:hAnsi="宋体" w:cs="宋体"/>
          <w:color w:val="auto"/>
          <w:sz w:val="24"/>
          <w:highlight w:val="none"/>
          <w:lang w:val="zh-CN"/>
        </w:rPr>
      </w:pPr>
    </w:p>
    <w:p w14:paraId="19F05746">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14:paraId="755FB3AE">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21ED9C19">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28A88102">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596843AD">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5EAB7799">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4F44F486">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257E7E41">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209E004C">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0E7A5E30">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468854DF">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0B7F2BA2">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12F02BA3">
      <w:pPr>
        <w:wordWrap w:val="0"/>
        <w:spacing w:line="360" w:lineRule="auto"/>
        <w:ind w:firstLine="200"/>
        <w:jc w:val="center"/>
        <w:rPr>
          <w:rFonts w:ascii="宋体" w:hAnsi="宋体" w:cs="宋体"/>
          <w:b/>
          <w:color w:val="auto"/>
          <w:sz w:val="28"/>
          <w:szCs w:val="28"/>
          <w:highlight w:val="none"/>
        </w:rPr>
      </w:pPr>
      <w:r>
        <w:rPr>
          <w:rFonts w:hint="eastAsia" w:ascii="宋体" w:hAnsi="宋体" w:cs="宋体"/>
          <w:b/>
          <w:color w:val="auto"/>
          <w:highlight w:val="none"/>
        </w:rPr>
        <w:br w:type="page"/>
      </w:r>
      <w:bookmarkStart w:id="136" w:name="_Toc331685783"/>
      <w:r>
        <w:rPr>
          <w:rFonts w:hint="eastAsia" w:ascii="宋体" w:hAnsi="宋体" w:cs="宋体"/>
          <w:b/>
          <w:color w:val="auto"/>
          <w:sz w:val="28"/>
          <w:szCs w:val="28"/>
          <w:highlight w:val="none"/>
        </w:rPr>
        <w:t>第二部分 合同一般条款</w:t>
      </w:r>
      <w:bookmarkEnd w:id="136"/>
    </w:p>
    <w:p w14:paraId="49734313">
      <w:pPr>
        <w:wordWrap w:val="0"/>
        <w:spacing w:line="360" w:lineRule="auto"/>
        <w:ind w:firstLine="482" w:firstLineChars="200"/>
        <w:rPr>
          <w:rFonts w:ascii="宋体" w:hAnsi="宋体" w:cs="宋体"/>
          <w:b/>
          <w:color w:val="auto"/>
          <w:sz w:val="24"/>
          <w:highlight w:val="none"/>
        </w:rPr>
      </w:pPr>
      <w:bookmarkStart w:id="137" w:name="_Ref467378463"/>
      <w:bookmarkStart w:id="138" w:name="_Toc279701240"/>
      <w:bookmarkStart w:id="139" w:name="_Ref467379094"/>
      <w:bookmarkStart w:id="140" w:name="_Ref467379225"/>
      <w:bookmarkStart w:id="141" w:name="_Ref467379205"/>
      <w:bookmarkStart w:id="142" w:name="_Ref467378499"/>
      <w:bookmarkStart w:id="143" w:name="_Ref467379101"/>
      <w:bookmarkStart w:id="144" w:name="_Toc16917"/>
      <w:bookmarkStart w:id="145" w:name="_Ref467378404"/>
      <w:bookmarkStart w:id="146" w:name="_Ref467379214"/>
      <w:bookmarkStart w:id="147" w:name="_Ref467379109"/>
      <w:bookmarkStart w:id="148" w:name="_Toc487900349"/>
      <w:bookmarkStart w:id="149" w:name="_Ref467379195"/>
      <w:bookmarkStart w:id="150" w:name="_Toc259093669"/>
      <w:bookmarkStart w:id="151" w:name="_Toc19614"/>
      <w:bookmarkStart w:id="152" w:name="_Toc28763"/>
      <w:r>
        <w:rPr>
          <w:rFonts w:hint="eastAsia" w:ascii="宋体" w:hAnsi="宋体" w:cs="宋体"/>
          <w:b/>
          <w:color w:val="auto"/>
          <w:sz w:val="24"/>
          <w:highlight w:val="none"/>
        </w:rPr>
        <w:t>2.1 定义</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1B63596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540FE4B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“合同”系指采购人和中标供应商签订的载明双方当事人所达成的协议，并包括所有的附件、附录和构成合同的其他文件。</w:t>
      </w:r>
    </w:p>
    <w:p w14:paraId="2399F3B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“合同价”系指根据合同约定，中标供应商在完全履行合同义务后，采购人应支付给中标供应商的价格。</w:t>
      </w:r>
    </w:p>
    <w:p w14:paraId="754B1BD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 “标的物”系指中标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4A046866">
      <w:pPr>
        <w:wordWrap w:val="0"/>
        <w:spacing w:line="360" w:lineRule="auto"/>
        <w:ind w:firstLine="480" w:firstLineChars="200"/>
        <w:rPr>
          <w:rFonts w:ascii="宋体" w:hAnsi="宋体" w:cs="宋体"/>
          <w:color w:val="auto"/>
          <w:sz w:val="24"/>
          <w:highlight w:val="none"/>
        </w:rPr>
      </w:pPr>
      <w:bookmarkStart w:id="153" w:name="_Ref467378840"/>
      <w:r>
        <w:rPr>
          <w:rFonts w:hint="eastAsia" w:ascii="宋体" w:hAnsi="宋体" w:cs="宋体"/>
          <w:color w:val="auto"/>
          <w:sz w:val="24"/>
          <w:highlight w:val="none"/>
        </w:rPr>
        <w:t>2.1.4 “甲方”系指与中标供应商签署合同的采购人</w:t>
      </w:r>
      <w:bookmarkEnd w:id="153"/>
      <w:r>
        <w:rPr>
          <w:rFonts w:hint="eastAsia" w:ascii="宋体" w:hAnsi="宋体" w:cs="宋体"/>
          <w:color w:val="auto"/>
          <w:sz w:val="24"/>
          <w:highlight w:val="none"/>
        </w:rPr>
        <w:t>；采购人委托采购机构代表其与乙方签订合同的，采购人的授权委托书作为合同附件。</w:t>
      </w:r>
    </w:p>
    <w:p w14:paraId="77A3BFEE">
      <w:pPr>
        <w:wordWrap w:val="0"/>
        <w:spacing w:line="360" w:lineRule="auto"/>
        <w:ind w:firstLine="480" w:firstLineChars="200"/>
        <w:rPr>
          <w:rFonts w:ascii="宋体" w:hAnsi="宋体" w:cs="宋体"/>
          <w:color w:val="auto"/>
          <w:sz w:val="24"/>
          <w:highlight w:val="none"/>
        </w:rPr>
      </w:pPr>
      <w:bookmarkStart w:id="154" w:name="_Ref467379400"/>
      <w:r>
        <w:rPr>
          <w:rFonts w:hint="eastAsia" w:ascii="宋体" w:hAnsi="宋体" w:cs="宋体"/>
          <w:color w:val="auto"/>
          <w:sz w:val="24"/>
          <w:highlight w:val="none"/>
        </w:rPr>
        <w:t>2.1.5 “乙方”系指根据合同约定交付标的物的</w:t>
      </w:r>
      <w:bookmarkEnd w:id="154"/>
      <w:r>
        <w:rPr>
          <w:rFonts w:hint="eastAsia" w:ascii="宋体" w:hAnsi="宋体" w:cs="宋体"/>
          <w:color w:val="auto"/>
          <w:sz w:val="24"/>
          <w:highlight w:val="none"/>
        </w:rPr>
        <w:t>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47570563">
      <w:pPr>
        <w:wordWrap w:val="0"/>
        <w:spacing w:line="360" w:lineRule="auto"/>
        <w:ind w:firstLine="480" w:firstLineChars="200"/>
        <w:rPr>
          <w:rFonts w:ascii="宋体" w:hAnsi="宋体" w:cs="宋体"/>
          <w:color w:val="auto"/>
          <w:sz w:val="24"/>
          <w:highlight w:val="none"/>
        </w:rPr>
      </w:pPr>
      <w:bookmarkStart w:id="155" w:name="_Ref467379436"/>
      <w:r>
        <w:rPr>
          <w:rFonts w:hint="eastAsia" w:ascii="宋体" w:hAnsi="宋体" w:cs="宋体"/>
          <w:color w:val="auto"/>
          <w:sz w:val="24"/>
          <w:highlight w:val="none"/>
        </w:rPr>
        <w:t>2.1.6 “现场”系指合同约定标的物将要运至或者实施或者安装的地点。</w:t>
      </w:r>
      <w:bookmarkEnd w:id="155"/>
    </w:p>
    <w:p w14:paraId="55A3EB3E">
      <w:pPr>
        <w:wordWrap w:val="0"/>
        <w:spacing w:line="360" w:lineRule="auto"/>
        <w:ind w:firstLine="482" w:firstLineChars="200"/>
        <w:rPr>
          <w:rFonts w:ascii="宋体" w:hAnsi="宋体" w:cs="宋体"/>
          <w:b/>
          <w:color w:val="auto"/>
          <w:sz w:val="24"/>
          <w:highlight w:val="none"/>
        </w:rPr>
      </w:pPr>
      <w:bookmarkStart w:id="156" w:name="_Toc279701241"/>
      <w:bookmarkStart w:id="157" w:name="_Toc259093670"/>
      <w:bookmarkStart w:id="158" w:name="_Toc13336"/>
      <w:bookmarkStart w:id="159" w:name="_Toc27635"/>
      <w:bookmarkStart w:id="160" w:name="_Toc487900350"/>
      <w:bookmarkStart w:id="161" w:name="_Toc32504"/>
      <w:r>
        <w:rPr>
          <w:rFonts w:hint="eastAsia" w:ascii="宋体" w:hAnsi="宋体" w:cs="宋体"/>
          <w:b/>
          <w:color w:val="auto"/>
          <w:sz w:val="24"/>
          <w:highlight w:val="none"/>
        </w:rPr>
        <w:t>2.2 技术规范</w:t>
      </w:r>
      <w:bookmarkEnd w:id="156"/>
      <w:bookmarkEnd w:id="157"/>
      <w:bookmarkEnd w:id="158"/>
      <w:bookmarkEnd w:id="159"/>
      <w:bookmarkEnd w:id="160"/>
      <w:bookmarkEnd w:id="161"/>
    </w:p>
    <w:p w14:paraId="598FE75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28C59F16">
      <w:pPr>
        <w:wordWrap w:val="0"/>
        <w:spacing w:line="360" w:lineRule="auto"/>
        <w:ind w:firstLine="482" w:firstLineChars="200"/>
        <w:rPr>
          <w:rFonts w:ascii="宋体" w:hAnsi="宋体" w:cs="宋体"/>
          <w:b/>
          <w:color w:val="auto"/>
          <w:sz w:val="24"/>
          <w:highlight w:val="none"/>
        </w:rPr>
      </w:pPr>
      <w:bookmarkStart w:id="162" w:name="_Toc487900351"/>
      <w:bookmarkStart w:id="163" w:name="_Toc31634"/>
      <w:bookmarkStart w:id="164" w:name="_Toc27853"/>
      <w:bookmarkStart w:id="165" w:name="_Toc259093671"/>
      <w:bookmarkStart w:id="166" w:name="_Toc9829"/>
      <w:bookmarkStart w:id="167" w:name="_Toc279701242"/>
      <w:r>
        <w:rPr>
          <w:rFonts w:hint="eastAsia" w:ascii="宋体" w:hAnsi="宋体" w:cs="宋体"/>
          <w:b/>
          <w:color w:val="auto"/>
          <w:sz w:val="24"/>
          <w:highlight w:val="none"/>
        </w:rPr>
        <w:t>2.3 知识产权</w:t>
      </w:r>
      <w:bookmarkEnd w:id="162"/>
      <w:bookmarkEnd w:id="163"/>
      <w:bookmarkEnd w:id="164"/>
      <w:bookmarkEnd w:id="165"/>
      <w:bookmarkEnd w:id="166"/>
      <w:bookmarkEnd w:id="167"/>
    </w:p>
    <w:p w14:paraId="4EEB884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BDD751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2.3.2具有知识产权的计算机软件等标的物的知识产权归属，详见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594D8A64">
      <w:pPr>
        <w:wordWrap w:val="0"/>
        <w:spacing w:line="360" w:lineRule="auto"/>
        <w:ind w:firstLine="482" w:firstLineChars="200"/>
        <w:rPr>
          <w:rFonts w:ascii="宋体" w:hAnsi="宋体" w:cs="宋体"/>
          <w:b/>
          <w:color w:val="auto"/>
          <w:sz w:val="24"/>
          <w:highlight w:val="none"/>
        </w:rPr>
      </w:pPr>
      <w:bookmarkStart w:id="168" w:name="_Toc4194"/>
      <w:bookmarkStart w:id="169" w:name="_Toc29149"/>
      <w:bookmarkStart w:id="170" w:name="_Toc11932"/>
      <w:r>
        <w:rPr>
          <w:rFonts w:hint="eastAsia" w:ascii="宋体" w:hAnsi="宋体" w:cs="宋体"/>
          <w:b/>
          <w:color w:val="auto"/>
          <w:sz w:val="24"/>
          <w:highlight w:val="none"/>
        </w:rPr>
        <w:t>2.4 包装和装运</w:t>
      </w:r>
      <w:bookmarkEnd w:id="168"/>
      <w:bookmarkEnd w:id="169"/>
      <w:bookmarkEnd w:id="170"/>
    </w:p>
    <w:p w14:paraId="32FA066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478C844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 装运标的物的要求和通知，详见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78F0471A">
      <w:pPr>
        <w:wordWrap w:val="0"/>
        <w:spacing w:line="360" w:lineRule="auto"/>
        <w:ind w:firstLine="482" w:firstLineChars="200"/>
        <w:rPr>
          <w:rFonts w:ascii="宋体" w:hAnsi="宋体" w:cs="宋体"/>
          <w:b/>
          <w:color w:val="auto"/>
          <w:sz w:val="24"/>
          <w:highlight w:val="none"/>
        </w:rPr>
      </w:pPr>
      <w:bookmarkStart w:id="171" w:name="_Ref467378541"/>
      <w:bookmarkStart w:id="172" w:name="_Ref467378591"/>
      <w:bookmarkStart w:id="173" w:name="_Toc487900354"/>
      <w:bookmarkStart w:id="174" w:name="_Toc279701245"/>
      <w:bookmarkStart w:id="175" w:name="_Toc259093674"/>
      <w:bookmarkStart w:id="176" w:name="_Ref467379536"/>
      <w:bookmarkStart w:id="177" w:name="_Ref467379542"/>
      <w:bookmarkStart w:id="178" w:name="_Ref467379527"/>
      <w:bookmarkStart w:id="179" w:name="_Toc26182"/>
      <w:bookmarkStart w:id="180" w:name="_Toc30272"/>
      <w:bookmarkStart w:id="181" w:name="_Toc19074"/>
      <w:r>
        <w:rPr>
          <w:rFonts w:hint="eastAsia" w:ascii="宋体" w:hAnsi="宋体" w:cs="宋体"/>
          <w:b/>
          <w:color w:val="auto"/>
          <w:sz w:val="24"/>
          <w:highlight w:val="none"/>
        </w:rPr>
        <w:t>2.</w:t>
      </w:r>
      <w:bookmarkEnd w:id="171"/>
      <w:bookmarkEnd w:id="172"/>
      <w:bookmarkEnd w:id="173"/>
      <w:bookmarkEnd w:id="174"/>
      <w:bookmarkEnd w:id="175"/>
      <w:bookmarkEnd w:id="176"/>
      <w:bookmarkEnd w:id="177"/>
      <w:bookmarkEnd w:id="178"/>
      <w:r>
        <w:rPr>
          <w:rFonts w:hint="eastAsia" w:ascii="宋体" w:hAnsi="宋体" w:cs="宋体"/>
          <w:b/>
          <w:color w:val="auto"/>
          <w:sz w:val="24"/>
          <w:highlight w:val="none"/>
        </w:rPr>
        <w:t>5 履约检查和问题反馈</w:t>
      </w:r>
      <w:bookmarkEnd w:id="179"/>
      <w:bookmarkEnd w:id="180"/>
      <w:bookmarkEnd w:id="181"/>
    </w:p>
    <w:p w14:paraId="092F89F2">
      <w:pPr>
        <w:wordWrap w:val="0"/>
        <w:spacing w:line="360" w:lineRule="auto"/>
        <w:ind w:firstLine="480" w:firstLineChars="200"/>
        <w:rPr>
          <w:rFonts w:ascii="宋体" w:hAnsi="宋体" w:cs="宋体"/>
          <w:color w:val="auto"/>
          <w:sz w:val="24"/>
          <w:highlight w:val="none"/>
        </w:rPr>
      </w:pPr>
      <w:bookmarkStart w:id="182" w:name="_Ref467379657"/>
      <w:r>
        <w:rPr>
          <w:rFonts w:hint="eastAsia" w:ascii="宋体" w:hAnsi="宋体" w:cs="宋体"/>
          <w:color w:val="auto"/>
          <w:sz w:val="24"/>
          <w:highlight w:val="none"/>
        </w:rPr>
        <w:t>2.5.1</w:t>
      </w:r>
      <w:bookmarkEnd w:id="182"/>
      <w:bookmarkStart w:id="183" w:name="_Toc186431854"/>
      <w:bookmarkStart w:id="184" w:name="_Toc487900357"/>
      <w:bookmarkStart w:id="185" w:name="_Ref467379793"/>
      <w:bookmarkStart w:id="186" w:name="_Ref467379807"/>
      <w:bookmarkStart w:id="187" w:name="_Toc279701247"/>
      <w:bookmarkStart w:id="188" w:name="_Toc259093676"/>
      <w:r>
        <w:rPr>
          <w:rFonts w:hint="eastAsia" w:ascii="宋体" w:hAnsi="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3E48BB9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183"/>
      <w:bookmarkStart w:id="189" w:name="_Toc186431855"/>
      <w:r>
        <w:rPr>
          <w:rFonts w:hint="eastAsia" w:ascii="宋体" w:hAnsi="宋体" w:cs="宋体"/>
          <w:color w:val="auto"/>
          <w:sz w:val="24"/>
          <w:highlight w:val="none"/>
        </w:rPr>
        <w:t>。</w:t>
      </w:r>
    </w:p>
    <w:bookmarkEnd w:id="189"/>
    <w:p w14:paraId="76A808B5">
      <w:pPr>
        <w:wordWrap w:val="0"/>
        <w:spacing w:line="360" w:lineRule="auto"/>
        <w:ind w:firstLine="482" w:firstLineChars="200"/>
        <w:rPr>
          <w:rFonts w:ascii="宋体" w:hAnsi="宋体" w:cs="宋体"/>
          <w:b/>
          <w:color w:val="auto"/>
          <w:sz w:val="24"/>
          <w:highlight w:val="none"/>
        </w:rPr>
      </w:pPr>
      <w:bookmarkStart w:id="190" w:name="_Toc7836"/>
      <w:bookmarkStart w:id="191" w:name="_Toc19219"/>
      <w:bookmarkStart w:id="192" w:name="_Toc28451"/>
      <w:r>
        <w:rPr>
          <w:rFonts w:hint="eastAsia" w:ascii="宋体" w:hAnsi="宋体" w:cs="宋体"/>
          <w:b/>
          <w:color w:val="auto"/>
          <w:sz w:val="24"/>
          <w:highlight w:val="none"/>
        </w:rPr>
        <w:t>2.6 结算方式和付款条件</w:t>
      </w:r>
      <w:bookmarkEnd w:id="184"/>
      <w:bookmarkEnd w:id="185"/>
      <w:bookmarkEnd w:id="186"/>
      <w:bookmarkEnd w:id="187"/>
      <w:bookmarkEnd w:id="188"/>
      <w:bookmarkEnd w:id="190"/>
      <w:bookmarkEnd w:id="191"/>
      <w:bookmarkEnd w:id="192"/>
    </w:p>
    <w:p w14:paraId="727035B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728E4CB">
      <w:pPr>
        <w:wordWrap w:val="0"/>
        <w:spacing w:line="360" w:lineRule="auto"/>
        <w:ind w:firstLine="482" w:firstLineChars="200"/>
        <w:rPr>
          <w:rFonts w:ascii="宋体" w:hAnsi="宋体" w:cs="宋体"/>
          <w:b/>
          <w:color w:val="auto"/>
          <w:sz w:val="24"/>
          <w:highlight w:val="none"/>
        </w:rPr>
      </w:pPr>
      <w:bookmarkStart w:id="193" w:name="_Ref467379863"/>
      <w:bookmarkStart w:id="194" w:name="_Toc487900358"/>
      <w:bookmarkStart w:id="195" w:name="_Ref467379923"/>
      <w:bookmarkStart w:id="196" w:name="_Ref467379852"/>
      <w:bookmarkStart w:id="197" w:name="_Toc259093677"/>
      <w:bookmarkStart w:id="198" w:name="_Toc279701248"/>
      <w:bookmarkStart w:id="199" w:name="_Toc774"/>
      <w:bookmarkStart w:id="200" w:name="_Toc3225"/>
      <w:bookmarkStart w:id="201" w:name="_Toc16110"/>
      <w:r>
        <w:rPr>
          <w:rFonts w:hint="eastAsia" w:ascii="宋体" w:hAnsi="宋体" w:cs="宋体"/>
          <w:b/>
          <w:color w:val="auto"/>
          <w:sz w:val="24"/>
          <w:highlight w:val="none"/>
        </w:rPr>
        <w:t>2.7 技术资料</w:t>
      </w:r>
      <w:bookmarkEnd w:id="193"/>
      <w:bookmarkEnd w:id="194"/>
      <w:bookmarkEnd w:id="195"/>
      <w:bookmarkEnd w:id="196"/>
      <w:bookmarkEnd w:id="197"/>
      <w:bookmarkEnd w:id="198"/>
      <w:r>
        <w:rPr>
          <w:rFonts w:hint="eastAsia" w:ascii="宋体" w:hAnsi="宋体" w:cs="宋体"/>
          <w:b/>
          <w:color w:val="auto"/>
          <w:sz w:val="24"/>
          <w:highlight w:val="none"/>
        </w:rPr>
        <w:t>和保密义务</w:t>
      </w:r>
      <w:bookmarkEnd w:id="199"/>
      <w:bookmarkEnd w:id="200"/>
      <w:bookmarkEnd w:id="201"/>
    </w:p>
    <w:p w14:paraId="58C33B1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14:paraId="3EFC1F7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14:paraId="0506CB0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45595DA0">
      <w:pPr>
        <w:wordWrap w:val="0"/>
        <w:spacing w:line="360" w:lineRule="auto"/>
        <w:ind w:firstLine="482" w:firstLineChars="200"/>
        <w:rPr>
          <w:rFonts w:ascii="宋体" w:hAnsi="宋体" w:cs="宋体"/>
          <w:b/>
          <w:color w:val="auto"/>
          <w:sz w:val="24"/>
          <w:highlight w:val="none"/>
        </w:rPr>
      </w:pPr>
      <w:bookmarkStart w:id="202" w:name="_Toc7860"/>
      <w:r>
        <w:rPr>
          <w:rFonts w:hint="eastAsia" w:ascii="宋体" w:hAnsi="宋体" w:cs="宋体"/>
          <w:b/>
          <w:color w:val="auto"/>
          <w:sz w:val="24"/>
          <w:highlight w:val="none"/>
        </w:rPr>
        <w:t>2.8 质量保证</w:t>
      </w:r>
      <w:bookmarkEnd w:id="202"/>
    </w:p>
    <w:p w14:paraId="59253F6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2.8.1 乙方应建立和完善履行合同的内部质量保证体系，并提供相关内部规章制度给甲方，以便甲方进行监督检查；</w:t>
      </w:r>
    </w:p>
    <w:p w14:paraId="3A38071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2.8.2 乙方应保证履行合同的人员数量和素质、软件和硬件设备的配置、场地、环境和设施等满足全面履行合同的要求，并应接受甲方的监督检查。</w:t>
      </w:r>
    </w:p>
    <w:p w14:paraId="328A64EF">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cs="宋体"/>
          <w:color w:val="auto"/>
          <w:kern w:val="0"/>
          <w:sz w:val="24"/>
          <w:highlight w:val="none"/>
        </w:rPr>
        <w:t>甲方有权放弃或终止合同，并没收履约保证金。</w:t>
      </w:r>
    </w:p>
    <w:p w14:paraId="569B827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（根据项目实际情况填写，一般为30%）。</w:t>
      </w:r>
    </w:p>
    <w:p w14:paraId="7AF1CEFD">
      <w:pPr>
        <w:wordWrap w:val="0"/>
        <w:spacing w:line="360" w:lineRule="auto"/>
        <w:ind w:firstLine="482" w:firstLineChars="200"/>
        <w:rPr>
          <w:rFonts w:ascii="宋体" w:hAnsi="宋体" w:cs="宋体"/>
          <w:b/>
          <w:color w:val="auto"/>
          <w:sz w:val="24"/>
          <w:highlight w:val="none"/>
        </w:rPr>
      </w:pPr>
      <w:bookmarkStart w:id="203" w:name="_Toc17244"/>
      <w:bookmarkStart w:id="204" w:name="_Toc487900362"/>
      <w:bookmarkStart w:id="205" w:name="_Toc259093681"/>
      <w:bookmarkStart w:id="206" w:name="_Toc279701252"/>
      <w:r>
        <w:rPr>
          <w:rFonts w:hint="eastAsia" w:ascii="宋体" w:hAnsi="宋体" w:cs="宋体"/>
          <w:b/>
          <w:color w:val="auto"/>
          <w:sz w:val="24"/>
          <w:highlight w:val="none"/>
        </w:rPr>
        <w:t>2.9 标的物的风险负担</w:t>
      </w:r>
      <w:bookmarkEnd w:id="203"/>
    </w:p>
    <w:p w14:paraId="47756B79">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AC55BF1">
      <w:pPr>
        <w:wordWrap w:val="0"/>
        <w:spacing w:line="360" w:lineRule="auto"/>
        <w:ind w:firstLine="482" w:firstLineChars="200"/>
        <w:rPr>
          <w:rFonts w:ascii="宋体" w:hAnsi="宋体" w:cs="宋体"/>
          <w:b/>
          <w:color w:val="auto"/>
          <w:sz w:val="24"/>
          <w:highlight w:val="none"/>
        </w:rPr>
      </w:pPr>
      <w:bookmarkStart w:id="207" w:name="_Toc14055"/>
      <w:r>
        <w:rPr>
          <w:rFonts w:hint="eastAsia" w:ascii="宋体" w:hAnsi="宋体" w:cs="宋体"/>
          <w:b/>
          <w:color w:val="auto"/>
          <w:sz w:val="24"/>
          <w:highlight w:val="none"/>
        </w:rPr>
        <w:t>2.10 延迟交货</w:t>
      </w:r>
      <w:bookmarkEnd w:id="204"/>
      <w:bookmarkEnd w:id="205"/>
      <w:bookmarkEnd w:id="206"/>
      <w:bookmarkEnd w:id="207"/>
      <w:r>
        <w:rPr>
          <w:rFonts w:hint="eastAsia" w:ascii="宋体" w:hAnsi="宋体" w:cs="宋体"/>
          <w:b/>
          <w:color w:val="auto"/>
          <w:sz w:val="24"/>
          <w:highlight w:val="none"/>
        </w:rPr>
        <w:t>/交付</w:t>
      </w:r>
    </w:p>
    <w:p w14:paraId="2454962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2227AF0C">
      <w:pPr>
        <w:wordWrap w:val="0"/>
        <w:spacing w:line="360" w:lineRule="auto"/>
        <w:ind w:firstLine="482" w:firstLineChars="200"/>
        <w:rPr>
          <w:rFonts w:ascii="宋体" w:hAnsi="宋体" w:cs="宋体"/>
          <w:b/>
          <w:color w:val="auto"/>
          <w:sz w:val="24"/>
          <w:highlight w:val="none"/>
        </w:rPr>
      </w:pPr>
      <w:bookmarkStart w:id="208" w:name="_Toc7502"/>
      <w:bookmarkStart w:id="209" w:name="_Toc487900364"/>
      <w:bookmarkStart w:id="210" w:name="_Toc279701254"/>
      <w:bookmarkStart w:id="211" w:name="_Toc259093683"/>
      <w:bookmarkStart w:id="212" w:name="_Ref467378121"/>
      <w:r>
        <w:rPr>
          <w:rFonts w:hint="eastAsia" w:ascii="宋体" w:hAnsi="宋体" w:cs="宋体"/>
          <w:b/>
          <w:color w:val="auto"/>
          <w:sz w:val="24"/>
          <w:highlight w:val="none"/>
        </w:rPr>
        <w:t>2.11 合同变更</w:t>
      </w:r>
      <w:bookmarkEnd w:id="208"/>
    </w:p>
    <w:p w14:paraId="53B73C6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0A9B908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13" w:name="_Toc259093688"/>
      <w:bookmarkStart w:id="214" w:name="_Toc279701259"/>
      <w:bookmarkStart w:id="215" w:name="_Toc487900369"/>
    </w:p>
    <w:p w14:paraId="014D9B5B">
      <w:pPr>
        <w:wordWrap w:val="0"/>
        <w:spacing w:line="360" w:lineRule="auto"/>
        <w:ind w:firstLine="482" w:firstLineChars="200"/>
        <w:rPr>
          <w:rFonts w:ascii="宋体" w:hAnsi="宋体" w:cs="宋体"/>
          <w:b/>
          <w:color w:val="auto"/>
          <w:sz w:val="24"/>
          <w:highlight w:val="none"/>
        </w:rPr>
      </w:pPr>
      <w:bookmarkStart w:id="216" w:name="_Toc22955"/>
      <w:bookmarkStart w:id="217" w:name="_Toc15237"/>
      <w:bookmarkStart w:id="218" w:name="_Toc10366"/>
      <w:r>
        <w:rPr>
          <w:rFonts w:hint="eastAsia" w:ascii="宋体" w:hAnsi="宋体" w:cs="宋体"/>
          <w:b/>
          <w:color w:val="auto"/>
          <w:sz w:val="24"/>
          <w:highlight w:val="none"/>
        </w:rPr>
        <w:t>2.12 合同转让</w:t>
      </w:r>
      <w:bookmarkEnd w:id="213"/>
      <w:bookmarkEnd w:id="214"/>
      <w:bookmarkEnd w:id="215"/>
      <w:r>
        <w:rPr>
          <w:rFonts w:hint="eastAsia" w:ascii="宋体" w:hAnsi="宋体" w:cs="宋体"/>
          <w:b/>
          <w:color w:val="auto"/>
          <w:sz w:val="24"/>
          <w:highlight w:val="none"/>
        </w:rPr>
        <w:t>和分包</w:t>
      </w:r>
      <w:bookmarkEnd w:id="216"/>
      <w:bookmarkEnd w:id="217"/>
      <w:bookmarkEnd w:id="218"/>
    </w:p>
    <w:p w14:paraId="1B39535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126628A4">
      <w:pPr>
        <w:wordWrap w:val="0"/>
        <w:spacing w:line="360" w:lineRule="auto"/>
        <w:ind w:firstLine="482" w:firstLineChars="200"/>
        <w:rPr>
          <w:rFonts w:ascii="宋体" w:hAnsi="宋体" w:cs="宋体"/>
          <w:b/>
          <w:color w:val="auto"/>
          <w:sz w:val="24"/>
          <w:highlight w:val="none"/>
        </w:rPr>
      </w:pPr>
      <w:bookmarkStart w:id="219" w:name="_Toc16508"/>
      <w:bookmarkStart w:id="220" w:name="_Toc14066"/>
      <w:bookmarkStart w:id="221" w:name="_Toc13566"/>
      <w:r>
        <w:rPr>
          <w:rFonts w:hint="eastAsia" w:ascii="宋体" w:hAnsi="宋体" w:cs="宋体"/>
          <w:b/>
          <w:color w:val="auto"/>
          <w:sz w:val="24"/>
          <w:highlight w:val="none"/>
        </w:rPr>
        <w:t>2.13 不可抗力</w:t>
      </w:r>
      <w:bookmarkEnd w:id="219"/>
      <w:bookmarkEnd w:id="220"/>
      <w:bookmarkEnd w:id="221"/>
    </w:p>
    <w:p w14:paraId="194CE95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14:paraId="34DB9D3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1D435AB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2.13.3 因不可抗力致使不能实现合同目的的，当事人可以解除合同；</w:t>
      </w:r>
    </w:p>
    <w:p w14:paraId="7454A92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50FE7D37">
      <w:pPr>
        <w:wordWrap w:val="0"/>
        <w:spacing w:line="360" w:lineRule="auto"/>
        <w:ind w:firstLine="482" w:firstLineChars="200"/>
        <w:rPr>
          <w:rFonts w:ascii="宋体" w:hAnsi="宋体" w:cs="宋体"/>
          <w:b/>
          <w:color w:val="auto"/>
          <w:sz w:val="24"/>
          <w:highlight w:val="none"/>
        </w:rPr>
      </w:pPr>
      <w:bookmarkStart w:id="222" w:name="_Toc689"/>
      <w:bookmarkStart w:id="223" w:name="_Toc259093684"/>
      <w:bookmarkStart w:id="224" w:name="_Toc6969"/>
      <w:bookmarkStart w:id="225" w:name="_Toc487900365"/>
      <w:bookmarkStart w:id="226" w:name="_Toc30676"/>
      <w:bookmarkStart w:id="227" w:name="_Toc279701255"/>
      <w:r>
        <w:rPr>
          <w:rFonts w:hint="eastAsia" w:ascii="宋体" w:hAnsi="宋体" w:cs="宋体"/>
          <w:b/>
          <w:color w:val="auto"/>
          <w:sz w:val="24"/>
          <w:highlight w:val="none"/>
        </w:rPr>
        <w:t>2.14 税费</w:t>
      </w:r>
      <w:bookmarkEnd w:id="222"/>
      <w:bookmarkEnd w:id="223"/>
      <w:bookmarkEnd w:id="224"/>
      <w:bookmarkEnd w:id="225"/>
      <w:bookmarkEnd w:id="226"/>
      <w:bookmarkEnd w:id="227"/>
    </w:p>
    <w:p w14:paraId="08873D7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与合同有关的一切税费，均按照中华人民共和国法律的相关规定执行。</w:t>
      </w:r>
    </w:p>
    <w:p w14:paraId="13481FA1">
      <w:pPr>
        <w:wordWrap w:val="0"/>
        <w:spacing w:line="360" w:lineRule="auto"/>
        <w:ind w:firstLine="482" w:firstLineChars="200"/>
        <w:rPr>
          <w:rFonts w:ascii="宋体" w:hAnsi="宋体" w:cs="宋体"/>
          <w:b/>
          <w:color w:val="auto"/>
          <w:sz w:val="24"/>
          <w:highlight w:val="none"/>
        </w:rPr>
      </w:pPr>
      <w:bookmarkStart w:id="228" w:name="_Toc16959"/>
      <w:bookmarkStart w:id="229" w:name="_Toc8298"/>
      <w:bookmarkStart w:id="230" w:name="_Toc259093687"/>
      <w:bookmarkStart w:id="231" w:name="_Toc279701258"/>
      <w:bookmarkStart w:id="232" w:name="_Toc7102"/>
      <w:bookmarkStart w:id="233" w:name="_Toc487900368"/>
      <w:r>
        <w:rPr>
          <w:rFonts w:hint="eastAsia" w:ascii="宋体" w:hAnsi="宋体" w:cs="宋体"/>
          <w:b/>
          <w:color w:val="auto"/>
          <w:sz w:val="24"/>
          <w:highlight w:val="none"/>
        </w:rPr>
        <w:t>2.15 乙方破产</w:t>
      </w:r>
      <w:bookmarkEnd w:id="228"/>
      <w:bookmarkEnd w:id="229"/>
      <w:bookmarkEnd w:id="230"/>
      <w:bookmarkEnd w:id="231"/>
      <w:bookmarkEnd w:id="232"/>
      <w:bookmarkEnd w:id="233"/>
    </w:p>
    <w:p w14:paraId="51F78D5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C192369">
      <w:pPr>
        <w:wordWrap w:val="0"/>
        <w:spacing w:line="360" w:lineRule="auto"/>
        <w:ind w:firstLine="482" w:firstLineChars="200"/>
        <w:rPr>
          <w:rFonts w:ascii="宋体" w:hAnsi="宋体" w:cs="宋体"/>
          <w:b/>
          <w:color w:val="auto"/>
          <w:sz w:val="24"/>
          <w:highlight w:val="none"/>
        </w:rPr>
      </w:pPr>
      <w:bookmarkStart w:id="234" w:name="_Toc29333"/>
      <w:bookmarkStart w:id="235" w:name="_Toc6134"/>
      <w:bookmarkStart w:id="236" w:name="_Toc15387"/>
      <w:r>
        <w:rPr>
          <w:rFonts w:hint="eastAsia" w:ascii="宋体" w:hAnsi="宋体" w:cs="宋体"/>
          <w:b/>
          <w:color w:val="auto"/>
          <w:sz w:val="24"/>
          <w:highlight w:val="none"/>
        </w:rPr>
        <w:t>2.16 合同中止、终止</w:t>
      </w:r>
      <w:bookmarkEnd w:id="234"/>
      <w:bookmarkEnd w:id="235"/>
      <w:bookmarkEnd w:id="236"/>
    </w:p>
    <w:p w14:paraId="1556AE5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14:paraId="180BD06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0C087D1A">
      <w:pPr>
        <w:wordWrap w:val="0"/>
        <w:spacing w:line="360" w:lineRule="auto"/>
        <w:ind w:firstLine="482" w:firstLineChars="200"/>
        <w:rPr>
          <w:rFonts w:ascii="宋体" w:hAnsi="宋体" w:cs="宋体"/>
          <w:b/>
          <w:color w:val="auto"/>
          <w:sz w:val="24"/>
          <w:highlight w:val="none"/>
        </w:rPr>
      </w:pPr>
      <w:bookmarkStart w:id="237" w:name="_Toc6596"/>
      <w:bookmarkStart w:id="238" w:name="_Toc14563"/>
      <w:bookmarkStart w:id="239" w:name="_Toc1125"/>
      <w:r>
        <w:rPr>
          <w:rFonts w:hint="eastAsia" w:ascii="宋体" w:hAnsi="宋体" w:cs="宋体"/>
          <w:b/>
          <w:color w:val="auto"/>
          <w:sz w:val="24"/>
          <w:highlight w:val="none"/>
        </w:rPr>
        <w:t>2.17 检验和验收</w:t>
      </w:r>
      <w:bookmarkEnd w:id="237"/>
      <w:bookmarkEnd w:id="238"/>
      <w:bookmarkEnd w:id="239"/>
    </w:p>
    <w:p w14:paraId="7635D33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2486C4A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64BF5E9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bookmarkEnd w:id="209"/>
    <w:bookmarkEnd w:id="210"/>
    <w:bookmarkEnd w:id="211"/>
    <w:bookmarkEnd w:id="212"/>
    <w:p w14:paraId="4663A2B1">
      <w:pPr>
        <w:wordWrap w:val="0"/>
        <w:spacing w:line="360" w:lineRule="auto"/>
        <w:ind w:firstLine="482" w:firstLineChars="200"/>
        <w:rPr>
          <w:rFonts w:ascii="宋体" w:hAnsi="宋体" w:cs="宋体"/>
          <w:b/>
          <w:color w:val="auto"/>
          <w:sz w:val="24"/>
          <w:highlight w:val="none"/>
        </w:rPr>
      </w:pPr>
      <w:bookmarkStart w:id="240" w:name="_Toc279701261"/>
      <w:bookmarkStart w:id="241" w:name="_Toc487900371"/>
      <w:bookmarkStart w:id="242" w:name="_Toc259093690"/>
      <w:bookmarkStart w:id="243" w:name="_Toc25182"/>
      <w:bookmarkStart w:id="244" w:name="_Toc19604"/>
      <w:bookmarkStart w:id="245" w:name="_Toc11284"/>
      <w:r>
        <w:rPr>
          <w:rFonts w:hint="eastAsia" w:ascii="宋体" w:hAnsi="宋体" w:cs="宋体"/>
          <w:b/>
          <w:color w:val="auto"/>
          <w:sz w:val="24"/>
          <w:highlight w:val="none"/>
        </w:rPr>
        <w:t>2.18 通知</w:t>
      </w:r>
      <w:bookmarkEnd w:id="240"/>
      <w:bookmarkEnd w:id="241"/>
      <w:bookmarkEnd w:id="242"/>
      <w:r>
        <w:rPr>
          <w:rFonts w:hint="eastAsia" w:ascii="宋体" w:hAnsi="宋体" w:cs="宋体"/>
          <w:b/>
          <w:color w:val="auto"/>
          <w:sz w:val="24"/>
          <w:highlight w:val="none"/>
        </w:rPr>
        <w:t>和送达</w:t>
      </w:r>
      <w:bookmarkEnd w:id="243"/>
      <w:bookmarkEnd w:id="244"/>
      <w:bookmarkEnd w:id="245"/>
    </w:p>
    <w:p w14:paraId="1D4C317A">
      <w:pPr>
        <w:wordWrap w:val="0"/>
        <w:spacing w:line="360" w:lineRule="auto"/>
        <w:ind w:firstLine="480" w:firstLineChars="200"/>
        <w:rPr>
          <w:rFonts w:ascii="宋体" w:hAnsi="宋体" w:cs="宋体"/>
          <w:color w:val="auto"/>
          <w:sz w:val="24"/>
          <w:highlight w:val="none"/>
        </w:rPr>
      </w:pPr>
      <w:bookmarkStart w:id="246" w:name="_Toc3135"/>
      <w:bookmarkStart w:id="247" w:name="_Toc6698"/>
      <w:bookmarkStart w:id="248" w:name="_Toc487900372"/>
      <w:bookmarkStart w:id="249" w:name="_Toc259093691"/>
      <w:bookmarkStart w:id="250" w:name="_Toc279701262"/>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“约定送达地址”</w:t>
      </w:r>
      <w:r>
        <w:rPr>
          <w:rFonts w:hint="eastAsia" w:ascii="宋体" w:hAnsi="宋体" w:cs="宋体"/>
          <w:color w:val="auto"/>
          <w:sz w:val="24"/>
          <w:highlight w:val="none"/>
        </w:rPr>
        <w:t>为收件地址的所有通知、文件、材料，均视为已向对方当事人送达；任何一方变更上述送达方式或者地址的，应于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个工作日（根据项目实际情况填写）内书面通知对方当事人，在对方当事人收到有关变更通知之前，变更前的约定送达方式或者地址仍视为有效。</w:t>
      </w:r>
      <w:bookmarkEnd w:id="246"/>
      <w:bookmarkEnd w:id="247"/>
    </w:p>
    <w:p w14:paraId="61BDFC58">
      <w:pPr>
        <w:wordWrap w:val="0"/>
        <w:spacing w:line="360" w:lineRule="auto"/>
        <w:ind w:firstLine="480" w:firstLineChars="200"/>
        <w:rPr>
          <w:rFonts w:ascii="宋体" w:hAnsi="宋体" w:cs="宋体"/>
          <w:color w:val="auto"/>
          <w:sz w:val="24"/>
          <w:highlight w:val="none"/>
        </w:rPr>
      </w:pPr>
      <w:bookmarkStart w:id="251" w:name="_Toc23294"/>
      <w:bookmarkStart w:id="252" w:name="_Toc23128"/>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1"/>
      <w:bookmarkEnd w:id="252"/>
    </w:p>
    <w:p w14:paraId="0B9B12D8">
      <w:pPr>
        <w:wordWrap w:val="0"/>
        <w:spacing w:line="360" w:lineRule="auto"/>
        <w:ind w:firstLine="482" w:firstLineChars="200"/>
        <w:rPr>
          <w:rFonts w:ascii="宋体" w:hAnsi="宋体" w:cs="宋体"/>
          <w:b/>
          <w:color w:val="auto"/>
          <w:sz w:val="24"/>
          <w:highlight w:val="none"/>
        </w:rPr>
      </w:pPr>
      <w:bookmarkStart w:id="253" w:name="_Toc18540"/>
      <w:bookmarkStart w:id="254" w:name="_Toc30599"/>
      <w:bookmarkStart w:id="255" w:name="_Toc4355"/>
      <w:r>
        <w:rPr>
          <w:rFonts w:hint="eastAsia" w:ascii="宋体" w:hAnsi="宋体" w:cs="宋体"/>
          <w:b/>
          <w:color w:val="auto"/>
          <w:sz w:val="24"/>
          <w:highlight w:val="none"/>
        </w:rPr>
        <w:t>2.19 计量单位</w:t>
      </w:r>
      <w:bookmarkEnd w:id="248"/>
      <w:bookmarkEnd w:id="249"/>
      <w:bookmarkEnd w:id="250"/>
      <w:bookmarkEnd w:id="253"/>
      <w:bookmarkEnd w:id="254"/>
      <w:bookmarkEnd w:id="255"/>
    </w:p>
    <w:p w14:paraId="28024BF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4F4C082A">
      <w:pPr>
        <w:wordWrap w:val="0"/>
        <w:spacing w:line="360" w:lineRule="auto"/>
        <w:ind w:firstLine="482" w:firstLineChars="200"/>
        <w:rPr>
          <w:rFonts w:ascii="宋体" w:hAnsi="宋体" w:cs="宋体"/>
          <w:b/>
          <w:color w:val="auto"/>
          <w:sz w:val="24"/>
          <w:highlight w:val="none"/>
        </w:rPr>
      </w:pPr>
      <w:bookmarkStart w:id="256" w:name="_Toc487900373"/>
      <w:bookmarkStart w:id="257" w:name="_Toc279701263"/>
      <w:bookmarkStart w:id="258" w:name="_Toc18567"/>
      <w:bookmarkStart w:id="259" w:name="_Toc10330"/>
      <w:bookmarkStart w:id="260" w:name="_Toc12773"/>
      <w:bookmarkStart w:id="261" w:name="_Toc259093692"/>
      <w:r>
        <w:rPr>
          <w:rFonts w:hint="eastAsia" w:ascii="宋体" w:hAnsi="宋体" w:cs="宋体"/>
          <w:b/>
          <w:color w:val="auto"/>
          <w:sz w:val="24"/>
          <w:highlight w:val="none"/>
        </w:rPr>
        <w:t>2.20 合同使用的文字和适用的法律</w:t>
      </w:r>
      <w:bookmarkEnd w:id="256"/>
      <w:bookmarkEnd w:id="257"/>
      <w:bookmarkEnd w:id="258"/>
      <w:bookmarkEnd w:id="259"/>
      <w:bookmarkEnd w:id="260"/>
      <w:bookmarkEnd w:id="261"/>
    </w:p>
    <w:p w14:paraId="3D41C2B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2.20.1 合同使用汉语书就、变更和解释；</w:t>
      </w:r>
    </w:p>
    <w:p w14:paraId="2EC27BB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2.20.2 合同适用中华人民共和国法律。</w:t>
      </w:r>
    </w:p>
    <w:p w14:paraId="11156C9B">
      <w:pPr>
        <w:wordWrap w:val="0"/>
        <w:spacing w:line="360" w:lineRule="auto"/>
        <w:ind w:firstLine="482" w:firstLineChars="200"/>
        <w:rPr>
          <w:rFonts w:ascii="宋体" w:hAnsi="宋体" w:cs="宋体"/>
          <w:b/>
          <w:color w:val="auto"/>
          <w:sz w:val="24"/>
          <w:highlight w:val="none"/>
        </w:rPr>
      </w:pPr>
      <w:bookmarkStart w:id="262" w:name="_Toc259093693"/>
      <w:bookmarkStart w:id="263" w:name="_Toc16673"/>
      <w:bookmarkStart w:id="264" w:name="_Toc279701264"/>
      <w:bookmarkStart w:id="265" w:name="_Toc3148"/>
      <w:bookmarkStart w:id="266" w:name="_Toc12004"/>
      <w:bookmarkStart w:id="267" w:name="_Toc487900374"/>
      <w:r>
        <w:rPr>
          <w:rFonts w:hint="eastAsia" w:ascii="宋体" w:hAnsi="宋体" w:cs="宋体"/>
          <w:b/>
          <w:color w:val="auto"/>
          <w:sz w:val="24"/>
          <w:highlight w:val="none"/>
        </w:rPr>
        <w:t>2.21 履约保证金</w:t>
      </w:r>
      <w:bookmarkEnd w:id="262"/>
      <w:bookmarkEnd w:id="263"/>
      <w:bookmarkEnd w:id="264"/>
      <w:bookmarkEnd w:id="265"/>
      <w:bookmarkEnd w:id="266"/>
    </w:p>
    <w:p w14:paraId="50FBBABA">
      <w:pPr>
        <w:wordWrap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color w:val="auto"/>
          <w:sz w:val="24"/>
          <w:highlight w:val="none"/>
        </w:rPr>
        <w:t>本项目不收取履约保证金</w:t>
      </w:r>
    </w:p>
    <w:p w14:paraId="76143296">
      <w:pPr>
        <w:wordWrap w:val="0"/>
        <w:spacing w:line="360" w:lineRule="auto"/>
        <w:ind w:firstLine="482" w:firstLineChars="200"/>
        <w:rPr>
          <w:rFonts w:ascii="宋体" w:hAnsi="宋体" w:cs="宋体"/>
          <w:color w:val="auto"/>
          <w:kern w:val="0"/>
          <w:sz w:val="24"/>
          <w:highlight w:val="none"/>
          <w:lang w:val="zh-CN"/>
        </w:rPr>
      </w:pPr>
      <w:r>
        <w:rPr>
          <w:rFonts w:hint="eastAsia" w:ascii="宋体" w:hAnsi="宋体" w:cs="宋体"/>
          <w:b/>
          <w:color w:val="auto"/>
          <w:sz w:val="24"/>
          <w:highlight w:val="none"/>
        </w:rPr>
        <w:t xml:space="preserve">2.22 </w:t>
      </w:r>
      <w:r>
        <w:rPr>
          <w:rFonts w:hint="eastAsia" w:ascii="宋体" w:hAnsi="宋体" w:cs="宋体"/>
          <w:b/>
          <w:color w:val="auto"/>
          <w:sz w:val="24"/>
          <w:highlight w:val="none"/>
          <w:lang w:val="en-US" w:eastAsia="zh-CN"/>
        </w:rPr>
        <w:t>中小</w:t>
      </w:r>
      <w:r>
        <w:rPr>
          <w:rFonts w:hint="eastAsia" w:ascii="宋体" w:hAnsi="宋体" w:cs="宋体"/>
          <w:b/>
          <w:color w:val="auto"/>
          <w:sz w:val="24"/>
          <w:highlight w:val="none"/>
        </w:rPr>
        <w:t>企业政策</w:t>
      </w:r>
    </w:p>
    <w:p w14:paraId="5AD5CDC6">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2.22.1本合同（□是  □否）为</w:t>
      </w:r>
      <w:r>
        <w:rPr>
          <w:rFonts w:hint="eastAsia" w:ascii="宋体" w:hAnsi="宋体" w:cs="宋体"/>
          <w:color w:val="auto"/>
          <w:kern w:val="0"/>
          <w:sz w:val="24"/>
          <w:highlight w:val="none"/>
          <w:lang w:val="en-US" w:eastAsia="zh-CN"/>
        </w:rPr>
        <w:t>中小</w:t>
      </w:r>
      <w:r>
        <w:rPr>
          <w:rFonts w:hint="eastAsia" w:ascii="宋体" w:hAnsi="宋体" w:cs="宋体"/>
          <w:color w:val="auto"/>
          <w:kern w:val="0"/>
          <w:sz w:val="24"/>
          <w:highlight w:val="none"/>
          <w:lang w:val="zh-CN"/>
        </w:rPr>
        <w:t>企业“政采贷”可融资合同，关于中小企业信用融资事项见采购文件“投标人须知正文”。</w:t>
      </w:r>
    </w:p>
    <w:p w14:paraId="30B631D6">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2.22.2本合同（□是  □否）为</w:t>
      </w:r>
      <w:r>
        <w:rPr>
          <w:rFonts w:hint="eastAsia" w:ascii="宋体" w:hAnsi="宋体" w:cs="宋体"/>
          <w:color w:val="auto"/>
          <w:kern w:val="0"/>
          <w:sz w:val="24"/>
          <w:highlight w:val="none"/>
          <w:lang w:val="en-US" w:eastAsia="zh-CN"/>
        </w:rPr>
        <w:t>中小</w:t>
      </w:r>
      <w:r>
        <w:rPr>
          <w:rFonts w:hint="eastAsia" w:ascii="宋体" w:hAnsi="宋体" w:cs="宋体"/>
          <w:color w:val="auto"/>
          <w:kern w:val="0"/>
          <w:sz w:val="24"/>
          <w:highlight w:val="none"/>
          <w:lang w:val="zh-CN"/>
        </w:rPr>
        <w:t>企业预留合同。</w:t>
      </w:r>
    </w:p>
    <w:bookmarkEnd w:id="267"/>
    <w:p w14:paraId="6EC94AF3">
      <w:pPr>
        <w:wordWrap w:val="0"/>
        <w:spacing w:line="360" w:lineRule="auto"/>
        <w:ind w:firstLine="482" w:firstLineChars="200"/>
        <w:rPr>
          <w:rFonts w:ascii="宋体" w:hAnsi="宋体" w:cs="宋体"/>
          <w:b/>
          <w:color w:val="auto"/>
          <w:sz w:val="24"/>
          <w:highlight w:val="none"/>
        </w:rPr>
      </w:pPr>
      <w:bookmarkStart w:id="268" w:name="_Toc19890"/>
      <w:bookmarkStart w:id="269" w:name="_Toc14001"/>
      <w:bookmarkStart w:id="270" w:name="_Toc6885"/>
      <w:r>
        <w:rPr>
          <w:rFonts w:hint="eastAsia" w:ascii="宋体" w:hAnsi="宋体" w:cs="宋体"/>
          <w:b/>
          <w:color w:val="auto"/>
          <w:sz w:val="24"/>
          <w:highlight w:val="none"/>
        </w:rPr>
        <w:t>2.23 合同份数</w:t>
      </w:r>
      <w:bookmarkEnd w:id="268"/>
      <w:bookmarkEnd w:id="269"/>
      <w:bookmarkEnd w:id="270"/>
    </w:p>
    <w:p w14:paraId="19708EB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份。每份均具有同等法律效力。</w:t>
      </w:r>
    </w:p>
    <w:p w14:paraId="4D98A77F">
      <w:pPr>
        <w:wordWrap w:val="0"/>
        <w:spacing w:line="360" w:lineRule="auto"/>
        <w:jc w:val="center"/>
        <w:rPr>
          <w:rFonts w:ascii="宋体" w:hAnsi="宋体" w:cs="宋体"/>
          <w:b/>
          <w:color w:val="auto"/>
          <w:sz w:val="28"/>
          <w:szCs w:val="28"/>
          <w:highlight w:val="none"/>
        </w:rPr>
      </w:pPr>
      <w:r>
        <w:rPr>
          <w:rFonts w:hint="eastAsia" w:ascii="宋体" w:hAnsi="宋体" w:cs="宋体"/>
          <w:color w:val="auto"/>
          <w:highlight w:val="none"/>
        </w:rPr>
        <w:br w:type="page"/>
      </w:r>
      <w:bookmarkStart w:id="271" w:name="_Toc331685784"/>
      <w:r>
        <w:rPr>
          <w:rFonts w:hint="eastAsia" w:ascii="宋体" w:hAnsi="宋体" w:cs="宋体"/>
          <w:b/>
          <w:color w:val="auto"/>
          <w:sz w:val="28"/>
          <w:szCs w:val="28"/>
          <w:highlight w:val="none"/>
        </w:rPr>
        <w:t>第三部分  合同专用条款</w:t>
      </w:r>
      <w:bookmarkEnd w:id="271"/>
    </w:p>
    <w:p w14:paraId="08680A8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5058DAD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3.1具有知识产权的标的物知识产权归属：</w:t>
      </w:r>
    </w:p>
    <w:p w14:paraId="63536634">
      <w:pPr>
        <w:wordWrap w:val="0"/>
        <w:spacing w:line="360" w:lineRule="auto"/>
        <w:ind w:firstLine="480" w:firstLineChars="200"/>
        <w:rPr>
          <w:rFonts w:ascii="宋体" w:hAnsi="宋体" w:cs="宋体"/>
          <w:color w:val="auto"/>
          <w:sz w:val="24"/>
          <w:highlight w:val="none"/>
        </w:rPr>
      </w:pPr>
    </w:p>
    <w:p w14:paraId="31E0B10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3.2包装和装运专用条款（如果有）：</w:t>
      </w:r>
    </w:p>
    <w:p w14:paraId="482ECC5C">
      <w:pPr>
        <w:wordWrap w:val="0"/>
        <w:spacing w:line="360" w:lineRule="auto"/>
        <w:ind w:firstLine="480" w:firstLineChars="200"/>
        <w:rPr>
          <w:rFonts w:ascii="宋体" w:hAnsi="宋体" w:cs="宋体"/>
          <w:color w:val="auto"/>
          <w:sz w:val="24"/>
          <w:highlight w:val="none"/>
        </w:rPr>
      </w:pPr>
    </w:p>
    <w:p w14:paraId="5D40E81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3.3装运标的物的要求和通知：</w:t>
      </w:r>
    </w:p>
    <w:p w14:paraId="27D45359">
      <w:pPr>
        <w:wordWrap w:val="0"/>
        <w:spacing w:line="360" w:lineRule="auto"/>
        <w:ind w:firstLine="480" w:firstLineChars="200"/>
        <w:rPr>
          <w:rFonts w:ascii="宋体" w:hAnsi="宋体" w:cs="宋体"/>
          <w:color w:val="auto"/>
          <w:sz w:val="24"/>
          <w:highlight w:val="none"/>
        </w:rPr>
      </w:pPr>
    </w:p>
    <w:p w14:paraId="421AA1AC">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3.4</w:t>
      </w:r>
      <w:r>
        <w:rPr>
          <w:rFonts w:hint="eastAsia" w:ascii="宋体" w:hAnsi="宋体" w:cs="宋体"/>
          <w:b/>
          <w:color w:val="auto"/>
          <w:sz w:val="24"/>
          <w:highlight w:val="none"/>
        </w:rPr>
        <w:t>结算方式和付款条件</w:t>
      </w:r>
    </w:p>
    <w:p w14:paraId="3646C6F4">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本次项目合同总价为大写人民币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    元）。本项目采用以下勾选结算方式进行支付：</w:t>
      </w:r>
    </w:p>
    <w:p w14:paraId="16453A21">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□采用一次性支付方式，付款条件为：</w:t>
      </w:r>
      <w:r>
        <w:rPr>
          <w:rFonts w:hint="eastAsia" w:ascii="宋体" w:hAnsi="宋体" w:cs="宋体"/>
          <w:color w:val="auto"/>
          <w:kern w:val="0"/>
          <w:sz w:val="24"/>
          <w:highlight w:val="none"/>
          <w:u w:val="single"/>
        </w:rPr>
        <w:t xml:space="preserve">           </w:t>
      </w:r>
    </w:p>
    <w:p w14:paraId="0A0329A3">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□采用分期付款方式，付款条件为</w:t>
      </w:r>
      <w:r>
        <w:rPr>
          <w:rFonts w:hint="eastAsia" w:ascii="宋体" w:hAnsi="宋体" w:cs="宋体"/>
          <w:color w:val="auto"/>
          <w:kern w:val="0"/>
          <w:sz w:val="24"/>
          <w:highlight w:val="none"/>
        </w:rPr>
        <w:t>：</w:t>
      </w:r>
    </w:p>
    <w:p w14:paraId="56D02197">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第一期付款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4707DD89">
      <w:pPr>
        <w:wordWrap w:val="0"/>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lang w:val="zh-CN"/>
        </w:rPr>
        <w:t>第</w:t>
      </w:r>
      <w:r>
        <w:rPr>
          <w:rFonts w:hint="eastAsia" w:ascii="宋体" w:hAnsi="宋体" w:cs="宋体"/>
          <w:color w:val="auto"/>
          <w:kern w:val="0"/>
          <w:sz w:val="24"/>
          <w:highlight w:val="none"/>
        </w:rPr>
        <w:t>二</w:t>
      </w:r>
      <w:r>
        <w:rPr>
          <w:rFonts w:hint="eastAsia" w:ascii="宋体" w:hAnsi="宋体" w:cs="宋体"/>
          <w:color w:val="auto"/>
          <w:kern w:val="0"/>
          <w:sz w:val="24"/>
          <w:highlight w:val="none"/>
          <w:lang w:val="zh-CN"/>
        </w:rPr>
        <w:t>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56243C1A">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p>
    <w:p w14:paraId="04769BA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甲方无故逾期支付服务费用的，按照每逾期一日支付欠付服务费额度的（根据项目实际填写，一般为万分之五）</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承担违约责任，违约金上限按照《合同书》约定执行。</w:t>
      </w:r>
    </w:p>
    <w:p w14:paraId="2BC7FF77">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3.5</w:t>
      </w:r>
      <w:r>
        <w:rPr>
          <w:rFonts w:hint="eastAsia" w:ascii="宋体" w:hAnsi="宋体" w:cs="宋体"/>
          <w:b/>
          <w:color w:val="auto"/>
          <w:sz w:val="24"/>
          <w:highlight w:val="none"/>
        </w:rPr>
        <w:t>标的物的风险负担</w:t>
      </w:r>
    </w:p>
    <w:p w14:paraId="6288167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w:t>
      </w:r>
    </w:p>
    <w:p w14:paraId="5DAA0BA7">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乙方                                                                       </w:t>
      </w:r>
    </w:p>
    <w:p w14:paraId="36EC8D5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3.5.1受不可抗力影响的一方在不可抗力发生后，应在日内（根据项目实际填写）以书面形式通知对方当事人，并在日内，将有关部门出具的证明文件送达对方当事人。</w:t>
      </w:r>
    </w:p>
    <w:p w14:paraId="62FC813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3.5.2因不可抗力致使合同有变更必要的，双方当事人应在日内（根据项目实际填写）以书面形式变更合同；</w:t>
      </w:r>
    </w:p>
    <w:p w14:paraId="65A5579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3.5.3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14:paraId="68DFBBA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3.5.4 检验和验收标准、程序等具体内容以及前述验收书的效力：</w:t>
      </w:r>
    </w:p>
    <w:p w14:paraId="5F6AAF73">
      <w:pPr>
        <w:wordWrap w:val="0"/>
        <w:spacing w:line="360" w:lineRule="auto"/>
        <w:ind w:firstLine="480" w:firstLineChars="200"/>
        <w:rPr>
          <w:rFonts w:ascii="宋体" w:hAnsi="宋体" w:cs="宋体"/>
          <w:color w:val="auto"/>
          <w:sz w:val="24"/>
          <w:highlight w:val="none"/>
        </w:rPr>
      </w:pPr>
    </w:p>
    <w:p w14:paraId="1E56DD6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3.5.5 其他：</w:t>
      </w:r>
    </w:p>
    <w:p w14:paraId="6F303D5F">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3.6</w:t>
      </w:r>
      <w:r>
        <w:rPr>
          <w:rFonts w:hint="eastAsia" w:ascii="宋体" w:hAnsi="宋体" w:cs="宋体"/>
          <w:b/>
          <w:color w:val="auto"/>
          <w:sz w:val="24"/>
          <w:highlight w:val="none"/>
        </w:rPr>
        <w:t>项目验收：</w:t>
      </w:r>
    </w:p>
    <w:p w14:paraId="36372CA6">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12BB7556">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16349085">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3B3D54F2">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3.6.4验收产生的费用首次验收费用由甲方承担，如首次验收不合格，后续验收费用由乙方支付。</w:t>
      </w:r>
    </w:p>
    <w:p w14:paraId="08800348">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3.6.5验收内容及资料要求：</w:t>
      </w:r>
    </w:p>
    <w:p w14:paraId="21BEB64C">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根根据采购文件确定的技术指标或者服务要求确定验收指标和标准。未进行相应约定的，应当符合国家强制性规定、政策要求、安全标准、行业或企业有关标准等。</w:t>
      </w:r>
    </w:p>
    <w:p w14:paraId="59FCE547">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3.6.6</w:t>
      </w:r>
      <w:r>
        <w:rPr>
          <w:rFonts w:hint="eastAsia" w:ascii="宋体" w:hAnsi="宋体" w:cs="宋体"/>
          <w:color w:val="auto"/>
          <w:sz w:val="24"/>
          <w:highlight w:val="none"/>
        </w:rPr>
        <w:t>验收内容</w:t>
      </w:r>
    </w:p>
    <w:tbl>
      <w:tblPr>
        <w:tblStyle w:val="22"/>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5B56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20F2E525">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序号</w:t>
            </w:r>
          </w:p>
        </w:tc>
        <w:tc>
          <w:tcPr>
            <w:tcW w:w="1914" w:type="dxa"/>
            <w:tcBorders>
              <w:top w:val="single" w:color="auto" w:sz="4" w:space="0"/>
              <w:left w:val="single" w:color="auto" w:sz="4" w:space="0"/>
              <w:bottom w:val="single" w:color="auto" w:sz="4" w:space="0"/>
              <w:right w:val="single" w:color="auto" w:sz="4" w:space="0"/>
            </w:tcBorders>
            <w:vAlign w:val="center"/>
          </w:tcPr>
          <w:p w14:paraId="6A368292">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验收内容</w:t>
            </w:r>
          </w:p>
        </w:tc>
        <w:tc>
          <w:tcPr>
            <w:tcW w:w="5930" w:type="dxa"/>
            <w:tcBorders>
              <w:top w:val="single" w:color="auto" w:sz="4" w:space="0"/>
              <w:left w:val="single" w:color="auto" w:sz="4" w:space="0"/>
              <w:bottom w:val="single" w:color="auto" w:sz="4" w:space="0"/>
              <w:right w:val="single" w:color="auto" w:sz="4" w:space="0"/>
            </w:tcBorders>
            <w:vAlign w:val="center"/>
          </w:tcPr>
          <w:p w14:paraId="341C0D3D">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 xml:space="preserve"> 验收标准</w:t>
            </w:r>
          </w:p>
        </w:tc>
      </w:tr>
      <w:tr w14:paraId="2669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43327EC6">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1</w:t>
            </w:r>
          </w:p>
        </w:tc>
        <w:tc>
          <w:tcPr>
            <w:tcW w:w="1914" w:type="dxa"/>
            <w:tcBorders>
              <w:top w:val="single" w:color="auto" w:sz="4" w:space="0"/>
              <w:left w:val="single" w:color="auto" w:sz="4" w:space="0"/>
              <w:bottom w:val="single" w:color="auto" w:sz="4" w:space="0"/>
              <w:right w:val="single" w:color="auto" w:sz="4" w:space="0"/>
            </w:tcBorders>
            <w:vAlign w:val="center"/>
          </w:tcPr>
          <w:p w14:paraId="3AFFDDAD">
            <w:pPr>
              <w:widowControl/>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交付标的物数量</w:t>
            </w:r>
          </w:p>
        </w:tc>
        <w:tc>
          <w:tcPr>
            <w:tcW w:w="5930" w:type="dxa"/>
            <w:tcBorders>
              <w:top w:val="single" w:color="auto" w:sz="4" w:space="0"/>
              <w:left w:val="single" w:color="auto" w:sz="4" w:space="0"/>
              <w:bottom w:val="single" w:color="auto" w:sz="4" w:space="0"/>
              <w:right w:val="single" w:color="auto" w:sz="4" w:space="0"/>
            </w:tcBorders>
            <w:vAlign w:val="center"/>
          </w:tcPr>
          <w:p w14:paraId="3A20FD37">
            <w:pPr>
              <w:widowControl/>
              <w:wordWrap w:val="0"/>
              <w:spacing w:line="360" w:lineRule="auto"/>
              <w:ind w:firstLine="200"/>
              <w:jc w:val="center"/>
              <w:rPr>
                <w:rFonts w:ascii="宋体" w:hAnsi="宋体" w:cs="宋体"/>
                <w:color w:val="auto"/>
                <w:kern w:val="0"/>
                <w:sz w:val="24"/>
                <w:highlight w:val="none"/>
              </w:rPr>
            </w:pPr>
          </w:p>
        </w:tc>
      </w:tr>
      <w:tr w14:paraId="3354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40BA2475">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2</w:t>
            </w:r>
          </w:p>
        </w:tc>
        <w:tc>
          <w:tcPr>
            <w:tcW w:w="1914" w:type="dxa"/>
            <w:tcBorders>
              <w:top w:val="single" w:color="auto" w:sz="4" w:space="0"/>
              <w:left w:val="single" w:color="auto" w:sz="4" w:space="0"/>
              <w:bottom w:val="single" w:color="auto" w:sz="4" w:space="0"/>
              <w:right w:val="single" w:color="auto" w:sz="4" w:space="0"/>
            </w:tcBorders>
            <w:vAlign w:val="center"/>
          </w:tcPr>
          <w:p w14:paraId="41B466E2">
            <w:pPr>
              <w:widowControl/>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交付标的物质量文件</w:t>
            </w:r>
          </w:p>
        </w:tc>
        <w:tc>
          <w:tcPr>
            <w:tcW w:w="5930" w:type="dxa"/>
            <w:tcBorders>
              <w:top w:val="single" w:color="auto" w:sz="4" w:space="0"/>
              <w:left w:val="single" w:color="auto" w:sz="4" w:space="0"/>
              <w:bottom w:val="single" w:color="auto" w:sz="4" w:space="0"/>
              <w:right w:val="single" w:color="auto" w:sz="4" w:space="0"/>
            </w:tcBorders>
            <w:vAlign w:val="center"/>
          </w:tcPr>
          <w:p w14:paraId="32531680">
            <w:pPr>
              <w:widowControl/>
              <w:wordWrap w:val="0"/>
              <w:spacing w:line="360" w:lineRule="auto"/>
              <w:ind w:firstLine="200"/>
              <w:jc w:val="center"/>
              <w:rPr>
                <w:rFonts w:ascii="宋体" w:hAnsi="宋体" w:cs="宋体"/>
                <w:color w:val="auto"/>
                <w:kern w:val="0"/>
                <w:sz w:val="24"/>
                <w:highlight w:val="none"/>
              </w:rPr>
            </w:pPr>
          </w:p>
        </w:tc>
      </w:tr>
      <w:tr w14:paraId="0FAE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72BED38">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4</w:t>
            </w:r>
          </w:p>
        </w:tc>
        <w:tc>
          <w:tcPr>
            <w:tcW w:w="1914" w:type="dxa"/>
            <w:tcBorders>
              <w:top w:val="single" w:color="auto" w:sz="4" w:space="0"/>
              <w:left w:val="single" w:color="auto" w:sz="4" w:space="0"/>
              <w:bottom w:val="single" w:color="auto" w:sz="4" w:space="0"/>
              <w:right w:val="single" w:color="auto" w:sz="4" w:space="0"/>
            </w:tcBorders>
            <w:vAlign w:val="center"/>
          </w:tcPr>
          <w:p w14:paraId="08DA39CC">
            <w:pPr>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 xml:space="preserve">交付标的物技术、性能指标 </w:t>
            </w:r>
          </w:p>
        </w:tc>
        <w:tc>
          <w:tcPr>
            <w:tcW w:w="5930" w:type="dxa"/>
            <w:tcBorders>
              <w:top w:val="single" w:color="auto" w:sz="4" w:space="0"/>
              <w:left w:val="single" w:color="auto" w:sz="4" w:space="0"/>
              <w:bottom w:val="single" w:color="auto" w:sz="4" w:space="0"/>
              <w:right w:val="single" w:color="auto" w:sz="4" w:space="0"/>
            </w:tcBorders>
            <w:vAlign w:val="center"/>
          </w:tcPr>
          <w:p w14:paraId="3E26D469">
            <w:pPr>
              <w:pStyle w:val="12"/>
              <w:wordWrap w:val="0"/>
              <w:spacing w:after="0" w:line="360" w:lineRule="auto"/>
              <w:ind w:firstLine="200"/>
              <w:jc w:val="left"/>
              <w:rPr>
                <w:rFonts w:ascii="宋体" w:hAnsi="宋体" w:cs="宋体"/>
                <w:color w:val="auto"/>
                <w:highlight w:val="none"/>
              </w:rPr>
            </w:pPr>
          </w:p>
        </w:tc>
      </w:tr>
      <w:tr w14:paraId="6523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12BC0DAE">
            <w:pPr>
              <w:widowControl/>
              <w:wordWrap w:val="0"/>
              <w:spacing w:line="360" w:lineRule="auto"/>
              <w:ind w:firstLine="200"/>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914" w:type="dxa"/>
            <w:tcBorders>
              <w:top w:val="single" w:color="auto" w:sz="4" w:space="0"/>
              <w:left w:val="single" w:color="auto" w:sz="4" w:space="0"/>
              <w:bottom w:val="single" w:color="auto" w:sz="4" w:space="0"/>
              <w:right w:val="single" w:color="auto" w:sz="4" w:space="0"/>
            </w:tcBorders>
            <w:vAlign w:val="center"/>
          </w:tcPr>
          <w:p w14:paraId="0637DFBD">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售后服务承诺</w:t>
            </w:r>
          </w:p>
        </w:tc>
        <w:tc>
          <w:tcPr>
            <w:tcW w:w="5930" w:type="dxa"/>
            <w:tcBorders>
              <w:top w:val="single" w:color="auto" w:sz="4" w:space="0"/>
              <w:left w:val="single" w:color="auto" w:sz="4" w:space="0"/>
              <w:bottom w:val="single" w:color="auto" w:sz="4" w:space="0"/>
              <w:right w:val="single" w:color="auto" w:sz="4" w:space="0"/>
            </w:tcBorders>
            <w:vAlign w:val="center"/>
          </w:tcPr>
          <w:p w14:paraId="5332E39D">
            <w:pPr>
              <w:widowControl/>
              <w:wordWrap w:val="0"/>
              <w:spacing w:line="360" w:lineRule="auto"/>
              <w:ind w:firstLine="200"/>
              <w:jc w:val="center"/>
              <w:rPr>
                <w:rFonts w:ascii="宋体" w:hAnsi="宋体" w:cs="宋体"/>
                <w:color w:val="auto"/>
                <w:kern w:val="0"/>
                <w:sz w:val="24"/>
                <w:highlight w:val="none"/>
              </w:rPr>
            </w:pPr>
          </w:p>
        </w:tc>
      </w:tr>
      <w:tr w14:paraId="6CCD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8AFC985">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6</w:t>
            </w:r>
          </w:p>
        </w:tc>
        <w:tc>
          <w:tcPr>
            <w:tcW w:w="1914" w:type="dxa"/>
            <w:tcBorders>
              <w:top w:val="single" w:color="auto" w:sz="4" w:space="0"/>
              <w:left w:val="single" w:color="auto" w:sz="4" w:space="0"/>
              <w:bottom w:val="single" w:color="auto" w:sz="4" w:space="0"/>
              <w:right w:val="single" w:color="auto" w:sz="4" w:space="0"/>
            </w:tcBorders>
            <w:vAlign w:val="center"/>
          </w:tcPr>
          <w:p w14:paraId="6959D7C6">
            <w:pPr>
              <w:widowControl/>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其他工作</w:t>
            </w:r>
          </w:p>
        </w:tc>
        <w:tc>
          <w:tcPr>
            <w:tcW w:w="5930" w:type="dxa"/>
            <w:tcBorders>
              <w:top w:val="single" w:color="auto" w:sz="4" w:space="0"/>
              <w:left w:val="single" w:color="auto" w:sz="4" w:space="0"/>
              <w:bottom w:val="single" w:color="auto" w:sz="4" w:space="0"/>
              <w:right w:val="single" w:color="auto" w:sz="4" w:space="0"/>
            </w:tcBorders>
            <w:vAlign w:val="center"/>
          </w:tcPr>
          <w:p w14:paraId="109323FC">
            <w:pPr>
              <w:widowControl/>
              <w:wordWrap w:val="0"/>
              <w:spacing w:line="360" w:lineRule="auto"/>
              <w:ind w:firstLine="200"/>
              <w:jc w:val="left"/>
              <w:rPr>
                <w:rFonts w:ascii="宋体" w:hAnsi="宋体" w:cs="宋体"/>
                <w:color w:val="auto"/>
                <w:kern w:val="0"/>
                <w:sz w:val="24"/>
                <w:highlight w:val="none"/>
              </w:rPr>
            </w:pPr>
          </w:p>
        </w:tc>
      </w:tr>
    </w:tbl>
    <w:p w14:paraId="2269F8BC">
      <w:pPr>
        <w:tabs>
          <w:tab w:val="left" w:pos="904"/>
        </w:tabs>
        <w:wordWrap w:val="0"/>
        <w:snapToGrid w:val="0"/>
        <w:spacing w:line="360" w:lineRule="auto"/>
        <w:ind w:firstLine="480" w:firstLineChars="200"/>
        <w:jc w:val="left"/>
        <w:rPr>
          <w:rFonts w:ascii="宋体" w:hAnsi="宋体" w:cs="宋体"/>
          <w:color w:val="auto"/>
          <w:sz w:val="24"/>
          <w:highlight w:val="none"/>
        </w:rPr>
      </w:pPr>
    </w:p>
    <w:p w14:paraId="0BC43A51">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3.6.7验收资料要求</w:t>
      </w:r>
    </w:p>
    <w:p w14:paraId="308E8719">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验收资料要求包括（不限于）以下内容：</w:t>
      </w:r>
    </w:p>
    <w:p w14:paraId="36F29FF4">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（1）采购文件；</w:t>
      </w:r>
    </w:p>
    <w:p w14:paraId="6FEF0DF5">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（2）投标文件；</w:t>
      </w:r>
    </w:p>
    <w:p w14:paraId="0EF78DE7">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（3）采购合同；</w:t>
      </w:r>
    </w:p>
    <w:p w14:paraId="3B47C58B">
      <w:pPr>
        <w:pageBreakBefore w:val="0"/>
        <w:tabs>
          <w:tab w:val="left" w:pos="904"/>
        </w:tabs>
        <w:wordWrap w:val="0"/>
        <w:overflowPunct/>
        <w:topLinePunct w:val="0"/>
        <w:bidi w:val="0"/>
        <w:adjustRightInd w:val="0"/>
        <w:snapToGrid w:val="0"/>
        <w:spacing w:line="360" w:lineRule="auto"/>
        <w:ind w:firstLine="240" w:firstLineChars="100"/>
        <w:jc w:val="left"/>
        <w:rPr>
          <w:rFonts w:ascii="宋体" w:hAnsi="宋体" w:cs="宋体"/>
          <w:b/>
          <w:color w:val="auto"/>
          <w:sz w:val="36"/>
          <w:szCs w:val="20"/>
          <w:highlight w:val="none"/>
        </w:rPr>
      </w:pPr>
      <w:r>
        <w:rPr>
          <w:rFonts w:hint="eastAsia" w:ascii="宋体" w:hAnsi="宋体" w:cs="宋体"/>
          <w:color w:val="auto"/>
          <w:sz w:val="24"/>
          <w:highlight w:val="none"/>
        </w:rPr>
        <w:t>（4）其他需提供的相关材料。</w:t>
      </w:r>
    </w:p>
    <w:p w14:paraId="0E82386C">
      <w:pPr>
        <w:pageBreakBefore w:val="0"/>
        <w:widowControl/>
        <w:wordWrap w:val="0"/>
        <w:overflowPunct/>
        <w:topLinePunct w:val="0"/>
        <w:bidi w:val="0"/>
        <w:spacing w:line="360" w:lineRule="auto"/>
        <w:jc w:val="left"/>
        <w:rPr>
          <w:rFonts w:ascii="宋体" w:hAnsi="宋体" w:cs="宋体"/>
          <w:color w:val="auto"/>
          <w:highlight w:val="none"/>
        </w:rPr>
        <w:sectPr>
          <w:pgSz w:w="11906" w:h="16838"/>
          <w:pgMar w:top="1440" w:right="1080" w:bottom="1440" w:left="1080" w:header="720" w:footer="720" w:gutter="0"/>
          <w:pgNumType w:fmt="decimal"/>
          <w:cols w:space="720" w:num="1"/>
          <w:docGrid w:type="lines" w:linePitch="331" w:charSpace="0"/>
        </w:sectPr>
      </w:pPr>
    </w:p>
    <w:p w14:paraId="3E00F822">
      <w:pPr>
        <w:pStyle w:val="14"/>
        <w:pageBreakBefore w:val="0"/>
        <w:tabs>
          <w:tab w:val="left" w:pos="2472"/>
        </w:tabs>
        <w:wordWrap w:val="0"/>
        <w:overflowPunct/>
        <w:topLinePunct w:val="0"/>
        <w:bidi w:val="0"/>
        <w:spacing w:line="360" w:lineRule="auto"/>
        <w:rPr>
          <w:rFonts w:hAnsi="宋体" w:cs="宋体"/>
          <w:b/>
          <w:color w:val="auto"/>
          <w:sz w:val="36"/>
          <w:highlight w:val="none"/>
        </w:rPr>
      </w:pPr>
    </w:p>
    <w:p w14:paraId="1023BA16">
      <w:pPr>
        <w:pStyle w:val="14"/>
        <w:pageBreakBefore w:val="0"/>
        <w:tabs>
          <w:tab w:val="left" w:pos="2472"/>
        </w:tabs>
        <w:wordWrap w:val="0"/>
        <w:overflowPunct/>
        <w:topLinePunct w:val="0"/>
        <w:bidi w:val="0"/>
        <w:spacing w:line="360" w:lineRule="auto"/>
        <w:rPr>
          <w:rFonts w:hAnsi="宋体" w:cs="宋体"/>
          <w:b/>
          <w:color w:val="auto"/>
          <w:sz w:val="36"/>
          <w:highlight w:val="none"/>
        </w:rPr>
      </w:pPr>
    </w:p>
    <w:p w14:paraId="4EB607A7">
      <w:pPr>
        <w:pStyle w:val="14"/>
        <w:pageBreakBefore w:val="0"/>
        <w:tabs>
          <w:tab w:val="left" w:pos="2472"/>
        </w:tabs>
        <w:wordWrap w:val="0"/>
        <w:overflowPunct/>
        <w:topLinePunct w:val="0"/>
        <w:bidi w:val="0"/>
        <w:spacing w:line="360" w:lineRule="auto"/>
        <w:rPr>
          <w:rFonts w:hAnsi="宋体" w:cs="宋体"/>
          <w:b/>
          <w:color w:val="auto"/>
          <w:sz w:val="36"/>
          <w:highlight w:val="none"/>
        </w:rPr>
      </w:pPr>
    </w:p>
    <w:p w14:paraId="08C35370">
      <w:pPr>
        <w:pStyle w:val="14"/>
        <w:pageBreakBefore w:val="0"/>
        <w:tabs>
          <w:tab w:val="left" w:pos="2472"/>
        </w:tabs>
        <w:wordWrap w:val="0"/>
        <w:overflowPunct/>
        <w:topLinePunct w:val="0"/>
        <w:bidi w:val="0"/>
        <w:spacing w:line="360" w:lineRule="auto"/>
        <w:rPr>
          <w:rFonts w:hAnsi="宋体" w:cs="宋体"/>
          <w:b/>
          <w:color w:val="auto"/>
          <w:sz w:val="36"/>
          <w:highlight w:val="none"/>
        </w:rPr>
      </w:pPr>
    </w:p>
    <w:p w14:paraId="27654E54">
      <w:pPr>
        <w:pStyle w:val="14"/>
        <w:pageBreakBefore w:val="0"/>
        <w:tabs>
          <w:tab w:val="left" w:pos="2472"/>
        </w:tabs>
        <w:wordWrap w:val="0"/>
        <w:overflowPunct/>
        <w:topLinePunct w:val="0"/>
        <w:bidi w:val="0"/>
        <w:spacing w:line="360" w:lineRule="auto"/>
        <w:rPr>
          <w:rFonts w:hAnsi="宋体" w:cs="宋体"/>
          <w:b/>
          <w:color w:val="auto"/>
          <w:sz w:val="36"/>
          <w:highlight w:val="none"/>
        </w:rPr>
      </w:pPr>
    </w:p>
    <w:p w14:paraId="4FEBC61E">
      <w:pPr>
        <w:pStyle w:val="14"/>
        <w:pageBreakBefore w:val="0"/>
        <w:tabs>
          <w:tab w:val="left" w:pos="2472"/>
        </w:tabs>
        <w:wordWrap w:val="0"/>
        <w:overflowPunct/>
        <w:topLinePunct w:val="0"/>
        <w:bidi w:val="0"/>
        <w:spacing w:line="360" w:lineRule="auto"/>
        <w:rPr>
          <w:rFonts w:hAnsi="宋体" w:cs="宋体"/>
          <w:b/>
          <w:color w:val="auto"/>
          <w:sz w:val="36"/>
          <w:highlight w:val="none"/>
        </w:rPr>
      </w:pPr>
    </w:p>
    <w:p w14:paraId="1721BD66">
      <w:pPr>
        <w:pStyle w:val="14"/>
        <w:pageBreakBefore w:val="0"/>
        <w:tabs>
          <w:tab w:val="left" w:pos="2472"/>
        </w:tabs>
        <w:wordWrap w:val="0"/>
        <w:overflowPunct/>
        <w:topLinePunct w:val="0"/>
        <w:bidi w:val="0"/>
        <w:spacing w:line="360" w:lineRule="auto"/>
        <w:rPr>
          <w:rFonts w:hAnsi="宋体" w:cs="宋体"/>
          <w:b/>
          <w:color w:val="auto"/>
          <w:sz w:val="36"/>
          <w:highlight w:val="none"/>
        </w:rPr>
      </w:pPr>
    </w:p>
    <w:p w14:paraId="75141613">
      <w:pPr>
        <w:pStyle w:val="14"/>
        <w:pageBreakBefore w:val="0"/>
        <w:tabs>
          <w:tab w:val="left" w:pos="2472"/>
        </w:tabs>
        <w:wordWrap w:val="0"/>
        <w:overflowPunct/>
        <w:topLinePunct w:val="0"/>
        <w:bidi w:val="0"/>
        <w:spacing w:line="360" w:lineRule="auto"/>
        <w:jc w:val="center"/>
        <w:outlineLvl w:val="0"/>
        <w:rPr>
          <w:rFonts w:hAnsi="宋体" w:cs="宋体"/>
          <w:b/>
          <w:color w:val="auto"/>
          <w:sz w:val="36"/>
          <w:highlight w:val="none"/>
        </w:rPr>
      </w:pPr>
      <w:bookmarkStart w:id="272" w:name="_Toc2856"/>
      <w:r>
        <w:rPr>
          <w:rFonts w:hint="eastAsia" w:hAnsi="宋体" w:cs="宋体"/>
          <w:b/>
          <w:color w:val="auto"/>
          <w:sz w:val="36"/>
          <w:highlight w:val="none"/>
        </w:rPr>
        <w:t>第六章 投标文件格式</w:t>
      </w:r>
      <w:bookmarkEnd w:id="272"/>
    </w:p>
    <w:p w14:paraId="4FC2BAB9">
      <w:pPr>
        <w:pageBreakBefore w:val="0"/>
        <w:widowControl/>
        <w:wordWrap w:val="0"/>
        <w:overflowPunct/>
        <w:topLinePunct w:val="0"/>
        <w:bidi w:val="0"/>
        <w:spacing w:line="360" w:lineRule="auto"/>
        <w:jc w:val="left"/>
        <w:rPr>
          <w:rFonts w:ascii="宋体" w:hAnsi="宋体" w:cs="宋体"/>
          <w:color w:val="auto"/>
          <w:szCs w:val="20"/>
          <w:highlight w:val="none"/>
        </w:rPr>
        <w:sectPr>
          <w:pgSz w:w="11906" w:h="16838"/>
          <w:pgMar w:top="1440" w:right="1080" w:bottom="1440" w:left="1080" w:header="720" w:footer="720" w:gutter="0"/>
          <w:pgNumType w:fmt="decimal"/>
          <w:cols w:space="720" w:num="1"/>
          <w:docGrid w:type="lines" w:linePitch="331" w:charSpace="0"/>
        </w:sectPr>
      </w:pPr>
    </w:p>
    <w:p w14:paraId="026997F7">
      <w:pPr>
        <w:pStyle w:val="14"/>
        <w:pageBreakBefore w:val="0"/>
        <w:wordWrap w:val="0"/>
        <w:overflowPunct/>
        <w:topLinePunct w:val="0"/>
        <w:bidi w:val="0"/>
        <w:spacing w:line="360" w:lineRule="auto"/>
        <w:ind w:firstLine="551" w:firstLineChars="196"/>
        <w:jc w:val="center"/>
        <w:outlineLvl w:val="1"/>
        <w:rPr>
          <w:rFonts w:hAnsi="宋体" w:cs="宋体"/>
          <w:b/>
          <w:bCs/>
          <w:color w:val="auto"/>
          <w:sz w:val="28"/>
          <w:szCs w:val="28"/>
          <w:highlight w:val="none"/>
        </w:rPr>
      </w:pPr>
      <w:bookmarkStart w:id="273" w:name="_Toc13658"/>
      <w:r>
        <w:rPr>
          <w:rFonts w:hint="eastAsia" w:hAnsi="宋体" w:cs="宋体"/>
          <w:b/>
          <w:bCs/>
          <w:color w:val="auto"/>
          <w:sz w:val="28"/>
          <w:szCs w:val="28"/>
          <w:highlight w:val="none"/>
        </w:rPr>
        <w:t>第一节 投标文件外层包装封面</w:t>
      </w:r>
      <w:bookmarkEnd w:id="273"/>
    </w:p>
    <w:p w14:paraId="7D6B6F4D">
      <w:pPr>
        <w:pageBreakBefore w:val="0"/>
        <w:wordWrap w:val="0"/>
        <w:overflowPunct/>
        <w:topLinePunct w:val="0"/>
        <w:bidi w:val="0"/>
        <w:spacing w:line="360" w:lineRule="auto"/>
        <w:jc w:val="center"/>
        <w:rPr>
          <w:rFonts w:ascii="宋体" w:hAnsi="宋体" w:cs="宋体"/>
          <w:color w:val="auto"/>
          <w:spacing w:val="20"/>
          <w:sz w:val="44"/>
          <w:szCs w:val="44"/>
          <w:highlight w:val="none"/>
        </w:rPr>
      </w:pPr>
    </w:p>
    <w:p w14:paraId="704AF61B">
      <w:pPr>
        <w:pageBreakBefore w:val="0"/>
        <w:wordWrap w:val="0"/>
        <w:overflowPunct/>
        <w:topLinePunct w:val="0"/>
        <w:bidi w:val="0"/>
        <w:spacing w:line="360" w:lineRule="auto"/>
        <w:jc w:val="center"/>
        <w:rPr>
          <w:rFonts w:ascii="宋体" w:hAnsi="宋体" w:cs="宋体"/>
          <w:color w:val="auto"/>
          <w:spacing w:val="20"/>
          <w:sz w:val="44"/>
          <w:szCs w:val="44"/>
          <w:highlight w:val="none"/>
        </w:rPr>
      </w:pPr>
    </w:p>
    <w:p w14:paraId="78948AE9">
      <w:pPr>
        <w:pageBreakBefore w:val="0"/>
        <w:wordWrap w:val="0"/>
        <w:overflowPunct/>
        <w:topLinePunct w:val="0"/>
        <w:bidi w:val="0"/>
        <w:spacing w:line="360" w:lineRule="auto"/>
        <w:jc w:val="center"/>
        <w:rPr>
          <w:rFonts w:ascii="宋体" w:hAnsi="宋体" w:cs="宋体"/>
          <w:color w:val="auto"/>
          <w:spacing w:val="20"/>
          <w:sz w:val="44"/>
          <w:szCs w:val="44"/>
          <w:highlight w:val="none"/>
        </w:rPr>
      </w:pPr>
    </w:p>
    <w:p w14:paraId="626338AC">
      <w:pPr>
        <w:pageBreakBefore w:val="0"/>
        <w:wordWrap w:val="0"/>
        <w:overflowPunct/>
        <w:topLinePunct w:val="0"/>
        <w:bidi w:val="0"/>
        <w:spacing w:line="360" w:lineRule="auto"/>
        <w:jc w:val="center"/>
        <w:rPr>
          <w:rFonts w:ascii="宋体" w:hAnsi="宋体" w:cs="宋体"/>
          <w:color w:val="auto"/>
          <w:spacing w:val="20"/>
          <w:sz w:val="44"/>
          <w:szCs w:val="44"/>
          <w:highlight w:val="none"/>
        </w:rPr>
      </w:pPr>
    </w:p>
    <w:p w14:paraId="06827D71">
      <w:pPr>
        <w:pageBreakBefore w:val="0"/>
        <w:wordWrap w:val="0"/>
        <w:overflowPunct/>
        <w:topLinePunct w:val="0"/>
        <w:bidi w:val="0"/>
        <w:spacing w:line="360" w:lineRule="auto"/>
        <w:jc w:val="center"/>
        <w:rPr>
          <w:rFonts w:ascii="宋体" w:hAnsi="宋体" w:cs="宋体"/>
          <w:color w:val="auto"/>
          <w:spacing w:val="20"/>
          <w:sz w:val="44"/>
          <w:szCs w:val="44"/>
          <w:highlight w:val="none"/>
        </w:rPr>
      </w:pPr>
      <w:r>
        <w:rPr>
          <w:rFonts w:hint="eastAsia" w:ascii="宋体" w:hAnsi="宋体" w:cs="宋体"/>
          <w:color w:val="auto"/>
          <w:spacing w:val="20"/>
          <w:sz w:val="44"/>
          <w:szCs w:val="44"/>
          <w:highlight w:val="none"/>
          <w:u w:val="single"/>
        </w:rPr>
        <w:t xml:space="preserve">             </w:t>
      </w:r>
      <w:r>
        <w:rPr>
          <w:rFonts w:hint="eastAsia" w:ascii="宋体" w:hAnsi="宋体" w:cs="宋体"/>
          <w:color w:val="auto"/>
          <w:spacing w:val="20"/>
          <w:sz w:val="44"/>
          <w:szCs w:val="44"/>
          <w:highlight w:val="none"/>
        </w:rPr>
        <w:t>项目</w:t>
      </w:r>
    </w:p>
    <w:p w14:paraId="7C11FE7C">
      <w:pPr>
        <w:pageBreakBefore w:val="0"/>
        <w:wordWrap w:val="0"/>
        <w:overflowPunct/>
        <w:topLinePunct w:val="0"/>
        <w:bidi w:val="0"/>
        <w:spacing w:line="360" w:lineRule="auto"/>
        <w:jc w:val="center"/>
        <w:rPr>
          <w:rFonts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14883C9E">
      <w:pPr>
        <w:pageBreakBefore w:val="0"/>
        <w:wordWrap w:val="0"/>
        <w:overflowPunct/>
        <w:topLinePunct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（电子投标文件）</w:t>
      </w:r>
    </w:p>
    <w:tbl>
      <w:tblPr>
        <w:tblStyle w:val="22"/>
        <w:tblW w:w="7773" w:type="dxa"/>
        <w:jc w:val="center"/>
        <w:tblLayout w:type="fixed"/>
        <w:tblCellMar>
          <w:top w:w="0" w:type="dxa"/>
          <w:left w:w="108" w:type="dxa"/>
          <w:bottom w:w="0" w:type="dxa"/>
          <w:right w:w="108" w:type="dxa"/>
        </w:tblCellMar>
      </w:tblPr>
      <w:tblGrid>
        <w:gridCol w:w="1601"/>
        <w:gridCol w:w="6172"/>
      </w:tblGrid>
      <w:tr w14:paraId="7C269E50">
        <w:tblPrEx>
          <w:tblCellMar>
            <w:top w:w="0" w:type="dxa"/>
            <w:left w:w="108" w:type="dxa"/>
            <w:bottom w:w="0" w:type="dxa"/>
            <w:right w:w="108" w:type="dxa"/>
          </w:tblCellMar>
        </w:tblPrEx>
        <w:trPr>
          <w:jc w:val="center"/>
        </w:trPr>
        <w:tc>
          <w:tcPr>
            <w:tcW w:w="1601" w:type="dxa"/>
            <w:vAlign w:val="bottom"/>
          </w:tcPr>
          <w:p w14:paraId="63C21C45">
            <w:pPr>
              <w:pageBreakBefore w:val="0"/>
              <w:wordWrap w:val="0"/>
              <w:overflowPunct/>
              <w:topLinePunct w:val="0"/>
              <w:bidi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top w:val="nil"/>
              <w:left w:val="nil"/>
              <w:bottom w:val="single" w:color="000000" w:sz="4" w:space="0"/>
              <w:right w:val="nil"/>
            </w:tcBorders>
            <w:vAlign w:val="bottom"/>
          </w:tcPr>
          <w:p w14:paraId="45867EC8">
            <w:pPr>
              <w:pageBreakBefore w:val="0"/>
              <w:wordWrap w:val="0"/>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tc>
      </w:tr>
      <w:tr w14:paraId="665A7E11">
        <w:tblPrEx>
          <w:tblCellMar>
            <w:top w:w="0" w:type="dxa"/>
            <w:left w:w="108" w:type="dxa"/>
            <w:bottom w:w="0" w:type="dxa"/>
            <w:right w:w="108" w:type="dxa"/>
          </w:tblCellMar>
        </w:tblPrEx>
        <w:trPr>
          <w:jc w:val="center"/>
        </w:trPr>
        <w:tc>
          <w:tcPr>
            <w:tcW w:w="1601" w:type="dxa"/>
            <w:vAlign w:val="bottom"/>
          </w:tcPr>
          <w:p w14:paraId="6C26E0F6">
            <w:pPr>
              <w:pageBreakBefore w:val="0"/>
              <w:wordWrap w:val="0"/>
              <w:overflowPunct/>
              <w:topLinePunct w:val="0"/>
              <w:bidi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采购人式：</w:t>
            </w:r>
          </w:p>
        </w:tc>
        <w:tc>
          <w:tcPr>
            <w:tcW w:w="6172" w:type="dxa"/>
            <w:tcBorders>
              <w:top w:val="single" w:color="000000" w:sz="4" w:space="0"/>
              <w:left w:val="nil"/>
              <w:bottom w:val="single" w:color="000000" w:sz="4" w:space="0"/>
              <w:right w:val="nil"/>
            </w:tcBorders>
            <w:vAlign w:val="bottom"/>
          </w:tcPr>
          <w:p w14:paraId="31937981">
            <w:pPr>
              <w:pageBreakBefore w:val="0"/>
              <w:wordWrap w:val="0"/>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tc>
      </w:tr>
      <w:tr w14:paraId="7A9C1B6B">
        <w:tblPrEx>
          <w:tblCellMar>
            <w:top w:w="0" w:type="dxa"/>
            <w:left w:w="108" w:type="dxa"/>
            <w:bottom w:w="0" w:type="dxa"/>
            <w:right w:w="108" w:type="dxa"/>
          </w:tblCellMar>
        </w:tblPrEx>
        <w:trPr>
          <w:jc w:val="center"/>
        </w:trPr>
        <w:tc>
          <w:tcPr>
            <w:tcW w:w="1601" w:type="dxa"/>
            <w:vAlign w:val="bottom"/>
          </w:tcPr>
          <w:p w14:paraId="028486A9">
            <w:pPr>
              <w:pageBreakBefore w:val="0"/>
              <w:wordWrap w:val="0"/>
              <w:overflowPunct/>
              <w:topLinePunct w:val="0"/>
              <w:bidi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left w:val="nil"/>
              <w:bottom w:val="single" w:color="000000" w:sz="4" w:space="0"/>
              <w:right w:val="nil"/>
            </w:tcBorders>
            <w:vAlign w:val="bottom"/>
          </w:tcPr>
          <w:p w14:paraId="3378D742">
            <w:pPr>
              <w:pageBreakBefore w:val="0"/>
              <w:wordWrap w:val="0"/>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tc>
      </w:tr>
      <w:tr w14:paraId="27906462">
        <w:tblPrEx>
          <w:tblCellMar>
            <w:top w:w="0" w:type="dxa"/>
            <w:left w:w="108" w:type="dxa"/>
            <w:bottom w:w="0" w:type="dxa"/>
            <w:right w:w="108" w:type="dxa"/>
          </w:tblCellMar>
        </w:tblPrEx>
        <w:trPr>
          <w:jc w:val="center"/>
        </w:trPr>
        <w:tc>
          <w:tcPr>
            <w:tcW w:w="1601" w:type="dxa"/>
            <w:vAlign w:val="bottom"/>
          </w:tcPr>
          <w:p w14:paraId="47089AE2">
            <w:pPr>
              <w:pageBreakBefore w:val="0"/>
              <w:wordWrap w:val="0"/>
              <w:overflowPunct/>
              <w:topLinePunct w:val="0"/>
              <w:bidi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所投分标：</w:t>
            </w:r>
          </w:p>
        </w:tc>
        <w:tc>
          <w:tcPr>
            <w:tcW w:w="6172" w:type="dxa"/>
            <w:tcBorders>
              <w:top w:val="single" w:color="000000" w:sz="4" w:space="0"/>
              <w:left w:val="nil"/>
              <w:bottom w:val="single" w:color="000000" w:sz="4" w:space="0"/>
              <w:right w:val="nil"/>
            </w:tcBorders>
            <w:vAlign w:val="bottom"/>
          </w:tcPr>
          <w:p w14:paraId="2EBA92ED">
            <w:pPr>
              <w:pageBreakBefore w:val="0"/>
              <w:wordWrap w:val="0"/>
              <w:overflowPunct/>
              <w:topLinePunct w:val="0"/>
              <w:bidi w:val="0"/>
              <w:spacing w:line="360" w:lineRule="auto"/>
              <w:jc w:val="left"/>
              <w:rPr>
                <w:rFonts w:ascii="宋体" w:hAnsi="宋体" w:cs="宋体"/>
                <w:color w:val="auto"/>
                <w:sz w:val="24"/>
                <w:highlight w:val="none"/>
              </w:rPr>
            </w:pPr>
          </w:p>
        </w:tc>
      </w:tr>
      <w:tr w14:paraId="0C07D622">
        <w:tblPrEx>
          <w:tblCellMar>
            <w:top w:w="0" w:type="dxa"/>
            <w:left w:w="108" w:type="dxa"/>
            <w:bottom w:w="0" w:type="dxa"/>
            <w:right w:w="108" w:type="dxa"/>
          </w:tblCellMar>
        </w:tblPrEx>
        <w:trPr>
          <w:jc w:val="center"/>
        </w:trPr>
        <w:tc>
          <w:tcPr>
            <w:tcW w:w="1601" w:type="dxa"/>
            <w:vAlign w:val="bottom"/>
          </w:tcPr>
          <w:p w14:paraId="205E0517">
            <w:pPr>
              <w:pageBreakBefore w:val="0"/>
              <w:wordWrap w:val="0"/>
              <w:overflowPunct/>
              <w:topLinePunct w:val="0"/>
              <w:bidi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left w:val="nil"/>
              <w:bottom w:val="single" w:color="000000" w:sz="4" w:space="0"/>
              <w:right w:val="nil"/>
            </w:tcBorders>
            <w:vAlign w:val="bottom"/>
          </w:tcPr>
          <w:p w14:paraId="070041DD">
            <w:pPr>
              <w:pageBreakBefore w:val="0"/>
              <w:wordWrap w:val="0"/>
              <w:overflowPunct/>
              <w:topLinePunct w:val="0"/>
              <w:bidi w:val="0"/>
              <w:spacing w:line="360" w:lineRule="auto"/>
              <w:jc w:val="left"/>
              <w:rPr>
                <w:rFonts w:ascii="宋体" w:hAnsi="宋体" w:cs="宋体"/>
                <w:color w:val="auto"/>
                <w:sz w:val="24"/>
                <w:highlight w:val="none"/>
              </w:rPr>
            </w:pPr>
          </w:p>
        </w:tc>
      </w:tr>
      <w:tr w14:paraId="7E77D1CF">
        <w:tblPrEx>
          <w:tblCellMar>
            <w:top w:w="0" w:type="dxa"/>
            <w:left w:w="108" w:type="dxa"/>
            <w:bottom w:w="0" w:type="dxa"/>
            <w:right w:w="108" w:type="dxa"/>
          </w:tblCellMar>
        </w:tblPrEx>
        <w:trPr>
          <w:jc w:val="center"/>
        </w:trPr>
        <w:tc>
          <w:tcPr>
            <w:tcW w:w="1601" w:type="dxa"/>
            <w:vAlign w:val="bottom"/>
          </w:tcPr>
          <w:p w14:paraId="433CA126">
            <w:pPr>
              <w:pageBreakBefore w:val="0"/>
              <w:wordWrap w:val="0"/>
              <w:overflowPunct/>
              <w:topLinePunct w:val="0"/>
              <w:bidi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left w:val="nil"/>
              <w:bottom w:val="single" w:color="000000" w:sz="4" w:space="0"/>
              <w:right w:val="nil"/>
            </w:tcBorders>
            <w:vAlign w:val="bottom"/>
          </w:tcPr>
          <w:p w14:paraId="446C5C04">
            <w:pPr>
              <w:pageBreakBefore w:val="0"/>
              <w:wordWrap w:val="0"/>
              <w:overflowPunct/>
              <w:topLinePunct w:val="0"/>
              <w:bidi w:val="0"/>
              <w:spacing w:line="360" w:lineRule="auto"/>
              <w:jc w:val="left"/>
              <w:rPr>
                <w:rFonts w:ascii="宋体" w:hAnsi="宋体" w:cs="宋体"/>
                <w:color w:val="auto"/>
                <w:sz w:val="24"/>
                <w:highlight w:val="none"/>
              </w:rPr>
            </w:pPr>
          </w:p>
        </w:tc>
      </w:tr>
    </w:tbl>
    <w:p w14:paraId="5715E1D2">
      <w:pPr>
        <w:pageBreakBefore w:val="0"/>
        <w:wordWrap w:val="0"/>
        <w:overflowPunct/>
        <w:topLinePunct w:val="0"/>
        <w:bidi w:val="0"/>
        <w:spacing w:line="360" w:lineRule="auto"/>
        <w:ind w:firstLine="4200" w:firstLineChars="1750"/>
        <w:rPr>
          <w:rFonts w:ascii="宋体" w:hAnsi="宋体" w:cs="宋体"/>
          <w:color w:val="auto"/>
          <w:sz w:val="24"/>
          <w:highlight w:val="none"/>
        </w:rPr>
      </w:pPr>
    </w:p>
    <w:p w14:paraId="51A0A2D8">
      <w:pPr>
        <w:pageBreakBefore w:val="0"/>
        <w:wordWrap w:val="0"/>
        <w:overflowPunct/>
        <w:topLinePunct w:val="0"/>
        <w:bidi w:val="0"/>
        <w:spacing w:line="360" w:lineRule="auto"/>
        <w:ind w:firstLine="4200" w:firstLineChars="1750"/>
        <w:rPr>
          <w:rFonts w:ascii="宋体" w:hAnsi="宋体" w:cs="宋体"/>
          <w:color w:val="auto"/>
          <w:sz w:val="24"/>
          <w:highlight w:val="none"/>
        </w:rPr>
      </w:pPr>
    </w:p>
    <w:p w14:paraId="0AED3DE7">
      <w:pPr>
        <w:pageBreakBefore w:val="0"/>
        <w:wordWrap w:val="0"/>
        <w:overflowPunct/>
        <w:topLinePunct w:val="0"/>
        <w:bidi w:val="0"/>
        <w:spacing w:line="360" w:lineRule="auto"/>
        <w:ind w:firstLine="4200" w:firstLineChars="1750"/>
        <w:rPr>
          <w:rFonts w:ascii="宋体" w:hAnsi="宋体" w:cs="宋体"/>
          <w:color w:val="auto"/>
          <w:sz w:val="24"/>
          <w:highlight w:val="none"/>
        </w:rPr>
      </w:pPr>
    </w:p>
    <w:p w14:paraId="6F3E3946">
      <w:pPr>
        <w:pageBreakBefore w:val="0"/>
        <w:wordWrap w:val="0"/>
        <w:overflowPunct/>
        <w:topLinePunct w:val="0"/>
        <w:bidi w:val="0"/>
        <w:spacing w:line="360" w:lineRule="auto"/>
        <w:ind w:firstLine="5880" w:firstLineChars="2450"/>
        <w:rPr>
          <w:rFonts w:ascii="宋体" w:hAnsi="宋体" w:cs="宋体"/>
          <w:color w:val="auto"/>
          <w:sz w:val="24"/>
          <w:highlight w:val="none"/>
        </w:rPr>
      </w:pPr>
      <w:r>
        <w:rPr>
          <w:rFonts w:hint="eastAsia" w:ascii="宋体" w:hAnsi="宋体" w:cs="宋体"/>
          <w:color w:val="auto"/>
          <w:sz w:val="24"/>
          <w:highlight w:val="none"/>
        </w:rPr>
        <w:t>投标截止时间前不得解密</w:t>
      </w:r>
    </w:p>
    <w:p w14:paraId="3915333A">
      <w:pPr>
        <w:pageBreakBefore w:val="0"/>
        <w:wordWrap w:val="0"/>
        <w:overflowPunct/>
        <w:topLinePunct w:val="0"/>
        <w:bidi w:val="0"/>
        <w:spacing w:line="360" w:lineRule="auto"/>
        <w:ind w:firstLine="6480" w:firstLineChars="2700"/>
        <w:rPr>
          <w:rFonts w:ascii="宋体" w:hAnsi="宋体" w:cs="宋体"/>
          <w:color w:val="auto"/>
          <w:sz w:val="24"/>
          <w:highlight w:val="none"/>
        </w:rPr>
      </w:pPr>
      <w:r>
        <w:rPr>
          <w:rFonts w:hint="eastAsia" w:ascii="宋体" w:hAnsi="宋体" w:cs="宋体"/>
          <w:color w:val="auto"/>
          <w:sz w:val="24"/>
          <w:highlight w:val="none"/>
        </w:rPr>
        <w:t>年   月   日</w:t>
      </w:r>
    </w:p>
    <w:p w14:paraId="72D25ED5">
      <w:pPr>
        <w:pageBreakBefore w:val="0"/>
        <w:widowControl/>
        <w:wordWrap w:val="0"/>
        <w:overflowPunct/>
        <w:topLinePunct w:val="0"/>
        <w:bidi w:val="0"/>
        <w:spacing w:line="360" w:lineRule="auto"/>
        <w:jc w:val="left"/>
        <w:rPr>
          <w:rFonts w:ascii="宋体" w:hAnsi="宋体" w:cs="宋体"/>
          <w:color w:val="auto"/>
          <w:sz w:val="24"/>
          <w:highlight w:val="none"/>
        </w:rPr>
        <w:sectPr>
          <w:pgSz w:w="11907" w:h="16840"/>
          <w:pgMar w:top="1440" w:right="1080" w:bottom="1440" w:left="1080" w:header="720" w:footer="720" w:gutter="0"/>
          <w:pgNumType w:fmt="decimal"/>
          <w:cols w:space="720" w:num="1"/>
        </w:sectPr>
      </w:pPr>
    </w:p>
    <w:p w14:paraId="25D7F444">
      <w:pPr>
        <w:pStyle w:val="14"/>
        <w:pageBreakBefore w:val="0"/>
        <w:wordWrap w:val="0"/>
        <w:overflowPunct/>
        <w:topLinePunct w:val="0"/>
        <w:bidi w:val="0"/>
        <w:spacing w:line="360" w:lineRule="auto"/>
        <w:jc w:val="center"/>
        <w:outlineLvl w:val="1"/>
        <w:rPr>
          <w:rFonts w:hAnsi="宋体" w:cs="宋体"/>
          <w:b/>
          <w:bCs/>
          <w:color w:val="auto"/>
          <w:sz w:val="28"/>
          <w:szCs w:val="28"/>
          <w:highlight w:val="none"/>
        </w:rPr>
      </w:pPr>
      <w:bookmarkStart w:id="274" w:name="_Toc20946"/>
      <w:r>
        <w:rPr>
          <w:rFonts w:hint="eastAsia" w:hAnsi="宋体" w:cs="宋体"/>
          <w:b/>
          <w:bCs/>
          <w:color w:val="auto"/>
          <w:sz w:val="28"/>
          <w:szCs w:val="28"/>
          <w:highlight w:val="none"/>
        </w:rPr>
        <w:t>第二节 资格证明文件格式</w:t>
      </w:r>
      <w:bookmarkEnd w:id="274"/>
    </w:p>
    <w:p w14:paraId="6A7E5DC0">
      <w:pPr>
        <w:pStyle w:val="14"/>
        <w:pageBreakBefore w:val="0"/>
        <w:wordWrap w:val="0"/>
        <w:overflowPunct/>
        <w:topLinePunct w:val="0"/>
        <w:bidi w:val="0"/>
        <w:spacing w:line="360" w:lineRule="auto"/>
        <w:ind w:firstLine="420"/>
        <w:rPr>
          <w:rFonts w:hAnsi="宋体" w:cs="宋体"/>
          <w:color w:val="auto"/>
          <w:sz w:val="30"/>
          <w:highlight w:val="none"/>
        </w:rPr>
      </w:pPr>
    </w:p>
    <w:p w14:paraId="5940CCE4">
      <w:pPr>
        <w:pageBreakBefore w:val="0"/>
        <w:wordWrap w:val="0"/>
        <w:overflowPunct/>
        <w:topLinePunct w:val="0"/>
        <w:bidi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465A35A3">
      <w:pPr>
        <w:pageBreakBefore w:val="0"/>
        <w:wordWrap w:val="0"/>
        <w:overflowPunct/>
        <w:topLinePunct w:val="0"/>
        <w:bidi w:val="0"/>
        <w:snapToGrid w:val="0"/>
        <w:spacing w:line="360" w:lineRule="auto"/>
        <w:rPr>
          <w:rFonts w:ascii="宋体" w:hAnsi="宋体" w:cs="宋体"/>
          <w:color w:val="auto"/>
          <w:sz w:val="24"/>
          <w:szCs w:val="20"/>
          <w:highlight w:val="none"/>
        </w:rPr>
      </w:pPr>
    </w:p>
    <w:p w14:paraId="1E9FB466">
      <w:pPr>
        <w:pageBreakBefore w:val="0"/>
        <w:wordWrap w:val="0"/>
        <w:overflowPunct/>
        <w:topLinePunct w:val="0"/>
        <w:bidi w:val="0"/>
        <w:snapToGrid w:val="0"/>
        <w:spacing w:line="360" w:lineRule="auto"/>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资格证明文件（封面）</w:t>
      </w:r>
    </w:p>
    <w:p w14:paraId="0E1827B7">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396411FF">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6C4F801D">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53BC98AB">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599D188A">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2B00CB6C">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28D39FE8">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694B948D">
      <w:pPr>
        <w:pageBreakBefore w:val="0"/>
        <w:wordWrap w:val="0"/>
        <w:overflowPunct/>
        <w:topLinePunct w:val="0"/>
        <w:bidi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25FE8E54">
      <w:pPr>
        <w:pageBreakBefore w:val="0"/>
        <w:wordWrap w:val="0"/>
        <w:overflowPunct/>
        <w:topLinePunct w:val="0"/>
        <w:bidi w:val="0"/>
        <w:snapToGrid w:val="0"/>
        <w:spacing w:line="360" w:lineRule="auto"/>
        <w:ind w:firstLine="540" w:firstLineChars="225"/>
        <w:rPr>
          <w:rFonts w:ascii="宋体" w:hAnsi="宋体" w:cs="宋体"/>
          <w:bCs/>
          <w:color w:val="auto"/>
          <w:sz w:val="24"/>
          <w:szCs w:val="20"/>
          <w:highlight w:val="none"/>
        </w:rPr>
      </w:pPr>
    </w:p>
    <w:p w14:paraId="47743C69">
      <w:pPr>
        <w:pageBreakBefore w:val="0"/>
        <w:wordWrap w:val="0"/>
        <w:overflowPunct/>
        <w:topLinePunct w:val="0"/>
        <w:bidi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r>
        <w:rPr>
          <w:rFonts w:hint="eastAsia" w:ascii="宋体" w:hAnsi="宋体" w:cs="宋体"/>
          <w:color w:val="auto"/>
          <w:sz w:val="24"/>
          <w:highlight w:val="none"/>
        </w:rPr>
        <w:t xml:space="preserve"> </w:t>
      </w:r>
    </w:p>
    <w:p w14:paraId="59ADF318">
      <w:pPr>
        <w:pageBreakBefore w:val="0"/>
        <w:wordWrap w:val="0"/>
        <w:overflowPunct/>
        <w:topLinePunct w:val="0"/>
        <w:bidi w:val="0"/>
        <w:snapToGrid w:val="0"/>
        <w:spacing w:line="360" w:lineRule="auto"/>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74E7EEA1">
      <w:pPr>
        <w:pageBreakBefore w:val="0"/>
        <w:wordWrap w:val="0"/>
        <w:overflowPunct/>
        <w:topLinePunct w:val="0"/>
        <w:bidi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w:t>
      </w:r>
    </w:p>
    <w:p w14:paraId="083B7528">
      <w:pPr>
        <w:pStyle w:val="10"/>
        <w:pageBreakBefore w:val="0"/>
        <w:wordWrap w:val="0"/>
        <w:overflowPunct/>
        <w:topLinePunct w:val="0"/>
        <w:bidi w:val="0"/>
        <w:snapToGrid w:val="0"/>
        <w:spacing w:line="360" w:lineRule="auto"/>
        <w:ind w:firstLine="540" w:firstLineChars="225"/>
        <w:rPr>
          <w:rFonts w:ascii="宋体" w:hAnsi="宋体" w:cs="宋体"/>
          <w:bCs/>
          <w:color w:val="auto"/>
          <w:sz w:val="24"/>
          <w:szCs w:val="24"/>
          <w:highlight w:val="none"/>
        </w:rPr>
      </w:pPr>
    </w:p>
    <w:p w14:paraId="3014772C">
      <w:pPr>
        <w:pStyle w:val="10"/>
        <w:pageBreakBefore w:val="0"/>
        <w:wordWrap w:val="0"/>
        <w:overflowPunct/>
        <w:topLinePunct w:val="0"/>
        <w:bidi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76F74143">
      <w:pPr>
        <w:pStyle w:val="10"/>
        <w:pageBreakBefore w:val="0"/>
        <w:wordWrap w:val="0"/>
        <w:overflowPunct/>
        <w:topLinePunct w:val="0"/>
        <w:bidi w:val="0"/>
        <w:snapToGrid w:val="0"/>
        <w:spacing w:line="360" w:lineRule="auto"/>
        <w:ind w:firstLine="540" w:firstLineChars="225"/>
        <w:rPr>
          <w:rFonts w:ascii="宋体" w:hAnsi="宋体" w:cs="宋体"/>
          <w:bCs/>
          <w:color w:val="auto"/>
          <w:sz w:val="24"/>
          <w:szCs w:val="24"/>
          <w:highlight w:val="none"/>
        </w:rPr>
      </w:pPr>
    </w:p>
    <w:p w14:paraId="4E47F50C">
      <w:pPr>
        <w:pStyle w:val="10"/>
        <w:pageBreakBefore w:val="0"/>
        <w:wordWrap w:val="0"/>
        <w:overflowPunct/>
        <w:topLinePunct w:val="0"/>
        <w:bidi w:val="0"/>
        <w:snapToGrid w:val="0"/>
        <w:spacing w:line="360" w:lineRule="auto"/>
        <w:ind w:firstLine="960" w:firstLineChars="400"/>
        <w:rPr>
          <w:rFonts w:ascii="宋体" w:hAnsi="宋体" w:cs="宋体"/>
          <w:bCs/>
          <w:color w:val="auto"/>
          <w:sz w:val="24"/>
          <w:szCs w:val="24"/>
          <w:highlight w:val="none"/>
        </w:rPr>
      </w:pPr>
    </w:p>
    <w:p w14:paraId="69A05E62">
      <w:pPr>
        <w:pageBreakBefore w:val="0"/>
        <w:wordWrap w:val="0"/>
        <w:overflowPunct/>
        <w:topLinePunct w:val="0"/>
        <w:bidi w:val="0"/>
        <w:snapToGrid w:val="0"/>
        <w:spacing w:line="360" w:lineRule="auto"/>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6B6A1C63">
      <w:pPr>
        <w:pageBreakBefore w:val="0"/>
        <w:widowControl/>
        <w:wordWrap w:val="0"/>
        <w:overflowPunct/>
        <w:topLinePunct w:val="0"/>
        <w:bidi w:val="0"/>
        <w:spacing w:line="360" w:lineRule="auto"/>
        <w:jc w:val="left"/>
        <w:rPr>
          <w:rFonts w:ascii="宋体" w:hAnsi="宋体" w:cs="宋体"/>
          <w:color w:val="auto"/>
          <w:sz w:val="30"/>
          <w:szCs w:val="20"/>
          <w:highlight w:val="none"/>
        </w:rPr>
        <w:sectPr>
          <w:pgSz w:w="11906" w:h="16838"/>
          <w:pgMar w:top="1440" w:right="1080" w:bottom="1440" w:left="1080" w:header="720" w:footer="720" w:gutter="0"/>
          <w:pgNumType w:fmt="decimal"/>
          <w:cols w:space="720" w:num="1"/>
          <w:docGrid w:type="lines" w:linePitch="331" w:charSpace="0"/>
        </w:sectPr>
      </w:pPr>
    </w:p>
    <w:p w14:paraId="4651FF17">
      <w:pPr>
        <w:pageBreakBefore w:val="0"/>
        <w:wordWrap w:val="0"/>
        <w:overflowPunct/>
        <w:topLinePunct w:val="0"/>
        <w:bidi w:val="0"/>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291A99D3">
      <w:pPr>
        <w:pageBreakBefore w:val="0"/>
        <w:wordWrap w:val="0"/>
        <w:overflowPunct/>
        <w:topLinePunct w:val="0"/>
        <w:bidi w:val="0"/>
        <w:snapToGrid w:val="0"/>
        <w:spacing w:line="360" w:lineRule="auto"/>
        <w:rPr>
          <w:rFonts w:ascii="宋体" w:hAnsi="宋体" w:cs="宋体"/>
          <w:color w:val="auto"/>
          <w:kern w:val="0"/>
          <w:sz w:val="24"/>
          <w:highlight w:val="none"/>
        </w:rPr>
      </w:pPr>
    </w:p>
    <w:p w14:paraId="5D826F5D">
      <w:pPr>
        <w:pageBreakBefore w:val="0"/>
        <w:wordWrap w:val="0"/>
        <w:overflowPunct/>
        <w:topLinePunct w:val="0"/>
        <w:bidi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营业执照(或事业法人登记证或其他工商等登记证明材料)复印件（投标人为自然人的，须提供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543627A9">
      <w:pPr>
        <w:pageBreakBefore w:val="0"/>
        <w:wordWrap w:val="0"/>
        <w:overflowPunct/>
        <w:topLinePunct w:val="0"/>
        <w:bidi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1A0A969E">
      <w:pPr>
        <w:pageBreakBefore w:val="0"/>
        <w:wordWrap w:val="0"/>
        <w:overflowPunct/>
        <w:topLinePunct w:val="0"/>
        <w:bidi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6BFDD899">
      <w:pPr>
        <w:pageBreakBefore w:val="0"/>
        <w:wordWrap w:val="0"/>
        <w:overflowPunct/>
        <w:topLinePunct w:val="0"/>
        <w:bidi w:val="0"/>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四、投标人直接控股股东信息</w:t>
      </w:r>
      <w:r>
        <w:rPr>
          <w:rFonts w:hint="eastAsia" w:ascii="宋体" w:hAnsi="宋体" w:cs="宋体"/>
          <w:color w:val="auto"/>
          <w:sz w:val="24"/>
          <w:highlight w:val="none"/>
          <w:lang w:val="en-US" w:eastAsia="zh-CN"/>
        </w:rPr>
        <w:t>表</w:t>
      </w:r>
      <w:r>
        <w:rPr>
          <w:rFonts w:hint="eastAsia" w:ascii="宋体" w:hAnsi="宋体" w:cs="宋体"/>
          <w:color w:val="auto"/>
          <w:kern w:val="0"/>
          <w:sz w:val="24"/>
          <w:highlight w:val="none"/>
        </w:rPr>
        <w:t>…………………………………………………………（页码）</w:t>
      </w:r>
    </w:p>
    <w:p w14:paraId="222CD3C5">
      <w:pPr>
        <w:pageBreakBefore w:val="0"/>
        <w:wordWrap w:val="0"/>
        <w:overflowPunct/>
        <w:topLinePunct w:val="0"/>
        <w:bidi w:val="0"/>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五、投标人直接管理关系信息表</w:t>
      </w:r>
      <w:r>
        <w:rPr>
          <w:rFonts w:hint="eastAsia" w:ascii="宋体" w:hAnsi="宋体" w:cs="宋体"/>
          <w:color w:val="auto"/>
          <w:kern w:val="0"/>
          <w:sz w:val="24"/>
          <w:highlight w:val="none"/>
        </w:rPr>
        <w:t>………………………………………………………（页码）</w:t>
      </w:r>
    </w:p>
    <w:p w14:paraId="31E70913">
      <w:pPr>
        <w:pageBreakBefore w:val="0"/>
        <w:wordWrap w:val="0"/>
        <w:overflowPunct/>
        <w:topLinePunct w:val="0"/>
        <w:bidi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六、投标资格声明函……………………………………………………………………（页码）</w:t>
      </w:r>
    </w:p>
    <w:p w14:paraId="5CD7C84E">
      <w:pPr>
        <w:pageBreakBefore w:val="0"/>
        <w:wordWrap w:val="0"/>
        <w:overflowPunct/>
        <w:topLinePunct w:val="0"/>
        <w:bidi w:val="0"/>
        <w:snapToGrid w:val="0"/>
        <w:spacing w:line="360"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七、中小</w:t>
      </w:r>
      <w:r>
        <w:rPr>
          <w:rFonts w:hint="eastAsia" w:ascii="宋体" w:hAnsi="宋体" w:cs="宋体"/>
          <w:color w:val="auto"/>
          <w:kern w:val="0"/>
          <w:sz w:val="24"/>
          <w:highlight w:val="none"/>
        </w:rPr>
        <w:t>企业声明函……………………………………………………………………（页码）</w:t>
      </w:r>
    </w:p>
    <w:p w14:paraId="4D05847F">
      <w:pPr>
        <w:pageBreakBefore w:val="0"/>
        <w:wordWrap w:val="0"/>
        <w:overflowPunct/>
        <w:topLinePunct w:val="0"/>
        <w:bidi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八、</w:t>
      </w:r>
      <w:r>
        <w:rPr>
          <w:rFonts w:hint="eastAsia" w:ascii="宋体" w:hAnsi="宋体" w:cs="宋体"/>
          <w:color w:val="auto"/>
          <w:kern w:val="0"/>
          <w:sz w:val="24"/>
          <w:highlight w:val="none"/>
        </w:rPr>
        <w:t>联合体协议书（</w:t>
      </w:r>
      <w:r>
        <w:rPr>
          <w:rFonts w:hint="eastAsia" w:ascii="宋体" w:hAnsi="宋体" w:cs="宋体"/>
          <w:color w:val="auto"/>
          <w:sz w:val="24"/>
          <w:highlight w:val="none"/>
        </w:rPr>
        <w:t>以联合体形式投标的，提供联合体协议；本项目不接受联合体投标或者投标人不以联合体形式投标的，则不需要提供</w:t>
      </w:r>
      <w:r>
        <w:rPr>
          <w:rFonts w:hint="eastAsia" w:ascii="宋体" w:hAnsi="宋体" w:cs="宋体"/>
          <w:color w:val="auto"/>
          <w:kern w:val="0"/>
          <w:sz w:val="24"/>
          <w:highlight w:val="none"/>
        </w:rPr>
        <w:t>）………………………………………（页码）</w:t>
      </w:r>
    </w:p>
    <w:p w14:paraId="780D6BBB">
      <w:pPr>
        <w:keepLines/>
        <w:pageBreakBefore w:val="0"/>
        <w:numPr>
          <w:ilvl w:val="0"/>
          <w:numId w:val="0"/>
        </w:numPr>
        <w:wordWrap w:val="0"/>
        <w:overflowPunct/>
        <w:topLinePunct w:val="0"/>
        <w:bidi w:val="0"/>
        <w:snapToGrid w:val="0"/>
        <w:spacing w:line="360" w:lineRule="auto"/>
        <w:jc w:val="left"/>
        <w:rPr>
          <w:rFonts w:hint="eastAsia" w:ascii="宋体" w:hAnsi="宋体"/>
          <w:color w:val="auto"/>
          <w:sz w:val="24"/>
          <w:highlight w:val="none"/>
        </w:rPr>
      </w:pPr>
      <w:r>
        <w:rPr>
          <w:rFonts w:hint="eastAsia" w:ascii="宋体" w:hAnsi="宋体"/>
          <w:color w:val="auto"/>
          <w:sz w:val="24"/>
          <w:highlight w:val="none"/>
          <w:lang w:val="en-US" w:eastAsia="zh-CN"/>
        </w:rPr>
        <w:t>九、</w:t>
      </w:r>
      <w:r>
        <w:rPr>
          <w:rFonts w:hint="eastAsia" w:ascii="宋体" w:hAnsi="宋体"/>
          <w:color w:val="auto"/>
          <w:sz w:val="24"/>
          <w:highlight w:val="none"/>
        </w:rPr>
        <w:t>除招标文件规定必须提供以外，投标人认为需要提供的其他证明材料</w:t>
      </w:r>
      <w:r>
        <w:rPr>
          <w:rFonts w:hint="eastAsia" w:ascii="宋体" w:hAnsi="宋体" w:cs="宋体"/>
          <w:color w:val="auto"/>
          <w:kern w:val="0"/>
          <w:sz w:val="24"/>
          <w:highlight w:val="none"/>
        </w:rPr>
        <w:t>………（页码）</w:t>
      </w:r>
    </w:p>
    <w:p w14:paraId="3B8CA5CA">
      <w:pPr>
        <w:keepLines/>
        <w:pageBreakBefore w:val="0"/>
        <w:numPr>
          <w:ilvl w:val="0"/>
          <w:numId w:val="0"/>
        </w:numPr>
        <w:wordWrap w:val="0"/>
        <w:overflowPunct/>
        <w:topLinePunct w:val="0"/>
        <w:bidi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0B41F470">
      <w:pPr>
        <w:pageBreakBefore w:val="0"/>
        <w:widowControl/>
        <w:wordWrap w:val="0"/>
        <w:overflowPunct/>
        <w:topLinePunct w:val="0"/>
        <w:bidi w:val="0"/>
        <w:spacing w:line="360" w:lineRule="auto"/>
        <w:jc w:val="left"/>
        <w:rPr>
          <w:rFonts w:ascii="宋体" w:hAnsi="宋体" w:cs="宋体"/>
          <w:color w:val="auto"/>
          <w:sz w:val="30"/>
          <w:szCs w:val="20"/>
          <w:highlight w:val="none"/>
        </w:rPr>
        <w:sectPr>
          <w:pgSz w:w="11906" w:h="16838"/>
          <w:pgMar w:top="1440" w:right="1080" w:bottom="1440" w:left="1080" w:header="720" w:footer="720" w:gutter="0"/>
          <w:pgNumType w:fmt="decimal"/>
          <w:cols w:space="720" w:num="1"/>
          <w:docGrid w:type="lines" w:linePitch="331" w:charSpace="0"/>
        </w:sectPr>
      </w:pPr>
    </w:p>
    <w:p w14:paraId="0E101564">
      <w:pPr>
        <w:pageBreakBefore w:val="0"/>
        <w:wordWrap w:val="0"/>
        <w:overflowPunct/>
        <w:topLinePunct w:val="0"/>
        <w:bidi w:val="0"/>
        <w:snapToGrid w:val="0"/>
        <w:spacing w:line="360" w:lineRule="auto"/>
        <w:rPr>
          <w:rFonts w:ascii="宋体" w:hAnsi="宋体" w:cs="宋体"/>
          <w:b/>
          <w:color w:val="auto"/>
          <w:kern w:val="0"/>
          <w:sz w:val="32"/>
          <w:szCs w:val="32"/>
          <w:highlight w:val="none"/>
          <w:lang w:val="zh-CN"/>
        </w:rPr>
      </w:pPr>
    </w:p>
    <w:p w14:paraId="4DEDBBD2">
      <w:pPr>
        <w:pageBreakBefore w:val="0"/>
        <w:wordWrap w:val="0"/>
        <w:overflowPunct/>
        <w:topLinePunct w:val="0"/>
        <w:bidi w:val="0"/>
        <w:spacing w:line="360" w:lineRule="auto"/>
        <w:jc w:val="center"/>
        <w:rPr>
          <w:rFonts w:ascii="宋体" w:hAnsi="宋体" w:cs="宋体"/>
          <w:b/>
          <w:color w:val="auto"/>
          <w:sz w:val="30"/>
          <w:szCs w:val="30"/>
          <w:highlight w:val="none"/>
        </w:rPr>
      </w:pPr>
      <w:r>
        <w:rPr>
          <w:rFonts w:hint="eastAsia" w:ascii="宋体" w:hAnsi="宋体" w:cs="宋体"/>
          <w:b/>
          <w:color w:val="auto"/>
          <w:kern w:val="0"/>
          <w:sz w:val="32"/>
          <w:szCs w:val="32"/>
          <w:highlight w:val="none"/>
          <w:lang w:val="zh-CN"/>
        </w:rPr>
        <w:t>一、</w:t>
      </w:r>
      <w:r>
        <w:rPr>
          <w:rFonts w:hint="eastAsia" w:ascii="宋体" w:hAnsi="宋体" w:cs="宋体"/>
          <w:b/>
          <w:color w:val="auto"/>
          <w:sz w:val="30"/>
          <w:szCs w:val="30"/>
          <w:highlight w:val="none"/>
        </w:rPr>
        <w:t>营业执照(或事业法人登记证或其他工商等登记证明材料)复印件（投标人为自然人的，提供自然人的身份证明）</w:t>
      </w:r>
    </w:p>
    <w:p w14:paraId="69CF45B4">
      <w:pPr>
        <w:pageBreakBefore w:val="0"/>
        <w:wordWrap w:val="0"/>
        <w:overflowPunct/>
        <w:topLinePunct w:val="0"/>
        <w:bidi w:val="0"/>
        <w:spacing w:line="360" w:lineRule="auto"/>
        <w:rPr>
          <w:rFonts w:ascii="宋体" w:hAnsi="宋体" w:cs="宋体"/>
          <w:b/>
          <w:color w:val="auto"/>
          <w:sz w:val="30"/>
          <w:szCs w:val="30"/>
          <w:highlight w:val="none"/>
        </w:rPr>
      </w:pPr>
    </w:p>
    <w:p w14:paraId="77BD88BC">
      <w:pPr>
        <w:pageBreakBefore w:val="0"/>
        <w:wordWrap w:val="0"/>
        <w:overflowPunct/>
        <w:topLinePunct w:val="0"/>
        <w:bidi w:val="0"/>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投标人名称(电子签章)：                              </w:t>
      </w:r>
    </w:p>
    <w:p w14:paraId="59B63694">
      <w:pPr>
        <w:pageBreakBefore w:val="0"/>
        <w:wordWrap w:val="0"/>
        <w:overflowPunct/>
        <w:topLinePunct w:val="0"/>
        <w:bidi w:val="0"/>
        <w:spacing w:line="360" w:lineRule="auto"/>
        <w:jc w:val="center"/>
        <w:rPr>
          <w:rFonts w:ascii="宋体" w:hAnsi="宋体" w:cs="宋体"/>
          <w:b/>
          <w:color w:val="auto"/>
          <w:sz w:val="30"/>
          <w:szCs w:val="30"/>
          <w:highlight w:val="none"/>
        </w:rPr>
      </w:pPr>
      <w:r>
        <w:rPr>
          <w:rFonts w:hint="eastAsia" w:ascii="宋体" w:hAnsi="宋体" w:cs="宋体"/>
          <w:color w:val="auto"/>
          <w:kern w:val="0"/>
          <w:sz w:val="24"/>
          <w:highlight w:val="none"/>
          <w:lang w:val="zh-CN"/>
        </w:rPr>
        <w:t xml:space="preserve">                   日期：  年  月</w:t>
      </w:r>
    </w:p>
    <w:p w14:paraId="46AA40CC">
      <w:pPr>
        <w:pageBreakBefore w:val="0"/>
        <w:wordWrap w:val="0"/>
        <w:overflowPunct/>
        <w:topLinePunct w:val="0"/>
        <w:bidi w:val="0"/>
        <w:spacing w:line="360" w:lineRule="auto"/>
        <w:jc w:val="center"/>
        <w:rPr>
          <w:rFonts w:ascii="宋体" w:hAnsi="宋体" w:cs="宋体"/>
          <w:b/>
          <w:color w:val="auto"/>
          <w:sz w:val="30"/>
          <w:szCs w:val="30"/>
          <w:highlight w:val="none"/>
        </w:rPr>
      </w:pPr>
    </w:p>
    <w:p w14:paraId="7070D103">
      <w:pPr>
        <w:pageBreakBefore w:val="0"/>
        <w:wordWrap w:val="0"/>
        <w:overflowPunct/>
        <w:topLinePunct w:val="0"/>
        <w:bidi w:val="0"/>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sz w:val="30"/>
          <w:szCs w:val="30"/>
          <w:highlight w:val="none"/>
        </w:rPr>
        <w:t>二、</w:t>
      </w:r>
      <w:r>
        <w:rPr>
          <w:rFonts w:hint="eastAsia" w:ascii="宋体" w:hAnsi="宋体" w:cs="宋体"/>
          <w:b/>
          <w:color w:val="auto"/>
          <w:kern w:val="0"/>
          <w:sz w:val="32"/>
          <w:szCs w:val="32"/>
          <w:highlight w:val="none"/>
        </w:rPr>
        <w:t>符合参与政府采购活动的资格条件依法缴纳税收、社会保障资金等方面的材料</w:t>
      </w:r>
    </w:p>
    <w:p w14:paraId="1B082D92">
      <w:pPr>
        <w:pageBreakBefore w:val="0"/>
        <w:wordWrap w:val="0"/>
        <w:overflowPunct/>
        <w:topLinePunct w:val="0"/>
        <w:bidi w:val="0"/>
        <w:snapToGrid w:val="0"/>
        <w:spacing w:line="360" w:lineRule="auto"/>
        <w:ind w:firstLine="480" w:firstLineChars="200"/>
        <w:rPr>
          <w:rFonts w:ascii="宋体" w:hAnsi="宋体" w:cs="宋体"/>
          <w:color w:val="auto"/>
          <w:sz w:val="24"/>
          <w:highlight w:val="none"/>
        </w:rPr>
      </w:pPr>
    </w:p>
    <w:p w14:paraId="1CD03BB2">
      <w:pPr>
        <w:pageBreakBefore w:val="0"/>
        <w:wordWrap w:val="0"/>
        <w:overflowPunct/>
        <w:topLinePunct w:val="0"/>
        <w:bidi w:val="0"/>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360F21A9">
      <w:pPr>
        <w:pageBreakBefore w:val="0"/>
        <w:wordWrap w:val="0"/>
        <w:overflowPunct/>
        <w:topLinePunct w:val="0"/>
        <w:bidi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04922762">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1DD5BDE">
      <w:pPr>
        <w:pageBreakBefore w:val="0"/>
        <w:wordWrap w:val="0"/>
        <w:overflowPunct/>
        <w:topLinePunct w:val="0"/>
        <w:bidi w:val="0"/>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sz w:val="30"/>
          <w:szCs w:val="30"/>
          <w:highlight w:val="none"/>
        </w:rPr>
        <w:t>三、</w:t>
      </w:r>
      <w:r>
        <w:rPr>
          <w:rFonts w:hint="eastAsia" w:ascii="宋体" w:hAnsi="宋体" w:cs="宋体"/>
          <w:b/>
          <w:color w:val="auto"/>
          <w:kern w:val="0"/>
          <w:sz w:val="32"/>
          <w:szCs w:val="32"/>
          <w:highlight w:val="none"/>
        </w:rPr>
        <w:t>财务状况报告方面的材料</w:t>
      </w:r>
    </w:p>
    <w:p w14:paraId="1B41A7B8">
      <w:pPr>
        <w:pageBreakBefore w:val="0"/>
        <w:wordWrap w:val="0"/>
        <w:overflowPunct/>
        <w:topLinePunct w:val="0"/>
        <w:bidi w:val="0"/>
        <w:snapToGrid w:val="0"/>
        <w:spacing w:line="360" w:lineRule="auto"/>
        <w:ind w:firstLine="480" w:firstLineChars="200"/>
        <w:rPr>
          <w:rFonts w:ascii="宋体" w:hAnsi="宋体" w:cs="宋体"/>
          <w:color w:val="auto"/>
          <w:sz w:val="24"/>
          <w:highlight w:val="none"/>
        </w:rPr>
      </w:pPr>
    </w:p>
    <w:p w14:paraId="429F3D27">
      <w:pPr>
        <w:pageBreakBefore w:val="0"/>
        <w:wordWrap w:val="0"/>
        <w:overflowPunct/>
        <w:topLinePunct w:val="0"/>
        <w:bidi w:val="0"/>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70810AD7">
      <w:pPr>
        <w:pageBreakBefore w:val="0"/>
        <w:wordWrap w:val="0"/>
        <w:overflowPunct/>
        <w:topLinePunct w:val="0"/>
        <w:bidi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4DA1B55B">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5219D5A">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p>
    <w:p w14:paraId="5F885E56">
      <w:pPr>
        <w:pageBreakBefore w:val="0"/>
        <w:wordWrap w:val="0"/>
        <w:overflowPunct/>
        <w:topLinePunct w:val="0"/>
        <w:bidi w:val="0"/>
        <w:snapToGrid w:val="0"/>
        <w:spacing w:line="360" w:lineRule="auto"/>
        <w:ind w:right="480"/>
        <w:jc w:val="center"/>
        <w:rPr>
          <w:rFonts w:ascii="宋体" w:hAnsi="宋体" w:cs="宋体"/>
          <w:b/>
          <w:color w:val="auto"/>
          <w:kern w:val="0"/>
          <w:sz w:val="32"/>
          <w:szCs w:val="32"/>
          <w:highlight w:val="none"/>
          <w:lang w:val="zh-CN"/>
        </w:rPr>
      </w:pPr>
    </w:p>
    <w:p w14:paraId="43414A66">
      <w:pPr>
        <w:pageBreakBefore w:val="0"/>
        <w:wordWrap w:val="0"/>
        <w:overflowPunct/>
        <w:topLinePunct w:val="0"/>
        <w:bidi w:val="0"/>
        <w:snapToGrid w:val="0"/>
        <w:spacing w:line="360" w:lineRule="auto"/>
        <w:ind w:right="480"/>
        <w:jc w:val="center"/>
        <w:rPr>
          <w:rFonts w:ascii="宋体" w:hAnsi="宋体" w:cs="宋体"/>
          <w:b/>
          <w:color w:val="auto"/>
          <w:sz w:val="28"/>
          <w:szCs w:val="28"/>
          <w:highlight w:val="none"/>
        </w:rPr>
      </w:pPr>
      <w:r>
        <w:rPr>
          <w:rFonts w:hint="eastAsia" w:ascii="宋体" w:hAnsi="宋体" w:cs="宋体"/>
          <w:b/>
          <w:color w:val="auto"/>
          <w:kern w:val="0"/>
          <w:sz w:val="32"/>
          <w:szCs w:val="32"/>
          <w:highlight w:val="none"/>
        </w:rPr>
        <w:br w:type="page"/>
      </w:r>
    </w:p>
    <w:p w14:paraId="5DE37BF3">
      <w:pPr>
        <w:pageBreakBefore w:val="0"/>
        <w:wordWrap w:val="0"/>
        <w:overflowPunct/>
        <w:topLinePunct w:val="0"/>
        <w:bidi w:val="0"/>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四、投标人直接控股股东信息表</w:t>
      </w:r>
    </w:p>
    <w:tbl>
      <w:tblPr>
        <w:tblStyle w:val="22"/>
        <w:tblW w:w="9476" w:type="dxa"/>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E7E8590">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8113599">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5F6CE57">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7F2486E">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6C595CE">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E0924D7">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56C55E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CE9EA8">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F502A6">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8F652C">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0D5AD6">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EE2449">
            <w:pPr>
              <w:pageBreakBefore w:val="0"/>
              <w:wordWrap w:val="0"/>
              <w:overflowPunct/>
              <w:topLinePunct w:val="0"/>
              <w:bidi w:val="0"/>
              <w:spacing w:line="360" w:lineRule="auto"/>
              <w:jc w:val="center"/>
              <w:rPr>
                <w:rFonts w:ascii="宋体" w:hAnsi="宋体" w:cs="宋体"/>
                <w:color w:val="auto"/>
                <w:kern w:val="0"/>
                <w:sz w:val="24"/>
                <w:highlight w:val="none"/>
              </w:rPr>
            </w:pPr>
          </w:p>
        </w:tc>
      </w:tr>
      <w:tr w14:paraId="1ED96D0F">
        <w:tblPrEx>
          <w:shd w:val="clear" w:color="auto" w:fill="FBFBFB"/>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05B149">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278511">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BD3482">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F6B99C">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03576C">
            <w:pPr>
              <w:pageBreakBefore w:val="0"/>
              <w:wordWrap w:val="0"/>
              <w:overflowPunct/>
              <w:topLinePunct w:val="0"/>
              <w:bidi w:val="0"/>
              <w:spacing w:line="360" w:lineRule="auto"/>
              <w:jc w:val="center"/>
              <w:rPr>
                <w:rFonts w:ascii="宋体" w:hAnsi="宋体" w:cs="宋体"/>
                <w:color w:val="auto"/>
                <w:kern w:val="0"/>
                <w:sz w:val="24"/>
                <w:highlight w:val="none"/>
              </w:rPr>
            </w:pPr>
          </w:p>
        </w:tc>
      </w:tr>
      <w:tr w14:paraId="60F5610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B6A933">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0CF607">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91E412">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CB6084">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C026C8">
            <w:pPr>
              <w:pageBreakBefore w:val="0"/>
              <w:wordWrap w:val="0"/>
              <w:overflowPunct/>
              <w:topLinePunct w:val="0"/>
              <w:bidi w:val="0"/>
              <w:spacing w:line="360" w:lineRule="auto"/>
              <w:jc w:val="center"/>
              <w:rPr>
                <w:rFonts w:ascii="宋体" w:hAnsi="宋体" w:cs="宋体"/>
                <w:color w:val="auto"/>
                <w:kern w:val="0"/>
                <w:sz w:val="24"/>
                <w:highlight w:val="none"/>
              </w:rPr>
            </w:pPr>
          </w:p>
        </w:tc>
      </w:tr>
      <w:tr w14:paraId="04ED496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DF5350">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09A640">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B98195">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55B8D4">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AAD625">
            <w:pPr>
              <w:pageBreakBefore w:val="0"/>
              <w:wordWrap w:val="0"/>
              <w:overflowPunct/>
              <w:topLinePunct w:val="0"/>
              <w:bidi w:val="0"/>
              <w:spacing w:line="360" w:lineRule="auto"/>
              <w:jc w:val="center"/>
              <w:rPr>
                <w:rFonts w:ascii="宋体" w:hAnsi="宋体" w:cs="宋体"/>
                <w:color w:val="auto"/>
                <w:kern w:val="0"/>
                <w:sz w:val="24"/>
                <w:highlight w:val="none"/>
              </w:rPr>
            </w:pPr>
          </w:p>
        </w:tc>
      </w:tr>
    </w:tbl>
    <w:p w14:paraId="2C9839EB">
      <w:pPr>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27196BA6">
      <w:pPr>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28DD43D">
      <w:pPr>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09A1DCA8">
      <w:pPr>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6620A571">
      <w:pPr>
        <w:pageBreakBefore w:val="0"/>
        <w:wordWrap w:val="0"/>
        <w:overflowPunct/>
        <w:topLinePunct w:val="0"/>
        <w:bidi w:val="0"/>
        <w:snapToGrid w:val="0"/>
        <w:spacing w:line="360" w:lineRule="auto"/>
        <w:jc w:val="left"/>
        <w:rPr>
          <w:rFonts w:ascii="宋体" w:hAnsi="宋体" w:cs="宋体"/>
          <w:color w:val="auto"/>
          <w:sz w:val="24"/>
          <w:highlight w:val="none"/>
        </w:rPr>
      </w:pPr>
    </w:p>
    <w:p w14:paraId="43188F67">
      <w:pPr>
        <w:pageBreakBefore w:val="0"/>
        <w:wordWrap w:val="0"/>
        <w:overflowPunct/>
        <w:topLinePunct w:val="0"/>
        <w:bidi w:val="0"/>
        <w:snapToGrid w:val="0"/>
        <w:spacing w:line="360" w:lineRule="auto"/>
        <w:jc w:val="left"/>
        <w:rPr>
          <w:rFonts w:ascii="宋体" w:hAnsi="宋体" w:cs="宋体"/>
          <w:color w:val="auto"/>
          <w:sz w:val="24"/>
          <w:highlight w:val="none"/>
        </w:rPr>
      </w:pPr>
    </w:p>
    <w:p w14:paraId="0046F8C8">
      <w:pPr>
        <w:pageBreakBefore w:val="0"/>
        <w:wordWrap w:val="0"/>
        <w:overflowPunct/>
        <w:topLinePunct w:val="0"/>
        <w:bidi w:val="0"/>
        <w:snapToGrid w:val="0"/>
        <w:spacing w:line="360" w:lineRule="auto"/>
        <w:jc w:val="left"/>
        <w:rPr>
          <w:rFonts w:ascii="宋体" w:hAnsi="宋体" w:cs="宋体"/>
          <w:color w:val="auto"/>
          <w:sz w:val="24"/>
          <w:highlight w:val="none"/>
        </w:rPr>
      </w:pPr>
    </w:p>
    <w:p w14:paraId="0804FFF0">
      <w:pPr>
        <w:pageBreakBefore w:val="0"/>
        <w:wordWrap w:val="0"/>
        <w:overflowPunct/>
        <w:topLinePunct w:val="0"/>
        <w:bidi w:val="0"/>
        <w:snapToGrid w:val="0"/>
        <w:spacing w:line="360" w:lineRule="auto"/>
        <w:jc w:val="left"/>
        <w:rPr>
          <w:rFonts w:ascii="宋体" w:hAnsi="宋体" w:cs="宋体"/>
          <w:color w:val="auto"/>
          <w:sz w:val="24"/>
          <w:highlight w:val="none"/>
        </w:rPr>
      </w:pPr>
    </w:p>
    <w:p w14:paraId="3232AE7A">
      <w:pPr>
        <w:pageBreakBefore w:val="0"/>
        <w:wordWrap w:val="0"/>
        <w:overflowPunct/>
        <w:topLinePunct w:val="0"/>
        <w:bidi w:val="0"/>
        <w:snapToGrid w:val="0"/>
        <w:spacing w:line="360" w:lineRule="auto"/>
        <w:jc w:val="left"/>
        <w:rPr>
          <w:rFonts w:ascii="宋体" w:hAnsi="宋体" w:cs="宋体"/>
          <w:color w:val="auto"/>
          <w:sz w:val="24"/>
          <w:highlight w:val="none"/>
        </w:rPr>
      </w:pPr>
    </w:p>
    <w:p w14:paraId="3EACFF83">
      <w:pPr>
        <w:pageBreakBefore w:val="0"/>
        <w:wordWrap w:val="0"/>
        <w:overflowPunct/>
        <w:topLinePunct w:val="0"/>
        <w:bidi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4002BF6B">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9159AEC">
      <w:pPr>
        <w:pageBreakBefore w:val="0"/>
        <w:wordWrap w:val="0"/>
        <w:overflowPunct/>
        <w:topLinePunct w:val="0"/>
        <w:bidi w:val="0"/>
        <w:snapToGrid w:val="0"/>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577B2957">
      <w:pPr>
        <w:pageBreakBefore w:val="0"/>
        <w:wordWrap w:val="0"/>
        <w:overflowPunct/>
        <w:topLinePunct w:val="0"/>
        <w:bidi w:val="0"/>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五、投标人直接管理关系信息表</w:t>
      </w:r>
    </w:p>
    <w:tbl>
      <w:tblPr>
        <w:tblStyle w:val="22"/>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7ED55CA">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BDDB45B">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B7DBB00">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0B3927C">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F1F1C8A">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F74C02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B8E698">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EFC8D8">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F72431">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9682CB">
            <w:pPr>
              <w:pageBreakBefore w:val="0"/>
              <w:wordWrap w:val="0"/>
              <w:overflowPunct/>
              <w:topLinePunct w:val="0"/>
              <w:bidi w:val="0"/>
              <w:spacing w:line="360" w:lineRule="auto"/>
              <w:jc w:val="center"/>
              <w:rPr>
                <w:rFonts w:ascii="宋体" w:hAnsi="宋体" w:cs="宋体"/>
                <w:color w:val="auto"/>
                <w:kern w:val="0"/>
                <w:sz w:val="24"/>
                <w:highlight w:val="none"/>
              </w:rPr>
            </w:pPr>
          </w:p>
        </w:tc>
      </w:tr>
      <w:tr w14:paraId="535EA1C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ED297C">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F57849">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C21564">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3CD9BE">
            <w:pPr>
              <w:pageBreakBefore w:val="0"/>
              <w:wordWrap w:val="0"/>
              <w:overflowPunct/>
              <w:topLinePunct w:val="0"/>
              <w:bidi w:val="0"/>
              <w:spacing w:line="360" w:lineRule="auto"/>
              <w:jc w:val="center"/>
              <w:rPr>
                <w:rFonts w:ascii="宋体" w:hAnsi="宋体" w:cs="宋体"/>
                <w:color w:val="auto"/>
                <w:kern w:val="0"/>
                <w:sz w:val="24"/>
                <w:highlight w:val="none"/>
              </w:rPr>
            </w:pPr>
          </w:p>
        </w:tc>
      </w:tr>
      <w:tr w14:paraId="619CB73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C790E1">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297A36">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9A1F56">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DEBFEE">
            <w:pPr>
              <w:pageBreakBefore w:val="0"/>
              <w:wordWrap w:val="0"/>
              <w:overflowPunct/>
              <w:topLinePunct w:val="0"/>
              <w:bidi w:val="0"/>
              <w:spacing w:line="360" w:lineRule="auto"/>
              <w:jc w:val="center"/>
              <w:rPr>
                <w:rFonts w:ascii="宋体" w:hAnsi="宋体" w:cs="宋体"/>
                <w:color w:val="auto"/>
                <w:kern w:val="0"/>
                <w:sz w:val="24"/>
                <w:highlight w:val="none"/>
              </w:rPr>
            </w:pPr>
          </w:p>
        </w:tc>
      </w:tr>
      <w:tr w14:paraId="0C27849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7F8BE1">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5285B9">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984055">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242974">
            <w:pPr>
              <w:pageBreakBefore w:val="0"/>
              <w:wordWrap w:val="0"/>
              <w:overflowPunct/>
              <w:topLinePunct w:val="0"/>
              <w:bidi w:val="0"/>
              <w:spacing w:line="360" w:lineRule="auto"/>
              <w:jc w:val="center"/>
              <w:rPr>
                <w:rFonts w:ascii="宋体" w:hAnsi="宋体" w:cs="宋体"/>
                <w:color w:val="auto"/>
                <w:kern w:val="0"/>
                <w:sz w:val="24"/>
                <w:highlight w:val="none"/>
              </w:rPr>
            </w:pPr>
          </w:p>
        </w:tc>
      </w:tr>
    </w:tbl>
    <w:p w14:paraId="002E2BC1">
      <w:pPr>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0FDC3E79">
      <w:pPr>
        <w:pageBreakBefore w:val="0"/>
        <w:wordWrap w:val="0"/>
        <w:overflowPunct/>
        <w:topLinePunct w:val="0"/>
        <w:bidi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2D92F2E2">
      <w:pPr>
        <w:pageBreakBefore w:val="0"/>
        <w:wordWrap w:val="0"/>
        <w:overflowPunct/>
        <w:topLinePunct w:val="0"/>
        <w:bidi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0A6D56AD">
      <w:pPr>
        <w:pageBreakBefore w:val="0"/>
        <w:wordWrap w:val="0"/>
        <w:overflowPunct/>
        <w:topLinePunct w:val="0"/>
        <w:bidi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46F8DE26">
      <w:pPr>
        <w:pageBreakBefore w:val="0"/>
        <w:wordWrap w:val="0"/>
        <w:overflowPunct/>
        <w:topLinePunct w:val="0"/>
        <w:bidi w:val="0"/>
        <w:snapToGrid w:val="0"/>
        <w:spacing w:line="360" w:lineRule="auto"/>
        <w:jc w:val="left"/>
        <w:rPr>
          <w:rFonts w:ascii="宋体" w:hAnsi="宋体" w:cs="宋体"/>
          <w:color w:val="auto"/>
          <w:sz w:val="24"/>
          <w:highlight w:val="none"/>
        </w:rPr>
      </w:pPr>
    </w:p>
    <w:p w14:paraId="1D592F9A">
      <w:pPr>
        <w:pageBreakBefore w:val="0"/>
        <w:wordWrap w:val="0"/>
        <w:overflowPunct/>
        <w:topLinePunct w:val="0"/>
        <w:bidi w:val="0"/>
        <w:snapToGrid w:val="0"/>
        <w:spacing w:line="360" w:lineRule="auto"/>
        <w:jc w:val="left"/>
        <w:rPr>
          <w:rFonts w:ascii="宋体" w:hAnsi="宋体" w:cs="宋体"/>
          <w:color w:val="auto"/>
          <w:sz w:val="24"/>
          <w:highlight w:val="none"/>
        </w:rPr>
      </w:pPr>
    </w:p>
    <w:p w14:paraId="32123242">
      <w:pPr>
        <w:pageBreakBefore w:val="0"/>
        <w:wordWrap w:val="0"/>
        <w:overflowPunct/>
        <w:topLinePunct w:val="0"/>
        <w:bidi w:val="0"/>
        <w:snapToGrid w:val="0"/>
        <w:spacing w:line="360" w:lineRule="auto"/>
        <w:jc w:val="left"/>
        <w:rPr>
          <w:rFonts w:ascii="宋体" w:hAnsi="宋体" w:cs="宋体"/>
          <w:color w:val="auto"/>
          <w:sz w:val="24"/>
          <w:highlight w:val="none"/>
        </w:rPr>
      </w:pPr>
    </w:p>
    <w:p w14:paraId="21E65AF5">
      <w:pPr>
        <w:pageBreakBefore w:val="0"/>
        <w:wordWrap w:val="0"/>
        <w:overflowPunct/>
        <w:topLinePunct w:val="0"/>
        <w:bidi w:val="0"/>
        <w:snapToGrid w:val="0"/>
        <w:spacing w:line="360" w:lineRule="auto"/>
        <w:jc w:val="left"/>
        <w:rPr>
          <w:rFonts w:ascii="宋体" w:hAnsi="宋体" w:cs="宋体"/>
          <w:color w:val="auto"/>
          <w:sz w:val="24"/>
          <w:highlight w:val="none"/>
        </w:rPr>
      </w:pPr>
    </w:p>
    <w:p w14:paraId="54FB5551">
      <w:pPr>
        <w:pageBreakBefore w:val="0"/>
        <w:wordWrap w:val="0"/>
        <w:overflowPunct/>
        <w:topLinePunct w:val="0"/>
        <w:bidi w:val="0"/>
        <w:snapToGrid w:val="0"/>
        <w:spacing w:line="360" w:lineRule="auto"/>
        <w:jc w:val="left"/>
        <w:rPr>
          <w:rFonts w:ascii="宋体" w:hAnsi="宋体" w:cs="宋体"/>
          <w:color w:val="auto"/>
          <w:sz w:val="24"/>
          <w:highlight w:val="none"/>
        </w:rPr>
      </w:pPr>
    </w:p>
    <w:p w14:paraId="56F76F1A">
      <w:pPr>
        <w:pageBreakBefore w:val="0"/>
        <w:wordWrap w:val="0"/>
        <w:overflowPunct/>
        <w:topLinePunct w:val="0"/>
        <w:bidi w:val="0"/>
        <w:snapToGrid w:val="0"/>
        <w:spacing w:line="360" w:lineRule="auto"/>
        <w:jc w:val="left"/>
        <w:rPr>
          <w:rFonts w:ascii="宋体" w:hAnsi="宋体" w:cs="宋体"/>
          <w:color w:val="auto"/>
          <w:sz w:val="24"/>
          <w:highlight w:val="none"/>
        </w:rPr>
      </w:pPr>
    </w:p>
    <w:p w14:paraId="03302EB5">
      <w:pPr>
        <w:pageBreakBefore w:val="0"/>
        <w:wordWrap w:val="0"/>
        <w:overflowPunct/>
        <w:topLinePunct w:val="0"/>
        <w:bidi w:val="0"/>
        <w:snapToGrid w:val="0"/>
        <w:spacing w:line="360" w:lineRule="auto"/>
        <w:jc w:val="left"/>
        <w:rPr>
          <w:rFonts w:ascii="宋体" w:hAnsi="宋体" w:cs="宋体"/>
          <w:color w:val="auto"/>
          <w:sz w:val="24"/>
          <w:highlight w:val="none"/>
        </w:rPr>
      </w:pPr>
    </w:p>
    <w:p w14:paraId="15954770">
      <w:pPr>
        <w:pageBreakBefore w:val="0"/>
        <w:wordWrap w:val="0"/>
        <w:overflowPunct/>
        <w:topLinePunct w:val="0"/>
        <w:bidi w:val="0"/>
        <w:snapToGrid w:val="0"/>
        <w:spacing w:line="360" w:lineRule="auto"/>
        <w:jc w:val="left"/>
        <w:rPr>
          <w:rFonts w:ascii="宋体" w:hAnsi="宋体" w:cs="宋体"/>
          <w:color w:val="auto"/>
          <w:sz w:val="24"/>
          <w:highlight w:val="none"/>
        </w:rPr>
      </w:pPr>
    </w:p>
    <w:p w14:paraId="3EEB012F">
      <w:pPr>
        <w:pageBreakBefore w:val="0"/>
        <w:wordWrap w:val="0"/>
        <w:overflowPunct/>
        <w:topLinePunct w:val="0"/>
        <w:bidi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455B73EA">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FD4FCD5">
      <w:pPr>
        <w:pageBreakBefore w:val="0"/>
        <w:wordWrap w:val="0"/>
        <w:overflowPunct/>
        <w:topLinePunct w:val="0"/>
        <w:bidi w:val="0"/>
        <w:snapToGrid w:val="0"/>
        <w:spacing w:line="360" w:lineRule="auto"/>
        <w:jc w:val="left"/>
        <w:rPr>
          <w:rFonts w:ascii="宋体" w:hAnsi="宋体" w:cs="宋体"/>
          <w:color w:val="auto"/>
          <w:szCs w:val="21"/>
          <w:highlight w:val="none"/>
        </w:rPr>
      </w:pPr>
    </w:p>
    <w:p w14:paraId="4C45F78E">
      <w:pPr>
        <w:pageBreakBefore w:val="0"/>
        <w:wordWrap w:val="0"/>
        <w:overflowPunct/>
        <w:topLinePunct w:val="0"/>
        <w:bidi w:val="0"/>
        <w:snapToGrid w:val="0"/>
        <w:spacing w:line="360" w:lineRule="auto"/>
        <w:jc w:val="left"/>
        <w:rPr>
          <w:rFonts w:ascii="宋体" w:hAnsi="宋体" w:cs="宋体"/>
          <w:b/>
          <w:color w:val="auto"/>
          <w:sz w:val="24"/>
          <w:szCs w:val="20"/>
          <w:highlight w:val="none"/>
        </w:rPr>
      </w:pPr>
    </w:p>
    <w:p w14:paraId="40054865">
      <w:pPr>
        <w:pageBreakBefore w:val="0"/>
        <w:wordWrap w:val="0"/>
        <w:overflowPunct/>
        <w:topLinePunct w:val="0"/>
        <w:bidi w:val="0"/>
        <w:snapToGrid w:val="0"/>
        <w:spacing w:line="360" w:lineRule="auto"/>
        <w:jc w:val="left"/>
        <w:rPr>
          <w:rFonts w:ascii="宋体" w:hAnsi="宋体" w:cs="宋体"/>
          <w:b/>
          <w:color w:val="auto"/>
          <w:sz w:val="24"/>
          <w:highlight w:val="none"/>
        </w:rPr>
      </w:pPr>
    </w:p>
    <w:p w14:paraId="48510B59">
      <w:pPr>
        <w:pageBreakBefore w:val="0"/>
        <w:wordWrap w:val="0"/>
        <w:overflowPunct/>
        <w:topLinePunct w:val="0"/>
        <w:bidi w:val="0"/>
        <w:snapToGrid w:val="0"/>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xml:space="preserve"> </w:t>
      </w:r>
    </w:p>
    <w:p w14:paraId="7FF6D23B">
      <w:pPr>
        <w:pageBreakBefore w:val="0"/>
        <w:wordWrap w:val="0"/>
        <w:overflowPunct/>
        <w:topLinePunct w:val="0"/>
        <w:bidi w:val="0"/>
        <w:snapToGrid w:val="0"/>
        <w:spacing w:line="360" w:lineRule="auto"/>
        <w:jc w:val="left"/>
        <w:rPr>
          <w:rFonts w:ascii="宋体" w:hAnsi="宋体" w:cs="宋体"/>
          <w:b/>
          <w:color w:val="auto"/>
          <w:sz w:val="24"/>
          <w:szCs w:val="20"/>
          <w:highlight w:val="none"/>
        </w:rPr>
      </w:pPr>
    </w:p>
    <w:p w14:paraId="6AE6B776">
      <w:pPr>
        <w:pageBreakBefore w:val="0"/>
        <w:wordWrap w:val="0"/>
        <w:overflowPunct/>
        <w:topLinePunct w:val="0"/>
        <w:bidi w:val="0"/>
        <w:snapToGrid w:val="0"/>
        <w:spacing w:line="360" w:lineRule="auto"/>
        <w:jc w:val="left"/>
        <w:rPr>
          <w:rFonts w:ascii="宋体" w:hAnsi="宋体" w:cs="宋体"/>
          <w:color w:val="auto"/>
          <w:highlight w:val="none"/>
        </w:rPr>
      </w:pPr>
    </w:p>
    <w:p w14:paraId="6BF83E68">
      <w:pPr>
        <w:pageBreakBefore w:val="0"/>
        <w:wordWrap w:val="0"/>
        <w:overflowPunct/>
        <w:topLinePunct w:val="0"/>
        <w:bidi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六、投标资格声明函</w:t>
      </w:r>
    </w:p>
    <w:p w14:paraId="0788E6F5">
      <w:pPr>
        <w:pageBreakBefore w:val="0"/>
        <w:tabs>
          <w:tab w:val="left" w:pos="7200"/>
        </w:tabs>
        <w:wordWrap w:val="0"/>
        <w:overflowPunct/>
        <w:topLinePunct w:val="0"/>
        <w:bidi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致：</w:t>
      </w:r>
      <w:bookmarkStart w:id="275" w:name="PO_3000001866_PM031_5"/>
      <w:r>
        <w:rPr>
          <w:rFonts w:hint="eastAsia" w:ascii="宋体" w:hAnsi="宋体" w:cs="宋体"/>
          <w:color w:val="auto"/>
          <w:szCs w:val="21"/>
          <w:highlight w:val="none"/>
          <w:u w:val="single"/>
        </w:rPr>
        <w:t>广西邕政采购代理有限公司</w:t>
      </w:r>
      <w:bookmarkEnd w:id="275"/>
      <w:r>
        <w:rPr>
          <w:rFonts w:hint="eastAsia" w:ascii="宋体" w:hAnsi="宋体" w:cs="宋体"/>
          <w:color w:val="auto"/>
          <w:szCs w:val="21"/>
          <w:highlight w:val="none"/>
          <w:u w:val="single"/>
        </w:rPr>
        <w:t xml:space="preserve"> </w:t>
      </w:r>
    </w:p>
    <w:p w14:paraId="4F12DC2A">
      <w:pPr>
        <w:pageBreakBefore w:val="0"/>
        <w:wordWrap w:val="0"/>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我方愿意参加贵方组织的_</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         ）项目的投标，为便于贵方公正、择优地确定中标供应商，我方就本次投标有关事项郑重声明如下：</w:t>
      </w:r>
    </w:p>
    <w:p w14:paraId="31C9FF18">
      <w:pPr>
        <w:pageBreakBefore w:val="0"/>
        <w:wordWrap w:val="0"/>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469C4E9F">
      <w:pPr>
        <w:pageBreakBefore w:val="0"/>
        <w:wordWrap w:val="0"/>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76B0259">
      <w:pPr>
        <w:pageBreakBefore w:val="0"/>
        <w:wordWrap w:val="0"/>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3.经查询，在“信用中国”和“中国政府采购网”网站我方未被列入失信被执行人、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w:t>
      </w:r>
    </w:p>
    <w:p w14:paraId="3DEB4BF3">
      <w:pPr>
        <w:pageBreakBefore w:val="0"/>
        <w:wordWrap w:val="0"/>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4.以上事项如有虚假或隐瞒，我方愿意承担一切后果，并不再寻求任何旨在减轻或免除法律责任的辩解。 </w:t>
      </w:r>
    </w:p>
    <w:p w14:paraId="69644221">
      <w:pPr>
        <w:pageBreakBefore w:val="0"/>
        <w:tabs>
          <w:tab w:val="left" w:pos="7200"/>
        </w:tabs>
        <w:wordWrap w:val="0"/>
        <w:overflowPunct/>
        <w:topLinePunct w:val="0"/>
        <w:bidi w:val="0"/>
        <w:spacing w:line="360" w:lineRule="auto"/>
        <w:ind w:firstLine="270" w:firstLineChars="150"/>
        <w:rPr>
          <w:rFonts w:ascii="宋体" w:hAnsi="宋体" w:cs="宋体"/>
          <w:color w:val="auto"/>
          <w:sz w:val="18"/>
          <w:szCs w:val="18"/>
          <w:highlight w:val="none"/>
        </w:rPr>
      </w:pPr>
      <w:r>
        <w:rPr>
          <w:rFonts w:hint="eastAsia" w:ascii="宋体" w:hAnsi="宋体" w:cs="宋体"/>
          <w:color w:val="auto"/>
          <w:sz w:val="18"/>
          <w:szCs w:val="18"/>
          <w:highlight w:val="none"/>
        </w:rPr>
        <w:t>说明：</w:t>
      </w:r>
    </w:p>
    <w:p w14:paraId="3590EBFA">
      <w:pPr>
        <w:pageBreakBefore w:val="0"/>
        <w:wordWrap w:val="0"/>
        <w:overflowPunct/>
        <w:topLinePunct w:val="0"/>
        <w:bidi w:val="0"/>
        <w:spacing w:line="360" w:lineRule="auto"/>
        <w:ind w:firstLine="360" w:firstLineChars="200"/>
        <w:jc w:val="left"/>
        <w:rPr>
          <w:rFonts w:ascii="宋体" w:hAnsi="宋体" w:cs="宋体"/>
          <w:color w:val="auto"/>
          <w:sz w:val="18"/>
          <w:szCs w:val="18"/>
          <w:highlight w:val="none"/>
        </w:rPr>
      </w:pPr>
      <w:r>
        <w:rPr>
          <w:rFonts w:hint="eastAsia" w:ascii="宋体" w:hAnsi="宋体" w:cs="宋体"/>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w:t>
      </w:r>
      <w:r>
        <w:rPr>
          <w:rFonts w:hint="eastAsia" w:ascii="宋体" w:hAnsi="宋体" w:cs="宋体"/>
          <w:color w:val="auto"/>
          <w:sz w:val="18"/>
          <w:szCs w:val="18"/>
          <w:highlight w:val="none"/>
          <w:lang w:eastAsia="zh-CN"/>
        </w:rPr>
        <w:t>重大税收违法失信主体</w:t>
      </w:r>
      <w:r>
        <w:rPr>
          <w:rFonts w:hint="eastAsia" w:ascii="宋体" w:hAnsi="宋体" w:cs="宋体"/>
          <w:color w:val="auto"/>
          <w:sz w:val="18"/>
          <w:szCs w:val="18"/>
          <w:highlight w:val="none"/>
        </w:rPr>
        <w:t>、政府采购严重违法失信行为记录名单的投标人，将被拒绝参与本项目政府采购活动。</w:t>
      </w:r>
    </w:p>
    <w:p w14:paraId="7A83D690">
      <w:pPr>
        <w:pageBreakBefore w:val="0"/>
        <w:wordWrap w:val="0"/>
        <w:overflowPunct/>
        <w:topLinePunct w:val="0"/>
        <w:bidi w:val="0"/>
        <w:spacing w:line="360" w:lineRule="auto"/>
        <w:ind w:firstLine="360" w:firstLineChars="200"/>
        <w:jc w:val="left"/>
        <w:rPr>
          <w:rFonts w:ascii="宋体" w:hAnsi="宋体" w:cs="宋体"/>
          <w:color w:val="auto"/>
          <w:sz w:val="18"/>
          <w:szCs w:val="18"/>
          <w:highlight w:val="none"/>
        </w:rPr>
      </w:pPr>
      <w:r>
        <w:rPr>
          <w:rFonts w:hint="eastAsia" w:ascii="宋体" w:hAnsi="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56C4F6A">
      <w:pPr>
        <w:pageBreakBefore w:val="0"/>
        <w:wordWrap w:val="0"/>
        <w:overflowPunct/>
        <w:topLinePunct w:val="0"/>
        <w:bidi w:val="0"/>
        <w:snapToGrid w:val="0"/>
        <w:spacing w:line="360" w:lineRule="auto"/>
        <w:jc w:val="left"/>
        <w:rPr>
          <w:rFonts w:ascii="宋体" w:hAnsi="宋体" w:cs="宋体"/>
          <w:color w:val="auto"/>
          <w:sz w:val="18"/>
          <w:szCs w:val="18"/>
          <w:highlight w:val="none"/>
        </w:rPr>
      </w:pPr>
      <w:r>
        <w:rPr>
          <w:rFonts w:hint="eastAsia" w:ascii="宋体" w:hAnsi="宋体" w:cs="宋体"/>
          <w:color w:val="auto"/>
          <w:sz w:val="18"/>
          <w:szCs w:val="18"/>
          <w:highlight w:val="none"/>
        </w:rPr>
        <w:t xml:space="preserve"> </w:t>
      </w:r>
      <w:r>
        <w:rPr>
          <w:rFonts w:hint="eastAsia" w:ascii="宋体" w:hAnsi="宋体" w:cs="宋体"/>
          <w:b/>
          <w:color w:val="auto"/>
          <w:sz w:val="18"/>
          <w:szCs w:val="18"/>
          <w:highlight w:val="none"/>
        </w:rPr>
        <w:t xml:space="preserve">  3.如为联合体投标，盖章处须加盖联合体各方公章并由联合体各方法定代表人分别签署，否则投标无效。</w:t>
      </w:r>
    </w:p>
    <w:p w14:paraId="52CA0713">
      <w:pPr>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2249C3AF">
      <w:pPr>
        <w:pageBreakBefore w:val="0"/>
        <w:wordWrap w:val="0"/>
        <w:overflowPunct/>
        <w:topLinePunct w:val="0"/>
        <w:bidi w:val="0"/>
        <w:snapToGrid w:val="0"/>
        <w:spacing w:line="360" w:lineRule="auto"/>
        <w:ind w:left="7428" w:leftChars="2223" w:hanging="2760" w:hangingChars="1150"/>
        <w:jc w:val="left"/>
        <w:rPr>
          <w:rFonts w:ascii="宋体" w:hAnsi="宋体" w:cs="宋体"/>
          <w:color w:val="auto"/>
          <w:kern w:val="0"/>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投标人名称(电子签章)：</w:t>
      </w:r>
      <w:r>
        <w:rPr>
          <w:rFonts w:hint="eastAsia" w:ascii="宋体" w:hAnsi="宋体" w:cs="宋体"/>
          <w:color w:val="auto"/>
          <w:szCs w:val="21"/>
          <w:highlight w:val="none"/>
        </w:rPr>
        <w:t xml:space="preserve">                       年    月    日</w:t>
      </w:r>
    </w:p>
    <w:p w14:paraId="17567FDD">
      <w:pPr>
        <w:pStyle w:val="14"/>
        <w:wordWrap w:val="0"/>
        <w:spacing w:line="360" w:lineRule="auto"/>
        <w:jc w:val="center"/>
        <w:rPr>
          <w:rFonts w:hint="eastAsia" w:hAnsi="宋体" w:cs="宋体"/>
          <w:b/>
          <w:color w:val="auto"/>
          <w:sz w:val="30"/>
          <w:szCs w:val="30"/>
          <w:highlight w:val="none"/>
        </w:rPr>
        <w:sectPr>
          <w:pgSz w:w="11906" w:h="16838"/>
          <w:pgMar w:top="1440" w:right="1080" w:bottom="1440" w:left="1080" w:header="720" w:footer="720" w:gutter="0"/>
          <w:pgNumType w:fmt="decimal"/>
          <w:cols w:space="720" w:num="1"/>
          <w:docGrid w:type="lines" w:linePitch="331" w:charSpace="0"/>
        </w:sectPr>
      </w:pPr>
    </w:p>
    <w:p w14:paraId="026105A5">
      <w:pPr>
        <w:pStyle w:val="14"/>
        <w:wordWrap w:val="0"/>
        <w:spacing w:line="360" w:lineRule="auto"/>
        <w:jc w:val="center"/>
        <w:rPr>
          <w:rFonts w:hAnsi="宋体" w:cs="宋体"/>
          <w:b/>
          <w:color w:val="auto"/>
          <w:sz w:val="30"/>
          <w:szCs w:val="30"/>
          <w:highlight w:val="none"/>
        </w:rPr>
      </w:pPr>
      <w:r>
        <w:rPr>
          <w:rFonts w:hint="eastAsia" w:hAnsi="宋体" w:cs="宋体"/>
          <w:b/>
          <w:color w:val="auto"/>
          <w:sz w:val="30"/>
          <w:szCs w:val="30"/>
          <w:highlight w:val="none"/>
          <w:lang w:val="en-US" w:eastAsia="zh-CN"/>
        </w:rPr>
        <w:t>七</w:t>
      </w:r>
      <w:r>
        <w:rPr>
          <w:rFonts w:hint="eastAsia" w:hAnsi="宋体" w:cs="宋体"/>
          <w:b/>
          <w:color w:val="auto"/>
          <w:sz w:val="30"/>
          <w:szCs w:val="30"/>
          <w:highlight w:val="none"/>
        </w:rPr>
        <w:t>、</w:t>
      </w:r>
      <w:r>
        <w:rPr>
          <w:rFonts w:hint="eastAsia" w:hAnsi="宋体" w:cs="宋体"/>
          <w:b/>
          <w:color w:val="auto"/>
          <w:sz w:val="30"/>
          <w:szCs w:val="30"/>
          <w:highlight w:val="none"/>
          <w:lang w:val="en-US" w:eastAsia="zh-CN"/>
        </w:rPr>
        <w:t>中小</w:t>
      </w:r>
      <w:r>
        <w:rPr>
          <w:rFonts w:hint="eastAsia" w:hAnsi="宋体" w:cs="宋体"/>
          <w:b/>
          <w:color w:val="auto"/>
          <w:sz w:val="30"/>
          <w:szCs w:val="30"/>
          <w:highlight w:val="none"/>
        </w:rPr>
        <w:t>企业声明函</w:t>
      </w:r>
    </w:p>
    <w:p w14:paraId="14CEB105">
      <w:pPr>
        <w:pStyle w:val="3"/>
        <w:wordWrap w:val="0"/>
        <w:spacing w:line="360" w:lineRule="auto"/>
        <w:ind w:firstLine="0"/>
        <w:rPr>
          <w:rFonts w:hAnsi="宋体" w:cs="宋体"/>
          <w:color w:val="auto"/>
          <w:sz w:val="21"/>
          <w:szCs w:val="21"/>
          <w:highlight w:val="none"/>
        </w:rPr>
      </w:pPr>
      <w:r>
        <w:rPr>
          <w:rFonts w:hint="eastAsia" w:hAnsi="宋体" w:cs="宋体"/>
          <w:color w:val="auto"/>
          <w:sz w:val="21"/>
          <w:szCs w:val="21"/>
          <w:highlight w:val="none"/>
        </w:rPr>
        <w:t>说明：</w:t>
      </w:r>
    </w:p>
    <w:p w14:paraId="2AC8851F">
      <w:pPr>
        <w:pStyle w:val="3"/>
        <w:wordWrap w:val="0"/>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1、本声明函主要供参加政府采购活动的中小企业填写，非中小企业无需填写。</w:t>
      </w:r>
    </w:p>
    <w:p w14:paraId="5B9E32F2">
      <w:pPr>
        <w:pStyle w:val="3"/>
        <w:wordWrap w:val="0"/>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2、小型、微型企业提供中型企业提供的服务的，视同为中型企业。</w:t>
      </w:r>
    </w:p>
    <w:p w14:paraId="48340218">
      <w:pPr>
        <w:pStyle w:val="3"/>
        <w:wordWrap w:val="0"/>
        <w:spacing w:line="360" w:lineRule="auto"/>
        <w:ind w:firstLine="404" w:firstLineChars="200"/>
        <w:rPr>
          <w:rFonts w:hAnsi="宋体" w:cs="宋体"/>
          <w:color w:val="auto"/>
          <w:sz w:val="21"/>
          <w:szCs w:val="21"/>
          <w:highlight w:val="none"/>
        </w:rPr>
      </w:pPr>
    </w:p>
    <w:p w14:paraId="2AE6BAE7">
      <w:pPr>
        <w:pStyle w:val="12"/>
        <w:wordWrap w:val="0"/>
        <w:spacing w:after="0" w:line="360" w:lineRule="auto"/>
        <w:ind w:right="142" w:firstLine="420" w:firstLineChars="200"/>
        <w:rPr>
          <w:rFonts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本公司（联合体）郑重声明，根据《政府采购促进中小企业发展管理办法》（财库﹝2020﹞46号）的规定，本公司（联合体）参加</w:t>
      </w:r>
      <w:r>
        <w:rPr>
          <w:rFonts w:hint="eastAsia" w:ascii="宋体" w:hAnsi="宋体" w:cs="宋体"/>
          <w:color w:val="auto"/>
          <w:highlight w:val="none"/>
          <w:u w:val="single"/>
        </w:rPr>
        <w:t xml:space="preserve">   （采购人名称）           </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采购活动，服务全部由符合政策要求的中小企业承接。相关企业（含联合体中的中小企业、签订分包意向协议的中小企业）的具体情况如下：</w:t>
      </w:r>
    </w:p>
    <w:p w14:paraId="698C3A9F">
      <w:pPr>
        <w:tabs>
          <w:tab w:val="left" w:pos="1384"/>
          <w:tab w:val="left" w:pos="4562"/>
          <w:tab w:val="left" w:pos="6803"/>
        </w:tabs>
        <w:wordWrap w:val="0"/>
        <w:spacing w:line="360" w:lineRule="auto"/>
        <w:ind w:right="142" w:firstLine="630" w:firstLineChars="3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 xml:space="preserve">       （中型企业、小型企业、微型企业）</w:t>
      </w:r>
      <w:r>
        <w:rPr>
          <w:rFonts w:hint="eastAsia" w:ascii="宋体" w:hAnsi="宋体" w:cs="宋体"/>
          <w:color w:val="auto"/>
          <w:szCs w:val="21"/>
          <w:highlight w:val="none"/>
        </w:rPr>
        <w:t>；</w:t>
      </w:r>
    </w:p>
    <w:p w14:paraId="51B178EA">
      <w:pPr>
        <w:pStyle w:val="12"/>
        <w:wordWrap w:val="0"/>
        <w:spacing w:after="0" w:line="360" w:lineRule="auto"/>
        <w:ind w:left="765" w:right="142" w:hanging="5"/>
        <w:rPr>
          <w:color w:val="auto"/>
          <w:highlight w:val="none"/>
        </w:rPr>
      </w:pPr>
      <w:r>
        <w:rPr>
          <w:rFonts w:hint="eastAsia" w:ascii="宋体" w:hAnsi="宋体" w:cs="宋体"/>
          <w:color w:val="auto"/>
          <w:highlight w:val="none"/>
        </w:rPr>
        <w:t xml:space="preserve">…… </w:t>
      </w:r>
    </w:p>
    <w:p w14:paraId="5B6562AA">
      <w:pPr>
        <w:pStyle w:val="12"/>
        <w:wordWrap w:val="0"/>
        <w:spacing w:after="0" w:line="360" w:lineRule="auto"/>
        <w:ind w:right="142" w:firstLine="420" w:firstLineChars="200"/>
        <w:rPr>
          <w:rFonts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3C43751D">
      <w:pPr>
        <w:pStyle w:val="12"/>
        <w:wordWrap w:val="0"/>
        <w:spacing w:after="0" w:line="360" w:lineRule="auto"/>
        <w:ind w:right="142" w:firstLine="420" w:firstLineChars="200"/>
        <w:rPr>
          <w:rFonts w:hAnsi="宋体" w:cs="宋体"/>
          <w:color w:val="auto"/>
          <w:szCs w:val="21"/>
          <w:highlight w:val="none"/>
        </w:rPr>
      </w:pPr>
      <w:r>
        <w:rPr>
          <w:rFonts w:hint="eastAsia" w:ascii="宋体" w:hAnsi="宋体" w:cs="宋体"/>
          <w:color w:val="auto"/>
          <w:highlight w:val="none"/>
        </w:rPr>
        <w:t>本企业对上述声明内容的真实性负责。如有虚假，将依法承担相应责任。</w:t>
      </w:r>
    </w:p>
    <w:p w14:paraId="413B70BB">
      <w:pPr>
        <w:pStyle w:val="14"/>
        <w:wordWrap w:val="0"/>
        <w:spacing w:line="360" w:lineRule="auto"/>
        <w:ind w:firstLine="420" w:firstLineChars="200"/>
        <w:rPr>
          <w:rFonts w:hAnsi="宋体" w:cs="宋体"/>
          <w:color w:val="auto"/>
          <w:szCs w:val="21"/>
          <w:highlight w:val="none"/>
        </w:rPr>
      </w:pPr>
    </w:p>
    <w:p w14:paraId="030544D6">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1BAB758C">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A10E523">
      <w:pPr>
        <w:pStyle w:val="14"/>
        <w:wordWrap w:val="0"/>
        <w:spacing w:line="360" w:lineRule="auto"/>
        <w:ind w:firstLine="420" w:firstLineChars="200"/>
        <w:rPr>
          <w:rFonts w:hAnsi="宋体" w:cs="宋体"/>
          <w:color w:val="auto"/>
          <w:szCs w:val="21"/>
          <w:highlight w:val="none"/>
        </w:rPr>
      </w:pPr>
    </w:p>
    <w:p w14:paraId="6AEEEFF1">
      <w:pPr>
        <w:wordWrap w:val="0"/>
        <w:snapToGrid w:val="0"/>
        <w:spacing w:line="360" w:lineRule="auto"/>
        <w:jc w:val="left"/>
        <w:rPr>
          <w:rFonts w:ascii="宋体" w:hAnsi="宋体" w:cs="宋体"/>
          <w:color w:val="auto"/>
          <w:sz w:val="20"/>
          <w:highlight w:val="none"/>
        </w:rPr>
      </w:pPr>
      <w:r>
        <w:rPr>
          <w:rFonts w:hint="eastAsia" w:ascii="宋体" w:hAnsi="宋体" w:cs="宋体"/>
          <w:color w:val="auto"/>
          <w:sz w:val="20"/>
          <w:highlight w:val="none"/>
        </w:rPr>
        <w:t>注：</w:t>
      </w:r>
    </w:p>
    <w:p w14:paraId="391E4E21">
      <w:pPr>
        <w:numPr>
          <w:ilvl w:val="0"/>
          <w:numId w:val="5"/>
        </w:numPr>
        <w:wordWrap w:val="0"/>
        <w:snapToGrid w:val="0"/>
        <w:spacing w:line="360" w:lineRule="auto"/>
        <w:jc w:val="left"/>
        <w:rPr>
          <w:rFonts w:ascii="宋体" w:hAnsi="宋体" w:cs="宋体"/>
          <w:color w:val="auto"/>
          <w:sz w:val="20"/>
          <w:highlight w:val="none"/>
        </w:rPr>
      </w:pPr>
      <w:r>
        <w:rPr>
          <w:rFonts w:hint="eastAsia" w:ascii="宋体" w:hAnsi="宋体" w:cs="宋体"/>
          <w:color w:val="auto"/>
          <w:sz w:val="20"/>
          <w:highlight w:val="none"/>
        </w:rPr>
        <w:t>从业人员、营业收入、资产总额填报上一年度数据，无上一年度数据的新成立企业可不填报。</w:t>
      </w:r>
    </w:p>
    <w:p w14:paraId="639200A3">
      <w:pPr>
        <w:pageBreakBefore w:val="0"/>
        <w:wordWrap w:val="0"/>
        <w:overflowPunct/>
        <w:topLinePunct w:val="0"/>
        <w:bidi w:val="0"/>
        <w:spacing w:line="360" w:lineRule="auto"/>
        <w:ind w:firstLine="200" w:firstLineChars="100"/>
        <w:rPr>
          <w:rFonts w:hint="eastAsia" w:hAnsi="宋体" w:cs="宋体"/>
          <w:color w:val="auto"/>
          <w:sz w:val="20"/>
          <w:highlight w:val="none"/>
        </w:rPr>
      </w:pPr>
      <w:r>
        <w:rPr>
          <w:rFonts w:hint="eastAsia" w:hAnsi="宋体" w:cs="宋体"/>
          <w:color w:val="auto"/>
          <w:sz w:val="20"/>
          <w:highlight w:val="none"/>
        </w:rPr>
        <w:t>2、请根据自己的真实情况出具《中小企业声明函》。依法享受中小企业优惠政策的，采购人或者采购代理机构在公告中标结果时，同时公告其《中小企业声明函》，接受社会监督。</w:t>
      </w:r>
    </w:p>
    <w:p w14:paraId="1236A12C">
      <w:pPr>
        <w:rPr>
          <w:rFonts w:hint="eastAsia" w:hAnsi="宋体" w:cs="宋体"/>
          <w:color w:val="auto"/>
          <w:sz w:val="20"/>
          <w:highlight w:val="none"/>
        </w:rPr>
      </w:pPr>
      <w:r>
        <w:rPr>
          <w:rFonts w:hint="eastAsia" w:hAnsi="宋体" w:cs="宋体"/>
          <w:color w:val="auto"/>
          <w:sz w:val="20"/>
          <w:highlight w:val="none"/>
        </w:rPr>
        <w:br w:type="page"/>
      </w:r>
    </w:p>
    <w:p w14:paraId="7A1160D4">
      <w:pPr>
        <w:pStyle w:val="14"/>
        <w:pageBreakBefore w:val="0"/>
        <w:wordWrap w:val="0"/>
        <w:overflowPunct/>
        <w:topLinePunct w:val="0"/>
        <w:bidi w:val="0"/>
        <w:spacing w:line="360" w:lineRule="auto"/>
        <w:jc w:val="center"/>
        <w:rPr>
          <w:rFonts w:hAnsi="宋体" w:cs="宋体"/>
          <w:color w:val="auto"/>
          <w:highlight w:val="none"/>
        </w:rPr>
      </w:pPr>
      <w:r>
        <w:rPr>
          <w:rFonts w:hint="eastAsia" w:hAnsi="宋体" w:cs="宋体"/>
          <w:b/>
          <w:bCs/>
          <w:color w:val="auto"/>
          <w:sz w:val="30"/>
          <w:szCs w:val="30"/>
          <w:highlight w:val="none"/>
          <w:lang w:val="en-US" w:eastAsia="zh-CN"/>
        </w:rPr>
        <w:t>八</w:t>
      </w:r>
      <w:r>
        <w:rPr>
          <w:rFonts w:hint="eastAsia" w:hAnsi="宋体" w:cs="宋体"/>
          <w:b/>
          <w:bCs/>
          <w:color w:val="auto"/>
          <w:sz w:val="30"/>
          <w:szCs w:val="30"/>
          <w:highlight w:val="none"/>
        </w:rPr>
        <w:t>、联合体协议书</w:t>
      </w:r>
    </w:p>
    <w:p w14:paraId="32028EA6">
      <w:pPr>
        <w:pageBreakBefore w:val="0"/>
        <w:wordWrap w:val="0"/>
        <w:overflowPunct/>
        <w:topLinePunct w:val="0"/>
        <w:autoSpaceDE w:val="0"/>
        <w:autoSpaceDN w:val="0"/>
        <w:bidi w:val="0"/>
        <w:adjustRightInd w:val="0"/>
        <w:spacing w:line="360" w:lineRule="auto"/>
        <w:jc w:val="left"/>
        <w:rPr>
          <w:rFonts w:ascii="宋体" w:hAnsi="宋体" w:cs="宋体"/>
          <w:color w:val="auto"/>
          <w:kern w:val="0"/>
          <w:szCs w:val="21"/>
          <w:highlight w:val="none"/>
          <w:u w:val="single"/>
        </w:rPr>
      </w:pPr>
    </w:p>
    <w:p w14:paraId="52CCBE28">
      <w:pPr>
        <w:pageBreakBefore w:val="0"/>
        <w:wordWrap w:val="0"/>
        <w:overflowPunct/>
        <w:topLinePunct w:val="0"/>
        <w:autoSpaceDE w:val="0"/>
        <w:autoSpaceDN w:val="0"/>
        <w:bidi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w:t>
      </w:r>
      <w:bookmarkStart w:id="276" w:name="PO_3000001866_PM031_6"/>
      <w:r>
        <w:rPr>
          <w:rFonts w:hint="eastAsia" w:ascii="宋体" w:hAnsi="宋体" w:cs="宋体"/>
          <w:color w:val="auto"/>
          <w:kern w:val="0"/>
          <w:szCs w:val="21"/>
          <w:highlight w:val="none"/>
          <w:u w:val="single"/>
        </w:rPr>
        <w:t>广西邕政采购代理有限公司</w:t>
      </w:r>
      <w:bookmarkEnd w:id="276"/>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（项目名称）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）投标。现就联合体投标事宜订立如下协议：</w:t>
      </w:r>
    </w:p>
    <w:p w14:paraId="23A52EA1">
      <w:pPr>
        <w:pageBreakBefore w:val="0"/>
        <w:wordWrap w:val="0"/>
        <w:overflowPunct/>
        <w:topLinePunct w:val="0"/>
        <w:autoSpaceDE w:val="0"/>
        <w:autoSpaceDN w:val="0"/>
        <w:bidi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highlight w:val="none"/>
        </w:rPr>
        <w:t>________________________</w:t>
      </w:r>
      <w:r>
        <w:rPr>
          <w:rFonts w:hint="eastAsia" w:ascii="宋体" w:hAnsi="宋体" w:cs="宋体"/>
          <w:color w:val="auto"/>
          <w:kern w:val="0"/>
          <w:szCs w:val="21"/>
          <w:highlight w:val="none"/>
        </w:rPr>
        <w:t>（某成员单位名称）为联合体名称牵头人。</w:t>
      </w:r>
    </w:p>
    <w:p w14:paraId="710BE42C">
      <w:pPr>
        <w:pageBreakBefore w:val="0"/>
        <w:wordWrap w:val="0"/>
        <w:overflowPunct/>
        <w:topLinePunct w:val="0"/>
        <w:autoSpaceDE w:val="0"/>
        <w:autoSpaceDN w:val="0"/>
        <w:bidi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642C0067">
      <w:pPr>
        <w:pageBreakBefore w:val="0"/>
        <w:wordWrap w:val="0"/>
        <w:overflowPunct/>
        <w:topLinePunct w:val="0"/>
        <w:autoSpaceDE w:val="0"/>
        <w:autoSpaceDN w:val="0"/>
        <w:bidi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6E10757B">
      <w:pPr>
        <w:pageBreakBefore w:val="0"/>
        <w:wordWrap w:val="0"/>
        <w:overflowPunct/>
        <w:topLinePunct w:val="0"/>
        <w:autoSpaceDE w:val="0"/>
        <w:autoSpaceDN w:val="0"/>
        <w:bidi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kern w:val="0"/>
          <w:szCs w:val="21"/>
          <w:highlight w:val="none"/>
          <w:u w:val="single"/>
        </w:rPr>
        <w:t>：</w:t>
      </w:r>
      <w:r>
        <w:rPr>
          <w:rFonts w:hint="eastAsia" w:ascii="宋体" w:hAnsi="宋体" w:cs="宋体"/>
          <w:color w:val="auto"/>
          <w:szCs w:val="21"/>
          <w:highlight w:val="none"/>
          <w:u w:val="single"/>
        </w:rPr>
        <w:t>________________________________________________</w:t>
      </w:r>
      <w:r>
        <w:rPr>
          <w:rFonts w:hint="eastAsia" w:ascii="宋体" w:hAnsi="宋体" w:cs="宋体"/>
          <w:color w:val="auto"/>
          <w:kern w:val="0"/>
          <w:szCs w:val="21"/>
          <w:highlight w:val="none"/>
        </w:rPr>
        <w:t>。</w:t>
      </w:r>
    </w:p>
    <w:p w14:paraId="044457C1">
      <w:pPr>
        <w:pStyle w:val="14"/>
        <w:pageBreakBefore w:val="0"/>
        <w:wordWrap w:val="0"/>
        <w:overflowPunct/>
        <w:topLinePunct w:val="0"/>
        <w:bidi w:val="0"/>
        <w:spacing w:line="360" w:lineRule="auto"/>
        <w:ind w:firstLine="420" w:firstLineChars="200"/>
        <w:rPr>
          <w:rFonts w:hAnsi="宋体" w:cs="宋体"/>
          <w:color w:val="auto"/>
          <w:szCs w:val="21"/>
          <w:highlight w:val="none"/>
        </w:rPr>
      </w:pPr>
      <w:r>
        <w:rPr>
          <w:rFonts w:hint="eastAsia" w:hAnsi="宋体" w:cs="宋体"/>
          <w:color w:val="auto"/>
          <w:kern w:val="0"/>
          <w:highlight w:val="none"/>
        </w:rPr>
        <w:t>5、本联合体中</w:t>
      </w:r>
      <w:r>
        <w:rPr>
          <w:rFonts w:hint="eastAsia" w:hAnsi="宋体" w:cs="宋体"/>
          <w:color w:val="auto"/>
          <w:kern w:val="0"/>
          <w:highlight w:val="none"/>
          <w:u w:val="single"/>
        </w:rPr>
        <w:t>，</w:t>
      </w:r>
      <w:r>
        <w:rPr>
          <w:rFonts w:hint="eastAsia" w:hAnsi="宋体" w:cs="宋体"/>
          <w:color w:val="auto"/>
          <w:highlight w:val="none"/>
          <w:u w:val="single"/>
        </w:rPr>
        <w:t>________________________</w:t>
      </w:r>
      <w:r>
        <w:rPr>
          <w:rFonts w:hint="eastAsia" w:hAnsi="宋体" w:cs="宋体"/>
          <w:color w:val="auto"/>
          <w:kern w:val="0"/>
          <w:highlight w:val="none"/>
          <w:u w:val="single"/>
        </w:rPr>
        <w:t>（某成员单位名称）为</w:t>
      </w:r>
      <w:r>
        <w:rPr>
          <w:rFonts w:hint="eastAsia" w:hAnsi="宋体" w:cs="宋体"/>
          <w:color w:val="auto"/>
          <w:highlight w:val="none"/>
          <w:u w:val="single"/>
        </w:rPr>
        <w:t>______</w:t>
      </w:r>
      <w:r>
        <w:rPr>
          <w:rFonts w:hint="eastAsia" w:hAnsi="宋体" w:cs="宋体"/>
          <w:color w:val="auto"/>
          <w:highlight w:val="none"/>
        </w:rPr>
        <w:t>（请填写：中型、小型、微型）企业，其协议合同金额占联合体协议合同总金额的</w:t>
      </w:r>
      <w:r>
        <w:rPr>
          <w:rFonts w:hint="eastAsia" w:hAnsi="宋体" w:cs="宋体"/>
          <w:color w:val="auto"/>
          <w:highlight w:val="none"/>
          <w:u w:val="single"/>
        </w:rPr>
        <w:t>______</w:t>
      </w:r>
      <w:r>
        <w:rPr>
          <w:rFonts w:hint="eastAsia" w:hAnsi="宋体" w:cs="宋体"/>
          <w:color w:val="auto"/>
          <w:highlight w:val="none"/>
        </w:rPr>
        <w:t>%。【如联合体成员中有小型、微型企业的，请填写此条，否则无需填写；如联合体成员中有多个小型、微型企业的，请逐一列出。】</w:t>
      </w:r>
    </w:p>
    <w:p w14:paraId="6310DC32">
      <w:pPr>
        <w:pageBreakBefore w:val="0"/>
        <w:wordWrap w:val="0"/>
        <w:overflowPunct/>
        <w:topLinePunct w:val="0"/>
        <w:autoSpaceDE w:val="0"/>
        <w:autoSpaceDN w:val="0"/>
        <w:bidi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14:paraId="45025913">
      <w:pPr>
        <w:pageBreakBefore w:val="0"/>
        <w:wordWrap w:val="0"/>
        <w:overflowPunct/>
        <w:topLinePunct w:val="0"/>
        <w:autoSpaceDE w:val="0"/>
        <w:autoSpaceDN w:val="0"/>
        <w:bidi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7、本协议书一式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067F4BD4">
      <w:pPr>
        <w:pageBreakBefore w:val="0"/>
        <w:wordWrap w:val="0"/>
        <w:overflowPunct/>
        <w:topLinePunct w:val="0"/>
        <w:autoSpaceDE w:val="0"/>
        <w:autoSpaceDN w:val="0"/>
        <w:bidi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727F94C1">
      <w:pPr>
        <w:pageBreakBefore w:val="0"/>
        <w:wordWrap w:val="0"/>
        <w:overflowPunct/>
        <w:topLinePunct w:val="0"/>
        <w:autoSpaceDE w:val="0"/>
        <w:autoSpaceDN w:val="0"/>
        <w:bidi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61D98707">
      <w:pPr>
        <w:pageBreakBefore w:val="0"/>
        <w:wordWrap w:val="0"/>
        <w:overflowPunct/>
        <w:topLinePunct w:val="0"/>
        <w:autoSpaceDE w:val="0"/>
        <w:autoSpaceDN w:val="0"/>
        <w:bidi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095484F5">
      <w:pPr>
        <w:pageBreakBefore w:val="0"/>
        <w:wordWrap w:val="0"/>
        <w:overflowPunct/>
        <w:topLinePunct w:val="0"/>
        <w:autoSpaceDE w:val="0"/>
        <w:autoSpaceDN w:val="0"/>
        <w:bidi w:val="0"/>
        <w:adjustRightInd w:val="0"/>
        <w:spacing w:line="360" w:lineRule="auto"/>
        <w:jc w:val="left"/>
        <w:rPr>
          <w:rFonts w:ascii="宋体" w:hAnsi="宋体" w:cs="宋体"/>
          <w:color w:val="auto"/>
          <w:kern w:val="0"/>
          <w:szCs w:val="21"/>
          <w:highlight w:val="none"/>
        </w:rPr>
      </w:pPr>
    </w:p>
    <w:p w14:paraId="23E4E25B">
      <w:pPr>
        <w:pageBreakBefore w:val="0"/>
        <w:wordWrap w:val="0"/>
        <w:overflowPunct/>
        <w:topLinePunct w:val="0"/>
        <w:autoSpaceDE w:val="0"/>
        <w:autoSpaceDN w:val="0"/>
        <w:bidi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251D5A26">
      <w:pPr>
        <w:pageBreakBefore w:val="0"/>
        <w:wordWrap w:val="0"/>
        <w:overflowPunct/>
        <w:topLinePunct w:val="0"/>
        <w:autoSpaceDE w:val="0"/>
        <w:autoSpaceDN w:val="0"/>
        <w:bidi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0BB26A01">
      <w:pPr>
        <w:pageBreakBefore w:val="0"/>
        <w:wordWrap w:val="0"/>
        <w:overflowPunct/>
        <w:topLinePunct w:val="0"/>
        <w:autoSpaceDE w:val="0"/>
        <w:autoSpaceDN w:val="0"/>
        <w:bidi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0386807D">
      <w:pPr>
        <w:pStyle w:val="14"/>
        <w:pageBreakBefore w:val="0"/>
        <w:wordWrap w:val="0"/>
        <w:overflowPunct/>
        <w:topLinePunct w:val="0"/>
        <w:bidi w:val="0"/>
        <w:spacing w:line="360" w:lineRule="auto"/>
        <w:rPr>
          <w:rFonts w:hAnsi="宋体" w:cs="宋体"/>
          <w:color w:val="auto"/>
          <w:szCs w:val="21"/>
          <w:highlight w:val="none"/>
        </w:rPr>
      </w:pPr>
      <w:r>
        <w:rPr>
          <w:rFonts w:hint="eastAsia" w:hAnsi="宋体" w:cs="宋体"/>
          <w:color w:val="auto"/>
          <w:kern w:val="0"/>
          <w:szCs w:val="21"/>
          <w:highlight w:val="none"/>
        </w:rPr>
        <w:t>法定代表人或其委托代理人：</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（手写签名/电子签名）</w:t>
      </w:r>
    </w:p>
    <w:p w14:paraId="2052A2A3">
      <w:pPr>
        <w:pageBreakBefore w:val="0"/>
        <w:wordWrap w:val="0"/>
        <w:overflowPunct/>
        <w:topLinePunct w:val="0"/>
        <w:bidi w:val="0"/>
        <w:spacing w:line="360" w:lineRule="auto"/>
        <w:rPr>
          <w:color w:val="auto"/>
          <w:highlight w:val="none"/>
        </w:rPr>
      </w:pPr>
    </w:p>
    <w:p w14:paraId="42E06D2F">
      <w:pPr>
        <w:pageBreakBefore w:val="0"/>
        <w:wordWrap w:val="0"/>
        <w:overflowPunct/>
        <w:topLinePunct w:val="0"/>
        <w:bidi w:val="0"/>
        <w:spacing w:line="360" w:lineRule="auto"/>
        <w:rPr>
          <w:color w:val="auto"/>
          <w:highlight w:val="none"/>
        </w:rPr>
      </w:pPr>
      <w:bookmarkStart w:id="277" w:name="_Toc19686838"/>
    </w:p>
    <w:p w14:paraId="35C7EFC8">
      <w:pPr>
        <w:pStyle w:val="12"/>
        <w:pageBreakBefore w:val="0"/>
        <w:wordWrap w:val="0"/>
        <w:overflowPunct/>
        <w:topLinePunct w:val="0"/>
        <w:bidi w:val="0"/>
        <w:spacing w:after="0" w:line="360" w:lineRule="auto"/>
        <w:rPr>
          <w:rFonts w:hAnsi="宋体" w:cs="宋体"/>
          <w:b/>
          <w:bCs/>
          <w:color w:val="auto"/>
          <w:sz w:val="28"/>
          <w:szCs w:val="28"/>
          <w:highlight w:val="none"/>
        </w:rPr>
      </w:pPr>
    </w:p>
    <w:p w14:paraId="43FD9DA0">
      <w:pPr>
        <w:pStyle w:val="14"/>
        <w:pageBreakBefore w:val="0"/>
        <w:wordWrap w:val="0"/>
        <w:overflowPunct/>
        <w:topLinePunct w:val="0"/>
        <w:bidi w:val="0"/>
        <w:spacing w:line="360" w:lineRule="auto"/>
        <w:jc w:val="center"/>
        <w:outlineLvl w:val="1"/>
        <w:rPr>
          <w:rFonts w:hAnsi="宋体" w:cs="宋体"/>
          <w:b/>
          <w:bCs/>
          <w:color w:val="auto"/>
          <w:sz w:val="28"/>
          <w:szCs w:val="28"/>
          <w:highlight w:val="none"/>
        </w:rPr>
      </w:pPr>
      <w:bookmarkStart w:id="278" w:name="_Toc30766"/>
      <w:r>
        <w:rPr>
          <w:rFonts w:hint="eastAsia" w:hAnsi="宋体" w:cs="宋体"/>
          <w:b/>
          <w:bCs/>
          <w:color w:val="auto"/>
          <w:sz w:val="28"/>
          <w:szCs w:val="28"/>
          <w:highlight w:val="none"/>
        </w:rPr>
        <w:t>第三节 商务文件格式</w:t>
      </w:r>
      <w:bookmarkEnd w:id="277"/>
      <w:bookmarkEnd w:id="278"/>
    </w:p>
    <w:p w14:paraId="7E133B1F">
      <w:pPr>
        <w:pageBreakBefore w:val="0"/>
        <w:wordWrap w:val="0"/>
        <w:overflowPunct/>
        <w:topLinePunct w:val="0"/>
        <w:bidi w:val="0"/>
        <w:snapToGrid w:val="0"/>
        <w:spacing w:line="360" w:lineRule="auto"/>
        <w:rPr>
          <w:rFonts w:ascii="宋体" w:hAnsi="宋体" w:cs="宋体"/>
          <w:color w:val="auto"/>
          <w:sz w:val="30"/>
          <w:szCs w:val="20"/>
          <w:highlight w:val="none"/>
        </w:rPr>
      </w:pPr>
    </w:p>
    <w:p w14:paraId="780E854B">
      <w:pPr>
        <w:pageBreakBefore w:val="0"/>
        <w:wordWrap w:val="0"/>
        <w:overflowPunct/>
        <w:topLinePunct w:val="0"/>
        <w:bidi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 xml:space="preserve">             电子投标文件</w:t>
      </w:r>
    </w:p>
    <w:p w14:paraId="5EFB5764">
      <w:pPr>
        <w:pageBreakBefore w:val="0"/>
        <w:wordWrap w:val="0"/>
        <w:overflowPunct/>
        <w:topLinePunct w:val="0"/>
        <w:bidi w:val="0"/>
        <w:snapToGrid w:val="0"/>
        <w:spacing w:line="360" w:lineRule="auto"/>
        <w:rPr>
          <w:rFonts w:ascii="宋体" w:hAnsi="宋体" w:cs="宋体"/>
          <w:color w:val="auto"/>
          <w:sz w:val="24"/>
          <w:szCs w:val="20"/>
          <w:highlight w:val="none"/>
        </w:rPr>
      </w:pPr>
    </w:p>
    <w:p w14:paraId="15F73C96">
      <w:pPr>
        <w:pageBreakBefore w:val="0"/>
        <w:wordWrap w:val="0"/>
        <w:overflowPunct/>
        <w:topLinePunct w:val="0"/>
        <w:bidi w:val="0"/>
        <w:snapToGrid w:val="0"/>
        <w:spacing w:line="360" w:lineRule="auto"/>
        <w:jc w:val="center"/>
        <w:rPr>
          <w:rFonts w:ascii="宋体" w:hAnsi="宋体" w:cs="宋体"/>
          <w:b/>
          <w:color w:val="auto"/>
          <w:sz w:val="24"/>
          <w:szCs w:val="20"/>
          <w:highlight w:val="none"/>
        </w:rPr>
      </w:pPr>
      <w:r>
        <w:rPr>
          <w:rFonts w:hint="eastAsia" w:ascii="宋体" w:hAnsi="宋体" w:cs="宋体"/>
          <w:b/>
          <w:color w:val="auto"/>
          <w:sz w:val="32"/>
          <w:szCs w:val="32"/>
          <w:highlight w:val="none"/>
        </w:rPr>
        <w:t>商务文件（封面）</w:t>
      </w:r>
    </w:p>
    <w:p w14:paraId="7F21F2DF">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27292B4F">
      <w:pPr>
        <w:pageBreakBefore w:val="0"/>
        <w:wordWrap w:val="0"/>
        <w:overflowPunct/>
        <w:topLinePunct w:val="0"/>
        <w:bidi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2DBE08BF">
      <w:pPr>
        <w:pageBreakBefore w:val="0"/>
        <w:wordWrap w:val="0"/>
        <w:overflowPunct/>
        <w:topLinePunct w:val="0"/>
        <w:bidi w:val="0"/>
        <w:snapToGrid w:val="0"/>
        <w:spacing w:line="360" w:lineRule="auto"/>
        <w:ind w:firstLine="540" w:firstLineChars="225"/>
        <w:rPr>
          <w:rFonts w:ascii="宋体" w:hAnsi="宋体" w:cs="宋体"/>
          <w:bCs/>
          <w:color w:val="auto"/>
          <w:sz w:val="24"/>
          <w:szCs w:val="20"/>
          <w:highlight w:val="none"/>
        </w:rPr>
      </w:pPr>
    </w:p>
    <w:p w14:paraId="2B47CB82">
      <w:pPr>
        <w:pageBreakBefore w:val="0"/>
        <w:wordWrap w:val="0"/>
        <w:overflowPunct/>
        <w:topLinePunct w:val="0"/>
        <w:bidi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31EE74C6">
      <w:pPr>
        <w:pageBreakBefore w:val="0"/>
        <w:wordWrap w:val="0"/>
        <w:overflowPunct/>
        <w:topLinePunct w:val="0"/>
        <w:bidi w:val="0"/>
        <w:snapToGrid w:val="0"/>
        <w:spacing w:line="360" w:lineRule="auto"/>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29FD768F">
      <w:pPr>
        <w:pageBreakBefore w:val="0"/>
        <w:wordWrap w:val="0"/>
        <w:overflowPunct/>
        <w:topLinePunct w:val="0"/>
        <w:bidi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w:t>
      </w:r>
    </w:p>
    <w:p w14:paraId="0D615399">
      <w:pPr>
        <w:pageBreakBefore w:val="0"/>
        <w:wordWrap w:val="0"/>
        <w:overflowPunct/>
        <w:topLinePunct w:val="0"/>
        <w:bidi w:val="0"/>
        <w:snapToGrid w:val="0"/>
        <w:spacing w:line="360" w:lineRule="auto"/>
        <w:ind w:firstLine="540" w:firstLineChars="225"/>
        <w:rPr>
          <w:rFonts w:ascii="宋体" w:hAnsi="宋体" w:cs="宋体"/>
          <w:bCs/>
          <w:color w:val="auto"/>
          <w:sz w:val="24"/>
          <w:szCs w:val="20"/>
          <w:highlight w:val="none"/>
        </w:rPr>
      </w:pPr>
    </w:p>
    <w:p w14:paraId="2605C5A1">
      <w:pPr>
        <w:pStyle w:val="10"/>
        <w:pageBreakBefore w:val="0"/>
        <w:wordWrap w:val="0"/>
        <w:overflowPunct/>
        <w:topLinePunct w:val="0"/>
        <w:bidi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22E48338">
      <w:pPr>
        <w:pStyle w:val="10"/>
        <w:pageBreakBefore w:val="0"/>
        <w:wordWrap w:val="0"/>
        <w:overflowPunct/>
        <w:topLinePunct w:val="0"/>
        <w:bidi w:val="0"/>
        <w:snapToGrid w:val="0"/>
        <w:spacing w:line="360" w:lineRule="auto"/>
        <w:ind w:firstLine="540" w:firstLineChars="225"/>
        <w:rPr>
          <w:rFonts w:ascii="宋体" w:hAnsi="宋体" w:cs="宋体"/>
          <w:bCs/>
          <w:color w:val="auto"/>
          <w:sz w:val="24"/>
          <w:szCs w:val="24"/>
          <w:highlight w:val="none"/>
        </w:rPr>
      </w:pPr>
    </w:p>
    <w:p w14:paraId="4AE18193">
      <w:pPr>
        <w:pStyle w:val="10"/>
        <w:pageBreakBefore w:val="0"/>
        <w:wordWrap w:val="0"/>
        <w:overflowPunct/>
        <w:topLinePunct w:val="0"/>
        <w:bidi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22613E9F">
      <w:pPr>
        <w:pStyle w:val="10"/>
        <w:pageBreakBefore w:val="0"/>
        <w:wordWrap w:val="0"/>
        <w:overflowPunct/>
        <w:topLinePunct w:val="0"/>
        <w:bidi w:val="0"/>
        <w:snapToGrid w:val="0"/>
        <w:spacing w:line="360" w:lineRule="auto"/>
        <w:ind w:firstLine="960" w:firstLineChars="400"/>
        <w:rPr>
          <w:rFonts w:ascii="宋体" w:hAnsi="宋体" w:cs="宋体"/>
          <w:bCs/>
          <w:color w:val="auto"/>
          <w:sz w:val="24"/>
          <w:szCs w:val="24"/>
          <w:highlight w:val="none"/>
        </w:rPr>
      </w:pPr>
    </w:p>
    <w:p w14:paraId="37D82F28">
      <w:pPr>
        <w:pageBreakBefore w:val="0"/>
        <w:wordWrap w:val="0"/>
        <w:overflowPunct/>
        <w:topLinePunct w:val="0"/>
        <w:bidi w:val="0"/>
        <w:snapToGrid w:val="0"/>
        <w:spacing w:line="360" w:lineRule="auto"/>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7F06B98A">
      <w:pPr>
        <w:pageBreakBefore w:val="0"/>
        <w:wordWrap w:val="0"/>
        <w:overflowPunct/>
        <w:topLinePunct w:val="0"/>
        <w:bidi w:val="0"/>
        <w:snapToGrid w:val="0"/>
        <w:spacing w:line="360" w:lineRule="auto"/>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2106FF7C">
      <w:pPr>
        <w:pageBreakBefore w:val="0"/>
        <w:wordWrap w:val="0"/>
        <w:overflowPunct/>
        <w:topLinePunct w:val="0"/>
        <w:bidi w:val="0"/>
        <w:spacing w:line="360" w:lineRule="auto"/>
        <w:ind w:right="420"/>
        <w:rPr>
          <w:rFonts w:ascii="宋体" w:hAnsi="宋体" w:cs="宋体"/>
          <w:color w:val="auto"/>
          <w:sz w:val="24"/>
          <w:szCs w:val="20"/>
          <w:highlight w:val="none"/>
        </w:rPr>
      </w:pPr>
    </w:p>
    <w:p w14:paraId="5D310CD7">
      <w:pPr>
        <w:pageBreakBefore w:val="0"/>
        <w:wordWrap w:val="0"/>
        <w:overflowPunct/>
        <w:topLinePunct w:val="0"/>
        <w:bidi w:val="0"/>
        <w:spacing w:line="360" w:lineRule="auto"/>
        <w:ind w:right="420"/>
        <w:rPr>
          <w:rFonts w:ascii="宋体" w:hAnsi="宋体" w:cs="宋体"/>
          <w:color w:val="auto"/>
          <w:sz w:val="24"/>
          <w:szCs w:val="20"/>
          <w:highlight w:val="none"/>
        </w:rPr>
      </w:pPr>
    </w:p>
    <w:p w14:paraId="63D250AA">
      <w:pPr>
        <w:pageBreakBefore w:val="0"/>
        <w:wordWrap w:val="0"/>
        <w:overflowPunct/>
        <w:topLinePunct w:val="0"/>
        <w:bidi w:val="0"/>
        <w:spacing w:line="360" w:lineRule="auto"/>
        <w:ind w:right="420"/>
        <w:rPr>
          <w:rFonts w:ascii="宋体" w:hAnsi="宋体" w:cs="宋体"/>
          <w:color w:val="auto"/>
          <w:sz w:val="24"/>
          <w:szCs w:val="20"/>
          <w:highlight w:val="none"/>
        </w:rPr>
      </w:pPr>
    </w:p>
    <w:p w14:paraId="279557A5">
      <w:pPr>
        <w:pageBreakBefore w:val="0"/>
        <w:wordWrap w:val="0"/>
        <w:overflowPunct/>
        <w:topLinePunct w:val="0"/>
        <w:bidi w:val="0"/>
        <w:spacing w:line="360" w:lineRule="auto"/>
        <w:ind w:right="420"/>
        <w:rPr>
          <w:rFonts w:ascii="宋体" w:hAnsi="宋体" w:cs="宋体"/>
          <w:color w:val="auto"/>
          <w:sz w:val="24"/>
          <w:szCs w:val="20"/>
          <w:highlight w:val="none"/>
        </w:rPr>
      </w:pPr>
    </w:p>
    <w:p w14:paraId="1E230A59">
      <w:pPr>
        <w:pageBreakBefore w:val="0"/>
        <w:wordWrap w:val="0"/>
        <w:overflowPunct/>
        <w:topLinePunct w:val="0"/>
        <w:bidi w:val="0"/>
        <w:spacing w:line="360" w:lineRule="auto"/>
        <w:ind w:right="420"/>
        <w:rPr>
          <w:rFonts w:ascii="宋体" w:hAnsi="宋体" w:cs="宋体"/>
          <w:color w:val="auto"/>
          <w:sz w:val="24"/>
          <w:szCs w:val="20"/>
          <w:highlight w:val="none"/>
        </w:rPr>
      </w:pPr>
    </w:p>
    <w:p w14:paraId="5C79FF57">
      <w:pPr>
        <w:pageBreakBefore w:val="0"/>
        <w:wordWrap w:val="0"/>
        <w:overflowPunct/>
        <w:topLinePunct w:val="0"/>
        <w:bidi w:val="0"/>
        <w:spacing w:line="360" w:lineRule="auto"/>
        <w:ind w:right="420"/>
        <w:rPr>
          <w:rFonts w:ascii="宋体" w:hAnsi="宋体" w:cs="宋体"/>
          <w:color w:val="auto"/>
          <w:sz w:val="24"/>
          <w:szCs w:val="20"/>
          <w:highlight w:val="none"/>
        </w:rPr>
      </w:pPr>
    </w:p>
    <w:p w14:paraId="0821E177">
      <w:pPr>
        <w:pageBreakBefore w:val="0"/>
        <w:wordWrap w:val="0"/>
        <w:overflowPunct/>
        <w:topLinePunct w:val="0"/>
        <w:bidi w:val="0"/>
        <w:spacing w:line="360" w:lineRule="auto"/>
        <w:ind w:right="420"/>
        <w:rPr>
          <w:rFonts w:ascii="宋体" w:hAnsi="宋体" w:cs="宋体"/>
          <w:color w:val="auto"/>
          <w:sz w:val="24"/>
          <w:szCs w:val="20"/>
          <w:highlight w:val="none"/>
        </w:rPr>
      </w:pPr>
    </w:p>
    <w:p w14:paraId="29D8D39F">
      <w:pPr>
        <w:pageBreakBefore w:val="0"/>
        <w:wordWrap w:val="0"/>
        <w:overflowPunct/>
        <w:topLinePunct w:val="0"/>
        <w:bidi w:val="0"/>
        <w:spacing w:line="360" w:lineRule="auto"/>
        <w:ind w:right="420"/>
        <w:rPr>
          <w:rFonts w:ascii="宋体" w:hAnsi="宋体" w:cs="宋体"/>
          <w:color w:val="auto"/>
          <w:sz w:val="24"/>
          <w:szCs w:val="20"/>
          <w:highlight w:val="none"/>
        </w:rPr>
      </w:pPr>
    </w:p>
    <w:p w14:paraId="6A1D6DC3">
      <w:pPr>
        <w:pageBreakBefore w:val="0"/>
        <w:wordWrap w:val="0"/>
        <w:overflowPunct/>
        <w:topLinePunct w:val="0"/>
        <w:bidi w:val="0"/>
        <w:spacing w:line="360" w:lineRule="auto"/>
        <w:ind w:right="420"/>
        <w:rPr>
          <w:rFonts w:ascii="宋体" w:hAnsi="宋体" w:cs="宋体"/>
          <w:color w:val="auto"/>
          <w:sz w:val="24"/>
          <w:szCs w:val="20"/>
          <w:highlight w:val="none"/>
        </w:rPr>
      </w:pPr>
    </w:p>
    <w:p w14:paraId="713C2E9C">
      <w:pPr>
        <w:pageBreakBefore w:val="0"/>
        <w:wordWrap w:val="0"/>
        <w:overflowPunct/>
        <w:topLinePunct w:val="0"/>
        <w:bidi w:val="0"/>
        <w:spacing w:line="360" w:lineRule="auto"/>
        <w:ind w:right="42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 xml:space="preserve"> </w:t>
      </w:r>
    </w:p>
    <w:p w14:paraId="5A67D496">
      <w:pPr>
        <w:pageBreakBefore w:val="0"/>
        <w:wordWrap w:val="0"/>
        <w:overflowPunct/>
        <w:topLinePunct w:val="0"/>
        <w:bidi w:val="0"/>
        <w:spacing w:line="360" w:lineRule="auto"/>
        <w:rPr>
          <w:rFonts w:ascii="宋体" w:hAnsi="宋体" w:cs="宋体"/>
          <w:b/>
          <w:color w:val="auto"/>
          <w:kern w:val="0"/>
          <w:sz w:val="24"/>
          <w:highlight w:val="none"/>
        </w:rPr>
      </w:pPr>
    </w:p>
    <w:p w14:paraId="3D2E3546">
      <w:pPr>
        <w:pageBreakBefore w:val="0"/>
        <w:wordWrap w:val="0"/>
        <w:overflowPunct/>
        <w:topLinePunct w:val="0"/>
        <w:bidi w:val="0"/>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商务文件目录</w:t>
      </w:r>
    </w:p>
    <w:p w14:paraId="0806117F">
      <w:pPr>
        <w:pStyle w:val="35"/>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一、无串通投标行为的承诺函……………………………………………………………（页码）</w:t>
      </w:r>
    </w:p>
    <w:p w14:paraId="6208BFD6">
      <w:pPr>
        <w:pStyle w:val="35"/>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7C93C9F1">
      <w:pPr>
        <w:pStyle w:val="35"/>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三、法定代表人授权委托书及委托代理人有效身份证正反面复印件（如有委托时）……………………………………………………………………………………………（页码）</w:t>
      </w:r>
    </w:p>
    <w:p w14:paraId="052169B3">
      <w:pPr>
        <w:pStyle w:val="35"/>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37B6258C">
      <w:pPr>
        <w:pStyle w:val="35"/>
        <w:pageBreakBefore w:val="0"/>
        <w:wordWrap w:val="0"/>
        <w:overflowPunct/>
        <w:topLinePunct w:val="0"/>
        <w:bidi w:val="0"/>
        <w:spacing w:line="360" w:lineRule="auto"/>
        <w:rPr>
          <w:rFonts w:ascii="宋体" w:hAnsi="宋体" w:eastAsia="宋体" w:cs="宋体"/>
          <w:color w:val="auto"/>
          <w:highlight w:val="none"/>
        </w:rPr>
      </w:pPr>
      <w:bookmarkStart w:id="279" w:name="OLE_LINK6"/>
      <w:bookmarkStart w:id="280" w:name="OLE_LINK7"/>
      <w:bookmarkStart w:id="281" w:name="OLE_LINK5"/>
      <w:r>
        <w:rPr>
          <w:rFonts w:hint="eastAsia" w:ascii="宋体" w:hAnsi="宋体" w:eastAsia="宋体" w:cs="宋体"/>
          <w:color w:val="auto"/>
          <w:highlight w:val="none"/>
        </w:rPr>
        <w:t>五、投标人情况介绍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0A78821">
      <w:pPr>
        <w:pStyle w:val="35"/>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六、投标人类似业绩的证明文件（如有要求）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279"/>
      <w:bookmarkEnd w:id="280"/>
    </w:p>
    <w:p w14:paraId="7EA26C3E">
      <w:pPr>
        <w:pStyle w:val="35"/>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七、其他商务文件或说明</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281"/>
    <w:p w14:paraId="58E595E4">
      <w:pPr>
        <w:pageBreakBefore w:val="0"/>
        <w:wordWrap w:val="0"/>
        <w:overflowPunct/>
        <w:topLinePunct w:val="0"/>
        <w:bidi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567E5BE6">
      <w:pPr>
        <w:pageBreakBefore w:val="0"/>
        <w:widowControl/>
        <w:wordWrap w:val="0"/>
        <w:overflowPunct/>
        <w:topLinePunct w:val="0"/>
        <w:bidi w:val="0"/>
        <w:spacing w:line="360" w:lineRule="auto"/>
        <w:jc w:val="left"/>
        <w:rPr>
          <w:rFonts w:ascii="宋体" w:hAnsi="宋体" w:cs="宋体"/>
          <w:color w:val="auto"/>
          <w:highlight w:val="none"/>
        </w:rPr>
        <w:sectPr>
          <w:pgSz w:w="11906" w:h="16838"/>
          <w:pgMar w:top="1440" w:right="1080" w:bottom="1440" w:left="1080" w:header="720" w:footer="720" w:gutter="0"/>
          <w:pgNumType w:fmt="decimal"/>
          <w:cols w:space="720" w:num="1"/>
          <w:docGrid w:type="lines" w:linePitch="331" w:charSpace="0"/>
        </w:sectPr>
      </w:pPr>
    </w:p>
    <w:p w14:paraId="6D63AC72">
      <w:pPr>
        <w:pageBreakBefore w:val="0"/>
        <w:wordWrap w:val="0"/>
        <w:overflowPunct/>
        <w:topLinePunct w:val="0"/>
        <w:bidi w:val="0"/>
        <w:snapToGrid w:val="0"/>
        <w:spacing w:line="360" w:lineRule="auto"/>
        <w:ind w:left="42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一、无串通投标行为的承诺函</w:t>
      </w:r>
    </w:p>
    <w:p w14:paraId="41E722AF">
      <w:pPr>
        <w:pageBreakBefore w:val="0"/>
        <w:wordWrap w:val="0"/>
        <w:overflowPunct/>
        <w:topLinePunct w:val="0"/>
        <w:bidi w:val="0"/>
        <w:snapToGrid w:val="0"/>
        <w:spacing w:line="360" w:lineRule="auto"/>
        <w:ind w:left="42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投标人参加本项目无串通投标行为的承诺函</w:t>
      </w:r>
    </w:p>
    <w:p w14:paraId="6D45FC4C">
      <w:pPr>
        <w:pageBreakBefore w:val="0"/>
        <w:wordWrap w:val="0"/>
        <w:overflowPunct/>
        <w:topLinePunct w:val="0"/>
        <w:bidi w:val="0"/>
        <w:snapToGrid w:val="0"/>
        <w:spacing w:line="360" w:lineRule="auto"/>
        <w:rPr>
          <w:rFonts w:ascii="宋体" w:hAnsi="宋体" w:cs="宋体"/>
          <w:b/>
          <w:color w:val="auto"/>
          <w:szCs w:val="21"/>
          <w:highlight w:val="none"/>
        </w:rPr>
      </w:pPr>
    </w:p>
    <w:p w14:paraId="669CEE22">
      <w:pPr>
        <w:pageBreakBefore w:val="0"/>
        <w:wordWrap w:val="0"/>
        <w:overflowPunct/>
        <w:topLinePunct w:val="0"/>
        <w:bidi w:val="0"/>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0619C111">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6E197259">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474E9389">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21AF4317">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702A6030">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6EA24F1C">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0CB96184">
      <w:pPr>
        <w:pageBreakBefore w:val="0"/>
        <w:wordWrap w:val="0"/>
        <w:overflowPunct/>
        <w:topLinePunct w:val="0"/>
        <w:bidi w:val="0"/>
        <w:snapToGrid w:val="0"/>
        <w:spacing w:line="360" w:lineRule="auto"/>
        <w:jc w:val="left"/>
        <w:rPr>
          <w:rFonts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1F412D91">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1.投标人直接或者间接从采购人或者采购代理机构处获得其他投标人的相关信息并修改其投标文件或者投标文件；</w:t>
      </w:r>
    </w:p>
    <w:p w14:paraId="1220888B">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2.投标人按照采购人或者采购代理机构的授意撤换、修改投标文件或者投标文件；</w:t>
      </w:r>
    </w:p>
    <w:p w14:paraId="6CA03428">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3.投标人之间协商报价、技术方案等投标文件或者投标文件的实质性内容；</w:t>
      </w:r>
    </w:p>
    <w:p w14:paraId="48809650">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346BFC23">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04F73862">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1F52B0D2">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3D600524">
      <w:pPr>
        <w:pageBreakBefore w:val="0"/>
        <w:wordWrap w:val="0"/>
        <w:overflowPunct/>
        <w:topLinePunct w:val="0"/>
        <w:bidi w:val="0"/>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25A117E0">
      <w:pPr>
        <w:pageBreakBefore w:val="0"/>
        <w:wordWrap w:val="0"/>
        <w:overflowPunct/>
        <w:topLinePunct w:val="0"/>
        <w:bidi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3E49703C">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DD342DC">
      <w:pPr>
        <w:pStyle w:val="14"/>
        <w:pageBreakBefore w:val="0"/>
        <w:wordWrap w:val="0"/>
        <w:overflowPunct/>
        <w:topLinePunct w:val="0"/>
        <w:bidi w:val="0"/>
        <w:snapToGrid w:val="0"/>
        <w:spacing w:line="360" w:lineRule="auto"/>
        <w:jc w:val="center"/>
        <w:rPr>
          <w:rFonts w:hAnsi="宋体" w:cs="宋体"/>
          <w:b/>
          <w:color w:val="auto"/>
          <w:sz w:val="24"/>
          <w:highlight w:val="none"/>
        </w:rPr>
      </w:pPr>
      <w:r>
        <w:rPr>
          <w:rFonts w:hint="eastAsia" w:hAnsi="宋体" w:cs="宋体"/>
          <w:b/>
          <w:color w:val="auto"/>
          <w:sz w:val="24"/>
          <w:highlight w:val="none"/>
        </w:rPr>
        <w:br w:type="page"/>
      </w:r>
      <w:r>
        <w:rPr>
          <w:rFonts w:hint="eastAsia" w:hAnsi="宋体" w:cs="宋体"/>
          <w:b/>
          <w:bCs/>
          <w:color w:val="auto"/>
          <w:sz w:val="30"/>
          <w:szCs w:val="30"/>
          <w:highlight w:val="none"/>
        </w:rPr>
        <w:t>二、法定代表人身份证明及法定代表人有效身份证正反面复印件</w:t>
      </w:r>
    </w:p>
    <w:p w14:paraId="1B4B278F">
      <w:pPr>
        <w:pageBreakBefore w:val="0"/>
        <w:wordWrap w:val="0"/>
        <w:overflowPunct/>
        <w:topLinePunct w:val="0"/>
        <w:bidi w:val="0"/>
        <w:spacing w:line="360" w:lineRule="auto"/>
        <w:ind w:left="540"/>
        <w:jc w:val="center"/>
        <w:rPr>
          <w:rFonts w:ascii="宋体" w:hAnsi="宋体" w:cs="宋体"/>
          <w:b/>
          <w:color w:val="auto"/>
          <w:sz w:val="32"/>
          <w:szCs w:val="32"/>
          <w:highlight w:val="none"/>
        </w:rPr>
      </w:pPr>
    </w:p>
    <w:p w14:paraId="68B2C2EC">
      <w:pPr>
        <w:pageBreakBefore w:val="0"/>
        <w:wordWrap w:val="0"/>
        <w:overflowPunct/>
        <w:topLinePunct w:val="0"/>
        <w:bidi w:val="0"/>
        <w:spacing w:line="360" w:lineRule="auto"/>
        <w:ind w:left="540"/>
        <w:jc w:val="center"/>
        <w:rPr>
          <w:rFonts w:ascii="宋体" w:hAnsi="宋体" w:cs="宋体"/>
          <w:color w:val="auto"/>
          <w:sz w:val="32"/>
          <w:szCs w:val="32"/>
          <w:highlight w:val="none"/>
        </w:rPr>
      </w:pPr>
      <w:r>
        <w:rPr>
          <w:rFonts w:hint="eastAsia" w:ascii="宋体" w:hAnsi="宋体" w:cs="宋体"/>
          <w:b/>
          <w:color w:val="auto"/>
          <w:sz w:val="32"/>
          <w:szCs w:val="32"/>
          <w:highlight w:val="none"/>
        </w:rPr>
        <w:t>法定代表人身份证明</w:t>
      </w:r>
    </w:p>
    <w:p w14:paraId="6CF1D360">
      <w:pPr>
        <w:pageBreakBefore w:val="0"/>
        <w:wordWrap w:val="0"/>
        <w:overflowPunct/>
        <w:topLinePunct w:val="0"/>
        <w:bidi w:val="0"/>
        <w:spacing w:line="360" w:lineRule="auto"/>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58FCDA39">
      <w:pPr>
        <w:pageBreakBefore w:val="0"/>
        <w:wordWrap w:val="0"/>
        <w:overflowPunct/>
        <w:topLinePunct w:val="0"/>
        <w:bidi w:val="0"/>
        <w:spacing w:line="360" w:lineRule="auto"/>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1C86AF79">
      <w:pPr>
        <w:pageBreakBefore w:val="0"/>
        <w:wordWrap w:val="0"/>
        <w:overflowPunct/>
        <w:topLinePunct w:val="0"/>
        <w:bidi w:val="0"/>
        <w:spacing w:line="360" w:lineRule="auto"/>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50EC5430">
      <w:pPr>
        <w:pageBreakBefore w:val="0"/>
        <w:wordWrap w:val="0"/>
        <w:overflowPunct/>
        <w:topLinePunct w:val="0"/>
        <w:bidi w:val="0"/>
        <w:spacing w:line="360" w:lineRule="auto"/>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46D95BF1">
      <w:pPr>
        <w:pageBreakBefore w:val="0"/>
        <w:wordWrap w:val="0"/>
        <w:overflowPunct/>
        <w:topLinePunct w:val="0"/>
        <w:bidi w:val="0"/>
        <w:spacing w:line="360" w:lineRule="auto"/>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576BD076">
      <w:pPr>
        <w:pageBreakBefore w:val="0"/>
        <w:wordWrap w:val="0"/>
        <w:overflowPunct/>
        <w:topLinePunct w:val="0"/>
        <w:bidi w:val="0"/>
        <w:spacing w:line="360" w:lineRule="auto"/>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4CFCBC3B">
      <w:pPr>
        <w:pageBreakBefore w:val="0"/>
        <w:wordWrap w:val="0"/>
        <w:overflowPunct/>
        <w:topLinePunct w:val="0"/>
        <w:bidi w:val="0"/>
        <w:spacing w:line="360" w:lineRule="auto"/>
        <w:ind w:left="540"/>
        <w:rPr>
          <w:rFonts w:ascii="宋体" w:hAnsi="宋体" w:cs="宋体"/>
          <w:color w:val="auto"/>
          <w:sz w:val="24"/>
          <w:highlight w:val="none"/>
        </w:rPr>
      </w:pPr>
      <w:r>
        <w:rPr>
          <w:rFonts w:hint="eastAsia" w:ascii="宋体" w:hAnsi="宋体" w:cs="宋体"/>
          <w:color w:val="auto"/>
          <w:sz w:val="24"/>
          <w:highlight w:val="none"/>
        </w:rPr>
        <w:t>特此证明。</w:t>
      </w:r>
    </w:p>
    <w:p w14:paraId="4D10E6EC">
      <w:pPr>
        <w:pageBreakBefore w:val="0"/>
        <w:wordWrap w:val="0"/>
        <w:overflowPunct/>
        <w:topLinePunct w:val="0"/>
        <w:bidi w:val="0"/>
        <w:spacing w:line="360" w:lineRule="auto"/>
        <w:ind w:left="540"/>
        <w:rPr>
          <w:rFonts w:ascii="宋体" w:hAnsi="宋体" w:cs="宋体"/>
          <w:color w:val="auto"/>
          <w:sz w:val="24"/>
          <w:highlight w:val="none"/>
        </w:rPr>
      </w:pPr>
    </w:p>
    <w:p w14:paraId="3555FCA7">
      <w:pPr>
        <w:pageBreakBefore w:val="0"/>
        <w:wordWrap w:val="0"/>
        <w:overflowPunct/>
        <w:topLinePunct w:val="0"/>
        <w:bidi w:val="0"/>
        <w:spacing w:line="360" w:lineRule="auto"/>
        <w:ind w:left="540"/>
        <w:rPr>
          <w:rFonts w:ascii="宋体" w:hAnsi="宋体" w:cs="宋体"/>
          <w:color w:val="auto"/>
          <w:sz w:val="24"/>
          <w:highlight w:val="none"/>
        </w:rPr>
      </w:pPr>
    </w:p>
    <w:p w14:paraId="46388966">
      <w:pPr>
        <w:pageBreakBefore w:val="0"/>
        <w:wordWrap w:val="0"/>
        <w:overflowPunct/>
        <w:topLinePunct w:val="0"/>
        <w:bidi w:val="0"/>
        <w:spacing w:line="360" w:lineRule="auto"/>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0D810452">
      <w:pPr>
        <w:pageBreakBefore w:val="0"/>
        <w:wordWrap w:val="0"/>
        <w:overflowPunct/>
        <w:topLinePunct w:val="0"/>
        <w:bidi w:val="0"/>
        <w:spacing w:line="360" w:lineRule="auto"/>
        <w:ind w:left="540"/>
        <w:rPr>
          <w:rFonts w:ascii="宋体" w:hAnsi="宋体" w:cs="宋体"/>
          <w:color w:val="auto"/>
          <w:sz w:val="24"/>
          <w:highlight w:val="none"/>
        </w:rPr>
      </w:pPr>
    </w:p>
    <w:p w14:paraId="072AC57D">
      <w:pPr>
        <w:pageBreakBefore w:val="0"/>
        <w:wordWrap w:val="0"/>
        <w:overflowPunct/>
        <w:topLinePunct w:val="0"/>
        <w:bidi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3B99293D">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89D9AE8">
      <w:pPr>
        <w:pageBreakBefore w:val="0"/>
        <w:wordWrap w:val="0"/>
        <w:overflowPunct/>
        <w:topLinePunct w:val="0"/>
        <w:bidi w:val="0"/>
        <w:snapToGrid w:val="0"/>
        <w:spacing w:line="360" w:lineRule="auto"/>
        <w:jc w:val="center"/>
        <w:rPr>
          <w:rFonts w:ascii="宋体" w:hAnsi="宋体" w:cs="宋体"/>
          <w:b/>
          <w:color w:val="auto"/>
          <w:sz w:val="24"/>
          <w:highlight w:val="none"/>
        </w:rPr>
      </w:pPr>
    </w:p>
    <w:p w14:paraId="6AF4EE37">
      <w:pPr>
        <w:pageBreakBefore w:val="0"/>
        <w:wordWrap w:val="0"/>
        <w:overflowPunct/>
        <w:topLinePunct w:val="0"/>
        <w:bidi w:val="0"/>
        <w:snapToGrid w:val="0"/>
        <w:spacing w:line="360" w:lineRule="auto"/>
        <w:ind w:firstLine="600" w:firstLineChars="250"/>
        <w:jc w:val="left"/>
        <w:rPr>
          <w:rFonts w:ascii="宋体" w:hAnsi="宋体" w:cs="宋体"/>
          <w:color w:val="auto"/>
          <w:sz w:val="24"/>
          <w:highlight w:val="none"/>
        </w:rPr>
      </w:pPr>
      <w:r>
        <w:rPr>
          <w:rFonts w:hint="eastAsia" w:ascii="宋体" w:hAnsi="宋体" w:cs="宋体"/>
          <w:color w:val="auto"/>
          <w:sz w:val="24"/>
          <w:highlight w:val="none"/>
        </w:rPr>
        <w:t>注：自然人投标的无需提供</w:t>
      </w:r>
    </w:p>
    <w:p w14:paraId="7955DCAC">
      <w:pPr>
        <w:pageBreakBefore w:val="0"/>
        <w:wordWrap w:val="0"/>
        <w:overflowPunct/>
        <w:topLinePunct w:val="0"/>
        <w:bidi w:val="0"/>
        <w:snapToGrid w:val="0"/>
        <w:spacing w:line="360" w:lineRule="auto"/>
        <w:ind w:firstLine="600" w:firstLineChars="250"/>
        <w:jc w:val="left"/>
        <w:rPr>
          <w:rFonts w:ascii="宋体" w:hAnsi="宋体" w:cs="宋体"/>
          <w:color w:val="auto"/>
          <w:sz w:val="24"/>
          <w:highlight w:val="none"/>
        </w:rPr>
      </w:pPr>
    </w:p>
    <w:p w14:paraId="4E7CDDA9">
      <w:pPr>
        <w:pageBreakBefore w:val="0"/>
        <w:wordWrap w:val="0"/>
        <w:overflowPunct/>
        <w:topLinePunct w:val="0"/>
        <w:bidi w:val="0"/>
        <w:snapToGrid w:val="0"/>
        <w:spacing w:line="360" w:lineRule="auto"/>
        <w:ind w:firstLine="602" w:firstLineChars="250"/>
        <w:jc w:val="left"/>
        <w:rPr>
          <w:rFonts w:ascii="宋体" w:hAnsi="宋体" w:cs="宋体"/>
          <w:b/>
          <w:color w:val="auto"/>
          <w:sz w:val="24"/>
          <w:szCs w:val="20"/>
          <w:highlight w:val="none"/>
        </w:rPr>
      </w:pPr>
    </w:p>
    <w:tbl>
      <w:tblPr>
        <w:tblStyle w:val="22"/>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3216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19942C13">
            <w:pPr>
              <w:pageBreakBefore w:val="0"/>
              <w:wordWrap w:val="0"/>
              <w:overflowPunct/>
              <w:topLinePunct w:val="0"/>
              <w:bidi w:val="0"/>
              <w:spacing w:line="360" w:lineRule="auto"/>
              <w:rPr>
                <w:rFonts w:ascii="宋体" w:hAnsi="宋体" w:cs="宋体"/>
                <w:b/>
                <w:color w:val="auto"/>
                <w:sz w:val="24"/>
                <w:highlight w:val="none"/>
              </w:rPr>
            </w:pPr>
          </w:p>
          <w:p w14:paraId="3A9B78A6">
            <w:pPr>
              <w:pageBreakBefore w:val="0"/>
              <w:wordWrap w:val="0"/>
              <w:overflowPunct/>
              <w:topLinePunct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0F78D1A1">
      <w:pPr>
        <w:pStyle w:val="14"/>
        <w:pageBreakBefore w:val="0"/>
        <w:wordWrap w:val="0"/>
        <w:overflowPunct/>
        <w:topLinePunct w:val="0"/>
        <w:bidi w:val="0"/>
        <w:snapToGrid w:val="0"/>
        <w:spacing w:line="360" w:lineRule="auto"/>
        <w:jc w:val="center"/>
        <w:rPr>
          <w:rFonts w:hAnsi="宋体" w:cs="宋体"/>
          <w:b/>
          <w:color w:val="auto"/>
          <w:sz w:val="24"/>
          <w:highlight w:val="none"/>
        </w:rPr>
      </w:pPr>
      <w:r>
        <w:rPr>
          <w:rFonts w:hint="eastAsia" w:hAnsi="宋体" w:cs="宋体"/>
          <w:b/>
          <w:color w:val="auto"/>
          <w:sz w:val="24"/>
          <w:highlight w:val="none"/>
        </w:rPr>
        <w:t>附件：</w:t>
      </w:r>
      <w:r>
        <w:rPr>
          <w:rFonts w:hint="eastAsia" w:hAnsi="宋体" w:cs="宋体"/>
          <w:b/>
          <w:color w:val="auto"/>
          <w:sz w:val="24"/>
          <w:highlight w:val="none"/>
        </w:rPr>
        <w:br w:type="page"/>
      </w:r>
      <w:r>
        <w:rPr>
          <w:rFonts w:hint="eastAsia" w:hAnsi="宋体" w:cs="宋体"/>
          <w:b/>
          <w:bCs/>
          <w:color w:val="auto"/>
          <w:sz w:val="30"/>
          <w:szCs w:val="30"/>
          <w:highlight w:val="none"/>
        </w:rPr>
        <w:t>三、法定代表人授权委托书及委托代理人有效身份证正反面复印件（如有委托时）</w:t>
      </w:r>
    </w:p>
    <w:p w14:paraId="1BC0C1DD">
      <w:pPr>
        <w:pageBreakBefore w:val="0"/>
        <w:wordWrap w:val="0"/>
        <w:overflowPunct/>
        <w:topLinePunct w:val="0"/>
        <w:bidi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178DE429">
      <w:pPr>
        <w:pageBreakBefore w:val="0"/>
        <w:wordWrap w:val="0"/>
        <w:overflowPunct/>
        <w:topLinePunct w:val="0"/>
        <w:bidi w:val="0"/>
        <w:snapToGrid w:val="0"/>
        <w:spacing w:line="360" w:lineRule="auto"/>
        <w:jc w:val="center"/>
        <w:rPr>
          <w:rFonts w:ascii="宋体" w:hAnsi="宋体" w:cs="宋体"/>
          <w:b/>
          <w:color w:val="auto"/>
          <w:sz w:val="24"/>
          <w:highlight w:val="none"/>
        </w:rPr>
      </w:pPr>
    </w:p>
    <w:p w14:paraId="4C33B4C4">
      <w:pPr>
        <w:pStyle w:val="14"/>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致：</w:t>
      </w:r>
      <w:r>
        <w:rPr>
          <w:rFonts w:hint="eastAsia" w:hAnsi="宋体" w:cs="宋体"/>
          <w:color w:val="auto"/>
          <w:highlight w:val="none"/>
          <w:u w:val="single"/>
        </w:rPr>
        <w:t xml:space="preserve"> </w:t>
      </w:r>
      <w:bookmarkStart w:id="282" w:name="PO_3000001866_PM031_7"/>
      <w:r>
        <w:rPr>
          <w:rFonts w:hint="eastAsia" w:hAnsi="宋体" w:cs="宋体"/>
          <w:color w:val="auto"/>
          <w:highlight w:val="none"/>
          <w:u w:val="single"/>
        </w:rPr>
        <w:t>广西邕政采购代理有限公司</w:t>
      </w:r>
      <w:bookmarkEnd w:id="282"/>
      <w:r>
        <w:rPr>
          <w:rFonts w:hint="eastAsia" w:hAnsi="宋体" w:cs="宋体"/>
          <w:color w:val="auto"/>
          <w:highlight w:val="none"/>
          <w:u w:val="single"/>
        </w:rPr>
        <w:t xml:space="preserve"> </w:t>
      </w:r>
    </w:p>
    <w:p w14:paraId="313881C7">
      <w:pPr>
        <w:pStyle w:val="14"/>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本人</w:t>
      </w:r>
      <w:r>
        <w:rPr>
          <w:rFonts w:hint="eastAsia" w:hAnsi="宋体" w:cs="宋体"/>
          <w:color w:val="auto"/>
          <w:highlight w:val="none"/>
          <w:u w:val="single"/>
        </w:rPr>
        <w:t xml:space="preserve">        </w:t>
      </w:r>
      <w:r>
        <w:rPr>
          <w:rFonts w:hint="eastAsia" w:hAnsi="宋体" w:cs="宋体"/>
          <w:color w:val="auto"/>
          <w:highlight w:val="none"/>
        </w:rPr>
        <w:t>（姓名）系</w:t>
      </w:r>
      <w:r>
        <w:rPr>
          <w:rFonts w:hint="eastAsia" w:hAnsi="宋体" w:cs="宋体"/>
          <w:color w:val="auto"/>
          <w:highlight w:val="none"/>
          <w:u w:val="single"/>
        </w:rPr>
        <w:t xml:space="preserve">                 </w:t>
      </w:r>
      <w:r>
        <w:rPr>
          <w:rFonts w:hint="eastAsia" w:hAnsi="宋体" w:cs="宋体"/>
          <w:color w:val="auto"/>
          <w:highlight w:val="none"/>
        </w:rPr>
        <w:t>（投标人名称）的法定代表人，现授权我单位在职正式员工</w:t>
      </w:r>
      <w:r>
        <w:rPr>
          <w:rFonts w:hint="eastAsia" w:hAnsi="宋体" w:cs="宋体"/>
          <w:color w:val="auto"/>
          <w:highlight w:val="none"/>
          <w:u w:val="single"/>
        </w:rPr>
        <w:t xml:space="preserve">        </w:t>
      </w:r>
      <w:r>
        <w:rPr>
          <w:rFonts w:hint="eastAsia" w:hAnsi="宋体" w:cs="宋体"/>
          <w:color w:val="auto"/>
          <w:highlight w:val="none"/>
        </w:rPr>
        <w:t>（姓名和职务）为我方代理人。代理人根据授权，以我方名义签署、澄清、说明、补正、递交、撤回、修改贵方组织的</w:t>
      </w:r>
      <w:r>
        <w:rPr>
          <w:rFonts w:hint="eastAsia" w:hAnsi="宋体" w:cs="宋体"/>
          <w:color w:val="auto"/>
          <w:highlight w:val="none"/>
          <w:u w:val="single"/>
        </w:rPr>
        <w:t xml:space="preserve"> </w:t>
      </w:r>
      <w:r>
        <w:rPr>
          <w:rFonts w:hint="eastAsia" w:hAnsi="宋体" w:cs="宋体"/>
          <w:color w:val="auto"/>
          <w:szCs w:val="21"/>
          <w:highlight w:val="none"/>
          <w:u w:val="single"/>
        </w:rPr>
        <w:t xml:space="preserve">（项目名称） </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rPr>
        <w:t>）的投标文件、签订合同和处理一切有关事宜，其法律后果由我方承担。</w:t>
      </w:r>
    </w:p>
    <w:p w14:paraId="343DC9B2">
      <w:pPr>
        <w:pStyle w:val="14"/>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本授权书于</w:t>
      </w:r>
      <w:r>
        <w:rPr>
          <w:rFonts w:hint="eastAsia" w:hAnsi="宋体" w:cs="宋体"/>
          <w:color w:val="auto"/>
          <w:spacing w:val="10"/>
          <w:sz w:val="24"/>
          <w:highlight w:val="none"/>
          <w:u w:val="single"/>
        </w:rPr>
        <w:t xml:space="preserve">    </w:t>
      </w:r>
      <w:r>
        <w:rPr>
          <w:rFonts w:hint="eastAsia" w:hAnsi="宋体" w:cs="宋体"/>
          <w:color w:val="auto"/>
          <w:highlight w:val="none"/>
        </w:rPr>
        <w:t>年</w:t>
      </w:r>
      <w:r>
        <w:rPr>
          <w:rFonts w:hint="eastAsia" w:hAnsi="宋体" w:cs="宋体"/>
          <w:color w:val="auto"/>
          <w:spacing w:val="10"/>
          <w:sz w:val="24"/>
          <w:highlight w:val="none"/>
          <w:u w:val="single"/>
        </w:rPr>
        <w:t xml:space="preserve">    </w:t>
      </w:r>
      <w:r>
        <w:rPr>
          <w:rFonts w:hint="eastAsia" w:hAnsi="宋体" w:cs="宋体"/>
          <w:color w:val="auto"/>
          <w:highlight w:val="none"/>
        </w:rPr>
        <w:t>月</w:t>
      </w:r>
      <w:r>
        <w:rPr>
          <w:rFonts w:hint="eastAsia" w:hAnsi="宋体" w:cs="宋体"/>
          <w:color w:val="auto"/>
          <w:spacing w:val="10"/>
          <w:sz w:val="24"/>
          <w:highlight w:val="none"/>
          <w:u w:val="single"/>
        </w:rPr>
        <w:t xml:space="preserve">    </w:t>
      </w:r>
      <w:r>
        <w:rPr>
          <w:rFonts w:hint="eastAsia" w:hAnsi="宋体" w:cs="宋体"/>
          <w:color w:val="auto"/>
          <w:highlight w:val="none"/>
        </w:rPr>
        <w:t>日签字生效，委托期限：</w:t>
      </w:r>
      <w:r>
        <w:rPr>
          <w:rFonts w:hint="eastAsia" w:hAnsi="宋体" w:cs="宋体"/>
          <w:color w:val="auto"/>
          <w:spacing w:val="10"/>
          <w:sz w:val="24"/>
          <w:highlight w:val="none"/>
          <w:u w:val="single"/>
        </w:rPr>
        <w:t xml:space="preserve">    </w:t>
      </w:r>
      <w:r>
        <w:rPr>
          <w:rFonts w:hint="eastAsia" w:hAnsi="宋体" w:cs="宋体"/>
          <w:color w:val="auto"/>
          <w:highlight w:val="none"/>
        </w:rPr>
        <w:t>。</w:t>
      </w:r>
    </w:p>
    <w:p w14:paraId="32749396">
      <w:pPr>
        <w:pStyle w:val="14"/>
        <w:pageBreakBefore w:val="0"/>
        <w:wordWrap w:val="0"/>
        <w:overflowPunct/>
        <w:topLinePunct w:val="0"/>
        <w:bidi w:val="0"/>
        <w:spacing w:line="360" w:lineRule="auto"/>
        <w:ind w:firstLine="420"/>
        <w:rPr>
          <w:rFonts w:hAnsi="宋体" w:cs="宋体"/>
          <w:color w:val="auto"/>
          <w:highlight w:val="none"/>
        </w:rPr>
      </w:pPr>
      <w:r>
        <w:rPr>
          <w:rFonts w:hint="eastAsia" w:hAnsi="宋体" w:cs="宋体"/>
          <w:color w:val="auto"/>
          <w:highlight w:val="none"/>
        </w:rPr>
        <w:t>代理人无转委托权。</w:t>
      </w:r>
    </w:p>
    <w:p w14:paraId="6B14343F">
      <w:pPr>
        <w:pStyle w:val="14"/>
        <w:pageBreakBefore w:val="0"/>
        <w:wordWrap w:val="0"/>
        <w:overflowPunct/>
        <w:topLinePunct w:val="0"/>
        <w:bidi w:val="0"/>
        <w:spacing w:line="360" w:lineRule="auto"/>
        <w:ind w:firstLine="420"/>
        <w:rPr>
          <w:rFonts w:hAnsi="宋体" w:cs="宋体"/>
          <w:color w:val="auto"/>
          <w:highlight w:val="none"/>
        </w:rPr>
      </w:pPr>
    </w:p>
    <w:p w14:paraId="6519322A">
      <w:pPr>
        <w:pStyle w:val="14"/>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投标人（或联合体投标</w:t>
      </w:r>
      <w:r>
        <w:rPr>
          <w:rFonts w:hint="eastAsia" w:hAnsi="宋体" w:cs="宋体"/>
          <w:color w:val="auto"/>
          <w:kern w:val="0"/>
          <w:szCs w:val="21"/>
          <w:highlight w:val="none"/>
        </w:rPr>
        <w:t>牵头人名称</w:t>
      </w:r>
      <w:r>
        <w:rPr>
          <w:rFonts w:hint="eastAsia" w:hAnsi="宋体" w:cs="宋体"/>
          <w:color w:val="auto"/>
          <w:highlight w:val="none"/>
        </w:rPr>
        <w:t>）（盖单位公章）：</w:t>
      </w:r>
      <w:r>
        <w:rPr>
          <w:rFonts w:hint="eastAsia" w:hAnsi="宋体" w:cs="宋体"/>
          <w:color w:val="auto"/>
          <w:highlight w:val="none"/>
          <w:u w:val="single"/>
        </w:rPr>
        <w:t xml:space="preserve">                                    </w:t>
      </w:r>
    </w:p>
    <w:p w14:paraId="7E60459C">
      <w:pPr>
        <w:pStyle w:val="14"/>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4969F4D1">
      <w:pPr>
        <w:pStyle w:val="14"/>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法定代表人身份证号码：</w:t>
      </w:r>
      <w:r>
        <w:rPr>
          <w:rFonts w:hint="eastAsia" w:hAnsi="宋体" w:cs="宋体"/>
          <w:color w:val="auto"/>
          <w:highlight w:val="none"/>
          <w:u w:val="single"/>
        </w:rPr>
        <w:t xml:space="preserve">                                   </w:t>
      </w:r>
    </w:p>
    <w:p w14:paraId="115EA789">
      <w:pPr>
        <w:pStyle w:val="14"/>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委托代理人（签字）：</w:t>
      </w:r>
      <w:r>
        <w:rPr>
          <w:rFonts w:hint="eastAsia" w:hAnsi="宋体" w:cs="宋体"/>
          <w:color w:val="auto"/>
          <w:highlight w:val="none"/>
          <w:u w:val="single"/>
        </w:rPr>
        <w:t xml:space="preserve">                                </w:t>
      </w:r>
    </w:p>
    <w:p w14:paraId="25DEAA2D">
      <w:pPr>
        <w:pStyle w:val="14"/>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委托代理人身份证号码：</w:t>
      </w:r>
      <w:r>
        <w:rPr>
          <w:rFonts w:hint="eastAsia" w:hAnsi="宋体" w:cs="宋体"/>
          <w:color w:val="auto"/>
          <w:highlight w:val="none"/>
          <w:u w:val="single"/>
        </w:rPr>
        <w:t xml:space="preserve">                                   </w:t>
      </w:r>
    </w:p>
    <w:p w14:paraId="31504905">
      <w:pPr>
        <w:pStyle w:val="14"/>
        <w:pageBreakBefore w:val="0"/>
        <w:wordWrap w:val="0"/>
        <w:overflowPunct/>
        <w:topLinePunct w:val="0"/>
        <w:bidi w:val="0"/>
        <w:spacing w:line="360" w:lineRule="auto"/>
        <w:ind w:firstLine="420"/>
        <w:rPr>
          <w:rFonts w:hAnsi="宋体" w:cs="宋体"/>
          <w:color w:val="auto"/>
          <w:highlight w:val="none"/>
          <w:u w:val="single"/>
        </w:rPr>
      </w:pPr>
    </w:p>
    <w:p w14:paraId="06C47352">
      <w:pPr>
        <w:pStyle w:val="14"/>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kern w:val="0"/>
          <w:szCs w:val="21"/>
          <w:highlight w:val="none"/>
        </w:rPr>
        <w:t>成员一名称：</w:t>
      </w:r>
      <w:r>
        <w:rPr>
          <w:rFonts w:hint="eastAsia" w:hAnsi="宋体" w:cs="宋体"/>
          <w:color w:val="auto"/>
          <w:highlight w:val="none"/>
        </w:rPr>
        <w:t>（盖单位公章）：</w:t>
      </w:r>
      <w:r>
        <w:rPr>
          <w:rFonts w:hint="eastAsia" w:hAnsi="宋体" w:cs="宋体"/>
          <w:color w:val="auto"/>
          <w:highlight w:val="none"/>
          <w:u w:val="single"/>
        </w:rPr>
        <w:t xml:space="preserve">                                    </w:t>
      </w:r>
    </w:p>
    <w:p w14:paraId="65D7D866">
      <w:pPr>
        <w:pStyle w:val="14"/>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15C834B5">
      <w:pPr>
        <w:pStyle w:val="14"/>
        <w:pageBreakBefore w:val="0"/>
        <w:wordWrap w:val="0"/>
        <w:overflowPunct/>
        <w:topLinePunct w:val="0"/>
        <w:bidi w:val="0"/>
        <w:spacing w:line="360" w:lineRule="auto"/>
        <w:ind w:firstLine="420"/>
        <w:rPr>
          <w:rFonts w:hAnsi="宋体" w:cs="宋体"/>
          <w:color w:val="auto"/>
          <w:highlight w:val="none"/>
          <w:u w:val="single"/>
        </w:rPr>
      </w:pPr>
    </w:p>
    <w:p w14:paraId="4470698C">
      <w:pPr>
        <w:pageBreakBefore w:val="0"/>
        <w:wordWrap w:val="0"/>
        <w:overflowPunct/>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（盖单位公章）</w:t>
      </w:r>
    </w:p>
    <w:p w14:paraId="64983EE4">
      <w:pPr>
        <w:pageBreakBefore w:val="0"/>
        <w:wordWrap w:val="0"/>
        <w:overflowPunct/>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081FCB7E">
      <w:pPr>
        <w:pStyle w:val="14"/>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w:t>
      </w:r>
    </w:p>
    <w:p w14:paraId="6F43FA28">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注：</w:t>
      </w:r>
    </w:p>
    <w:p w14:paraId="38FEBB2C">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1.法定代表人和委托代理人必须在授权委托书上亲笔签名，不得使用印章、签名章或者其他电子制版签名代替，</w:t>
      </w:r>
      <w:r>
        <w:rPr>
          <w:rFonts w:hint="eastAsia" w:ascii="宋体" w:hAnsi="宋体" w:cs="宋体"/>
          <w:b/>
          <w:bCs/>
          <w:color w:val="auto"/>
          <w:szCs w:val="21"/>
          <w:highlight w:val="none"/>
        </w:rPr>
        <w:t>否则作无效投标处理</w:t>
      </w:r>
      <w:r>
        <w:rPr>
          <w:rFonts w:hint="eastAsia" w:ascii="宋体" w:hAnsi="宋体" w:cs="宋体"/>
          <w:color w:val="auto"/>
          <w:szCs w:val="21"/>
          <w:highlight w:val="none"/>
        </w:rPr>
        <w:t>；</w:t>
      </w:r>
    </w:p>
    <w:p w14:paraId="3B858802">
      <w:pPr>
        <w:pageBreakBefore w:val="0"/>
        <w:wordWrap w:val="0"/>
        <w:overflowPunct/>
        <w:topLinePunct w:val="0"/>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2.以联合体形式投标的，本授权委托书应由联合体牵头人的法定代表人按上述规定签署。</w:t>
      </w:r>
    </w:p>
    <w:p w14:paraId="4AA1B823">
      <w:pPr>
        <w:pageBreakBefore w:val="0"/>
        <w:wordWrap w:val="0"/>
        <w:overflowPunct/>
        <w:topLinePunct w:val="0"/>
        <w:bidi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0DF461CB">
      <w:pPr>
        <w:pageBreakBefore w:val="0"/>
        <w:wordWrap w:val="0"/>
        <w:overflowPunct/>
        <w:topLinePunct w:val="0"/>
        <w:bidi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 若为联合体投标须各方签字或盖章。</w:t>
      </w:r>
    </w:p>
    <w:p w14:paraId="77A553DB">
      <w:pPr>
        <w:pageBreakBefore w:val="0"/>
        <w:wordWrap w:val="0"/>
        <w:overflowPunct/>
        <w:topLinePunct w:val="0"/>
        <w:bidi w:val="0"/>
        <w:spacing w:line="360" w:lineRule="auto"/>
        <w:rPr>
          <w:rFonts w:ascii="宋体" w:hAnsi="宋体" w:cs="宋体"/>
          <w:b/>
          <w:color w:val="auto"/>
          <w:sz w:val="24"/>
          <w:highlight w:val="none"/>
        </w:rPr>
      </w:pPr>
    </w:p>
    <w:p w14:paraId="246839A9">
      <w:pPr>
        <w:pageBreakBefore w:val="0"/>
        <w:wordWrap w:val="0"/>
        <w:overflowPunct/>
        <w:topLinePunct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附件：</w:t>
      </w:r>
    </w:p>
    <w:tbl>
      <w:tblPr>
        <w:tblStyle w:val="22"/>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0AF0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90" w:type="dxa"/>
            <w:tcBorders>
              <w:top w:val="single" w:color="auto" w:sz="4" w:space="0"/>
              <w:left w:val="single" w:color="auto" w:sz="4" w:space="0"/>
              <w:bottom w:val="single" w:color="auto" w:sz="4" w:space="0"/>
              <w:right w:val="single" w:color="auto" w:sz="4" w:space="0"/>
            </w:tcBorders>
          </w:tcPr>
          <w:p w14:paraId="790948F1">
            <w:pPr>
              <w:pageBreakBefore w:val="0"/>
              <w:wordWrap w:val="0"/>
              <w:overflowPunct/>
              <w:topLinePunct w:val="0"/>
              <w:bidi w:val="0"/>
              <w:spacing w:line="360" w:lineRule="auto"/>
              <w:rPr>
                <w:rFonts w:ascii="宋体" w:hAnsi="宋体" w:cs="宋体"/>
                <w:b/>
                <w:color w:val="auto"/>
                <w:sz w:val="24"/>
                <w:highlight w:val="none"/>
              </w:rPr>
            </w:pPr>
          </w:p>
          <w:p w14:paraId="03ADC2FA">
            <w:pPr>
              <w:pageBreakBefore w:val="0"/>
              <w:wordWrap w:val="0"/>
              <w:overflowPunct/>
              <w:topLinePunct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全权代表身份证复印件粘帖处（正、反面）</w:t>
            </w:r>
          </w:p>
        </w:tc>
      </w:tr>
    </w:tbl>
    <w:p w14:paraId="13E94A5B">
      <w:pPr>
        <w:pageBreakBefore w:val="0"/>
        <w:wordWrap w:val="0"/>
        <w:overflowPunct/>
        <w:topLinePunct w:val="0"/>
        <w:bidi w:val="0"/>
        <w:snapToGrid w:val="0"/>
        <w:spacing w:line="360" w:lineRule="auto"/>
        <w:jc w:val="left"/>
        <w:rPr>
          <w:rFonts w:ascii="宋体" w:hAnsi="宋体" w:cs="宋体"/>
          <w:color w:val="auto"/>
          <w:szCs w:val="21"/>
          <w:highlight w:val="none"/>
        </w:rPr>
      </w:pPr>
    </w:p>
    <w:p w14:paraId="0D54373F">
      <w:pPr>
        <w:pageBreakBefore w:val="0"/>
        <w:wordWrap w:val="0"/>
        <w:overflowPunct/>
        <w:topLinePunct w:val="0"/>
        <w:bidi w:val="0"/>
        <w:snapToGrid w:val="0"/>
        <w:spacing w:line="360" w:lineRule="auto"/>
        <w:ind w:firstLine="566" w:firstLineChars="236"/>
        <w:jc w:val="center"/>
        <w:rPr>
          <w:rFonts w:ascii="宋体" w:hAnsi="宋体" w:cs="宋体"/>
          <w:color w:val="auto"/>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br w:type="page"/>
      </w:r>
    </w:p>
    <w:p w14:paraId="2B51BC08">
      <w:pPr>
        <w:pageBreakBefore w:val="0"/>
        <w:wordWrap w:val="0"/>
        <w:overflowPunct/>
        <w:topLinePunct w:val="0"/>
        <w:bidi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四、商务条款偏离表</w:t>
      </w:r>
    </w:p>
    <w:p w14:paraId="23C98886">
      <w:pPr>
        <w:pageBreakBefore w:val="0"/>
        <w:wordWrap w:val="0"/>
        <w:overflowPunct/>
        <w:topLinePunct w:val="0"/>
        <w:bidi w:val="0"/>
        <w:spacing w:line="360" w:lineRule="auto"/>
        <w:jc w:val="center"/>
        <w:rPr>
          <w:rFonts w:ascii="宋体" w:hAnsi="宋体" w:cs="宋体"/>
          <w:b/>
          <w:color w:val="auto"/>
          <w:sz w:val="24"/>
          <w:szCs w:val="20"/>
          <w:highlight w:val="none"/>
        </w:rPr>
      </w:pPr>
      <w:r>
        <w:rPr>
          <w:rFonts w:hint="eastAsia" w:ascii="宋体" w:hAnsi="宋体" w:cs="宋体"/>
          <w:color w:val="auto"/>
          <w:sz w:val="30"/>
          <w:szCs w:val="20"/>
          <w:highlight w:val="none"/>
        </w:rPr>
        <w:t>(注：按项目需求表具体项目修改)</w:t>
      </w:r>
    </w:p>
    <w:p w14:paraId="21727491">
      <w:pPr>
        <w:pageBreakBefore w:val="0"/>
        <w:wordWrap w:val="0"/>
        <w:overflowPunct/>
        <w:topLinePunct w:val="0"/>
        <w:bidi w:val="0"/>
        <w:snapToGrid w:val="0"/>
        <w:spacing w:line="360" w:lineRule="auto"/>
        <w:jc w:val="left"/>
        <w:rPr>
          <w:rFonts w:ascii="宋体" w:hAnsi="宋体" w:cs="宋体"/>
          <w:color w:val="auto"/>
          <w:sz w:val="24"/>
          <w:highlight w:val="none"/>
        </w:rPr>
      </w:pPr>
    </w:p>
    <w:p w14:paraId="1919BE3B">
      <w:pPr>
        <w:pStyle w:val="14"/>
        <w:pageBreakBefore w:val="0"/>
        <w:wordWrap w:val="0"/>
        <w:overflowPunct/>
        <w:topLinePunct w:val="0"/>
        <w:bidi w:val="0"/>
        <w:spacing w:line="360" w:lineRule="auto"/>
        <w:ind w:left="-424" w:leftChars="-202" w:firstLine="846"/>
        <w:rPr>
          <w:rFonts w:hAnsi="宋体" w:cs="宋体"/>
          <w:color w:val="auto"/>
          <w:sz w:val="24"/>
          <w:szCs w:val="24"/>
          <w:highlight w:val="none"/>
        </w:rPr>
      </w:pPr>
      <w:r>
        <w:rPr>
          <w:rFonts w:hint="eastAsia" w:hAnsi="宋体" w:cs="宋体"/>
          <w:color w:val="auto"/>
          <w:highlight w:val="none"/>
        </w:rPr>
        <w:t>请逐条对应本项目招标文件第二章“服务需求一览表”中“商务条款”的要求，详细填写相应的具体内容。“偏离说明”一栏应当选择“正偏离”、“负偏离”或“无偏离”进行填写。</w:t>
      </w:r>
    </w:p>
    <w:tbl>
      <w:tblPr>
        <w:tblStyle w:val="22"/>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79A8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0DC7A1C0">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tcPr>
          <w:p w14:paraId="0FC5A4E8">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招标文件的商务需求</w:t>
            </w:r>
          </w:p>
        </w:tc>
        <w:tc>
          <w:tcPr>
            <w:tcW w:w="2516" w:type="dxa"/>
            <w:tcBorders>
              <w:top w:val="single" w:color="auto" w:sz="4" w:space="0"/>
              <w:left w:val="single" w:color="auto" w:sz="4" w:space="0"/>
              <w:right w:val="single" w:color="auto" w:sz="4" w:space="0"/>
            </w:tcBorders>
          </w:tcPr>
          <w:p w14:paraId="68AE5A11">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tcPr>
          <w:p w14:paraId="61260242">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312D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1EF30478">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tcPr>
          <w:p w14:paraId="77D9093C">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60FEB744">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208353C5">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55A21168">
            <w:pPr>
              <w:pageBreakBefore w:val="0"/>
              <w:wordWrap w:val="0"/>
              <w:overflowPunct/>
              <w:topLinePunct w:val="0"/>
              <w:bidi w:val="0"/>
              <w:spacing w:line="360" w:lineRule="auto"/>
              <w:rPr>
                <w:rFonts w:ascii="宋体" w:hAnsi="宋体" w:cs="宋体"/>
                <w:color w:val="auto"/>
                <w:szCs w:val="21"/>
                <w:highlight w:val="none"/>
              </w:rPr>
            </w:pPr>
          </w:p>
        </w:tc>
      </w:tr>
      <w:tr w14:paraId="5DB4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34FE0DF2">
            <w:pPr>
              <w:pageBreakBefore w:val="0"/>
              <w:wordWrap w:val="0"/>
              <w:overflowPunct/>
              <w:topLinePunct w:val="0"/>
              <w:bidi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4540A291">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2FF6BFBC">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7F5B4B8E">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237D3FD6">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74F9D2CC">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6F4257A6">
            <w:pPr>
              <w:pageBreakBefore w:val="0"/>
              <w:wordWrap w:val="0"/>
              <w:overflowPunct/>
              <w:topLinePunct w:val="0"/>
              <w:bidi w:val="0"/>
              <w:spacing w:line="360" w:lineRule="auto"/>
              <w:rPr>
                <w:rFonts w:ascii="宋体" w:hAnsi="宋体" w:cs="宋体"/>
                <w:color w:val="auto"/>
                <w:szCs w:val="21"/>
                <w:highlight w:val="none"/>
              </w:rPr>
            </w:pPr>
          </w:p>
        </w:tc>
      </w:tr>
      <w:tr w14:paraId="757F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53AAFB05">
            <w:pPr>
              <w:pageBreakBefore w:val="0"/>
              <w:wordWrap w:val="0"/>
              <w:overflowPunct/>
              <w:topLinePunct w:val="0"/>
              <w:bidi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52DF342">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42C9B03B">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3C4E6E9D">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2FD3545A">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607698E1">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1E554B77">
            <w:pPr>
              <w:pageBreakBefore w:val="0"/>
              <w:wordWrap w:val="0"/>
              <w:overflowPunct/>
              <w:topLinePunct w:val="0"/>
              <w:bidi w:val="0"/>
              <w:spacing w:line="360" w:lineRule="auto"/>
              <w:rPr>
                <w:rFonts w:ascii="宋体" w:hAnsi="宋体" w:cs="宋体"/>
                <w:color w:val="auto"/>
                <w:szCs w:val="21"/>
                <w:highlight w:val="none"/>
              </w:rPr>
            </w:pPr>
          </w:p>
        </w:tc>
      </w:tr>
      <w:tr w14:paraId="7CAA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09B14FB1">
            <w:pPr>
              <w:pageBreakBefore w:val="0"/>
              <w:wordWrap w:val="0"/>
              <w:overflowPunct/>
              <w:topLinePunct w:val="0"/>
              <w:bidi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668F47E6">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129A75F2">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487CB350">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053BBFB1">
            <w:pPr>
              <w:pageBreakBefore w:val="0"/>
              <w:wordWrap w:val="0"/>
              <w:overflowPunct/>
              <w:topLinePunct w:val="0"/>
              <w:bidi w:val="0"/>
              <w:spacing w:line="360" w:lineRule="auto"/>
              <w:rPr>
                <w:rFonts w:ascii="宋体" w:hAnsi="宋体" w:cs="宋体"/>
                <w:color w:val="auto"/>
                <w:szCs w:val="21"/>
                <w:highlight w:val="none"/>
              </w:rPr>
            </w:pPr>
          </w:p>
        </w:tc>
      </w:tr>
      <w:tr w14:paraId="74DC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78F0DC0A">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tcPr>
          <w:p w14:paraId="1AD26AA2">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3CA57FC0">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2D03428D">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79FB7D58">
            <w:pPr>
              <w:pageBreakBefore w:val="0"/>
              <w:wordWrap w:val="0"/>
              <w:overflowPunct/>
              <w:topLinePunct w:val="0"/>
              <w:bidi w:val="0"/>
              <w:spacing w:line="360" w:lineRule="auto"/>
              <w:rPr>
                <w:rFonts w:ascii="宋体" w:hAnsi="宋体" w:cs="宋体"/>
                <w:color w:val="auto"/>
                <w:szCs w:val="21"/>
                <w:highlight w:val="none"/>
              </w:rPr>
            </w:pPr>
          </w:p>
        </w:tc>
      </w:tr>
      <w:tr w14:paraId="019B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7A28319F">
            <w:pPr>
              <w:pageBreakBefore w:val="0"/>
              <w:wordWrap w:val="0"/>
              <w:overflowPunct/>
              <w:topLinePunct w:val="0"/>
              <w:bidi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406F0299">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788550BE">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64762A62">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0A3445E8">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BBDAC1C">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213FA35E">
            <w:pPr>
              <w:pageBreakBefore w:val="0"/>
              <w:wordWrap w:val="0"/>
              <w:overflowPunct/>
              <w:topLinePunct w:val="0"/>
              <w:bidi w:val="0"/>
              <w:spacing w:line="360" w:lineRule="auto"/>
              <w:rPr>
                <w:rFonts w:ascii="宋体" w:hAnsi="宋体" w:cs="宋体"/>
                <w:color w:val="auto"/>
                <w:szCs w:val="21"/>
                <w:highlight w:val="none"/>
              </w:rPr>
            </w:pPr>
          </w:p>
        </w:tc>
      </w:tr>
      <w:tr w14:paraId="1D6A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21452DB9">
            <w:pPr>
              <w:pageBreakBefore w:val="0"/>
              <w:wordWrap w:val="0"/>
              <w:overflowPunct/>
              <w:topLinePunct w:val="0"/>
              <w:bidi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41C07E34">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49E32119">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02EB6CF9">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64E8E1EC">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EDE2226">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15B9D263">
            <w:pPr>
              <w:pageBreakBefore w:val="0"/>
              <w:wordWrap w:val="0"/>
              <w:overflowPunct/>
              <w:topLinePunct w:val="0"/>
              <w:bidi w:val="0"/>
              <w:spacing w:line="360" w:lineRule="auto"/>
              <w:rPr>
                <w:rFonts w:ascii="宋体" w:hAnsi="宋体" w:cs="宋体"/>
                <w:color w:val="auto"/>
                <w:szCs w:val="21"/>
                <w:highlight w:val="none"/>
              </w:rPr>
            </w:pPr>
          </w:p>
        </w:tc>
      </w:tr>
      <w:tr w14:paraId="3659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79EB4447">
            <w:pPr>
              <w:pageBreakBefore w:val="0"/>
              <w:wordWrap w:val="0"/>
              <w:overflowPunct/>
              <w:topLinePunct w:val="0"/>
              <w:bidi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21F98720">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6C06AD3F">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393EB734">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1B00E630">
            <w:pPr>
              <w:pageBreakBefore w:val="0"/>
              <w:wordWrap w:val="0"/>
              <w:overflowPunct/>
              <w:topLinePunct w:val="0"/>
              <w:bidi w:val="0"/>
              <w:spacing w:line="360" w:lineRule="auto"/>
              <w:rPr>
                <w:rFonts w:ascii="宋体" w:hAnsi="宋体" w:cs="宋体"/>
                <w:color w:val="auto"/>
                <w:szCs w:val="21"/>
                <w:highlight w:val="none"/>
              </w:rPr>
            </w:pPr>
          </w:p>
        </w:tc>
      </w:tr>
      <w:tr w14:paraId="6E7F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6E8775A9">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tcPr>
          <w:p w14:paraId="72FA7796">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50ABF9C8">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3D527E66">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23D5B837">
            <w:pPr>
              <w:pageBreakBefore w:val="0"/>
              <w:wordWrap w:val="0"/>
              <w:overflowPunct/>
              <w:topLinePunct w:val="0"/>
              <w:bidi w:val="0"/>
              <w:spacing w:line="360" w:lineRule="auto"/>
              <w:rPr>
                <w:rFonts w:ascii="宋体" w:hAnsi="宋体" w:cs="宋体"/>
                <w:color w:val="auto"/>
                <w:szCs w:val="21"/>
                <w:highlight w:val="none"/>
              </w:rPr>
            </w:pPr>
          </w:p>
        </w:tc>
      </w:tr>
      <w:tr w14:paraId="28D8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35931F82">
            <w:pPr>
              <w:pageBreakBefore w:val="0"/>
              <w:wordWrap w:val="0"/>
              <w:overflowPunct/>
              <w:topLinePunct w:val="0"/>
              <w:bidi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00F1A6C2">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0837B9F9">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071343A">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30B28967">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2F74A036">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583C77BD">
            <w:pPr>
              <w:pageBreakBefore w:val="0"/>
              <w:wordWrap w:val="0"/>
              <w:overflowPunct/>
              <w:topLinePunct w:val="0"/>
              <w:bidi w:val="0"/>
              <w:spacing w:line="360" w:lineRule="auto"/>
              <w:rPr>
                <w:rFonts w:ascii="宋体" w:hAnsi="宋体" w:cs="宋体"/>
                <w:color w:val="auto"/>
                <w:szCs w:val="21"/>
                <w:highlight w:val="none"/>
              </w:rPr>
            </w:pPr>
          </w:p>
        </w:tc>
      </w:tr>
      <w:tr w14:paraId="4B2A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19659113">
            <w:pPr>
              <w:pageBreakBefore w:val="0"/>
              <w:wordWrap w:val="0"/>
              <w:overflowPunct/>
              <w:topLinePunct w:val="0"/>
              <w:bidi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2587D559">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3C6AC953">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4A642035">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31F5DEF9">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520F039">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1C2514DA">
            <w:pPr>
              <w:pageBreakBefore w:val="0"/>
              <w:wordWrap w:val="0"/>
              <w:overflowPunct/>
              <w:topLinePunct w:val="0"/>
              <w:bidi w:val="0"/>
              <w:spacing w:line="360" w:lineRule="auto"/>
              <w:rPr>
                <w:rFonts w:ascii="宋体" w:hAnsi="宋体" w:cs="宋体"/>
                <w:color w:val="auto"/>
                <w:szCs w:val="21"/>
                <w:highlight w:val="none"/>
              </w:rPr>
            </w:pPr>
          </w:p>
        </w:tc>
      </w:tr>
      <w:tr w14:paraId="3E1D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2BA34293">
            <w:pPr>
              <w:pageBreakBefore w:val="0"/>
              <w:wordWrap w:val="0"/>
              <w:overflowPunct/>
              <w:topLinePunct w:val="0"/>
              <w:bidi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C8672FE">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12CF1E61">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346363A3">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26788D03">
            <w:pPr>
              <w:pageBreakBefore w:val="0"/>
              <w:wordWrap w:val="0"/>
              <w:overflowPunct/>
              <w:topLinePunct w:val="0"/>
              <w:bidi w:val="0"/>
              <w:spacing w:line="360" w:lineRule="auto"/>
              <w:rPr>
                <w:rFonts w:ascii="宋体" w:hAnsi="宋体" w:cs="宋体"/>
                <w:color w:val="auto"/>
                <w:szCs w:val="21"/>
                <w:highlight w:val="none"/>
              </w:rPr>
            </w:pPr>
          </w:p>
        </w:tc>
      </w:tr>
      <w:tr w14:paraId="41A7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1D42CBB6">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67A1E179">
      <w:pPr>
        <w:pStyle w:val="14"/>
        <w:pageBreakBefore w:val="0"/>
        <w:wordWrap w:val="0"/>
        <w:overflowPunct/>
        <w:topLinePunct w:val="0"/>
        <w:bidi w:val="0"/>
        <w:spacing w:line="360" w:lineRule="auto"/>
        <w:ind w:left="-708" w:leftChars="-337"/>
        <w:rPr>
          <w:rFonts w:hAnsi="宋体" w:cs="宋体"/>
          <w:color w:val="auto"/>
          <w:highlight w:val="none"/>
        </w:rPr>
      </w:pPr>
    </w:p>
    <w:p w14:paraId="3C85D14E">
      <w:pPr>
        <w:pStyle w:val="14"/>
        <w:pageBreakBefore w:val="0"/>
        <w:wordWrap w:val="0"/>
        <w:overflowPunct/>
        <w:topLinePunct w:val="0"/>
        <w:bidi w:val="0"/>
        <w:spacing w:line="360" w:lineRule="auto"/>
        <w:ind w:left="-708" w:leftChars="-337"/>
        <w:rPr>
          <w:rFonts w:hAnsi="宋体" w:cs="宋体"/>
          <w:color w:val="auto"/>
          <w:highlight w:val="none"/>
        </w:rPr>
      </w:pPr>
      <w:r>
        <w:rPr>
          <w:rFonts w:hint="eastAsia" w:hAnsi="宋体" w:cs="宋体"/>
          <w:color w:val="auto"/>
          <w:highlight w:val="none"/>
        </w:rPr>
        <w:t>注：</w:t>
      </w:r>
    </w:p>
    <w:p w14:paraId="4C18EEAE">
      <w:pPr>
        <w:pStyle w:val="14"/>
        <w:pageBreakBefore w:val="0"/>
        <w:wordWrap w:val="0"/>
        <w:overflowPunct/>
        <w:topLinePunct w:val="0"/>
        <w:bidi w:val="0"/>
        <w:spacing w:line="360" w:lineRule="auto"/>
        <w:ind w:left="-708" w:leftChars="-337" w:firstLine="420" w:firstLineChars="200"/>
        <w:rPr>
          <w:rFonts w:hAnsi="宋体" w:cs="宋体"/>
          <w:color w:val="auto"/>
          <w:highlight w:val="none"/>
        </w:rPr>
      </w:pPr>
      <w:r>
        <w:rPr>
          <w:rFonts w:hint="eastAsia" w:hAnsi="宋体" w:cs="宋体"/>
          <w:color w:val="auto"/>
          <w:highlight w:val="none"/>
        </w:rPr>
        <w:t>1.表格内容均需按要求填写并盖章，不得留空，否则按投标无效处理。</w:t>
      </w:r>
    </w:p>
    <w:p w14:paraId="7626FA59">
      <w:pPr>
        <w:pStyle w:val="14"/>
        <w:pageBreakBefore w:val="0"/>
        <w:wordWrap w:val="0"/>
        <w:overflowPunct/>
        <w:topLinePunct w:val="0"/>
        <w:bidi w:val="0"/>
        <w:spacing w:line="360" w:lineRule="auto"/>
        <w:ind w:left="-603" w:leftChars="-287" w:firstLine="316" w:firstLineChars="150"/>
        <w:rPr>
          <w:rFonts w:hAnsi="宋体" w:cs="宋体"/>
          <w:color w:val="auto"/>
          <w:highlight w:val="none"/>
        </w:rPr>
      </w:pPr>
      <w:r>
        <w:rPr>
          <w:rFonts w:hint="eastAsia" w:hAnsi="宋体" w:cs="宋体"/>
          <w:b/>
          <w:bCs/>
          <w:color w:val="auto"/>
          <w:highlight w:val="none"/>
        </w:rPr>
        <w:t>2.如果招标文件需求为小于或大于某个数值标准时，投标文件承诺不得直接复制招标文件需求，投标文件承诺内容应当写明投标货物具体参数或商务响应承诺的具体数值，否则按投标无效处理。</w:t>
      </w:r>
      <w:r>
        <w:rPr>
          <w:rFonts w:hint="eastAsia" w:hAnsi="宋体" w:cs="宋体"/>
          <w:color w:val="auto"/>
          <w:highlight w:val="none"/>
        </w:rPr>
        <w:t>如该采购需求属于不能明确具体数值的，采购人应在此采购需求的数值后标注◆号，对标注◆号的采购需求不适用上述“竞标无效”条款。</w:t>
      </w:r>
    </w:p>
    <w:p w14:paraId="5B05FD71">
      <w:pPr>
        <w:pStyle w:val="14"/>
        <w:pageBreakBefore w:val="0"/>
        <w:wordWrap w:val="0"/>
        <w:overflowPunct/>
        <w:topLinePunct w:val="0"/>
        <w:bidi w:val="0"/>
        <w:spacing w:line="360" w:lineRule="auto"/>
        <w:ind w:left="-603" w:leftChars="-287" w:firstLine="315" w:firstLineChars="150"/>
        <w:rPr>
          <w:rFonts w:hAnsi="宋体" w:cs="宋体"/>
          <w:color w:val="auto"/>
          <w:highlight w:val="none"/>
        </w:rPr>
      </w:pPr>
      <w:r>
        <w:rPr>
          <w:rFonts w:hint="eastAsia" w:hAnsi="宋体" w:cs="宋体"/>
          <w:color w:val="auto"/>
          <w:highlight w:val="none"/>
        </w:rPr>
        <w:t>3.当投标文件的商务内容低于招标文件要求时，投标人应当如实写明“负偏离”，否则视为虚假应标。</w:t>
      </w:r>
    </w:p>
    <w:p w14:paraId="4D53296C">
      <w:pPr>
        <w:pStyle w:val="14"/>
        <w:pageBreakBefore w:val="0"/>
        <w:wordWrap w:val="0"/>
        <w:overflowPunct/>
        <w:topLinePunct w:val="0"/>
        <w:bidi w:val="0"/>
        <w:spacing w:line="360" w:lineRule="auto"/>
        <w:ind w:left="-708" w:leftChars="-337" w:firstLine="420" w:firstLineChars="200"/>
        <w:rPr>
          <w:rFonts w:hAnsi="宋体" w:cs="宋体"/>
          <w:color w:val="auto"/>
          <w:highlight w:val="none"/>
        </w:rPr>
      </w:pPr>
      <w:r>
        <w:rPr>
          <w:rFonts w:hint="eastAsia" w:hAnsi="宋体" w:cs="宋体"/>
          <w:color w:val="auto"/>
          <w:szCs w:val="21"/>
          <w:highlight w:val="none"/>
        </w:rPr>
        <w:t>4.采购需求中带“▲”及“★”的条款，也要分别在本表“投标文件的商务需求”、“投标文件承诺的商务条款”中标记。</w:t>
      </w:r>
    </w:p>
    <w:p w14:paraId="59EC792C">
      <w:pPr>
        <w:pageBreakBefore w:val="0"/>
        <w:wordWrap w:val="0"/>
        <w:overflowPunct/>
        <w:topLinePunct w:val="0"/>
        <w:bidi w:val="0"/>
        <w:snapToGrid w:val="0"/>
        <w:spacing w:line="360" w:lineRule="auto"/>
        <w:rPr>
          <w:rFonts w:ascii="宋体" w:hAnsi="宋体" w:cs="宋体"/>
          <w:color w:val="auto"/>
          <w:sz w:val="24"/>
          <w:highlight w:val="none"/>
        </w:rPr>
      </w:pPr>
    </w:p>
    <w:p w14:paraId="52CD9C06">
      <w:pPr>
        <w:pageBreakBefore w:val="0"/>
        <w:wordWrap w:val="0"/>
        <w:overflowPunct/>
        <w:topLinePunct w:val="0"/>
        <w:bidi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4D06E1F8">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B43A2C8">
      <w:pPr>
        <w:pageBreakBefore w:val="0"/>
        <w:widowControl/>
        <w:wordWrap w:val="0"/>
        <w:overflowPunct/>
        <w:topLinePunct w:val="0"/>
        <w:bidi w:val="0"/>
        <w:spacing w:line="360" w:lineRule="auto"/>
        <w:jc w:val="left"/>
        <w:rPr>
          <w:rFonts w:ascii="宋体" w:hAnsi="宋体" w:cs="宋体"/>
          <w:color w:val="auto"/>
          <w:szCs w:val="21"/>
          <w:highlight w:val="none"/>
        </w:rPr>
        <w:sectPr>
          <w:pgSz w:w="11906" w:h="16838"/>
          <w:pgMar w:top="1440" w:right="1080" w:bottom="1440" w:left="1080" w:header="851" w:footer="992" w:gutter="0"/>
          <w:pgNumType w:fmt="decimal"/>
          <w:cols w:space="720" w:num="1"/>
        </w:sectPr>
      </w:pPr>
    </w:p>
    <w:p w14:paraId="6340BEE9">
      <w:pPr>
        <w:pageBreakBefore w:val="0"/>
        <w:wordWrap w:val="0"/>
        <w:overflowPunct/>
        <w:topLinePunct w:val="0"/>
        <w:bidi w:val="0"/>
        <w:snapToGrid w:val="0"/>
        <w:spacing w:line="360" w:lineRule="auto"/>
        <w:ind w:firstLine="602"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五、投标人情况介绍</w:t>
      </w:r>
    </w:p>
    <w:p w14:paraId="6C687E07">
      <w:pPr>
        <w:pageBreakBefore w:val="0"/>
        <w:wordWrap w:val="0"/>
        <w:overflowPunct/>
        <w:topLinePunct w:val="0"/>
        <w:bidi w:val="0"/>
        <w:spacing w:line="360" w:lineRule="auto"/>
        <w:ind w:firstLine="4048" w:firstLineChars="1687"/>
        <w:rPr>
          <w:rFonts w:ascii="宋体" w:hAnsi="宋体" w:cs="宋体"/>
          <w:color w:val="auto"/>
          <w:kern w:val="0"/>
          <w:sz w:val="24"/>
          <w:highlight w:val="none"/>
        </w:rPr>
      </w:pPr>
      <w:r>
        <w:rPr>
          <w:rFonts w:hint="eastAsia" w:ascii="宋体" w:hAnsi="宋体" w:cs="宋体"/>
          <w:color w:val="auto"/>
          <w:sz w:val="24"/>
          <w:highlight w:val="none"/>
        </w:rPr>
        <w:t>（格式自拟）</w:t>
      </w:r>
    </w:p>
    <w:p w14:paraId="31053017">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2CD97489">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p>
    <w:p w14:paraId="1E91F739">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p>
    <w:p w14:paraId="3CA6D1EB">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p>
    <w:p w14:paraId="12D9FE8A">
      <w:pPr>
        <w:pageBreakBefore w:val="0"/>
        <w:wordWrap w:val="0"/>
        <w:overflowPunct/>
        <w:topLinePunct w:val="0"/>
        <w:bidi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17C312E2">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B38C96F">
      <w:pPr>
        <w:pageBreakBefore w:val="0"/>
        <w:wordWrap w:val="0"/>
        <w:overflowPunct/>
        <w:topLinePunct w:val="0"/>
        <w:bidi w:val="0"/>
        <w:snapToGrid w:val="0"/>
        <w:spacing w:line="360" w:lineRule="auto"/>
        <w:ind w:firstLine="602" w:firstLineChars="200"/>
        <w:jc w:val="center"/>
        <w:rPr>
          <w:rFonts w:ascii="宋体" w:hAnsi="宋体" w:cs="宋体"/>
          <w:b/>
          <w:bCs/>
          <w:color w:val="auto"/>
          <w:sz w:val="30"/>
          <w:szCs w:val="30"/>
          <w:highlight w:val="none"/>
        </w:rPr>
      </w:pPr>
    </w:p>
    <w:p w14:paraId="2448F85A">
      <w:pPr>
        <w:pageBreakBefore w:val="0"/>
        <w:widowControl/>
        <w:wordWrap w:val="0"/>
        <w:overflowPunct/>
        <w:topLinePunct w:val="0"/>
        <w:bidi w:val="0"/>
        <w:spacing w:line="360" w:lineRule="auto"/>
        <w:jc w:val="left"/>
        <w:rPr>
          <w:rFonts w:ascii="宋体" w:hAnsi="宋体" w:cs="宋体"/>
          <w:b/>
          <w:bCs/>
          <w:color w:val="auto"/>
          <w:sz w:val="30"/>
          <w:szCs w:val="30"/>
          <w:highlight w:val="none"/>
        </w:rPr>
        <w:sectPr>
          <w:pgSz w:w="11906" w:h="16838"/>
          <w:pgMar w:top="1440" w:right="1080" w:bottom="1440" w:left="1080" w:header="720" w:footer="720" w:gutter="0"/>
          <w:pgNumType w:fmt="decimal"/>
          <w:cols w:space="720" w:num="1"/>
          <w:docGrid w:type="lines" w:linePitch="331" w:charSpace="0"/>
        </w:sectPr>
      </w:pPr>
    </w:p>
    <w:p w14:paraId="63D21F05">
      <w:pPr>
        <w:pageBreakBefore w:val="0"/>
        <w:wordWrap w:val="0"/>
        <w:overflowPunct/>
        <w:topLinePunct w:val="0"/>
        <w:bidi w:val="0"/>
        <w:snapToGrid w:val="0"/>
        <w:spacing w:line="360" w:lineRule="auto"/>
        <w:ind w:firstLine="602"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六、投标人业绩证明文件（如有要求）</w:t>
      </w:r>
    </w:p>
    <w:p w14:paraId="7209D69A">
      <w:pPr>
        <w:pStyle w:val="18"/>
        <w:pageBreakBefore w:val="0"/>
        <w:wordWrap w:val="0"/>
        <w:overflowPunct/>
        <w:topLinePunct w:val="0"/>
        <w:bidi w:val="0"/>
        <w:snapToGrid w:val="0"/>
        <w:spacing w:line="360" w:lineRule="auto"/>
        <w:ind w:left="480" w:hanging="480"/>
        <w:rPr>
          <w:rFonts w:ascii="宋体" w:hAnsi="宋体" w:cs="宋体"/>
          <w:color w:val="auto"/>
          <w:sz w:val="24"/>
          <w:highlight w:val="none"/>
        </w:rPr>
      </w:pPr>
    </w:p>
    <w:p w14:paraId="56FDD063">
      <w:pPr>
        <w:pStyle w:val="18"/>
        <w:pageBreakBefore w:val="0"/>
        <w:wordWrap w:val="0"/>
        <w:overflowPunct/>
        <w:topLinePunct w:val="0"/>
        <w:bidi w:val="0"/>
        <w:snapToGrid w:val="0"/>
        <w:spacing w:line="360" w:lineRule="auto"/>
        <w:ind w:left="480" w:hanging="480"/>
        <w:rPr>
          <w:rFonts w:ascii="宋体" w:hAnsi="宋体" w:cs="宋体"/>
          <w:color w:val="auto"/>
          <w:sz w:val="24"/>
          <w:highlight w:val="none"/>
        </w:rPr>
      </w:pPr>
    </w:p>
    <w:p w14:paraId="7B678A52">
      <w:pPr>
        <w:pStyle w:val="18"/>
        <w:pageBreakBefore w:val="0"/>
        <w:wordWrap w:val="0"/>
        <w:overflowPunct/>
        <w:topLinePunct w:val="0"/>
        <w:bidi w:val="0"/>
        <w:snapToGrid w:val="0"/>
        <w:spacing w:line="360" w:lineRule="auto"/>
        <w:ind w:left="480" w:hanging="480"/>
        <w:rPr>
          <w:rFonts w:ascii="宋体" w:hAnsi="宋体" w:cs="宋体"/>
          <w:color w:val="auto"/>
          <w:sz w:val="24"/>
          <w:highlight w:val="none"/>
        </w:rPr>
      </w:pPr>
    </w:p>
    <w:p w14:paraId="2E2AB113">
      <w:pPr>
        <w:pageBreakBefore w:val="0"/>
        <w:wordWrap w:val="0"/>
        <w:overflowPunct/>
        <w:topLinePunct w:val="0"/>
        <w:autoSpaceDE w:val="0"/>
        <w:autoSpaceDN w:val="0"/>
        <w:bidi w:val="0"/>
        <w:spacing w:line="360" w:lineRule="auto"/>
        <w:ind w:firstLine="120"/>
        <w:rPr>
          <w:rFonts w:ascii="宋体" w:hAnsi="宋体" w:cs="宋体"/>
          <w:color w:val="auto"/>
          <w:sz w:val="24"/>
          <w:highlight w:val="none"/>
        </w:rPr>
      </w:pPr>
      <w:r>
        <w:rPr>
          <w:rFonts w:hint="eastAsia" w:ascii="宋体" w:hAnsi="宋体" w:cs="宋体"/>
          <w:b/>
          <w:color w:val="auto"/>
          <w:sz w:val="24"/>
          <w:highlight w:val="none"/>
        </w:rPr>
        <w:t>附表 :相关项目业绩一览表（投标人培训项目合同复印件、用户验收报告、用户评价意见格式自拟）</w:t>
      </w:r>
    </w:p>
    <w:tbl>
      <w:tblPr>
        <w:tblStyle w:val="22"/>
        <w:tblW w:w="1456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30A51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6C734E72">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6DA5FA80">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09CB3795">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w:t>
            </w:r>
          </w:p>
          <w:p w14:paraId="29236A96">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金额</w:t>
            </w:r>
          </w:p>
          <w:p w14:paraId="6ECCC74A">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2C05EB9E">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54555D5B">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17039BA9">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3975B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0F19BECA">
            <w:pPr>
              <w:pageBreakBefore w:val="0"/>
              <w:widowControl/>
              <w:wordWrap w:val="0"/>
              <w:overflowPunct/>
              <w:topLinePunct w:val="0"/>
              <w:bidi w:val="0"/>
              <w:spacing w:line="360" w:lineRule="auto"/>
              <w:jc w:val="left"/>
              <w:rPr>
                <w:rFonts w:ascii="宋体" w:hAnsi="宋体" w:cs="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7F9ADAB6">
            <w:pPr>
              <w:pageBreakBefore w:val="0"/>
              <w:widowControl/>
              <w:wordWrap w:val="0"/>
              <w:overflowPunct/>
              <w:topLinePunct w:val="0"/>
              <w:bidi w:val="0"/>
              <w:spacing w:line="360" w:lineRule="auto"/>
              <w:jc w:val="left"/>
              <w:rPr>
                <w:rFonts w:ascii="宋体" w:hAnsi="宋体" w:cs="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7599CDC3">
            <w:pPr>
              <w:pageBreakBefore w:val="0"/>
              <w:widowControl/>
              <w:wordWrap w:val="0"/>
              <w:overflowPunct/>
              <w:topLinePunct w:val="0"/>
              <w:bidi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6177411">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5B5EAE6F">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62401CA1">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08E3668B">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62099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6E90A064">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640E8193">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49259E81">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C271B06">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23ABC62">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729009F8">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53A07B22">
            <w:pPr>
              <w:pageBreakBefore w:val="0"/>
              <w:wordWrap w:val="0"/>
              <w:overflowPunct/>
              <w:topLinePunct w:val="0"/>
              <w:bidi w:val="0"/>
              <w:snapToGrid w:val="0"/>
              <w:spacing w:line="360" w:lineRule="auto"/>
              <w:jc w:val="left"/>
              <w:rPr>
                <w:rFonts w:ascii="宋体" w:hAnsi="宋体" w:cs="宋体"/>
                <w:color w:val="auto"/>
                <w:sz w:val="24"/>
                <w:highlight w:val="none"/>
              </w:rPr>
            </w:pPr>
          </w:p>
        </w:tc>
      </w:tr>
      <w:tr w14:paraId="3DAE5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2CFCA6A2">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54567EEC">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7F37BBD9">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66A2B31">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DD208F0">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5A871876">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3C8FFDA1">
            <w:pPr>
              <w:pageBreakBefore w:val="0"/>
              <w:wordWrap w:val="0"/>
              <w:overflowPunct/>
              <w:topLinePunct w:val="0"/>
              <w:bidi w:val="0"/>
              <w:snapToGrid w:val="0"/>
              <w:spacing w:line="360" w:lineRule="auto"/>
              <w:jc w:val="left"/>
              <w:rPr>
                <w:rFonts w:ascii="宋体" w:hAnsi="宋体" w:cs="宋体"/>
                <w:color w:val="auto"/>
                <w:sz w:val="24"/>
                <w:highlight w:val="none"/>
              </w:rPr>
            </w:pPr>
          </w:p>
        </w:tc>
      </w:tr>
      <w:tr w14:paraId="6613F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68ABFC03">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2F070E42">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71903566">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A3B2E59">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695190A">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7B5FEC05">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52E3E299">
            <w:pPr>
              <w:pageBreakBefore w:val="0"/>
              <w:wordWrap w:val="0"/>
              <w:overflowPunct/>
              <w:topLinePunct w:val="0"/>
              <w:bidi w:val="0"/>
              <w:snapToGrid w:val="0"/>
              <w:spacing w:line="360" w:lineRule="auto"/>
              <w:jc w:val="left"/>
              <w:rPr>
                <w:rFonts w:ascii="宋体" w:hAnsi="宋体" w:cs="宋体"/>
                <w:color w:val="auto"/>
                <w:sz w:val="24"/>
                <w:highlight w:val="none"/>
              </w:rPr>
            </w:pPr>
          </w:p>
        </w:tc>
      </w:tr>
      <w:tr w14:paraId="0601C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7CADA8CF">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10055ED7">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35E70B54">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37F298C">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BF9AF0E">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40D1D5D0">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43721805">
            <w:pPr>
              <w:pageBreakBefore w:val="0"/>
              <w:wordWrap w:val="0"/>
              <w:overflowPunct/>
              <w:topLinePunct w:val="0"/>
              <w:bidi w:val="0"/>
              <w:snapToGrid w:val="0"/>
              <w:spacing w:line="360" w:lineRule="auto"/>
              <w:jc w:val="left"/>
              <w:rPr>
                <w:rFonts w:ascii="宋体" w:hAnsi="宋体" w:cs="宋体"/>
                <w:color w:val="auto"/>
                <w:sz w:val="24"/>
                <w:highlight w:val="none"/>
              </w:rPr>
            </w:pPr>
          </w:p>
        </w:tc>
      </w:tr>
      <w:tr w14:paraId="3752C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3ED2BC3C">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3A46D0C8">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26E1F580">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72F8FF87">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2E99497">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00BBDA7E">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6B0DDA3A">
            <w:pPr>
              <w:pageBreakBefore w:val="0"/>
              <w:wordWrap w:val="0"/>
              <w:overflowPunct/>
              <w:topLinePunct w:val="0"/>
              <w:bidi w:val="0"/>
              <w:snapToGrid w:val="0"/>
              <w:spacing w:line="360" w:lineRule="auto"/>
              <w:jc w:val="left"/>
              <w:rPr>
                <w:rFonts w:ascii="宋体" w:hAnsi="宋体" w:cs="宋体"/>
                <w:color w:val="auto"/>
                <w:sz w:val="24"/>
                <w:highlight w:val="none"/>
              </w:rPr>
            </w:pPr>
          </w:p>
        </w:tc>
      </w:tr>
    </w:tbl>
    <w:p w14:paraId="573217FD">
      <w:pPr>
        <w:pStyle w:val="14"/>
        <w:pageBreakBefore w:val="0"/>
        <w:wordWrap w:val="0"/>
        <w:overflowPunct/>
        <w:topLinePunct w:val="0"/>
        <w:bidi w:val="0"/>
        <w:spacing w:line="360" w:lineRule="auto"/>
        <w:ind w:left="72"/>
        <w:rPr>
          <w:rFonts w:hAnsi="宋体" w:cs="宋体"/>
          <w:color w:val="auto"/>
          <w:highlight w:val="none"/>
        </w:rPr>
      </w:pPr>
      <w:r>
        <w:rPr>
          <w:rFonts w:hint="eastAsia" w:hAnsi="宋体" w:cs="宋体"/>
          <w:color w:val="auto"/>
          <w:highlight w:val="none"/>
        </w:rPr>
        <w:t>注：投标人可按上述的格式自行编制，须随表提交相应的合同复印件和用户单位验收证明并注明所在投标人商务技术文件页码。</w:t>
      </w:r>
    </w:p>
    <w:p w14:paraId="3B38A8BD">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6A8CBBE1">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p>
    <w:p w14:paraId="7019B1FA">
      <w:pPr>
        <w:pageBreakBefore w:val="0"/>
        <w:wordWrap w:val="0"/>
        <w:overflowPunct/>
        <w:topLinePunct w:val="0"/>
        <w:bidi w:val="0"/>
        <w:snapToGrid w:val="0"/>
        <w:spacing w:line="360" w:lineRule="auto"/>
        <w:ind w:firstLine="10080" w:firstLineChars="480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2FDED63F">
      <w:pPr>
        <w:pageBreakBefore w:val="0"/>
        <w:wordWrap w:val="0"/>
        <w:overflowPunct/>
        <w:topLinePunct w:val="0"/>
        <w:bidi w:val="0"/>
        <w:snapToGrid w:val="0"/>
        <w:spacing w:line="360" w:lineRule="auto"/>
        <w:ind w:firstLine="10080" w:firstLineChars="4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6439475">
      <w:pPr>
        <w:pageBreakBefore w:val="0"/>
        <w:widowControl/>
        <w:wordWrap w:val="0"/>
        <w:overflowPunct/>
        <w:topLinePunct w:val="0"/>
        <w:bidi w:val="0"/>
        <w:spacing w:line="360" w:lineRule="auto"/>
        <w:jc w:val="left"/>
        <w:rPr>
          <w:rFonts w:ascii="宋体" w:hAnsi="宋体" w:cs="宋体"/>
          <w:color w:val="auto"/>
          <w:kern w:val="0"/>
          <w:sz w:val="24"/>
          <w:highlight w:val="none"/>
          <w:lang w:val="zh-CN"/>
        </w:rPr>
        <w:sectPr>
          <w:pgSz w:w="16838" w:h="11906" w:orient="landscape"/>
          <w:pgMar w:top="1440" w:right="1080" w:bottom="1440" w:left="1080" w:header="720" w:footer="720" w:gutter="0"/>
          <w:pgNumType w:fmt="decimal"/>
          <w:cols w:space="720" w:num="1"/>
          <w:docGrid w:type="lines" w:linePitch="331" w:charSpace="0"/>
        </w:sectPr>
      </w:pPr>
    </w:p>
    <w:p w14:paraId="611A1568">
      <w:pPr>
        <w:pStyle w:val="14"/>
        <w:pageBreakBefore w:val="0"/>
        <w:wordWrap w:val="0"/>
        <w:overflowPunct/>
        <w:topLinePunct w:val="0"/>
        <w:bidi w:val="0"/>
        <w:spacing w:line="360" w:lineRule="auto"/>
        <w:jc w:val="center"/>
        <w:outlineLvl w:val="1"/>
        <w:rPr>
          <w:rFonts w:hAnsi="宋体" w:cs="宋体"/>
          <w:b/>
          <w:bCs/>
          <w:color w:val="auto"/>
          <w:sz w:val="28"/>
          <w:szCs w:val="28"/>
          <w:highlight w:val="none"/>
        </w:rPr>
      </w:pPr>
      <w:bookmarkStart w:id="283" w:name="_Toc19686839"/>
      <w:bookmarkStart w:id="284" w:name="_Toc27389"/>
      <w:r>
        <w:rPr>
          <w:rFonts w:hint="eastAsia" w:hAnsi="宋体" w:cs="宋体"/>
          <w:b/>
          <w:bCs/>
          <w:color w:val="auto"/>
          <w:sz w:val="28"/>
          <w:szCs w:val="28"/>
          <w:highlight w:val="none"/>
        </w:rPr>
        <w:t>第四节 技术文件格式</w:t>
      </w:r>
      <w:bookmarkEnd w:id="283"/>
      <w:bookmarkEnd w:id="284"/>
    </w:p>
    <w:p w14:paraId="2C5D7085">
      <w:pPr>
        <w:pageBreakBefore w:val="0"/>
        <w:wordWrap w:val="0"/>
        <w:overflowPunct/>
        <w:topLinePunct w:val="0"/>
        <w:bidi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22BC0A9E">
      <w:pPr>
        <w:pageBreakBefore w:val="0"/>
        <w:wordWrap w:val="0"/>
        <w:overflowPunct/>
        <w:topLinePunct w:val="0"/>
        <w:bidi w:val="0"/>
        <w:snapToGrid w:val="0"/>
        <w:spacing w:line="360" w:lineRule="auto"/>
        <w:rPr>
          <w:rFonts w:ascii="宋体" w:hAnsi="宋体" w:cs="宋体"/>
          <w:color w:val="auto"/>
          <w:sz w:val="24"/>
          <w:szCs w:val="20"/>
          <w:highlight w:val="none"/>
        </w:rPr>
      </w:pPr>
    </w:p>
    <w:p w14:paraId="28710C1E">
      <w:pPr>
        <w:pageBreakBefore w:val="0"/>
        <w:wordWrap w:val="0"/>
        <w:overflowPunct/>
        <w:topLinePunct w:val="0"/>
        <w:bidi w:val="0"/>
        <w:snapToGrid w:val="0"/>
        <w:spacing w:line="360" w:lineRule="auto"/>
        <w:jc w:val="center"/>
        <w:rPr>
          <w:rFonts w:ascii="宋体" w:hAnsi="宋体" w:cs="宋体"/>
          <w:b/>
          <w:bCs/>
          <w:color w:val="auto"/>
          <w:sz w:val="32"/>
          <w:szCs w:val="32"/>
          <w:highlight w:val="none"/>
        </w:rPr>
      </w:pPr>
    </w:p>
    <w:p w14:paraId="07D74D73">
      <w:pPr>
        <w:pageBreakBefore w:val="0"/>
        <w:wordWrap w:val="0"/>
        <w:overflowPunct/>
        <w:topLinePunct w:val="0"/>
        <w:bidi w:val="0"/>
        <w:snapToGrid w:val="0"/>
        <w:spacing w:line="360" w:lineRule="auto"/>
        <w:jc w:val="center"/>
        <w:rPr>
          <w:rFonts w:ascii="宋体" w:hAnsi="宋体" w:cs="宋体"/>
          <w:b/>
          <w:bCs/>
          <w:color w:val="auto"/>
          <w:sz w:val="32"/>
          <w:szCs w:val="32"/>
          <w:highlight w:val="none"/>
        </w:rPr>
      </w:pPr>
    </w:p>
    <w:p w14:paraId="64D1F20C">
      <w:pPr>
        <w:pageBreakBefore w:val="0"/>
        <w:wordWrap w:val="0"/>
        <w:overflowPunct/>
        <w:topLinePunct w:val="0"/>
        <w:bidi w:val="0"/>
        <w:snapToGrid w:val="0"/>
        <w:spacing w:line="360" w:lineRule="auto"/>
        <w:jc w:val="center"/>
        <w:rPr>
          <w:rFonts w:ascii="宋体" w:hAnsi="宋体" w:cs="宋体"/>
          <w:b/>
          <w:bCs/>
          <w:color w:val="auto"/>
          <w:sz w:val="32"/>
          <w:szCs w:val="32"/>
          <w:highlight w:val="none"/>
        </w:rPr>
      </w:pPr>
    </w:p>
    <w:p w14:paraId="70EA10CC">
      <w:pPr>
        <w:pageBreakBefore w:val="0"/>
        <w:wordWrap w:val="0"/>
        <w:overflowPunct/>
        <w:topLinePunct w:val="0"/>
        <w:bidi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技术文件（封面）</w:t>
      </w:r>
    </w:p>
    <w:p w14:paraId="0EB7903A">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1D76FA97">
      <w:pPr>
        <w:pageBreakBefore w:val="0"/>
        <w:wordWrap w:val="0"/>
        <w:overflowPunct/>
        <w:topLinePunct w:val="0"/>
        <w:bidi w:val="0"/>
        <w:snapToGrid w:val="0"/>
        <w:spacing w:line="360" w:lineRule="auto"/>
        <w:ind w:left="599" w:leftChars="228" w:hanging="120" w:hangingChars="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78E9736D">
      <w:pPr>
        <w:pageBreakBefore w:val="0"/>
        <w:wordWrap w:val="0"/>
        <w:overflowPunct/>
        <w:topLinePunct w:val="0"/>
        <w:bidi w:val="0"/>
        <w:snapToGrid w:val="0"/>
        <w:spacing w:line="360" w:lineRule="auto"/>
        <w:ind w:left="599" w:leftChars="228" w:hanging="120" w:hangingChars="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4DF6A1EA">
      <w:pPr>
        <w:pageBreakBefore w:val="0"/>
        <w:wordWrap w:val="0"/>
        <w:overflowPunct/>
        <w:topLinePunct w:val="0"/>
        <w:bidi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所投分标：</w:t>
      </w:r>
    </w:p>
    <w:p w14:paraId="2F5A4777">
      <w:pPr>
        <w:pageBreakBefore w:val="0"/>
        <w:wordWrap w:val="0"/>
        <w:overflowPunct/>
        <w:topLinePunct w:val="0"/>
        <w:bidi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投标人名称：</w:t>
      </w:r>
    </w:p>
    <w:p w14:paraId="75A5C0E9">
      <w:pPr>
        <w:pageBreakBefore w:val="0"/>
        <w:wordWrap w:val="0"/>
        <w:overflowPunct/>
        <w:topLinePunct w:val="0"/>
        <w:bidi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投标人地址：</w:t>
      </w:r>
    </w:p>
    <w:p w14:paraId="32EE162C">
      <w:pPr>
        <w:pageBreakBefore w:val="0"/>
        <w:wordWrap w:val="0"/>
        <w:overflowPunct/>
        <w:topLinePunct w:val="0"/>
        <w:bidi w:val="0"/>
        <w:snapToGrid w:val="0"/>
        <w:spacing w:line="360" w:lineRule="auto"/>
        <w:ind w:firstLine="645"/>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23E34891">
      <w:pPr>
        <w:pageBreakBefore w:val="0"/>
        <w:wordWrap w:val="0"/>
        <w:overflowPunct/>
        <w:topLinePunct w:val="0"/>
        <w:bidi w:val="0"/>
        <w:snapToGrid w:val="0"/>
        <w:spacing w:line="360" w:lineRule="auto"/>
        <w:ind w:firstLine="645"/>
        <w:jc w:val="center"/>
        <w:rPr>
          <w:rFonts w:ascii="宋体" w:hAnsi="宋体" w:cs="宋体"/>
          <w:color w:val="auto"/>
          <w:sz w:val="24"/>
          <w:szCs w:val="20"/>
          <w:highlight w:val="none"/>
        </w:rPr>
      </w:pPr>
    </w:p>
    <w:p w14:paraId="2EB5AAA8">
      <w:pPr>
        <w:pageBreakBefore w:val="0"/>
        <w:wordWrap w:val="0"/>
        <w:overflowPunct/>
        <w:topLinePunct w:val="0"/>
        <w:bidi w:val="0"/>
        <w:spacing w:line="360" w:lineRule="auto"/>
        <w:jc w:val="center"/>
        <w:rPr>
          <w:rFonts w:ascii="宋体" w:hAnsi="宋体" w:cs="宋体"/>
          <w:b/>
          <w:color w:val="auto"/>
          <w:kern w:val="0"/>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kern w:val="0"/>
          <w:sz w:val="28"/>
          <w:szCs w:val="28"/>
          <w:highlight w:val="none"/>
        </w:rPr>
        <w:t>技术文件目录</w:t>
      </w:r>
    </w:p>
    <w:p w14:paraId="1859132E">
      <w:pPr>
        <w:pStyle w:val="35"/>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一、服务需求、技术需求偏离表…………………………………………………（页码）</w:t>
      </w:r>
    </w:p>
    <w:p w14:paraId="5440FC81">
      <w:pPr>
        <w:pStyle w:val="35"/>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二、组织服务方案（如有）…………………………………………………………（页码）</w:t>
      </w:r>
    </w:p>
    <w:p w14:paraId="344E6879">
      <w:pPr>
        <w:pStyle w:val="35"/>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三、售后服务方案 ………………………………</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6AEC669">
      <w:pPr>
        <w:pStyle w:val="35"/>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53372EE">
      <w:pPr>
        <w:pStyle w:val="35"/>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五、投标人对项目的合理化建议和改进措施（如有）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DC80FF3">
      <w:pPr>
        <w:pStyle w:val="35"/>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六、优惠条件及特殊承诺（如有）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B2CCD21">
      <w:pPr>
        <w:pStyle w:val="35"/>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七、备品备件及供选择的配套零部件清单（如有）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58EA9B9">
      <w:pPr>
        <w:pStyle w:val="35"/>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八、培训计划（如有）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38AC97F">
      <w:pPr>
        <w:pStyle w:val="35"/>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九、认为需要的其他技术文件或说明（如有）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D0A9BBF">
      <w:pPr>
        <w:pageBreakBefore w:val="0"/>
        <w:wordWrap w:val="0"/>
        <w:overflowPunct/>
        <w:topLinePunct w:val="0"/>
        <w:bidi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7A28FF01">
      <w:pPr>
        <w:pageBreakBefore w:val="0"/>
        <w:wordWrap w:val="0"/>
        <w:overflowPunct/>
        <w:topLinePunct w:val="0"/>
        <w:bidi w:val="0"/>
        <w:snapToGrid w:val="0"/>
        <w:spacing w:line="360" w:lineRule="auto"/>
        <w:ind w:left="143" w:leftChars="68" w:firstLine="472" w:firstLineChars="196"/>
        <w:jc w:val="left"/>
        <w:rPr>
          <w:rFonts w:ascii="宋体" w:hAnsi="宋体" w:cs="宋体"/>
          <w:b/>
          <w:color w:val="auto"/>
          <w:sz w:val="24"/>
          <w:highlight w:val="none"/>
        </w:rPr>
      </w:pPr>
    </w:p>
    <w:p w14:paraId="4068895B">
      <w:pPr>
        <w:pageBreakBefore w:val="0"/>
        <w:wordWrap w:val="0"/>
        <w:overflowPunct/>
        <w:topLinePunct w:val="0"/>
        <w:bidi w:val="0"/>
        <w:snapToGrid w:val="0"/>
        <w:spacing w:line="360" w:lineRule="auto"/>
        <w:ind w:left="143" w:leftChars="68" w:firstLine="472" w:firstLineChars="196"/>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 xml:space="preserve"> </w:t>
      </w:r>
    </w:p>
    <w:p w14:paraId="79F1ABE1">
      <w:pPr>
        <w:pStyle w:val="14"/>
        <w:pageBreakBefore w:val="0"/>
        <w:wordWrap w:val="0"/>
        <w:overflowPunct/>
        <w:topLinePunct w:val="0"/>
        <w:bidi w:val="0"/>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一、服务需求、技术需求偏离表</w:t>
      </w:r>
    </w:p>
    <w:p w14:paraId="4E089E30">
      <w:pPr>
        <w:pStyle w:val="14"/>
        <w:pageBreakBefore w:val="0"/>
        <w:wordWrap w:val="0"/>
        <w:overflowPunct/>
        <w:topLinePunct w:val="0"/>
        <w:bidi w:val="0"/>
        <w:spacing w:line="360" w:lineRule="auto"/>
        <w:ind w:firstLine="420" w:firstLineChars="200"/>
        <w:rPr>
          <w:rFonts w:hAnsi="宋体" w:cs="宋体"/>
          <w:color w:val="auto"/>
          <w:highlight w:val="none"/>
        </w:rPr>
      </w:pPr>
    </w:p>
    <w:p w14:paraId="42C309B4">
      <w:pPr>
        <w:pStyle w:val="14"/>
        <w:pageBreakBefore w:val="0"/>
        <w:wordWrap w:val="0"/>
        <w:overflowPunct/>
        <w:topLinePunct w:val="0"/>
        <w:bidi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请根据所投服务的实际技术参数，</w:t>
      </w:r>
      <w:r>
        <w:rPr>
          <w:rFonts w:hint="eastAsia" w:hAnsi="宋体" w:cs="宋体"/>
          <w:b/>
          <w:color w:val="auto"/>
          <w:sz w:val="28"/>
          <w:szCs w:val="28"/>
          <w:highlight w:val="none"/>
        </w:rPr>
        <w:t>逐条对应</w:t>
      </w:r>
      <w:r>
        <w:rPr>
          <w:rFonts w:hint="eastAsia" w:hAnsi="宋体" w:cs="宋体"/>
          <w:color w:val="auto"/>
          <w:sz w:val="24"/>
          <w:szCs w:val="24"/>
          <w:highlight w:val="none"/>
        </w:rPr>
        <w:t>本项目招标文件第二章“服务需求一览表”中的</w:t>
      </w:r>
      <w:r>
        <w:rPr>
          <w:rFonts w:hint="eastAsia" w:hAnsi="宋体" w:cs="宋体"/>
          <w:b/>
          <w:color w:val="auto"/>
          <w:sz w:val="28"/>
          <w:szCs w:val="28"/>
          <w:highlight w:val="none"/>
        </w:rPr>
        <w:t>采购清单及服务参数</w:t>
      </w:r>
      <w:r>
        <w:rPr>
          <w:rFonts w:hint="eastAsia" w:hAnsi="宋体" w:cs="宋体"/>
          <w:color w:val="auto"/>
          <w:sz w:val="24"/>
          <w:szCs w:val="24"/>
          <w:highlight w:val="none"/>
        </w:rPr>
        <w:t>详细填写相应的具体内容。“偏离说明”一栏应当选择“正偏离”、“负偏离”或“无偏离”进行填写。</w:t>
      </w:r>
    </w:p>
    <w:tbl>
      <w:tblPr>
        <w:tblStyle w:val="22"/>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25BD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34567AC5">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383A8DF0">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1FFC21E9">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6271BF32">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偏离说明</w:t>
            </w:r>
          </w:p>
        </w:tc>
      </w:tr>
      <w:tr w14:paraId="2229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2A803931">
            <w:pPr>
              <w:pageBreakBefore w:val="0"/>
              <w:widowControl/>
              <w:wordWrap w:val="0"/>
              <w:overflowPunct/>
              <w:topLinePunct w:val="0"/>
              <w:bidi w:val="0"/>
              <w:spacing w:line="360" w:lineRule="auto"/>
              <w:jc w:val="left"/>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7F3D3B2">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5EF24064">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06FD35AD">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24FEF7FB">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46CAAE50">
            <w:pPr>
              <w:pageBreakBefore w:val="0"/>
              <w:widowControl/>
              <w:wordWrap w:val="0"/>
              <w:overflowPunct/>
              <w:topLinePunct w:val="0"/>
              <w:bidi w:val="0"/>
              <w:spacing w:line="360" w:lineRule="auto"/>
              <w:jc w:val="left"/>
              <w:rPr>
                <w:rFonts w:ascii="宋体" w:hAnsi="宋体" w:cs="宋体"/>
                <w:color w:val="auto"/>
                <w:szCs w:val="21"/>
                <w:highlight w:val="none"/>
              </w:rPr>
            </w:pPr>
          </w:p>
        </w:tc>
      </w:tr>
      <w:tr w14:paraId="3C6F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04BBB06D">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0A27C2F9">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410FF2AA">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64609D67">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4CE5AEC8">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3C2D6C20">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5468A0AC">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5C8CF07B">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69E74DA1">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0A4D670F">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762B495">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748455B9">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0B5B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566B1972">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11B21297">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388EE941">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669C4413">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1F3CC623">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59444443">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0D734772">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16D5AA6F">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1F5D1575">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2E38DA6B">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4E91F43A">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2A1AD5BB">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5D62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768BD449">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22C0DAA6">
            <w:pPr>
              <w:pageBreakBefore w:val="0"/>
              <w:wordWrap w:val="0"/>
              <w:overflowPunct/>
              <w:topLinePunct w:val="0"/>
              <w:bidi w:val="0"/>
              <w:spacing w:line="360" w:lineRule="auto"/>
              <w:rPr>
                <w:rFonts w:ascii="宋体" w:hAnsi="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718374B5">
            <w:pPr>
              <w:pageBreakBefore w:val="0"/>
              <w:wordWrap w:val="0"/>
              <w:overflowPunct/>
              <w:topLinePunct w:val="0"/>
              <w:bidi w:val="0"/>
              <w:spacing w:line="360" w:lineRule="auto"/>
              <w:rPr>
                <w:rFonts w:ascii="宋体" w:hAnsi="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06C08515">
            <w:pPr>
              <w:pageBreakBefore w:val="0"/>
              <w:wordWrap w:val="0"/>
              <w:overflowPunct/>
              <w:topLinePunct w:val="0"/>
              <w:bidi w:val="0"/>
              <w:spacing w:line="360" w:lineRule="auto"/>
              <w:rPr>
                <w:rFonts w:ascii="宋体" w:hAnsi="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0995C945">
            <w:pPr>
              <w:pageBreakBefore w:val="0"/>
              <w:wordWrap w:val="0"/>
              <w:overflowPunct/>
              <w:topLinePunct w:val="0"/>
              <w:bidi w:val="0"/>
              <w:spacing w:line="360" w:lineRule="auto"/>
              <w:rPr>
                <w:rFonts w:ascii="宋体" w:hAnsi="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798949A1">
            <w:pPr>
              <w:pageBreakBefore w:val="0"/>
              <w:wordWrap w:val="0"/>
              <w:overflowPunct/>
              <w:topLinePunct w:val="0"/>
              <w:bidi w:val="0"/>
              <w:spacing w:line="360" w:lineRule="auto"/>
              <w:rPr>
                <w:rFonts w:ascii="宋体" w:hAnsi="宋体" w:cs="宋体"/>
                <w:color w:val="auto"/>
                <w:szCs w:val="21"/>
                <w:highlight w:val="none"/>
              </w:rPr>
            </w:pPr>
          </w:p>
        </w:tc>
      </w:tr>
      <w:tr w14:paraId="3935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2812553C">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76E9F3A1">
      <w:pPr>
        <w:pStyle w:val="14"/>
        <w:pageBreakBefore w:val="0"/>
        <w:wordWrap w:val="0"/>
        <w:overflowPunct/>
        <w:topLinePunct w:val="0"/>
        <w:bidi w:val="0"/>
        <w:spacing w:line="360" w:lineRule="auto"/>
        <w:rPr>
          <w:rFonts w:hAnsi="宋体" w:cs="宋体"/>
          <w:color w:val="auto"/>
          <w:szCs w:val="21"/>
          <w:highlight w:val="none"/>
        </w:rPr>
      </w:pPr>
      <w:r>
        <w:rPr>
          <w:rFonts w:hint="eastAsia" w:hAnsi="宋体" w:cs="宋体"/>
          <w:color w:val="auto"/>
          <w:szCs w:val="21"/>
          <w:highlight w:val="none"/>
        </w:rPr>
        <w:t>注：</w:t>
      </w:r>
    </w:p>
    <w:p w14:paraId="497A9149">
      <w:pPr>
        <w:pStyle w:val="14"/>
        <w:pageBreakBefore w:val="0"/>
        <w:wordWrap w:val="0"/>
        <w:overflowPunct/>
        <w:topLinePunct w:val="0"/>
        <w:bidi w:val="0"/>
        <w:spacing w:line="360" w:lineRule="auto"/>
        <w:rPr>
          <w:rFonts w:hAnsi="宋体" w:cs="宋体"/>
          <w:color w:val="auto"/>
          <w:szCs w:val="21"/>
          <w:highlight w:val="none"/>
        </w:rPr>
      </w:pPr>
      <w:r>
        <w:rPr>
          <w:rFonts w:hint="eastAsia" w:hAnsi="宋体" w:cs="宋体"/>
          <w:color w:val="auto"/>
          <w:szCs w:val="21"/>
          <w:highlight w:val="none"/>
        </w:rPr>
        <w:t>1.表格内容均需按要求填写并盖章，不得留空，</w:t>
      </w:r>
      <w:r>
        <w:rPr>
          <w:rFonts w:hint="eastAsia" w:hAnsi="宋体" w:cs="宋体"/>
          <w:bCs/>
          <w:color w:val="auto"/>
          <w:szCs w:val="21"/>
          <w:highlight w:val="none"/>
        </w:rPr>
        <w:t>否则按投标无效处理</w:t>
      </w:r>
      <w:r>
        <w:rPr>
          <w:rFonts w:hint="eastAsia" w:hAnsi="宋体" w:cs="宋体"/>
          <w:color w:val="auto"/>
          <w:szCs w:val="21"/>
          <w:highlight w:val="none"/>
        </w:rPr>
        <w:t>。</w:t>
      </w:r>
    </w:p>
    <w:p w14:paraId="7F4FBDB4">
      <w:pPr>
        <w:pStyle w:val="14"/>
        <w:pageBreakBefore w:val="0"/>
        <w:wordWrap w:val="0"/>
        <w:overflowPunct/>
        <w:topLinePunct w:val="0"/>
        <w:bidi w:val="0"/>
        <w:spacing w:line="360" w:lineRule="auto"/>
        <w:rPr>
          <w:rFonts w:hAnsi="宋体" w:cs="宋体"/>
          <w:color w:val="auto"/>
          <w:szCs w:val="21"/>
          <w:highlight w:val="none"/>
        </w:rPr>
      </w:pPr>
      <w:r>
        <w:rPr>
          <w:rFonts w:hint="eastAsia" w:hAnsi="宋体" w:cs="宋体"/>
          <w:bCs/>
          <w:color w:val="auto"/>
          <w:szCs w:val="21"/>
          <w:highlight w:val="none"/>
        </w:rPr>
        <w:t>2.当投标文件的服务内容低于招标文件要求时，投标人应当如实写明“负偏离”，否则视为虚假应标。</w:t>
      </w:r>
    </w:p>
    <w:p w14:paraId="33A9898F">
      <w:pPr>
        <w:pStyle w:val="14"/>
        <w:pageBreakBefore w:val="0"/>
        <w:wordWrap w:val="0"/>
        <w:overflowPunct/>
        <w:topLinePunct w:val="0"/>
        <w:bidi w:val="0"/>
        <w:spacing w:line="360" w:lineRule="auto"/>
        <w:rPr>
          <w:rFonts w:hAnsi="宋体" w:cs="宋体"/>
          <w:color w:val="auto"/>
          <w:highlight w:val="none"/>
        </w:rPr>
      </w:pPr>
      <w:r>
        <w:rPr>
          <w:rFonts w:hint="eastAsia" w:hAnsi="宋体" w:cs="宋体"/>
          <w:color w:val="auto"/>
          <w:highlight w:val="none"/>
        </w:rPr>
        <w:t>3.</w:t>
      </w:r>
      <w:r>
        <w:rPr>
          <w:rFonts w:hint="eastAsia" w:hAnsi="宋体" w:cs="宋体"/>
          <w:color w:val="auto"/>
          <w:szCs w:val="21"/>
          <w:highlight w:val="none"/>
        </w:rPr>
        <w:t>采购需求中带“▲”及“★”的条款，也要分别在本表“服务参数”、“所提供服务的内容”中标记。</w:t>
      </w:r>
    </w:p>
    <w:p w14:paraId="4C758A72">
      <w:pPr>
        <w:pageBreakBefore w:val="0"/>
        <w:wordWrap w:val="0"/>
        <w:overflowPunct/>
        <w:topLinePunct w:val="0"/>
        <w:bidi w:val="0"/>
        <w:snapToGrid w:val="0"/>
        <w:spacing w:line="360" w:lineRule="auto"/>
        <w:ind w:firstLine="5640" w:firstLineChars="2350"/>
        <w:rPr>
          <w:rFonts w:ascii="宋体" w:hAnsi="宋体" w:cs="宋体"/>
          <w:color w:val="auto"/>
          <w:kern w:val="0"/>
          <w:sz w:val="24"/>
          <w:highlight w:val="none"/>
          <w:lang w:val="zh-CN"/>
        </w:rPr>
      </w:pPr>
    </w:p>
    <w:p w14:paraId="3AE98836">
      <w:pPr>
        <w:pageBreakBefore w:val="0"/>
        <w:wordWrap w:val="0"/>
        <w:overflowPunct/>
        <w:topLinePunct w:val="0"/>
        <w:bidi w:val="0"/>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03203D5B">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CD6B09E">
      <w:pPr>
        <w:pageBreakBefore w:val="0"/>
        <w:widowControl/>
        <w:wordWrap w:val="0"/>
        <w:overflowPunct/>
        <w:topLinePunct w:val="0"/>
        <w:bidi w:val="0"/>
        <w:spacing w:line="360" w:lineRule="auto"/>
        <w:jc w:val="left"/>
        <w:rPr>
          <w:rFonts w:ascii="宋体" w:hAnsi="宋体" w:cs="宋体"/>
          <w:color w:val="auto"/>
          <w:sz w:val="30"/>
          <w:szCs w:val="20"/>
          <w:highlight w:val="none"/>
        </w:rPr>
        <w:sectPr>
          <w:pgSz w:w="11906" w:h="16838"/>
          <w:pgMar w:top="1440" w:right="1080" w:bottom="1440" w:left="1080" w:header="720" w:footer="720" w:gutter="0"/>
          <w:pgNumType w:fmt="decimal"/>
          <w:cols w:space="720" w:num="1"/>
          <w:docGrid w:type="lines" w:linePitch="331" w:charSpace="0"/>
        </w:sectPr>
      </w:pPr>
    </w:p>
    <w:p w14:paraId="7672BF15">
      <w:pPr>
        <w:pageBreakBefore w:val="0"/>
        <w:wordWrap w:val="0"/>
        <w:overflowPunct/>
        <w:topLinePunct w:val="0"/>
        <w:bidi w:val="0"/>
        <w:snapToGrid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二、组织服务方案（如有）</w:t>
      </w:r>
    </w:p>
    <w:p w14:paraId="649F5193">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120E1F16">
      <w:pPr>
        <w:pageBreakBefore w:val="0"/>
        <w:wordWrap w:val="0"/>
        <w:overflowPunct/>
        <w:topLinePunct w:val="0"/>
        <w:bidi w:val="0"/>
        <w:spacing w:line="360" w:lineRule="auto"/>
        <w:rPr>
          <w:rFonts w:ascii="宋体" w:hAnsi="宋体" w:cs="宋体"/>
          <w:b/>
          <w:bCs/>
          <w:color w:val="auto"/>
          <w:kern w:val="0"/>
          <w:sz w:val="24"/>
          <w:highlight w:val="none"/>
          <w:lang w:val="zh-CN"/>
        </w:rPr>
      </w:pPr>
    </w:p>
    <w:p w14:paraId="427619D8">
      <w:pPr>
        <w:pageBreakBefore w:val="0"/>
        <w:wordWrap w:val="0"/>
        <w:overflowPunct/>
        <w:topLinePunct w:val="0"/>
        <w:bidi w:val="0"/>
        <w:spacing w:line="360" w:lineRule="auto"/>
        <w:rPr>
          <w:rFonts w:ascii="宋体" w:hAnsi="宋体" w:cs="宋体"/>
          <w:b/>
          <w:bCs/>
          <w:color w:val="auto"/>
          <w:kern w:val="0"/>
          <w:sz w:val="24"/>
          <w:highlight w:val="none"/>
          <w:lang w:val="zh-CN"/>
        </w:rPr>
      </w:pPr>
    </w:p>
    <w:p w14:paraId="62D17D42">
      <w:pPr>
        <w:pageBreakBefore w:val="0"/>
        <w:wordWrap w:val="0"/>
        <w:overflowPunct/>
        <w:topLinePunct w:val="0"/>
        <w:bidi w:val="0"/>
        <w:spacing w:line="360" w:lineRule="auto"/>
        <w:rPr>
          <w:rFonts w:ascii="宋体" w:hAnsi="宋体" w:cs="宋体"/>
          <w:b/>
          <w:bCs/>
          <w:color w:val="auto"/>
          <w:kern w:val="0"/>
          <w:sz w:val="24"/>
          <w:highlight w:val="none"/>
          <w:lang w:val="zh-CN"/>
        </w:rPr>
      </w:pPr>
    </w:p>
    <w:p w14:paraId="2066BF0F">
      <w:pPr>
        <w:pageBreakBefore w:val="0"/>
        <w:wordWrap w:val="0"/>
        <w:overflowPunct/>
        <w:topLinePunct w:val="0"/>
        <w:bidi w:val="0"/>
        <w:spacing w:line="360" w:lineRule="auto"/>
        <w:rPr>
          <w:rFonts w:ascii="宋体" w:hAnsi="宋体" w:cs="宋体"/>
          <w:b/>
          <w:bCs/>
          <w:color w:val="auto"/>
          <w:kern w:val="0"/>
          <w:sz w:val="24"/>
          <w:highlight w:val="none"/>
          <w:lang w:val="zh-CN"/>
        </w:rPr>
      </w:pPr>
      <w:bookmarkStart w:id="285"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(以生效日算起)</w:t>
      </w:r>
      <w:bookmarkEnd w:id="285"/>
      <w:r>
        <w:rPr>
          <w:rFonts w:hint="eastAsia" w:ascii="宋体" w:hAnsi="宋体" w:cs="宋体"/>
          <w:b/>
          <w:color w:val="auto"/>
          <w:sz w:val="24"/>
          <w:highlight w:val="none"/>
        </w:rPr>
        <w:t xml:space="preserve"> </w:t>
      </w:r>
    </w:p>
    <w:tbl>
      <w:tblPr>
        <w:tblStyle w:val="22"/>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6E89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3C382578">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highlight w:val="none"/>
              </w:rPr>
              <mc:AlternateContent>
                <mc:Choice Requires="wpg">
                  <w:drawing>
                    <wp:anchor distT="0" distB="0" distL="114300" distR="114300" simplePos="0" relativeHeight="251663360"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26A7DDDA">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44DF4D8D">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504AF64B">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3360;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6A7DDDA">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4DF4D8D">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04AF64B">
                              <w:pPr>
                                <w:snapToGrid w:val="0"/>
                              </w:pPr>
                              <w:r>
                                <w:rPr>
                                  <w:rFonts w:hint="eastAsia"/>
                                </w:rPr>
                                <w:t>日</w:t>
                              </w:r>
                            </w:p>
                          </w:txbxContent>
                        </v:textbox>
                      </v:shape>
                    </v:group>
                  </w:pict>
                </mc:Fallback>
              </mc:AlternateContent>
            </w:r>
          </w:p>
          <w:p w14:paraId="145E4A64">
            <w:pPr>
              <w:pageBreakBefore w:val="0"/>
              <w:wordWrap w:val="0"/>
              <w:overflowPunct/>
              <w:topLinePunct w:val="0"/>
              <w:bidi w:val="0"/>
              <w:spacing w:line="360" w:lineRule="auto"/>
              <w:rPr>
                <w:rFonts w:ascii="宋体" w:hAnsi="宋体" w:cs="宋体"/>
                <w:color w:val="auto"/>
                <w:sz w:val="24"/>
                <w:highlight w:val="none"/>
              </w:rPr>
            </w:pPr>
          </w:p>
          <w:p w14:paraId="341A22FC">
            <w:pPr>
              <w:pageBreakBefore w:val="0"/>
              <w:wordWrap w:val="0"/>
              <w:overflowPunct/>
              <w:topLinePunct w:val="0"/>
              <w:bidi w:val="0"/>
              <w:spacing w:line="360" w:lineRule="auto"/>
              <w:rPr>
                <w:rFonts w:ascii="宋体" w:hAnsi="宋体" w:cs="宋体"/>
                <w:color w:val="auto"/>
                <w:sz w:val="24"/>
                <w:highlight w:val="none"/>
              </w:rPr>
            </w:pPr>
          </w:p>
          <w:p w14:paraId="18B7B39E">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4A01B016">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4C1BA3C7">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6ADFA54A">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1B76420E">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569E3C0D">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6E859ACD">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6D5F1738">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7D3B33AE">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71EDABB6">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25243429">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77F4C9B5">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66594CC7">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0B8EC401">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1087B559">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1A8EBD56">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7DDD9E5E">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543B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4DA4C62">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26D5C20">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CE6A344">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9BEDCBE">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74DD839">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1215E4C">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8125ED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2FA9E56">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6688FF0">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58077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F5A3D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0CCDF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A41A6D6">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AD76394">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D20A47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F51BAB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4D7F400">
            <w:pPr>
              <w:pageBreakBefore w:val="0"/>
              <w:wordWrap w:val="0"/>
              <w:overflowPunct/>
              <w:topLinePunct w:val="0"/>
              <w:bidi w:val="0"/>
              <w:spacing w:line="360" w:lineRule="auto"/>
              <w:rPr>
                <w:rFonts w:ascii="宋体" w:hAnsi="宋体" w:cs="宋体"/>
                <w:color w:val="auto"/>
                <w:sz w:val="24"/>
                <w:highlight w:val="none"/>
              </w:rPr>
            </w:pPr>
          </w:p>
        </w:tc>
      </w:tr>
      <w:tr w14:paraId="6438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A62BC17">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CB8D722">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D68BE23">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B16A522">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A6B8B5D">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AF1DCCE">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19B7343">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37AB7D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60AE27">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16A3DBE">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F56670">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496A596">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879050">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150493">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D6F968">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A4D3F1C">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99340F">
            <w:pPr>
              <w:pageBreakBefore w:val="0"/>
              <w:wordWrap w:val="0"/>
              <w:overflowPunct/>
              <w:topLinePunct w:val="0"/>
              <w:bidi w:val="0"/>
              <w:spacing w:line="360" w:lineRule="auto"/>
              <w:rPr>
                <w:rFonts w:ascii="宋体" w:hAnsi="宋体" w:cs="宋体"/>
                <w:color w:val="auto"/>
                <w:sz w:val="24"/>
                <w:highlight w:val="none"/>
              </w:rPr>
            </w:pPr>
          </w:p>
        </w:tc>
      </w:tr>
      <w:tr w14:paraId="0E79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1721479">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7F13BC9">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7D2A18D">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90D508E">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D70238C">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3EA93C9">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3A9B727">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99DF09D">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D5FF267">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013BCD2">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E97007">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4E7F612">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E265C2">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B256BC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D7CDA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0CA7D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F3EB3B">
            <w:pPr>
              <w:pageBreakBefore w:val="0"/>
              <w:wordWrap w:val="0"/>
              <w:overflowPunct/>
              <w:topLinePunct w:val="0"/>
              <w:bidi w:val="0"/>
              <w:spacing w:line="360" w:lineRule="auto"/>
              <w:rPr>
                <w:rFonts w:ascii="宋体" w:hAnsi="宋体" w:cs="宋体"/>
                <w:color w:val="auto"/>
                <w:sz w:val="24"/>
                <w:highlight w:val="none"/>
              </w:rPr>
            </w:pPr>
          </w:p>
        </w:tc>
      </w:tr>
      <w:tr w14:paraId="5043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98C0656">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2954F05">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1D417B6">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5153BF4">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3872A33">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B43624D">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1A6CF1B">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FA910D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B60869E">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D06534C">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A8C9DDF">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7E48B5C">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88E5B1C">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37A7E1D">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15203D">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8DD847C">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73D1A0C">
            <w:pPr>
              <w:pageBreakBefore w:val="0"/>
              <w:wordWrap w:val="0"/>
              <w:overflowPunct/>
              <w:topLinePunct w:val="0"/>
              <w:bidi w:val="0"/>
              <w:spacing w:line="360" w:lineRule="auto"/>
              <w:rPr>
                <w:rFonts w:ascii="宋体" w:hAnsi="宋体" w:cs="宋体"/>
                <w:color w:val="auto"/>
                <w:sz w:val="24"/>
                <w:highlight w:val="none"/>
              </w:rPr>
            </w:pPr>
          </w:p>
        </w:tc>
      </w:tr>
      <w:tr w14:paraId="07B9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C9D65DD">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B20122E">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2B1D0E0">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07BB0E9">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1B91CE8">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098AFB6">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DEE4BAF">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52F244">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2664B3">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F152F4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51CEDC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706CAD0">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6C776E">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23F970B">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F5E9C6">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B10848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5DD6E22">
            <w:pPr>
              <w:pageBreakBefore w:val="0"/>
              <w:wordWrap w:val="0"/>
              <w:overflowPunct/>
              <w:topLinePunct w:val="0"/>
              <w:bidi w:val="0"/>
              <w:spacing w:line="360" w:lineRule="auto"/>
              <w:rPr>
                <w:rFonts w:ascii="宋体" w:hAnsi="宋体" w:cs="宋体"/>
                <w:color w:val="auto"/>
                <w:sz w:val="24"/>
                <w:highlight w:val="none"/>
              </w:rPr>
            </w:pPr>
          </w:p>
        </w:tc>
      </w:tr>
      <w:tr w14:paraId="1C83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5454D39">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E09DD1A">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CE9CF10">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A6A934F">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D909216">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00F8D03">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9A07CA7">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85231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C238994">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F6D333">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E5A9370">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2E201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301DFE4">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756FB87">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AF3976C">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A801F13">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1D83CD3">
            <w:pPr>
              <w:pageBreakBefore w:val="0"/>
              <w:wordWrap w:val="0"/>
              <w:overflowPunct/>
              <w:topLinePunct w:val="0"/>
              <w:bidi w:val="0"/>
              <w:spacing w:line="360" w:lineRule="auto"/>
              <w:rPr>
                <w:rFonts w:ascii="宋体" w:hAnsi="宋体" w:cs="宋体"/>
                <w:color w:val="auto"/>
                <w:sz w:val="24"/>
                <w:highlight w:val="none"/>
              </w:rPr>
            </w:pPr>
          </w:p>
        </w:tc>
      </w:tr>
      <w:tr w14:paraId="42EA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F26095E">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5873031">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447215A">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AF9742">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ECE4536">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D614EA1">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9C5DFEC">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C83FDB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D10D23A">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85AF26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6E1082">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719B4CB">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D1D0F0">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363AFF">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79432A">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79405CB">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A95A97D">
            <w:pPr>
              <w:pageBreakBefore w:val="0"/>
              <w:wordWrap w:val="0"/>
              <w:overflowPunct/>
              <w:topLinePunct w:val="0"/>
              <w:bidi w:val="0"/>
              <w:spacing w:line="360" w:lineRule="auto"/>
              <w:rPr>
                <w:rFonts w:ascii="宋体" w:hAnsi="宋体" w:cs="宋体"/>
                <w:color w:val="auto"/>
                <w:sz w:val="24"/>
                <w:highlight w:val="none"/>
              </w:rPr>
            </w:pPr>
          </w:p>
        </w:tc>
      </w:tr>
      <w:tr w14:paraId="174B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A3E29E6">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2D092B7">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9C11C34">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0C2E386">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D96B292">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51D5D71">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A28112">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F9AE6C6">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06C4B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2B2E9BA">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53B1AFA">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73ACE57">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2B8FECB">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CAC6B90">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9C9E27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DE562A">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6D83215">
            <w:pPr>
              <w:pageBreakBefore w:val="0"/>
              <w:wordWrap w:val="0"/>
              <w:overflowPunct/>
              <w:topLinePunct w:val="0"/>
              <w:bidi w:val="0"/>
              <w:spacing w:line="360" w:lineRule="auto"/>
              <w:rPr>
                <w:rFonts w:ascii="宋体" w:hAnsi="宋体" w:cs="宋体"/>
                <w:color w:val="auto"/>
                <w:sz w:val="24"/>
                <w:highlight w:val="none"/>
              </w:rPr>
            </w:pPr>
          </w:p>
        </w:tc>
      </w:tr>
      <w:tr w14:paraId="0D9F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D7CFEB5">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A127CA0">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4A2D5EC">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78FA9BE">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F5992F4">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7C8DD43">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727F11A">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4963FDC">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1CC842">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224917">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239C96">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6154F2E">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8D31896">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4409E8">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D8A976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9B6ECEE">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27DF19A">
            <w:pPr>
              <w:pageBreakBefore w:val="0"/>
              <w:wordWrap w:val="0"/>
              <w:overflowPunct/>
              <w:topLinePunct w:val="0"/>
              <w:bidi w:val="0"/>
              <w:spacing w:line="360" w:lineRule="auto"/>
              <w:rPr>
                <w:rFonts w:ascii="宋体" w:hAnsi="宋体" w:cs="宋体"/>
                <w:color w:val="auto"/>
                <w:sz w:val="24"/>
                <w:highlight w:val="none"/>
              </w:rPr>
            </w:pPr>
          </w:p>
        </w:tc>
      </w:tr>
    </w:tbl>
    <w:p w14:paraId="38C89BC8">
      <w:pPr>
        <w:pageBreakBefore w:val="0"/>
        <w:wordWrap w:val="0"/>
        <w:overflowPunct/>
        <w:topLinePunct w:val="0"/>
        <w:autoSpaceDE w:val="0"/>
        <w:autoSpaceDN w:val="0"/>
        <w:bidi w:val="0"/>
        <w:spacing w:line="360" w:lineRule="auto"/>
        <w:rPr>
          <w:rFonts w:ascii="宋体" w:hAnsi="宋体" w:cs="宋体"/>
          <w:color w:val="auto"/>
          <w:kern w:val="0"/>
          <w:sz w:val="24"/>
          <w:highlight w:val="none"/>
        </w:rPr>
      </w:pPr>
      <w:r>
        <w:rPr>
          <w:rFonts w:hint="eastAsia" w:ascii="宋体" w:hAnsi="宋体" w:cs="宋体"/>
          <w:b/>
          <w:color w:val="auto"/>
          <w:sz w:val="24"/>
          <w:highlight w:val="none"/>
        </w:rPr>
        <w:t>注：投标人可按上述时间表的格式自行编制切合实际的具体时间表。</w:t>
      </w:r>
    </w:p>
    <w:p w14:paraId="42B69AC8">
      <w:pPr>
        <w:pageBreakBefore w:val="0"/>
        <w:wordWrap w:val="0"/>
        <w:overflowPunct/>
        <w:topLinePunct w:val="0"/>
        <w:autoSpaceDE w:val="0"/>
        <w:autoSpaceDN w:val="0"/>
        <w:bidi w:val="0"/>
        <w:spacing w:line="360" w:lineRule="auto"/>
        <w:ind w:firstLine="4440" w:firstLineChars="1850"/>
        <w:rPr>
          <w:rFonts w:ascii="宋体" w:hAnsi="宋体" w:cs="宋体"/>
          <w:color w:val="auto"/>
          <w:kern w:val="0"/>
          <w:sz w:val="24"/>
          <w:highlight w:val="none"/>
        </w:rPr>
      </w:pPr>
      <w:r>
        <w:rPr>
          <w:rFonts w:hint="eastAsia" w:ascii="宋体" w:hAnsi="宋体" w:cs="宋体"/>
          <w:color w:val="auto"/>
          <w:kern w:val="0"/>
          <w:sz w:val="24"/>
          <w:highlight w:val="none"/>
        </w:rPr>
        <w:t>投标人名称（电子签章）：</w:t>
      </w:r>
    </w:p>
    <w:p w14:paraId="77A3B3C0">
      <w:pPr>
        <w:pageBreakBefore w:val="0"/>
        <w:wordWrap w:val="0"/>
        <w:overflowPunct/>
        <w:topLinePunct w:val="0"/>
        <w:autoSpaceDE w:val="0"/>
        <w:autoSpaceDN w:val="0"/>
        <w:bidi w:val="0"/>
        <w:spacing w:line="360" w:lineRule="auto"/>
        <w:rPr>
          <w:rFonts w:ascii="宋体" w:hAnsi="宋体" w:cs="宋体"/>
          <w:b/>
          <w:bCs/>
          <w:color w:val="auto"/>
          <w:sz w:val="32"/>
          <w:szCs w:val="32"/>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5E16A072">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70789843">
      <w:pPr>
        <w:pageBreakBefore w:val="0"/>
        <w:wordWrap w:val="0"/>
        <w:overflowPunct/>
        <w:topLinePunct w:val="0"/>
        <w:bidi w:val="0"/>
        <w:snapToGrid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三、售后服务方案</w:t>
      </w:r>
    </w:p>
    <w:p w14:paraId="3617887F">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13A4E0F0">
      <w:pPr>
        <w:pageBreakBefore w:val="0"/>
        <w:wordWrap w:val="0"/>
        <w:overflowPunct/>
        <w:topLinePunct w:val="0"/>
        <w:bidi w:val="0"/>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1、售后服务承诺</w:t>
      </w:r>
    </w:p>
    <w:p w14:paraId="733AF65B">
      <w:pPr>
        <w:pageBreakBefore w:val="0"/>
        <w:wordWrap w:val="0"/>
        <w:overflowPunct/>
        <w:topLinePunct w:val="0"/>
        <w:autoSpaceDE w:val="0"/>
        <w:autoSpaceDN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附表A:售后服务机构情况表</w:t>
      </w:r>
      <w:r>
        <w:rPr>
          <w:rFonts w:hint="eastAsia" w:ascii="宋体" w:hAnsi="宋体" w:cs="宋体"/>
          <w:color w:val="auto"/>
          <w:sz w:val="24"/>
          <w:highlight w:val="none"/>
        </w:rPr>
        <w:t>（按此格式自制）</w:t>
      </w:r>
    </w:p>
    <w:tbl>
      <w:tblPr>
        <w:tblStyle w:val="22"/>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23BE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6F4B39F1">
            <w:pPr>
              <w:pageBreakBefore w:val="0"/>
              <w:wordWrap w:val="0"/>
              <w:overflowPunct/>
              <w:topLinePunct w:val="0"/>
              <w:autoSpaceDE w:val="0"/>
              <w:autoSpaceDN w:val="0"/>
              <w:bidi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tcPr>
          <w:p w14:paraId="1CA0A2B9">
            <w:pPr>
              <w:pageBreakBefore w:val="0"/>
              <w:wordWrap w:val="0"/>
              <w:overflowPunct/>
              <w:topLinePunct w:val="0"/>
              <w:autoSpaceDE w:val="0"/>
              <w:autoSpaceDN w:val="0"/>
              <w:bidi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tcPr>
          <w:p w14:paraId="0360E31B">
            <w:pPr>
              <w:pageBreakBefore w:val="0"/>
              <w:wordWrap w:val="0"/>
              <w:overflowPunct/>
              <w:topLinePunct w:val="0"/>
              <w:autoSpaceDE w:val="0"/>
              <w:autoSpaceDN w:val="0"/>
              <w:bidi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tcPr>
          <w:p w14:paraId="18FA7BD0">
            <w:pPr>
              <w:pageBreakBefore w:val="0"/>
              <w:wordWrap w:val="0"/>
              <w:overflowPunct/>
              <w:topLinePunct w:val="0"/>
              <w:autoSpaceDE w:val="0"/>
              <w:autoSpaceDN w:val="0"/>
              <w:bidi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tcPr>
          <w:p w14:paraId="04BBF425">
            <w:pPr>
              <w:pageBreakBefore w:val="0"/>
              <w:wordWrap w:val="0"/>
              <w:overflowPunct/>
              <w:topLinePunct w:val="0"/>
              <w:autoSpaceDE w:val="0"/>
              <w:autoSpaceDN w:val="0"/>
              <w:bidi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3A22CCE8">
            <w:pPr>
              <w:pageBreakBefore w:val="0"/>
              <w:wordWrap w:val="0"/>
              <w:overflowPunct/>
              <w:topLinePunct w:val="0"/>
              <w:autoSpaceDE w:val="0"/>
              <w:autoSpaceDN w:val="0"/>
              <w:bidi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联系电话</w:t>
            </w:r>
          </w:p>
        </w:tc>
      </w:tr>
      <w:tr w14:paraId="5B23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5688FDF6">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245F8436">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4F85B635">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28609A80">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5CFFC48E">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630923E5">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r>
      <w:tr w14:paraId="5C6D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1CE42EC9">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0830FB36">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1A7A1D8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5F5D636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0942A0AF">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61FE7D6B">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r>
      <w:tr w14:paraId="1A6C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4651A9F3">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78CD0E8D">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0F9AD35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2F0737A8">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5775FB5F">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732881D4">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r>
    </w:tbl>
    <w:p w14:paraId="47DB969A">
      <w:pPr>
        <w:pageBreakBefore w:val="0"/>
        <w:wordWrap w:val="0"/>
        <w:overflowPunct/>
        <w:topLinePunct w:val="0"/>
        <w:autoSpaceDE w:val="0"/>
        <w:autoSpaceDN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注：关于项目涉及的所有售后服务机构均在本表注明，包括投标人本单位和符合条件的第三方服务机构；</w:t>
      </w:r>
    </w:p>
    <w:p w14:paraId="4CCBBBC3">
      <w:pPr>
        <w:pageBreakBefore w:val="0"/>
        <w:wordWrap w:val="0"/>
        <w:overflowPunct/>
        <w:topLinePunct w:val="0"/>
        <w:autoSpaceDE w:val="0"/>
        <w:autoSpaceDN w:val="0"/>
        <w:bidi w:val="0"/>
        <w:spacing w:line="360" w:lineRule="auto"/>
        <w:rPr>
          <w:rFonts w:ascii="宋体" w:hAnsi="宋体" w:cs="宋体"/>
          <w:color w:val="auto"/>
          <w:kern w:val="0"/>
          <w:sz w:val="24"/>
          <w:highlight w:val="none"/>
        </w:rPr>
      </w:pPr>
    </w:p>
    <w:p w14:paraId="1D93EB69">
      <w:pPr>
        <w:pageBreakBefore w:val="0"/>
        <w:wordWrap w:val="0"/>
        <w:overflowPunct/>
        <w:topLinePunct w:val="0"/>
        <w:autoSpaceDE w:val="0"/>
        <w:autoSpaceDN w:val="0"/>
        <w:bidi w:val="0"/>
        <w:spacing w:line="360" w:lineRule="auto"/>
        <w:rPr>
          <w:rFonts w:ascii="宋体" w:hAnsi="宋体" w:cs="宋体"/>
          <w:color w:val="auto"/>
          <w:kern w:val="0"/>
          <w:sz w:val="24"/>
          <w:highlight w:val="none"/>
        </w:rPr>
      </w:pPr>
      <w:r>
        <w:rPr>
          <w:rFonts w:hint="eastAsia" w:ascii="宋体" w:hAnsi="宋体" w:cs="宋体"/>
          <w:b/>
          <w:color w:val="auto"/>
          <w:kern w:val="0"/>
          <w:sz w:val="24"/>
          <w:highlight w:val="none"/>
        </w:rPr>
        <w:t>附表B：售后服务人员情况表</w:t>
      </w:r>
      <w:r>
        <w:rPr>
          <w:rFonts w:hint="eastAsia" w:ascii="宋体" w:hAnsi="宋体" w:cs="宋体"/>
          <w:color w:val="auto"/>
          <w:sz w:val="24"/>
          <w:highlight w:val="none"/>
        </w:rPr>
        <w:t>（按此格式自制）</w:t>
      </w:r>
    </w:p>
    <w:tbl>
      <w:tblPr>
        <w:tblStyle w:val="22"/>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6631F526">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2A394487">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p w14:paraId="4CEE2F84">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0A9F6486">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4231F405">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351F953">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178B2371">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396A3FD0">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7136A4F8">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622E61C7">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47507156">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3690AB3">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4EAC8B5B">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到达现场时间</w:t>
            </w:r>
          </w:p>
        </w:tc>
      </w:tr>
      <w:tr w14:paraId="412938FC">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75A38B35">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26E6F7DC">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117072C3">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108F4E7">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A52A4DE">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594FA79">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D256672">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1A42F5D">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F043C92">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E639ABD">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1196EDFE">
            <w:pPr>
              <w:pageBreakBefore w:val="0"/>
              <w:wordWrap w:val="0"/>
              <w:overflowPunct/>
              <w:topLinePunct w:val="0"/>
              <w:autoSpaceDE w:val="0"/>
              <w:autoSpaceDN w:val="0"/>
              <w:bidi w:val="0"/>
              <w:spacing w:line="360" w:lineRule="auto"/>
              <w:rPr>
                <w:rFonts w:ascii="宋体" w:hAnsi="宋体" w:cs="宋体"/>
                <w:color w:val="auto"/>
                <w:sz w:val="24"/>
                <w:highlight w:val="none"/>
              </w:rPr>
            </w:pPr>
          </w:p>
        </w:tc>
      </w:tr>
      <w:tr w14:paraId="1FA7388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526D669E">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5B92E6EB">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754BD3C2">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E4113BE">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EAC5A10">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70BEA8B">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FE1C56A">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01D0522">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13F1441">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EBAF3FB">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5341E56F">
            <w:pPr>
              <w:pageBreakBefore w:val="0"/>
              <w:wordWrap w:val="0"/>
              <w:overflowPunct/>
              <w:topLinePunct w:val="0"/>
              <w:autoSpaceDE w:val="0"/>
              <w:autoSpaceDN w:val="0"/>
              <w:bidi w:val="0"/>
              <w:spacing w:line="360" w:lineRule="auto"/>
              <w:rPr>
                <w:rFonts w:ascii="宋体" w:hAnsi="宋体" w:cs="宋体"/>
                <w:color w:val="auto"/>
                <w:sz w:val="24"/>
                <w:highlight w:val="none"/>
              </w:rPr>
            </w:pPr>
          </w:p>
        </w:tc>
      </w:tr>
      <w:tr w14:paraId="18EF4AE5">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56343E04">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5CC6BA09">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37609CC3">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139E489">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4A15DF2">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3A35B34">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F76C8E2">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94517E0">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00E00C7">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EC58C28">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0081D079">
            <w:pPr>
              <w:pageBreakBefore w:val="0"/>
              <w:wordWrap w:val="0"/>
              <w:overflowPunct/>
              <w:topLinePunct w:val="0"/>
              <w:autoSpaceDE w:val="0"/>
              <w:autoSpaceDN w:val="0"/>
              <w:bidi w:val="0"/>
              <w:spacing w:line="360" w:lineRule="auto"/>
              <w:rPr>
                <w:rFonts w:ascii="宋体" w:hAnsi="宋体" w:cs="宋体"/>
                <w:color w:val="auto"/>
                <w:sz w:val="24"/>
                <w:highlight w:val="none"/>
              </w:rPr>
            </w:pPr>
          </w:p>
        </w:tc>
      </w:tr>
      <w:tr w14:paraId="7BC0F161">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768E9DD3">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5259F9DE">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DC1A495">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FA61381">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9F2042C">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E6D1B88">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CFAECFC">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C2B9C29">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DBB1546">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D3CCBB7">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47167538">
            <w:pPr>
              <w:pageBreakBefore w:val="0"/>
              <w:wordWrap w:val="0"/>
              <w:overflowPunct/>
              <w:topLinePunct w:val="0"/>
              <w:autoSpaceDE w:val="0"/>
              <w:autoSpaceDN w:val="0"/>
              <w:bidi w:val="0"/>
              <w:spacing w:line="360" w:lineRule="auto"/>
              <w:rPr>
                <w:rFonts w:ascii="宋体" w:hAnsi="宋体" w:cs="宋体"/>
                <w:color w:val="auto"/>
                <w:sz w:val="24"/>
                <w:highlight w:val="none"/>
              </w:rPr>
            </w:pPr>
          </w:p>
        </w:tc>
      </w:tr>
    </w:tbl>
    <w:p w14:paraId="5E500C92">
      <w:pPr>
        <w:pageBreakBefore w:val="0"/>
        <w:wordWrap w:val="0"/>
        <w:overflowPunct/>
        <w:topLinePunct w:val="0"/>
        <w:bidi w:val="0"/>
        <w:snapToGrid w:val="0"/>
        <w:spacing w:line="360" w:lineRule="auto"/>
        <w:ind w:left="142"/>
        <w:jc w:val="center"/>
        <w:rPr>
          <w:rFonts w:ascii="宋体" w:hAnsi="宋体" w:cs="宋体"/>
          <w:b/>
          <w:color w:val="auto"/>
          <w:sz w:val="32"/>
          <w:szCs w:val="32"/>
          <w:highlight w:val="none"/>
        </w:rPr>
      </w:pPr>
    </w:p>
    <w:p w14:paraId="18620953">
      <w:pPr>
        <w:pageBreakBefore w:val="0"/>
        <w:wordWrap w:val="0"/>
        <w:overflowPunct/>
        <w:topLinePunct w:val="0"/>
        <w:bidi w:val="0"/>
        <w:snapToGrid w:val="0"/>
        <w:spacing w:line="360" w:lineRule="auto"/>
        <w:ind w:right="480" w:firstLine="3967" w:firstLineChars="1653"/>
        <w:rPr>
          <w:rFonts w:ascii="宋体" w:hAnsi="宋体" w:cs="宋体"/>
          <w:color w:val="auto"/>
          <w:sz w:val="24"/>
          <w:highlight w:val="none"/>
        </w:rPr>
      </w:pPr>
    </w:p>
    <w:p w14:paraId="08CC2522">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01B929FC">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8DA2ED0">
      <w:pPr>
        <w:pageBreakBefore w:val="0"/>
        <w:widowControl/>
        <w:wordWrap w:val="0"/>
        <w:overflowPunct/>
        <w:topLinePunct w:val="0"/>
        <w:bidi w:val="0"/>
        <w:spacing w:line="360" w:lineRule="auto"/>
        <w:jc w:val="left"/>
        <w:rPr>
          <w:rFonts w:ascii="宋体" w:hAnsi="宋体" w:cs="宋体"/>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3B81439F">
      <w:pPr>
        <w:pageBreakBefore w:val="0"/>
        <w:wordWrap w:val="0"/>
        <w:overflowPunct/>
        <w:topLinePunct w:val="0"/>
        <w:bidi w:val="0"/>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四、项目实施人员一览表（如有）</w:t>
      </w:r>
    </w:p>
    <w:p w14:paraId="2DB389CF">
      <w:pPr>
        <w:pageBreakBefore w:val="0"/>
        <w:wordWrap w:val="0"/>
        <w:overflowPunct/>
        <w:topLinePunct w:val="0"/>
        <w:bidi w:val="0"/>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（由投标人根据采购需求及招标文件要求编制）</w:t>
      </w:r>
    </w:p>
    <w:p w14:paraId="6B3D6D8D">
      <w:pPr>
        <w:pStyle w:val="14"/>
        <w:pageBreakBefore w:val="0"/>
        <w:wordWrap w:val="0"/>
        <w:overflowPunct/>
        <w:topLinePunct w:val="0"/>
        <w:bidi w:val="0"/>
        <w:spacing w:line="360" w:lineRule="auto"/>
        <w:rPr>
          <w:rFonts w:hAnsi="宋体" w:cs="宋体"/>
          <w:color w:val="auto"/>
          <w:sz w:val="24"/>
          <w:szCs w:val="24"/>
          <w:highlight w:val="none"/>
        </w:rPr>
      </w:pPr>
      <w:r>
        <w:rPr>
          <w:rFonts w:hint="eastAsia" w:hAnsi="宋体" w:cs="宋体"/>
          <w:color w:val="auto"/>
          <w:sz w:val="24"/>
          <w:szCs w:val="24"/>
          <w:highlight w:val="none"/>
        </w:rPr>
        <w:t>所投分标：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1443DE2B">
      <w:pPr>
        <w:keepNext/>
        <w:pageBreakBefore w:val="0"/>
        <w:wordWrap w:val="0"/>
        <w:overflowPunct/>
        <w:topLinePunct w:val="0"/>
        <w:autoSpaceDE w:val="0"/>
        <w:autoSpaceDN w:val="0"/>
        <w:bidi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2"/>
        <w:tblW w:w="8755" w:type="dxa"/>
        <w:tblInd w:w="116" w:type="dxa"/>
        <w:tblLayout w:type="fixed"/>
        <w:tblCellMar>
          <w:top w:w="0" w:type="dxa"/>
          <w:left w:w="108" w:type="dxa"/>
          <w:bottom w:w="0" w:type="dxa"/>
          <w:right w:w="108" w:type="dxa"/>
        </w:tblCellMar>
      </w:tblPr>
      <w:tblGrid>
        <w:gridCol w:w="2061"/>
        <w:gridCol w:w="1287"/>
        <w:gridCol w:w="1260"/>
        <w:gridCol w:w="4147"/>
      </w:tblGrid>
      <w:tr w14:paraId="3B8C81D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D7A6D39">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4B62CE2F">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ABFF10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57279F53">
            <w:pPr>
              <w:pageBreakBefore w:val="0"/>
              <w:wordWrap w:val="0"/>
              <w:overflowPunct/>
              <w:topLinePunct w:val="0"/>
              <w:autoSpaceDE w:val="0"/>
              <w:autoSpaceDN w:val="0"/>
              <w:bidi w:val="0"/>
              <w:spacing w:line="360" w:lineRule="auto"/>
              <w:rPr>
                <w:rFonts w:ascii="宋体" w:hAnsi="宋体" w:cs="宋体"/>
                <w:color w:val="auto"/>
                <w:sz w:val="24"/>
                <w:highlight w:val="none"/>
              </w:rPr>
            </w:pPr>
            <w:r>
              <w:rPr>
                <w:rFonts w:hint="eastAsia" w:ascii="宋体" w:hAnsi="宋体" w:cs="宋体"/>
                <w:color w:val="auto"/>
                <w:sz w:val="24"/>
                <w:highlight w:val="none"/>
              </w:rPr>
              <w:t>投标截止时间前三年业绩及承担的主要工作情况，曾担任项目经理的项目应列明细</w:t>
            </w:r>
          </w:p>
        </w:tc>
      </w:tr>
      <w:tr w14:paraId="11C61C9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7FF37315">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37000FFC">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79BF6068">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74A4D795">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r>
      <w:tr w14:paraId="7DA80D93">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56A7A4F">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EC63840">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6B2A4BF7">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90CD052">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415A0B4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213B799">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44B1866C">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2305664">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94A908B">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04352F9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D00BEE8">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3EDF67B0">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B7C6BD0">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E3A4248">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0FB70B6B">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1C2E21E5">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707DBD8D">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A71780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E47427B">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1EA57B0E">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06B9B2B0">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14EC0BB3">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CA9433C">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E66AC96">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041D17A9">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4658570C">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145BF76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0FA04B5">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E9DA699">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0ABE789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7DF2F9BA">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3102114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390B7D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EDCC71E">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4F63F7C2">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EF399CD">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A3C7E91">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5B038AA">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AB9CD2D">
            <w:pPr>
              <w:pageBreakBefore w:val="0"/>
              <w:widowControl/>
              <w:wordWrap w:val="0"/>
              <w:overflowPunct/>
              <w:topLinePunct w:val="0"/>
              <w:bidi w:val="0"/>
              <w:spacing w:line="360" w:lineRule="auto"/>
              <w:jc w:val="left"/>
              <w:rPr>
                <w:rFonts w:ascii="宋体" w:hAnsi="宋体" w:cs="宋体"/>
                <w:color w:val="auto"/>
                <w:sz w:val="24"/>
                <w:highlight w:val="none"/>
              </w:rPr>
            </w:pPr>
          </w:p>
        </w:tc>
      </w:tr>
    </w:tbl>
    <w:p w14:paraId="79C92658">
      <w:pPr>
        <w:pageBreakBefore w:val="0"/>
        <w:wordWrap w:val="0"/>
        <w:overflowPunct/>
        <w:topLinePunct w:val="0"/>
        <w:autoSpaceDE w:val="0"/>
        <w:autoSpaceDN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502975F2">
      <w:pPr>
        <w:pageBreakBefore w:val="0"/>
        <w:wordWrap w:val="0"/>
        <w:overflowPunct/>
        <w:topLinePunct w:val="0"/>
        <w:autoSpaceDE w:val="0"/>
        <w:autoSpaceDN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22"/>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7629A2B">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4656D6CA">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60B124D1">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7C3D71D">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6E4A43C7">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75946CFE">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587D4614">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187804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05CAE021">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AE15B4B">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44DF71B5">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253EB210">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99DCB1A">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734B3083">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1737EABF">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2399A0BC">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5BB5375">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A2BDCA1">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F3CFC41">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291F089">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BF5E929">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33AB589">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65F1A25">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5FF07C1">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7E18FD36">
            <w:pPr>
              <w:pageBreakBefore w:val="0"/>
              <w:wordWrap w:val="0"/>
              <w:overflowPunct/>
              <w:topLinePunct w:val="0"/>
              <w:autoSpaceDE w:val="0"/>
              <w:autoSpaceDN w:val="0"/>
              <w:bidi w:val="0"/>
              <w:spacing w:line="360" w:lineRule="auto"/>
              <w:rPr>
                <w:rFonts w:ascii="宋体" w:hAnsi="宋体" w:cs="宋体"/>
                <w:color w:val="auto"/>
                <w:sz w:val="24"/>
                <w:highlight w:val="none"/>
              </w:rPr>
            </w:pPr>
          </w:p>
        </w:tc>
      </w:tr>
      <w:tr w14:paraId="24AB172E">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609E76A1">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2DABBEB">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E72AECC">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576F994A">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6830DFD">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A295A53">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57C8EB4">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8B67F0F">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B57F766">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2343E49B">
            <w:pPr>
              <w:pageBreakBefore w:val="0"/>
              <w:wordWrap w:val="0"/>
              <w:overflowPunct/>
              <w:topLinePunct w:val="0"/>
              <w:autoSpaceDE w:val="0"/>
              <w:autoSpaceDN w:val="0"/>
              <w:bidi w:val="0"/>
              <w:spacing w:line="360" w:lineRule="auto"/>
              <w:rPr>
                <w:rFonts w:ascii="宋体" w:hAnsi="宋体" w:cs="宋体"/>
                <w:color w:val="auto"/>
                <w:sz w:val="24"/>
                <w:highlight w:val="none"/>
              </w:rPr>
            </w:pPr>
          </w:p>
        </w:tc>
      </w:tr>
    </w:tbl>
    <w:p w14:paraId="3D29ABFC">
      <w:pPr>
        <w:pageBreakBefore w:val="0"/>
        <w:wordWrap w:val="0"/>
        <w:overflowPunct/>
        <w:topLinePunct w:val="0"/>
        <w:bidi w:val="0"/>
        <w:spacing w:line="360" w:lineRule="auto"/>
        <w:rPr>
          <w:rFonts w:ascii="宋体" w:hAnsi="宋体" w:cs="宋体"/>
          <w:b/>
          <w:bCs/>
          <w:color w:val="auto"/>
          <w:sz w:val="24"/>
          <w:highlight w:val="none"/>
        </w:rPr>
      </w:pPr>
      <w:r>
        <w:rPr>
          <w:rFonts w:hint="eastAsia" w:ascii="宋体" w:hAnsi="宋体" w:cs="宋体"/>
          <w:b/>
          <w:color w:val="auto"/>
          <w:sz w:val="24"/>
          <w:highlight w:val="none"/>
        </w:rPr>
        <w:t>注：投标人可按上述的格式自行编制，须随表提交相应的证书复印件并注明所在投标技术文件页码。</w:t>
      </w:r>
    </w:p>
    <w:p w14:paraId="4D4CED19">
      <w:pPr>
        <w:pageBreakBefore w:val="0"/>
        <w:wordWrap w:val="0"/>
        <w:overflowPunct/>
        <w:topLinePunct w:val="0"/>
        <w:bidi w:val="0"/>
        <w:snapToGrid w:val="0"/>
        <w:spacing w:line="360" w:lineRule="auto"/>
        <w:ind w:firstLine="4320" w:firstLineChars="18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72583DDD">
      <w:pPr>
        <w:pageBreakBefore w:val="0"/>
        <w:wordWrap w:val="0"/>
        <w:overflowPunct/>
        <w:topLinePunct w:val="0"/>
        <w:autoSpaceDE w:val="0"/>
        <w:autoSpaceDN w:val="0"/>
        <w:bidi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4FF1C416">
      <w:pPr>
        <w:pageBreakBefore w:val="0"/>
        <w:wordWrap w:val="0"/>
        <w:overflowPunct/>
        <w:topLinePunct w:val="0"/>
        <w:bidi w:val="0"/>
        <w:snapToGrid w:val="0"/>
        <w:spacing w:line="360" w:lineRule="auto"/>
        <w:rPr>
          <w:rFonts w:ascii="宋体" w:hAnsi="宋体" w:cs="宋体"/>
          <w:color w:val="auto"/>
          <w:sz w:val="24"/>
          <w:highlight w:val="none"/>
        </w:rPr>
      </w:pPr>
    </w:p>
    <w:p w14:paraId="1DAA8316">
      <w:pPr>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b/>
          <w:color w:val="auto"/>
          <w:sz w:val="24"/>
          <w:highlight w:val="none"/>
        </w:rPr>
        <w:br w:type="page"/>
      </w:r>
      <w:r>
        <w:rPr>
          <w:rFonts w:hint="eastAsia" w:ascii="宋体" w:hAnsi="宋体" w:cs="宋体"/>
          <w:color w:val="auto"/>
          <w:sz w:val="24"/>
          <w:highlight w:val="none"/>
        </w:rPr>
        <w:t xml:space="preserve"> </w:t>
      </w:r>
    </w:p>
    <w:p w14:paraId="77BEF041">
      <w:pPr>
        <w:pageBreakBefore w:val="0"/>
        <w:wordWrap w:val="0"/>
        <w:overflowPunct/>
        <w:topLinePunct w:val="0"/>
        <w:bidi w:val="0"/>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五、投标人对项目的合理化建议和改进措施（如有）</w:t>
      </w:r>
    </w:p>
    <w:p w14:paraId="650D7A46">
      <w:pPr>
        <w:pageBreakBefore w:val="0"/>
        <w:wordWrap w:val="0"/>
        <w:overflowPunct/>
        <w:topLinePunct w:val="0"/>
        <w:bidi w:val="0"/>
        <w:spacing w:line="360" w:lineRule="auto"/>
        <w:ind w:firstLine="4048" w:firstLineChars="1687"/>
        <w:rPr>
          <w:rFonts w:ascii="宋体" w:hAnsi="宋体" w:cs="宋体"/>
          <w:color w:val="auto"/>
          <w:sz w:val="24"/>
          <w:highlight w:val="none"/>
        </w:rPr>
      </w:pPr>
      <w:r>
        <w:rPr>
          <w:rFonts w:hint="eastAsia" w:ascii="宋体" w:hAnsi="宋体" w:cs="宋体"/>
          <w:color w:val="auto"/>
          <w:sz w:val="24"/>
          <w:highlight w:val="none"/>
        </w:rPr>
        <w:t>（格式自拟）</w:t>
      </w:r>
    </w:p>
    <w:p w14:paraId="7A77C9E1">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36FE6D68">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p>
    <w:p w14:paraId="09D0DE33">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p>
    <w:p w14:paraId="7C507065">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p>
    <w:p w14:paraId="132F6782">
      <w:pPr>
        <w:pageBreakBefore w:val="0"/>
        <w:wordWrap w:val="0"/>
        <w:overflowPunct/>
        <w:topLinePunct w:val="0"/>
        <w:bidi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6BE97549">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C5F77DC">
      <w:pPr>
        <w:pageBreakBefore w:val="0"/>
        <w:wordWrap w:val="0"/>
        <w:overflowPunct/>
        <w:topLinePunct w:val="0"/>
        <w:bidi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六、优惠条件及特殊承诺（如有）</w:t>
      </w:r>
    </w:p>
    <w:p w14:paraId="52C40B97">
      <w:pPr>
        <w:pageBreakBefore w:val="0"/>
        <w:wordWrap w:val="0"/>
        <w:overflowPunct/>
        <w:topLinePunct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7FA4A461">
      <w:pPr>
        <w:pageBreakBefore w:val="0"/>
        <w:wordWrap w:val="0"/>
        <w:overflowPunct/>
        <w:topLinePunct w:val="0"/>
        <w:bidi w:val="0"/>
        <w:spacing w:line="360" w:lineRule="auto"/>
        <w:jc w:val="center"/>
        <w:rPr>
          <w:rFonts w:ascii="宋体" w:hAnsi="宋体" w:cs="宋体"/>
          <w:color w:val="auto"/>
          <w:sz w:val="18"/>
          <w:szCs w:val="18"/>
          <w:highlight w:val="none"/>
        </w:rPr>
      </w:pPr>
    </w:p>
    <w:p w14:paraId="120BC114">
      <w:pPr>
        <w:pageBreakBefore w:val="0"/>
        <w:wordWrap w:val="0"/>
        <w:overflowPunct/>
        <w:topLinePunct w:val="0"/>
        <w:bidi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626BA127">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C3ED325">
      <w:pPr>
        <w:pageBreakBefore w:val="0"/>
        <w:wordWrap w:val="0"/>
        <w:overflowPunct/>
        <w:topLinePunct w:val="0"/>
        <w:bidi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七、备品备件及供选择的配套零部件清单（如有）</w:t>
      </w:r>
    </w:p>
    <w:p w14:paraId="2C7EC79F">
      <w:pPr>
        <w:pageBreakBefore w:val="0"/>
        <w:wordWrap w:val="0"/>
        <w:overflowPunct/>
        <w:topLinePunct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29A0E410">
      <w:pPr>
        <w:pageBreakBefore w:val="0"/>
        <w:wordWrap w:val="0"/>
        <w:overflowPunct/>
        <w:topLinePunct w:val="0"/>
        <w:autoSpaceDE w:val="0"/>
        <w:autoSpaceDN w:val="0"/>
        <w:bidi w:val="0"/>
        <w:spacing w:line="360" w:lineRule="auto"/>
        <w:ind w:firstLine="4440" w:firstLineChars="1850"/>
        <w:rPr>
          <w:rFonts w:ascii="宋体" w:hAnsi="宋体" w:cs="宋体"/>
          <w:color w:val="auto"/>
          <w:kern w:val="0"/>
          <w:sz w:val="24"/>
          <w:highlight w:val="none"/>
        </w:rPr>
      </w:pPr>
    </w:p>
    <w:p w14:paraId="325FD1BE">
      <w:pPr>
        <w:pageBreakBefore w:val="0"/>
        <w:wordWrap w:val="0"/>
        <w:overflowPunct/>
        <w:topLinePunct w:val="0"/>
        <w:autoSpaceDE w:val="0"/>
        <w:autoSpaceDN w:val="0"/>
        <w:bidi w:val="0"/>
        <w:spacing w:line="360" w:lineRule="auto"/>
        <w:ind w:firstLine="4440" w:firstLineChars="1850"/>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w:t>
      </w:r>
    </w:p>
    <w:p w14:paraId="5E52721F">
      <w:pPr>
        <w:pageBreakBefore w:val="0"/>
        <w:wordWrap w:val="0"/>
        <w:overflowPunct/>
        <w:topLinePunct w:val="0"/>
        <w:autoSpaceDE w:val="0"/>
        <w:autoSpaceDN w:val="0"/>
        <w:bidi w:val="0"/>
        <w:spacing w:line="360" w:lineRule="auto"/>
        <w:rPr>
          <w:rFonts w:ascii="宋体" w:hAnsi="宋体" w:cs="宋体"/>
          <w:b/>
          <w:bCs/>
          <w:color w:val="auto"/>
          <w:sz w:val="18"/>
          <w:szCs w:val="18"/>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7DF41A9E">
      <w:pPr>
        <w:pageBreakBefore w:val="0"/>
        <w:wordWrap w:val="0"/>
        <w:overflowPunct/>
        <w:topLinePunct w:val="0"/>
        <w:bidi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八、培训计划（如有）</w:t>
      </w:r>
    </w:p>
    <w:p w14:paraId="57B8CFB0">
      <w:pPr>
        <w:pageBreakBefore w:val="0"/>
        <w:wordWrap w:val="0"/>
        <w:overflowPunct/>
        <w:topLinePunct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21FC2395">
      <w:pPr>
        <w:keepNext/>
        <w:pageBreakBefore w:val="0"/>
        <w:wordWrap w:val="0"/>
        <w:overflowPunct/>
        <w:topLinePunct w:val="0"/>
        <w:autoSpaceDE w:val="0"/>
        <w:autoSpaceDN w:val="0"/>
        <w:bidi w:val="0"/>
        <w:spacing w:line="360" w:lineRule="auto"/>
        <w:ind w:firstLine="477"/>
        <w:jc w:val="left"/>
        <w:rPr>
          <w:rFonts w:ascii="宋体" w:hAnsi="宋体" w:cs="宋体"/>
          <w:b/>
          <w:color w:val="auto"/>
          <w:sz w:val="24"/>
          <w:highlight w:val="none"/>
        </w:rPr>
      </w:pPr>
      <w:r>
        <w:rPr>
          <w:rFonts w:hint="eastAsia" w:ascii="宋体" w:hAnsi="宋体" w:cs="宋体"/>
          <w:b/>
          <w:color w:val="auto"/>
          <w:sz w:val="24"/>
          <w:highlight w:val="none"/>
        </w:rPr>
        <w:t>附表: 培训日程及费用</w:t>
      </w:r>
    </w:p>
    <w:tbl>
      <w:tblPr>
        <w:tblStyle w:val="22"/>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4A0B5A57">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65DDD8E5">
            <w:pPr>
              <w:pageBreakBefore w:val="0"/>
              <w:tabs>
                <w:tab w:val="center" w:pos="1690"/>
              </w:tabs>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5E1E5324">
            <w:pPr>
              <w:pageBreakBefore w:val="0"/>
              <w:tabs>
                <w:tab w:val="center" w:pos="595"/>
              </w:tabs>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478C6CAC">
            <w:pPr>
              <w:pageBreakBefore w:val="0"/>
              <w:tabs>
                <w:tab w:val="center" w:pos="595"/>
              </w:tabs>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52FB560A">
            <w:pPr>
              <w:pageBreakBefore w:val="0"/>
              <w:tabs>
                <w:tab w:val="center" w:pos="1028"/>
              </w:tabs>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756155B9">
            <w:pPr>
              <w:pageBreakBefore w:val="0"/>
              <w:tabs>
                <w:tab w:val="center" w:pos="595"/>
              </w:tabs>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3E169CC3">
            <w:pPr>
              <w:pageBreakBefore w:val="0"/>
              <w:tabs>
                <w:tab w:val="center" w:pos="520"/>
              </w:tabs>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02AEC36D">
            <w:pPr>
              <w:pageBreakBefore w:val="0"/>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课程费用</w:t>
            </w:r>
          </w:p>
        </w:tc>
      </w:tr>
      <w:tr w14:paraId="34FBB2FD">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1CECFAC7">
            <w:pPr>
              <w:pageBreakBefore w:val="0"/>
              <w:tabs>
                <w:tab w:val="left" w:pos="589"/>
                <w:tab w:val="left" w:pos="1303"/>
                <w:tab w:val="left" w:pos="2017"/>
                <w:tab w:val="left" w:pos="2731"/>
                <w:tab w:val="left" w:pos="3445"/>
                <w:tab w:val="left" w:pos="4159"/>
                <w:tab w:val="left" w:pos="4873"/>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2BB9C72D">
            <w:pPr>
              <w:pageBreakBefore w:val="0"/>
              <w:tabs>
                <w:tab w:val="left" w:pos="556"/>
                <w:tab w:val="left" w:pos="1270"/>
                <w:tab w:val="left" w:pos="1984"/>
                <w:tab w:val="left" w:pos="2698"/>
                <w:tab w:val="left" w:pos="3412"/>
                <w:tab w:val="left" w:pos="4126"/>
                <w:tab w:val="left" w:pos="4840"/>
                <w:tab w:val="left" w:pos="5622"/>
                <w:tab w:val="left" w:pos="6054"/>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07558087">
            <w:pPr>
              <w:pageBreakBefore w:val="0"/>
              <w:tabs>
                <w:tab w:val="left" w:pos="556"/>
                <w:tab w:val="left" w:pos="1270"/>
                <w:tab w:val="left" w:pos="1984"/>
                <w:tab w:val="left" w:pos="2698"/>
                <w:tab w:val="left" w:pos="3412"/>
                <w:tab w:val="left" w:pos="4126"/>
                <w:tab w:val="left" w:pos="4840"/>
                <w:tab w:val="left" w:pos="5622"/>
                <w:tab w:val="left" w:pos="6054"/>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6D23BCE9">
            <w:pPr>
              <w:pageBreakBefore w:val="0"/>
              <w:tabs>
                <w:tab w:val="left" w:pos="573"/>
                <w:tab w:val="left" w:pos="1287"/>
                <w:tab w:val="left" w:pos="2001"/>
                <w:tab w:val="left" w:pos="2715"/>
                <w:tab w:val="left" w:pos="3429"/>
                <w:tab w:val="left" w:pos="4211"/>
                <w:tab w:val="left" w:pos="4643"/>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1DD764D8">
            <w:pPr>
              <w:pageBreakBefore w:val="0"/>
              <w:tabs>
                <w:tab w:val="left" w:pos="440"/>
                <w:tab w:val="left" w:pos="1154"/>
                <w:tab w:val="left" w:pos="1936"/>
                <w:tab w:val="left" w:pos="2368"/>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350ABEF1">
            <w:pPr>
              <w:pageBreakBefore w:val="0"/>
              <w:tabs>
                <w:tab w:val="left" w:pos="589"/>
                <w:tab w:val="left" w:pos="1303"/>
                <w:tab w:val="left" w:pos="2017"/>
                <w:tab w:val="left" w:pos="2731"/>
                <w:tab w:val="left" w:pos="3445"/>
                <w:tab w:val="left" w:pos="4159"/>
                <w:tab w:val="left" w:pos="4873"/>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6403D8C0">
            <w:pPr>
              <w:pageBreakBefore w:val="0"/>
              <w:suppressAutoHyphens/>
              <w:wordWrap w:val="0"/>
              <w:overflowPunct/>
              <w:topLinePunct w:val="0"/>
              <w:autoSpaceDE w:val="0"/>
              <w:autoSpaceDN w:val="0"/>
              <w:bidi w:val="0"/>
              <w:spacing w:line="360" w:lineRule="auto"/>
              <w:rPr>
                <w:rFonts w:ascii="宋体" w:hAnsi="宋体" w:cs="宋体"/>
                <w:color w:val="auto"/>
                <w:sz w:val="24"/>
                <w:highlight w:val="none"/>
              </w:rPr>
            </w:pPr>
          </w:p>
        </w:tc>
      </w:tr>
      <w:tr w14:paraId="17D929B9">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573A6E34">
            <w:pPr>
              <w:pageBreakBefore w:val="0"/>
              <w:tabs>
                <w:tab w:val="left" w:pos="589"/>
                <w:tab w:val="left" w:pos="1303"/>
                <w:tab w:val="left" w:pos="2017"/>
                <w:tab w:val="left" w:pos="2731"/>
                <w:tab w:val="left" w:pos="3445"/>
                <w:tab w:val="left" w:pos="4159"/>
                <w:tab w:val="left" w:pos="4873"/>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6EE63F3C">
            <w:pPr>
              <w:pageBreakBefore w:val="0"/>
              <w:tabs>
                <w:tab w:val="left" w:pos="556"/>
                <w:tab w:val="left" w:pos="1270"/>
                <w:tab w:val="left" w:pos="1984"/>
                <w:tab w:val="left" w:pos="2698"/>
                <w:tab w:val="left" w:pos="3412"/>
                <w:tab w:val="left" w:pos="4126"/>
                <w:tab w:val="left" w:pos="4840"/>
                <w:tab w:val="left" w:pos="5622"/>
                <w:tab w:val="left" w:pos="6054"/>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361311A2">
            <w:pPr>
              <w:pageBreakBefore w:val="0"/>
              <w:tabs>
                <w:tab w:val="left" w:pos="556"/>
                <w:tab w:val="left" w:pos="1270"/>
                <w:tab w:val="left" w:pos="1984"/>
                <w:tab w:val="left" w:pos="2698"/>
                <w:tab w:val="left" w:pos="3412"/>
                <w:tab w:val="left" w:pos="4126"/>
                <w:tab w:val="left" w:pos="4840"/>
                <w:tab w:val="left" w:pos="5622"/>
                <w:tab w:val="left" w:pos="6054"/>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4030A9A7">
            <w:pPr>
              <w:pageBreakBefore w:val="0"/>
              <w:tabs>
                <w:tab w:val="left" w:pos="573"/>
                <w:tab w:val="left" w:pos="1287"/>
                <w:tab w:val="left" w:pos="2001"/>
                <w:tab w:val="left" w:pos="2715"/>
                <w:tab w:val="left" w:pos="3429"/>
                <w:tab w:val="left" w:pos="4211"/>
                <w:tab w:val="left" w:pos="4643"/>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268074A3">
            <w:pPr>
              <w:pageBreakBefore w:val="0"/>
              <w:tabs>
                <w:tab w:val="left" w:pos="440"/>
                <w:tab w:val="left" w:pos="1154"/>
                <w:tab w:val="left" w:pos="1936"/>
                <w:tab w:val="left" w:pos="2368"/>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42C75062">
            <w:pPr>
              <w:pageBreakBefore w:val="0"/>
              <w:tabs>
                <w:tab w:val="left" w:pos="7"/>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208ECD38">
            <w:pPr>
              <w:pageBreakBefore w:val="0"/>
              <w:suppressAutoHyphens/>
              <w:wordWrap w:val="0"/>
              <w:overflowPunct/>
              <w:topLinePunct w:val="0"/>
              <w:autoSpaceDE w:val="0"/>
              <w:autoSpaceDN w:val="0"/>
              <w:bidi w:val="0"/>
              <w:spacing w:line="360" w:lineRule="auto"/>
              <w:rPr>
                <w:rFonts w:ascii="宋体" w:hAnsi="宋体" w:cs="宋体"/>
                <w:color w:val="auto"/>
                <w:sz w:val="24"/>
                <w:highlight w:val="none"/>
              </w:rPr>
            </w:pPr>
          </w:p>
        </w:tc>
      </w:tr>
      <w:tr w14:paraId="565C1905">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0CC5FFD6">
            <w:pPr>
              <w:pageBreakBefore w:val="0"/>
              <w:tabs>
                <w:tab w:val="left" w:pos="589"/>
                <w:tab w:val="left" w:pos="1303"/>
                <w:tab w:val="left" w:pos="2017"/>
                <w:tab w:val="left" w:pos="2731"/>
                <w:tab w:val="left" w:pos="3445"/>
                <w:tab w:val="left" w:pos="4159"/>
                <w:tab w:val="left" w:pos="4873"/>
              </w:tabs>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13226670">
            <w:pPr>
              <w:pageBreakBefore w:val="0"/>
              <w:tabs>
                <w:tab w:val="left" w:pos="556"/>
                <w:tab w:val="left" w:pos="1270"/>
                <w:tab w:val="left" w:pos="1984"/>
                <w:tab w:val="left" w:pos="2698"/>
                <w:tab w:val="left" w:pos="3412"/>
                <w:tab w:val="left" w:pos="4126"/>
                <w:tab w:val="left" w:pos="4840"/>
                <w:tab w:val="left" w:pos="5622"/>
                <w:tab w:val="left" w:pos="6054"/>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000A705E">
            <w:pPr>
              <w:pageBreakBefore w:val="0"/>
              <w:tabs>
                <w:tab w:val="left" w:pos="556"/>
                <w:tab w:val="left" w:pos="1270"/>
                <w:tab w:val="left" w:pos="1984"/>
                <w:tab w:val="left" w:pos="2698"/>
                <w:tab w:val="left" w:pos="3412"/>
                <w:tab w:val="left" w:pos="4126"/>
                <w:tab w:val="left" w:pos="4840"/>
                <w:tab w:val="left" w:pos="5622"/>
                <w:tab w:val="left" w:pos="6054"/>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59866D92">
            <w:pPr>
              <w:pageBreakBefore w:val="0"/>
              <w:tabs>
                <w:tab w:val="left" w:pos="573"/>
                <w:tab w:val="left" w:pos="1287"/>
                <w:tab w:val="left" w:pos="2001"/>
                <w:tab w:val="left" w:pos="2715"/>
                <w:tab w:val="left" w:pos="3429"/>
                <w:tab w:val="left" w:pos="4211"/>
                <w:tab w:val="left" w:pos="4643"/>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05BDD1BE">
            <w:pPr>
              <w:pageBreakBefore w:val="0"/>
              <w:tabs>
                <w:tab w:val="left" w:pos="440"/>
                <w:tab w:val="left" w:pos="1154"/>
                <w:tab w:val="left" w:pos="1936"/>
                <w:tab w:val="left" w:pos="2368"/>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39673C2F">
            <w:pPr>
              <w:pageBreakBefore w:val="0"/>
              <w:tabs>
                <w:tab w:val="left" w:pos="7"/>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79217174">
            <w:pPr>
              <w:pageBreakBefore w:val="0"/>
              <w:suppressAutoHyphens/>
              <w:wordWrap w:val="0"/>
              <w:overflowPunct/>
              <w:topLinePunct w:val="0"/>
              <w:autoSpaceDE w:val="0"/>
              <w:autoSpaceDN w:val="0"/>
              <w:bidi w:val="0"/>
              <w:spacing w:line="360" w:lineRule="auto"/>
              <w:rPr>
                <w:rFonts w:ascii="宋体" w:hAnsi="宋体" w:cs="宋体"/>
                <w:color w:val="auto"/>
                <w:sz w:val="24"/>
                <w:highlight w:val="none"/>
              </w:rPr>
            </w:pPr>
          </w:p>
        </w:tc>
      </w:tr>
    </w:tbl>
    <w:p w14:paraId="2C675233">
      <w:pPr>
        <w:pageBreakBefore w:val="0"/>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overflowPunct/>
        <w:topLinePunct w:val="0"/>
        <w:autoSpaceDE w:val="0"/>
        <w:autoSpaceDN w:val="0"/>
        <w:bidi w:val="0"/>
        <w:spacing w:line="360" w:lineRule="auto"/>
        <w:rPr>
          <w:rFonts w:ascii="宋体" w:hAnsi="宋体" w:cs="宋体"/>
          <w:color w:val="auto"/>
          <w:sz w:val="24"/>
          <w:highlight w:val="none"/>
        </w:rPr>
      </w:pPr>
      <w:r>
        <w:rPr>
          <w:rFonts w:hint="eastAsia" w:ascii="宋体" w:hAnsi="宋体" w:cs="宋体"/>
          <w:color w:val="auto"/>
          <w:sz w:val="24"/>
          <w:highlight w:val="none"/>
        </w:rPr>
        <w:t>注解:A</w:t>
      </w:r>
      <w:r>
        <w:rPr>
          <w:rFonts w:hint="eastAsia" w:ascii="宋体" w:hAnsi="宋体" w:cs="宋体"/>
          <w:color w:val="auto"/>
          <w:sz w:val="24"/>
          <w:highlight w:val="none"/>
        </w:rPr>
        <w:tab/>
      </w:r>
      <w:r>
        <w:rPr>
          <w:rFonts w:hint="eastAsia" w:ascii="宋体" w:hAnsi="宋体" w:cs="宋体"/>
          <w:color w:val="auto"/>
          <w:sz w:val="24"/>
          <w:highlight w:val="none"/>
        </w:rPr>
        <w:t>课程清单按时间顺序排列，并提供以下详细资料：</w:t>
      </w:r>
    </w:p>
    <w:p w14:paraId="13A9F3B2">
      <w:pPr>
        <w:pageBreakBefore w:val="0"/>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overflowPunct/>
        <w:topLinePunct w:val="0"/>
        <w:autoSpaceDE w:val="0"/>
        <w:autoSpaceDN w:val="0"/>
        <w:bidi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课程概要</w:t>
      </w:r>
    </w:p>
    <w:p w14:paraId="1B0E66F9">
      <w:pPr>
        <w:pageBreakBefore w:val="0"/>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overflowPunct/>
        <w:topLinePunct w:val="0"/>
        <w:autoSpaceDE w:val="0"/>
        <w:autoSpaceDN w:val="0"/>
        <w:bidi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课程目的</w:t>
      </w:r>
    </w:p>
    <w:p w14:paraId="68ACEA57">
      <w:pPr>
        <w:pageBreakBefore w:val="0"/>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overflowPunct/>
        <w:topLinePunct w:val="0"/>
        <w:autoSpaceDE w:val="0"/>
        <w:autoSpaceDN w:val="0"/>
        <w:bidi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教学方式</w:t>
      </w:r>
    </w:p>
    <w:p w14:paraId="5E870788">
      <w:pPr>
        <w:pageBreakBefore w:val="0"/>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overflowPunct/>
        <w:topLinePunct w:val="0"/>
        <w:autoSpaceDE w:val="0"/>
        <w:autoSpaceDN w:val="0"/>
        <w:bidi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先决条件</w:t>
      </w:r>
    </w:p>
    <w:p w14:paraId="743DA06F">
      <w:pPr>
        <w:pageBreakBefore w:val="0"/>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overflowPunct/>
        <w:topLinePunct w:val="0"/>
        <w:autoSpaceDE w:val="0"/>
        <w:autoSpaceDN w:val="0"/>
        <w:bidi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教材目录</w:t>
      </w:r>
    </w:p>
    <w:p w14:paraId="482CB709">
      <w:pPr>
        <w:pageBreakBefore w:val="0"/>
        <w:wordWrap w:val="0"/>
        <w:overflowPunct/>
        <w:topLinePunct w:val="0"/>
        <w:autoSpaceDE w:val="0"/>
        <w:autoSpaceDN w:val="0"/>
        <w:bidi w:val="0"/>
        <w:spacing w:line="360" w:lineRule="auto"/>
        <w:rPr>
          <w:rFonts w:ascii="宋体" w:hAnsi="宋体" w:cs="宋体"/>
          <w:color w:val="auto"/>
          <w:sz w:val="24"/>
          <w:highlight w:val="none"/>
        </w:rPr>
      </w:pPr>
      <w:r>
        <w:rPr>
          <w:rFonts w:hint="eastAsia" w:ascii="宋体" w:hAnsi="宋体" w:cs="宋体"/>
          <w:color w:val="auto"/>
          <w:sz w:val="24"/>
          <w:highlight w:val="none"/>
        </w:rPr>
        <w:t>B  按照附表A提供授课教师的简历</w:t>
      </w:r>
    </w:p>
    <w:p w14:paraId="5AEBC3E7">
      <w:pPr>
        <w:pageBreakBefore w:val="0"/>
        <w:wordWrap w:val="0"/>
        <w:overflowPunct/>
        <w:topLinePunct w:val="0"/>
        <w:autoSpaceDE w:val="0"/>
        <w:autoSpaceDN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0B01C623">
      <w:pPr>
        <w:pageBreakBefore w:val="0"/>
        <w:wordWrap w:val="0"/>
        <w:overflowPunct/>
        <w:topLinePunct w:val="0"/>
        <w:autoSpaceDE w:val="0"/>
        <w:autoSpaceDN w:val="0"/>
        <w:bidi w:val="0"/>
        <w:spacing w:line="360" w:lineRule="auto"/>
        <w:ind w:firstLine="4800" w:firstLineChars="2000"/>
        <w:rPr>
          <w:rFonts w:ascii="宋体" w:hAnsi="宋体" w:cs="宋体"/>
          <w:color w:val="auto"/>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 xml:space="preserve">）：                       </w:t>
      </w:r>
    </w:p>
    <w:p w14:paraId="17FB70DA">
      <w:pPr>
        <w:pageBreakBefore w:val="0"/>
        <w:wordWrap w:val="0"/>
        <w:overflowPunct/>
        <w:topLinePunct w:val="0"/>
        <w:autoSpaceDE w:val="0"/>
        <w:autoSpaceDN w:val="0"/>
        <w:bidi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56FCC198">
      <w:pPr>
        <w:pageBreakBefore w:val="0"/>
        <w:wordWrap w:val="0"/>
        <w:overflowPunct/>
        <w:topLinePunct w:val="0"/>
        <w:autoSpaceDE w:val="0"/>
        <w:autoSpaceDN w:val="0"/>
        <w:bidi w:val="0"/>
        <w:spacing w:line="360" w:lineRule="auto"/>
        <w:ind w:firstLine="120"/>
        <w:rPr>
          <w:rFonts w:ascii="宋体" w:hAnsi="宋体" w:cs="宋体"/>
          <w:color w:val="auto"/>
          <w:sz w:val="24"/>
          <w:highlight w:val="none"/>
        </w:rPr>
      </w:pPr>
    </w:p>
    <w:p w14:paraId="4FBE95D5">
      <w:pPr>
        <w:pageBreakBefore w:val="0"/>
        <w:wordWrap w:val="0"/>
        <w:overflowPunct/>
        <w:topLinePunct w:val="0"/>
        <w:bidi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九、认为需要的其他技术文件或说明（如有）</w:t>
      </w:r>
    </w:p>
    <w:p w14:paraId="60910BA2">
      <w:pPr>
        <w:pageBreakBefore w:val="0"/>
        <w:wordWrap w:val="0"/>
        <w:overflowPunct/>
        <w:topLinePunct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0EAA05F8">
      <w:pPr>
        <w:pageBreakBefore w:val="0"/>
        <w:wordWrap w:val="0"/>
        <w:overflowPunct/>
        <w:topLinePunct w:val="0"/>
        <w:bidi w:val="0"/>
        <w:spacing w:line="360" w:lineRule="auto"/>
        <w:jc w:val="center"/>
        <w:rPr>
          <w:rFonts w:ascii="宋体" w:hAnsi="宋体" w:cs="宋体"/>
          <w:color w:val="auto"/>
          <w:sz w:val="24"/>
          <w:highlight w:val="none"/>
        </w:rPr>
      </w:pPr>
    </w:p>
    <w:p w14:paraId="54FB9FF6">
      <w:pPr>
        <w:pageBreakBefore w:val="0"/>
        <w:wordWrap w:val="0"/>
        <w:overflowPunct/>
        <w:topLinePunct w:val="0"/>
        <w:autoSpaceDE w:val="0"/>
        <w:autoSpaceDN w:val="0"/>
        <w:bidi w:val="0"/>
        <w:spacing w:line="360" w:lineRule="auto"/>
        <w:ind w:firstLine="4800" w:firstLineChars="2000"/>
        <w:rPr>
          <w:rFonts w:ascii="宋体" w:hAnsi="宋体" w:cs="宋体"/>
          <w:color w:val="auto"/>
          <w:sz w:val="24"/>
          <w:highlight w:val="none"/>
        </w:rPr>
      </w:pPr>
      <w:r>
        <w:rPr>
          <w:rFonts w:hint="eastAsia" w:ascii="宋体" w:hAnsi="宋体" w:cs="宋体"/>
          <w:color w:val="auto"/>
          <w:kern w:val="0"/>
          <w:sz w:val="24"/>
          <w:highlight w:val="none"/>
        </w:rPr>
        <w:t>投标人名称（电子</w:t>
      </w:r>
      <w:r>
        <w:rPr>
          <w:rFonts w:hint="eastAsia" w:ascii="宋体" w:hAnsi="宋体" w:cs="宋体"/>
          <w:color w:val="auto"/>
          <w:kern w:val="0"/>
          <w:sz w:val="24"/>
          <w:highlight w:val="none"/>
          <w:lang w:val="zh-CN"/>
        </w:rPr>
        <w:t>签章</w:t>
      </w:r>
      <w:r>
        <w:rPr>
          <w:rFonts w:hint="eastAsia" w:ascii="宋体" w:hAnsi="宋体" w:cs="宋体"/>
          <w:color w:val="auto"/>
          <w:kern w:val="0"/>
          <w:sz w:val="24"/>
          <w:highlight w:val="none"/>
        </w:rPr>
        <w:t xml:space="preserve">）：                       </w:t>
      </w:r>
    </w:p>
    <w:p w14:paraId="770A5E50">
      <w:pPr>
        <w:pageBreakBefore w:val="0"/>
        <w:wordWrap w:val="0"/>
        <w:overflowPunct/>
        <w:topLinePunct w:val="0"/>
        <w:autoSpaceDE w:val="0"/>
        <w:autoSpaceDN w:val="0"/>
        <w:bidi w:val="0"/>
        <w:spacing w:line="360" w:lineRule="auto"/>
        <w:rPr>
          <w:rFonts w:ascii="宋体" w:hAnsi="宋体" w:cs="宋体"/>
          <w:b/>
          <w:bCs/>
          <w:color w:val="auto"/>
          <w:sz w:val="30"/>
          <w:szCs w:val="30"/>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47206AA2">
      <w:pPr>
        <w:pageBreakBefore w:val="0"/>
        <w:widowControl/>
        <w:wordWrap w:val="0"/>
        <w:overflowPunct/>
        <w:topLinePunct w:val="0"/>
        <w:bidi w:val="0"/>
        <w:spacing w:line="360" w:lineRule="auto"/>
        <w:jc w:val="left"/>
        <w:rPr>
          <w:rFonts w:ascii="宋体" w:hAnsi="宋体" w:cs="宋体"/>
          <w:b/>
          <w:bCs/>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41BE7455">
      <w:pPr>
        <w:pStyle w:val="14"/>
        <w:pageBreakBefore w:val="0"/>
        <w:wordWrap w:val="0"/>
        <w:overflowPunct/>
        <w:topLinePunct w:val="0"/>
        <w:bidi w:val="0"/>
        <w:spacing w:line="360" w:lineRule="auto"/>
        <w:jc w:val="center"/>
        <w:outlineLvl w:val="1"/>
        <w:rPr>
          <w:rFonts w:hAnsi="宋体" w:cs="宋体"/>
          <w:b/>
          <w:bCs/>
          <w:color w:val="auto"/>
          <w:sz w:val="28"/>
          <w:szCs w:val="28"/>
          <w:highlight w:val="none"/>
        </w:rPr>
      </w:pPr>
      <w:bookmarkStart w:id="286" w:name="_Toc5466"/>
      <w:bookmarkStart w:id="287" w:name="_Toc19686840"/>
      <w:bookmarkStart w:id="288" w:name="_Toc12438"/>
      <w:r>
        <w:rPr>
          <w:rFonts w:hint="eastAsia" w:hAnsi="宋体" w:cs="宋体"/>
          <w:b/>
          <w:bCs/>
          <w:color w:val="auto"/>
          <w:sz w:val="28"/>
          <w:szCs w:val="28"/>
          <w:highlight w:val="none"/>
        </w:rPr>
        <w:t>第五节 报价文件格式</w:t>
      </w:r>
      <w:bookmarkEnd w:id="286"/>
    </w:p>
    <w:p w14:paraId="51D108FE">
      <w:pPr>
        <w:pageBreakBefore w:val="0"/>
        <w:wordWrap w:val="0"/>
        <w:overflowPunct/>
        <w:topLinePunct w:val="0"/>
        <w:bidi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411A7CB2">
      <w:pPr>
        <w:pageBreakBefore w:val="0"/>
        <w:wordWrap w:val="0"/>
        <w:overflowPunct/>
        <w:topLinePunct w:val="0"/>
        <w:bidi w:val="0"/>
        <w:snapToGrid w:val="0"/>
        <w:spacing w:line="360" w:lineRule="auto"/>
        <w:jc w:val="center"/>
        <w:rPr>
          <w:rFonts w:ascii="宋体" w:hAnsi="宋体" w:cs="宋体"/>
          <w:bCs/>
          <w:color w:val="auto"/>
          <w:sz w:val="24"/>
          <w:szCs w:val="20"/>
          <w:highlight w:val="none"/>
        </w:rPr>
      </w:pPr>
    </w:p>
    <w:p w14:paraId="043DA755">
      <w:pPr>
        <w:pageBreakBefore w:val="0"/>
        <w:wordWrap w:val="0"/>
        <w:overflowPunct/>
        <w:topLinePunct w:val="0"/>
        <w:bidi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报价文件（封面）</w:t>
      </w:r>
    </w:p>
    <w:p w14:paraId="4948DEA8">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1EE63603">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32C9EE53">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2C89FB1D">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12A28A74">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7F66CABD">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p>
    <w:p w14:paraId="5504B924">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41204E09">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p>
    <w:p w14:paraId="6FCEF8DB">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w:t>
      </w:r>
    </w:p>
    <w:p w14:paraId="4A343DA0">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p>
    <w:p w14:paraId="28CEFD46">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1A662FBF">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p>
    <w:p w14:paraId="73F25344">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39295718">
      <w:pPr>
        <w:pStyle w:val="10"/>
        <w:pageBreakBefore w:val="0"/>
        <w:wordWrap w:val="0"/>
        <w:overflowPunct/>
        <w:topLinePunct w:val="0"/>
        <w:bidi w:val="0"/>
        <w:snapToGrid w:val="0"/>
        <w:spacing w:line="360" w:lineRule="auto"/>
        <w:ind w:firstLine="960" w:firstLineChars="400"/>
        <w:rPr>
          <w:rFonts w:ascii="宋体" w:hAnsi="宋体" w:cs="宋体"/>
          <w:bCs/>
          <w:color w:val="auto"/>
          <w:sz w:val="24"/>
          <w:szCs w:val="24"/>
          <w:highlight w:val="none"/>
        </w:rPr>
      </w:pPr>
    </w:p>
    <w:p w14:paraId="2D1A36FF">
      <w:pPr>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年  月  日</w:t>
      </w:r>
    </w:p>
    <w:p w14:paraId="6AA5F7DE">
      <w:pPr>
        <w:pageBreakBefore w:val="0"/>
        <w:widowControl/>
        <w:wordWrap w:val="0"/>
        <w:overflowPunct/>
        <w:topLinePunct w:val="0"/>
        <w:bidi w:val="0"/>
        <w:spacing w:line="360" w:lineRule="auto"/>
        <w:jc w:val="left"/>
        <w:rPr>
          <w:rFonts w:ascii="宋体" w:hAnsi="宋体" w:cs="宋体"/>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197D369A">
      <w:pPr>
        <w:pageBreakBefore w:val="0"/>
        <w:wordWrap w:val="0"/>
        <w:overflowPunct/>
        <w:topLinePunct w:val="0"/>
        <w:bidi w:val="0"/>
        <w:spacing w:line="360" w:lineRule="auto"/>
        <w:rPr>
          <w:rFonts w:ascii="宋体" w:hAnsi="宋体" w:cs="宋体"/>
          <w:color w:val="auto"/>
          <w:highlight w:val="none"/>
        </w:rPr>
      </w:pPr>
    </w:p>
    <w:p w14:paraId="3A33B509">
      <w:pPr>
        <w:pageBreakBefore w:val="0"/>
        <w:wordWrap w:val="0"/>
        <w:overflowPunct/>
        <w:topLinePunct w:val="0"/>
        <w:bidi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报价文件目录</w:t>
      </w:r>
    </w:p>
    <w:p w14:paraId="2BEF5EA9">
      <w:pPr>
        <w:pageBreakBefore w:val="0"/>
        <w:wordWrap w:val="0"/>
        <w:overflowPunct/>
        <w:topLinePunct w:val="0"/>
        <w:bidi w:val="0"/>
        <w:spacing w:line="360" w:lineRule="auto"/>
        <w:rPr>
          <w:rFonts w:ascii="宋体" w:hAnsi="宋体" w:cs="宋体"/>
          <w:color w:val="auto"/>
          <w:highlight w:val="none"/>
        </w:rPr>
      </w:pPr>
    </w:p>
    <w:p w14:paraId="512D87F1">
      <w:pPr>
        <w:pageBreakBefore w:val="0"/>
        <w:wordWrap w:val="0"/>
        <w:overflowPunct/>
        <w:topLinePunct w:val="0"/>
        <w:bidi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一、投标函………………………………………………………（页码）</w:t>
      </w:r>
    </w:p>
    <w:p w14:paraId="388F3394">
      <w:pPr>
        <w:pageBreakBefore w:val="0"/>
        <w:wordWrap w:val="0"/>
        <w:overflowPunct/>
        <w:topLinePunct w:val="0"/>
        <w:bidi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二、开标一览表…………………………………………………（页码）</w:t>
      </w:r>
    </w:p>
    <w:p w14:paraId="7B23EB5E">
      <w:pPr>
        <w:pStyle w:val="12"/>
        <w:pageBreakBefore w:val="0"/>
        <w:wordWrap w:val="0"/>
        <w:overflowPunct/>
        <w:topLinePunct w:val="0"/>
        <w:bidi w:val="0"/>
        <w:spacing w:after="0" w:line="360" w:lineRule="auto"/>
        <w:rPr>
          <w:color w:val="auto"/>
          <w:highlight w:val="none"/>
        </w:rPr>
        <w:sectPr>
          <w:pgSz w:w="11906" w:h="16838"/>
          <w:pgMar w:top="1440" w:right="1080" w:bottom="1440" w:left="1080" w:header="720" w:footer="720" w:gutter="0"/>
          <w:pgNumType w:fmt="decimal"/>
          <w:cols w:space="720" w:num="1"/>
          <w:docGrid w:type="lines" w:linePitch="331" w:charSpace="0"/>
        </w:sectPr>
      </w:pPr>
    </w:p>
    <w:p w14:paraId="23D93F5A">
      <w:pPr>
        <w:pStyle w:val="14"/>
        <w:pageBreakBefore w:val="0"/>
        <w:wordWrap w:val="0"/>
        <w:overflowPunct/>
        <w:topLinePunct w:val="0"/>
        <w:bidi w:val="0"/>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一、投标函</w:t>
      </w:r>
    </w:p>
    <w:p w14:paraId="74F8150A">
      <w:pPr>
        <w:pStyle w:val="14"/>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致：</w:t>
      </w:r>
      <w:bookmarkStart w:id="289" w:name="PO_3000001866_PM031_4"/>
      <w:r>
        <w:rPr>
          <w:rFonts w:hint="eastAsia" w:hAnsi="宋体" w:cs="宋体"/>
          <w:color w:val="auto"/>
          <w:highlight w:val="none"/>
          <w:u w:val="single"/>
        </w:rPr>
        <w:t>广西邕政采购代理有限公司</w:t>
      </w:r>
      <w:bookmarkEnd w:id="289"/>
    </w:p>
    <w:p w14:paraId="60484F28">
      <w:pPr>
        <w:pStyle w:val="14"/>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我方已仔细阅读了贵方组织的</w:t>
      </w:r>
      <w:r>
        <w:rPr>
          <w:rFonts w:hint="eastAsia" w:hAnsi="宋体" w:cs="宋体"/>
          <w:color w:val="auto"/>
          <w:szCs w:val="21"/>
          <w:highlight w:val="none"/>
          <w:u w:val="single"/>
        </w:rPr>
        <w:t xml:space="preserve">（项目名称） </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r>
        <w:rPr>
          <w:rFonts w:hint="eastAsia" w:hAnsi="宋体" w:cs="宋体"/>
          <w:color w:val="auto"/>
          <w:highlight w:val="none"/>
        </w:rPr>
        <w:t>）的招标文件的全部内容，授权</w:t>
      </w:r>
      <w:r>
        <w:rPr>
          <w:rFonts w:hint="eastAsia" w:hAnsi="宋体" w:cs="宋体"/>
          <w:color w:val="auto"/>
          <w:highlight w:val="none"/>
          <w:u w:val="single"/>
        </w:rPr>
        <w:t xml:space="preserve">                      </w:t>
      </w:r>
      <w:r>
        <w:rPr>
          <w:rFonts w:hint="eastAsia" w:hAnsi="宋体" w:cs="宋体"/>
          <w:color w:val="auto"/>
          <w:highlight w:val="none"/>
        </w:rPr>
        <w:t>(全权代表姓名)</w:t>
      </w:r>
      <w:r>
        <w:rPr>
          <w:rFonts w:hint="eastAsia" w:hAnsi="宋体" w:cs="宋体"/>
          <w:color w:val="auto"/>
          <w:highlight w:val="none"/>
          <w:u w:val="single"/>
        </w:rPr>
        <w:t xml:space="preserve">          </w:t>
      </w:r>
      <w:r>
        <w:rPr>
          <w:rFonts w:hint="eastAsia" w:hAnsi="宋体" w:cs="宋体"/>
          <w:color w:val="auto"/>
          <w:highlight w:val="none"/>
        </w:rPr>
        <w:t xml:space="preserve"> (职务、职称)为全权代表，现正式递交下述文件参加贵方组织的本次政府采购活动： </w:t>
      </w:r>
    </w:p>
    <w:p w14:paraId="16C8C0DF">
      <w:pPr>
        <w:pStyle w:val="14"/>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一、报价文件电子版一份（包含按投标人须知前附表要求提交的全部文件）；</w:t>
      </w:r>
    </w:p>
    <w:p w14:paraId="4838C6AB">
      <w:pPr>
        <w:pStyle w:val="14"/>
        <w:pageBreakBefore w:val="0"/>
        <w:wordWrap w:val="0"/>
        <w:overflowPunct/>
        <w:topLinePunct w:val="0"/>
        <w:bidi w:val="0"/>
        <w:spacing w:line="360" w:lineRule="auto"/>
        <w:ind w:firstLine="482"/>
        <w:rPr>
          <w:rFonts w:hAnsi="宋体" w:cs="宋体"/>
          <w:color w:val="auto"/>
          <w:highlight w:val="none"/>
        </w:rPr>
      </w:pPr>
      <w:r>
        <w:rPr>
          <w:rFonts w:hint="eastAsia" w:hAnsi="宋体" w:cs="宋体"/>
          <w:color w:val="auto"/>
          <w:highlight w:val="none"/>
        </w:rPr>
        <w:t>二、资格文件电子版一份（包含按投标人须知前附表要求提交的全部文件）；</w:t>
      </w:r>
    </w:p>
    <w:p w14:paraId="50865588">
      <w:pPr>
        <w:pStyle w:val="14"/>
        <w:pageBreakBefore w:val="0"/>
        <w:wordWrap w:val="0"/>
        <w:overflowPunct/>
        <w:topLinePunct w:val="0"/>
        <w:bidi w:val="0"/>
        <w:spacing w:line="360" w:lineRule="auto"/>
        <w:ind w:firstLine="482"/>
        <w:rPr>
          <w:rFonts w:hAnsi="宋体" w:cs="宋体"/>
          <w:color w:val="auto"/>
          <w:highlight w:val="none"/>
        </w:rPr>
      </w:pPr>
      <w:r>
        <w:rPr>
          <w:rFonts w:hint="eastAsia" w:hAnsi="宋体" w:cs="宋体"/>
          <w:color w:val="auto"/>
          <w:highlight w:val="none"/>
        </w:rPr>
        <w:t>三、技术文件电子版一份（包含按投标人须知前附表要求提交的全部文件）；</w:t>
      </w:r>
    </w:p>
    <w:p w14:paraId="178D014D">
      <w:pPr>
        <w:pStyle w:val="14"/>
        <w:pageBreakBefore w:val="0"/>
        <w:wordWrap w:val="0"/>
        <w:overflowPunct/>
        <w:topLinePunct w:val="0"/>
        <w:bidi w:val="0"/>
        <w:spacing w:line="360" w:lineRule="auto"/>
        <w:ind w:firstLine="482"/>
        <w:rPr>
          <w:rFonts w:hAnsi="宋体" w:cs="宋体"/>
          <w:color w:val="auto"/>
          <w:highlight w:val="none"/>
        </w:rPr>
      </w:pPr>
      <w:r>
        <w:rPr>
          <w:rFonts w:hint="eastAsia" w:hAnsi="宋体" w:cs="宋体"/>
          <w:color w:val="auto"/>
          <w:highlight w:val="none"/>
        </w:rPr>
        <w:t>四、商务文件电子版一份（包含按投标人须知前附表要求提交的全部文件）；</w:t>
      </w:r>
    </w:p>
    <w:p w14:paraId="06CD1D62">
      <w:pPr>
        <w:pStyle w:val="14"/>
        <w:pageBreakBefore w:val="0"/>
        <w:wordWrap w:val="0"/>
        <w:overflowPunct/>
        <w:topLinePunct w:val="0"/>
        <w:bidi w:val="0"/>
        <w:spacing w:line="360" w:lineRule="auto"/>
        <w:ind w:firstLine="482"/>
        <w:rPr>
          <w:rFonts w:hAnsi="宋体" w:cs="宋体"/>
          <w:color w:val="auto"/>
          <w:highlight w:val="none"/>
        </w:rPr>
      </w:pPr>
      <w:r>
        <w:rPr>
          <w:rFonts w:hint="eastAsia" w:hAnsi="宋体" w:cs="宋体"/>
          <w:color w:val="auto"/>
          <w:highlight w:val="none"/>
        </w:rPr>
        <w:t>据此函，签字人兹宣布：</w:t>
      </w:r>
    </w:p>
    <w:p w14:paraId="05E484E2">
      <w:pPr>
        <w:pStyle w:val="14"/>
        <w:pageBreakBefore w:val="0"/>
        <w:overflowPunct/>
        <w:topLinePunct w:val="0"/>
        <w:bidi w:val="0"/>
        <w:spacing w:line="360" w:lineRule="auto"/>
        <w:ind w:firstLine="420" w:firstLineChars="200"/>
        <w:rPr>
          <w:rFonts w:ascii="Times New Roman" w:hAnsi="Times New Roman"/>
          <w:color w:val="auto"/>
          <w:sz w:val="21"/>
          <w:szCs w:val="21"/>
          <w:highlight w:val="none"/>
        </w:rPr>
      </w:pPr>
      <w:r>
        <w:rPr>
          <w:rFonts w:hint="eastAsia" w:ascii="Times New Roman" w:hAnsi="Times New Roman"/>
          <w:color w:val="auto"/>
          <w:sz w:val="21"/>
          <w:szCs w:val="21"/>
          <w:highlight w:val="none"/>
        </w:rPr>
        <w:t>1、我方愿意以（大写）人民币</w:t>
      </w:r>
      <w:r>
        <w:rPr>
          <w:rFonts w:hint="eastAsia"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rPr>
        <w:t>元 (¥</w:t>
      </w:r>
      <w:r>
        <w:rPr>
          <w:rFonts w:hint="eastAsia"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rPr>
        <w:t>元)的投标总报价，服务时间（无分标时填写）</w:t>
      </w:r>
      <w:r>
        <w:rPr>
          <w:rFonts w:hint="eastAsia"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rPr>
        <w:t>，提供本项目招标文件第二章“服务需求”中的相应的采购内容。</w:t>
      </w:r>
    </w:p>
    <w:p w14:paraId="2238B376">
      <w:pPr>
        <w:pStyle w:val="14"/>
        <w:pageBreakBefore w:val="0"/>
        <w:overflowPunct/>
        <w:topLinePunct w:val="0"/>
        <w:bidi w:val="0"/>
        <w:spacing w:line="360" w:lineRule="auto"/>
        <w:ind w:firstLine="420" w:firstLineChars="200"/>
        <w:rPr>
          <w:rFonts w:ascii="Times New Roman" w:hAnsi="Times New Roman"/>
          <w:color w:val="auto"/>
          <w:sz w:val="21"/>
          <w:szCs w:val="21"/>
          <w:highlight w:val="none"/>
        </w:rPr>
      </w:pPr>
      <w:r>
        <w:rPr>
          <w:rFonts w:hint="eastAsia"/>
          <w:color w:val="auto"/>
          <w:sz w:val="21"/>
          <w:szCs w:val="21"/>
          <w:highlight w:val="none"/>
        </w:rPr>
        <w:t>其中（有分标时填写）：</w:t>
      </w:r>
    </w:p>
    <w:p w14:paraId="17D010F0">
      <w:pPr>
        <w:pStyle w:val="14"/>
        <w:pageBreakBefore w:val="0"/>
        <w:overflowPunct/>
        <w:topLinePunct w:val="0"/>
        <w:bidi w:val="0"/>
        <w:spacing w:line="360" w:lineRule="auto"/>
        <w:ind w:firstLine="420" w:firstLineChars="200"/>
        <w:rPr>
          <w:color w:val="auto"/>
          <w:sz w:val="21"/>
          <w:szCs w:val="21"/>
          <w:highlight w:val="none"/>
          <w:u w:val="single"/>
        </w:rPr>
      </w:pPr>
      <w:r>
        <w:rPr>
          <w:rFonts w:hint="eastAsia"/>
          <w:color w:val="auto"/>
          <w:sz w:val="21"/>
          <w:szCs w:val="21"/>
          <w:highlight w:val="none"/>
          <w:u w:val="single"/>
        </w:rPr>
        <w:t xml:space="preserve">  </w:t>
      </w:r>
      <w:r>
        <w:rPr>
          <w:rFonts w:hint="eastAsia"/>
          <w:color w:val="auto"/>
          <w:sz w:val="21"/>
          <w:szCs w:val="21"/>
          <w:highlight w:val="none"/>
        </w:rPr>
        <w:t>分标报价为（大写）人民币</w:t>
      </w:r>
      <w:r>
        <w:rPr>
          <w:rFonts w:hint="eastAsia"/>
          <w:color w:val="auto"/>
          <w:sz w:val="21"/>
          <w:szCs w:val="21"/>
          <w:highlight w:val="none"/>
          <w:u w:val="single"/>
        </w:rPr>
        <w:t xml:space="preserve">              </w:t>
      </w:r>
      <w:r>
        <w:rPr>
          <w:rFonts w:hint="eastAsia"/>
          <w:color w:val="auto"/>
          <w:sz w:val="21"/>
          <w:szCs w:val="21"/>
          <w:highlight w:val="none"/>
        </w:rPr>
        <w:t>元 (</w:t>
      </w:r>
      <w:r>
        <w:rPr>
          <w:rFonts w:hint="eastAsia" w:hAnsi="宋体" w:cs="宋体"/>
          <w:color w:val="auto"/>
          <w:highlight w:val="none"/>
        </w:rPr>
        <w:t>¥</w:t>
      </w:r>
      <w:r>
        <w:rPr>
          <w:rFonts w:hint="eastAsia"/>
          <w:color w:val="auto"/>
          <w:sz w:val="21"/>
          <w:szCs w:val="21"/>
          <w:highlight w:val="none"/>
          <w:u w:val="single"/>
        </w:rPr>
        <w:t xml:space="preserve">          </w:t>
      </w:r>
      <w:r>
        <w:rPr>
          <w:rFonts w:hint="eastAsia"/>
          <w:color w:val="auto"/>
          <w:sz w:val="21"/>
          <w:szCs w:val="21"/>
          <w:highlight w:val="none"/>
        </w:rPr>
        <w:t>元)，</w:t>
      </w:r>
      <w:r>
        <w:rPr>
          <w:rFonts w:hint="eastAsia" w:ascii="宋体" w:hAnsi="Times New Roman" w:eastAsia="宋体" w:cs="宋体"/>
          <w:color w:val="auto"/>
          <w:szCs w:val="21"/>
          <w:highlight w:val="none"/>
          <w:lang w:bidi="ar"/>
        </w:rPr>
        <w:t>服务时间</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rPr>
        <w:t>；</w:t>
      </w:r>
    </w:p>
    <w:p w14:paraId="09052AC6">
      <w:pPr>
        <w:pStyle w:val="14"/>
        <w:pageBreakBefore w:val="0"/>
        <w:overflowPunct/>
        <w:topLinePunct w:val="0"/>
        <w:bidi w:val="0"/>
        <w:spacing w:line="360" w:lineRule="auto"/>
        <w:ind w:firstLine="420" w:firstLineChars="200"/>
        <w:rPr>
          <w:rFonts w:hint="eastAsia"/>
          <w:color w:val="auto"/>
          <w:sz w:val="21"/>
          <w:szCs w:val="21"/>
          <w:highlight w:val="none"/>
          <w:u w:val="single"/>
        </w:rPr>
      </w:pPr>
      <w:r>
        <w:rPr>
          <w:rFonts w:hint="eastAsia"/>
          <w:color w:val="auto"/>
          <w:sz w:val="21"/>
          <w:szCs w:val="21"/>
          <w:highlight w:val="none"/>
          <w:u w:val="single"/>
        </w:rPr>
        <w:t xml:space="preserve">  </w:t>
      </w:r>
      <w:r>
        <w:rPr>
          <w:rFonts w:hint="eastAsia"/>
          <w:color w:val="auto"/>
          <w:sz w:val="21"/>
          <w:szCs w:val="21"/>
          <w:highlight w:val="none"/>
        </w:rPr>
        <w:t>分标报价为（大写）人民币</w:t>
      </w:r>
      <w:r>
        <w:rPr>
          <w:rFonts w:hint="eastAsia"/>
          <w:color w:val="auto"/>
          <w:sz w:val="21"/>
          <w:szCs w:val="21"/>
          <w:highlight w:val="none"/>
          <w:u w:val="single"/>
        </w:rPr>
        <w:t xml:space="preserve">              </w:t>
      </w:r>
      <w:r>
        <w:rPr>
          <w:rFonts w:hint="eastAsia"/>
          <w:color w:val="auto"/>
          <w:sz w:val="21"/>
          <w:szCs w:val="21"/>
          <w:highlight w:val="none"/>
        </w:rPr>
        <w:t>元 (</w:t>
      </w:r>
      <w:r>
        <w:rPr>
          <w:rFonts w:hint="eastAsia" w:hAnsi="宋体" w:cs="宋体"/>
          <w:color w:val="auto"/>
          <w:highlight w:val="none"/>
        </w:rPr>
        <w:t>¥</w:t>
      </w:r>
      <w:r>
        <w:rPr>
          <w:rFonts w:hint="eastAsia"/>
          <w:color w:val="auto"/>
          <w:sz w:val="21"/>
          <w:szCs w:val="21"/>
          <w:highlight w:val="none"/>
          <w:u w:val="single"/>
        </w:rPr>
        <w:t xml:space="preserve">          </w:t>
      </w:r>
      <w:r>
        <w:rPr>
          <w:rFonts w:hint="eastAsia"/>
          <w:color w:val="auto"/>
          <w:sz w:val="21"/>
          <w:szCs w:val="21"/>
          <w:highlight w:val="none"/>
        </w:rPr>
        <w:t>元)，</w:t>
      </w:r>
      <w:r>
        <w:rPr>
          <w:rFonts w:hint="eastAsia" w:ascii="宋体" w:hAnsi="Times New Roman" w:eastAsia="宋体" w:cs="宋体"/>
          <w:color w:val="auto"/>
          <w:szCs w:val="21"/>
          <w:highlight w:val="none"/>
          <w:lang w:bidi="ar"/>
        </w:rPr>
        <w:t>服务时间</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rPr>
        <w:t>；</w:t>
      </w:r>
    </w:p>
    <w:p w14:paraId="3D6CD4A0">
      <w:pPr>
        <w:pStyle w:val="14"/>
        <w:pageBreakBefore w:val="0"/>
        <w:overflowPunct/>
        <w:topLinePunct w:val="0"/>
        <w:bidi w:val="0"/>
        <w:spacing w:line="360" w:lineRule="auto"/>
        <w:ind w:firstLine="420" w:firstLineChars="200"/>
        <w:rPr>
          <w:rFonts w:hint="eastAsia"/>
          <w:color w:val="auto"/>
          <w:sz w:val="21"/>
          <w:szCs w:val="21"/>
          <w:highlight w:val="none"/>
          <w:u w:val="single"/>
        </w:rPr>
      </w:pPr>
      <w:r>
        <w:rPr>
          <w:rFonts w:hint="eastAsia"/>
          <w:color w:val="auto"/>
          <w:sz w:val="21"/>
          <w:szCs w:val="21"/>
          <w:highlight w:val="none"/>
        </w:rPr>
        <w:t>......</w:t>
      </w:r>
    </w:p>
    <w:p w14:paraId="1BCD6EF7">
      <w:pPr>
        <w:pStyle w:val="14"/>
        <w:pageBreakBefore w:val="0"/>
        <w:wordWrap w:val="0"/>
        <w:overflowPunct/>
        <w:topLinePunct w:val="0"/>
        <w:bidi w:val="0"/>
        <w:spacing w:line="360" w:lineRule="auto"/>
        <w:ind w:firstLine="420" w:firstLineChars="200"/>
        <w:rPr>
          <w:rFonts w:hAnsi="宋体" w:cs="宋体"/>
          <w:color w:val="auto"/>
          <w:highlight w:val="none"/>
          <w:u w:val="single"/>
        </w:rPr>
      </w:pPr>
      <w:r>
        <w:rPr>
          <w:rFonts w:hint="eastAsia" w:hAnsi="宋体" w:cs="宋体"/>
          <w:color w:val="auto"/>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420AF037">
      <w:pPr>
        <w:pStyle w:val="14"/>
        <w:pageBreakBefore w:val="0"/>
        <w:wordWrap w:val="0"/>
        <w:overflowPunct/>
        <w:topLinePunct w:val="0"/>
        <w:bidi w:val="0"/>
        <w:spacing w:line="360" w:lineRule="auto"/>
        <w:ind w:firstLine="420" w:firstLineChars="200"/>
        <w:rPr>
          <w:rFonts w:hAnsi="宋体" w:cs="宋体"/>
          <w:color w:val="auto"/>
          <w:highlight w:val="none"/>
          <w:u w:val="single"/>
        </w:rPr>
      </w:pPr>
      <w:r>
        <w:rPr>
          <w:rFonts w:hint="eastAsia" w:hAnsi="宋体" w:cs="宋体"/>
          <w:color w:val="auto"/>
          <w:highlight w:val="none"/>
        </w:rPr>
        <w:t>3、我方所递交的投标文件及有关资料都是内容完整、真实和准确的。</w:t>
      </w:r>
    </w:p>
    <w:p w14:paraId="2848367B">
      <w:pPr>
        <w:pStyle w:val="14"/>
        <w:pageBreakBefore w:val="0"/>
        <w:wordWrap w:val="0"/>
        <w:overflowPunct/>
        <w:topLinePunct w:val="0"/>
        <w:bidi w:val="0"/>
        <w:spacing w:line="360" w:lineRule="auto"/>
        <w:ind w:firstLine="482"/>
        <w:rPr>
          <w:rFonts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如本项目采购内容涉及须符合国家强制规定的，我方承诺我方本次投标（包括资格条件和所投产品）均符合国家有关强制规定。</w:t>
      </w:r>
    </w:p>
    <w:p w14:paraId="10B06AEB">
      <w:pPr>
        <w:pStyle w:val="14"/>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21FC0924">
      <w:pPr>
        <w:pStyle w:val="14"/>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6、我方已详细审核招标文件，我方知道必须放弃提出含糊不清或误解问题的权利。</w:t>
      </w:r>
    </w:p>
    <w:p w14:paraId="6FA195DF">
      <w:pPr>
        <w:pStyle w:val="14"/>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7、我方同意应贵方要求提供与本投标有关的任何数据或资料。若贵方需要，我方愿意提供我方作出的一切承诺的证明材料。</w:t>
      </w:r>
    </w:p>
    <w:p w14:paraId="320705AC">
      <w:pPr>
        <w:pStyle w:val="14"/>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8、我方完全理解贵方不一定接受投标报价最低的投标人为中标供应商的行为。</w:t>
      </w:r>
    </w:p>
    <w:p w14:paraId="66EB3686">
      <w:pPr>
        <w:pStyle w:val="14"/>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11B36D">
      <w:pPr>
        <w:pStyle w:val="14"/>
        <w:pageBreakBefore w:val="0"/>
        <w:numPr>
          <w:ilvl w:val="0"/>
          <w:numId w:val="7"/>
        </w:numPr>
        <w:tabs>
          <w:tab w:val="left" w:pos="1140"/>
        </w:tabs>
        <w:wordWrap w:val="0"/>
        <w:overflowPunct/>
        <w:topLinePunct w:val="0"/>
        <w:bidi w:val="0"/>
        <w:spacing w:line="360" w:lineRule="auto"/>
        <w:rPr>
          <w:rFonts w:hAnsi="宋体" w:cs="宋体"/>
          <w:color w:val="auto"/>
          <w:highlight w:val="none"/>
        </w:rPr>
      </w:pPr>
      <w:r>
        <w:rPr>
          <w:rFonts w:hint="eastAsia" w:hAnsi="宋体" w:cs="宋体"/>
          <w:color w:val="auto"/>
          <w:highlight w:val="none"/>
        </w:rPr>
        <w:t>提供虚假材料谋取中标、成交的；</w:t>
      </w:r>
    </w:p>
    <w:p w14:paraId="62E3E040">
      <w:pPr>
        <w:pStyle w:val="14"/>
        <w:pageBreakBefore w:val="0"/>
        <w:numPr>
          <w:ilvl w:val="0"/>
          <w:numId w:val="7"/>
        </w:numPr>
        <w:tabs>
          <w:tab w:val="left" w:pos="1140"/>
        </w:tabs>
        <w:wordWrap w:val="0"/>
        <w:overflowPunct/>
        <w:topLinePunct w:val="0"/>
        <w:bidi w:val="0"/>
        <w:spacing w:line="360" w:lineRule="auto"/>
        <w:rPr>
          <w:rFonts w:hAnsi="宋体" w:cs="宋体"/>
          <w:color w:val="auto"/>
          <w:highlight w:val="none"/>
        </w:rPr>
      </w:pPr>
      <w:r>
        <w:rPr>
          <w:rFonts w:hint="eastAsia" w:hAnsi="宋体" w:cs="宋体"/>
          <w:color w:val="auto"/>
          <w:highlight w:val="none"/>
        </w:rPr>
        <w:t>采取不正当手段诋毁、排挤其他供应商的；</w:t>
      </w:r>
    </w:p>
    <w:p w14:paraId="714E70B4">
      <w:pPr>
        <w:pStyle w:val="14"/>
        <w:pageBreakBefore w:val="0"/>
        <w:numPr>
          <w:ilvl w:val="0"/>
          <w:numId w:val="7"/>
        </w:numPr>
        <w:tabs>
          <w:tab w:val="left" w:pos="1140"/>
        </w:tabs>
        <w:wordWrap w:val="0"/>
        <w:overflowPunct/>
        <w:topLinePunct w:val="0"/>
        <w:bidi w:val="0"/>
        <w:spacing w:line="360" w:lineRule="auto"/>
        <w:rPr>
          <w:rFonts w:hAnsi="宋体" w:cs="宋体"/>
          <w:color w:val="auto"/>
          <w:highlight w:val="none"/>
        </w:rPr>
      </w:pPr>
      <w:r>
        <w:rPr>
          <w:rFonts w:hint="eastAsia" w:hAnsi="宋体" w:cs="宋体"/>
          <w:color w:val="auto"/>
          <w:highlight w:val="none"/>
        </w:rPr>
        <w:t>与采购人、其他供应商或者采购代理机构恶意串通的；</w:t>
      </w:r>
    </w:p>
    <w:p w14:paraId="4BF775A6">
      <w:pPr>
        <w:pStyle w:val="14"/>
        <w:pageBreakBefore w:val="0"/>
        <w:numPr>
          <w:ilvl w:val="0"/>
          <w:numId w:val="7"/>
        </w:numPr>
        <w:tabs>
          <w:tab w:val="left" w:pos="1140"/>
        </w:tabs>
        <w:wordWrap w:val="0"/>
        <w:overflowPunct/>
        <w:topLinePunct w:val="0"/>
        <w:bidi w:val="0"/>
        <w:spacing w:line="360" w:lineRule="auto"/>
        <w:rPr>
          <w:rFonts w:hAnsi="宋体" w:cs="宋体"/>
          <w:color w:val="auto"/>
          <w:highlight w:val="none"/>
        </w:rPr>
      </w:pPr>
      <w:r>
        <w:rPr>
          <w:rFonts w:hint="eastAsia" w:hAnsi="宋体" w:cs="宋体"/>
          <w:color w:val="auto"/>
          <w:highlight w:val="none"/>
        </w:rPr>
        <w:t>向采购人、采购代理机构行贿或者提供其他不正当利益的；</w:t>
      </w:r>
    </w:p>
    <w:p w14:paraId="739EB051">
      <w:pPr>
        <w:pStyle w:val="14"/>
        <w:pageBreakBefore w:val="0"/>
        <w:numPr>
          <w:ilvl w:val="0"/>
          <w:numId w:val="7"/>
        </w:numPr>
        <w:tabs>
          <w:tab w:val="left" w:pos="1140"/>
        </w:tabs>
        <w:wordWrap w:val="0"/>
        <w:overflowPunct/>
        <w:topLinePunct w:val="0"/>
        <w:bidi w:val="0"/>
        <w:spacing w:line="360" w:lineRule="auto"/>
        <w:rPr>
          <w:rFonts w:hAnsi="宋体" w:cs="宋体"/>
          <w:color w:val="auto"/>
          <w:highlight w:val="none"/>
        </w:rPr>
      </w:pPr>
      <w:r>
        <w:rPr>
          <w:rFonts w:hint="eastAsia" w:hAnsi="宋体" w:cs="宋体"/>
          <w:color w:val="auto"/>
          <w:highlight w:val="none"/>
        </w:rPr>
        <w:t>在招标采购过程中与采购人进行协商谈判的；</w:t>
      </w:r>
    </w:p>
    <w:p w14:paraId="1A43CABF">
      <w:pPr>
        <w:pStyle w:val="14"/>
        <w:pageBreakBefore w:val="0"/>
        <w:numPr>
          <w:ilvl w:val="0"/>
          <w:numId w:val="7"/>
        </w:numPr>
        <w:tabs>
          <w:tab w:val="left" w:pos="1140"/>
        </w:tabs>
        <w:wordWrap w:val="0"/>
        <w:overflowPunct/>
        <w:topLinePunct w:val="0"/>
        <w:bidi w:val="0"/>
        <w:spacing w:line="360" w:lineRule="auto"/>
        <w:rPr>
          <w:rFonts w:hAnsi="宋体" w:cs="宋体"/>
          <w:color w:val="auto"/>
          <w:highlight w:val="none"/>
        </w:rPr>
      </w:pPr>
      <w:r>
        <w:rPr>
          <w:rFonts w:hint="eastAsia" w:hAnsi="宋体" w:cs="宋体"/>
          <w:color w:val="auto"/>
          <w:highlight w:val="none"/>
        </w:rPr>
        <w:t>拒绝有关部门监督检查或提供虚假情况的。</w:t>
      </w:r>
    </w:p>
    <w:p w14:paraId="6DF3C93C">
      <w:pPr>
        <w:pStyle w:val="14"/>
        <w:pageBreakBefore w:val="0"/>
        <w:wordWrap w:val="0"/>
        <w:overflowPunct/>
        <w:topLinePunct w:val="0"/>
        <w:bidi w:val="0"/>
        <w:spacing w:line="360" w:lineRule="auto"/>
        <w:ind w:left="420"/>
        <w:rPr>
          <w:rFonts w:hAnsi="宋体" w:cs="宋体"/>
          <w:color w:val="auto"/>
          <w:highlight w:val="none"/>
        </w:rPr>
      </w:pPr>
      <w:r>
        <w:rPr>
          <w:rFonts w:hint="eastAsia" w:hAnsi="宋体" w:cs="宋体"/>
          <w:color w:val="auto"/>
          <w:highlight w:val="none"/>
        </w:rPr>
        <w:t>10、我方及由本人担任法定代表人的其他机构最近三年内被处罚的违法行为有：</w:t>
      </w:r>
      <w:r>
        <w:rPr>
          <w:rFonts w:hint="eastAsia" w:hAnsi="宋体" w:cs="宋体"/>
          <w:color w:val="auto"/>
          <w:highlight w:val="none"/>
          <w:u w:val="single"/>
        </w:rPr>
        <w:t xml:space="preserve">                   </w:t>
      </w:r>
    </w:p>
    <w:p w14:paraId="0B66377F">
      <w:pPr>
        <w:pStyle w:val="14"/>
        <w:pageBreakBefore w:val="0"/>
        <w:wordWrap w:val="0"/>
        <w:overflowPunct/>
        <w:topLinePunct w:val="0"/>
        <w:bidi w:val="0"/>
        <w:spacing w:line="360" w:lineRule="auto"/>
        <w:ind w:left="420"/>
        <w:rPr>
          <w:rFonts w:hAnsi="宋体" w:cs="宋体"/>
          <w:color w:val="auto"/>
          <w:highlight w:val="none"/>
        </w:rPr>
      </w:pPr>
      <w:r>
        <w:rPr>
          <w:rFonts w:hint="eastAsia" w:hAnsi="宋体" w:cs="宋体"/>
          <w:color w:val="auto"/>
          <w:highlight w:val="none"/>
          <w:u w:val="single"/>
        </w:rPr>
        <w:t xml:space="preserve">                                                                                                                        </w:t>
      </w:r>
    </w:p>
    <w:p w14:paraId="44928E87">
      <w:pPr>
        <w:pStyle w:val="14"/>
        <w:pageBreakBefore w:val="0"/>
        <w:wordWrap w:val="0"/>
        <w:overflowPunct/>
        <w:topLinePunct w:val="0"/>
        <w:bidi w:val="0"/>
        <w:spacing w:line="360" w:lineRule="auto"/>
        <w:ind w:firstLine="420"/>
        <w:rPr>
          <w:rFonts w:hAnsi="宋体" w:cs="宋体"/>
          <w:color w:val="auto"/>
          <w:highlight w:val="none"/>
        </w:rPr>
      </w:pPr>
      <w:r>
        <w:rPr>
          <w:rFonts w:hint="eastAsia" w:hAnsi="宋体" w:cs="宋体"/>
          <w:color w:val="auto"/>
          <w:highlight w:val="none"/>
        </w:rPr>
        <w:t>11、以上事项如有虚假或隐瞒，我方愿意承担一切后果，并不再寻求任何旨在减轻或免除法律责任的辩解。</w:t>
      </w:r>
    </w:p>
    <w:p w14:paraId="683B0125">
      <w:pPr>
        <w:pStyle w:val="14"/>
        <w:pageBreakBefore w:val="0"/>
        <w:wordWrap w:val="0"/>
        <w:overflowPunct/>
        <w:topLinePunct w:val="0"/>
        <w:bidi w:val="0"/>
        <w:spacing w:line="360" w:lineRule="auto"/>
        <w:ind w:firstLine="420"/>
        <w:rPr>
          <w:rFonts w:hAnsi="宋体" w:cs="宋体"/>
          <w:color w:val="auto"/>
          <w:highlight w:val="none"/>
        </w:rPr>
      </w:pPr>
      <w:r>
        <w:rPr>
          <w:rFonts w:hint="eastAsia" w:hAnsi="宋体" w:cs="宋体"/>
          <w:color w:val="auto"/>
          <w:highlight w:val="none"/>
        </w:rPr>
        <w:t>12、与本投标有关的一切正式往来信函请寄：</w:t>
      </w:r>
      <w:r>
        <w:rPr>
          <w:rFonts w:hint="eastAsia" w:hAnsi="宋体" w:cs="宋体"/>
          <w:color w:val="auto"/>
          <w:highlight w:val="none"/>
          <w:u w:val="single"/>
        </w:rPr>
        <w:t xml:space="preserve"> </w:t>
      </w:r>
    </w:p>
    <w:p w14:paraId="348AE992">
      <w:pPr>
        <w:pStyle w:val="14"/>
        <w:pageBreakBefore w:val="0"/>
        <w:wordWrap w:val="0"/>
        <w:overflowPunct/>
        <w:topLinePunct w:val="0"/>
        <w:bidi w:val="0"/>
        <w:spacing w:line="360" w:lineRule="auto"/>
        <w:ind w:firstLine="420"/>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25D6125C">
      <w:pPr>
        <w:pStyle w:val="14"/>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p>
    <w:p w14:paraId="284DC543">
      <w:pPr>
        <w:pStyle w:val="14"/>
        <w:pageBreakBefore w:val="0"/>
        <w:wordWrap w:val="0"/>
        <w:overflowPunct/>
        <w:topLinePunct w:val="0"/>
        <w:bidi w:val="0"/>
        <w:spacing w:line="360" w:lineRule="auto"/>
        <w:ind w:firstLine="420"/>
        <w:rPr>
          <w:rFonts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w:t>
      </w:r>
    </w:p>
    <w:p w14:paraId="114BE6F6">
      <w:pPr>
        <w:pStyle w:val="14"/>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邮政编码：</w:t>
      </w:r>
      <w:r>
        <w:rPr>
          <w:rFonts w:hint="eastAsia" w:hAnsi="宋体" w:cs="宋体"/>
          <w:color w:val="auto"/>
          <w:highlight w:val="none"/>
          <w:u w:val="single"/>
        </w:rPr>
        <w:t xml:space="preserve">                                                    </w:t>
      </w:r>
    </w:p>
    <w:p w14:paraId="3801F723">
      <w:pPr>
        <w:pStyle w:val="14"/>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开户名称：</w:t>
      </w:r>
      <w:r>
        <w:rPr>
          <w:rFonts w:hint="eastAsia" w:hAnsi="宋体" w:cs="宋体"/>
          <w:color w:val="auto"/>
          <w:highlight w:val="none"/>
          <w:u w:val="single"/>
        </w:rPr>
        <w:t xml:space="preserve">                                                    </w:t>
      </w:r>
    </w:p>
    <w:p w14:paraId="7AC913E1">
      <w:pPr>
        <w:pStyle w:val="14"/>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                                                    </w:t>
      </w:r>
    </w:p>
    <w:p w14:paraId="4E50C956">
      <w:pPr>
        <w:pStyle w:val="14"/>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银行账号：</w:t>
      </w:r>
      <w:r>
        <w:rPr>
          <w:rFonts w:hint="eastAsia" w:hAnsi="宋体" w:cs="宋体"/>
          <w:color w:val="auto"/>
          <w:highlight w:val="none"/>
          <w:u w:val="single"/>
        </w:rPr>
        <w:t xml:space="preserve">                                                    </w:t>
      </w:r>
    </w:p>
    <w:p w14:paraId="76E233CE">
      <w:pPr>
        <w:pageBreakBefore w:val="0"/>
        <w:wordWrap w:val="0"/>
        <w:overflowPunct/>
        <w:topLinePunct w:val="0"/>
        <w:bidi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4142086E">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CF2363E">
      <w:pPr>
        <w:pageBreakBefore w:val="0"/>
        <w:widowControl/>
        <w:wordWrap w:val="0"/>
        <w:overflowPunct/>
        <w:topLinePunct w:val="0"/>
        <w:bidi w:val="0"/>
        <w:spacing w:line="360" w:lineRule="auto"/>
        <w:jc w:val="left"/>
        <w:rPr>
          <w:rFonts w:ascii="宋体" w:hAnsi="宋体" w:cs="宋体"/>
          <w:color w:val="auto"/>
          <w:kern w:val="0"/>
          <w:sz w:val="24"/>
          <w:highlight w:val="none"/>
          <w:lang w:val="zh-CN"/>
        </w:rPr>
        <w:sectPr>
          <w:pgSz w:w="11906" w:h="16838"/>
          <w:pgMar w:top="1440" w:right="1080" w:bottom="1440" w:left="1080" w:header="720" w:footer="720" w:gutter="0"/>
          <w:pgNumType w:fmt="decimal"/>
          <w:cols w:space="720" w:num="1"/>
          <w:docGrid w:type="lines" w:linePitch="331" w:charSpace="0"/>
        </w:sectPr>
      </w:pPr>
    </w:p>
    <w:p w14:paraId="76653486">
      <w:pPr>
        <w:pStyle w:val="14"/>
        <w:pageBreakBefore w:val="0"/>
        <w:numPr>
          <w:ilvl w:val="0"/>
          <w:numId w:val="0"/>
        </w:numPr>
        <w:wordWrap w:val="0"/>
        <w:overflowPunct/>
        <w:topLinePunct w:val="0"/>
        <w:bidi w:val="0"/>
        <w:spacing w:line="360" w:lineRule="auto"/>
        <w:jc w:val="center"/>
        <w:rPr>
          <w:rFonts w:hint="eastAsia" w:hAnsi="宋体" w:cs="宋体"/>
          <w:b/>
          <w:color w:val="auto"/>
          <w:kern w:val="0"/>
          <w:sz w:val="24"/>
          <w:highlight w:val="none"/>
          <w:lang w:val="zh-CN"/>
        </w:rPr>
      </w:pPr>
      <w:r>
        <w:rPr>
          <w:rFonts w:hint="eastAsia" w:ascii="宋体" w:hAnsi="宋体" w:eastAsia="宋体" w:cs="宋体"/>
          <w:b/>
          <w:color w:val="auto"/>
          <w:kern w:val="0"/>
          <w:sz w:val="24"/>
          <w:szCs w:val="20"/>
          <w:highlight w:val="none"/>
          <w:lang w:val="zh-CN" w:eastAsia="zh-CN" w:bidi="ar-SA"/>
        </w:rPr>
        <w:t>二、</w:t>
      </w:r>
      <w:r>
        <w:rPr>
          <w:rFonts w:hint="eastAsia" w:hAnsi="宋体" w:cs="宋体"/>
          <w:b/>
          <w:color w:val="auto"/>
          <w:sz w:val="30"/>
          <w:szCs w:val="30"/>
          <w:highlight w:val="none"/>
        </w:rPr>
        <w:t>开标一览表</w:t>
      </w:r>
      <w:r>
        <w:rPr>
          <w:rFonts w:hint="eastAsia" w:hAnsi="宋体" w:cs="宋体"/>
          <w:b/>
          <w:color w:val="auto"/>
          <w:kern w:val="0"/>
          <w:sz w:val="24"/>
          <w:highlight w:val="none"/>
          <w:lang w:val="zh-CN"/>
        </w:rPr>
        <w:t>(单位均为人民币元)</w:t>
      </w:r>
    </w:p>
    <w:p w14:paraId="3C9504E4">
      <w:pPr>
        <w:pStyle w:val="9"/>
        <w:numPr>
          <w:ilvl w:val="0"/>
          <w:numId w:val="0"/>
        </w:numPr>
        <w:rPr>
          <w:color w:val="auto"/>
          <w:highlight w:val="none"/>
        </w:rPr>
      </w:pPr>
    </w:p>
    <w:p w14:paraId="79BCB037">
      <w:pPr>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08EA9A3">
      <w:pPr>
        <w:pageBreakBefore w:val="0"/>
        <w:wordWrap w:val="0"/>
        <w:overflowPunct/>
        <w:topLinePunct w:val="0"/>
        <w:bidi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778C0E81">
      <w:pPr>
        <w:pStyle w:val="14"/>
        <w:keepNext w:val="0"/>
        <w:keepLines w:val="0"/>
        <w:pageBreakBefore w:val="0"/>
        <w:widowControl w:val="0"/>
        <w:kinsoku/>
        <w:wordWrap w:val="0"/>
        <w:overflowPunct/>
        <w:topLinePunct w:val="0"/>
        <w:autoSpaceDE/>
        <w:autoSpaceDN/>
        <w:bidi w:val="0"/>
        <w:adjustRightInd/>
        <w:snapToGrid/>
        <w:spacing w:line="360" w:lineRule="auto"/>
        <w:ind w:left="0" w:firstLine="0" w:firstLineChars="0"/>
        <w:textAlignment w:val="auto"/>
        <w:rPr>
          <w:rFonts w:hint="eastAsia" w:hAnsi="宋体" w:cs="宋体"/>
          <w:color w:val="auto"/>
          <w:sz w:val="24"/>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700FDB98">
      <w:pPr>
        <w:rPr>
          <w:rFonts w:hint="eastAsia"/>
          <w:color w:val="auto"/>
          <w:highlight w:val="none"/>
        </w:rPr>
      </w:pPr>
    </w:p>
    <w:tbl>
      <w:tblPr>
        <w:tblStyle w:val="22"/>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888"/>
        <w:gridCol w:w="1026"/>
      </w:tblGrid>
      <w:tr w14:paraId="6FFD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4746608">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7AEBCF">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服务名称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50A5297">
            <w:pPr>
              <w:pageBreakBefore w:val="0"/>
              <w:overflowPunct/>
              <w:topLinePunct w:val="0"/>
              <w:bidi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具体服务内容（含具体服务范围、服务时间、服务标准等内容）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0243F24">
            <w:pPr>
              <w:pageBreakBefore w:val="0"/>
              <w:overflowPunct/>
              <w:topLinePunct w:val="0"/>
              <w:bidi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71C5EBC">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单价(元)②</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071FC72">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单项合价（元）</w:t>
            </w:r>
          </w:p>
          <w:p w14:paraId="07A4928F">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③＝①×②</w:t>
            </w:r>
          </w:p>
        </w:tc>
        <w:tc>
          <w:tcPr>
            <w:tcW w:w="888" w:type="dxa"/>
            <w:tcBorders>
              <w:top w:val="single" w:color="auto" w:sz="4" w:space="0"/>
              <w:left w:val="single" w:color="auto" w:sz="4" w:space="0"/>
              <w:bottom w:val="single" w:color="auto" w:sz="4" w:space="0"/>
              <w:right w:val="single" w:color="auto" w:sz="4" w:space="0"/>
            </w:tcBorders>
            <w:noWrap w:val="0"/>
            <w:vAlign w:val="top"/>
          </w:tcPr>
          <w:p w14:paraId="14D23BB7">
            <w:pPr>
              <w:pageBreakBefore w:val="0"/>
              <w:overflowPunct/>
              <w:topLinePunct w:val="0"/>
              <w:bidi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服务时间</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6AFC118D">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备注</w:t>
            </w:r>
          </w:p>
        </w:tc>
      </w:tr>
      <w:tr w14:paraId="2FE5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04CA1D4">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D32216B">
            <w:pPr>
              <w:pageBreakBefore w:val="0"/>
              <w:overflowPunct/>
              <w:topLinePunct w:val="0"/>
              <w:bidi w:val="0"/>
              <w:spacing w:line="360" w:lineRule="auto"/>
              <w:rPr>
                <w:rFonts w:hint="eastAsia" w:ascii="宋体" w:hAnsi="宋体"/>
                <w:color w:val="auto"/>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7761867">
            <w:pPr>
              <w:pageBreakBefore w:val="0"/>
              <w:overflowPunct/>
              <w:topLinePunct w:val="0"/>
              <w:bidi w:val="0"/>
              <w:spacing w:line="360" w:lineRule="auto"/>
              <w:rPr>
                <w:rFonts w:hint="eastAsia" w:ascii="宋体" w:hAnsi="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E4F524F">
            <w:pPr>
              <w:pageBreakBefore w:val="0"/>
              <w:overflowPunct/>
              <w:topLinePunct w:val="0"/>
              <w:bidi w:val="0"/>
              <w:spacing w:line="360" w:lineRule="auto"/>
              <w:rPr>
                <w:rFonts w:hint="eastAsia" w:ascii="宋体" w:hAnsi="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784B962">
            <w:pPr>
              <w:pageBreakBefore w:val="0"/>
              <w:overflowPunct/>
              <w:topLinePunct w:val="0"/>
              <w:bidi w:val="0"/>
              <w:spacing w:line="360" w:lineRule="auto"/>
              <w:rPr>
                <w:rFonts w:hint="eastAsia" w:ascii="宋体" w:hAnsi="宋体"/>
                <w:color w:val="auto"/>
                <w:sz w:val="24"/>
                <w:szCs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A9CAF31">
            <w:pPr>
              <w:pageBreakBefore w:val="0"/>
              <w:overflowPunct/>
              <w:topLinePunct w:val="0"/>
              <w:bidi w:val="0"/>
              <w:spacing w:line="360" w:lineRule="auto"/>
              <w:rPr>
                <w:rFonts w:hint="eastAsia" w:ascii="宋体" w:hAnsi="宋体"/>
                <w:color w:val="auto"/>
                <w:sz w:val="24"/>
                <w:szCs w:val="24"/>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top"/>
          </w:tcPr>
          <w:p w14:paraId="2215C03C">
            <w:pPr>
              <w:pageBreakBefore w:val="0"/>
              <w:overflowPunct/>
              <w:topLinePunct w:val="0"/>
              <w:bidi w:val="0"/>
              <w:spacing w:line="360" w:lineRule="auto"/>
              <w:rPr>
                <w:rFonts w:hint="eastAsia" w:ascii="宋体" w:hAnsi="宋体"/>
                <w:color w:val="auto"/>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4601B3BE">
            <w:pPr>
              <w:pageBreakBefore w:val="0"/>
              <w:overflowPunct/>
              <w:topLinePunct w:val="0"/>
              <w:bidi w:val="0"/>
              <w:spacing w:line="360" w:lineRule="auto"/>
              <w:rPr>
                <w:rFonts w:hint="eastAsia" w:ascii="宋体" w:hAnsi="宋体"/>
                <w:color w:val="auto"/>
                <w:sz w:val="24"/>
                <w:szCs w:val="24"/>
                <w:highlight w:val="none"/>
              </w:rPr>
            </w:pPr>
          </w:p>
        </w:tc>
      </w:tr>
      <w:tr w14:paraId="40BA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CC435E4">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371CCE">
            <w:pPr>
              <w:pageBreakBefore w:val="0"/>
              <w:overflowPunct/>
              <w:topLinePunct w:val="0"/>
              <w:bidi w:val="0"/>
              <w:spacing w:line="360" w:lineRule="auto"/>
              <w:rPr>
                <w:rFonts w:hint="eastAsia" w:ascii="宋体" w:hAnsi="宋体"/>
                <w:color w:val="auto"/>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8E2F50C">
            <w:pPr>
              <w:pageBreakBefore w:val="0"/>
              <w:overflowPunct/>
              <w:topLinePunct w:val="0"/>
              <w:bidi w:val="0"/>
              <w:spacing w:line="360" w:lineRule="auto"/>
              <w:rPr>
                <w:rFonts w:hint="eastAsia" w:ascii="宋体" w:hAnsi="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E79803">
            <w:pPr>
              <w:pageBreakBefore w:val="0"/>
              <w:overflowPunct/>
              <w:topLinePunct w:val="0"/>
              <w:bidi w:val="0"/>
              <w:spacing w:line="360" w:lineRule="auto"/>
              <w:rPr>
                <w:rFonts w:hint="eastAsia" w:ascii="宋体" w:hAnsi="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174D404">
            <w:pPr>
              <w:pageBreakBefore w:val="0"/>
              <w:overflowPunct/>
              <w:topLinePunct w:val="0"/>
              <w:bidi w:val="0"/>
              <w:spacing w:line="360" w:lineRule="auto"/>
              <w:rPr>
                <w:rFonts w:hint="eastAsia" w:ascii="宋体" w:hAnsi="宋体"/>
                <w:color w:val="auto"/>
                <w:sz w:val="24"/>
                <w:szCs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A4AE46D">
            <w:pPr>
              <w:pageBreakBefore w:val="0"/>
              <w:overflowPunct/>
              <w:topLinePunct w:val="0"/>
              <w:bidi w:val="0"/>
              <w:spacing w:line="360" w:lineRule="auto"/>
              <w:rPr>
                <w:rFonts w:hint="eastAsia" w:ascii="宋体" w:hAnsi="宋体"/>
                <w:color w:val="auto"/>
                <w:sz w:val="24"/>
                <w:szCs w:val="24"/>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top"/>
          </w:tcPr>
          <w:p w14:paraId="7F559D69">
            <w:pPr>
              <w:pageBreakBefore w:val="0"/>
              <w:overflowPunct/>
              <w:topLinePunct w:val="0"/>
              <w:bidi w:val="0"/>
              <w:spacing w:line="360" w:lineRule="auto"/>
              <w:rPr>
                <w:rFonts w:hint="eastAsia" w:ascii="宋体" w:hAnsi="宋体"/>
                <w:color w:val="auto"/>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4F51F776">
            <w:pPr>
              <w:pageBreakBefore w:val="0"/>
              <w:overflowPunct/>
              <w:topLinePunct w:val="0"/>
              <w:bidi w:val="0"/>
              <w:spacing w:line="360" w:lineRule="auto"/>
              <w:rPr>
                <w:rFonts w:hint="eastAsia" w:ascii="宋体" w:hAnsi="宋体"/>
                <w:color w:val="auto"/>
                <w:sz w:val="24"/>
                <w:szCs w:val="24"/>
                <w:highlight w:val="none"/>
              </w:rPr>
            </w:pPr>
          </w:p>
        </w:tc>
      </w:tr>
      <w:tr w14:paraId="6A41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9A4476C">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ACB8317">
            <w:pPr>
              <w:pageBreakBefore w:val="0"/>
              <w:overflowPunct/>
              <w:topLinePunct w:val="0"/>
              <w:bidi w:val="0"/>
              <w:spacing w:line="360" w:lineRule="auto"/>
              <w:rPr>
                <w:rFonts w:hint="eastAsia" w:ascii="宋体" w:hAnsi="宋体"/>
                <w:color w:val="auto"/>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D89EC66">
            <w:pPr>
              <w:pageBreakBefore w:val="0"/>
              <w:overflowPunct/>
              <w:topLinePunct w:val="0"/>
              <w:bidi w:val="0"/>
              <w:spacing w:line="360" w:lineRule="auto"/>
              <w:rPr>
                <w:rFonts w:hint="eastAsia" w:ascii="宋体" w:hAnsi="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AFF764">
            <w:pPr>
              <w:pageBreakBefore w:val="0"/>
              <w:overflowPunct/>
              <w:topLinePunct w:val="0"/>
              <w:bidi w:val="0"/>
              <w:spacing w:line="360" w:lineRule="auto"/>
              <w:rPr>
                <w:rFonts w:hint="eastAsia" w:ascii="宋体" w:hAnsi="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085A23B">
            <w:pPr>
              <w:pageBreakBefore w:val="0"/>
              <w:overflowPunct/>
              <w:topLinePunct w:val="0"/>
              <w:bidi w:val="0"/>
              <w:spacing w:line="360" w:lineRule="auto"/>
              <w:rPr>
                <w:rFonts w:hint="eastAsia" w:ascii="宋体" w:hAnsi="宋体"/>
                <w:color w:val="auto"/>
                <w:sz w:val="24"/>
                <w:szCs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9B9342B">
            <w:pPr>
              <w:pageBreakBefore w:val="0"/>
              <w:overflowPunct/>
              <w:topLinePunct w:val="0"/>
              <w:bidi w:val="0"/>
              <w:spacing w:line="360" w:lineRule="auto"/>
              <w:rPr>
                <w:rFonts w:hint="eastAsia" w:ascii="宋体" w:hAnsi="宋体"/>
                <w:color w:val="auto"/>
                <w:sz w:val="24"/>
                <w:szCs w:val="24"/>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top"/>
          </w:tcPr>
          <w:p w14:paraId="19233DCC">
            <w:pPr>
              <w:pageBreakBefore w:val="0"/>
              <w:overflowPunct/>
              <w:topLinePunct w:val="0"/>
              <w:bidi w:val="0"/>
              <w:spacing w:line="360" w:lineRule="auto"/>
              <w:rPr>
                <w:rFonts w:hint="eastAsia" w:ascii="宋体" w:hAnsi="宋体"/>
                <w:color w:val="auto"/>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806CED2">
            <w:pPr>
              <w:pageBreakBefore w:val="0"/>
              <w:overflowPunct/>
              <w:topLinePunct w:val="0"/>
              <w:bidi w:val="0"/>
              <w:spacing w:line="360" w:lineRule="auto"/>
              <w:rPr>
                <w:rFonts w:hint="eastAsia" w:ascii="宋体" w:hAnsi="宋体"/>
                <w:color w:val="auto"/>
                <w:sz w:val="24"/>
                <w:szCs w:val="24"/>
                <w:highlight w:val="none"/>
              </w:rPr>
            </w:pPr>
          </w:p>
        </w:tc>
      </w:tr>
      <w:tr w14:paraId="6817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1DBD298B">
            <w:pPr>
              <w:pageBreakBefore w:val="0"/>
              <w:overflowPunct/>
              <w:topLinePunct w:val="0"/>
              <w:bidi w:val="0"/>
              <w:spacing w:line="360" w:lineRule="auto"/>
              <w:jc w:val="left"/>
              <w:rPr>
                <w:rFonts w:hint="eastAsia" w:ascii="宋体" w:hAnsi="宋体"/>
                <w:color w:val="auto"/>
                <w:sz w:val="24"/>
                <w:szCs w:val="24"/>
                <w:highlight w:val="none"/>
              </w:rPr>
            </w:pPr>
            <w:r>
              <w:rPr>
                <w:rFonts w:hint="eastAsia" w:ascii="宋体" w:hAnsi="宋体" w:eastAsia="宋体" w:cs="Times New Roman"/>
                <w:color w:val="auto"/>
                <w:sz w:val="24"/>
                <w:szCs w:val="24"/>
                <w:highlight w:val="none"/>
              </w:rPr>
              <w:t xml:space="preserve">报价合计（包含税费等所有费用）：（大写）人民币 </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 （</w:t>
            </w:r>
            <w:r>
              <w:rPr>
                <w:rFonts w:hint="eastAsia" w:hAnsi="宋体" w:cs="宋体"/>
                <w:color w:val="auto"/>
                <w:highlight w:val="none"/>
              </w:rPr>
              <w:t>¥</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  元）</w:t>
            </w:r>
          </w:p>
        </w:tc>
      </w:tr>
      <w:tr w14:paraId="190E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5E312541">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u w:val="single"/>
              </w:rPr>
              <w:t>　　</w:t>
            </w:r>
            <w:r>
              <w:rPr>
                <w:rFonts w:hint="eastAsia" w:ascii="宋体" w:hAnsi="宋体"/>
                <w:color w:val="auto"/>
                <w:sz w:val="24"/>
                <w:szCs w:val="24"/>
                <w:highlight w:val="none"/>
              </w:rPr>
              <w:t>分标（此处有分标时填写具体分标号，无分标时填写“无”）</w:t>
            </w:r>
          </w:p>
        </w:tc>
      </w:tr>
      <w:tr w14:paraId="7F6B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54E0A2F3">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优惠及其它：</w:t>
            </w:r>
          </w:p>
        </w:tc>
      </w:tr>
    </w:tbl>
    <w:p w14:paraId="3AA944FD">
      <w:pPr>
        <w:pageBreakBefore w:val="0"/>
        <w:wordWrap w:val="0"/>
        <w:overflowPunct/>
        <w:topLinePunct w:val="0"/>
        <w:bidi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72481765">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投标人需按本表格式填写，不得自行更改，也不得留空, 如有多分标，按分标分别提供开标一览表，必须加盖投标人有效电子公章，</w:t>
      </w:r>
      <w:r>
        <w:rPr>
          <w:rFonts w:hint="eastAsia" w:ascii="宋体" w:hAnsi="宋体" w:cs="宋体"/>
          <w:b/>
          <w:color w:val="auto"/>
          <w:kern w:val="0"/>
          <w:sz w:val="24"/>
          <w:highlight w:val="none"/>
          <w:lang w:val="zh-CN"/>
        </w:rPr>
        <w:t>否则其投标作无效标处理。</w:t>
      </w:r>
    </w:p>
    <w:p w14:paraId="691ADF80">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2、本表内容均不能涂改，</w:t>
      </w:r>
      <w:r>
        <w:rPr>
          <w:rFonts w:hint="eastAsia" w:ascii="宋体" w:hAnsi="宋体" w:cs="宋体"/>
          <w:b/>
          <w:color w:val="auto"/>
          <w:kern w:val="0"/>
          <w:sz w:val="24"/>
          <w:highlight w:val="none"/>
          <w:lang w:val="zh-CN"/>
        </w:rPr>
        <w:t>否则其投标作无效标处理。</w:t>
      </w:r>
    </w:p>
    <w:p w14:paraId="21D2C5B8">
      <w:pPr>
        <w:wordWrap w:val="0"/>
        <w:snapToGrid w:val="0"/>
        <w:spacing w:line="360" w:lineRule="auto"/>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否则其投标作无效标处理。</w:t>
      </w:r>
    </w:p>
    <w:p w14:paraId="3CEFCCFB">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4、以上表格要求细分项目及报价，在“具体服务内容”一栏中，填写具体服务范围、服务时间、服务标准，</w:t>
      </w:r>
      <w:r>
        <w:rPr>
          <w:rFonts w:hint="eastAsia" w:ascii="宋体" w:hAnsi="宋体" w:cs="宋体"/>
          <w:b/>
          <w:color w:val="auto"/>
          <w:kern w:val="0"/>
          <w:sz w:val="24"/>
          <w:highlight w:val="none"/>
          <w:lang w:val="zh-CN"/>
        </w:rPr>
        <w:t>否则其投标作无效标处理。</w:t>
      </w:r>
      <w:r>
        <w:rPr>
          <w:rFonts w:hint="eastAsia" w:ascii="宋体" w:hAnsi="宋体" w:cs="宋体"/>
          <w:color w:val="auto"/>
          <w:kern w:val="0"/>
          <w:sz w:val="24"/>
          <w:highlight w:val="none"/>
          <w:lang w:val="zh-CN"/>
        </w:rPr>
        <w:t>。</w:t>
      </w:r>
    </w:p>
    <w:p w14:paraId="3CA776DE">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5、特别提示：采购机构将对项目名称和项目编号，中标供应商名称、地址和中标金额，主要中标标的的名称、服务范围、服务要求、服务时间、服务标准等予以公示。</w:t>
      </w:r>
    </w:p>
    <w:p w14:paraId="1233E3D7">
      <w:pPr>
        <w:pageBreakBefore w:val="0"/>
        <w:wordWrap w:val="0"/>
        <w:overflowPunct/>
        <w:topLinePunct w:val="0"/>
        <w:bidi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6、</w:t>
      </w:r>
      <w:r>
        <w:rPr>
          <w:rFonts w:hint="eastAsia" w:ascii="宋体" w:hAnsi="宋体" w:cs="宋体"/>
          <w:color w:val="auto"/>
          <w:kern w:val="0"/>
          <w:sz w:val="24"/>
          <w:highlight w:val="none"/>
          <w:lang w:val="zh-CN"/>
        </w:rPr>
        <w:t>符合招标文件中列明的可享受</w:t>
      </w:r>
      <w:r>
        <w:rPr>
          <w:rFonts w:hint="eastAsia" w:ascii="宋体" w:hAnsi="宋体" w:cs="宋体"/>
          <w:color w:val="auto"/>
          <w:kern w:val="0"/>
          <w:sz w:val="24"/>
          <w:highlight w:val="none"/>
          <w:lang w:val="en-US" w:eastAsia="zh-CN"/>
        </w:rPr>
        <w:t>中小</w:t>
      </w:r>
      <w:r>
        <w:rPr>
          <w:rFonts w:hint="eastAsia" w:ascii="宋体" w:hAnsi="宋体" w:cs="宋体"/>
          <w:color w:val="auto"/>
          <w:kern w:val="0"/>
          <w:sz w:val="24"/>
          <w:highlight w:val="none"/>
          <w:lang w:val="zh-CN"/>
        </w:rPr>
        <w:t>企业扶持政策的投标人，请填写</w:t>
      </w:r>
      <w:r>
        <w:rPr>
          <w:rFonts w:hint="eastAsia" w:ascii="宋体" w:hAnsi="宋体" w:cs="宋体"/>
          <w:color w:val="auto"/>
          <w:kern w:val="0"/>
          <w:sz w:val="24"/>
          <w:highlight w:val="none"/>
          <w:lang w:val="en-US" w:eastAsia="zh-CN"/>
        </w:rPr>
        <w:t>中小</w:t>
      </w:r>
      <w:r>
        <w:rPr>
          <w:rFonts w:hint="eastAsia" w:ascii="宋体" w:hAnsi="宋体" w:cs="宋体"/>
          <w:color w:val="auto"/>
          <w:kern w:val="0"/>
          <w:sz w:val="24"/>
          <w:highlight w:val="none"/>
          <w:lang w:val="zh-CN"/>
        </w:rPr>
        <w:t>企业声明函。注：投标人提供的</w:t>
      </w:r>
      <w:r>
        <w:rPr>
          <w:rFonts w:hint="eastAsia" w:ascii="宋体" w:hAnsi="宋体" w:cs="宋体"/>
          <w:color w:val="auto"/>
          <w:kern w:val="0"/>
          <w:sz w:val="24"/>
          <w:highlight w:val="none"/>
          <w:lang w:val="en-US" w:eastAsia="zh-CN"/>
        </w:rPr>
        <w:t>中小企业声明函</w:t>
      </w:r>
      <w:r>
        <w:rPr>
          <w:rFonts w:hint="eastAsia" w:ascii="宋体" w:hAnsi="宋体" w:cs="宋体"/>
          <w:color w:val="auto"/>
          <w:kern w:val="0"/>
          <w:sz w:val="24"/>
          <w:highlight w:val="none"/>
          <w:lang w:val="zh-CN"/>
        </w:rPr>
        <w:t>内容不实的，属于提供虚假材料谋取中标、成交，依照《中华人民共和国政府采购法》等国家有关规定追究相应责任。</w:t>
      </w:r>
    </w:p>
    <w:p w14:paraId="6D8D8BC7">
      <w:pPr>
        <w:ind w:firstLine="5520" w:firstLineChars="2300"/>
        <w:rPr>
          <w:rFonts w:hint="eastAsia" w:ascii="宋体" w:hAnsi="宋体" w:cs="宋体"/>
          <w:color w:val="auto"/>
          <w:kern w:val="0"/>
          <w:sz w:val="24"/>
          <w:highlight w:val="none"/>
          <w:lang w:val="zh-CN"/>
        </w:rPr>
        <w:sectPr>
          <w:pgSz w:w="11906" w:h="16838"/>
          <w:pgMar w:top="1440" w:right="1080" w:bottom="1440" w:left="1080" w:header="720" w:footer="720" w:gutter="0"/>
          <w:pgNumType w:fmt="decimal"/>
          <w:cols w:space="720" w:num="1"/>
          <w:docGrid w:type="lines" w:linePitch="331" w:charSpace="0"/>
        </w:sectPr>
      </w:pPr>
      <w:r>
        <w:rPr>
          <w:rFonts w:hint="eastAsia" w:ascii="宋体" w:hAnsi="宋体" w:cs="宋体"/>
          <w:color w:val="auto"/>
          <w:kern w:val="0"/>
          <w:sz w:val="24"/>
          <w:highlight w:val="none"/>
          <w:lang w:val="zh-CN"/>
        </w:rPr>
        <w:t>投标人名称(电子签章)：</w:t>
      </w:r>
    </w:p>
    <w:p w14:paraId="509AE1BA">
      <w:pPr>
        <w:rPr>
          <w:rFonts w:hint="eastAsia" w:hAnsi="宋体" w:cs="宋体"/>
          <w:b/>
          <w:bCs/>
          <w:color w:val="auto"/>
          <w:sz w:val="28"/>
          <w:szCs w:val="28"/>
          <w:highlight w:val="none"/>
        </w:rPr>
      </w:pPr>
    </w:p>
    <w:p w14:paraId="035F2036">
      <w:pPr>
        <w:outlineLvl w:val="9"/>
        <w:rPr>
          <w:color w:val="auto"/>
          <w:highlight w:val="none"/>
        </w:rPr>
      </w:pPr>
    </w:p>
    <w:p w14:paraId="54A01623">
      <w:pPr>
        <w:pStyle w:val="12"/>
        <w:pageBreakBefore w:val="0"/>
        <w:wordWrap w:val="0"/>
        <w:overflowPunct/>
        <w:topLinePunct w:val="0"/>
        <w:bidi w:val="0"/>
        <w:spacing w:after="0" w:line="360" w:lineRule="auto"/>
        <w:rPr>
          <w:color w:val="auto"/>
          <w:highlight w:val="none"/>
        </w:rPr>
      </w:pPr>
    </w:p>
    <w:p w14:paraId="326CA2BD">
      <w:pPr>
        <w:pageBreakBefore w:val="0"/>
        <w:wordWrap w:val="0"/>
        <w:overflowPunct/>
        <w:topLinePunct w:val="0"/>
        <w:bidi w:val="0"/>
        <w:snapToGrid w:val="0"/>
        <w:spacing w:line="360" w:lineRule="auto"/>
        <w:jc w:val="center"/>
        <w:outlineLvl w:val="1"/>
        <w:rPr>
          <w:rFonts w:ascii="宋体" w:hAnsi="宋体" w:cs="宋体"/>
          <w:b/>
          <w:bCs/>
          <w:color w:val="auto"/>
          <w:sz w:val="28"/>
          <w:szCs w:val="28"/>
          <w:highlight w:val="none"/>
        </w:rPr>
      </w:pPr>
      <w:r>
        <w:rPr>
          <w:rFonts w:hint="eastAsia" w:ascii="宋体" w:hAnsi="宋体" w:cs="宋体"/>
          <w:b/>
          <w:bCs/>
          <w:color w:val="auto"/>
          <w:sz w:val="28"/>
          <w:szCs w:val="28"/>
          <w:highlight w:val="none"/>
        </w:rPr>
        <w:t>第六节 其他文书、文件格式</w:t>
      </w:r>
      <w:bookmarkEnd w:id="287"/>
      <w:bookmarkEnd w:id="288"/>
    </w:p>
    <w:p w14:paraId="7A567270">
      <w:pPr>
        <w:pageBreakBefore w:val="0"/>
        <w:wordWrap w:val="0"/>
        <w:overflowPunct/>
        <w:topLinePunct w:val="0"/>
        <w:bidi w:val="0"/>
        <w:spacing w:line="360" w:lineRule="auto"/>
        <w:jc w:val="center"/>
        <w:rPr>
          <w:rFonts w:ascii="宋体" w:hAnsi="宋体" w:cs="宋体"/>
          <w:b/>
          <w:bCs/>
          <w:color w:val="auto"/>
          <w:sz w:val="32"/>
          <w:szCs w:val="32"/>
          <w:highlight w:val="none"/>
          <w:lang w:val="en"/>
        </w:rPr>
      </w:pPr>
    </w:p>
    <w:p w14:paraId="50E61D87">
      <w:pPr>
        <w:pageBreakBefore w:val="0"/>
        <w:wordWrap w:val="0"/>
        <w:overflowPunct/>
        <w:topLinePunct w:val="0"/>
        <w:bidi w:val="0"/>
        <w:spacing w:line="360" w:lineRule="auto"/>
        <w:jc w:val="center"/>
        <w:rPr>
          <w:rFonts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15728BAC">
      <w:pPr>
        <w:pageBreakBefore w:val="0"/>
        <w:wordWrap w:val="0"/>
        <w:overflowPunct/>
        <w:topLinePunct w:val="0"/>
        <w:bidi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0C5361D2">
      <w:pPr>
        <w:pageBreakBefore w:val="0"/>
        <w:wordWrap w:val="0"/>
        <w:overflowPunct/>
        <w:topLinePunct w:val="0"/>
        <w:bidi w:val="0"/>
        <w:spacing w:line="360" w:lineRule="auto"/>
        <w:rPr>
          <w:rFonts w:ascii="宋体" w:hAnsi="宋体" w:cs="宋体"/>
          <w:color w:val="auto"/>
          <w:sz w:val="30"/>
          <w:szCs w:val="30"/>
          <w:highlight w:val="none"/>
          <w:lang w:val="en"/>
        </w:rPr>
      </w:pPr>
      <w:r>
        <w:rPr>
          <w:rFonts w:hint="eastAsia" w:ascii="宋体" w:hAnsi="宋体" w:cs="宋体"/>
          <w:color w:val="auto"/>
          <w:sz w:val="30"/>
          <w:szCs w:val="30"/>
          <w:highlight w:val="none"/>
        </w:rPr>
        <w:t xml:space="preserve">    本</w:t>
      </w:r>
      <w:r>
        <w:rPr>
          <w:rFonts w:hint="eastAsia" w:ascii="宋体" w:hAnsi="宋体" w:cs="宋体"/>
          <w:color w:val="auto"/>
          <w:sz w:val="30"/>
          <w:szCs w:val="30"/>
          <w:highlight w:val="none"/>
          <w:lang w:val="en"/>
        </w:rPr>
        <w:t>企业自愿参与政府投资政府采购的</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u w:val="single"/>
        </w:rPr>
        <w:t>项目名称</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lang w:val="en"/>
        </w:rPr>
        <w:t>项目，</w:t>
      </w:r>
      <w:r>
        <w:rPr>
          <w:rFonts w:hint="eastAsia" w:ascii="宋体" w:hAnsi="宋体" w:cs="宋体"/>
          <w:b/>
          <w:bCs/>
          <w:color w:val="auto"/>
          <w:sz w:val="30"/>
          <w:szCs w:val="30"/>
          <w:highlight w:val="none"/>
          <w:lang w:val="en"/>
        </w:rPr>
        <w:t>在此郑重承诺：</w:t>
      </w:r>
      <w:r>
        <w:rPr>
          <w:rFonts w:hint="eastAsia" w:ascii="宋体" w:hAnsi="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3DC743DC">
      <w:pPr>
        <w:pageBreakBefore w:val="0"/>
        <w:wordWrap w:val="0"/>
        <w:overflowPunct/>
        <w:topLinePunct w:val="0"/>
        <w:bidi w:val="0"/>
        <w:snapToGrid w:val="0"/>
        <w:spacing w:line="360" w:lineRule="auto"/>
        <w:ind w:left="5137" w:leftChars="1736" w:hanging="1491" w:hangingChars="825"/>
        <w:rPr>
          <w:rFonts w:ascii="宋体" w:hAnsi="宋体" w:cs="宋体"/>
          <w:b/>
          <w:color w:val="auto"/>
          <w:sz w:val="18"/>
          <w:szCs w:val="18"/>
          <w:highlight w:val="none"/>
        </w:rPr>
      </w:pPr>
      <w:r>
        <w:rPr>
          <w:rFonts w:hint="eastAsia" w:ascii="宋体" w:hAnsi="宋体" w:cs="宋体"/>
          <w:b/>
          <w:color w:val="auto"/>
          <w:sz w:val="18"/>
          <w:szCs w:val="18"/>
          <w:highlight w:val="none"/>
        </w:rPr>
        <w:t xml:space="preserve">           </w:t>
      </w:r>
    </w:p>
    <w:p w14:paraId="6297ABD6">
      <w:pPr>
        <w:pageBreakBefore w:val="0"/>
        <w:wordWrap w:val="0"/>
        <w:overflowPunct/>
        <w:topLinePunct w:val="0"/>
        <w:bidi w:val="0"/>
        <w:snapToGrid w:val="0"/>
        <w:spacing w:line="360" w:lineRule="auto"/>
        <w:ind w:left="5137" w:leftChars="1736" w:hanging="1491" w:hangingChars="825"/>
        <w:rPr>
          <w:rFonts w:ascii="宋体" w:hAnsi="宋体" w:cs="宋体"/>
          <w:b/>
          <w:color w:val="auto"/>
          <w:sz w:val="18"/>
          <w:szCs w:val="18"/>
          <w:highlight w:val="none"/>
        </w:rPr>
      </w:pPr>
    </w:p>
    <w:p w14:paraId="2929FA37">
      <w:pPr>
        <w:pageBreakBefore w:val="0"/>
        <w:wordWrap w:val="0"/>
        <w:overflowPunct/>
        <w:topLinePunct w:val="0"/>
        <w:bidi w:val="0"/>
        <w:snapToGrid w:val="0"/>
        <w:spacing w:line="360" w:lineRule="auto"/>
        <w:ind w:left="5137" w:leftChars="1736" w:hanging="1491" w:hangingChars="825"/>
        <w:rPr>
          <w:rFonts w:ascii="宋体" w:hAnsi="宋体" w:cs="宋体"/>
          <w:b/>
          <w:color w:val="auto"/>
          <w:sz w:val="18"/>
          <w:szCs w:val="18"/>
          <w:highlight w:val="none"/>
        </w:rPr>
      </w:pPr>
    </w:p>
    <w:p w14:paraId="1E8D0FC6">
      <w:pPr>
        <w:pageBreakBefore w:val="0"/>
        <w:wordWrap w:val="0"/>
        <w:overflowPunct/>
        <w:topLinePunct w:val="0"/>
        <w:bidi w:val="0"/>
        <w:snapToGrid w:val="0"/>
        <w:spacing w:line="360" w:lineRule="auto"/>
        <w:ind w:left="5137" w:leftChars="1736" w:hanging="1491" w:hangingChars="825"/>
        <w:rPr>
          <w:rFonts w:ascii="宋体" w:hAnsi="宋体" w:cs="宋体"/>
          <w:b/>
          <w:color w:val="auto"/>
          <w:sz w:val="18"/>
          <w:szCs w:val="18"/>
          <w:highlight w:val="none"/>
        </w:rPr>
      </w:pPr>
    </w:p>
    <w:p w14:paraId="7C71049C">
      <w:pPr>
        <w:pageBreakBefore w:val="0"/>
        <w:wordWrap w:val="0"/>
        <w:overflowPunct/>
        <w:topLinePunct w:val="0"/>
        <w:bidi w:val="0"/>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7FF2D892">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7D14EA1">
      <w:pPr>
        <w:pStyle w:val="14"/>
        <w:pageBreakBefore w:val="0"/>
        <w:wordWrap w:val="0"/>
        <w:overflowPunct/>
        <w:topLinePunct w:val="0"/>
        <w:bidi w:val="0"/>
        <w:spacing w:line="360" w:lineRule="auto"/>
        <w:jc w:val="center"/>
        <w:rPr>
          <w:rFonts w:hAnsi="宋体" w:cs="宋体"/>
          <w:b/>
          <w:color w:val="auto"/>
          <w:sz w:val="30"/>
          <w:szCs w:val="30"/>
          <w:highlight w:val="none"/>
        </w:rPr>
      </w:pPr>
      <w:r>
        <w:rPr>
          <w:rFonts w:hint="eastAsia" w:hAnsi="宋体" w:cs="宋体"/>
          <w:b/>
          <w:color w:val="auto"/>
          <w:sz w:val="30"/>
          <w:szCs w:val="30"/>
          <w:highlight w:val="none"/>
        </w:rPr>
        <w:br w:type="page"/>
      </w:r>
      <w:r>
        <w:rPr>
          <w:rFonts w:hint="eastAsia" w:hAnsi="宋体" w:cs="宋体"/>
          <w:b/>
          <w:color w:val="auto"/>
          <w:sz w:val="30"/>
          <w:szCs w:val="30"/>
          <w:highlight w:val="none"/>
        </w:rPr>
        <w:t>残疾人福利性单位声明函（如有）</w:t>
      </w:r>
    </w:p>
    <w:p w14:paraId="6DC00084">
      <w:pPr>
        <w:pStyle w:val="14"/>
        <w:pageBreakBefore w:val="0"/>
        <w:wordWrap w:val="0"/>
        <w:overflowPunct/>
        <w:topLinePunct w:val="0"/>
        <w:bidi w:val="0"/>
        <w:spacing w:line="360" w:lineRule="auto"/>
        <w:jc w:val="center"/>
        <w:rPr>
          <w:rFonts w:hAnsi="宋体" w:cs="宋体"/>
          <w:b/>
          <w:color w:val="auto"/>
          <w:sz w:val="30"/>
          <w:szCs w:val="30"/>
          <w:highlight w:val="none"/>
        </w:rPr>
      </w:pPr>
    </w:p>
    <w:p w14:paraId="64B7164D">
      <w:pPr>
        <w:pStyle w:val="14"/>
        <w:pageBreakBefore w:val="0"/>
        <w:wordWrap w:val="0"/>
        <w:overflowPunct/>
        <w:topLinePunct w:val="0"/>
        <w:bidi w:val="0"/>
        <w:spacing w:line="360" w:lineRule="auto"/>
        <w:jc w:val="left"/>
        <w:rPr>
          <w:rFonts w:hAnsi="宋体" w:cs="宋体"/>
          <w:color w:val="auto"/>
          <w:sz w:val="24"/>
          <w:szCs w:val="24"/>
          <w:highlight w:val="none"/>
        </w:rPr>
      </w:pPr>
      <w:r>
        <w:rPr>
          <w:rFonts w:hint="eastAsia" w:hAnsi="宋体" w:cs="宋体"/>
          <w:color w:val="auto"/>
          <w:sz w:val="30"/>
          <w:szCs w:val="30"/>
          <w:highlight w:val="none"/>
        </w:rPr>
        <w:t xml:space="preserve">   </w:t>
      </w:r>
      <w:r>
        <w:rPr>
          <w:rFonts w:hint="eastAsia"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hAnsi="宋体" w:cs="宋体"/>
          <w:color w:val="auto"/>
          <w:sz w:val="24"/>
          <w:szCs w:val="24"/>
          <w:highlight w:val="none"/>
          <w:u w:val="single"/>
        </w:rPr>
        <w:t xml:space="preserve"> （采购人名称） </w:t>
      </w:r>
      <w:r>
        <w:rPr>
          <w:rFonts w:hint="eastAsia" w:hAnsi="宋体" w:cs="宋体"/>
          <w:color w:val="auto"/>
          <w:sz w:val="24"/>
          <w:szCs w:val="24"/>
          <w:highlight w:val="none"/>
        </w:rPr>
        <w:t>单位的（项目名称）项目采购活动提供本单位制造的货物（由本单位承担工程/提供服务），或者提供其他残疾人福利性单位制造的货物（不包括使用非残疾人福利性单位注册商标的货物）。</w:t>
      </w:r>
    </w:p>
    <w:p w14:paraId="2E99EFD9">
      <w:pPr>
        <w:pStyle w:val="14"/>
        <w:pageBreakBefore w:val="0"/>
        <w:wordWrap w:val="0"/>
        <w:overflowPunct/>
        <w:topLinePunct w:val="0"/>
        <w:bidi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本公司对上述声明的真实性负责。如有虚假，将依法承担相应责任。</w:t>
      </w:r>
    </w:p>
    <w:p w14:paraId="3A9C9F35">
      <w:pPr>
        <w:pStyle w:val="14"/>
        <w:pageBreakBefore w:val="0"/>
        <w:wordWrap w:val="0"/>
        <w:overflowPunct/>
        <w:topLinePunct w:val="0"/>
        <w:bidi w:val="0"/>
        <w:spacing w:line="360" w:lineRule="auto"/>
        <w:jc w:val="left"/>
        <w:rPr>
          <w:rFonts w:hAnsi="宋体" w:cs="宋体"/>
          <w:b/>
          <w:color w:val="auto"/>
          <w:szCs w:val="21"/>
          <w:highlight w:val="none"/>
        </w:rPr>
      </w:pPr>
    </w:p>
    <w:p w14:paraId="6EF12BF0">
      <w:pPr>
        <w:pStyle w:val="14"/>
        <w:pageBreakBefore w:val="0"/>
        <w:wordWrap w:val="0"/>
        <w:overflowPunct/>
        <w:topLinePunct w:val="0"/>
        <w:bidi w:val="0"/>
        <w:spacing w:line="360" w:lineRule="auto"/>
        <w:jc w:val="left"/>
        <w:rPr>
          <w:rFonts w:hAnsi="宋体" w:cs="宋体"/>
          <w:b/>
          <w:color w:val="auto"/>
          <w:szCs w:val="21"/>
          <w:highlight w:val="none"/>
        </w:rPr>
      </w:pPr>
    </w:p>
    <w:p w14:paraId="3AA835D3">
      <w:pPr>
        <w:pageBreakBefore w:val="0"/>
        <w:wordWrap w:val="0"/>
        <w:overflowPunct/>
        <w:topLinePunct w:val="0"/>
        <w:bidi w:val="0"/>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6A6751FD">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5DE561E">
      <w:pPr>
        <w:pStyle w:val="14"/>
        <w:pageBreakBefore w:val="0"/>
        <w:wordWrap w:val="0"/>
        <w:overflowPunct/>
        <w:topLinePunct w:val="0"/>
        <w:bidi w:val="0"/>
        <w:spacing w:line="360" w:lineRule="auto"/>
        <w:ind w:left="5132" w:leftChars="1979" w:hanging="976" w:hangingChars="488"/>
        <w:rPr>
          <w:rFonts w:hAnsi="宋体" w:cs="宋体"/>
          <w:color w:val="auto"/>
          <w:sz w:val="20"/>
          <w:highlight w:val="none"/>
        </w:rPr>
      </w:pPr>
    </w:p>
    <w:p w14:paraId="41BD134D">
      <w:pPr>
        <w:pageBreakBefore w:val="0"/>
        <w:wordWrap w:val="0"/>
        <w:overflowPunct/>
        <w:topLinePunct w:val="0"/>
        <w:bidi w:val="0"/>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13020A91">
      <w:pPr>
        <w:pageBreakBefore w:val="0"/>
        <w:widowControl/>
        <w:wordWrap w:val="0"/>
        <w:overflowPunct/>
        <w:topLinePunct w:val="0"/>
        <w:bidi w:val="0"/>
        <w:spacing w:line="360" w:lineRule="auto"/>
        <w:jc w:val="left"/>
        <w:rPr>
          <w:rFonts w:ascii="宋体" w:hAnsi="宋体" w:cs="宋体"/>
          <w:color w:val="auto"/>
          <w:sz w:val="20"/>
          <w:highlight w:val="none"/>
        </w:rPr>
        <w:sectPr>
          <w:pgSz w:w="11906" w:h="16838"/>
          <w:pgMar w:top="1440" w:right="1080" w:bottom="1440" w:left="1080" w:header="720" w:footer="720" w:gutter="0"/>
          <w:pgNumType w:fmt="decimal"/>
          <w:cols w:space="720" w:num="1"/>
          <w:docGrid w:type="lines" w:linePitch="331" w:charSpace="0"/>
        </w:sectPr>
      </w:pPr>
    </w:p>
    <w:p w14:paraId="42A696A5">
      <w:pPr>
        <w:pageBreakBefore w:val="0"/>
        <w:wordWrap w:val="0"/>
        <w:overflowPunct/>
        <w:topLinePunct w:val="0"/>
        <w:bidi w:val="0"/>
        <w:snapToGrid w:val="0"/>
        <w:spacing w:line="360" w:lineRule="auto"/>
        <w:jc w:val="left"/>
        <w:rPr>
          <w:rFonts w:ascii="宋体" w:hAnsi="宋体" w:cs="宋体"/>
          <w:color w:val="auto"/>
          <w:sz w:val="20"/>
          <w:highlight w:val="none"/>
        </w:rPr>
      </w:pPr>
    </w:p>
    <w:p w14:paraId="6C22B173">
      <w:pPr>
        <w:pStyle w:val="14"/>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37CA34D6">
      <w:pPr>
        <w:pStyle w:val="14"/>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4DCA7717">
      <w:pPr>
        <w:pStyle w:val="14"/>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3B2D1E9D">
      <w:pPr>
        <w:pStyle w:val="14"/>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1D79659B">
      <w:pPr>
        <w:pStyle w:val="14"/>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2114374A">
      <w:pPr>
        <w:pStyle w:val="14"/>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01B10480">
      <w:pPr>
        <w:pStyle w:val="14"/>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4CB4E418">
      <w:pPr>
        <w:pStyle w:val="14"/>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5F66B2CA">
      <w:pPr>
        <w:pStyle w:val="14"/>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124A57D7">
      <w:pPr>
        <w:pStyle w:val="14"/>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38494C2B">
      <w:pPr>
        <w:pStyle w:val="14"/>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68E35F0B">
      <w:pPr>
        <w:pStyle w:val="14"/>
        <w:pageBreakBefore w:val="0"/>
        <w:tabs>
          <w:tab w:val="left" w:pos="2472"/>
        </w:tabs>
        <w:wordWrap w:val="0"/>
        <w:overflowPunct/>
        <w:topLinePunct w:val="0"/>
        <w:bidi w:val="0"/>
        <w:spacing w:line="360" w:lineRule="auto"/>
        <w:jc w:val="center"/>
        <w:outlineLvl w:val="0"/>
        <w:rPr>
          <w:rFonts w:hAnsi="宋体" w:cs="宋体"/>
          <w:b/>
          <w:color w:val="auto"/>
          <w:sz w:val="36"/>
          <w:highlight w:val="none"/>
        </w:rPr>
      </w:pPr>
      <w:bookmarkStart w:id="290" w:name="_Toc26579"/>
      <w:r>
        <w:rPr>
          <w:rFonts w:hint="eastAsia" w:hAnsi="宋体" w:cs="宋体"/>
          <w:b/>
          <w:color w:val="auto"/>
          <w:sz w:val="36"/>
          <w:highlight w:val="none"/>
        </w:rPr>
        <w:t>第七章 质疑、投诉证明材料格式</w:t>
      </w:r>
      <w:bookmarkEnd w:id="290"/>
    </w:p>
    <w:p w14:paraId="2130C79C">
      <w:pPr>
        <w:pageBreakBefore w:val="0"/>
        <w:widowControl/>
        <w:wordWrap w:val="0"/>
        <w:overflowPunct/>
        <w:topLinePunct w:val="0"/>
        <w:bidi w:val="0"/>
        <w:spacing w:line="360" w:lineRule="auto"/>
        <w:jc w:val="left"/>
        <w:rPr>
          <w:rFonts w:ascii="宋体" w:hAnsi="宋体" w:cs="宋体"/>
          <w:color w:val="auto"/>
          <w:sz w:val="20"/>
          <w:highlight w:val="none"/>
        </w:rPr>
        <w:sectPr>
          <w:pgSz w:w="11906" w:h="16838"/>
          <w:pgMar w:top="1440" w:right="1080" w:bottom="1440" w:left="1080" w:header="720" w:footer="720" w:gutter="0"/>
          <w:pgNumType w:fmt="decimal"/>
          <w:cols w:space="720" w:num="1"/>
          <w:docGrid w:type="lines" w:linePitch="331" w:charSpace="0"/>
        </w:sectPr>
      </w:pPr>
    </w:p>
    <w:p w14:paraId="6711928D">
      <w:pPr>
        <w:pageBreakBefore w:val="0"/>
        <w:widowControl/>
        <w:shd w:val="clear" w:color="auto" w:fill="FFFFFF"/>
        <w:wordWrap w:val="0"/>
        <w:overflowPunct/>
        <w:topLinePunct w:val="0"/>
        <w:bidi w:val="0"/>
        <w:spacing w:line="360" w:lineRule="auto"/>
        <w:jc w:val="left"/>
        <w:rPr>
          <w:rFonts w:ascii="宋体" w:hAnsi="宋体" w:cs="宋体"/>
          <w:b/>
          <w:bCs/>
          <w:color w:val="auto"/>
          <w:sz w:val="28"/>
          <w:szCs w:val="28"/>
          <w:highlight w:val="none"/>
        </w:rPr>
      </w:pPr>
    </w:p>
    <w:p w14:paraId="3482C37A">
      <w:pPr>
        <w:pStyle w:val="6"/>
        <w:pageBreakBefore w:val="0"/>
        <w:wordWrap w:val="0"/>
        <w:overflowPunct/>
        <w:topLinePunct w:val="0"/>
        <w:bidi w:val="0"/>
        <w:spacing w:before="0" w:after="0" w:line="360" w:lineRule="auto"/>
        <w:jc w:val="center"/>
        <w:rPr>
          <w:rFonts w:ascii="宋体" w:hAnsi="宋体" w:eastAsia="宋体" w:cs="宋体"/>
          <w:b w:val="0"/>
          <w:bCs w:val="0"/>
          <w:color w:val="auto"/>
          <w:highlight w:val="none"/>
        </w:rPr>
      </w:pPr>
      <w:bookmarkStart w:id="291" w:name="_Toc24445"/>
      <w:r>
        <w:rPr>
          <w:rFonts w:hint="eastAsia" w:ascii="宋体" w:hAnsi="宋体" w:eastAsia="宋体" w:cs="宋体"/>
          <w:b w:val="0"/>
          <w:bCs w:val="0"/>
          <w:color w:val="auto"/>
          <w:highlight w:val="none"/>
        </w:rPr>
        <w:t>第一节 质疑函（格式）</w:t>
      </w:r>
      <w:bookmarkEnd w:id="291"/>
    </w:p>
    <w:p w14:paraId="5BFD505D">
      <w:pPr>
        <w:pageBreakBefore w:val="0"/>
        <w:wordWrap w:val="0"/>
        <w:overflowPunct/>
        <w:topLinePunct w:val="0"/>
        <w:bidi w:val="0"/>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质疑函范本</w:t>
      </w:r>
    </w:p>
    <w:p w14:paraId="1318FB39">
      <w:pPr>
        <w:pageBreakBefore w:val="0"/>
        <w:wordWrap w:val="0"/>
        <w:overflowPunct/>
        <w:topLinePunct w:val="0"/>
        <w:bidi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一、质疑供应商基本信息</w:t>
      </w:r>
    </w:p>
    <w:p w14:paraId="3977A1D9">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质疑供应商：</w:t>
      </w:r>
      <w:r>
        <w:rPr>
          <w:rFonts w:hint="eastAsia" w:ascii="宋体" w:hAnsi="宋体" w:cs="宋体"/>
          <w:color w:val="auto"/>
          <w:sz w:val="32"/>
          <w:szCs w:val="32"/>
          <w:highlight w:val="none"/>
          <w:u w:val="dotted"/>
        </w:rPr>
        <w:t xml:space="preserve">                                        </w:t>
      </w:r>
    </w:p>
    <w:p w14:paraId="49F7CEE8">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地址：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7DF193F4">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68FA178C">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p>
    <w:p w14:paraId="3764B890">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7C5BBBBF">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地址： </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782FB804">
      <w:pPr>
        <w:pageBreakBefore w:val="0"/>
        <w:wordWrap w:val="0"/>
        <w:overflowPunct/>
        <w:topLinePunct w:val="0"/>
        <w:bidi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二、质疑项目基本情况</w:t>
      </w:r>
    </w:p>
    <w:p w14:paraId="0578AB6A">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质疑项目的名称：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南宁市第一人民医院污水处理系统运营服务采购项目</w:t>
      </w:r>
      <w:r>
        <w:rPr>
          <w:rFonts w:hint="eastAsia" w:ascii="宋体" w:hAnsi="宋体" w:cs="宋体"/>
          <w:color w:val="auto"/>
          <w:sz w:val="32"/>
          <w:szCs w:val="32"/>
          <w:highlight w:val="none"/>
          <w:u w:val="dotted"/>
        </w:rPr>
        <w:t xml:space="preserve">     </w:t>
      </w:r>
    </w:p>
    <w:p w14:paraId="436E9026">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质疑项目的编号：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2F6537BC">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南宁市第一人民医院</w:t>
      </w:r>
      <w:r>
        <w:rPr>
          <w:rFonts w:hint="eastAsia" w:ascii="宋体" w:hAnsi="宋体" w:cs="宋体"/>
          <w:color w:val="auto"/>
          <w:sz w:val="32"/>
          <w:szCs w:val="32"/>
          <w:highlight w:val="none"/>
          <w:u w:val="dotted"/>
        </w:rPr>
        <w:t xml:space="preserve">  </w:t>
      </w:r>
    </w:p>
    <w:p w14:paraId="301BB112">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采购文件获取日期：</w:t>
      </w:r>
      <w:r>
        <w:rPr>
          <w:rFonts w:hint="eastAsia" w:ascii="宋体" w:hAnsi="宋体" w:cs="宋体"/>
          <w:color w:val="auto"/>
          <w:sz w:val="32"/>
          <w:szCs w:val="32"/>
          <w:highlight w:val="none"/>
          <w:u w:val="dotted"/>
        </w:rPr>
        <w:t xml:space="preserve">                                           </w:t>
      </w:r>
    </w:p>
    <w:p w14:paraId="1AB9A8F2">
      <w:pPr>
        <w:pageBreakBefore w:val="0"/>
        <w:wordWrap w:val="0"/>
        <w:overflowPunct/>
        <w:topLinePunct w:val="0"/>
        <w:bidi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三、质疑事项具体内容</w:t>
      </w:r>
    </w:p>
    <w:p w14:paraId="7363A5DF">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质疑事项1：</w:t>
      </w:r>
      <w:r>
        <w:rPr>
          <w:rFonts w:hint="eastAsia" w:ascii="宋体" w:hAnsi="宋体" w:cs="宋体"/>
          <w:color w:val="auto"/>
          <w:sz w:val="32"/>
          <w:szCs w:val="32"/>
          <w:highlight w:val="none"/>
          <w:u w:val="dotted"/>
        </w:rPr>
        <w:t xml:space="preserve">                                         </w:t>
      </w:r>
    </w:p>
    <w:p w14:paraId="1288C970">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p>
    <w:p w14:paraId="0D24E7D4">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u w:val="dotted"/>
        </w:rPr>
        <w:t xml:space="preserve">                                                       </w:t>
      </w:r>
    </w:p>
    <w:p w14:paraId="3BAA3A67">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05A5232B">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1829C6DC">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质疑事项2</w:t>
      </w:r>
    </w:p>
    <w:p w14:paraId="2D3D4A24">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w:t>
      </w:r>
    </w:p>
    <w:p w14:paraId="77C71FEA">
      <w:pPr>
        <w:pageBreakBefore w:val="0"/>
        <w:wordWrap w:val="0"/>
        <w:overflowPunct/>
        <w:topLinePunct w:val="0"/>
        <w:bidi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四、与质疑事项相关的质疑请求</w:t>
      </w:r>
    </w:p>
    <w:p w14:paraId="19AF4AAF">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p>
    <w:p w14:paraId="3064A66C">
      <w:pPr>
        <w:pageBreakBefore w:val="0"/>
        <w:wordWrap w:val="0"/>
        <w:overflowPunct/>
        <w:topLinePunct w:val="0"/>
        <w:bidi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签字(签章)：                   公章：                      </w:t>
      </w:r>
    </w:p>
    <w:p w14:paraId="0586FCD7">
      <w:pPr>
        <w:pageBreakBefore w:val="0"/>
        <w:wordWrap w:val="0"/>
        <w:overflowPunct/>
        <w:topLinePunct w:val="0"/>
        <w:bidi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日期：    </w:t>
      </w:r>
    </w:p>
    <w:p w14:paraId="48B619C3">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p>
    <w:p w14:paraId="03CAA62F">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p>
    <w:p w14:paraId="33778594">
      <w:pPr>
        <w:pageBreakBefore w:val="0"/>
        <w:wordWrap w:val="0"/>
        <w:overflowPunct/>
        <w:topLinePunct w:val="0"/>
        <w:bidi w:val="0"/>
        <w:spacing w:line="360" w:lineRule="auto"/>
        <w:jc w:val="center"/>
        <w:rPr>
          <w:rFonts w:ascii="宋体" w:hAnsi="宋体" w:cs="宋体"/>
          <w:b/>
          <w:bCs/>
          <w:color w:val="auto"/>
          <w:sz w:val="32"/>
          <w:szCs w:val="32"/>
          <w:highlight w:val="none"/>
        </w:rPr>
      </w:pPr>
    </w:p>
    <w:p w14:paraId="4C3B79AC">
      <w:pPr>
        <w:pageBreakBefore w:val="0"/>
        <w:wordWrap w:val="0"/>
        <w:overflowPunct/>
        <w:topLinePunct w:val="0"/>
        <w:bidi w:val="0"/>
        <w:spacing w:line="360" w:lineRule="auto"/>
        <w:jc w:val="center"/>
        <w:rPr>
          <w:rFonts w:ascii="宋体" w:hAnsi="宋体" w:cs="宋体"/>
          <w:b/>
          <w:bCs/>
          <w:color w:val="auto"/>
          <w:sz w:val="32"/>
          <w:szCs w:val="32"/>
          <w:highlight w:val="none"/>
        </w:rPr>
      </w:pPr>
    </w:p>
    <w:p w14:paraId="288F4C09">
      <w:pPr>
        <w:pageBreakBefore w:val="0"/>
        <w:wordWrap w:val="0"/>
        <w:overflowPunct/>
        <w:topLinePunct w:val="0"/>
        <w:bidi w:val="0"/>
        <w:spacing w:line="360" w:lineRule="auto"/>
        <w:jc w:val="center"/>
        <w:rPr>
          <w:rFonts w:ascii="宋体" w:hAnsi="宋体" w:cs="宋体"/>
          <w:b/>
          <w:bCs/>
          <w:color w:val="auto"/>
          <w:sz w:val="32"/>
          <w:szCs w:val="32"/>
          <w:highlight w:val="none"/>
        </w:rPr>
      </w:pPr>
    </w:p>
    <w:p w14:paraId="583DE750">
      <w:pPr>
        <w:pageBreakBefore w:val="0"/>
        <w:wordWrap w:val="0"/>
        <w:overflowPunct/>
        <w:topLinePunct w:val="0"/>
        <w:bidi w:val="0"/>
        <w:spacing w:line="360" w:lineRule="auto"/>
        <w:jc w:val="center"/>
        <w:rPr>
          <w:rFonts w:ascii="宋体" w:hAnsi="宋体" w:cs="宋体"/>
          <w:b/>
          <w:bCs/>
          <w:color w:val="auto"/>
          <w:sz w:val="32"/>
          <w:szCs w:val="32"/>
          <w:highlight w:val="none"/>
        </w:rPr>
      </w:pPr>
    </w:p>
    <w:p w14:paraId="19E7317E">
      <w:pPr>
        <w:pageBreakBefore w:val="0"/>
        <w:wordWrap w:val="0"/>
        <w:overflowPunct/>
        <w:topLinePunct w:val="0"/>
        <w:bidi w:val="0"/>
        <w:spacing w:line="360" w:lineRule="auto"/>
        <w:jc w:val="center"/>
        <w:rPr>
          <w:rFonts w:ascii="宋体" w:hAnsi="宋体" w:cs="宋体"/>
          <w:b/>
          <w:bCs/>
          <w:color w:val="auto"/>
          <w:sz w:val="32"/>
          <w:szCs w:val="32"/>
          <w:highlight w:val="none"/>
        </w:rPr>
      </w:pPr>
    </w:p>
    <w:p w14:paraId="5C7844AC">
      <w:pPr>
        <w:pageBreakBefore w:val="0"/>
        <w:wordWrap w:val="0"/>
        <w:overflowPunct/>
        <w:topLinePunct w:val="0"/>
        <w:bidi w:val="0"/>
        <w:spacing w:line="360" w:lineRule="auto"/>
        <w:jc w:val="center"/>
        <w:rPr>
          <w:rFonts w:ascii="宋体" w:hAnsi="宋体" w:cs="宋体"/>
          <w:b/>
          <w:bCs/>
          <w:color w:val="auto"/>
          <w:sz w:val="32"/>
          <w:szCs w:val="32"/>
          <w:highlight w:val="none"/>
        </w:rPr>
      </w:pPr>
    </w:p>
    <w:p w14:paraId="61E94049">
      <w:pPr>
        <w:pageBreakBefore w:val="0"/>
        <w:wordWrap w:val="0"/>
        <w:overflowPunct/>
        <w:topLinePunct w:val="0"/>
        <w:bidi w:val="0"/>
        <w:spacing w:line="360" w:lineRule="auto"/>
        <w:jc w:val="center"/>
        <w:rPr>
          <w:rFonts w:ascii="宋体" w:hAnsi="宋体" w:cs="宋体"/>
          <w:b/>
          <w:bCs/>
          <w:color w:val="auto"/>
          <w:sz w:val="32"/>
          <w:szCs w:val="32"/>
          <w:highlight w:val="none"/>
        </w:rPr>
      </w:pPr>
    </w:p>
    <w:p w14:paraId="56C0D072">
      <w:pPr>
        <w:pageBreakBefore w:val="0"/>
        <w:wordWrap w:val="0"/>
        <w:overflowPunct/>
        <w:topLinePunct w:val="0"/>
        <w:bidi w:val="0"/>
        <w:spacing w:line="360" w:lineRule="auto"/>
        <w:rPr>
          <w:rFonts w:ascii="宋体" w:hAnsi="宋体" w:cs="宋体"/>
          <w:b/>
          <w:color w:val="auto"/>
          <w:sz w:val="32"/>
          <w:szCs w:val="32"/>
          <w:highlight w:val="none"/>
        </w:rPr>
      </w:pPr>
    </w:p>
    <w:p w14:paraId="4772D4D6">
      <w:pPr>
        <w:pageBreakBefore w:val="0"/>
        <w:wordWrap w:val="0"/>
        <w:overflowPunct/>
        <w:topLinePunct w:val="0"/>
        <w:bidi w:val="0"/>
        <w:spacing w:line="360" w:lineRule="auto"/>
        <w:rPr>
          <w:rFonts w:ascii="宋体" w:hAnsi="宋体" w:cs="宋体"/>
          <w:b/>
          <w:color w:val="auto"/>
          <w:sz w:val="32"/>
          <w:szCs w:val="32"/>
          <w:highlight w:val="none"/>
        </w:rPr>
      </w:pPr>
    </w:p>
    <w:p w14:paraId="77EF9D61">
      <w:pPr>
        <w:pageBreakBefore w:val="0"/>
        <w:wordWrap w:val="0"/>
        <w:overflowPunct/>
        <w:topLinePunct w:val="0"/>
        <w:bidi w:val="0"/>
        <w:spacing w:line="360" w:lineRule="auto"/>
        <w:rPr>
          <w:rFonts w:ascii="宋体" w:hAnsi="宋体" w:cs="宋体"/>
          <w:b/>
          <w:color w:val="auto"/>
          <w:sz w:val="32"/>
          <w:szCs w:val="32"/>
          <w:highlight w:val="none"/>
        </w:rPr>
      </w:pPr>
    </w:p>
    <w:p w14:paraId="13EBEE16">
      <w:pPr>
        <w:pageBreakBefore w:val="0"/>
        <w:wordWrap w:val="0"/>
        <w:overflowPunct/>
        <w:topLinePunct w:val="0"/>
        <w:bidi w:val="0"/>
        <w:spacing w:line="360" w:lineRule="auto"/>
        <w:rPr>
          <w:rFonts w:ascii="宋体" w:hAnsi="宋体" w:cs="宋体"/>
          <w:b/>
          <w:color w:val="auto"/>
          <w:sz w:val="32"/>
          <w:szCs w:val="32"/>
          <w:highlight w:val="none"/>
        </w:rPr>
      </w:pPr>
    </w:p>
    <w:p w14:paraId="58542F93">
      <w:pPr>
        <w:pageBreakBefore w:val="0"/>
        <w:wordWrap w:val="0"/>
        <w:overflowPunct/>
        <w:topLinePunct w:val="0"/>
        <w:bidi w:val="0"/>
        <w:spacing w:line="360" w:lineRule="auto"/>
        <w:rPr>
          <w:rFonts w:ascii="宋体" w:hAnsi="宋体" w:cs="宋体"/>
          <w:b/>
          <w:color w:val="auto"/>
          <w:sz w:val="32"/>
          <w:szCs w:val="32"/>
          <w:highlight w:val="none"/>
        </w:rPr>
      </w:pPr>
    </w:p>
    <w:p w14:paraId="65F4E2A9">
      <w:pPr>
        <w:pageBreakBefore w:val="0"/>
        <w:wordWrap w:val="0"/>
        <w:overflowPunct/>
        <w:topLinePunct w:val="0"/>
        <w:bidi w:val="0"/>
        <w:spacing w:line="360" w:lineRule="auto"/>
        <w:rPr>
          <w:rFonts w:ascii="宋体" w:hAnsi="宋体" w:cs="宋体"/>
          <w:b/>
          <w:color w:val="auto"/>
          <w:sz w:val="32"/>
          <w:szCs w:val="32"/>
          <w:highlight w:val="none"/>
        </w:rPr>
      </w:pPr>
    </w:p>
    <w:p w14:paraId="41DB8703">
      <w:pPr>
        <w:pageBreakBefore w:val="0"/>
        <w:wordWrap w:val="0"/>
        <w:overflowPunct/>
        <w:topLinePunct w:val="0"/>
        <w:bidi w:val="0"/>
        <w:spacing w:line="360" w:lineRule="auto"/>
        <w:rPr>
          <w:rFonts w:ascii="宋体" w:hAnsi="宋体" w:cs="宋体"/>
          <w:b/>
          <w:color w:val="auto"/>
          <w:sz w:val="32"/>
          <w:szCs w:val="32"/>
          <w:highlight w:val="none"/>
        </w:rPr>
      </w:pPr>
    </w:p>
    <w:p w14:paraId="6475039A">
      <w:pPr>
        <w:pageBreakBefore w:val="0"/>
        <w:wordWrap w:val="0"/>
        <w:overflowPunct/>
        <w:topLinePunct w:val="0"/>
        <w:bidi w:val="0"/>
        <w:spacing w:line="360" w:lineRule="auto"/>
        <w:rPr>
          <w:rFonts w:ascii="宋体" w:hAnsi="宋体" w:cs="宋体"/>
          <w:b/>
          <w:color w:val="auto"/>
          <w:sz w:val="32"/>
          <w:szCs w:val="32"/>
          <w:highlight w:val="none"/>
        </w:rPr>
      </w:pPr>
    </w:p>
    <w:p w14:paraId="4BCB8CBF">
      <w:pPr>
        <w:pageBreakBefore w:val="0"/>
        <w:wordWrap w:val="0"/>
        <w:overflowPunct/>
        <w:topLinePunct w:val="0"/>
        <w:bidi w:val="0"/>
        <w:spacing w:line="360" w:lineRule="auto"/>
        <w:rPr>
          <w:rFonts w:ascii="宋体" w:hAnsi="宋体" w:cs="宋体"/>
          <w:b/>
          <w:color w:val="auto"/>
          <w:sz w:val="32"/>
          <w:szCs w:val="32"/>
          <w:highlight w:val="none"/>
        </w:rPr>
      </w:pPr>
    </w:p>
    <w:p w14:paraId="096892E0">
      <w:pPr>
        <w:pageBreakBefore w:val="0"/>
        <w:wordWrap w:val="0"/>
        <w:overflowPunct/>
        <w:topLinePunct w:val="0"/>
        <w:bidi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质疑函制作说明：</w:t>
      </w:r>
    </w:p>
    <w:p w14:paraId="64B9C176">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1.供应商提出质疑时，应提交质疑函和必要的证明材料。</w:t>
      </w:r>
    </w:p>
    <w:p w14:paraId="7230E54E">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2.质疑供应商若委托代理人进行质疑的，质疑函应按要求列明“授权代表”的有关内容，并在附件中提交由质疑</w:t>
      </w:r>
      <w:r>
        <w:rPr>
          <w:rFonts w:hint="eastAsia" w:ascii="宋体" w:hAnsi="宋体" w:cs="宋体"/>
          <w:color w:val="auto"/>
          <w:kern w:val="0"/>
          <w:sz w:val="32"/>
          <w:szCs w:val="32"/>
          <w:highlight w:val="none"/>
        </w:rPr>
        <w:t>供应商签署的授权委托书。授权委托书应载明代理人的姓名或者名称、代理事项、具体权限、期限和相关事项。</w:t>
      </w:r>
    </w:p>
    <w:p w14:paraId="674D5E41">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3.质疑供应商若对项目的某一分包进行质疑，质疑函中应列明具体分包号。</w:t>
      </w:r>
    </w:p>
    <w:p w14:paraId="60B2AEC3">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4.质疑函的质疑事项应具体、明确，并有必要的事实依据和法律依据。</w:t>
      </w:r>
    </w:p>
    <w:p w14:paraId="72DFA205">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5.质疑函的质疑请求应与质疑事项相关。</w:t>
      </w:r>
    </w:p>
    <w:p w14:paraId="39A69743">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6B8ADB7A">
      <w:pPr>
        <w:pageBreakBefore w:val="0"/>
        <w:widowControl/>
        <w:wordWrap w:val="0"/>
        <w:overflowPunct/>
        <w:topLinePunct w:val="0"/>
        <w:bidi w:val="0"/>
        <w:spacing w:line="360" w:lineRule="auto"/>
        <w:ind w:firstLine="600" w:firstLineChars="200"/>
        <w:jc w:val="left"/>
        <w:rPr>
          <w:rFonts w:ascii="宋体" w:hAnsi="宋体" w:cs="宋体"/>
          <w:color w:val="auto"/>
          <w:sz w:val="30"/>
          <w:szCs w:val="30"/>
          <w:highlight w:val="none"/>
        </w:rPr>
      </w:pPr>
    </w:p>
    <w:p w14:paraId="5E9E77DD">
      <w:pPr>
        <w:pageBreakBefore w:val="0"/>
        <w:widowControl/>
        <w:wordWrap w:val="0"/>
        <w:overflowPunct/>
        <w:topLinePunct w:val="0"/>
        <w:bidi w:val="0"/>
        <w:spacing w:line="360" w:lineRule="auto"/>
        <w:jc w:val="left"/>
        <w:rPr>
          <w:rFonts w:ascii="宋体" w:hAnsi="宋体" w:cs="宋体"/>
          <w:color w:val="auto"/>
          <w:kern w:val="0"/>
          <w:sz w:val="24"/>
          <w:highlight w:val="none"/>
        </w:rPr>
        <w:sectPr>
          <w:pgSz w:w="11906" w:h="16838"/>
          <w:pgMar w:top="1440" w:right="1080" w:bottom="1440" w:left="1080" w:header="720" w:footer="720" w:gutter="0"/>
          <w:pgNumType w:fmt="decimal"/>
          <w:cols w:space="720" w:num="1"/>
          <w:docGrid w:type="lines" w:linePitch="331" w:charSpace="0"/>
        </w:sectPr>
      </w:pPr>
    </w:p>
    <w:p w14:paraId="6DB05D70">
      <w:pPr>
        <w:pStyle w:val="6"/>
        <w:pageBreakBefore w:val="0"/>
        <w:wordWrap w:val="0"/>
        <w:overflowPunct/>
        <w:topLinePunct w:val="0"/>
        <w:bidi w:val="0"/>
        <w:spacing w:before="0" w:after="0" w:line="360" w:lineRule="auto"/>
        <w:jc w:val="center"/>
        <w:rPr>
          <w:rFonts w:ascii="宋体" w:hAnsi="宋体" w:eastAsia="宋体" w:cs="宋体"/>
          <w:b w:val="0"/>
          <w:bCs w:val="0"/>
          <w:color w:val="auto"/>
          <w:highlight w:val="none"/>
        </w:rPr>
      </w:pPr>
      <w:bookmarkStart w:id="292" w:name="_Toc14288"/>
      <w:r>
        <w:rPr>
          <w:rFonts w:hint="eastAsia" w:ascii="宋体" w:hAnsi="宋体" w:eastAsia="宋体" w:cs="宋体"/>
          <w:b w:val="0"/>
          <w:bCs w:val="0"/>
          <w:color w:val="auto"/>
          <w:highlight w:val="none"/>
        </w:rPr>
        <w:t>第二节 投诉书（格式）</w:t>
      </w:r>
      <w:bookmarkEnd w:id="292"/>
    </w:p>
    <w:p w14:paraId="5300CF72">
      <w:pPr>
        <w:pageBreakBefore w:val="0"/>
        <w:wordWrap w:val="0"/>
        <w:overflowPunct/>
        <w:topLinePunct w:val="0"/>
        <w:bidi w:val="0"/>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投诉书范本</w:t>
      </w:r>
    </w:p>
    <w:p w14:paraId="73F7B98E">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一、投诉相关主体基本情况</w:t>
      </w:r>
    </w:p>
    <w:p w14:paraId="79CE0383">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投诉人：</w:t>
      </w:r>
      <w:r>
        <w:rPr>
          <w:rFonts w:hint="eastAsia" w:ascii="宋体" w:hAnsi="宋体" w:cs="宋体"/>
          <w:color w:val="auto"/>
          <w:sz w:val="32"/>
          <w:szCs w:val="32"/>
          <w:highlight w:val="none"/>
          <w:u w:val="dotted"/>
        </w:rPr>
        <w:t xml:space="preserve">                                               </w:t>
      </w:r>
    </w:p>
    <w:p w14:paraId="5751B5D4">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7547F6D8">
      <w:pPr>
        <w:pageBreakBefore w:val="0"/>
        <w:tabs>
          <w:tab w:val="left" w:pos="6510"/>
        </w:tabs>
        <w:wordWrap w:val="0"/>
        <w:overflowPunct/>
        <w:topLinePunct w:val="0"/>
        <w:bidi w:val="0"/>
        <w:spacing w:line="360" w:lineRule="auto"/>
        <w:jc w:val="left"/>
        <w:rPr>
          <w:rFonts w:ascii="宋体" w:hAnsi="宋体" w:cs="宋体"/>
          <w:color w:val="auto"/>
          <w:sz w:val="32"/>
          <w:szCs w:val="32"/>
          <w:highlight w:val="none"/>
        </w:rPr>
      </w:pPr>
      <w:r>
        <w:rPr>
          <w:rFonts w:hint="eastAsia" w:ascii="宋体" w:hAnsi="宋体" w:cs="宋体"/>
          <w:color w:val="auto"/>
          <w:sz w:val="32"/>
          <w:szCs w:val="32"/>
          <w:highlight w:val="none"/>
        </w:rPr>
        <w:t>法定代表人/主要负责人：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31AB32FD">
      <w:pPr>
        <w:pageBreakBefore w:val="0"/>
        <w:tabs>
          <w:tab w:val="left" w:pos="6510"/>
        </w:tabs>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35BA0635">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46A78038">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dotted"/>
        </w:rPr>
        <w:t xml:space="preserve">                   </w:t>
      </w:r>
    </w:p>
    <w:p w14:paraId="6C88E598">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被投诉人1：</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78A7F8E7">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3F50C907">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3391647B">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被投诉人2</w:t>
      </w:r>
    </w:p>
    <w:p w14:paraId="7B1E923D">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w:t>
      </w:r>
    </w:p>
    <w:p w14:paraId="72208782">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相关供应商：</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3567DF8A">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1601F37F">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6FA3DC4E">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二、投诉项目基本情况</w:t>
      </w:r>
    </w:p>
    <w:p w14:paraId="2FF2D4CD">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采购项目名称：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南宁市第一人民医院污水处理系统运营服务采购项目</w:t>
      </w:r>
      <w:r>
        <w:rPr>
          <w:rFonts w:hint="eastAsia" w:ascii="宋体" w:hAnsi="宋体" w:cs="宋体"/>
          <w:color w:val="auto"/>
          <w:sz w:val="32"/>
          <w:szCs w:val="32"/>
          <w:highlight w:val="none"/>
          <w:u w:val="dotted"/>
        </w:rPr>
        <w:t xml:space="preserve">   </w:t>
      </w:r>
    </w:p>
    <w:p w14:paraId="419ACA54">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采购项目编号：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07283DCF">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南宁市第一人民医院</w:t>
      </w:r>
      <w:r>
        <w:rPr>
          <w:rFonts w:hint="eastAsia" w:ascii="宋体" w:hAnsi="宋体" w:cs="宋体"/>
          <w:color w:val="auto"/>
          <w:sz w:val="32"/>
          <w:szCs w:val="32"/>
          <w:highlight w:val="none"/>
          <w:u w:val="single"/>
        </w:rPr>
        <w:t xml:space="preserve">  </w:t>
      </w:r>
    </w:p>
    <w:p w14:paraId="128983DE">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代理机构名称：</w:t>
      </w:r>
      <w:r>
        <w:rPr>
          <w:rFonts w:hint="eastAsia" w:ascii="宋体" w:hAnsi="宋体" w:cs="宋体"/>
          <w:color w:val="auto"/>
          <w:sz w:val="32"/>
          <w:szCs w:val="32"/>
          <w:highlight w:val="none"/>
          <w:u w:val="dotted"/>
        </w:rPr>
        <w:t xml:space="preserve">                                         </w:t>
      </w:r>
    </w:p>
    <w:p w14:paraId="38E4B09F">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采购文件公告: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34B14732">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采购结果公告: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6B51C6B0">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三、质疑基本情况</w:t>
      </w:r>
    </w:p>
    <w:p w14:paraId="6CDD6A1E">
      <w:pPr>
        <w:pageBreakBefore w:val="0"/>
        <w:wordWrap w:val="0"/>
        <w:overflowPunct/>
        <w:topLinePunct w:val="0"/>
        <w:bidi w:val="0"/>
        <w:spacing w:line="360" w:lineRule="auto"/>
        <w:ind w:firstLine="640" w:firstLineChars="200"/>
        <w:rPr>
          <w:rFonts w:ascii="宋体" w:hAnsi="宋体" w:cs="宋体"/>
          <w:color w:val="auto"/>
          <w:sz w:val="32"/>
          <w:szCs w:val="32"/>
          <w:highlight w:val="none"/>
          <w:u w:val="dotted"/>
        </w:rPr>
      </w:pPr>
      <w:r>
        <w:rPr>
          <w:rFonts w:hint="eastAsia" w:ascii="宋体" w:hAnsi="宋体" w:cs="宋体"/>
          <w:color w:val="auto"/>
          <w:sz w:val="32"/>
          <w:szCs w:val="32"/>
          <w:highlight w:val="none"/>
        </w:rPr>
        <w:t>投诉人于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日,向</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提出质疑，质疑事项为：</w:t>
      </w:r>
      <w:r>
        <w:rPr>
          <w:rFonts w:hint="eastAsia" w:ascii="宋体" w:hAnsi="宋体" w:cs="宋体"/>
          <w:color w:val="auto"/>
          <w:sz w:val="32"/>
          <w:szCs w:val="32"/>
          <w:highlight w:val="none"/>
          <w:u w:val="dotted"/>
        </w:rPr>
        <w:t xml:space="preserve">                                </w:t>
      </w:r>
    </w:p>
    <w:p w14:paraId="7DD3095F">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3441879D">
      <w:pPr>
        <w:pageBreakBefore w:val="0"/>
        <w:wordWrap w:val="0"/>
        <w:overflowPunct/>
        <w:topLinePunct w:val="0"/>
        <w:bidi w:val="0"/>
        <w:spacing w:line="360" w:lineRule="auto"/>
        <w:ind w:firstLine="480" w:firstLineChars="150"/>
        <w:rPr>
          <w:rFonts w:ascii="宋体" w:hAnsi="宋体" w:cs="宋体"/>
          <w:color w:val="auto"/>
          <w:sz w:val="32"/>
          <w:szCs w:val="32"/>
          <w:highlight w:val="none"/>
        </w:rPr>
      </w:pPr>
      <w:r>
        <w:rPr>
          <w:rFonts w:hint="eastAsia" w:ascii="宋体" w:hAnsi="宋体" w:cs="宋体"/>
          <w:color w:val="auto"/>
          <w:sz w:val="32"/>
          <w:szCs w:val="32"/>
          <w:highlight w:val="none"/>
          <w:u w:val="dotted"/>
        </w:rPr>
        <w:t>采购人/代理机构</w:t>
      </w:r>
      <w:r>
        <w:rPr>
          <w:rFonts w:hint="eastAsia" w:ascii="宋体" w:hAnsi="宋体" w:cs="宋体"/>
          <w:color w:val="auto"/>
          <w:sz w:val="32"/>
          <w:szCs w:val="32"/>
          <w:highlight w:val="none"/>
        </w:rPr>
        <w:t>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日,就质疑事项作出了答复/没有在法定期限内作出答复。</w:t>
      </w:r>
    </w:p>
    <w:p w14:paraId="555563E2">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四、投诉事项具体内容</w:t>
      </w:r>
    </w:p>
    <w:p w14:paraId="44274A63">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投诉事项 1：</w:t>
      </w:r>
      <w:r>
        <w:rPr>
          <w:rFonts w:hint="eastAsia" w:ascii="宋体" w:hAnsi="宋体" w:cs="宋体"/>
          <w:color w:val="auto"/>
          <w:sz w:val="32"/>
          <w:szCs w:val="32"/>
          <w:highlight w:val="none"/>
          <w:u w:val="dotted"/>
        </w:rPr>
        <w:t xml:space="preserve">                                       </w:t>
      </w:r>
    </w:p>
    <w:p w14:paraId="18A1270E">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p>
    <w:p w14:paraId="530276FB">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440FDF78">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76C96D94">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67970A2E">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投诉事项2</w:t>
      </w:r>
    </w:p>
    <w:p w14:paraId="52B43728">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w:t>
      </w:r>
    </w:p>
    <w:p w14:paraId="30B29B62">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五、与投诉事项相关的投诉请求</w:t>
      </w:r>
    </w:p>
    <w:p w14:paraId="60FAEA15">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56DC5EB5">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 xml:space="preserve">                                                                                                    </w:t>
      </w:r>
    </w:p>
    <w:p w14:paraId="28D6932F">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签字(签章)：                   公章：                      </w:t>
      </w:r>
    </w:p>
    <w:p w14:paraId="1B0B4749">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日期：    </w:t>
      </w:r>
    </w:p>
    <w:p w14:paraId="2E220DF7">
      <w:pPr>
        <w:pageBreakBefore w:val="0"/>
        <w:wordWrap w:val="0"/>
        <w:overflowPunct/>
        <w:topLinePunct w:val="0"/>
        <w:bidi w:val="0"/>
        <w:spacing w:line="360" w:lineRule="auto"/>
        <w:rPr>
          <w:rFonts w:ascii="宋体" w:hAnsi="宋体" w:cs="宋体"/>
          <w:b/>
          <w:color w:val="auto"/>
          <w:sz w:val="32"/>
          <w:szCs w:val="32"/>
          <w:highlight w:val="none"/>
        </w:rPr>
      </w:pPr>
    </w:p>
    <w:p w14:paraId="1DD6C42A">
      <w:pPr>
        <w:pageBreakBefore w:val="0"/>
        <w:wordWrap w:val="0"/>
        <w:overflowPunct/>
        <w:topLinePunct w:val="0"/>
        <w:bidi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投诉书制作说明：</w:t>
      </w:r>
    </w:p>
    <w:p w14:paraId="22FBDD9F">
      <w:pPr>
        <w:pageBreakBefore w:val="0"/>
        <w:widowControl/>
        <w:wordWrap w:val="0"/>
        <w:overflowPunct/>
        <w:topLinePunct w:val="0"/>
        <w:bidi w:val="0"/>
        <w:spacing w:line="360" w:lineRule="auto"/>
        <w:ind w:firstLine="640" w:firstLineChars="200"/>
        <w:rPr>
          <w:rFonts w:ascii="宋体" w:hAnsi="宋体" w:cs="宋体"/>
          <w:color w:val="auto"/>
          <w:kern w:val="0"/>
          <w:sz w:val="32"/>
          <w:szCs w:val="32"/>
          <w:highlight w:val="none"/>
        </w:rPr>
      </w:pPr>
      <w:r>
        <w:rPr>
          <w:rFonts w:hint="eastAsia" w:ascii="宋体" w:hAnsi="宋体" w:cs="宋体"/>
          <w:color w:val="auto"/>
          <w:sz w:val="32"/>
          <w:szCs w:val="32"/>
          <w:highlight w:val="none"/>
        </w:rPr>
        <w:t>1.投诉人提起投诉时，应当提交投诉书和必要的证明材料，并按照被投诉人和与投诉事项有关的供应商数量提供投诉书副本。</w:t>
      </w:r>
    </w:p>
    <w:p w14:paraId="1510B337">
      <w:pPr>
        <w:pageBreakBefore w:val="0"/>
        <w:widowControl/>
        <w:wordWrap w:val="0"/>
        <w:overflowPunct/>
        <w:topLinePunct w:val="0"/>
        <w:bidi w:val="0"/>
        <w:spacing w:line="360" w:lineRule="auto"/>
        <w:ind w:firstLine="640" w:firstLineChars="200"/>
        <w:jc w:val="left"/>
        <w:rPr>
          <w:rFonts w:ascii="宋体" w:hAnsi="宋体" w:cs="宋体"/>
          <w:color w:val="auto"/>
          <w:kern w:val="0"/>
          <w:sz w:val="32"/>
          <w:szCs w:val="32"/>
          <w:highlight w:val="none"/>
        </w:rPr>
      </w:pPr>
      <w:r>
        <w:rPr>
          <w:rFonts w:hint="eastAsia" w:ascii="宋体" w:hAnsi="宋体" w:cs="宋体"/>
          <w:color w:val="auto"/>
          <w:sz w:val="32"/>
          <w:szCs w:val="32"/>
          <w:highlight w:val="none"/>
        </w:rPr>
        <w:t>2.投诉人若委托代理人进行投诉的，投诉书应按照要求列明“授权代表”的有关内容，并在附件中提交由</w:t>
      </w:r>
      <w:r>
        <w:rPr>
          <w:rFonts w:hint="eastAsia" w:ascii="宋体" w:hAnsi="宋体" w:cs="宋体"/>
          <w:color w:val="auto"/>
          <w:kern w:val="0"/>
          <w:sz w:val="32"/>
          <w:szCs w:val="32"/>
          <w:highlight w:val="none"/>
        </w:rPr>
        <w:t>投诉人签署的授权委托书。授权委托书应当载明代理人的姓名或者名称、代理事项、具体权限、期限和相关事项。</w:t>
      </w:r>
    </w:p>
    <w:p w14:paraId="5E9DC69A">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3.投诉人若对项目的某一分包进行投诉，投诉书应列明具体分包号。</w:t>
      </w:r>
    </w:p>
    <w:p w14:paraId="6633EBAC">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4.投诉书应简要列明质疑事项，质疑函、质疑答复等作为附件材料提供。</w:t>
      </w:r>
    </w:p>
    <w:p w14:paraId="1A7735F8">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5.投诉书的投诉事项应具体、明确，并有必要的事实依据和法律依据。</w:t>
      </w:r>
    </w:p>
    <w:p w14:paraId="6F7C1A8C">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6.投诉书的投诉请求应与投诉事项相关。</w:t>
      </w:r>
    </w:p>
    <w:p w14:paraId="1EBF2FB0">
      <w:pPr>
        <w:pageBreakBefore w:val="0"/>
        <w:widowControl/>
        <w:wordWrap w:val="0"/>
        <w:overflowPunct/>
        <w:topLinePunct w:val="0"/>
        <w:bidi w:val="0"/>
        <w:spacing w:line="360" w:lineRule="auto"/>
        <w:ind w:firstLine="640" w:firstLineChars="200"/>
        <w:jc w:val="left"/>
        <w:rPr>
          <w:rFonts w:ascii="宋体" w:hAnsi="宋体" w:cs="宋体"/>
          <w:color w:val="auto"/>
          <w:kern w:val="0"/>
          <w:sz w:val="32"/>
          <w:szCs w:val="32"/>
          <w:highlight w:val="none"/>
        </w:rPr>
      </w:pPr>
      <w:r>
        <w:rPr>
          <w:rFonts w:hint="eastAsia" w:ascii="宋体" w:hAnsi="宋体" w:cs="宋体"/>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7E196084">
      <w:pPr>
        <w:pageBreakBefore w:val="0"/>
        <w:wordWrap w:val="0"/>
        <w:overflowPunct/>
        <w:topLinePunct w:val="0"/>
        <w:bidi w:val="0"/>
        <w:spacing w:line="360" w:lineRule="auto"/>
        <w:rPr>
          <w:rFonts w:ascii="宋体" w:hAnsi="宋体" w:cs="宋体"/>
          <w:color w:val="auto"/>
          <w:highlight w:val="none"/>
        </w:rPr>
      </w:pPr>
    </w:p>
    <w:p w14:paraId="0146801C">
      <w:pPr>
        <w:pageBreakBefore w:val="0"/>
        <w:overflowPunct/>
        <w:topLinePunct w:val="0"/>
        <w:bidi w:val="0"/>
        <w:spacing w:line="360" w:lineRule="auto"/>
        <w:rPr>
          <w:color w:val="auto"/>
          <w:highlight w:val="none"/>
        </w:rPr>
      </w:pPr>
    </w:p>
    <w:sectPr>
      <w:footerReference r:id="rId13" w:type="first"/>
      <w:headerReference r:id="rId10" w:type="default"/>
      <w:footerReference r:id="rId11" w:type="default"/>
      <w:footerReference r:id="rId12" w:type="even"/>
      <w:pgSz w:w="11906" w:h="16838"/>
      <w:pgMar w:top="1440" w:right="1080" w:bottom="1440" w:left="1080"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07D65">
    <w:pPr>
      <w:pStyle w:val="15"/>
      <w:tabs>
        <w:tab w:val="center" w:pos="487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0A8CA">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3C0A8CA">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5B41C">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EE1A4">
                          <w:pPr>
                            <w:pStyle w:val="1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BBEE1A4">
                    <w:pPr>
                      <w:pStyle w:val="1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74B1D">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ADE66">
                          <w:pPr>
                            <w:pStyle w:val="1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F8ADE66">
                    <w:pPr>
                      <w:pStyle w:val="1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6AA9A">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1014C">
                          <w:pPr>
                            <w:pStyle w:val="1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051014C">
                    <w:pPr>
                      <w:pStyle w:val="1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6FC0C">
    <w:pPr>
      <w:pStyle w:val="1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80C8C">
                          <w:pPr>
                            <w:pStyle w:val="15"/>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D080C8C">
                    <w:pPr>
                      <w:pStyle w:val="15"/>
                    </w:pPr>
                    <w:r>
                      <w:fldChar w:fldCharType="begin"/>
                    </w:r>
                    <w:r>
                      <w:instrText xml:space="preserve"> PAGE  \* MERGEFORMAT </w:instrText>
                    </w:r>
                    <w:r>
                      <w:fldChar w:fldCharType="separate"/>
                    </w:r>
                    <w:r>
                      <w:t>155</w:t>
                    </w:r>
                    <w:r>
                      <w:fldChar w:fldCharType="end"/>
                    </w:r>
                  </w:p>
                </w:txbxContent>
              </v:textbox>
            </v:shape>
          </w:pict>
        </mc:Fallback>
      </mc:AlternateContent>
    </w:r>
  </w:p>
  <w:p w14:paraId="3ECF87A2">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3EC58">
    <w:pPr>
      <w:pStyle w:val="15"/>
      <w:framePr w:wrap="around" w:vAnchor="text" w:hAnchor="margin" w:xAlign="center" w:y="1"/>
      <w:rPr>
        <w:rStyle w:val="26"/>
      </w:rPr>
    </w:pPr>
    <w:r>
      <w:fldChar w:fldCharType="begin"/>
    </w:r>
    <w:r>
      <w:rPr>
        <w:rStyle w:val="26"/>
      </w:rPr>
      <w:instrText xml:space="preserve">PAGE  </w:instrText>
    </w:r>
    <w:r>
      <w:fldChar w:fldCharType="end"/>
    </w:r>
  </w:p>
  <w:p w14:paraId="5A2F5849">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84A56">
    <w:pPr>
      <w:pStyle w:val="15"/>
      <w:framePr w:wrap="around" w:vAnchor="text" w:hAnchor="margin" w:xAlign="right" w:y="1"/>
      <w:rPr>
        <w:rStyle w:val="26"/>
      </w:rPr>
    </w:pPr>
    <w:r>
      <w:fldChar w:fldCharType="begin"/>
    </w:r>
    <w:r>
      <w:rPr>
        <w:rStyle w:val="26"/>
      </w:rPr>
      <w:instrText xml:space="preserve">PAGE  </w:instrText>
    </w:r>
    <w:r>
      <w:fldChar w:fldCharType="separate"/>
    </w:r>
    <w:r>
      <w:rPr>
        <w:rStyle w:val="26"/>
      </w:rPr>
      <w:t>122</w:t>
    </w:r>
    <w:r>
      <w:fldChar w:fldCharType="end"/>
    </w:r>
  </w:p>
  <w:p w14:paraId="7B0D0487">
    <w:pPr>
      <w:pStyle w:val="15"/>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0EAC3">
    <w:pPr>
      <w:widowControl/>
      <w:ind w:left="-360" w:right="360"/>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021EC">
    <w:pPr>
      <w:pStyle w:val="16"/>
      <w:pBdr>
        <w:bottom w:val="none" w:color="auto" w:sz="0" w:space="1"/>
      </w:pBdr>
      <w:tabs>
        <w:tab w:val="center" w:pos="0"/>
        <w:tab w:val="clear" w:pos="4153"/>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96118">
    <w:pPr>
      <w:pStyle w:val="16"/>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E3D80">
    <w:pPr>
      <w:pStyle w:val="1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3">
    <w:nsid w:val="51536378"/>
    <w:multiLevelType w:val="singleLevel"/>
    <w:tmpl w:val="51536378"/>
    <w:lvl w:ilvl="0" w:tentative="0">
      <w:start w:val="1"/>
      <w:numFmt w:val="decimal"/>
      <w:suff w:val="nothing"/>
      <w:lvlText w:val="（%1）"/>
      <w:lvlJc w:val="left"/>
      <w:pPr>
        <w:ind w:left="0" w:firstLine="0"/>
      </w:pPr>
    </w:lvl>
  </w:abstractNum>
  <w:abstractNum w:abstractNumId="4">
    <w:nsid w:val="704FD9C0"/>
    <w:multiLevelType w:val="singleLevel"/>
    <w:tmpl w:val="704FD9C0"/>
    <w:lvl w:ilvl="0" w:tentative="0">
      <w:start w:val="2"/>
      <w:numFmt w:val="decimal"/>
      <w:lvlText w:val="%1."/>
      <w:lvlJc w:val="left"/>
      <w:pPr>
        <w:tabs>
          <w:tab w:val="left" w:pos="312"/>
        </w:tabs>
      </w:pPr>
    </w:lvl>
  </w:abstractNum>
  <w:abstractNum w:abstractNumId="5">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4"/>
  </w:num>
  <w:num w:numId="2">
    <w:abstractNumId w:val="0"/>
  </w:num>
  <w:num w:numId="3">
    <w:abstractNumId w:val="3"/>
    <w:lvlOverride w:ilvl="0">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dit="readOnly" w:enforcement="1" w:cryptProviderType="rsaFull" w:cryptAlgorithmClass="hash" w:cryptAlgorithmType="typeAny" w:cryptAlgorithmSid="4" w:cryptSpinCount="0" w:hash="f65vOZI6toFyONNi/9y5ztzFBpY=" w:salt="RadM98cqpD0gD1RLpPhbX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iOTFhODhhODQ5MGE1NjQ3NjcyY2IzYTY3ZGMxNDUifQ=="/>
  </w:docVars>
  <w:rsids>
    <w:rsidRoot w:val="00000000"/>
    <w:rsid w:val="003B03D5"/>
    <w:rsid w:val="006B107F"/>
    <w:rsid w:val="00702588"/>
    <w:rsid w:val="007E5C3E"/>
    <w:rsid w:val="009C34F0"/>
    <w:rsid w:val="00AA3CEC"/>
    <w:rsid w:val="0114696D"/>
    <w:rsid w:val="011A24F4"/>
    <w:rsid w:val="011B61E8"/>
    <w:rsid w:val="012D26B9"/>
    <w:rsid w:val="015717F3"/>
    <w:rsid w:val="016C134C"/>
    <w:rsid w:val="01791910"/>
    <w:rsid w:val="01A83B36"/>
    <w:rsid w:val="01A9706E"/>
    <w:rsid w:val="01B96726"/>
    <w:rsid w:val="01C76C64"/>
    <w:rsid w:val="01D17056"/>
    <w:rsid w:val="01DF58FF"/>
    <w:rsid w:val="020F5516"/>
    <w:rsid w:val="022434AA"/>
    <w:rsid w:val="022E5068"/>
    <w:rsid w:val="022E6257"/>
    <w:rsid w:val="02E21BB0"/>
    <w:rsid w:val="034675D0"/>
    <w:rsid w:val="035B7934"/>
    <w:rsid w:val="03800D34"/>
    <w:rsid w:val="03936CB9"/>
    <w:rsid w:val="03C42B10"/>
    <w:rsid w:val="03E07A24"/>
    <w:rsid w:val="03F67248"/>
    <w:rsid w:val="04014A22"/>
    <w:rsid w:val="047E40C8"/>
    <w:rsid w:val="048671F6"/>
    <w:rsid w:val="04C3537C"/>
    <w:rsid w:val="04D31260"/>
    <w:rsid w:val="04E57E5F"/>
    <w:rsid w:val="04F05F5C"/>
    <w:rsid w:val="051A66FF"/>
    <w:rsid w:val="053578FC"/>
    <w:rsid w:val="053C35E5"/>
    <w:rsid w:val="055C7A3C"/>
    <w:rsid w:val="059A7FF8"/>
    <w:rsid w:val="05DF50B4"/>
    <w:rsid w:val="05F45A09"/>
    <w:rsid w:val="061C3E19"/>
    <w:rsid w:val="062743A8"/>
    <w:rsid w:val="064C5934"/>
    <w:rsid w:val="068C63E6"/>
    <w:rsid w:val="069C78A6"/>
    <w:rsid w:val="06DB08CB"/>
    <w:rsid w:val="070F3095"/>
    <w:rsid w:val="07353773"/>
    <w:rsid w:val="07760507"/>
    <w:rsid w:val="07A115AA"/>
    <w:rsid w:val="07D93E14"/>
    <w:rsid w:val="07E52840"/>
    <w:rsid w:val="07F97307"/>
    <w:rsid w:val="07FC6A9B"/>
    <w:rsid w:val="0800646B"/>
    <w:rsid w:val="08210C3F"/>
    <w:rsid w:val="083D43BB"/>
    <w:rsid w:val="086C047F"/>
    <w:rsid w:val="08DC4C5E"/>
    <w:rsid w:val="08E941C1"/>
    <w:rsid w:val="08F46A11"/>
    <w:rsid w:val="093866D7"/>
    <w:rsid w:val="09500BC2"/>
    <w:rsid w:val="095755BC"/>
    <w:rsid w:val="09633D4C"/>
    <w:rsid w:val="096832A8"/>
    <w:rsid w:val="09C63218"/>
    <w:rsid w:val="09C747F8"/>
    <w:rsid w:val="09D65B51"/>
    <w:rsid w:val="0A0D77DE"/>
    <w:rsid w:val="0A391C3C"/>
    <w:rsid w:val="0A637914"/>
    <w:rsid w:val="0A9A1B2A"/>
    <w:rsid w:val="0AFA79DE"/>
    <w:rsid w:val="0AFD0EBC"/>
    <w:rsid w:val="0B0C3A2C"/>
    <w:rsid w:val="0B1B7594"/>
    <w:rsid w:val="0B62022D"/>
    <w:rsid w:val="0B7F6C11"/>
    <w:rsid w:val="0B973201"/>
    <w:rsid w:val="0BCE2E8C"/>
    <w:rsid w:val="0BD92149"/>
    <w:rsid w:val="0BFE313E"/>
    <w:rsid w:val="0C0B29FE"/>
    <w:rsid w:val="0C156296"/>
    <w:rsid w:val="0C2204D2"/>
    <w:rsid w:val="0C4261B5"/>
    <w:rsid w:val="0C5B40EC"/>
    <w:rsid w:val="0C660A4F"/>
    <w:rsid w:val="0C675B15"/>
    <w:rsid w:val="0C840865"/>
    <w:rsid w:val="0CC22920"/>
    <w:rsid w:val="0CC75DB7"/>
    <w:rsid w:val="0CC779D3"/>
    <w:rsid w:val="0D55643E"/>
    <w:rsid w:val="0D7C6A10"/>
    <w:rsid w:val="0D8E53DA"/>
    <w:rsid w:val="0D9F6275"/>
    <w:rsid w:val="0DA10224"/>
    <w:rsid w:val="0DB717F6"/>
    <w:rsid w:val="0E1E4BF1"/>
    <w:rsid w:val="0E39434A"/>
    <w:rsid w:val="0E5A476E"/>
    <w:rsid w:val="0E615C83"/>
    <w:rsid w:val="0E625C06"/>
    <w:rsid w:val="0E6A4ABA"/>
    <w:rsid w:val="0E9258D1"/>
    <w:rsid w:val="0E971AE4"/>
    <w:rsid w:val="0E9C0CAF"/>
    <w:rsid w:val="0ECD3DD1"/>
    <w:rsid w:val="0ECF0DC1"/>
    <w:rsid w:val="0ED97444"/>
    <w:rsid w:val="0EEC1DB6"/>
    <w:rsid w:val="0F3A26DF"/>
    <w:rsid w:val="0F582B65"/>
    <w:rsid w:val="0F8F4A85"/>
    <w:rsid w:val="0FBC76C1"/>
    <w:rsid w:val="0FDC0458"/>
    <w:rsid w:val="0FEC4D34"/>
    <w:rsid w:val="101051ED"/>
    <w:rsid w:val="1018349D"/>
    <w:rsid w:val="103C7905"/>
    <w:rsid w:val="103E1D5B"/>
    <w:rsid w:val="1066434D"/>
    <w:rsid w:val="1081433D"/>
    <w:rsid w:val="10846DA4"/>
    <w:rsid w:val="10A9762F"/>
    <w:rsid w:val="10B7533E"/>
    <w:rsid w:val="10F36003"/>
    <w:rsid w:val="110B7B99"/>
    <w:rsid w:val="111355E0"/>
    <w:rsid w:val="11473AE5"/>
    <w:rsid w:val="1148533B"/>
    <w:rsid w:val="117328B7"/>
    <w:rsid w:val="11752F79"/>
    <w:rsid w:val="11C22033"/>
    <w:rsid w:val="11EB7CC0"/>
    <w:rsid w:val="11EC157F"/>
    <w:rsid w:val="12130F29"/>
    <w:rsid w:val="12270C23"/>
    <w:rsid w:val="123E374A"/>
    <w:rsid w:val="126C2A6B"/>
    <w:rsid w:val="12AA7B7B"/>
    <w:rsid w:val="12D60970"/>
    <w:rsid w:val="12E007D0"/>
    <w:rsid w:val="1321035B"/>
    <w:rsid w:val="136610BC"/>
    <w:rsid w:val="137D3BAA"/>
    <w:rsid w:val="138B3F94"/>
    <w:rsid w:val="13983E78"/>
    <w:rsid w:val="13CA2663"/>
    <w:rsid w:val="13DD7ADC"/>
    <w:rsid w:val="13F56E49"/>
    <w:rsid w:val="141F4BCF"/>
    <w:rsid w:val="14337FB3"/>
    <w:rsid w:val="146B2753"/>
    <w:rsid w:val="14AA3BFE"/>
    <w:rsid w:val="14C01C03"/>
    <w:rsid w:val="14D61575"/>
    <w:rsid w:val="14E86739"/>
    <w:rsid w:val="15063EC0"/>
    <w:rsid w:val="15354147"/>
    <w:rsid w:val="154E0D1F"/>
    <w:rsid w:val="155572BB"/>
    <w:rsid w:val="15774ACC"/>
    <w:rsid w:val="15877D00"/>
    <w:rsid w:val="15A959CF"/>
    <w:rsid w:val="15BB3E4D"/>
    <w:rsid w:val="15BB63AF"/>
    <w:rsid w:val="15CE4B68"/>
    <w:rsid w:val="15D464FA"/>
    <w:rsid w:val="163A5D27"/>
    <w:rsid w:val="1685306D"/>
    <w:rsid w:val="16A35A1A"/>
    <w:rsid w:val="16B801B7"/>
    <w:rsid w:val="16E117E3"/>
    <w:rsid w:val="170A508C"/>
    <w:rsid w:val="1713015F"/>
    <w:rsid w:val="173E43E9"/>
    <w:rsid w:val="1742736F"/>
    <w:rsid w:val="174560C4"/>
    <w:rsid w:val="1766487A"/>
    <w:rsid w:val="1767588B"/>
    <w:rsid w:val="17793FC0"/>
    <w:rsid w:val="178F5592"/>
    <w:rsid w:val="185C4105"/>
    <w:rsid w:val="1872043E"/>
    <w:rsid w:val="188654DE"/>
    <w:rsid w:val="18986ADD"/>
    <w:rsid w:val="18A84B5D"/>
    <w:rsid w:val="190460D4"/>
    <w:rsid w:val="190F4842"/>
    <w:rsid w:val="19310FB2"/>
    <w:rsid w:val="19424491"/>
    <w:rsid w:val="19925B38"/>
    <w:rsid w:val="19AB176E"/>
    <w:rsid w:val="19BA73EF"/>
    <w:rsid w:val="19DE22C0"/>
    <w:rsid w:val="19EA2DAD"/>
    <w:rsid w:val="19F56590"/>
    <w:rsid w:val="1A2431D0"/>
    <w:rsid w:val="1A366198"/>
    <w:rsid w:val="1A462986"/>
    <w:rsid w:val="1A5328A6"/>
    <w:rsid w:val="1A9C6956"/>
    <w:rsid w:val="1AB85684"/>
    <w:rsid w:val="1B1D66C9"/>
    <w:rsid w:val="1B1F6C2C"/>
    <w:rsid w:val="1B250E06"/>
    <w:rsid w:val="1B4D4FFE"/>
    <w:rsid w:val="1B5811BD"/>
    <w:rsid w:val="1B59213E"/>
    <w:rsid w:val="1B5B0FB2"/>
    <w:rsid w:val="1B60171F"/>
    <w:rsid w:val="1B866CAC"/>
    <w:rsid w:val="1BA85C48"/>
    <w:rsid w:val="1BE32A90"/>
    <w:rsid w:val="1BE872A1"/>
    <w:rsid w:val="1C166EA4"/>
    <w:rsid w:val="1C3B5A34"/>
    <w:rsid w:val="1C6E0AF0"/>
    <w:rsid w:val="1C737230"/>
    <w:rsid w:val="1C7A52FD"/>
    <w:rsid w:val="1C7A5F5C"/>
    <w:rsid w:val="1C99656B"/>
    <w:rsid w:val="1CBD04AB"/>
    <w:rsid w:val="1CD22C12"/>
    <w:rsid w:val="1D3833BB"/>
    <w:rsid w:val="1D7A639C"/>
    <w:rsid w:val="1DA340E3"/>
    <w:rsid w:val="1DB141AF"/>
    <w:rsid w:val="1E110AAE"/>
    <w:rsid w:val="1E303A3C"/>
    <w:rsid w:val="1E35170E"/>
    <w:rsid w:val="1E3D7AF5"/>
    <w:rsid w:val="1E7B23CC"/>
    <w:rsid w:val="1E995E33"/>
    <w:rsid w:val="1EAB0F03"/>
    <w:rsid w:val="1F470853"/>
    <w:rsid w:val="1F5B5165"/>
    <w:rsid w:val="1FC251E9"/>
    <w:rsid w:val="1FC7057B"/>
    <w:rsid w:val="1FD87CD3"/>
    <w:rsid w:val="1FE93853"/>
    <w:rsid w:val="20000B35"/>
    <w:rsid w:val="2043110D"/>
    <w:rsid w:val="20524589"/>
    <w:rsid w:val="206C6470"/>
    <w:rsid w:val="20944159"/>
    <w:rsid w:val="20CD7372"/>
    <w:rsid w:val="210750E4"/>
    <w:rsid w:val="2137182E"/>
    <w:rsid w:val="215E2F3E"/>
    <w:rsid w:val="21613AFB"/>
    <w:rsid w:val="216D6944"/>
    <w:rsid w:val="21957C48"/>
    <w:rsid w:val="21C54D15"/>
    <w:rsid w:val="21C86449"/>
    <w:rsid w:val="21DE514B"/>
    <w:rsid w:val="21F7445F"/>
    <w:rsid w:val="21FF3314"/>
    <w:rsid w:val="221E6AC9"/>
    <w:rsid w:val="22267A7B"/>
    <w:rsid w:val="224C47AB"/>
    <w:rsid w:val="22B629C8"/>
    <w:rsid w:val="22B87017"/>
    <w:rsid w:val="22DF7BF5"/>
    <w:rsid w:val="23166AD4"/>
    <w:rsid w:val="232272BA"/>
    <w:rsid w:val="23490CEA"/>
    <w:rsid w:val="23694EE9"/>
    <w:rsid w:val="23A053ED"/>
    <w:rsid w:val="23D74548"/>
    <w:rsid w:val="23EC53FD"/>
    <w:rsid w:val="23ED78C8"/>
    <w:rsid w:val="240F3D17"/>
    <w:rsid w:val="24611DB4"/>
    <w:rsid w:val="249D12EE"/>
    <w:rsid w:val="24A36A13"/>
    <w:rsid w:val="24B91EA0"/>
    <w:rsid w:val="24BA0F5A"/>
    <w:rsid w:val="250D4C07"/>
    <w:rsid w:val="25103F1D"/>
    <w:rsid w:val="25180974"/>
    <w:rsid w:val="25827978"/>
    <w:rsid w:val="25A246E2"/>
    <w:rsid w:val="25A663F8"/>
    <w:rsid w:val="25B223F3"/>
    <w:rsid w:val="25C67388"/>
    <w:rsid w:val="25F73FD0"/>
    <w:rsid w:val="260D1F7D"/>
    <w:rsid w:val="262D044F"/>
    <w:rsid w:val="262E41C8"/>
    <w:rsid w:val="26577F01"/>
    <w:rsid w:val="265956E8"/>
    <w:rsid w:val="2663431E"/>
    <w:rsid w:val="26705CD7"/>
    <w:rsid w:val="26712A32"/>
    <w:rsid w:val="26773DC1"/>
    <w:rsid w:val="269A19B2"/>
    <w:rsid w:val="26DC702B"/>
    <w:rsid w:val="26F655FE"/>
    <w:rsid w:val="27034FD1"/>
    <w:rsid w:val="2742617D"/>
    <w:rsid w:val="27617694"/>
    <w:rsid w:val="276D792E"/>
    <w:rsid w:val="27B25B40"/>
    <w:rsid w:val="27BA189D"/>
    <w:rsid w:val="27C40159"/>
    <w:rsid w:val="27CB5596"/>
    <w:rsid w:val="27E71F60"/>
    <w:rsid w:val="27F2725B"/>
    <w:rsid w:val="281C4C20"/>
    <w:rsid w:val="28321D4D"/>
    <w:rsid w:val="285C7226"/>
    <w:rsid w:val="28771E56"/>
    <w:rsid w:val="28884063"/>
    <w:rsid w:val="28A54C15"/>
    <w:rsid w:val="28B26DCA"/>
    <w:rsid w:val="28BD5C74"/>
    <w:rsid w:val="29401650"/>
    <w:rsid w:val="294F692F"/>
    <w:rsid w:val="29713F97"/>
    <w:rsid w:val="29714AF7"/>
    <w:rsid w:val="29890093"/>
    <w:rsid w:val="29A749BD"/>
    <w:rsid w:val="29C54E43"/>
    <w:rsid w:val="29DE12E8"/>
    <w:rsid w:val="29DE3815"/>
    <w:rsid w:val="29F179E6"/>
    <w:rsid w:val="29F3375E"/>
    <w:rsid w:val="29FA6550"/>
    <w:rsid w:val="2A3B5D29"/>
    <w:rsid w:val="2A480815"/>
    <w:rsid w:val="2A5C22C2"/>
    <w:rsid w:val="2ABC12D3"/>
    <w:rsid w:val="2AEA659A"/>
    <w:rsid w:val="2B0100FD"/>
    <w:rsid w:val="2B0D2CED"/>
    <w:rsid w:val="2B115961"/>
    <w:rsid w:val="2B3E51A2"/>
    <w:rsid w:val="2B732DA8"/>
    <w:rsid w:val="2B973A6F"/>
    <w:rsid w:val="2BF2354D"/>
    <w:rsid w:val="2C3B721F"/>
    <w:rsid w:val="2C3F62B4"/>
    <w:rsid w:val="2C5B7FC7"/>
    <w:rsid w:val="2C9262C2"/>
    <w:rsid w:val="2CA2304A"/>
    <w:rsid w:val="2CBC252D"/>
    <w:rsid w:val="2CDF7FCA"/>
    <w:rsid w:val="2CE453B8"/>
    <w:rsid w:val="2CEB2E12"/>
    <w:rsid w:val="2D1660E1"/>
    <w:rsid w:val="2D1927C5"/>
    <w:rsid w:val="2D6230D5"/>
    <w:rsid w:val="2D6575A5"/>
    <w:rsid w:val="2D722ADE"/>
    <w:rsid w:val="2D915768"/>
    <w:rsid w:val="2DA46792"/>
    <w:rsid w:val="2DAD44B7"/>
    <w:rsid w:val="2DB03710"/>
    <w:rsid w:val="2DBC729F"/>
    <w:rsid w:val="2E355705"/>
    <w:rsid w:val="2E495095"/>
    <w:rsid w:val="2E66136F"/>
    <w:rsid w:val="2E964E15"/>
    <w:rsid w:val="2E9C2D3D"/>
    <w:rsid w:val="2EC10EF4"/>
    <w:rsid w:val="2ED53790"/>
    <w:rsid w:val="2EE30245"/>
    <w:rsid w:val="2F100774"/>
    <w:rsid w:val="2F4C37F0"/>
    <w:rsid w:val="2F68074A"/>
    <w:rsid w:val="2FB43C50"/>
    <w:rsid w:val="2FC05E73"/>
    <w:rsid w:val="2FDE30CD"/>
    <w:rsid w:val="30082097"/>
    <w:rsid w:val="3013511E"/>
    <w:rsid w:val="30156509"/>
    <w:rsid w:val="301D7787"/>
    <w:rsid w:val="3023045A"/>
    <w:rsid w:val="303D5733"/>
    <w:rsid w:val="30467249"/>
    <w:rsid w:val="30584ADD"/>
    <w:rsid w:val="30596F99"/>
    <w:rsid w:val="307A0C97"/>
    <w:rsid w:val="30BF099B"/>
    <w:rsid w:val="30F91D1F"/>
    <w:rsid w:val="311B5CD1"/>
    <w:rsid w:val="31215055"/>
    <w:rsid w:val="31374878"/>
    <w:rsid w:val="31631466"/>
    <w:rsid w:val="316C1524"/>
    <w:rsid w:val="31902471"/>
    <w:rsid w:val="31AB2B70"/>
    <w:rsid w:val="32623440"/>
    <w:rsid w:val="32665609"/>
    <w:rsid w:val="327E08CD"/>
    <w:rsid w:val="32805DAB"/>
    <w:rsid w:val="32BF2D77"/>
    <w:rsid w:val="32BF4B25"/>
    <w:rsid w:val="33026AB6"/>
    <w:rsid w:val="33362D41"/>
    <w:rsid w:val="33A15FD9"/>
    <w:rsid w:val="33AD4ACE"/>
    <w:rsid w:val="33B421B0"/>
    <w:rsid w:val="33D22636"/>
    <w:rsid w:val="33DE08AA"/>
    <w:rsid w:val="33E504C8"/>
    <w:rsid w:val="33F16F60"/>
    <w:rsid w:val="33F627C9"/>
    <w:rsid w:val="34086058"/>
    <w:rsid w:val="34180991"/>
    <w:rsid w:val="341A3D5E"/>
    <w:rsid w:val="346516FC"/>
    <w:rsid w:val="346D235F"/>
    <w:rsid w:val="34760F9C"/>
    <w:rsid w:val="34981D2D"/>
    <w:rsid w:val="34B85CD0"/>
    <w:rsid w:val="34DD36E9"/>
    <w:rsid w:val="34DF500B"/>
    <w:rsid w:val="34FA7BA3"/>
    <w:rsid w:val="353735E2"/>
    <w:rsid w:val="35725E7F"/>
    <w:rsid w:val="357C6CFE"/>
    <w:rsid w:val="35D10FDA"/>
    <w:rsid w:val="363045D4"/>
    <w:rsid w:val="36317AE8"/>
    <w:rsid w:val="36352F10"/>
    <w:rsid w:val="366B20ED"/>
    <w:rsid w:val="36A14151"/>
    <w:rsid w:val="36DF5796"/>
    <w:rsid w:val="36EA1AA7"/>
    <w:rsid w:val="372F0797"/>
    <w:rsid w:val="373F6235"/>
    <w:rsid w:val="378325C5"/>
    <w:rsid w:val="37875D5D"/>
    <w:rsid w:val="37C036A0"/>
    <w:rsid w:val="37D16BE0"/>
    <w:rsid w:val="37D20543"/>
    <w:rsid w:val="37F8403C"/>
    <w:rsid w:val="380050F8"/>
    <w:rsid w:val="38077F6A"/>
    <w:rsid w:val="38820F96"/>
    <w:rsid w:val="388C7CF5"/>
    <w:rsid w:val="389D44A3"/>
    <w:rsid w:val="38AD1EBD"/>
    <w:rsid w:val="38F02E41"/>
    <w:rsid w:val="38F15A12"/>
    <w:rsid w:val="390A2872"/>
    <w:rsid w:val="397F6DBC"/>
    <w:rsid w:val="398E4B52"/>
    <w:rsid w:val="39FB3D10"/>
    <w:rsid w:val="3A2406E3"/>
    <w:rsid w:val="3A276B1D"/>
    <w:rsid w:val="3A400CEE"/>
    <w:rsid w:val="3A5B15D7"/>
    <w:rsid w:val="3A780170"/>
    <w:rsid w:val="3AA83E48"/>
    <w:rsid w:val="3AE57432"/>
    <w:rsid w:val="3AFA37B9"/>
    <w:rsid w:val="3AFD387B"/>
    <w:rsid w:val="3B02630E"/>
    <w:rsid w:val="3B181276"/>
    <w:rsid w:val="3B240A18"/>
    <w:rsid w:val="3B3C1C66"/>
    <w:rsid w:val="3B8F36BD"/>
    <w:rsid w:val="3B936B4F"/>
    <w:rsid w:val="3BAD1D69"/>
    <w:rsid w:val="3BB76081"/>
    <w:rsid w:val="3BC57D88"/>
    <w:rsid w:val="3BF03FA1"/>
    <w:rsid w:val="3C2974B3"/>
    <w:rsid w:val="3C340332"/>
    <w:rsid w:val="3C4E7E14"/>
    <w:rsid w:val="3C687931"/>
    <w:rsid w:val="3C8539D6"/>
    <w:rsid w:val="3CA54D8C"/>
    <w:rsid w:val="3CB925E5"/>
    <w:rsid w:val="3CCD0302"/>
    <w:rsid w:val="3CCD6091"/>
    <w:rsid w:val="3D08531B"/>
    <w:rsid w:val="3D1851CC"/>
    <w:rsid w:val="3D1E68EC"/>
    <w:rsid w:val="3D4D50B6"/>
    <w:rsid w:val="3D850719"/>
    <w:rsid w:val="3D9372DA"/>
    <w:rsid w:val="3DC54FBA"/>
    <w:rsid w:val="3DE622E4"/>
    <w:rsid w:val="3DEA0C0A"/>
    <w:rsid w:val="3E2241BA"/>
    <w:rsid w:val="3E391222"/>
    <w:rsid w:val="3E391C30"/>
    <w:rsid w:val="3E686071"/>
    <w:rsid w:val="3E78202C"/>
    <w:rsid w:val="3EBC016B"/>
    <w:rsid w:val="3EBF32D1"/>
    <w:rsid w:val="3EF47905"/>
    <w:rsid w:val="3EFF26B8"/>
    <w:rsid w:val="3F1F0E27"/>
    <w:rsid w:val="3F214472"/>
    <w:rsid w:val="3F43263A"/>
    <w:rsid w:val="3F461CB5"/>
    <w:rsid w:val="3F532CF9"/>
    <w:rsid w:val="3F6A5E19"/>
    <w:rsid w:val="3FA4757D"/>
    <w:rsid w:val="3FCB5E99"/>
    <w:rsid w:val="3FEC2CD2"/>
    <w:rsid w:val="400E17CB"/>
    <w:rsid w:val="403F634A"/>
    <w:rsid w:val="407422FD"/>
    <w:rsid w:val="407822F5"/>
    <w:rsid w:val="40793DD5"/>
    <w:rsid w:val="40A324F0"/>
    <w:rsid w:val="40B3559D"/>
    <w:rsid w:val="40CA3197"/>
    <w:rsid w:val="40D37309"/>
    <w:rsid w:val="41062447"/>
    <w:rsid w:val="410F04D2"/>
    <w:rsid w:val="41151DFF"/>
    <w:rsid w:val="417D62D7"/>
    <w:rsid w:val="418821DE"/>
    <w:rsid w:val="42074096"/>
    <w:rsid w:val="423E5B89"/>
    <w:rsid w:val="42473A3F"/>
    <w:rsid w:val="428F3FA1"/>
    <w:rsid w:val="429F5DD9"/>
    <w:rsid w:val="42DF2EEE"/>
    <w:rsid w:val="431F4F6F"/>
    <w:rsid w:val="434172B6"/>
    <w:rsid w:val="43551F1B"/>
    <w:rsid w:val="436777F7"/>
    <w:rsid w:val="43AD52EB"/>
    <w:rsid w:val="43BC23F3"/>
    <w:rsid w:val="44134CD1"/>
    <w:rsid w:val="44150A49"/>
    <w:rsid w:val="443F7B33"/>
    <w:rsid w:val="44A12AC1"/>
    <w:rsid w:val="44A441FA"/>
    <w:rsid w:val="44B85878"/>
    <w:rsid w:val="44C06FEF"/>
    <w:rsid w:val="44F96048"/>
    <w:rsid w:val="45140D01"/>
    <w:rsid w:val="452F58D0"/>
    <w:rsid w:val="452F5D1D"/>
    <w:rsid w:val="4546413B"/>
    <w:rsid w:val="454937BA"/>
    <w:rsid w:val="457441AE"/>
    <w:rsid w:val="457F22CF"/>
    <w:rsid w:val="459534C4"/>
    <w:rsid w:val="45BA3253"/>
    <w:rsid w:val="45DF432A"/>
    <w:rsid w:val="45FF7A58"/>
    <w:rsid w:val="460102A4"/>
    <w:rsid w:val="4651388E"/>
    <w:rsid w:val="465A20EE"/>
    <w:rsid w:val="46E00242"/>
    <w:rsid w:val="46E267AB"/>
    <w:rsid w:val="471975D2"/>
    <w:rsid w:val="473614B6"/>
    <w:rsid w:val="473B3300"/>
    <w:rsid w:val="47883072"/>
    <w:rsid w:val="47B46CC8"/>
    <w:rsid w:val="47E46A28"/>
    <w:rsid w:val="480D788C"/>
    <w:rsid w:val="485D476D"/>
    <w:rsid w:val="486D2E17"/>
    <w:rsid w:val="48711FC6"/>
    <w:rsid w:val="48855A71"/>
    <w:rsid w:val="488B3070"/>
    <w:rsid w:val="488C6E00"/>
    <w:rsid w:val="48C61658"/>
    <w:rsid w:val="48F03833"/>
    <w:rsid w:val="49126DB6"/>
    <w:rsid w:val="493E459E"/>
    <w:rsid w:val="49894027"/>
    <w:rsid w:val="499A3B47"/>
    <w:rsid w:val="49DA3B9B"/>
    <w:rsid w:val="49E248A5"/>
    <w:rsid w:val="49E54A1A"/>
    <w:rsid w:val="4A001378"/>
    <w:rsid w:val="4A087E3D"/>
    <w:rsid w:val="4A226812"/>
    <w:rsid w:val="4A6240A6"/>
    <w:rsid w:val="4A7851F2"/>
    <w:rsid w:val="4A8B0DC3"/>
    <w:rsid w:val="4A9C6866"/>
    <w:rsid w:val="4AB81412"/>
    <w:rsid w:val="4AD66A58"/>
    <w:rsid w:val="4AD81C6A"/>
    <w:rsid w:val="4ADD5EA4"/>
    <w:rsid w:val="4B3043BA"/>
    <w:rsid w:val="4B413238"/>
    <w:rsid w:val="4B494DBE"/>
    <w:rsid w:val="4B650BC4"/>
    <w:rsid w:val="4B674CD4"/>
    <w:rsid w:val="4B6C25C1"/>
    <w:rsid w:val="4B7122DD"/>
    <w:rsid w:val="4B861D1F"/>
    <w:rsid w:val="4BA15CE6"/>
    <w:rsid w:val="4BEB6533"/>
    <w:rsid w:val="4C431ECB"/>
    <w:rsid w:val="4C776C96"/>
    <w:rsid w:val="4CFE5DCC"/>
    <w:rsid w:val="4D193ED6"/>
    <w:rsid w:val="4DBC3CE3"/>
    <w:rsid w:val="4DE518EC"/>
    <w:rsid w:val="4E661EA1"/>
    <w:rsid w:val="4ECD1F20"/>
    <w:rsid w:val="4ED11FB7"/>
    <w:rsid w:val="4ED96B17"/>
    <w:rsid w:val="4EE7586C"/>
    <w:rsid w:val="4EEB1B57"/>
    <w:rsid w:val="4F0B23D9"/>
    <w:rsid w:val="4F4B4A43"/>
    <w:rsid w:val="4F500A98"/>
    <w:rsid w:val="4F8521C6"/>
    <w:rsid w:val="4FA14634"/>
    <w:rsid w:val="4FAE2B65"/>
    <w:rsid w:val="4FCB46B2"/>
    <w:rsid w:val="4FD317B8"/>
    <w:rsid w:val="4FD55530"/>
    <w:rsid w:val="50284B34"/>
    <w:rsid w:val="50BD2FFF"/>
    <w:rsid w:val="50CD4459"/>
    <w:rsid w:val="50EC2B32"/>
    <w:rsid w:val="50F038F1"/>
    <w:rsid w:val="51122369"/>
    <w:rsid w:val="511356C3"/>
    <w:rsid w:val="513444D8"/>
    <w:rsid w:val="514B6E1C"/>
    <w:rsid w:val="514E559A"/>
    <w:rsid w:val="516A3A56"/>
    <w:rsid w:val="51A755DB"/>
    <w:rsid w:val="51AC300E"/>
    <w:rsid w:val="51B573C7"/>
    <w:rsid w:val="51C770FB"/>
    <w:rsid w:val="51EE5F9B"/>
    <w:rsid w:val="522E68AE"/>
    <w:rsid w:val="523F4EE3"/>
    <w:rsid w:val="526E737C"/>
    <w:rsid w:val="52910142"/>
    <w:rsid w:val="52BD6CE2"/>
    <w:rsid w:val="52DA28FD"/>
    <w:rsid w:val="52DC0984"/>
    <w:rsid w:val="52E66F51"/>
    <w:rsid w:val="52EF06B7"/>
    <w:rsid w:val="52FA265B"/>
    <w:rsid w:val="53090135"/>
    <w:rsid w:val="530A7700"/>
    <w:rsid w:val="530F3A0E"/>
    <w:rsid w:val="534E602C"/>
    <w:rsid w:val="535D45AB"/>
    <w:rsid w:val="53DA1367"/>
    <w:rsid w:val="53EE2F9F"/>
    <w:rsid w:val="541F3DA9"/>
    <w:rsid w:val="54532003"/>
    <w:rsid w:val="546136CF"/>
    <w:rsid w:val="54680721"/>
    <w:rsid w:val="54996B2C"/>
    <w:rsid w:val="54AE2AA1"/>
    <w:rsid w:val="54C24E08"/>
    <w:rsid w:val="54C3493C"/>
    <w:rsid w:val="54C72DC0"/>
    <w:rsid w:val="54F71AA5"/>
    <w:rsid w:val="550B0F24"/>
    <w:rsid w:val="5511402E"/>
    <w:rsid w:val="551F34D1"/>
    <w:rsid w:val="55275FF4"/>
    <w:rsid w:val="5537019F"/>
    <w:rsid w:val="557F21C6"/>
    <w:rsid w:val="559B4B26"/>
    <w:rsid w:val="55CC7BDF"/>
    <w:rsid w:val="55D95B86"/>
    <w:rsid w:val="55E53FF3"/>
    <w:rsid w:val="55EB11F2"/>
    <w:rsid w:val="55F5150E"/>
    <w:rsid w:val="563034C0"/>
    <w:rsid w:val="563460EA"/>
    <w:rsid w:val="56494582"/>
    <w:rsid w:val="567F3662"/>
    <w:rsid w:val="56AB7C46"/>
    <w:rsid w:val="56CA2972"/>
    <w:rsid w:val="56D618EF"/>
    <w:rsid w:val="56F12853"/>
    <w:rsid w:val="56FE23DF"/>
    <w:rsid w:val="573B036F"/>
    <w:rsid w:val="575B7169"/>
    <w:rsid w:val="579D6934"/>
    <w:rsid w:val="57D81AF0"/>
    <w:rsid w:val="57F55B48"/>
    <w:rsid w:val="581B0477"/>
    <w:rsid w:val="58260FAC"/>
    <w:rsid w:val="583B0D6E"/>
    <w:rsid w:val="583D33C0"/>
    <w:rsid w:val="587D5785"/>
    <w:rsid w:val="58B73A25"/>
    <w:rsid w:val="58BC54DF"/>
    <w:rsid w:val="58D06B21"/>
    <w:rsid w:val="58FC1D80"/>
    <w:rsid w:val="593E4146"/>
    <w:rsid w:val="596E4ABF"/>
    <w:rsid w:val="5980650D"/>
    <w:rsid w:val="59961BB6"/>
    <w:rsid w:val="59BF3383"/>
    <w:rsid w:val="59DE73D4"/>
    <w:rsid w:val="59EF0A61"/>
    <w:rsid w:val="5A2F3A8F"/>
    <w:rsid w:val="5A6E3044"/>
    <w:rsid w:val="5A932270"/>
    <w:rsid w:val="5A9D1810"/>
    <w:rsid w:val="5ABD553F"/>
    <w:rsid w:val="5ADD2164"/>
    <w:rsid w:val="5B1038C0"/>
    <w:rsid w:val="5B1E5990"/>
    <w:rsid w:val="5B4041A6"/>
    <w:rsid w:val="5B445318"/>
    <w:rsid w:val="5B5648CD"/>
    <w:rsid w:val="5B7B51DE"/>
    <w:rsid w:val="5B85605C"/>
    <w:rsid w:val="5B982E74"/>
    <w:rsid w:val="5BCC1425"/>
    <w:rsid w:val="5C4A2B10"/>
    <w:rsid w:val="5CA52C16"/>
    <w:rsid w:val="5CD31049"/>
    <w:rsid w:val="5CDC386D"/>
    <w:rsid w:val="5D1435BD"/>
    <w:rsid w:val="5D1D4002"/>
    <w:rsid w:val="5D245A96"/>
    <w:rsid w:val="5D2B7F8F"/>
    <w:rsid w:val="5D962588"/>
    <w:rsid w:val="5DA76817"/>
    <w:rsid w:val="5DCB49C8"/>
    <w:rsid w:val="5E391380"/>
    <w:rsid w:val="5E490F6D"/>
    <w:rsid w:val="5E7B2B56"/>
    <w:rsid w:val="5EC3791D"/>
    <w:rsid w:val="5F382B9C"/>
    <w:rsid w:val="5F861E6A"/>
    <w:rsid w:val="5F944AC0"/>
    <w:rsid w:val="5FA021DD"/>
    <w:rsid w:val="5FAE6AB4"/>
    <w:rsid w:val="5FCB6008"/>
    <w:rsid w:val="5FE3195F"/>
    <w:rsid w:val="602A3229"/>
    <w:rsid w:val="604819B4"/>
    <w:rsid w:val="60684491"/>
    <w:rsid w:val="60B1035F"/>
    <w:rsid w:val="60ED0EBB"/>
    <w:rsid w:val="6122434D"/>
    <w:rsid w:val="612B1454"/>
    <w:rsid w:val="613134C6"/>
    <w:rsid w:val="61395BC2"/>
    <w:rsid w:val="6155520D"/>
    <w:rsid w:val="6180045E"/>
    <w:rsid w:val="61834DEC"/>
    <w:rsid w:val="61B825BC"/>
    <w:rsid w:val="61D163E7"/>
    <w:rsid w:val="62054C70"/>
    <w:rsid w:val="62135F07"/>
    <w:rsid w:val="622B0FE0"/>
    <w:rsid w:val="62391C4C"/>
    <w:rsid w:val="623936FD"/>
    <w:rsid w:val="624F1172"/>
    <w:rsid w:val="62652744"/>
    <w:rsid w:val="6317053D"/>
    <w:rsid w:val="63285974"/>
    <w:rsid w:val="636E387A"/>
    <w:rsid w:val="64032214"/>
    <w:rsid w:val="640B2856"/>
    <w:rsid w:val="645C6CAE"/>
    <w:rsid w:val="64886493"/>
    <w:rsid w:val="64BB489D"/>
    <w:rsid w:val="64C84656"/>
    <w:rsid w:val="64D92F75"/>
    <w:rsid w:val="64E658DD"/>
    <w:rsid w:val="650815C7"/>
    <w:rsid w:val="65256EAA"/>
    <w:rsid w:val="654C7BEB"/>
    <w:rsid w:val="65637788"/>
    <w:rsid w:val="65766A16"/>
    <w:rsid w:val="65837C89"/>
    <w:rsid w:val="658B32C1"/>
    <w:rsid w:val="65EF4249"/>
    <w:rsid w:val="66024613"/>
    <w:rsid w:val="661E2C2A"/>
    <w:rsid w:val="66664CDC"/>
    <w:rsid w:val="66B063DE"/>
    <w:rsid w:val="66DE6FD3"/>
    <w:rsid w:val="66E86B42"/>
    <w:rsid w:val="66E873CE"/>
    <w:rsid w:val="672203E0"/>
    <w:rsid w:val="6736645D"/>
    <w:rsid w:val="67376E1B"/>
    <w:rsid w:val="67B82787"/>
    <w:rsid w:val="67BE346E"/>
    <w:rsid w:val="67E022C0"/>
    <w:rsid w:val="681D65C0"/>
    <w:rsid w:val="6834182B"/>
    <w:rsid w:val="684B418A"/>
    <w:rsid w:val="68646C62"/>
    <w:rsid w:val="68A57C30"/>
    <w:rsid w:val="68AF63BA"/>
    <w:rsid w:val="68D423D1"/>
    <w:rsid w:val="693469CC"/>
    <w:rsid w:val="694641F3"/>
    <w:rsid w:val="695E18F9"/>
    <w:rsid w:val="69605A13"/>
    <w:rsid w:val="69BB533F"/>
    <w:rsid w:val="69FD6914"/>
    <w:rsid w:val="6A2904FB"/>
    <w:rsid w:val="6A640234"/>
    <w:rsid w:val="6A6D57E5"/>
    <w:rsid w:val="6A973B65"/>
    <w:rsid w:val="6A9C26B5"/>
    <w:rsid w:val="6ABD22EB"/>
    <w:rsid w:val="6ABD262E"/>
    <w:rsid w:val="6AE27520"/>
    <w:rsid w:val="6AE54422"/>
    <w:rsid w:val="6AFE1987"/>
    <w:rsid w:val="6AFF65CB"/>
    <w:rsid w:val="6B246DE4"/>
    <w:rsid w:val="6B982571"/>
    <w:rsid w:val="6B9937AE"/>
    <w:rsid w:val="6BB51303"/>
    <w:rsid w:val="6BE22ED2"/>
    <w:rsid w:val="6BF75717"/>
    <w:rsid w:val="6C6E69FD"/>
    <w:rsid w:val="6CA976D1"/>
    <w:rsid w:val="6CE54BAD"/>
    <w:rsid w:val="6D033285"/>
    <w:rsid w:val="6D1A412B"/>
    <w:rsid w:val="6D65184A"/>
    <w:rsid w:val="6DAC72B5"/>
    <w:rsid w:val="6DC34F05"/>
    <w:rsid w:val="6DEF55B7"/>
    <w:rsid w:val="6DF90D44"/>
    <w:rsid w:val="6E1B63AC"/>
    <w:rsid w:val="6E1C7DF7"/>
    <w:rsid w:val="6E4E4B30"/>
    <w:rsid w:val="6E755580"/>
    <w:rsid w:val="6EA2262A"/>
    <w:rsid w:val="6EA945F3"/>
    <w:rsid w:val="6ECD20C9"/>
    <w:rsid w:val="6EFA14D4"/>
    <w:rsid w:val="6F1425FD"/>
    <w:rsid w:val="6F322CFB"/>
    <w:rsid w:val="6F5450B9"/>
    <w:rsid w:val="6F5778B8"/>
    <w:rsid w:val="6F8A00CE"/>
    <w:rsid w:val="6FB66DB6"/>
    <w:rsid w:val="6FCC6BDF"/>
    <w:rsid w:val="6FD64C81"/>
    <w:rsid w:val="6FFD220E"/>
    <w:rsid w:val="70170AD4"/>
    <w:rsid w:val="70335569"/>
    <w:rsid w:val="703C2604"/>
    <w:rsid w:val="705C2F35"/>
    <w:rsid w:val="706E5EAC"/>
    <w:rsid w:val="708E4D92"/>
    <w:rsid w:val="71631F89"/>
    <w:rsid w:val="716E5105"/>
    <w:rsid w:val="717E7D11"/>
    <w:rsid w:val="71A14E1B"/>
    <w:rsid w:val="71B12103"/>
    <w:rsid w:val="71F075DC"/>
    <w:rsid w:val="721147C0"/>
    <w:rsid w:val="72346895"/>
    <w:rsid w:val="7246066A"/>
    <w:rsid w:val="72697560"/>
    <w:rsid w:val="72734A09"/>
    <w:rsid w:val="728D332F"/>
    <w:rsid w:val="72CD6775"/>
    <w:rsid w:val="72D84E2B"/>
    <w:rsid w:val="732B767C"/>
    <w:rsid w:val="733046A8"/>
    <w:rsid w:val="733B04FD"/>
    <w:rsid w:val="7354736E"/>
    <w:rsid w:val="738343C3"/>
    <w:rsid w:val="73B16901"/>
    <w:rsid w:val="73E31971"/>
    <w:rsid w:val="7440091C"/>
    <w:rsid w:val="745642CF"/>
    <w:rsid w:val="746A3BEA"/>
    <w:rsid w:val="74827185"/>
    <w:rsid w:val="749D5D6D"/>
    <w:rsid w:val="750E18A1"/>
    <w:rsid w:val="75334E74"/>
    <w:rsid w:val="755754B0"/>
    <w:rsid w:val="75752CEA"/>
    <w:rsid w:val="75A20D7B"/>
    <w:rsid w:val="75CA7AAF"/>
    <w:rsid w:val="75DF5636"/>
    <w:rsid w:val="760C0482"/>
    <w:rsid w:val="76400D44"/>
    <w:rsid w:val="765331AF"/>
    <w:rsid w:val="7677439C"/>
    <w:rsid w:val="76B76F02"/>
    <w:rsid w:val="76CF3D5F"/>
    <w:rsid w:val="76DD7E98"/>
    <w:rsid w:val="76E557A9"/>
    <w:rsid w:val="772267B3"/>
    <w:rsid w:val="772C33D8"/>
    <w:rsid w:val="77BF2DA2"/>
    <w:rsid w:val="7803238B"/>
    <w:rsid w:val="78436C2C"/>
    <w:rsid w:val="78476C95"/>
    <w:rsid w:val="7855299C"/>
    <w:rsid w:val="785B6FCC"/>
    <w:rsid w:val="78B46C58"/>
    <w:rsid w:val="78E81387"/>
    <w:rsid w:val="790166E5"/>
    <w:rsid w:val="79034AD5"/>
    <w:rsid w:val="7908577F"/>
    <w:rsid w:val="791B1315"/>
    <w:rsid w:val="7920373C"/>
    <w:rsid w:val="79231CC3"/>
    <w:rsid w:val="7962698E"/>
    <w:rsid w:val="797641D4"/>
    <w:rsid w:val="79D73ACF"/>
    <w:rsid w:val="79ED50A1"/>
    <w:rsid w:val="79F631C1"/>
    <w:rsid w:val="7A0F4712"/>
    <w:rsid w:val="7A112BC4"/>
    <w:rsid w:val="7A1E16FE"/>
    <w:rsid w:val="7A1E7A4E"/>
    <w:rsid w:val="7A4B6656"/>
    <w:rsid w:val="7A8F4DD7"/>
    <w:rsid w:val="7AD973D3"/>
    <w:rsid w:val="7B50180E"/>
    <w:rsid w:val="7B556888"/>
    <w:rsid w:val="7B672BAC"/>
    <w:rsid w:val="7B6B0ED2"/>
    <w:rsid w:val="7B897B86"/>
    <w:rsid w:val="7B98103C"/>
    <w:rsid w:val="7C02545D"/>
    <w:rsid w:val="7C157A87"/>
    <w:rsid w:val="7C2E374F"/>
    <w:rsid w:val="7C523106"/>
    <w:rsid w:val="7C5739DF"/>
    <w:rsid w:val="7C594F25"/>
    <w:rsid w:val="7CCC14D9"/>
    <w:rsid w:val="7CCE553B"/>
    <w:rsid w:val="7D2A7645"/>
    <w:rsid w:val="7D4B7464"/>
    <w:rsid w:val="7D605B8A"/>
    <w:rsid w:val="7D6A1D31"/>
    <w:rsid w:val="7D6A4B3F"/>
    <w:rsid w:val="7DB66434"/>
    <w:rsid w:val="7DC67CA9"/>
    <w:rsid w:val="7DDF11A4"/>
    <w:rsid w:val="7E0155BF"/>
    <w:rsid w:val="7E0712F2"/>
    <w:rsid w:val="7E1102B5"/>
    <w:rsid w:val="7E1F2F63"/>
    <w:rsid w:val="7E305931"/>
    <w:rsid w:val="7E3F0885"/>
    <w:rsid w:val="7E601D35"/>
    <w:rsid w:val="7E81225C"/>
    <w:rsid w:val="7EA36676"/>
    <w:rsid w:val="7EB64B61"/>
    <w:rsid w:val="7EFB200E"/>
    <w:rsid w:val="7F2B4385"/>
    <w:rsid w:val="7F50102C"/>
    <w:rsid w:val="7F5E259D"/>
    <w:rsid w:val="7F9801FA"/>
    <w:rsid w:val="7FB92734"/>
    <w:rsid w:val="7FBB79EF"/>
    <w:rsid w:val="7FF30F37"/>
    <w:rsid w:val="7FFA7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name="toc 1"/>
    <w:lsdException w:qFormat="1" w:uiPriority="39"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39"/>
    <w:qFormat/>
    <w:uiPriority w:val="0"/>
    <w:pPr>
      <w:keepNext/>
      <w:keepLines/>
      <w:spacing w:before="100" w:beforeLines="0" w:beforeAutospacing="0" w:after="90" w:afterLines="0" w:afterAutospacing="0" w:line="576" w:lineRule="auto"/>
      <w:outlineLvl w:val="0"/>
    </w:pPr>
    <w:rPr>
      <w:rFonts w:ascii="Times New Roman" w:hAnsi="Times New Roman" w:eastAsia="宋体" w:cs="Times New Roman"/>
      <w:kern w:val="44"/>
      <w:sz w:val="32"/>
    </w:rPr>
  </w:style>
  <w:style w:type="paragraph" w:styleId="6">
    <w:name w:val="heading 2"/>
    <w:basedOn w:val="1"/>
    <w:next w:val="1"/>
    <w:semiHidden/>
    <w:unhideWhenUsed/>
    <w:qFormat/>
    <w:uiPriority w:val="9"/>
    <w:pPr>
      <w:keepNext/>
      <w:keepLines/>
      <w:spacing w:before="260" w:after="260" w:line="413" w:lineRule="auto"/>
      <w:outlineLvl w:val="1"/>
    </w:pPr>
    <w:rPr>
      <w:rFonts w:ascii="Arial" w:hAnsi="Arial" w:eastAsia="黑体"/>
      <w:b/>
      <w:bCs/>
      <w:sz w:val="32"/>
      <w:szCs w:val="32"/>
    </w:rPr>
  </w:style>
  <w:style w:type="paragraph" w:styleId="7">
    <w:name w:val="heading 3"/>
    <w:basedOn w:val="1"/>
    <w:next w:val="1"/>
    <w:semiHidden/>
    <w:unhideWhenUsed/>
    <w:qFormat/>
    <w:uiPriority w:val="9"/>
    <w:pPr>
      <w:keepNext/>
      <w:keepLines/>
      <w:spacing w:line="600" w:lineRule="exact"/>
      <w:ind w:firstLine="643" w:firstLineChars="200"/>
      <w:outlineLvl w:val="2"/>
    </w:pPr>
    <w:rPr>
      <w:b/>
      <w:bCs/>
      <w:sz w:val="32"/>
      <w:szCs w:val="32"/>
    </w:rPr>
  </w:style>
  <w:style w:type="paragraph" w:styleId="8">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表格文字"/>
    <w:basedOn w:val="3"/>
    <w:qFormat/>
    <w:uiPriority w:val="99"/>
    <w:pPr>
      <w:spacing w:before="25" w:after="25"/>
    </w:pPr>
    <w:rPr>
      <w:bCs/>
      <w:spacing w:val="10"/>
      <w:sz w:val="24"/>
      <w:szCs w:val="20"/>
    </w:rPr>
  </w:style>
  <w:style w:type="paragraph" w:styleId="3">
    <w:name w:val="Body Text Indent"/>
    <w:basedOn w:val="1"/>
    <w:semiHidden/>
    <w:unhideWhenUsed/>
    <w:qFormat/>
    <w:uiPriority w:val="99"/>
    <w:pPr>
      <w:spacing w:line="200" w:lineRule="exact"/>
      <w:ind w:firstLine="301"/>
    </w:pPr>
    <w:rPr>
      <w:rFonts w:ascii="宋体" w:hAnsi="Courier New"/>
      <w:spacing w:val="-4"/>
      <w:sz w:val="18"/>
      <w:szCs w:val="20"/>
    </w:r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paragraph" w:styleId="9">
    <w:name w:val="index 8"/>
    <w:basedOn w:val="1"/>
    <w:next w:val="1"/>
    <w:qFormat/>
    <w:uiPriority w:val="0"/>
    <w:pPr>
      <w:ind w:left="2940"/>
    </w:pPr>
    <w:rPr>
      <w:rFonts w:ascii="Calibri" w:hAnsi="Calibri" w:eastAsia="宋体" w:cs="Times New Roman"/>
    </w:rPr>
  </w:style>
  <w:style w:type="paragraph" w:styleId="10">
    <w:name w:val="Normal Indent"/>
    <w:basedOn w:val="1"/>
    <w:semiHidden/>
    <w:unhideWhenUsed/>
    <w:qFormat/>
    <w:uiPriority w:val="99"/>
    <w:pPr>
      <w:ind w:firstLine="420"/>
    </w:pPr>
    <w:rPr>
      <w:szCs w:val="20"/>
    </w:rPr>
  </w:style>
  <w:style w:type="paragraph" w:styleId="11">
    <w:name w:val="annotation text"/>
    <w:basedOn w:val="1"/>
    <w:semiHidden/>
    <w:unhideWhenUsed/>
    <w:qFormat/>
    <w:uiPriority w:val="99"/>
    <w:pPr>
      <w:jc w:val="left"/>
    </w:pPr>
  </w:style>
  <w:style w:type="paragraph" w:styleId="12">
    <w:name w:val="Body Text"/>
    <w:basedOn w:val="1"/>
    <w:qFormat/>
    <w:uiPriority w:val="0"/>
    <w:pPr>
      <w:spacing w:after="120"/>
    </w:pPr>
  </w:style>
  <w:style w:type="paragraph" w:styleId="13">
    <w:name w:val="toc 3"/>
    <w:basedOn w:val="1"/>
    <w:next w:val="1"/>
    <w:semiHidden/>
    <w:unhideWhenUsed/>
    <w:qFormat/>
    <w:uiPriority w:val="39"/>
    <w:pPr>
      <w:jc w:val="left"/>
    </w:pPr>
    <w:rPr>
      <w:rFonts w:ascii="Calibri" w:hAnsi="Calibri"/>
      <w:smallCaps/>
      <w:sz w:val="22"/>
      <w:szCs w:val="22"/>
    </w:rPr>
  </w:style>
  <w:style w:type="paragraph" w:styleId="14">
    <w:name w:val="Plain Text"/>
    <w:basedOn w:val="1"/>
    <w:next w:val="9"/>
    <w:qFormat/>
    <w:uiPriority w:val="0"/>
    <w:rPr>
      <w:rFonts w:ascii="宋体" w:hAnsi="Courier New"/>
      <w:szCs w:val="20"/>
    </w:rPr>
  </w:style>
  <w:style w:type="paragraph" w:styleId="15">
    <w:name w:val="footer"/>
    <w:basedOn w:val="1"/>
    <w:unhideWhenUsed/>
    <w:qFormat/>
    <w:uiPriority w:val="99"/>
    <w:pPr>
      <w:tabs>
        <w:tab w:val="center" w:pos="4153"/>
        <w:tab w:val="right" w:pos="8306"/>
      </w:tabs>
      <w:snapToGrid w:val="0"/>
      <w:jc w:val="left"/>
    </w:pPr>
    <w:rPr>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unhideWhenUsed/>
    <w:qFormat/>
    <w:uiPriority w:val="39"/>
    <w:pPr>
      <w:spacing w:before="360" w:after="360"/>
      <w:jc w:val="left"/>
    </w:pPr>
    <w:rPr>
      <w:rFonts w:ascii="Calibri" w:hAnsi="Calibri"/>
      <w:b/>
      <w:bCs/>
      <w:caps/>
      <w:sz w:val="22"/>
      <w:szCs w:val="22"/>
      <w:u w:val="single"/>
    </w:rPr>
  </w:style>
  <w:style w:type="paragraph" w:styleId="18">
    <w:name w:val="List"/>
    <w:basedOn w:val="1"/>
    <w:semiHidden/>
    <w:unhideWhenUsed/>
    <w:qFormat/>
    <w:uiPriority w:val="99"/>
    <w:pPr>
      <w:ind w:left="200" w:hanging="200" w:hangingChars="200"/>
    </w:pPr>
    <w:rPr>
      <w:sz w:val="28"/>
    </w:rPr>
  </w:style>
  <w:style w:type="paragraph" w:styleId="19">
    <w:name w:val="toc 2"/>
    <w:basedOn w:val="1"/>
    <w:next w:val="1"/>
    <w:semiHidden/>
    <w:unhideWhenUsed/>
    <w:qFormat/>
    <w:uiPriority w:val="39"/>
    <w:pPr>
      <w:jc w:val="left"/>
    </w:pPr>
    <w:rPr>
      <w:rFonts w:ascii="Calibri" w:hAnsi="Calibri"/>
      <w:b/>
      <w:bCs/>
      <w:smallCaps/>
      <w:sz w:val="22"/>
      <w:szCs w:val="22"/>
    </w:rPr>
  </w:style>
  <w:style w:type="paragraph" w:styleId="20">
    <w:name w:val="Normal (Web)"/>
    <w:basedOn w:val="1"/>
    <w:unhideWhenUsed/>
    <w:qFormat/>
    <w:uiPriority w:val="99"/>
    <w:rPr>
      <w:sz w:val="24"/>
    </w:rPr>
  </w:style>
  <w:style w:type="paragraph" w:styleId="21">
    <w:name w:val="Body Text First Indent"/>
    <w:basedOn w:val="12"/>
    <w:qFormat/>
    <w:uiPriority w:val="0"/>
    <w:pPr>
      <w:spacing w:after="120" w:afterLines="0" w:line="240" w:lineRule="auto"/>
      <w:ind w:firstLine="420" w:firstLineChars="100"/>
    </w:pPr>
    <w:rPr>
      <w:rFonts w:ascii="Times New Roman" w:hAnsi="Times New Roman" w:eastAsia="宋体" w:cs="Times New Roman"/>
      <w:sz w:val="21"/>
    </w:r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semiHidden/>
    <w:unhideWhenUsed/>
    <w:qFormat/>
    <w:uiPriority w:val="99"/>
  </w:style>
  <w:style w:type="character" w:styleId="27">
    <w:name w:val="Hyperlink"/>
    <w:qFormat/>
    <w:uiPriority w:val="99"/>
    <w:rPr>
      <w:color w:val="0000CC"/>
      <w:u w:val="none"/>
    </w:rPr>
  </w:style>
  <w:style w:type="character" w:styleId="28">
    <w:name w:val="annotation reference"/>
    <w:unhideWhenUsed/>
    <w:qFormat/>
    <w:uiPriority w:val="99"/>
    <w:rPr>
      <w:sz w:val="21"/>
      <w:szCs w:val="21"/>
    </w:rPr>
  </w:style>
  <w:style w:type="paragraph" w:customStyle="1" w:styleId="29">
    <w:name w:val="样式2"/>
    <w:basedOn w:val="4"/>
    <w:qFormat/>
    <w:uiPriority w:val="0"/>
  </w:style>
  <w:style w:type="paragraph" w:customStyle="1" w:styleId="30">
    <w:name w:val="Default"/>
    <w:next w:val="3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3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3">
    <w:name w:val="正文2"/>
    <w:basedOn w:val="1"/>
    <w:qFormat/>
    <w:uiPriority w:val="0"/>
    <w:pPr>
      <w:adjustRightInd w:val="0"/>
      <w:spacing w:before="156" w:line="360" w:lineRule="auto"/>
      <w:ind w:firstLine="510" w:firstLineChars="200"/>
    </w:pPr>
    <w:rPr>
      <w:sz w:val="24"/>
      <w:szCs w:val="20"/>
    </w:rPr>
  </w:style>
  <w:style w:type="paragraph" w:customStyle="1" w:styleId="34">
    <w:name w:val="正文缩进1"/>
    <w:basedOn w:val="1"/>
    <w:next w:val="3"/>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5">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6">
    <w:name w:val="列出段落1"/>
    <w:basedOn w:val="1"/>
    <w:qFormat/>
    <w:uiPriority w:val="0"/>
    <w:pPr>
      <w:keepNext w:val="0"/>
      <w:keepLines w:val="0"/>
      <w:widowControl w:val="0"/>
      <w:suppressLineNumbers w:val="0"/>
      <w:spacing w:before="100" w:beforeAutospacing="1" w:after="100" w:afterAutospacing="1" w:line="360" w:lineRule="auto"/>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customStyle="1" w:styleId="37">
    <w:name w:val="正文1"/>
    <w:qFormat/>
    <w:uiPriority w:val="0"/>
    <w:pPr>
      <w:jc w:val="both"/>
    </w:pPr>
    <w:rPr>
      <w:rFonts w:ascii="Times New Roman" w:hAnsi="Times New Roman" w:eastAsia="宋体" w:cs="Times New Roman"/>
      <w:kern w:val="2"/>
      <w:sz w:val="21"/>
      <w:szCs w:val="21"/>
      <w:lang w:val="en-US" w:eastAsia="zh-CN" w:bidi="ar-SA"/>
    </w:rPr>
  </w:style>
  <w:style w:type="paragraph" w:styleId="38">
    <w:name w:val="List Paragraph"/>
    <w:basedOn w:val="1"/>
    <w:qFormat/>
    <w:uiPriority w:val="34"/>
    <w:pPr>
      <w:widowControl w:val="0"/>
      <w:adjustRightInd/>
      <w:snapToGrid/>
      <w:spacing w:after="0"/>
      <w:ind w:firstLine="420" w:firstLineChars="200"/>
      <w:jc w:val="both"/>
    </w:pPr>
    <w:rPr>
      <w:rFonts w:ascii="Calibri" w:hAnsi="Calibri" w:eastAsia="宋体" w:cs="Times New Roman"/>
      <w:kern w:val="2"/>
      <w:sz w:val="21"/>
      <w:szCs w:val="24"/>
    </w:rPr>
  </w:style>
  <w:style w:type="character" w:customStyle="1" w:styleId="39">
    <w:name w:val="标题 1 Char"/>
    <w:link w:val="4"/>
    <w:qFormat/>
    <w:uiPriority w:val="0"/>
    <w:rPr>
      <w:rFonts w:ascii="Times New Roman" w:hAnsi="Times New Roman" w:eastAsia="宋体" w:cs="Times New Roman"/>
      <w:b/>
      <w:kern w:val="44"/>
      <w:sz w:val="32"/>
    </w:rPr>
  </w:style>
  <w:style w:type="paragraph" w:customStyle="1" w:styleId="40">
    <w:name w:val="_Style 3"/>
    <w:basedOn w:val="1"/>
    <w:qFormat/>
    <w:uiPriority w:val="34"/>
    <w:pPr>
      <w:ind w:left="720"/>
      <w:contextualSpacing/>
    </w:pPr>
  </w:style>
  <w:style w:type="character" w:customStyle="1" w:styleId="41">
    <w:name w:val="font21"/>
    <w:basedOn w:val="24"/>
    <w:qFormat/>
    <w:uiPriority w:val="0"/>
    <w:rPr>
      <w:rFonts w:hint="eastAsia" w:ascii="宋体" w:hAnsi="宋体" w:eastAsia="宋体" w:cs="宋体"/>
      <w:color w:val="FF0000"/>
      <w:sz w:val="22"/>
      <w:szCs w:val="22"/>
      <w:u w:val="none"/>
    </w:rPr>
  </w:style>
  <w:style w:type="character" w:customStyle="1" w:styleId="42">
    <w:name w:val="font41"/>
    <w:basedOn w:val="24"/>
    <w:qFormat/>
    <w:uiPriority w:val="0"/>
    <w:rPr>
      <w:rFonts w:hint="eastAsia" w:ascii="宋体" w:hAnsi="宋体" w:eastAsia="宋体" w:cs="宋体"/>
      <w:color w:val="000000"/>
      <w:sz w:val="21"/>
      <w:szCs w:val="21"/>
      <w:u w:val="none"/>
    </w:rPr>
  </w:style>
  <w:style w:type="character" w:customStyle="1" w:styleId="43">
    <w:name w:val="font31"/>
    <w:basedOn w:val="24"/>
    <w:qFormat/>
    <w:uiPriority w:val="0"/>
    <w:rPr>
      <w:rFonts w:hint="eastAsia" w:ascii="宋体" w:hAnsi="宋体" w:eastAsia="宋体" w:cs="宋体"/>
      <w:color w:val="000000"/>
      <w:sz w:val="21"/>
      <w:szCs w:val="21"/>
      <w:u w:val="none"/>
    </w:rPr>
  </w:style>
  <w:style w:type="character" w:customStyle="1" w:styleId="44">
    <w:name w:val="font61"/>
    <w:basedOn w:val="24"/>
    <w:qFormat/>
    <w:uiPriority w:val="0"/>
    <w:rPr>
      <w:rFonts w:hint="eastAsia" w:ascii="宋体" w:hAnsi="宋体" w:eastAsia="宋体" w:cs="宋体"/>
      <w:color w:val="000000"/>
      <w:sz w:val="21"/>
      <w:szCs w:val="21"/>
      <w:u w:val="none"/>
      <w:vertAlign w:val="superscript"/>
    </w:rPr>
  </w:style>
  <w:style w:type="character" w:customStyle="1" w:styleId="45">
    <w:name w:val="font51"/>
    <w:basedOn w:val="24"/>
    <w:qFormat/>
    <w:uiPriority w:val="0"/>
    <w:rPr>
      <w:rFonts w:hint="eastAsia" w:ascii="宋体" w:hAnsi="宋体" w:eastAsia="宋体" w:cs="宋体"/>
      <w:color w:val="FF0000"/>
      <w:sz w:val="21"/>
      <w:szCs w:val="21"/>
      <w:u w:val="none"/>
    </w:rPr>
  </w:style>
  <w:style w:type="character" w:customStyle="1" w:styleId="46">
    <w:name w:val="font71"/>
    <w:basedOn w:val="24"/>
    <w:qFormat/>
    <w:uiPriority w:val="0"/>
    <w:rPr>
      <w:rFonts w:hint="eastAsia" w:ascii="宋体" w:hAnsi="宋体" w:eastAsia="宋体" w:cs="宋体"/>
      <w:color w:val="000000"/>
      <w:sz w:val="16"/>
      <w:szCs w:val="16"/>
      <w:u w:val="none"/>
    </w:rPr>
  </w:style>
  <w:style w:type="character" w:customStyle="1" w:styleId="47">
    <w:name w:val="font01"/>
    <w:basedOn w:val="24"/>
    <w:qFormat/>
    <w:uiPriority w:val="0"/>
    <w:rPr>
      <w:rFonts w:hint="eastAsia" w:ascii="宋体" w:hAnsi="宋体" w:eastAsia="宋体" w:cs="宋体"/>
      <w:color w:val="000000"/>
      <w:sz w:val="22"/>
      <w:szCs w:val="22"/>
      <w:u w:val="none"/>
    </w:rPr>
  </w:style>
  <w:style w:type="character" w:customStyle="1" w:styleId="48">
    <w:name w:val="font91"/>
    <w:basedOn w:val="24"/>
    <w:qFormat/>
    <w:uiPriority w:val="0"/>
    <w:rPr>
      <w:rFonts w:hint="eastAsia" w:ascii="宋体" w:hAnsi="宋体" w:eastAsia="宋体" w:cs="宋体"/>
      <w:i/>
      <w:i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10230</Words>
  <Characters>11978</Characters>
  <Lines>0</Lines>
  <Paragraphs>0</Paragraphs>
  <TotalTime>233</TotalTime>
  <ScaleCrop>false</ScaleCrop>
  <LinksUpToDate>false</LinksUpToDate>
  <CharactersWithSpaces>12194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2023-03-03T07:42:00Z</dcterms:created>
  <dc:creator>user</dc:creator>
  <cp:lastModifiedBy>no  umbrella</cp:lastModifiedBy>
  <cp:lastPrinted>2026-01-13T03:18:00Z</cp:lastPrinted>
  <dcterms:modified xsi:type="dcterms:W3CDTF">2026-01-20T07:18:39Z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00613FF4737546D9BA759C74DCD69539_13</vt:lpwstr>
  </property>
  <property fmtid="{D5CDD505-2E9C-101B-9397-08002B2CF9AE}" pid="4" name="KSOTemplateDocerSaveRecord">
    <vt:lpwstr>eyJoZGlkIjoiNzBiOTFhODhhODQ5MGE1NjQ3NjcyY2IzYTY3ZGMxNDUiLCJ1c2VySWQiOiIxMjU4NzUyMzk1In0=</vt:lpwstr>
  </property>
</Properties>
</file>