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5D240">
      <w:pPr>
        <w:spacing w:before="312" w:beforeLines="100" w:after="156" w:afterLines="50" w:line="600" w:lineRule="exact"/>
        <w:jc w:val="center"/>
        <w:rPr>
          <w:rFonts w:hint="eastAsia" w:ascii="宋体" w:hAnsi="宋体" w:cs="宋体"/>
          <w:color w:val="auto"/>
          <w:sz w:val="52"/>
          <w:szCs w:val="52"/>
          <w:highlight w:val="none"/>
        </w:rPr>
      </w:pPr>
    </w:p>
    <w:p w14:paraId="1A5D24DF">
      <w:pPr>
        <w:spacing w:line="360" w:lineRule="auto"/>
        <w:jc w:val="center"/>
        <w:rPr>
          <w:rFonts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586E2875">
      <w:pPr>
        <w:spacing w:line="360" w:lineRule="auto"/>
        <w:jc w:val="center"/>
        <w:rPr>
          <w:rFonts w:ascii="方正小标宋简体" w:hAnsi="方正小标宋简体" w:eastAsia="方正小标宋简体" w:cs="方正小标宋简体"/>
          <w:b/>
          <w:color w:val="auto"/>
          <w:sz w:val="44"/>
          <w:szCs w:val="44"/>
          <w:highlight w:val="none"/>
        </w:rPr>
      </w:pPr>
    </w:p>
    <w:p w14:paraId="36342D9D">
      <w:pPr>
        <w:spacing w:line="360" w:lineRule="auto"/>
        <w:jc w:val="center"/>
        <w:rPr>
          <w:rFonts w:ascii="方正小标宋简体" w:hAnsi="方正小标宋简体" w:eastAsia="方正小标宋简体" w:cs="方正小标宋简体"/>
          <w:b/>
          <w:color w:val="auto"/>
          <w:sz w:val="44"/>
          <w:szCs w:val="44"/>
          <w:highlight w:val="none"/>
        </w:rPr>
      </w:pPr>
    </w:p>
    <w:p w14:paraId="44378F67">
      <w:pPr>
        <w:spacing w:before="156"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6D66175A">
      <w:pPr>
        <w:spacing w:before="156"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7F30050D">
      <w:pPr>
        <w:spacing w:line="360" w:lineRule="auto"/>
        <w:rPr>
          <w:rFonts w:ascii="仿宋_GB2312" w:hAnsi="宋体" w:eastAsia="仿宋_GB2312"/>
          <w:color w:val="auto"/>
          <w:sz w:val="30"/>
          <w:szCs w:val="72"/>
          <w:highlight w:val="none"/>
        </w:rPr>
      </w:pPr>
    </w:p>
    <w:p w14:paraId="3DE1FB96">
      <w:pPr>
        <w:pStyle w:val="84"/>
        <w:spacing w:line="360" w:lineRule="auto"/>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：苍梧县沙头镇、六堡镇污水处理厂委托运营服务项目</w:t>
      </w:r>
    </w:p>
    <w:p w14:paraId="488B7EA0">
      <w:pPr>
        <w:spacing w:line="360" w:lineRule="auto"/>
        <w:ind w:firstLine="1145" w:firstLineChars="400"/>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b/>
          <w:color w:val="auto"/>
          <w:sz w:val="30"/>
          <w:szCs w:val="48"/>
          <w:highlight w:val="none"/>
          <w:lang w:eastAsia="zh-CN"/>
        </w:rPr>
        <w:t>WZZC2026-C3-210045-YZLZ</w:t>
      </w:r>
    </w:p>
    <w:p w14:paraId="0449B96E">
      <w:pPr>
        <w:pStyle w:val="84"/>
        <w:spacing w:line="360" w:lineRule="auto"/>
        <w:ind w:firstLine="1145" w:firstLineChars="400"/>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人：苍梧县住房和城乡建设局</w:t>
      </w:r>
    </w:p>
    <w:p w14:paraId="58E42AAC">
      <w:pPr>
        <w:pStyle w:val="84"/>
        <w:spacing w:line="360" w:lineRule="auto"/>
        <w:ind w:firstLine="1145" w:firstLineChars="400"/>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4E13E164">
      <w:pPr>
        <w:pStyle w:val="84"/>
        <w:spacing w:line="360" w:lineRule="auto"/>
        <w:ind w:firstLine="1125" w:firstLineChars="393"/>
        <w:rPr>
          <w:rFonts w:ascii="仿宋_GB2312" w:hAnsi="宋体" w:eastAsia="仿宋_GB2312"/>
          <w:b/>
          <w:bCs/>
          <w:color w:val="auto"/>
          <w:w w:val="95"/>
          <w:sz w:val="30"/>
          <w:szCs w:val="30"/>
          <w:highlight w:val="none"/>
        </w:rPr>
      </w:pPr>
    </w:p>
    <w:p w14:paraId="54CA279E">
      <w:pPr>
        <w:pStyle w:val="84"/>
        <w:spacing w:line="360" w:lineRule="auto"/>
        <w:ind w:firstLine="1125" w:firstLineChars="393"/>
        <w:rPr>
          <w:rFonts w:ascii="仿宋_GB2312" w:hAnsi="宋体" w:eastAsia="仿宋_GB2312"/>
          <w:b/>
          <w:bCs/>
          <w:color w:val="auto"/>
          <w:w w:val="95"/>
          <w:sz w:val="30"/>
          <w:szCs w:val="30"/>
          <w:highlight w:val="none"/>
        </w:rPr>
      </w:pPr>
    </w:p>
    <w:p w14:paraId="11F5629F">
      <w:pPr>
        <w:pStyle w:val="84"/>
        <w:spacing w:line="360" w:lineRule="auto"/>
        <w:ind w:left="420" w:firstLine="841" w:firstLineChars="294"/>
        <w:rPr>
          <w:rFonts w:hAnsi="宋体" w:cs="宋体"/>
          <w:b/>
          <w:bCs/>
          <w:color w:val="auto"/>
          <w:sz w:val="32"/>
          <w:szCs w:val="32"/>
          <w:highlight w:val="none"/>
        </w:rPr>
      </w:pPr>
      <w:r>
        <w:rPr>
          <w:rFonts w:hint="eastAsia" w:ascii="仿宋_GB2312" w:hAnsi="宋体" w:eastAsia="仿宋_GB2312"/>
          <w:b/>
          <w:bCs/>
          <w:color w:val="auto"/>
          <w:w w:val="95"/>
          <w:sz w:val="30"/>
          <w:szCs w:val="30"/>
          <w:highlight w:val="none"/>
        </w:rPr>
        <w:t xml:space="preserve">               2026年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30</w:t>
      </w:r>
      <w:r>
        <w:rPr>
          <w:rFonts w:hint="eastAsia" w:ascii="仿宋_GB2312" w:hAnsi="宋体" w:eastAsia="仿宋_GB2312"/>
          <w:b/>
          <w:bCs/>
          <w:color w:val="auto"/>
          <w:w w:val="95"/>
          <w:sz w:val="30"/>
          <w:szCs w:val="30"/>
          <w:highlight w:val="none"/>
        </w:rPr>
        <w:t>日</w:t>
      </w:r>
    </w:p>
    <w:p w14:paraId="04A73530">
      <w:pPr>
        <w:spacing w:line="360" w:lineRule="auto"/>
        <w:jc w:val="center"/>
        <w:rPr>
          <w:rFonts w:ascii="宋体" w:hAnsi="宋体" w:cs="宋体"/>
          <w:b/>
          <w:bCs/>
          <w:color w:val="auto"/>
          <w:kern w:val="0"/>
          <w:sz w:val="32"/>
          <w:szCs w:val="32"/>
          <w:highlight w:val="none"/>
        </w:rPr>
      </w:pPr>
    </w:p>
    <w:p w14:paraId="42666115">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br w:type="page"/>
      </w:r>
    </w:p>
    <w:p w14:paraId="385C5D9A">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3959D814">
      <w:pPr>
        <w:spacing w:line="400" w:lineRule="exact"/>
        <w:jc w:val="center"/>
        <w:rPr>
          <w:rFonts w:ascii="宋体" w:hAnsi="宋体" w:cs="宋体"/>
          <w:b/>
          <w:color w:val="auto"/>
          <w:sz w:val="44"/>
          <w:szCs w:val="44"/>
          <w:highlight w:val="none"/>
        </w:rPr>
      </w:pPr>
    </w:p>
    <w:p w14:paraId="19BF03B2">
      <w:pPr>
        <w:pStyle w:val="22"/>
        <w:tabs>
          <w:tab w:val="right" w:leader="dot" w:pos="8869"/>
        </w:tabs>
        <w:snapToGrid w:val="0"/>
        <w:spacing w:line="500" w:lineRule="atLeast"/>
        <w:rPr>
          <w:rFonts w:ascii="宋体" w:hAnsi="宋体" w:cs="宋体"/>
          <w:b/>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35"/>
          <w:rFonts w:hint="eastAsia" w:ascii="宋体" w:hAnsi="宋体" w:cs="宋体"/>
          <w:b/>
          <w:color w:val="auto"/>
          <w:sz w:val="24"/>
          <w:highlight w:val="none"/>
        </w:rPr>
        <w:t>第一章 竞争性磋商公告</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_Toc74323456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2</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1CBE7FF7">
      <w:pPr>
        <w:pStyle w:val="22"/>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35"/>
          <w:rFonts w:hint="eastAsia" w:ascii="宋体" w:hAnsi="宋体" w:cs="宋体"/>
          <w:b/>
          <w:color w:val="auto"/>
          <w:sz w:val="24"/>
          <w:highlight w:val="none"/>
        </w:rPr>
        <w:t>第二章 供应</w:t>
      </w:r>
      <w:bookmarkStart w:id="0" w:name="_Hlt82161237"/>
      <w:r>
        <w:rPr>
          <w:rStyle w:val="35"/>
          <w:rFonts w:hint="eastAsia" w:ascii="宋体" w:hAnsi="宋体" w:cs="宋体"/>
          <w:b/>
          <w:color w:val="auto"/>
          <w:sz w:val="24"/>
          <w:highlight w:val="none"/>
        </w:rPr>
        <w:t>商</w:t>
      </w:r>
      <w:bookmarkEnd w:id="0"/>
      <w:r>
        <w:rPr>
          <w:rStyle w:val="35"/>
          <w:rFonts w:hint="eastAsia" w:ascii="宋体" w:hAnsi="宋体" w:cs="宋体"/>
          <w:b/>
          <w:color w:val="auto"/>
          <w:sz w:val="24"/>
          <w:highlight w:val="none"/>
        </w:rPr>
        <w:t>须知</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_Toc74323457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6</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0672C680">
      <w:pPr>
        <w:pStyle w:val="22"/>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35"/>
          <w:rFonts w:hint="eastAsia" w:ascii="宋体" w:hAnsi="宋体" w:cs="宋体"/>
          <w:b/>
          <w:color w:val="auto"/>
          <w:sz w:val="24"/>
          <w:highlight w:val="none"/>
        </w:rPr>
        <w:t>第三章 采购需</w:t>
      </w:r>
      <w:bookmarkStart w:id="1" w:name="_Hlt82166940"/>
      <w:r>
        <w:rPr>
          <w:rStyle w:val="35"/>
          <w:rFonts w:hint="eastAsia" w:ascii="宋体" w:hAnsi="宋体" w:cs="宋体"/>
          <w:b/>
          <w:color w:val="auto"/>
          <w:sz w:val="24"/>
          <w:highlight w:val="none"/>
        </w:rPr>
        <w:t>求</w:t>
      </w:r>
      <w:bookmarkEnd w:id="1"/>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_Toc74323458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27</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36416E3F">
      <w:pPr>
        <w:pStyle w:val="22"/>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35"/>
          <w:rFonts w:hint="eastAsia" w:ascii="宋体" w:hAnsi="宋体" w:cs="宋体"/>
          <w:b/>
          <w:color w:val="auto"/>
          <w:sz w:val="24"/>
          <w:highlight w:val="none"/>
        </w:rPr>
        <w:t>第四章 评审程序、</w:t>
      </w:r>
      <w:bookmarkStart w:id="2" w:name="_Hlt82166000"/>
      <w:r>
        <w:rPr>
          <w:rStyle w:val="35"/>
          <w:rFonts w:hint="eastAsia" w:ascii="宋体" w:hAnsi="宋体" w:cs="宋体"/>
          <w:b/>
          <w:color w:val="auto"/>
          <w:sz w:val="24"/>
          <w:highlight w:val="none"/>
        </w:rPr>
        <w:t>评</w:t>
      </w:r>
      <w:bookmarkEnd w:id="2"/>
      <w:r>
        <w:rPr>
          <w:rStyle w:val="35"/>
          <w:rFonts w:hint="eastAsia" w:ascii="宋体" w:hAnsi="宋体" w:cs="宋体"/>
          <w:b/>
          <w:color w:val="auto"/>
          <w:sz w:val="24"/>
          <w:highlight w:val="none"/>
        </w:rPr>
        <w:t>审方法和评审标准</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_Toc74323459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41</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5007BE33">
      <w:pPr>
        <w:pStyle w:val="22"/>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35"/>
          <w:rFonts w:hint="eastAsia" w:ascii="宋体" w:hAnsi="宋体" w:cs="宋体"/>
          <w:b/>
          <w:color w:val="auto"/>
          <w:sz w:val="24"/>
          <w:highlight w:val="none"/>
        </w:rPr>
        <w:t>第五章 响应文件格式</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_Toc74323460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51</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48839036">
      <w:pPr>
        <w:pStyle w:val="22"/>
        <w:tabs>
          <w:tab w:val="right" w:leader="dot" w:pos="8869"/>
        </w:tabs>
        <w:snapToGrid w:val="0"/>
        <w:spacing w:line="500" w:lineRule="atLeast"/>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35"/>
          <w:rFonts w:hint="eastAsia" w:ascii="宋体" w:hAnsi="宋体" w:cs="宋体"/>
          <w:b/>
          <w:color w:val="auto"/>
          <w:sz w:val="24"/>
          <w:highlight w:val="none"/>
        </w:rPr>
        <w:t>第六章 合同文本</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_Toc74323461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77</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3228CE6A">
      <w:pPr>
        <w:pStyle w:val="23"/>
        <w:tabs>
          <w:tab w:val="right" w:leader="dot" w:pos="8931"/>
          <w:tab w:val="clear" w:pos="8296"/>
        </w:tabs>
        <w:snapToGrid w:val="0"/>
        <w:spacing w:line="500" w:lineRule="atLeast"/>
        <w:ind w:left="0" w:leftChars="0"/>
        <w:rPr>
          <w:rFonts w:ascii="宋体" w:hAnsi="宋体" w:cs="宋体"/>
          <w:b/>
          <w:color w:val="auto"/>
          <w:sz w:val="32"/>
          <w:szCs w:val="32"/>
          <w:highlight w:val="none"/>
        </w:rPr>
      </w:pPr>
      <w:r>
        <w:rPr>
          <w:rFonts w:hint="eastAsia" w:ascii="宋体" w:hAnsi="宋体" w:cs="宋体"/>
          <w:b/>
          <w:color w:val="auto"/>
          <w:sz w:val="24"/>
          <w:highlight w:val="none"/>
        </w:rPr>
        <w:fldChar w:fldCharType="end"/>
      </w:r>
    </w:p>
    <w:p w14:paraId="7882D01A">
      <w:pPr>
        <w:spacing w:line="400" w:lineRule="exact"/>
        <w:rPr>
          <w:rFonts w:ascii="宋体" w:hAnsi="宋体" w:cs="宋体"/>
          <w:b/>
          <w:color w:val="auto"/>
          <w:sz w:val="32"/>
          <w:szCs w:val="32"/>
          <w:highlight w:val="none"/>
        </w:rPr>
        <w:sectPr>
          <w:headerReference r:id="rId4" w:type="first"/>
          <w:footerReference r:id="rId6" w:type="first"/>
          <w:headerReference r:id="rId3" w:type="default"/>
          <w:footerReference r:id="rId5" w:type="default"/>
          <w:pgSz w:w="11906" w:h="16838"/>
          <w:pgMar w:top="1440" w:right="1279" w:bottom="1440" w:left="1587" w:header="851" w:footer="992" w:gutter="0"/>
          <w:pgNumType w:start="0"/>
          <w:cols w:space="720" w:num="1"/>
          <w:titlePg/>
          <w:docGrid w:type="lines" w:linePitch="312" w:charSpace="0"/>
        </w:sectPr>
      </w:pPr>
    </w:p>
    <w:p w14:paraId="0AB44268">
      <w:pPr>
        <w:pStyle w:val="2"/>
        <w:spacing w:line="360" w:lineRule="auto"/>
        <w:jc w:val="center"/>
        <w:rPr>
          <w:rFonts w:ascii="宋体" w:hAnsi="宋体" w:cs="宋体"/>
          <w:color w:val="auto"/>
          <w:highlight w:val="none"/>
        </w:rPr>
      </w:pPr>
      <w:bookmarkStart w:id="3" w:name="_Toc74323456"/>
      <w:r>
        <w:rPr>
          <w:rFonts w:hint="eastAsia" w:ascii="宋体" w:hAnsi="宋体" w:cs="宋体"/>
          <w:color w:val="auto"/>
          <w:highlight w:val="none"/>
        </w:rPr>
        <w:t>第一章 竞争性磋商公告</w:t>
      </w:r>
      <w:bookmarkEnd w:id="3"/>
    </w:p>
    <w:p w14:paraId="6ECC84C8">
      <w:pPr>
        <w:spacing w:line="460" w:lineRule="exact"/>
        <w:jc w:val="center"/>
        <w:rPr>
          <w:rFonts w:ascii="宋体" w:hAnsi="宋体" w:cs="宋体"/>
          <w:color w:val="auto"/>
          <w:sz w:val="32"/>
          <w:szCs w:val="32"/>
          <w:highlight w:val="none"/>
        </w:rPr>
      </w:pPr>
      <w:bookmarkStart w:id="4" w:name="_Hlk37430271"/>
      <w:r>
        <w:rPr>
          <w:rFonts w:hint="eastAsia" w:ascii="宋体" w:hAnsi="宋体" w:cs="宋体"/>
          <w:b/>
          <w:bCs/>
          <w:color w:val="auto"/>
          <w:sz w:val="32"/>
          <w:szCs w:val="32"/>
          <w:highlight w:val="none"/>
        </w:rPr>
        <w:t>竞争性磋商公告</w:t>
      </w:r>
    </w:p>
    <w:p w14:paraId="661900B8">
      <w:pPr>
        <w:pBdr>
          <w:top w:val="single" w:color="auto" w:sz="4" w:space="1"/>
          <w:left w:val="single" w:color="auto" w:sz="4" w:space="4"/>
          <w:bottom w:val="single" w:color="auto" w:sz="4" w:space="1"/>
          <w:right w:val="single" w:color="auto" w:sz="4" w:space="4"/>
        </w:pBd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8CD9684">
      <w:pPr>
        <w:pBdr>
          <w:top w:val="single" w:color="auto" w:sz="4" w:space="1"/>
          <w:left w:val="single" w:color="auto" w:sz="4" w:space="4"/>
          <w:bottom w:val="single" w:color="auto" w:sz="4" w:space="1"/>
          <w:right w:val="single" w:color="auto" w:sz="4" w:space="4"/>
        </w:pBd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苍梧县沙头镇、六堡镇污水处理厂委托运营服务项目</w:t>
      </w:r>
      <w:r>
        <w:rPr>
          <w:rFonts w:hint="eastAsia" w:ascii="宋体" w:hAnsi="宋体" w:cs="宋体"/>
          <w:color w:val="auto"/>
          <w:szCs w:val="21"/>
          <w:highlight w:val="none"/>
        </w:rPr>
        <w:t>的潜在供应商应在广西政府采购云平台（https：//www.gcy.zfcg.gxzf.gov.cn/）获取（下载）竞争性磋商文件，并于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北京时间）前提交（上传）</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p>
    <w:p w14:paraId="03C96DD5">
      <w:pPr>
        <w:spacing w:line="460" w:lineRule="exact"/>
        <w:ind w:firstLine="310" w:firstLineChars="147"/>
        <w:rPr>
          <w:rFonts w:ascii="宋体" w:hAnsi="宋体" w:cs="宋体"/>
          <w:b/>
          <w:color w:val="auto"/>
          <w:szCs w:val="21"/>
          <w:highlight w:val="none"/>
        </w:rPr>
      </w:pPr>
      <w:bookmarkStart w:id="5" w:name="_Toc35393798"/>
      <w:bookmarkStart w:id="6" w:name="_Toc28359012"/>
      <w:bookmarkStart w:id="7" w:name="_Toc44229878"/>
      <w:bookmarkStart w:id="8" w:name="_Toc35393629"/>
      <w:bookmarkStart w:id="9" w:name="_Toc28359089"/>
      <w:bookmarkStart w:id="10" w:name="_Toc71365905"/>
      <w:r>
        <w:rPr>
          <w:rFonts w:hint="eastAsia" w:ascii="宋体" w:hAnsi="宋体" w:cs="宋体"/>
          <w:b/>
          <w:color w:val="auto"/>
          <w:szCs w:val="21"/>
          <w:highlight w:val="none"/>
        </w:rPr>
        <w:t>一、项目基本情况</w:t>
      </w:r>
      <w:bookmarkEnd w:id="5"/>
      <w:bookmarkEnd w:id="6"/>
      <w:bookmarkEnd w:id="7"/>
      <w:bookmarkEnd w:id="8"/>
      <w:bookmarkEnd w:id="9"/>
      <w:bookmarkEnd w:id="10"/>
    </w:p>
    <w:p w14:paraId="082DBDEC">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项目编号：WZZC2026-C3-</w:t>
      </w:r>
      <w:r>
        <w:rPr>
          <w:rFonts w:hint="eastAsia" w:ascii="宋体" w:hAnsi="宋体" w:cs="宋体"/>
          <w:color w:val="auto"/>
          <w:szCs w:val="21"/>
          <w:highlight w:val="none"/>
          <w:lang w:eastAsia="zh-CN"/>
        </w:rPr>
        <w:t>210045</w:t>
      </w:r>
      <w:r>
        <w:rPr>
          <w:rFonts w:hint="eastAsia" w:ascii="宋体" w:hAnsi="宋体" w:cs="宋体"/>
          <w:color w:val="auto"/>
          <w:szCs w:val="21"/>
          <w:highlight w:val="none"/>
        </w:rPr>
        <w:t>-YZLZ</w:t>
      </w:r>
    </w:p>
    <w:p w14:paraId="227D172A">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项目名称：苍梧县沙头镇、六堡镇污水处理厂委托运营服务项目</w:t>
      </w:r>
    </w:p>
    <w:p w14:paraId="7241B0BA">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22AD8766">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预算金额：2105600.00</w:t>
      </w:r>
      <w:r>
        <w:rPr>
          <w:rFonts w:hint="eastAsia" w:ascii="宋体" w:hAnsi="宋体"/>
          <w:color w:val="auto"/>
          <w:szCs w:val="21"/>
          <w:highlight w:val="none"/>
        </w:rPr>
        <w:t>元</w:t>
      </w:r>
    </w:p>
    <w:p w14:paraId="74AB62EA">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最高限价：2105600.00</w:t>
      </w:r>
      <w:r>
        <w:rPr>
          <w:rFonts w:hint="eastAsia" w:ascii="宋体" w:hAnsi="宋体"/>
          <w:color w:val="auto"/>
          <w:szCs w:val="21"/>
          <w:highlight w:val="none"/>
        </w:rPr>
        <w:t>元</w:t>
      </w:r>
    </w:p>
    <w:p w14:paraId="399CD7F1">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29"/>
        <w:tblW w:w="90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2044"/>
        <w:gridCol w:w="1275"/>
        <w:gridCol w:w="5019"/>
      </w:tblGrid>
      <w:tr w14:paraId="3A984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auto" w:sz="4" w:space="0"/>
              <w:left w:val="single" w:color="auto" w:sz="4" w:space="0"/>
              <w:bottom w:val="single" w:color="auto" w:sz="4" w:space="0"/>
              <w:right w:val="single" w:color="auto" w:sz="4" w:space="0"/>
            </w:tcBorders>
            <w:vAlign w:val="center"/>
          </w:tcPr>
          <w:p w14:paraId="1E8FFF3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044" w:type="dxa"/>
            <w:tcBorders>
              <w:top w:val="single" w:color="auto" w:sz="4" w:space="0"/>
              <w:left w:val="single" w:color="auto" w:sz="4" w:space="0"/>
              <w:bottom w:val="single" w:color="auto" w:sz="4" w:space="0"/>
              <w:right w:val="single" w:color="auto" w:sz="4" w:space="0"/>
            </w:tcBorders>
            <w:vAlign w:val="center"/>
          </w:tcPr>
          <w:p w14:paraId="0AAB0F3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275" w:type="dxa"/>
            <w:tcBorders>
              <w:top w:val="single" w:color="auto" w:sz="4" w:space="0"/>
              <w:left w:val="single" w:color="auto" w:sz="4" w:space="0"/>
              <w:bottom w:val="single" w:color="auto" w:sz="4" w:space="0"/>
              <w:right w:val="single" w:color="auto" w:sz="4" w:space="0"/>
            </w:tcBorders>
            <w:vAlign w:val="center"/>
          </w:tcPr>
          <w:p w14:paraId="242C516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5019" w:type="dxa"/>
            <w:tcBorders>
              <w:top w:val="single" w:color="auto" w:sz="4" w:space="0"/>
              <w:left w:val="single" w:color="auto" w:sz="4" w:space="0"/>
              <w:bottom w:val="single" w:color="auto" w:sz="4" w:space="0"/>
              <w:right w:val="single" w:color="auto" w:sz="4" w:space="0"/>
            </w:tcBorders>
            <w:vAlign w:val="center"/>
          </w:tcPr>
          <w:p w14:paraId="2E60F20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7F57D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1" w:hRule="atLeast"/>
        </w:trPr>
        <w:tc>
          <w:tcPr>
            <w:tcW w:w="705" w:type="dxa"/>
            <w:tcBorders>
              <w:top w:val="single" w:color="auto" w:sz="4" w:space="0"/>
              <w:left w:val="single" w:color="auto" w:sz="4" w:space="0"/>
              <w:bottom w:val="single" w:color="auto" w:sz="4" w:space="0"/>
              <w:right w:val="single" w:color="auto" w:sz="4" w:space="0"/>
            </w:tcBorders>
            <w:vAlign w:val="center"/>
          </w:tcPr>
          <w:p w14:paraId="7AC26E0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2044" w:type="dxa"/>
            <w:tcBorders>
              <w:top w:val="single" w:color="auto" w:sz="4" w:space="0"/>
              <w:left w:val="single" w:color="auto" w:sz="4" w:space="0"/>
              <w:bottom w:val="single" w:color="auto" w:sz="4" w:space="0"/>
              <w:right w:val="single" w:color="auto" w:sz="4" w:space="0"/>
            </w:tcBorders>
            <w:vAlign w:val="center"/>
          </w:tcPr>
          <w:p w14:paraId="4BC773B0">
            <w:pPr>
              <w:tabs>
                <w:tab w:val="left" w:pos="180"/>
                <w:tab w:val="left" w:pos="1620"/>
              </w:tabs>
              <w:spacing w:line="360" w:lineRule="auto"/>
              <w:jc w:val="center"/>
              <w:rPr>
                <w:rFonts w:ascii="宋体" w:hAnsi="宋体"/>
                <w:color w:val="auto"/>
                <w:szCs w:val="21"/>
                <w:highlight w:val="none"/>
              </w:rPr>
            </w:pPr>
            <w:r>
              <w:rPr>
                <w:rFonts w:hint="eastAsia" w:ascii="宋体" w:hAnsi="宋体" w:cs="宋体"/>
                <w:color w:val="auto"/>
                <w:szCs w:val="21"/>
                <w:highlight w:val="none"/>
              </w:rPr>
              <w:t>苍梧县沙头镇、六堡镇污水处理厂委托运营服务</w:t>
            </w:r>
          </w:p>
        </w:tc>
        <w:tc>
          <w:tcPr>
            <w:tcW w:w="1275" w:type="dxa"/>
            <w:tcBorders>
              <w:top w:val="single" w:color="auto" w:sz="4" w:space="0"/>
              <w:left w:val="single" w:color="auto" w:sz="4" w:space="0"/>
              <w:bottom w:val="single" w:color="auto" w:sz="4" w:space="0"/>
              <w:right w:val="single" w:color="auto" w:sz="4" w:space="0"/>
            </w:tcBorders>
            <w:vAlign w:val="center"/>
          </w:tcPr>
          <w:p w14:paraId="23E4D037">
            <w:pPr>
              <w:tabs>
                <w:tab w:val="left" w:pos="180"/>
                <w:tab w:val="left" w:pos="1620"/>
              </w:tabs>
              <w:spacing w:line="360" w:lineRule="auto"/>
              <w:jc w:val="center"/>
              <w:rPr>
                <w:rFonts w:ascii="宋体" w:hAnsi="宋体"/>
                <w:color w:val="auto"/>
                <w:szCs w:val="21"/>
                <w:highlight w:val="none"/>
              </w:rPr>
            </w:pPr>
            <w:r>
              <w:rPr>
                <w:rFonts w:hint="eastAsia" w:ascii="宋体" w:hAnsi="宋体" w:cs="宋体"/>
                <w:color w:val="auto"/>
                <w:szCs w:val="21"/>
                <w:highlight w:val="none"/>
              </w:rPr>
              <w:t>1项</w:t>
            </w:r>
          </w:p>
        </w:tc>
        <w:tc>
          <w:tcPr>
            <w:tcW w:w="5019" w:type="dxa"/>
            <w:tcBorders>
              <w:top w:val="single" w:color="auto" w:sz="4" w:space="0"/>
              <w:left w:val="single" w:color="auto" w:sz="4" w:space="0"/>
              <w:bottom w:val="single" w:color="auto" w:sz="4" w:space="0"/>
              <w:right w:val="single" w:color="auto" w:sz="4" w:space="0"/>
            </w:tcBorders>
            <w:vAlign w:val="center"/>
          </w:tcPr>
          <w:p w14:paraId="1479D8FB">
            <w:pPr>
              <w:pStyle w:val="85"/>
              <w:spacing w:before="0" w:after="0" w:line="360" w:lineRule="auto"/>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一、项目基本情况</w:t>
            </w:r>
          </w:p>
          <w:p w14:paraId="2C390BE2">
            <w:pPr>
              <w:pStyle w:val="85"/>
              <w:spacing w:before="0"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苍梧县沙头镇、六堡镇污水处理厂共2座污水处理厂进行运营维护服务，要求污水经过处理后，出水水质达到《城镇污水处理厂污染物排放标准》（GB18918-2002）一级B标准，污泥经过浓缩脱水含水率小于80%后进行无害化处置。</w:t>
            </w:r>
          </w:p>
          <w:p w14:paraId="36176301">
            <w:pPr>
              <w:pStyle w:val="85"/>
              <w:spacing w:before="0" w:after="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苍梧县沙头镇污水处理厂日处理量（1500m³/天），含配套污水管网维护；苍梧县六堡镇污水处理厂日处理量（1500m³/天），含配套污水管网维护。</w:t>
            </w:r>
          </w:p>
          <w:p w14:paraId="2CFB3BD7">
            <w:pPr>
              <w:pStyle w:val="85"/>
              <w:spacing w:before="0" w:after="0" w:line="360" w:lineRule="auto"/>
              <w:ind w:firstLine="420" w:firstLineChars="200"/>
              <w:rPr>
                <w:rFonts w:ascii="宋体" w:hAnsi="宋体"/>
                <w:color w:val="auto"/>
                <w:szCs w:val="21"/>
                <w:highlight w:val="none"/>
              </w:rPr>
            </w:pPr>
            <w:r>
              <w:rPr>
                <w:rFonts w:hint="eastAsia" w:ascii="宋体" w:hAnsi="宋体" w:eastAsia="宋体" w:cs="宋体"/>
                <w:b w:val="0"/>
                <w:bCs w:val="0"/>
                <w:color w:val="auto"/>
                <w:sz w:val="21"/>
                <w:szCs w:val="21"/>
                <w:highlight w:val="none"/>
              </w:rPr>
              <w:t>具体内容详见竞争性磋商文件。</w:t>
            </w:r>
          </w:p>
        </w:tc>
      </w:tr>
    </w:tbl>
    <w:p w14:paraId="3A339585">
      <w:pPr>
        <w:spacing w:line="5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合同履行期限：自签订合同之日起24个月。</w:t>
      </w:r>
    </w:p>
    <w:p w14:paraId="319523B7">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本项目（否）接受联合体。</w:t>
      </w:r>
    </w:p>
    <w:p w14:paraId="7BCB53E7">
      <w:pPr>
        <w:spacing w:line="460" w:lineRule="exact"/>
        <w:ind w:firstLine="422" w:firstLineChars="200"/>
        <w:rPr>
          <w:rFonts w:ascii="宋体" w:hAnsi="宋体" w:cs="宋体"/>
          <w:b/>
          <w:color w:val="auto"/>
          <w:szCs w:val="21"/>
          <w:highlight w:val="none"/>
        </w:rPr>
      </w:pPr>
      <w:bookmarkStart w:id="11" w:name="_Toc35393630"/>
      <w:bookmarkStart w:id="12" w:name="_Toc35393799"/>
      <w:bookmarkStart w:id="13" w:name="_Toc28359090"/>
      <w:bookmarkStart w:id="14" w:name="_Toc44229879"/>
      <w:bookmarkStart w:id="15" w:name="_Toc28359013"/>
      <w:bookmarkStart w:id="16" w:name="_Toc71365906"/>
      <w:r>
        <w:rPr>
          <w:rFonts w:hint="eastAsia" w:ascii="宋体" w:hAnsi="宋体" w:cs="宋体"/>
          <w:b/>
          <w:color w:val="auto"/>
          <w:szCs w:val="21"/>
          <w:highlight w:val="none"/>
        </w:rPr>
        <w:t>二、申请人的资格条件：</w:t>
      </w:r>
      <w:bookmarkEnd w:id="11"/>
      <w:bookmarkEnd w:id="12"/>
      <w:bookmarkEnd w:id="13"/>
      <w:bookmarkEnd w:id="14"/>
      <w:bookmarkEnd w:id="15"/>
      <w:bookmarkEnd w:id="16"/>
    </w:p>
    <w:p w14:paraId="08359527">
      <w:pPr>
        <w:spacing w:line="460" w:lineRule="exact"/>
        <w:ind w:firstLine="420" w:firstLineChars="200"/>
        <w:rPr>
          <w:rFonts w:ascii="宋体" w:hAnsi="宋体" w:cs="宋体"/>
          <w:color w:val="auto"/>
          <w:szCs w:val="21"/>
          <w:highlight w:val="none"/>
        </w:rPr>
      </w:pPr>
      <w:bookmarkStart w:id="17" w:name="_Toc35393631"/>
      <w:bookmarkStart w:id="18" w:name="_Toc44229880"/>
      <w:bookmarkStart w:id="19" w:name="_Toc35393800"/>
      <w:bookmarkStart w:id="20" w:name="_Toc71365907"/>
      <w:bookmarkStart w:id="21" w:name="_Toc28359091"/>
      <w:bookmarkStart w:id="22" w:name="_Toc28359014"/>
      <w:r>
        <w:rPr>
          <w:rFonts w:hint="eastAsia" w:ascii="宋体" w:hAnsi="宋体" w:cs="宋体"/>
          <w:color w:val="auto"/>
          <w:szCs w:val="21"/>
          <w:highlight w:val="none"/>
        </w:rPr>
        <w:t>1.满足《中华人民共和国政府采购法》第二十二条规定；</w:t>
      </w:r>
    </w:p>
    <w:p w14:paraId="064810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2.落实政府采购政策需满足的资格要求：本项目属于专门面向中小企业采购的项目，服务的承接单位为符合政策要求的中型、小型或微型企业（包括监狱企业及残疾人福利单位），须提供中小企业声明函</w:t>
      </w:r>
      <w:r>
        <w:rPr>
          <w:rFonts w:hint="eastAsia" w:ascii="宋体" w:hAnsi="宋体"/>
          <w:color w:val="auto"/>
          <w:szCs w:val="21"/>
          <w:highlight w:val="none"/>
        </w:rPr>
        <w:t>【如属于残疾人福利性单位的提供残疾人福利性单位声明函，属于监狱企业的提供由省级以上监狱管理局、戒毒管理局（含新疆生产建设兵团）出具的属于监狱企业的证明文件】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s="宋体"/>
          <w:color w:val="auto"/>
          <w:szCs w:val="21"/>
          <w:highlight w:val="none"/>
        </w:rPr>
        <w:t>；</w:t>
      </w:r>
    </w:p>
    <w:p w14:paraId="113FB609">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14:paraId="6E33463C">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三、获取竞争性磋商文件</w:t>
      </w:r>
      <w:bookmarkEnd w:id="17"/>
      <w:bookmarkEnd w:id="18"/>
      <w:bookmarkEnd w:id="19"/>
      <w:bookmarkEnd w:id="20"/>
      <w:bookmarkEnd w:id="21"/>
      <w:bookmarkEnd w:id="22"/>
    </w:p>
    <w:p w14:paraId="23F8D952">
      <w:pPr>
        <w:spacing w:line="460" w:lineRule="exact"/>
        <w:ind w:firstLine="420" w:firstLineChars="200"/>
        <w:rPr>
          <w:rFonts w:ascii="宋体" w:hAnsi="宋体" w:cs="宋体"/>
          <w:bCs/>
          <w:color w:val="auto"/>
          <w:kern w:val="0"/>
          <w:szCs w:val="21"/>
          <w:highlight w:val="none"/>
        </w:rPr>
      </w:pPr>
      <w:bookmarkStart w:id="23" w:name="_Toc28359015"/>
      <w:bookmarkStart w:id="24" w:name="_Toc28359092"/>
      <w:bookmarkStart w:id="25" w:name="_Toc35393632"/>
      <w:bookmarkStart w:id="26" w:name="_Toc44229881"/>
      <w:bookmarkStart w:id="27" w:name="_Toc35393801"/>
      <w:r>
        <w:rPr>
          <w:rFonts w:hint="eastAsia" w:ascii="宋体" w:hAnsi="宋体" w:cs="宋体"/>
          <w:bCs/>
          <w:color w:val="auto"/>
          <w:kern w:val="0"/>
          <w:szCs w:val="21"/>
          <w:highlight w:val="none"/>
        </w:rPr>
        <w:t>时间：2026年</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日</w:t>
      </w:r>
      <w:r>
        <w:rPr>
          <w:rFonts w:hint="eastAsia" w:ascii="宋体" w:hAnsi="宋体" w:cs="宋体"/>
          <w:color w:val="auto"/>
          <w:szCs w:val="21"/>
          <w:highlight w:val="none"/>
        </w:rPr>
        <w:t>起</w:t>
      </w:r>
      <w:r>
        <w:rPr>
          <w:rFonts w:hint="eastAsia" w:ascii="宋体" w:hAnsi="宋体" w:cs="宋体"/>
          <w:bCs/>
          <w:color w:val="auto"/>
          <w:kern w:val="0"/>
          <w:szCs w:val="21"/>
          <w:highlight w:val="none"/>
        </w:rPr>
        <w:t>至2026年</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日</w:t>
      </w:r>
      <w:r>
        <w:rPr>
          <w:rFonts w:hint="eastAsia" w:ascii="宋体" w:hAnsi="宋体" w:cs="宋体"/>
          <w:bCs/>
          <w:color w:val="auto"/>
          <w:kern w:val="0"/>
          <w:szCs w:val="21"/>
          <w:highlight w:val="none"/>
        </w:rPr>
        <w:t>，每天上午8：00至12：00，</w:t>
      </w:r>
      <w:r>
        <w:rPr>
          <w:rFonts w:hint="eastAsia"/>
          <w:color w:val="auto"/>
          <w:highlight w:val="none"/>
        </w:rPr>
        <w:t>下午3：00至6：00</w:t>
      </w:r>
      <w:r>
        <w:rPr>
          <w:rFonts w:hint="eastAsia" w:ascii="宋体" w:hAnsi="宋体" w:cs="宋体"/>
          <w:bCs/>
          <w:color w:val="auto"/>
          <w:kern w:val="0"/>
          <w:szCs w:val="21"/>
          <w:highlight w:val="none"/>
        </w:rPr>
        <w:t>（北京时间，法定节假日除外）</w:t>
      </w:r>
    </w:p>
    <w:p w14:paraId="7647BBAB">
      <w:pPr>
        <w:spacing w:line="4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2DF0B320">
      <w:pPr>
        <w:spacing w:line="4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s="宋体"/>
          <w:color w:val="auto"/>
          <w:szCs w:val="21"/>
          <w:highlight w:val="none"/>
        </w:rPr>
        <w:t>电子响应文件制作需要基于广西政府采购云平台获取的磋商文件编制，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p w14:paraId="5C4BACAC">
      <w:pPr>
        <w:spacing w:line="46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7D463151">
      <w:pPr>
        <w:spacing w:line="460" w:lineRule="exact"/>
        <w:ind w:firstLine="310" w:firstLineChars="147"/>
        <w:rPr>
          <w:rFonts w:ascii="宋体" w:hAnsi="宋体" w:cs="宋体"/>
          <w:b/>
          <w:color w:val="auto"/>
          <w:szCs w:val="21"/>
          <w:highlight w:val="none"/>
        </w:rPr>
      </w:pPr>
      <w:bookmarkStart w:id="28" w:name="_Toc71365908"/>
      <w:r>
        <w:rPr>
          <w:rFonts w:hint="eastAsia" w:ascii="宋体" w:hAnsi="宋体" w:cs="宋体"/>
          <w:b/>
          <w:color w:val="auto"/>
          <w:szCs w:val="21"/>
          <w:highlight w:val="none"/>
        </w:rPr>
        <w:t>四、响应文件提交</w:t>
      </w:r>
      <w:bookmarkEnd w:id="23"/>
      <w:bookmarkEnd w:id="24"/>
      <w:bookmarkEnd w:id="25"/>
      <w:bookmarkEnd w:id="26"/>
      <w:bookmarkEnd w:id="27"/>
      <w:bookmarkEnd w:id="28"/>
    </w:p>
    <w:p w14:paraId="67A2772F">
      <w:pPr>
        <w:spacing w:line="360" w:lineRule="auto"/>
        <w:ind w:firstLine="420" w:firstLineChars="200"/>
        <w:rPr>
          <w:rFonts w:ascii="宋体" w:hAnsi="宋体" w:cs="宋体"/>
          <w:bCs/>
          <w:color w:val="auto"/>
          <w:szCs w:val="21"/>
          <w:highlight w:val="none"/>
        </w:rPr>
      </w:pPr>
      <w:bookmarkStart w:id="29" w:name="_Toc35393633"/>
      <w:bookmarkStart w:id="30" w:name="_Toc71365909"/>
      <w:bookmarkStart w:id="31" w:name="_Toc28359093"/>
      <w:bookmarkStart w:id="32" w:name="_Toc35393802"/>
      <w:bookmarkStart w:id="33" w:name="_Toc44229882"/>
      <w:bookmarkStart w:id="34" w:name="_Toc28359016"/>
      <w:r>
        <w:rPr>
          <w:rFonts w:hint="eastAsia" w:ascii="宋体" w:hAnsi="宋体" w:cs="宋体"/>
          <w:color w:val="auto"/>
          <w:szCs w:val="21"/>
          <w:highlight w:val="none"/>
        </w:rPr>
        <w:t>截止时间：</w:t>
      </w:r>
      <w:r>
        <w:rPr>
          <w:rFonts w:hint="eastAsia" w:ascii="宋体" w:hAnsi="宋体"/>
          <w:bCs/>
          <w:color w:val="auto"/>
          <w:szCs w:val="21"/>
          <w:highlight w:val="none"/>
        </w:rPr>
        <w:t>2026年</w:t>
      </w:r>
      <w:r>
        <w:rPr>
          <w:rFonts w:hint="eastAsia" w:ascii="宋体" w:hAnsi="宋体"/>
          <w:bCs/>
          <w:color w:val="auto"/>
          <w:szCs w:val="21"/>
          <w:highlight w:val="non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lang w:val="en-US" w:eastAsia="zh-CN"/>
        </w:rPr>
        <w:t>10</w:t>
      </w:r>
      <w:r>
        <w:rPr>
          <w:rFonts w:hint="eastAsia" w:ascii="宋体" w:hAnsi="宋体"/>
          <w:bCs/>
          <w:color w:val="auto"/>
          <w:szCs w:val="21"/>
          <w:highlight w:val="none"/>
        </w:rPr>
        <w:t>日9:30（北京时间）</w:t>
      </w:r>
    </w:p>
    <w:p w14:paraId="483CE037">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p w14:paraId="043B9080">
      <w:pPr>
        <w:spacing w:line="46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五、开启</w:t>
      </w:r>
      <w:bookmarkEnd w:id="29"/>
      <w:bookmarkEnd w:id="30"/>
      <w:bookmarkEnd w:id="31"/>
      <w:bookmarkEnd w:id="32"/>
      <w:bookmarkEnd w:id="33"/>
      <w:bookmarkEnd w:id="34"/>
    </w:p>
    <w:p w14:paraId="3503BAEE">
      <w:pPr>
        <w:spacing w:line="360" w:lineRule="auto"/>
        <w:ind w:firstLine="420" w:firstLineChars="200"/>
        <w:rPr>
          <w:rFonts w:ascii="宋体" w:hAnsi="宋体" w:cs="宋体"/>
          <w:bCs/>
          <w:color w:val="auto"/>
          <w:szCs w:val="21"/>
          <w:highlight w:val="none"/>
          <w:u w:val="single"/>
        </w:rPr>
      </w:pPr>
      <w:bookmarkStart w:id="35" w:name="_Toc71365910"/>
      <w:bookmarkStart w:id="36" w:name="_Toc28359017"/>
      <w:bookmarkStart w:id="37" w:name="_Toc44229883"/>
      <w:bookmarkStart w:id="38" w:name="_Toc35393634"/>
      <w:bookmarkStart w:id="39" w:name="_Toc35393803"/>
      <w:bookmarkStart w:id="40" w:name="_Toc28359094"/>
      <w:r>
        <w:rPr>
          <w:rFonts w:hint="eastAsia" w:ascii="宋体" w:hAnsi="宋体" w:cs="宋体"/>
          <w:color w:val="auto"/>
          <w:szCs w:val="21"/>
          <w:highlight w:val="none"/>
        </w:rPr>
        <w:t>1.时间：</w:t>
      </w:r>
      <w:r>
        <w:rPr>
          <w:rFonts w:hint="eastAsia" w:ascii="宋体" w:hAnsi="宋体"/>
          <w:bCs/>
          <w:color w:val="auto"/>
          <w:szCs w:val="21"/>
          <w:highlight w:val="none"/>
        </w:rPr>
        <w:t>2026年</w:t>
      </w:r>
      <w:r>
        <w:rPr>
          <w:rFonts w:hint="eastAsia" w:ascii="宋体" w:hAnsi="宋体"/>
          <w:bCs/>
          <w:color w:val="auto"/>
          <w:szCs w:val="21"/>
          <w:highlight w:val="non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lang w:val="en-US" w:eastAsia="zh-CN"/>
        </w:rPr>
        <w:t>10</w:t>
      </w:r>
      <w:r>
        <w:rPr>
          <w:rFonts w:hint="eastAsia" w:ascii="宋体" w:hAnsi="宋体"/>
          <w:bCs/>
          <w:color w:val="auto"/>
          <w:szCs w:val="21"/>
          <w:highlight w:val="none"/>
        </w:rPr>
        <w:t>日9:30（北京时间）</w:t>
      </w:r>
    </w:p>
    <w:p w14:paraId="37A5082B">
      <w:pPr>
        <w:spacing w:line="460" w:lineRule="exact"/>
        <w:ind w:firstLine="420" w:firstLineChars="200"/>
        <w:rPr>
          <w:rFonts w:ascii="宋体" w:hAnsi="宋体" w:cs="宋体"/>
          <w:bCs/>
          <w:color w:val="auto"/>
          <w:kern w:val="0"/>
          <w:szCs w:val="21"/>
          <w:highlight w:val="none"/>
        </w:rPr>
      </w:pPr>
      <w:r>
        <w:rPr>
          <w:rFonts w:hint="eastAsia" w:ascii="宋体" w:hAnsi="宋体" w:cs="宋体"/>
          <w:color w:val="auto"/>
          <w:szCs w:val="21"/>
          <w:highlight w:val="none"/>
        </w:rPr>
        <w:t>2.地点：广西政府采购云平台（https：//www.gcy.zfcg.gxzf.gov.cn/）</w:t>
      </w:r>
    </w:p>
    <w:p w14:paraId="3CA8CB5A">
      <w:pPr>
        <w:spacing w:line="46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六、公告期限</w:t>
      </w:r>
      <w:bookmarkEnd w:id="35"/>
      <w:bookmarkEnd w:id="36"/>
      <w:bookmarkEnd w:id="37"/>
      <w:bookmarkEnd w:id="38"/>
      <w:bookmarkEnd w:id="39"/>
      <w:bookmarkEnd w:id="40"/>
    </w:p>
    <w:p w14:paraId="63B223CE">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88BAC3D">
      <w:pPr>
        <w:spacing w:line="460" w:lineRule="exact"/>
        <w:ind w:firstLine="310" w:firstLineChars="147"/>
        <w:rPr>
          <w:rFonts w:ascii="宋体" w:hAnsi="宋体" w:cs="宋体"/>
          <w:b/>
          <w:color w:val="auto"/>
          <w:szCs w:val="21"/>
          <w:highlight w:val="none"/>
        </w:rPr>
      </w:pPr>
      <w:bookmarkStart w:id="41" w:name="_Toc71365911"/>
      <w:bookmarkStart w:id="42" w:name="_Toc35393804"/>
      <w:bookmarkStart w:id="43" w:name="_Toc44229884"/>
      <w:bookmarkStart w:id="44" w:name="_Toc35393635"/>
      <w:r>
        <w:rPr>
          <w:rFonts w:hint="eastAsia" w:ascii="宋体" w:hAnsi="宋体" w:cs="宋体"/>
          <w:b/>
          <w:color w:val="auto"/>
          <w:szCs w:val="21"/>
          <w:highlight w:val="none"/>
        </w:rPr>
        <w:t>七、其他补充事宜</w:t>
      </w:r>
      <w:bookmarkEnd w:id="41"/>
      <w:bookmarkEnd w:id="42"/>
      <w:bookmarkEnd w:id="43"/>
      <w:bookmarkEnd w:id="44"/>
    </w:p>
    <w:p w14:paraId="113DBB02">
      <w:pPr>
        <w:spacing w:line="360" w:lineRule="auto"/>
        <w:ind w:firstLine="420" w:firstLineChars="200"/>
        <w:rPr>
          <w:rFonts w:ascii="宋体" w:hAnsi="宋体" w:cs="宋体"/>
          <w:color w:val="auto"/>
          <w:kern w:val="0"/>
          <w:szCs w:val="21"/>
          <w:highlight w:val="none"/>
        </w:rPr>
      </w:pPr>
      <w:bookmarkStart w:id="45" w:name="_Toc35393636"/>
      <w:bookmarkStart w:id="46" w:name="_Toc28359018"/>
      <w:bookmarkStart w:id="47" w:name="_Toc35393805"/>
      <w:bookmarkStart w:id="48" w:name="_Toc28359095"/>
      <w:bookmarkStart w:id="49" w:name="_Toc44229885"/>
      <w:r>
        <w:rPr>
          <w:rFonts w:hint="eastAsia" w:ascii="宋体" w:hAnsi="宋体" w:cs="宋体"/>
          <w:color w:val="auto"/>
          <w:kern w:val="0"/>
          <w:szCs w:val="21"/>
          <w:highlight w:val="none"/>
        </w:rPr>
        <w:t>1.网上查询地址</w:t>
      </w:r>
    </w:p>
    <w:p w14:paraId="7FDC34DC">
      <w:pPr>
        <w:spacing w:line="360" w:lineRule="auto"/>
        <w:ind w:firstLine="420" w:firstLineChars="200"/>
        <w:rPr>
          <w:rFonts w:ascii="宋体" w:hAnsi="宋体" w:cs="宋体"/>
          <w:color w:val="auto"/>
          <w:kern w:val="0"/>
          <w:szCs w:val="21"/>
          <w:highlight w:val="none"/>
        </w:rPr>
      </w:pPr>
      <w:bookmarkStart w:id="50" w:name="_Hlk37429674"/>
      <w:r>
        <w:rPr>
          <w:rFonts w:hint="eastAsia" w:ascii="宋体" w:hAnsi="宋体" w:cs="宋体"/>
          <w:color w:val="auto"/>
          <w:kern w:val="0"/>
          <w:szCs w:val="21"/>
          <w:highlight w:val="none"/>
        </w:rPr>
        <w:t>www.ccgp.gov.cn（中国政府采购网）、zfcg.gxzf.gov.cn（广西壮族自治区政府采购网）、</w:t>
      </w:r>
      <w:r>
        <w:rPr>
          <w:rFonts w:ascii="宋体" w:hAnsi="宋体" w:cs="宋体"/>
          <w:color w:val="auto"/>
          <w:kern w:val="0"/>
          <w:szCs w:val="21"/>
          <w:highlight w:val="none"/>
        </w:rPr>
        <w:t>http://117.141.250.58:10030/web/cgw/index.ptl</w:t>
      </w:r>
      <w:r>
        <w:rPr>
          <w:rFonts w:hint="eastAsia" w:ascii="宋体" w:hAnsi="宋体" w:cs="宋体"/>
          <w:color w:val="auto"/>
          <w:kern w:val="0"/>
          <w:szCs w:val="21"/>
          <w:highlight w:val="none"/>
        </w:rPr>
        <w:t>（梧州市政府采购网）</w:t>
      </w:r>
    </w:p>
    <w:p w14:paraId="3F24C5A8">
      <w:pPr>
        <w:spacing w:line="460" w:lineRule="exact"/>
        <w:ind w:firstLine="424" w:firstLineChars="202"/>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20181C74">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2DC61F2">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9927EF0">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2B0FA8A">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62E602E">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50"/>
    <w:p w14:paraId="7E25D450">
      <w:pPr>
        <w:widowControl/>
        <w:spacing w:line="4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3.供应商</w:t>
      </w:r>
      <w:r>
        <w:rPr>
          <w:rFonts w:hint="eastAsia" w:ascii="宋体" w:hAnsi="宋体" w:cs="宋体"/>
          <w:color w:val="auto"/>
          <w:szCs w:val="21"/>
          <w:highlight w:val="none"/>
        </w:rPr>
        <w:t>竞标注意事项</w:t>
      </w:r>
    </w:p>
    <w:p w14:paraId="2A3E0EAC">
      <w:pPr>
        <w:widowControl/>
        <w:spacing w:line="46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w:t>
      </w:r>
      <w:r>
        <w:rPr>
          <w:rFonts w:hint="eastAsia"/>
          <w:color w:val="auto"/>
          <w:highlight w:val="none"/>
        </w:rPr>
        <w:t>竞争性磋商文件</w:t>
      </w:r>
      <w:r>
        <w:rPr>
          <w:rFonts w:hint="eastAsia" w:ascii="宋体" w:hAnsi="宋体"/>
          <w:color w:val="auto"/>
          <w:szCs w:val="21"/>
          <w:highlight w:val="none"/>
        </w:rPr>
        <w:t>和广西政府采购云平台的要求编制、加密后在响应文件提交截止时间前通过网络上传至广西政府采购云平台（加密的电子响应文件是指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供应商在广西政府采购云平台提交电子响应文件时，请填写参加远程采购活动经办人联系方式。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供应商登录广西政府采购云平台，依次进入“服务中心-项目采购-操作流程-电子招投标-政府采购项目电子交易管理操作指南-供应商”查看电子竞标具体操作流程。</w:t>
      </w:r>
    </w:p>
    <w:p w14:paraId="70FB3D4A">
      <w:pPr>
        <w:widowControl/>
        <w:spacing w:line="4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如在操作过程中遇到问题或者需要技术支持，请致电广西政府采购云平台客服热线：95763或者0771-3381253</w:t>
      </w:r>
      <w:r>
        <w:rPr>
          <w:rFonts w:hint="eastAsia" w:ascii="宋体" w:hAnsi="宋体" w:cs="宋体"/>
          <w:color w:val="auto"/>
          <w:szCs w:val="21"/>
          <w:highlight w:val="none"/>
        </w:rPr>
        <w:t>）。</w:t>
      </w:r>
    </w:p>
    <w:p w14:paraId="507FD04E">
      <w:pPr>
        <w:snapToGrid w:val="0"/>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B0CD2E2">
      <w:pPr>
        <w:widowControl/>
        <w:spacing w:line="46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BF65EEB">
      <w:pPr>
        <w:spacing w:line="46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7DE1D25D">
      <w:pPr>
        <w:spacing w:line="46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八、凡对本次采购提出询问，请按以下方式联系。</w:t>
      </w:r>
      <w:bookmarkEnd w:id="45"/>
      <w:bookmarkEnd w:id="46"/>
      <w:bookmarkEnd w:id="47"/>
      <w:bookmarkEnd w:id="48"/>
      <w:bookmarkEnd w:id="49"/>
    </w:p>
    <w:p w14:paraId="5D78500F">
      <w:pPr>
        <w:spacing w:line="460" w:lineRule="exact"/>
        <w:ind w:firstLine="420" w:firstLineChars="200"/>
        <w:rPr>
          <w:rFonts w:ascii="宋体" w:hAnsi="宋体" w:cs="宋体"/>
          <w:color w:val="auto"/>
          <w:kern w:val="0"/>
          <w:szCs w:val="21"/>
          <w:highlight w:val="none"/>
        </w:rPr>
      </w:pPr>
      <w:bookmarkStart w:id="51" w:name="_Toc28359096"/>
      <w:bookmarkStart w:id="52" w:name="_Toc35393637"/>
      <w:bookmarkStart w:id="53" w:name="_Toc35393806"/>
      <w:bookmarkStart w:id="54" w:name="_Toc28359019"/>
      <w:r>
        <w:rPr>
          <w:rFonts w:hint="eastAsia" w:ascii="宋体" w:hAnsi="宋体" w:cs="宋体"/>
          <w:color w:val="auto"/>
          <w:kern w:val="0"/>
          <w:szCs w:val="21"/>
          <w:highlight w:val="none"/>
        </w:rPr>
        <w:t>1.采购人信息</w:t>
      </w:r>
      <w:bookmarkEnd w:id="51"/>
      <w:bookmarkEnd w:id="52"/>
      <w:bookmarkEnd w:id="53"/>
      <w:bookmarkEnd w:id="54"/>
    </w:p>
    <w:p w14:paraId="3AC3759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rPr>
        <w:t>苍梧县住房和城乡建设局</w:t>
      </w:r>
    </w:p>
    <w:p w14:paraId="0FC2CF8F">
      <w:p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地    址： 广西苍梧县</w:t>
      </w:r>
      <w:r>
        <w:rPr>
          <w:rFonts w:hint="eastAsia" w:ascii="宋体" w:hAnsi="宋体"/>
          <w:color w:val="auto"/>
          <w:szCs w:val="21"/>
          <w:highlight w:val="none"/>
          <w:lang w:eastAsia="zh-CN"/>
        </w:rPr>
        <w:t>科创中心大楼</w:t>
      </w:r>
      <w:r>
        <w:rPr>
          <w:rFonts w:hint="eastAsia" w:ascii="宋体" w:hAnsi="宋体"/>
          <w:color w:val="auto"/>
          <w:szCs w:val="21"/>
          <w:highlight w:val="none"/>
          <w:lang w:val="en-US" w:eastAsia="zh-CN"/>
        </w:rPr>
        <w:t>5楼</w:t>
      </w:r>
    </w:p>
    <w:p w14:paraId="575C78BE">
      <w:p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联系方式： </w:t>
      </w:r>
      <w:r>
        <w:rPr>
          <w:rFonts w:hint="eastAsia" w:ascii="宋体" w:hAnsi="宋体"/>
          <w:color w:val="auto"/>
          <w:szCs w:val="21"/>
          <w:highlight w:val="none"/>
          <w:u w:val="single"/>
        </w:rPr>
        <w:t>程东严</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0774-</w:t>
      </w:r>
      <w:r>
        <w:rPr>
          <w:rFonts w:hint="eastAsia" w:ascii="宋体" w:hAnsi="宋体"/>
          <w:color w:val="auto"/>
          <w:szCs w:val="21"/>
          <w:highlight w:val="none"/>
          <w:u w:val="single"/>
          <w:lang w:val="en-US" w:eastAsia="zh-CN"/>
        </w:rPr>
        <w:t>2685780</w:t>
      </w:r>
    </w:p>
    <w:p w14:paraId="60826132">
      <w:pPr>
        <w:spacing w:line="360" w:lineRule="auto"/>
        <w:ind w:firstLine="420" w:firstLineChars="200"/>
        <w:rPr>
          <w:rFonts w:ascii="宋体" w:hAnsi="宋体" w:cs="宋体"/>
          <w:color w:val="auto"/>
          <w:kern w:val="0"/>
          <w:szCs w:val="21"/>
          <w:highlight w:val="none"/>
        </w:rPr>
      </w:pPr>
      <w:bookmarkStart w:id="55" w:name="_Toc35393807"/>
      <w:bookmarkStart w:id="56" w:name="_Toc28359020"/>
      <w:bookmarkStart w:id="57" w:name="_Toc28359097"/>
      <w:bookmarkStart w:id="58" w:name="_Toc35393638"/>
      <w:r>
        <w:rPr>
          <w:rFonts w:hint="eastAsia" w:ascii="宋体" w:hAnsi="宋体" w:cs="宋体"/>
          <w:color w:val="auto"/>
          <w:kern w:val="0"/>
          <w:szCs w:val="21"/>
          <w:highlight w:val="none"/>
        </w:rPr>
        <w:t>2.采购代理机构信息</w:t>
      </w:r>
      <w:bookmarkEnd w:id="55"/>
      <w:bookmarkEnd w:id="56"/>
      <w:bookmarkEnd w:id="57"/>
    </w:p>
    <w:p w14:paraId="66831A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云之龙咨询集团有限公司</w:t>
      </w:r>
    </w:p>
    <w:p w14:paraId="0D63D2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苍梧县石桥镇龙圣新城开发区A01号</w:t>
      </w:r>
    </w:p>
    <w:p w14:paraId="0DBB405B">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rPr>
        <w:t>黄泳瑜、陈丽莹，0774-3859935</w:t>
      </w:r>
    </w:p>
    <w:p w14:paraId="6F6B6047">
      <w:pPr>
        <w:spacing w:line="360" w:lineRule="auto"/>
        <w:ind w:firstLine="420" w:firstLineChars="200"/>
        <w:rPr>
          <w:rFonts w:ascii="宋体" w:hAnsi="宋体" w:cs="宋体"/>
          <w:color w:val="auto"/>
          <w:kern w:val="0"/>
          <w:szCs w:val="21"/>
          <w:highlight w:val="none"/>
        </w:rPr>
      </w:pPr>
      <w:bookmarkStart w:id="59" w:name="_Toc35393808"/>
      <w:bookmarkStart w:id="60" w:name="_Toc28359098"/>
      <w:bookmarkStart w:id="61" w:name="_Toc35393639"/>
      <w:bookmarkStart w:id="62" w:name="_Toc28359021"/>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8"/>
      <w:bookmarkEnd w:id="59"/>
      <w:bookmarkEnd w:id="60"/>
      <w:bookmarkEnd w:id="61"/>
    </w:p>
    <w:p w14:paraId="3BABA6BB">
      <w:pPr>
        <w:pStyle w:val="84"/>
        <w:spacing w:line="360" w:lineRule="auto"/>
        <w:ind w:firstLine="420" w:firstLineChars="200"/>
        <w:rPr>
          <w:rFonts w:hAnsi="宋体"/>
          <w:color w:val="auto"/>
          <w:sz w:val="21"/>
          <w:highlight w:val="none"/>
        </w:rPr>
      </w:pPr>
      <w:r>
        <w:rPr>
          <w:rFonts w:hint="eastAsia" w:hAnsi="宋体"/>
          <w:color w:val="auto"/>
          <w:sz w:val="21"/>
          <w:highlight w:val="none"/>
        </w:rPr>
        <w:t>项目联系人：</w:t>
      </w:r>
      <w:r>
        <w:rPr>
          <w:rFonts w:hint="eastAsia" w:hAnsi="宋体"/>
          <w:color w:val="auto"/>
          <w:sz w:val="21"/>
          <w:highlight w:val="none"/>
          <w:u w:val="single"/>
        </w:rPr>
        <w:t>黄泳瑜、陈丽莹</w:t>
      </w:r>
    </w:p>
    <w:p w14:paraId="7EC71D5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ascii="宋体" w:hAnsi="宋体"/>
          <w:color w:val="auto"/>
          <w:szCs w:val="21"/>
          <w:highlight w:val="none"/>
          <w:u w:val="single"/>
        </w:rPr>
        <w:t>0774-3859935</w:t>
      </w:r>
      <w:bookmarkEnd w:id="62"/>
    </w:p>
    <w:p w14:paraId="20818D5D">
      <w:pPr>
        <w:spacing w:line="360" w:lineRule="auto"/>
        <w:ind w:firstLine="420" w:firstLineChars="200"/>
        <w:rPr>
          <w:rFonts w:ascii="宋体" w:hAnsi="宋体" w:cs="宋体"/>
          <w:color w:val="auto"/>
          <w:szCs w:val="21"/>
          <w:highlight w:val="none"/>
          <w:u w:val="single"/>
        </w:rPr>
      </w:pPr>
    </w:p>
    <w:bookmarkEnd w:id="4"/>
    <w:p w14:paraId="78FDD6A6">
      <w:pPr>
        <w:pStyle w:val="2"/>
        <w:spacing w:line="360" w:lineRule="auto"/>
        <w:jc w:val="center"/>
        <w:rPr>
          <w:rFonts w:ascii="宋体" w:hAnsi="宋体" w:cs="宋体"/>
          <w:color w:val="auto"/>
          <w:highlight w:val="none"/>
        </w:rPr>
      </w:pPr>
      <w:r>
        <w:rPr>
          <w:rFonts w:hint="eastAsia" w:ascii="宋体" w:hAnsi="宋体" w:cs="宋体"/>
          <w:color w:val="auto"/>
          <w:sz w:val="32"/>
          <w:szCs w:val="32"/>
          <w:highlight w:val="none"/>
        </w:rPr>
        <w:br w:type="page"/>
      </w:r>
      <w:bookmarkStart w:id="63" w:name="_Toc74323457"/>
      <w:r>
        <w:rPr>
          <w:rFonts w:hint="eastAsia" w:ascii="宋体" w:hAnsi="宋体" w:cs="宋体"/>
          <w:color w:val="auto"/>
          <w:highlight w:val="none"/>
        </w:rPr>
        <w:t>第二章 供应商须知</w:t>
      </w:r>
      <w:bookmarkEnd w:id="63"/>
    </w:p>
    <w:p w14:paraId="664C7A7B">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2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9B5A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6B7E302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tcPr>
          <w:p w14:paraId="1F9F06F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1D983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4762B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noWrap/>
            <w:vAlign w:val="center"/>
          </w:tcPr>
          <w:p w14:paraId="7E8C1561">
            <w:pPr>
              <w:spacing w:line="360" w:lineRule="auto"/>
              <w:rPr>
                <w:rFonts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62C1A036">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3FD36745">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F17A55">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E7C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EF34C6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noWrap/>
            <w:vAlign w:val="center"/>
          </w:tcPr>
          <w:p w14:paraId="50D757D8">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17AD5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22A0B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7912" w:type="dxa"/>
            <w:noWrap/>
            <w:vAlign w:val="center"/>
          </w:tcPr>
          <w:p w14:paraId="2368C886">
            <w:pPr>
              <w:spacing w:line="360" w:lineRule="auto"/>
              <w:rPr>
                <w:rFonts w:ascii="宋体" w:hAnsi="宋体" w:cs="宋体"/>
                <w:color w:val="auto"/>
                <w:szCs w:val="21"/>
                <w:highlight w:val="none"/>
              </w:rPr>
            </w:pPr>
            <w:r>
              <w:rPr>
                <w:rFonts w:hint="eastAsia" w:ascii="宋体" w:hAnsi="宋体" w:cs="宋体"/>
                <w:color w:val="auto"/>
                <w:szCs w:val="21"/>
                <w:highlight w:val="none"/>
              </w:rPr>
              <w:t>本项目不接受联合体。</w:t>
            </w:r>
          </w:p>
        </w:tc>
      </w:tr>
      <w:tr w14:paraId="2625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064F3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noWrap/>
            <w:vAlign w:val="center"/>
          </w:tcPr>
          <w:p w14:paraId="7D48B25A">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不允许分包或转包。</w:t>
            </w:r>
          </w:p>
        </w:tc>
      </w:tr>
      <w:tr w14:paraId="649DC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919413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12" w:type="dxa"/>
            <w:noWrap/>
            <w:vAlign w:val="center"/>
          </w:tcPr>
          <w:p w14:paraId="52EEC88F">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67199D2C">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1947354">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月至响应文件提交截止时间内任意1个月的依法缴纳税收的凭据复印件；依法免税的，必须提供相应文件证明其依法免税。从成立之日起到响应文件提交截止时间止不足要求月数的，不需提供）；（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D3655A">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响应文件提交截止时间内任意1个月的依法缴纳社会保障资金的缴费凭证（如：专用收据、社会保险缴纳清单或者社保部门、医保部门的证明等）复印件；依法不需要缴纳社会保障资金的，必须提供相应文件证明不需要缴纳社会保障资金。从成立之日起到响应文件提交截止时间止不足要求月数的，不需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218B2F">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供应商财务状况报告（2024年度或2025年度财务报表复印件，或者银行出具的资信证明，或者中国人民银行征信中心出具的信用报告（企业竞标的提供企业信用报告，自然人竞标的提供个人信用报告）；供应商属于成立时间</w:t>
            </w:r>
            <w:r>
              <w:rPr>
                <w:rFonts w:hint="eastAsia" w:ascii="宋体" w:hAnsi="宋体" w:cs="宋体"/>
                <w:color w:val="auto"/>
                <w:kern w:val="0"/>
                <w:szCs w:val="21"/>
                <w:highlight w:val="none"/>
              </w:rPr>
              <w:t>在规定年度之后</w:t>
            </w:r>
            <w:r>
              <w:rPr>
                <w:rFonts w:hint="eastAsia" w:ascii="宋体" w:hAnsi="宋体" w:cs="宋体"/>
                <w:color w:val="auto"/>
                <w:szCs w:val="21"/>
                <w:highlight w:val="none"/>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7F7D502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41673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3AD3EA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6ABCCBB">
            <w:pPr>
              <w:spacing w:line="460" w:lineRule="exact"/>
              <w:rPr>
                <w:rFonts w:ascii="宋体" w:hAnsi="宋体" w:cs="宋体"/>
                <w:color w:val="auto"/>
                <w:szCs w:val="21"/>
                <w:highlight w:val="none"/>
              </w:rPr>
            </w:pPr>
            <w:r>
              <w:rPr>
                <w:rFonts w:hint="eastAsia" w:ascii="宋体" w:hAnsi="宋体" w:cs="宋体"/>
                <w:color w:val="auto"/>
                <w:szCs w:val="21"/>
                <w:highlight w:val="none"/>
              </w:rPr>
              <w:t>8.中小企业声明函（格式后附）【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s="宋体"/>
                <w:b/>
                <w:color w:val="auto"/>
                <w:szCs w:val="21"/>
                <w:highlight w:val="none"/>
              </w:rPr>
              <w:t>必</w:t>
            </w:r>
            <w:r>
              <w:rPr>
                <w:rFonts w:hint="eastAsia" w:ascii="宋体" w:hAnsi="宋体" w:cs="宋体"/>
                <w:b/>
                <w:bCs/>
                <w:color w:val="auto"/>
                <w:szCs w:val="21"/>
                <w:highlight w:val="none"/>
              </w:rPr>
              <w:t>须提供，否则响应文件按无效响应处理）</w:t>
            </w:r>
          </w:p>
          <w:p w14:paraId="02C27F65">
            <w:pPr>
              <w:spacing w:line="460" w:lineRule="exact"/>
              <w:rPr>
                <w:rFonts w:ascii="宋体" w:hAnsi="宋体" w:cs="宋体"/>
                <w:color w:val="auto"/>
                <w:szCs w:val="21"/>
                <w:highlight w:val="none"/>
              </w:rPr>
            </w:pPr>
            <w:r>
              <w:rPr>
                <w:rFonts w:hint="eastAsia" w:ascii="宋体" w:hAnsi="宋体" w:cs="宋体"/>
                <w:color w:val="auto"/>
                <w:szCs w:val="21"/>
                <w:highlight w:val="none"/>
              </w:rPr>
              <w:t>9.除磋商文件规定必须提供以外，供应商认为需要提供的其他证明材料。</w:t>
            </w:r>
          </w:p>
          <w:p w14:paraId="0B6F0B5A">
            <w:pPr>
              <w:spacing w:line="460" w:lineRule="exact"/>
              <w:rPr>
                <w:rFonts w:ascii="宋体" w:hAnsi="宋体" w:cs="宋体"/>
                <w:b/>
                <w:color w:val="auto"/>
                <w:szCs w:val="21"/>
                <w:highlight w:val="none"/>
              </w:rPr>
            </w:pPr>
            <w:r>
              <w:rPr>
                <w:rFonts w:hint="eastAsia" w:ascii="宋体" w:hAnsi="宋体" w:cs="宋体"/>
                <w:b/>
                <w:bCs/>
                <w:color w:val="auto"/>
                <w:szCs w:val="21"/>
                <w:highlight w:val="none"/>
              </w:rPr>
              <w:t>注：以上标明“必须提供”</w:t>
            </w:r>
            <w:r>
              <w:rPr>
                <w:rFonts w:hint="eastAsia" w:ascii="宋体" w:hAnsi="宋体" w:cs="宋体"/>
                <w:b/>
                <w:color w:val="auto"/>
                <w:szCs w:val="21"/>
                <w:highlight w:val="none"/>
              </w:rPr>
              <w:t>的材料属于复印件的，必须加盖供应商电子签章，否则响应文件按无效处理。</w:t>
            </w:r>
          </w:p>
        </w:tc>
      </w:tr>
      <w:tr w14:paraId="0DE1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26D92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ign w:val="center"/>
          </w:tcPr>
          <w:p w14:paraId="03F43E13">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00E3A631">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bCs/>
                <w:color w:val="auto"/>
                <w:szCs w:val="21"/>
                <w:highlight w:val="none"/>
              </w:rPr>
              <w:t>（必须提供，否则响应文件按无效处理）</w:t>
            </w:r>
          </w:p>
          <w:p w14:paraId="150046D7">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关于符合本国产品标准的声明函》或者财政部会同有关部门规定的有关证明文件；（本项目为纯服务采购项目，服务中不涉及采购货物交付，故不执行《国务院办公厅关于在政府采购中实施本国产品标准及相关政策的通知》（国办发〔2025〕34号）的规定，本项目不需要提供。）</w:t>
            </w:r>
          </w:p>
          <w:p w14:paraId="74F8987C">
            <w:pPr>
              <w:spacing w:line="360" w:lineRule="auto"/>
              <w:rPr>
                <w:rFonts w:ascii="宋体" w:hAnsi="宋体" w:cs="宋体"/>
                <w:color w:val="auto"/>
                <w:szCs w:val="21"/>
                <w:highlight w:val="none"/>
              </w:rPr>
            </w:pPr>
            <w:r>
              <w:rPr>
                <w:rFonts w:hint="eastAsia" w:ascii="宋体" w:hAnsi="宋体" w:cs="宋体"/>
                <w:color w:val="auto"/>
                <w:szCs w:val="21"/>
                <w:highlight w:val="none"/>
              </w:rPr>
              <w:t>3.供应商认为需要提供的其他有关资料。</w:t>
            </w:r>
          </w:p>
        </w:tc>
      </w:tr>
      <w:tr w14:paraId="2E0B2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C8F00A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7912" w:type="dxa"/>
            <w:noWrap/>
            <w:vAlign w:val="center"/>
          </w:tcPr>
          <w:p w14:paraId="6D880760">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30ADEDC2">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2420B9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18E49D">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942BB41">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67BE48E">
            <w:pPr>
              <w:spacing w:line="360" w:lineRule="auto"/>
              <w:rPr>
                <w:rFonts w:ascii="宋体" w:hAnsi="宋体" w:cs="宋体"/>
                <w:color w:val="auto"/>
                <w:szCs w:val="21"/>
                <w:highlight w:val="none"/>
              </w:rPr>
            </w:pPr>
            <w:r>
              <w:rPr>
                <w:rFonts w:hint="eastAsia" w:ascii="宋体" w:hAnsi="宋体" w:cs="宋体"/>
                <w:color w:val="auto"/>
                <w:szCs w:val="21"/>
                <w:highlight w:val="none"/>
              </w:rPr>
              <w:t>5.技术需求偏离表（格式后附）；（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CA84BBE">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.项目实施人员一览表（格式后附）；（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E9C9A88">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.项目运维服务方案、环境保护措施方案、服务承诺方案及应急机制方案（格式自拟）；（如有）</w:t>
            </w:r>
          </w:p>
          <w:p w14:paraId="61E68007">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.采购代理服务费承诺书</w:t>
            </w:r>
            <w:r>
              <w:rPr>
                <w:rFonts w:hint="eastAsia"/>
                <w:color w:val="auto"/>
                <w:szCs w:val="21"/>
                <w:highlight w:val="none"/>
              </w:rPr>
              <w:t>（格式后附）；</w:t>
            </w:r>
          </w:p>
          <w:p w14:paraId="3E32BCFB">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.对应采购需求的技术要求、商务要求提供的其他文件资料（格式自拟）；</w:t>
            </w:r>
          </w:p>
          <w:p w14:paraId="169291A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cs="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6DA0B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992" w:type="dxa"/>
            <w:noWrap/>
            <w:vAlign w:val="center"/>
          </w:tcPr>
          <w:p w14:paraId="19F737C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noWrap/>
            <w:vAlign w:val="center"/>
          </w:tcPr>
          <w:p w14:paraId="52F78FF9">
            <w:pPr>
              <w:spacing w:line="360" w:lineRule="auto"/>
              <w:contextualSpacing/>
              <w:jc w:val="left"/>
              <w:rPr>
                <w:rFonts w:ascii="宋体" w:hAnsi="宋体" w:cs="宋体"/>
                <w:color w:val="auto"/>
                <w:szCs w:val="21"/>
                <w:highlight w:val="none"/>
              </w:rPr>
            </w:pPr>
            <w:r>
              <w:rPr>
                <w:rFonts w:hint="eastAsia" w:ascii="宋体" w:hAnsi="宋体"/>
                <w:color w:val="auto"/>
                <w:szCs w:val="21"/>
                <w:highlight w:val="none"/>
              </w:rPr>
              <w:t>竞标报价是履行合同的最终价格，</w:t>
            </w:r>
            <w:r>
              <w:rPr>
                <w:rFonts w:hint="eastAsia" w:ascii="宋体" w:hAnsi="宋体" w:cs="宋体"/>
                <w:color w:val="auto"/>
                <w:szCs w:val="21"/>
                <w:highlight w:val="none"/>
              </w:rPr>
              <w:t>即满足全部采购需求所应提供的服务的价格；包括竞标服务的成本、运输（含保险）（如有）、技术服务、培训、税费等所有费用。</w:t>
            </w:r>
            <w:r>
              <w:rPr>
                <w:rFonts w:hint="eastAsia" w:ascii="宋体" w:hAnsi="宋体"/>
                <w:b/>
                <w:color w:val="auto"/>
                <w:szCs w:val="21"/>
                <w:highlight w:val="none"/>
              </w:rPr>
              <w:t>（采购需求另有约定的，从其约定）</w:t>
            </w:r>
          </w:p>
        </w:tc>
      </w:tr>
      <w:tr w14:paraId="259D4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F9F62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7912" w:type="dxa"/>
            <w:noWrap/>
            <w:vAlign w:val="center"/>
          </w:tcPr>
          <w:p w14:paraId="0E0AB513">
            <w:pPr>
              <w:pStyle w:val="8"/>
              <w:widowControl w:val="0"/>
              <w:tabs>
                <w:tab w:val="clear" w:pos="454"/>
              </w:tabs>
              <w:snapToGrid w:val="0"/>
              <w:spacing w:afterLines="0" w:line="360" w:lineRule="auto"/>
              <w:ind w:left="283" w:hanging="283" w:hangingChars="135"/>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77DFD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F87EC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shd w:val="clear" w:color="auto" w:fill="auto"/>
            <w:noWrap/>
            <w:vAlign w:val="center"/>
          </w:tcPr>
          <w:p w14:paraId="600FB503">
            <w:pP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□本项目不收取磋商保证金。</w:t>
            </w:r>
          </w:p>
          <w:p w14:paraId="7B86ED71">
            <w:pPr>
              <w:spacing w:line="360" w:lineRule="auto"/>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本项目收取磋商保证金，具体规定如下：</w:t>
            </w:r>
          </w:p>
          <w:p w14:paraId="153AC4C2">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u w:val="single"/>
              </w:rPr>
              <w:t>贰万元整（</w:t>
            </w:r>
            <w:r>
              <w:rPr>
                <w:rFonts w:ascii="Arial" w:hAnsi="Arial" w:cs="Arial"/>
                <w:color w:val="auto"/>
                <w:kern w:val="0"/>
                <w:szCs w:val="21"/>
                <w:highlight w:val="none"/>
                <w:u w:val="single"/>
              </w:rPr>
              <w:t>¥</w:t>
            </w:r>
            <w:r>
              <w:rPr>
                <w:rFonts w:hint="eastAsia" w:ascii="宋体" w:hAnsi="宋体" w:cs="宋体"/>
                <w:color w:val="auto"/>
                <w:kern w:val="0"/>
                <w:szCs w:val="21"/>
                <w:highlight w:val="none"/>
                <w:u w:val="single"/>
              </w:rPr>
              <w:t>20000.00）</w:t>
            </w:r>
            <w:r>
              <w:rPr>
                <w:rFonts w:hint="eastAsia" w:ascii="宋体" w:hAnsi="宋体" w:cs="宋体"/>
                <w:color w:val="auto"/>
                <w:kern w:val="0"/>
                <w:szCs w:val="21"/>
                <w:highlight w:val="none"/>
              </w:rPr>
              <w:t>。</w:t>
            </w:r>
          </w:p>
          <w:p w14:paraId="50CFFBA3">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包含电子保函），禁止采用现钞方式。采用银行转账方式的，在响应文件提交截止时间前交至指定账户并且到账（户名：苍梧县住房和城乡建设局，开户行：中国邮政储蓄银行股份有限公司苍梧县石桥镇东安街支行，账号：945007010084130004）；采用支票、汇票、本票或者保函等方式的，在响应文件提交截止时间前，供应商必须提交单独密封的支票、汇票、本票或者保函原件（电子保函</w:t>
            </w:r>
            <w:r>
              <w:rPr>
                <w:rFonts w:hint="eastAsia"/>
                <w:color w:val="auto"/>
                <w:highlight w:val="none"/>
              </w:rPr>
              <w:t>提供复印件并</w:t>
            </w:r>
            <w:r>
              <w:rPr>
                <w:rFonts w:hint="eastAsia" w:ascii="宋体" w:hAnsi="宋体" w:cs="宋体"/>
                <w:color w:val="auto"/>
                <w:kern w:val="0"/>
                <w:szCs w:val="21"/>
                <w:highlight w:val="none"/>
              </w:rPr>
              <w:t>加盖公章）。否则视为无效磋商保证金。</w:t>
            </w:r>
          </w:p>
          <w:p w14:paraId="2E8AB634">
            <w:pPr>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298C4D66">
            <w:pPr>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3B413F9">
            <w:pPr>
              <w:spacing w:line="360" w:lineRule="auto"/>
              <w:rPr>
                <w:rFonts w:ascii="宋体" w:hAnsi="宋体"/>
                <w:color w:val="auto"/>
                <w:szCs w:val="21"/>
                <w:highlight w:val="none"/>
              </w:rPr>
            </w:pPr>
            <w:r>
              <w:rPr>
                <w:rFonts w:hint="eastAsia" w:ascii="宋体" w:hAnsi="宋体"/>
                <w:color w:val="auto"/>
                <w:szCs w:val="21"/>
                <w:highlight w:val="none"/>
              </w:rPr>
              <w:t>2.磋商保证金采用支票、汇票、本票或者银行、保险机构出具的保函（包含电子保函）交纳方式的，供应商应将支票、汇票、本票或者银行、保险机构出具的保函（包含电子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w:t>
            </w:r>
            <w:r>
              <w:rPr>
                <w:rFonts w:hint="eastAsia" w:ascii="宋体" w:hAnsi="宋体"/>
                <w:color w:val="auto"/>
                <w:szCs w:val="21"/>
                <w:highlight w:val="none"/>
                <w:u w:val="single"/>
              </w:rPr>
              <w:t>梧州市长洲区新兴三路30号神冠豪都B栋1单元1008号房或苍梧县石桥镇龙圣新城开发区A01号</w:t>
            </w:r>
            <w:r>
              <w:rPr>
                <w:rFonts w:hint="eastAsia"/>
                <w:color w:val="auto"/>
                <w:highlight w:val="none"/>
              </w:rPr>
              <w:t>；邮寄地址：</w:t>
            </w:r>
            <w:r>
              <w:rPr>
                <w:rFonts w:hint="eastAsia" w:ascii="宋体" w:hAnsi="宋体"/>
                <w:color w:val="auto"/>
                <w:szCs w:val="21"/>
                <w:highlight w:val="none"/>
                <w:u w:val="single"/>
              </w:rPr>
              <w:t>梧州市长洲区新兴三路30号神冠豪都B栋1单元1008号房或苍梧县石桥镇龙圣新城开发区A01号</w:t>
            </w:r>
            <w:r>
              <w:rPr>
                <w:rFonts w:hint="eastAsia"/>
                <w:color w:val="auto"/>
                <w:highlight w:val="none"/>
              </w:rPr>
              <w:t>，收件人：</w:t>
            </w:r>
            <w:r>
              <w:rPr>
                <w:rFonts w:hint="eastAsia"/>
                <w:color w:val="auto"/>
                <w:highlight w:val="none"/>
                <w:u w:val="single"/>
              </w:rPr>
              <w:t>黄泳瑜</w:t>
            </w:r>
            <w:r>
              <w:rPr>
                <w:rFonts w:hint="eastAsia"/>
                <w:color w:val="auto"/>
                <w:highlight w:val="none"/>
              </w:rPr>
              <w:t>，联系方式：</w:t>
            </w:r>
            <w:r>
              <w:rPr>
                <w:color w:val="auto"/>
                <w:highlight w:val="none"/>
                <w:u w:val="single"/>
              </w:rPr>
              <w:t>0774-3859935</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支票、汇票、本票或者银行、保险机构出具的保函原件（电子保函提供复印件并加盖公章）提交给采购人或者采购代理机构，并妥善保管。</w:t>
            </w:r>
          </w:p>
          <w:p w14:paraId="0D36B961">
            <w:pPr>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7C27F712">
            <w:pPr>
              <w:spacing w:line="360" w:lineRule="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备注：</w:t>
            </w:r>
          </w:p>
          <w:p w14:paraId="60BFA79E">
            <w:pPr>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4E90CC32">
            <w:pPr>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6F992D01">
            <w:pPr>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14AC4F29">
            <w:pPr>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4B283F45">
            <w:pPr>
              <w:spacing w:line="360" w:lineRule="auto"/>
              <w:rPr>
                <w:rFonts w:ascii="宋体" w:hAnsi="宋体" w:cs="宋体"/>
                <w:color w:val="auto"/>
                <w:szCs w:val="21"/>
                <w:highlight w:val="none"/>
              </w:rPr>
            </w:pPr>
            <w:r>
              <w:rPr>
                <w:rFonts w:hint="eastAsia" w:ascii="宋体" w:hAnsi="宋体" w:cs="宋体"/>
                <w:b/>
                <w:color w:val="auto"/>
                <w:szCs w:val="21"/>
                <w:highlight w:val="none"/>
              </w:rPr>
              <w:t>5.采用银行、保险机构出具保函（包含电子保函）的，必须为无条件保函，否则视为无效磋商保证金。</w:t>
            </w:r>
          </w:p>
        </w:tc>
      </w:tr>
      <w:tr w14:paraId="3C3F7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FC474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noWrap/>
            <w:vAlign w:val="center"/>
          </w:tcPr>
          <w:p w14:paraId="669493E0">
            <w:pPr>
              <w:spacing w:line="360" w:lineRule="auto"/>
              <w:rPr>
                <w:rFonts w:ascii="宋体" w:hAnsi="宋体" w:cs="宋体"/>
                <w:color w:val="auto"/>
                <w:szCs w:val="21"/>
                <w:highlight w:val="none"/>
              </w:rPr>
            </w:pPr>
            <w:r>
              <w:rPr>
                <w:rFonts w:hint="eastAsia" w:ascii="宋体" w:hAnsi="宋体" w:cs="宋体"/>
                <w:color w:val="auto"/>
                <w:szCs w:val="21"/>
                <w:highlight w:val="none"/>
              </w:rPr>
              <w:t>本项目不接受电子备份响应文件</w:t>
            </w:r>
          </w:p>
        </w:tc>
      </w:tr>
      <w:tr w14:paraId="1DC82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D2329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noWrap/>
            <w:vAlign w:val="center"/>
          </w:tcPr>
          <w:p w14:paraId="43B8AD8B">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4793C7D3">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6C18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015C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noWrap/>
            <w:vAlign w:val="center"/>
          </w:tcPr>
          <w:p w14:paraId="0566675B">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36A94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1A9CA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w:t>
            </w:r>
          </w:p>
        </w:tc>
        <w:tc>
          <w:tcPr>
            <w:tcW w:w="7912" w:type="dxa"/>
            <w:noWrap/>
            <w:vAlign w:val="center"/>
          </w:tcPr>
          <w:p w14:paraId="6BDA8DC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570F35B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5A6AB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ign w:val="center"/>
          </w:tcPr>
          <w:p w14:paraId="1B1C14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26.3</w:t>
            </w:r>
          </w:p>
        </w:tc>
        <w:tc>
          <w:tcPr>
            <w:tcW w:w="7912" w:type="dxa"/>
            <w:noWrap/>
            <w:vAlign w:val="center"/>
          </w:tcPr>
          <w:p w14:paraId="688DC79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6AA4ECE7">
            <w:pPr>
              <w:pStyle w:val="10"/>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70A75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42085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7912" w:type="dxa"/>
            <w:noWrap/>
            <w:vAlign w:val="center"/>
          </w:tcPr>
          <w:p w14:paraId="487D20CC">
            <w:pP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本项目不收取履约保证金。</w:t>
            </w:r>
          </w:p>
          <w:p w14:paraId="20BDBF1E">
            <w:pP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196992D2">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w:t>
            </w:r>
          </w:p>
          <w:p w14:paraId="152830DA">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14:paraId="1D735B24">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14:paraId="52C5FC4D">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3D17036F">
            <w:pPr>
              <w:spacing w:line="360" w:lineRule="auto"/>
              <w:contextualSpacing/>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开户名称：苍梧县住房和城乡建设局</w:t>
            </w:r>
          </w:p>
          <w:p w14:paraId="1B1BB6C4">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开户银行：中国邮政储蓄银行股份有限公司苍梧县石桥镇东安街支行</w:t>
            </w:r>
          </w:p>
          <w:p w14:paraId="50552C40">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银行账号：945007010084130004</w:t>
            </w:r>
          </w:p>
          <w:p w14:paraId="6292ABCD">
            <w:pPr>
              <w:spacing w:line="360" w:lineRule="auto"/>
              <w:contextualSpacing/>
              <w:rPr>
                <w:rFonts w:ascii="宋体" w:hAnsi="宋体" w:cs="宋体"/>
                <w:b/>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rPr>
              <w:br w:type="textWrapping" w:clear="all"/>
            </w: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政府采购要加大对中小企业发展的扶持力度，对中小企业收取的履约保证金数额不得超过政府采购合同金额的2%。</w:t>
            </w:r>
          </w:p>
          <w:p w14:paraId="19B52AA1">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r>
              <w:rPr>
                <w:rFonts w:hint="eastAsia" w:ascii="宋体" w:hAnsi="宋体" w:cs="宋体"/>
                <w:b/>
                <w:color w:val="auto"/>
                <w:szCs w:val="21"/>
                <w:highlight w:val="none"/>
              </w:rPr>
              <w:br w:type="textWrapping" w:clear="all"/>
            </w: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4E22B290">
            <w:pPr>
              <w:spacing w:line="360" w:lineRule="auto"/>
              <w:rPr>
                <w:rFonts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74A91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3B9A91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7912" w:type="dxa"/>
            <w:noWrap/>
            <w:vAlign w:val="center"/>
          </w:tcPr>
          <w:p w14:paraId="0A23A531">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签订合同携带的证明材料：</w:t>
            </w:r>
          </w:p>
          <w:p w14:paraId="4A6C74B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398D19C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4006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36346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7912" w:type="dxa"/>
            <w:noWrap/>
            <w:vAlign w:val="center"/>
          </w:tcPr>
          <w:p w14:paraId="3763D20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179EAFFF">
            <w:pPr>
              <w:pStyle w:val="17"/>
              <w:snapToGrid w:val="0"/>
              <w:spacing w:line="360" w:lineRule="auto"/>
              <w:rPr>
                <w:rFonts w:hAnsi="宋体" w:cs="宋体"/>
                <w:color w:val="auto"/>
                <w:sz w:val="21"/>
                <w:highlight w:val="none"/>
              </w:rPr>
            </w:pPr>
            <w:r>
              <w:rPr>
                <w:rFonts w:hint="eastAsia" w:hAnsi="宋体" w:cs="宋体"/>
                <w:color w:val="auto"/>
                <w:sz w:val="21"/>
                <w:highlight w:val="none"/>
              </w:rPr>
              <w:t>质疑联系部门：云之龙咨询集团有限公司苍梧分公司</w:t>
            </w:r>
          </w:p>
          <w:p w14:paraId="01DAA405">
            <w:pPr>
              <w:pStyle w:val="17"/>
              <w:snapToGrid w:val="0"/>
              <w:spacing w:line="360" w:lineRule="auto"/>
              <w:rPr>
                <w:rFonts w:hAnsi="宋体" w:cs="宋体"/>
                <w:color w:val="auto"/>
                <w:sz w:val="21"/>
                <w:highlight w:val="none"/>
              </w:rPr>
            </w:pPr>
            <w:r>
              <w:rPr>
                <w:rFonts w:hint="eastAsia" w:hAnsi="宋体" w:cs="宋体"/>
                <w:color w:val="auto"/>
                <w:sz w:val="21"/>
                <w:highlight w:val="none"/>
              </w:rPr>
              <w:t xml:space="preserve">联系电话：0774-3859935            </w:t>
            </w:r>
          </w:p>
          <w:p w14:paraId="4C493A83">
            <w:pPr>
              <w:pStyle w:val="17"/>
              <w:snapToGrid w:val="0"/>
              <w:spacing w:line="360" w:lineRule="auto"/>
              <w:rPr>
                <w:rFonts w:hint="eastAsia" w:hAnsi="宋体" w:eastAsia="宋体" w:cs="宋体"/>
                <w:color w:val="auto"/>
                <w:sz w:val="21"/>
                <w:highlight w:val="none"/>
                <w:lang w:eastAsia="zh-CN"/>
              </w:rPr>
            </w:pPr>
            <w:r>
              <w:rPr>
                <w:rFonts w:hint="eastAsia" w:hAnsi="宋体" w:cs="宋体"/>
                <w:color w:val="auto"/>
                <w:sz w:val="21"/>
                <w:highlight w:val="none"/>
              </w:rPr>
              <w:t>通讯地址：云之龙咨询集团有限公司（苍梧县石桥镇龙圣新城开发区A01号）</w:t>
            </w:r>
          </w:p>
          <w:p w14:paraId="5C86FB59">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369CC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EBBFCC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7912" w:type="dxa"/>
            <w:noWrap/>
            <w:vAlign w:val="center"/>
          </w:tcPr>
          <w:p w14:paraId="40D9E7EF">
            <w:pPr>
              <w:pStyle w:val="17"/>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457185AE">
            <w:pPr>
              <w:pStyle w:val="17"/>
              <w:snapToGrid w:val="0"/>
              <w:spacing w:line="360" w:lineRule="auto"/>
              <w:rPr>
                <w:rFonts w:hAnsi="宋体" w:cs="宋体"/>
                <w:color w:val="auto"/>
                <w:sz w:val="21"/>
                <w:highlight w:val="none"/>
              </w:rPr>
            </w:pPr>
            <w:r>
              <w:rPr>
                <w:rFonts w:hint="eastAsia" w:hAnsi="宋体" w:cs="宋体"/>
                <w:color w:val="auto"/>
                <w:sz w:val="21"/>
                <w:highlight w:val="none"/>
              </w:rPr>
              <w:t>本项目采购代理服务费在发出成交公告后5日内，由成交供应商一次性向采购代理机构支付。</w:t>
            </w:r>
          </w:p>
          <w:p w14:paraId="28C33BAC">
            <w:pPr>
              <w:pStyle w:val="17"/>
              <w:snapToGrid w:val="0"/>
              <w:spacing w:line="360" w:lineRule="auto"/>
              <w:rPr>
                <w:rFonts w:hAnsi="宋体" w:cs="宋体"/>
                <w:color w:val="auto"/>
                <w:sz w:val="21"/>
                <w:highlight w:val="none"/>
                <w:u w:val="single"/>
              </w:rPr>
            </w:pPr>
            <w:r>
              <w:rPr>
                <w:rFonts w:hAnsi="宋体" w:cs="宋体"/>
                <w:color w:val="auto"/>
                <w:sz w:val="21"/>
                <w:highlight w:val="none"/>
              </w:rPr>
              <w:t>2.</w:t>
            </w:r>
            <w:r>
              <w:rPr>
                <w:rFonts w:hint="eastAsia" w:hAnsi="宋体" w:cs="宋体"/>
                <w:color w:val="auto"/>
                <w:sz w:val="21"/>
                <w:highlight w:val="none"/>
              </w:rPr>
              <w:t>采购代理服务费收取标准：</w:t>
            </w:r>
          </w:p>
          <w:p w14:paraId="0B56BDF9">
            <w:pPr>
              <w:pStyle w:val="84"/>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r>
              <w:rPr>
                <w:rFonts w:hint="eastAsia" w:hAnsi="宋体" w:cs="宋体"/>
                <w:b/>
                <w:bCs/>
                <w:color w:val="auto"/>
                <w:sz w:val="21"/>
                <w:highlight w:val="none"/>
                <w:u w:val="single"/>
              </w:rPr>
              <w:t>按照固定金额叁万玖仟叁佰陆拾元整（</w:t>
            </w:r>
            <w:r>
              <w:rPr>
                <w:rFonts w:hAnsi="宋体" w:cs="宋体"/>
                <w:b/>
                <w:bCs/>
                <w:color w:val="auto"/>
                <w:sz w:val="21"/>
                <w:highlight w:val="none"/>
                <w:u w:val="single"/>
              </w:rPr>
              <w:t>¥</w:t>
            </w:r>
            <w:r>
              <w:rPr>
                <w:rFonts w:hint="eastAsia" w:hAnsi="宋体" w:cs="宋体"/>
                <w:b/>
                <w:bCs/>
                <w:color w:val="auto"/>
                <w:sz w:val="21"/>
                <w:highlight w:val="none"/>
                <w:u w:val="single"/>
              </w:rPr>
              <w:t>39360.00）。</w:t>
            </w:r>
          </w:p>
          <w:p w14:paraId="7EFF2305">
            <w:pPr>
              <w:pStyle w:val="84"/>
              <w:spacing w:line="360" w:lineRule="auto"/>
              <w:rPr>
                <w:rFonts w:hAnsi="宋体" w:cs="宋体"/>
                <w:color w:val="auto"/>
                <w:sz w:val="21"/>
                <w:highlight w:val="none"/>
              </w:rPr>
            </w:pPr>
            <w:r>
              <w:rPr>
                <w:rFonts w:hint="eastAsia" w:hAnsi="宋体" w:cs="宋体"/>
                <w:color w:val="auto"/>
                <w:sz w:val="21"/>
                <w:highlight w:val="none"/>
              </w:rPr>
              <w:t>3.采购代理费收取银行账户</w:t>
            </w:r>
          </w:p>
          <w:p w14:paraId="6FE623BA">
            <w:pPr>
              <w:pStyle w:val="84"/>
              <w:spacing w:line="360" w:lineRule="auto"/>
              <w:rPr>
                <w:rFonts w:hint="eastAsia" w:hAnsi="宋体" w:eastAsia="宋体" w:cs="宋体"/>
                <w:color w:val="auto"/>
                <w:sz w:val="21"/>
                <w:highlight w:val="none"/>
                <w:lang w:eastAsia="zh-CN"/>
              </w:rPr>
            </w:pPr>
            <w:r>
              <w:rPr>
                <w:rFonts w:hint="eastAsia" w:hAnsi="宋体" w:cs="宋体"/>
                <w:color w:val="auto"/>
                <w:sz w:val="21"/>
                <w:highlight w:val="none"/>
              </w:rPr>
              <w:t>开户名称：云之龙咨询集团有限公司苍梧分公司</w:t>
            </w:r>
          </w:p>
          <w:p w14:paraId="168A6C1F">
            <w:pPr>
              <w:pStyle w:val="84"/>
              <w:spacing w:line="360" w:lineRule="auto"/>
              <w:rPr>
                <w:rFonts w:hAnsi="宋体" w:cs="宋体"/>
                <w:color w:val="auto"/>
                <w:sz w:val="21"/>
                <w:highlight w:val="none"/>
              </w:rPr>
            </w:pPr>
            <w:r>
              <w:rPr>
                <w:rFonts w:hint="eastAsia" w:hAnsi="宋体" w:cs="宋体"/>
                <w:color w:val="auto"/>
                <w:sz w:val="21"/>
                <w:highlight w:val="none"/>
              </w:rPr>
              <w:t>开户银行：8113001013600159873</w:t>
            </w:r>
          </w:p>
          <w:p w14:paraId="039A5492">
            <w:pPr>
              <w:pStyle w:val="17"/>
              <w:snapToGrid w:val="0"/>
              <w:spacing w:line="360" w:lineRule="auto"/>
              <w:rPr>
                <w:rFonts w:hint="eastAsia" w:hAnsi="宋体" w:eastAsia="宋体" w:cs="宋体"/>
                <w:color w:val="auto"/>
                <w:sz w:val="21"/>
                <w:highlight w:val="none"/>
                <w:lang w:eastAsia="zh-CN"/>
              </w:rPr>
            </w:pPr>
            <w:r>
              <w:rPr>
                <w:rFonts w:hint="eastAsia" w:hAnsi="宋体" w:cs="宋体"/>
                <w:color w:val="auto"/>
                <w:sz w:val="21"/>
                <w:highlight w:val="none"/>
              </w:rPr>
              <w:t>银行账号：</w:t>
            </w:r>
            <w:r>
              <w:rPr>
                <w:rFonts w:hint="eastAsia" w:hAnsi="宋体" w:cs="宋体"/>
                <w:color w:val="auto"/>
                <w:kern w:val="2"/>
                <w:sz w:val="21"/>
                <w:highlight w:val="none"/>
              </w:rPr>
              <w:t>中信银行南宁东葛支行</w:t>
            </w:r>
          </w:p>
        </w:tc>
      </w:tr>
      <w:tr w14:paraId="2301A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E971E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7912" w:type="dxa"/>
            <w:noWrap/>
            <w:vAlign w:val="center"/>
          </w:tcPr>
          <w:p w14:paraId="4FF428F8">
            <w:pPr>
              <w:pStyle w:val="17"/>
              <w:snapToGrid w:val="0"/>
              <w:spacing w:line="360" w:lineRule="auto"/>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719A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26C8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noWrap/>
            <w:vAlign w:val="center"/>
          </w:tcPr>
          <w:p w14:paraId="1BA35C22">
            <w:pPr>
              <w:pStyle w:val="17"/>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505C419">
            <w:pPr>
              <w:pStyle w:val="17"/>
              <w:snapToGrid w:val="0"/>
              <w:spacing w:line="360" w:lineRule="auto"/>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23D7ED4F">
            <w:pPr>
              <w:pStyle w:val="17"/>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437E231B">
            <w:pPr>
              <w:pStyle w:val="17"/>
              <w:snapToGrid w:val="0"/>
              <w:spacing w:line="360" w:lineRule="auto"/>
              <w:rPr>
                <w:rFonts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3F950260">
            <w:pPr>
              <w:pStyle w:val="17"/>
              <w:snapToGrid w:val="0"/>
              <w:spacing w:line="360" w:lineRule="auto"/>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359177E0">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39415A88">
      <w:pPr>
        <w:spacing w:line="360" w:lineRule="auto"/>
        <w:jc w:val="center"/>
        <w:rPr>
          <w:rFonts w:ascii="宋体" w:hAnsi="宋体" w:cs="宋体"/>
          <w:b/>
          <w:color w:val="auto"/>
          <w:sz w:val="32"/>
          <w:szCs w:val="32"/>
          <w:highlight w:val="none"/>
        </w:rPr>
      </w:pPr>
    </w:p>
    <w:p w14:paraId="0D69B935">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3D547192">
      <w:pPr>
        <w:spacing w:line="360" w:lineRule="auto"/>
        <w:rPr>
          <w:rFonts w:ascii="宋体" w:hAnsi="宋体" w:cs="宋体"/>
          <w:color w:val="auto"/>
          <w:szCs w:val="21"/>
          <w:highlight w:val="none"/>
        </w:rPr>
      </w:pPr>
    </w:p>
    <w:p w14:paraId="638C09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0F5315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78239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7DCD43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328F1B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C47AFC0">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0C81E9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BCCAC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010BCB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2.5“竞标”是指供应商按照本项目竞争性磋商公告规定的方式获取磋商文件、提交响应文件并希望获得标的的行为。</w:t>
      </w:r>
    </w:p>
    <w:p w14:paraId="1202DFE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9609AA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936E3B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50937D8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4F61013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0CC9EE7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1142DCF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2D2C48D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24BA2F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4B1B16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353C49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C8019C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3FAF71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F44BA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88B7B89">
      <w:pPr>
        <w:keepNext/>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64" w:name="_Hlk66782192"/>
      <w:r>
        <w:rPr>
          <w:rFonts w:hint="eastAsia" w:ascii="宋体" w:hAnsi="宋体" w:cs="宋体"/>
          <w:color w:val="auto"/>
          <w:szCs w:val="21"/>
          <w:highlight w:val="none"/>
        </w:rPr>
        <w:t>根据《政府采购促进中小企业发展管理办法》（财库〔2020〕46号）第九条第二款和</w:t>
      </w:r>
      <w:r>
        <w:rPr>
          <w:rFonts w:hint="eastAsia" w:ascii="宋体" w:hAnsi="宋体"/>
          <w:color w:val="auto"/>
          <w:szCs w:val="21"/>
          <w:highlight w:val="none"/>
        </w:rPr>
        <w:t>《广西壮族自治区财政厅关于持续优化政府采购营商环境推动高质量发展的通知》（桂财采〔2024〕55号）</w:t>
      </w:r>
      <w:r>
        <w:rPr>
          <w:rFonts w:hint="eastAsia" w:ascii="宋体" w:hAnsi="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4"/>
    </w:p>
    <w:p w14:paraId="1357D01D">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6.转包与分包</w:t>
      </w:r>
    </w:p>
    <w:p w14:paraId="713D4C52">
      <w:pPr>
        <w:pStyle w:val="5"/>
        <w:keepNext w:val="0"/>
        <w:keepLines w:val="0"/>
        <w:spacing w:before="0" w:after="0" w:line="360" w:lineRule="auto"/>
        <w:ind w:left="420" w:leftChars="200"/>
        <w:rPr>
          <w:rFonts w:ascii="宋体" w:hAnsi="宋体" w:cs="宋体"/>
          <w:b w:val="0"/>
          <w:color w:val="auto"/>
          <w:sz w:val="21"/>
          <w:szCs w:val="21"/>
          <w:highlight w:val="none"/>
        </w:rPr>
      </w:pPr>
      <w:bookmarkStart w:id="65" w:name="_Toc254970673"/>
      <w:bookmarkStart w:id="66" w:name="_Toc254970532"/>
      <w:r>
        <w:rPr>
          <w:rFonts w:hint="eastAsia" w:ascii="宋体" w:hAnsi="宋体" w:cs="宋体"/>
          <w:b w:val="0"/>
          <w:color w:val="auto"/>
          <w:sz w:val="21"/>
          <w:szCs w:val="21"/>
          <w:highlight w:val="none"/>
        </w:rPr>
        <w:t>6.1本项目不允许转包。</w:t>
      </w:r>
    </w:p>
    <w:p w14:paraId="17A7A7F8">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70A1F60">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40087A6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65"/>
      <w:bookmarkEnd w:id="66"/>
    </w:p>
    <w:p w14:paraId="6D1D0506">
      <w:pPr>
        <w:spacing w:line="360" w:lineRule="auto"/>
        <w:ind w:firstLine="420" w:firstLineChars="200"/>
        <w:rPr>
          <w:rFonts w:ascii="宋体" w:hAnsi="宋体" w:cs="宋体"/>
          <w:color w:val="auto"/>
          <w:szCs w:val="21"/>
          <w:highlight w:val="none"/>
        </w:rPr>
      </w:pPr>
      <w:bookmarkStart w:id="67" w:name="_8.1提供相同品牌产品且通过资格审查、符合性审查的不同投标人参加同一合"/>
      <w:bookmarkEnd w:id="67"/>
      <w:r>
        <w:rPr>
          <w:rFonts w:hint="eastAsia" w:ascii="宋体" w:hAnsi="宋体" w:cs="宋体"/>
          <w:color w:val="auto"/>
          <w:szCs w:val="21"/>
          <w:highlight w:val="none"/>
        </w:rPr>
        <w:t>7.1</w:t>
      </w:r>
      <w:bookmarkStart w:id="68"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68"/>
    <w:p w14:paraId="69750A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40E7D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90C88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49AD2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5645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2E972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3B686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D243C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7CC5F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A53B3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04A7BBD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（1）不同供应商的响应文件由同一单位或者个人编制，或不同供应商报名的IP地址一致的；或不同供应商竞标设备信息（包括但不限于：IP地址、MAC地址、硬盘号、CPU号、主板号）一致的；</w:t>
      </w:r>
    </w:p>
    <w:p w14:paraId="6B234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F28A2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BD5E0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D23B5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0AB9F58">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9EADE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3ABE17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D1557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E5084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CA3A6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06904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71FE8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6508E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7FF9B4E">
      <w:pPr>
        <w:pStyle w:val="6"/>
        <w:spacing w:line="360" w:lineRule="auto"/>
        <w:rPr>
          <w:rFonts w:ascii="宋体" w:hAnsi="宋体"/>
          <w:color w:val="auto"/>
          <w:highlight w:val="none"/>
        </w:rPr>
      </w:pPr>
      <w:r>
        <w:rPr>
          <w:rFonts w:ascii="宋体" w:hAnsi="宋体"/>
          <w:color w:val="auto"/>
          <w:highlight w:val="none"/>
        </w:rPr>
        <w:t>7.7</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02E72A2">
      <w:pPr>
        <w:pStyle w:val="6"/>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00DFEA85">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r:link="rId11"/>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07027B7D">
      <w:pPr>
        <w:pStyle w:val="6"/>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7923D55">
      <w:pPr>
        <w:pStyle w:val="6"/>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3CFD43AB">
      <w:pPr>
        <w:pStyle w:val="6"/>
        <w:spacing w:line="360" w:lineRule="auto"/>
        <w:rPr>
          <w:rFonts w:ascii="宋体" w:hAnsi="宋体" w:cs="宋体"/>
          <w:color w:val="auto"/>
          <w:szCs w:val="21"/>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CC1BE8">
      <w:pPr>
        <w:spacing w:line="360" w:lineRule="auto"/>
        <w:ind w:left="1" w:firstLine="417" w:firstLineChars="199"/>
        <w:jc w:val="center"/>
        <w:rPr>
          <w:rFonts w:ascii="宋体" w:hAnsi="宋体" w:cs="宋体"/>
          <w:color w:val="auto"/>
          <w:highlight w:val="none"/>
        </w:rPr>
      </w:pPr>
      <w:bookmarkStart w:id="69" w:name="_Toc254970675"/>
      <w:bookmarkStart w:id="70" w:name="_Toc254970534"/>
    </w:p>
    <w:p w14:paraId="4E9BBE89">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二、磋商文件</w:t>
      </w:r>
      <w:bookmarkEnd w:id="69"/>
      <w:bookmarkEnd w:id="70"/>
    </w:p>
    <w:p w14:paraId="1F07CBDA">
      <w:pPr>
        <w:spacing w:line="360" w:lineRule="auto"/>
        <w:rPr>
          <w:rFonts w:ascii="宋体" w:hAnsi="宋体" w:cs="宋体"/>
          <w:color w:val="auto"/>
          <w:szCs w:val="21"/>
          <w:highlight w:val="none"/>
        </w:rPr>
      </w:pPr>
    </w:p>
    <w:p w14:paraId="7AD2C0E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1E900C4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12F7F559">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（2）供应商须知；</w:t>
      </w:r>
    </w:p>
    <w:p w14:paraId="0ED5FEA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6A46A6E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2473E64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22123E9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5DF05BE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DA3B0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2A42EB6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571E78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67CE7CEE">
      <w:pPr>
        <w:spacing w:line="360" w:lineRule="auto"/>
        <w:rPr>
          <w:rFonts w:ascii="宋体" w:hAnsi="宋体" w:cs="宋体"/>
          <w:color w:val="auto"/>
          <w:szCs w:val="21"/>
          <w:highlight w:val="none"/>
        </w:rPr>
      </w:pPr>
    </w:p>
    <w:p w14:paraId="53CE7512">
      <w:pPr>
        <w:spacing w:line="360" w:lineRule="auto"/>
        <w:jc w:val="center"/>
        <w:rPr>
          <w:rFonts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621E8E16">
      <w:pPr>
        <w:spacing w:line="360" w:lineRule="auto"/>
        <w:rPr>
          <w:rFonts w:ascii="宋体" w:hAnsi="宋体" w:cs="宋体"/>
          <w:color w:val="auto"/>
          <w:szCs w:val="21"/>
          <w:highlight w:val="none"/>
        </w:rPr>
      </w:pPr>
    </w:p>
    <w:p w14:paraId="469506A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1819C6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供应商必须按照磋商文件的要求编制响应文件，并对其提交的响应文件的真实性、合法性承担法律责任。响应文件必须对磋商文件提出的要求和条件作出明确实质性响应。</w:t>
      </w:r>
    </w:p>
    <w:p w14:paraId="4805819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71BA8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4F12F29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70F28CA2">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81E4B3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A06A43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3E406E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D348BF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92832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821EB9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4D77712C">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7582A43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28FFC412">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068E50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32E917C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372674E5">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5A917D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33B858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50AA27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71"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71"/>
    <w:p w14:paraId="7BC6EA3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705DBD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3A7A8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16.2竞标有效期应由供应商按“供应商须知前附表”规定的期限作出响应。承诺的竞标有效期低于采购文件规定期限的，供应商的响应文件作无效处理。</w:t>
      </w:r>
    </w:p>
    <w:p w14:paraId="727782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799071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07FEC26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7488BD1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536FC34C">
      <w:pPr>
        <w:spacing w:line="360" w:lineRule="auto"/>
        <w:ind w:firstLine="420" w:firstLineChars="200"/>
        <w:rPr>
          <w:rFonts w:ascii="宋体" w:hAnsi="宋体" w:cs="宋体"/>
          <w:color w:val="auto"/>
          <w:szCs w:val="21"/>
          <w:highlight w:val="none"/>
        </w:rPr>
      </w:pPr>
      <w:bookmarkStart w:id="72"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72"/>
    </w:p>
    <w:p w14:paraId="73BC68D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17.3除逾期退还磋商保证金和终止采购的情形以外，磋商保证金不计息。</w:t>
      </w:r>
    </w:p>
    <w:p w14:paraId="5A667D36">
      <w:pPr>
        <w:spacing w:line="360" w:lineRule="auto"/>
        <w:ind w:left="420" w:left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17.4供应商有下列情形之一的，磋商保证金将不予退还：</w:t>
      </w:r>
    </w:p>
    <w:p w14:paraId="70A41AD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B7F295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58C991C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AF2D5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21933FF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908C43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3F1740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30D007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4CE47D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7FD906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p>
    <w:p w14:paraId="169545F4">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w:t>
      </w:r>
      <w:r>
        <w:rPr>
          <w:rFonts w:hint="eastAsia" w:ascii="宋体" w:hAnsi="宋体" w:cs="宋体"/>
          <w:b/>
          <w:bCs/>
          <w:color w:val="auto"/>
          <w:szCs w:val="21"/>
          <w:highlight w:val="none"/>
        </w:rPr>
        <w:t>否则其响应文件按无效响应处理。</w:t>
      </w:r>
    </w:p>
    <w:p w14:paraId="009FC4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998CF78">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3679CDD6">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电子备份响应文件是指通过在线编制生成且后缀名为“bfbs”的文件，是否接受电子备份响应文件</w:t>
      </w:r>
      <w:r>
        <w:rPr>
          <w:rFonts w:hint="eastAsia" w:ascii="宋体" w:hAnsi="宋体" w:cs="宋体"/>
          <w:bCs/>
          <w:color w:val="auto"/>
          <w:szCs w:val="21"/>
          <w:highlight w:val="none"/>
        </w:rPr>
        <w:t>详见在“供应商须知前附表”。</w:t>
      </w:r>
    </w:p>
    <w:p w14:paraId="1683CB1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797CA68C">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cs="宋体"/>
          <w:b/>
          <w:bCs w:val="0"/>
          <w:color w:val="auto"/>
          <w:szCs w:val="21"/>
          <w:highlight w:val="none"/>
        </w:rPr>
        <w:t>20.1</w:t>
      </w:r>
      <w:r>
        <w:rPr>
          <w:rFonts w:hint="eastAsia" w:ascii="宋体" w:hAnsi="宋体" w:cs="宋体"/>
          <w:bCs/>
          <w:color w:val="auto"/>
          <w:szCs w:val="21"/>
          <w:highlight w:val="none"/>
        </w:rPr>
        <w:t>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3155EA41">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20.2未在规定时间内提交或者未按照磋商文件要求加密的电子响应文件，广西政府采购云平台将拒收。</w:t>
      </w:r>
    </w:p>
    <w:p w14:paraId="67D0B90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3BCFBB7">
      <w:pPr>
        <w:snapToGrid w:val="0"/>
        <w:spacing w:line="360" w:lineRule="auto"/>
        <w:ind w:firstLine="420"/>
        <w:jc w:val="left"/>
        <w:rPr>
          <w:rFonts w:ascii="宋体" w:hAnsi="宋体" w:cs="宋体"/>
          <w:color w:val="auto"/>
          <w:szCs w:val="21"/>
          <w:highlight w:val="none"/>
        </w:rPr>
      </w:pPr>
      <w:bookmarkStart w:id="73" w:name="_Toc254970684"/>
      <w:bookmarkStart w:id="74"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进入“服务中心”中查看“电子投标文件制作与投送教程”）</w:t>
      </w:r>
    </w:p>
    <w:bookmarkEnd w:id="73"/>
    <w:bookmarkEnd w:id="74"/>
    <w:p w14:paraId="293D8186">
      <w:pPr>
        <w:pStyle w:val="7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060B61F4">
      <w:pPr>
        <w:spacing w:line="360" w:lineRule="auto"/>
        <w:ind w:firstLine="482" w:firstLineChars="200"/>
        <w:rPr>
          <w:rFonts w:ascii="宋体" w:hAnsi="宋体" w:cs="宋体"/>
          <w:b/>
          <w:bCs/>
          <w:color w:val="auto"/>
          <w:sz w:val="24"/>
          <w:highlight w:val="none"/>
        </w:rPr>
      </w:pPr>
      <w:bookmarkStart w:id="75" w:name="_Hlk45702405"/>
      <w:r>
        <w:rPr>
          <w:rFonts w:hint="eastAsia" w:ascii="宋体" w:hAnsi="宋体" w:cs="宋体"/>
          <w:b/>
          <w:bCs/>
          <w:color w:val="auto"/>
          <w:sz w:val="24"/>
          <w:highlight w:val="none"/>
        </w:rPr>
        <w:t>22.响应文件的退回</w:t>
      </w:r>
    </w:p>
    <w:p w14:paraId="1CD36A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07A8F9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535529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5"/>
    <w:p w14:paraId="7C71D463">
      <w:pPr>
        <w:spacing w:line="360" w:lineRule="auto"/>
        <w:rPr>
          <w:rFonts w:ascii="宋体" w:hAnsi="宋体" w:cs="宋体"/>
          <w:color w:val="auto"/>
          <w:szCs w:val="21"/>
          <w:highlight w:val="none"/>
        </w:rPr>
      </w:pPr>
    </w:p>
    <w:p w14:paraId="74FB5747">
      <w:pPr>
        <w:spacing w:line="360" w:lineRule="auto"/>
        <w:ind w:left="420" w:firstLine="42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099F884B">
      <w:pPr>
        <w:spacing w:line="360" w:lineRule="auto"/>
        <w:ind w:left="420" w:firstLine="420"/>
        <w:rPr>
          <w:rFonts w:ascii="宋体" w:hAnsi="宋体" w:cs="宋体"/>
          <w:color w:val="auto"/>
          <w:szCs w:val="21"/>
          <w:highlight w:val="none"/>
        </w:rPr>
      </w:pPr>
    </w:p>
    <w:p w14:paraId="5903469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6643F8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0F7E59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B7D3EF1">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25BC9F20">
      <w:pPr>
        <w:spacing w:line="360" w:lineRule="auto"/>
        <w:ind w:firstLine="420" w:firstLineChars="200"/>
        <w:rPr>
          <w:color w:val="auto"/>
          <w:highlight w:val="none"/>
        </w:rPr>
      </w:pPr>
      <w:r>
        <w:rPr>
          <w:rFonts w:hint="eastAsia" w:ascii="宋体" w:hAnsi="宋体" w:cs="宋体"/>
          <w:bCs/>
          <w:color w:val="auto"/>
          <w:highlight w:val="none"/>
        </w:rPr>
        <w:t>24.4参加过采购项目前期咨询论证的专家，不得参加该采购项目的评审活动。</w:t>
      </w:r>
    </w:p>
    <w:p w14:paraId="60F9E1F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0D640618">
      <w:pPr>
        <w:spacing w:line="360" w:lineRule="auto"/>
        <w:ind w:firstLine="420" w:firstLineChars="200"/>
        <w:rPr>
          <w:rFonts w:ascii="宋体" w:hAnsi="宋体" w:cs="宋体"/>
          <w:color w:val="auto"/>
          <w:szCs w:val="21"/>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3077301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1C95B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0483A0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评审程序、评审方法和评审标准”规定的方法、评审因素、标准和程序对响应文件进行评审。</w:t>
      </w:r>
    </w:p>
    <w:p w14:paraId="5F49B7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26.3商务/技术要求允许负偏离的条款数详见“供应商须知前附表”。</w:t>
      </w:r>
    </w:p>
    <w:p w14:paraId="0051462C">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26.4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6E10CE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38368E4C">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（1）电子交易平台发生故障而无法登录访问的；</w:t>
      </w:r>
    </w:p>
    <w:p w14:paraId="5D9327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5C44FA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653CFC86">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（4）病毒发作导致不能进行正常操作的；</w:t>
      </w:r>
    </w:p>
    <w:p w14:paraId="19AA1A8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34B901C">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377662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24C5FA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06AF2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6"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6"/>
    </w:p>
    <w:p w14:paraId="662C112E">
      <w:pPr>
        <w:spacing w:line="360" w:lineRule="auto"/>
        <w:ind w:firstLine="420" w:firstLineChars="200"/>
        <w:contextualSpacing/>
        <w:rPr>
          <w:rFonts w:ascii="宋体" w:hAnsi="宋体" w:cs="宋体"/>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.3采购人、采购代理机构应当随成交结果公开成交供应商的《关于符合本国产品标准的声明函》或有关证明文件。</w:t>
      </w:r>
    </w:p>
    <w:p w14:paraId="5DCD8F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27.4出现下列情形之一的，采购人或者采购代理机构应当终止竞争性磋商采购活动，发布项目终止公告并说明原因，重新开展采购活动：</w:t>
      </w:r>
    </w:p>
    <w:p w14:paraId="341539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047C3C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EE9C9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7A5BC2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27.5在采购活动中因重大变故，采购任务取消的，采购人或者采购代理机构应当终止采购活动，通知所有参加采购活动的供应商，并将项目实施情况和采购任务取消原因报送本级财政部门。</w:t>
      </w:r>
    </w:p>
    <w:p w14:paraId="03941BB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79A0598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28.1履约保证金的金额、提交方式、缴纳期限、退付的时间和条件详见“供应商须知前附表”。成交供应商未按规定提交履约保证金的，视为拒绝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64FCF2B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2774386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7796715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D99C5F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14EE4F1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B6A399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892621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88A91C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5326236">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465449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BF9AB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D860E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F8FB77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596D25FB">
      <w:pPr>
        <w:pStyle w:val="6"/>
        <w:spacing w:line="360" w:lineRule="auto"/>
        <w:rPr>
          <w:rFonts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696EDA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6C3587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1D22757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7602E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E3B158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C1A0A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2120A8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FB2CB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23BA13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7E2A60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6E36E6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136A75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1FD473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F6451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0487E14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F743E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726B2F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F0900B9">
      <w:pPr>
        <w:spacing w:line="360" w:lineRule="auto"/>
        <w:ind w:firstLine="420" w:firstLineChars="200"/>
        <w:rPr>
          <w:rFonts w:ascii="宋体" w:hAnsi="宋体" w:cs="宋体"/>
          <w:b/>
          <w:bCs/>
          <w:color w:val="auto"/>
          <w:sz w:val="24"/>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82FF3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0BA7552F">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.1采购代理服务费收取标准及缴费账户详见“供应商须知前附表”，供应商为联合体的，可以由联合体中的一方或者多方共同缴纳采购代理服务费。</w:t>
      </w:r>
    </w:p>
    <w:p w14:paraId="271AF8C4">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采购代理服务费收费计算标准：</w:t>
      </w:r>
    </w:p>
    <w:tbl>
      <w:tblPr>
        <w:tblStyle w:val="29"/>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135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36B626C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61BFAC1A">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29EAD6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43320F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1D908F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工程类</w:t>
            </w:r>
          </w:p>
        </w:tc>
      </w:tr>
      <w:tr w14:paraId="29B4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311BA40">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vAlign w:val="center"/>
          </w:tcPr>
          <w:p w14:paraId="0A46AA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1.5%</w:t>
            </w:r>
          </w:p>
        </w:tc>
        <w:tc>
          <w:tcPr>
            <w:tcW w:w="1532" w:type="dxa"/>
            <w:vAlign w:val="center"/>
          </w:tcPr>
          <w:p w14:paraId="481F53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vAlign w:val="center"/>
          </w:tcPr>
          <w:p w14:paraId="47A69D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1.0%</w:t>
            </w:r>
          </w:p>
        </w:tc>
      </w:tr>
      <w:tr w14:paraId="240C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B3B044">
            <w:pPr>
              <w:spacing w:line="360" w:lineRule="auto"/>
              <w:rPr>
                <w:rFonts w:ascii="宋体" w:hAnsi="宋体" w:cs="宋体"/>
                <w:color w:val="auto"/>
                <w:szCs w:val="21"/>
                <w:highlight w:val="none"/>
              </w:rPr>
            </w:pPr>
            <w:r>
              <w:rPr>
                <w:rFonts w:hint="eastAsia" w:ascii="宋体" w:hAnsi="宋体" w:cs="宋体"/>
                <w:color w:val="auto"/>
                <w:szCs w:val="21"/>
                <w:highlight w:val="none"/>
              </w:rPr>
              <w:t>100万～500万元</w:t>
            </w:r>
          </w:p>
        </w:tc>
        <w:tc>
          <w:tcPr>
            <w:tcW w:w="1659" w:type="dxa"/>
            <w:vAlign w:val="center"/>
          </w:tcPr>
          <w:p w14:paraId="01C1D7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1.1%</w:t>
            </w:r>
          </w:p>
        </w:tc>
        <w:tc>
          <w:tcPr>
            <w:tcW w:w="1532" w:type="dxa"/>
            <w:vAlign w:val="center"/>
          </w:tcPr>
          <w:p w14:paraId="19F63A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vAlign w:val="center"/>
          </w:tcPr>
          <w:p w14:paraId="27C356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0.7%</w:t>
            </w:r>
          </w:p>
        </w:tc>
      </w:tr>
      <w:tr w14:paraId="07F8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1CCDE39">
            <w:pPr>
              <w:spacing w:line="360" w:lineRule="auto"/>
              <w:rPr>
                <w:rFonts w:ascii="宋体" w:hAnsi="宋体" w:cs="宋体"/>
                <w:color w:val="auto"/>
                <w:szCs w:val="21"/>
                <w:highlight w:val="none"/>
              </w:rPr>
            </w:pPr>
            <w:r>
              <w:rPr>
                <w:rFonts w:hint="eastAsia" w:ascii="宋体" w:hAnsi="宋体" w:cs="宋体"/>
                <w:color w:val="auto"/>
                <w:szCs w:val="21"/>
                <w:highlight w:val="none"/>
              </w:rPr>
              <w:t>500万～1000万元</w:t>
            </w:r>
          </w:p>
        </w:tc>
        <w:tc>
          <w:tcPr>
            <w:tcW w:w="1659" w:type="dxa"/>
            <w:vAlign w:val="center"/>
          </w:tcPr>
          <w:p w14:paraId="451F25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0.8%</w:t>
            </w:r>
          </w:p>
        </w:tc>
        <w:tc>
          <w:tcPr>
            <w:tcW w:w="1532" w:type="dxa"/>
            <w:vAlign w:val="center"/>
          </w:tcPr>
          <w:p w14:paraId="58DA40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vAlign w:val="center"/>
          </w:tcPr>
          <w:p w14:paraId="15B4E1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0.55%</w:t>
            </w:r>
          </w:p>
        </w:tc>
      </w:tr>
      <w:tr w14:paraId="1D1C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4161371">
            <w:pPr>
              <w:spacing w:line="360" w:lineRule="auto"/>
              <w:rPr>
                <w:rFonts w:ascii="宋体" w:hAnsi="宋体" w:cs="宋体"/>
                <w:color w:val="auto"/>
                <w:szCs w:val="21"/>
                <w:highlight w:val="none"/>
              </w:rPr>
            </w:pPr>
            <w:r>
              <w:rPr>
                <w:rFonts w:hint="eastAsia" w:ascii="宋体" w:hAnsi="宋体" w:cs="宋体"/>
                <w:color w:val="auto"/>
                <w:szCs w:val="21"/>
                <w:highlight w:val="none"/>
              </w:rPr>
              <w:t>1000万～5000万元</w:t>
            </w:r>
          </w:p>
        </w:tc>
        <w:tc>
          <w:tcPr>
            <w:tcW w:w="1659" w:type="dxa"/>
            <w:vAlign w:val="center"/>
          </w:tcPr>
          <w:p w14:paraId="045151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0.5%</w:t>
            </w:r>
          </w:p>
        </w:tc>
        <w:tc>
          <w:tcPr>
            <w:tcW w:w="1532" w:type="dxa"/>
            <w:vAlign w:val="center"/>
          </w:tcPr>
          <w:p w14:paraId="065B24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vAlign w:val="center"/>
          </w:tcPr>
          <w:p w14:paraId="565011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0.35%</w:t>
            </w:r>
          </w:p>
        </w:tc>
      </w:tr>
      <w:tr w14:paraId="0510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353C802">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vAlign w:val="center"/>
          </w:tcPr>
          <w:p w14:paraId="3101EB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0.25%</w:t>
            </w:r>
          </w:p>
        </w:tc>
        <w:tc>
          <w:tcPr>
            <w:tcW w:w="1532" w:type="dxa"/>
            <w:vAlign w:val="center"/>
          </w:tcPr>
          <w:p w14:paraId="38EEF5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vAlign w:val="center"/>
          </w:tcPr>
          <w:p w14:paraId="74C4B9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0.2%</w:t>
            </w:r>
          </w:p>
        </w:tc>
      </w:tr>
      <w:tr w14:paraId="0C75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DE55AB1">
            <w:pPr>
              <w:spacing w:line="360" w:lineRule="auto"/>
              <w:rPr>
                <w:rFonts w:ascii="宋体" w:hAnsi="宋体" w:cs="宋体"/>
                <w:color w:val="auto"/>
                <w:szCs w:val="21"/>
                <w:highlight w:val="none"/>
              </w:rPr>
            </w:pPr>
            <w:r>
              <w:rPr>
                <w:rFonts w:hint="eastAsia" w:ascii="宋体" w:hAnsi="宋体" w:cs="宋体"/>
                <w:color w:val="auto"/>
                <w:szCs w:val="21"/>
                <w:highlight w:val="none"/>
              </w:rPr>
              <w:t>1亿～5亿元</w:t>
            </w:r>
          </w:p>
        </w:tc>
        <w:tc>
          <w:tcPr>
            <w:tcW w:w="1659" w:type="dxa"/>
            <w:vAlign w:val="center"/>
          </w:tcPr>
          <w:p w14:paraId="1B9E28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0.05%</w:t>
            </w:r>
          </w:p>
        </w:tc>
        <w:tc>
          <w:tcPr>
            <w:tcW w:w="1532" w:type="dxa"/>
            <w:vAlign w:val="center"/>
          </w:tcPr>
          <w:p w14:paraId="19699F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0.05%</w:t>
            </w:r>
          </w:p>
        </w:tc>
        <w:tc>
          <w:tcPr>
            <w:tcW w:w="1546" w:type="dxa"/>
            <w:vAlign w:val="center"/>
          </w:tcPr>
          <w:p w14:paraId="515A1F6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0.05%</w:t>
            </w:r>
          </w:p>
        </w:tc>
      </w:tr>
      <w:tr w14:paraId="202A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1E7BFB0">
            <w:pPr>
              <w:spacing w:line="360" w:lineRule="auto"/>
              <w:rPr>
                <w:rFonts w:ascii="宋体" w:hAnsi="宋体" w:cs="宋体"/>
                <w:color w:val="auto"/>
                <w:szCs w:val="21"/>
                <w:highlight w:val="none"/>
              </w:rPr>
            </w:pPr>
            <w:r>
              <w:rPr>
                <w:rFonts w:hint="eastAsia" w:ascii="宋体" w:hAnsi="宋体" w:cs="宋体"/>
                <w:color w:val="auto"/>
                <w:szCs w:val="21"/>
                <w:highlight w:val="none"/>
              </w:rPr>
              <w:t>5亿～10亿元</w:t>
            </w:r>
          </w:p>
        </w:tc>
        <w:tc>
          <w:tcPr>
            <w:tcW w:w="1659" w:type="dxa"/>
            <w:vAlign w:val="center"/>
          </w:tcPr>
          <w:p w14:paraId="4FC6D4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vAlign w:val="center"/>
          </w:tcPr>
          <w:p w14:paraId="7A4149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0.035%</w:t>
            </w:r>
          </w:p>
        </w:tc>
        <w:tc>
          <w:tcPr>
            <w:tcW w:w="1546" w:type="dxa"/>
            <w:vAlign w:val="center"/>
          </w:tcPr>
          <w:p w14:paraId="68D5F55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0.035%</w:t>
            </w:r>
          </w:p>
        </w:tc>
      </w:tr>
      <w:tr w14:paraId="4B86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B56ED92">
            <w:pPr>
              <w:spacing w:line="360" w:lineRule="auto"/>
              <w:rPr>
                <w:rFonts w:ascii="宋体" w:hAnsi="宋体" w:cs="宋体"/>
                <w:color w:val="auto"/>
                <w:szCs w:val="21"/>
                <w:highlight w:val="none"/>
              </w:rPr>
            </w:pPr>
            <w:r>
              <w:rPr>
                <w:rFonts w:hint="eastAsia" w:ascii="宋体" w:hAnsi="宋体" w:cs="宋体"/>
                <w:color w:val="auto"/>
                <w:szCs w:val="21"/>
                <w:highlight w:val="none"/>
              </w:rPr>
              <w:t>10亿～50亿元</w:t>
            </w:r>
          </w:p>
        </w:tc>
        <w:tc>
          <w:tcPr>
            <w:tcW w:w="1659" w:type="dxa"/>
            <w:vAlign w:val="center"/>
          </w:tcPr>
          <w:p w14:paraId="2F0FA5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vAlign w:val="center"/>
          </w:tcPr>
          <w:p w14:paraId="700618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vAlign w:val="center"/>
          </w:tcPr>
          <w:p w14:paraId="6BD8C0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0.008%</w:t>
            </w:r>
          </w:p>
        </w:tc>
      </w:tr>
      <w:tr w14:paraId="4B42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D722CFB">
            <w:pPr>
              <w:spacing w:line="360" w:lineRule="auto"/>
              <w:rPr>
                <w:rFonts w:ascii="宋体" w:hAnsi="宋体" w:cs="宋体"/>
                <w:color w:val="auto"/>
                <w:szCs w:val="21"/>
                <w:highlight w:val="none"/>
              </w:rPr>
            </w:pPr>
            <w:r>
              <w:rPr>
                <w:rFonts w:hint="eastAsia" w:ascii="宋体" w:hAnsi="宋体" w:cs="宋体"/>
                <w:color w:val="auto"/>
                <w:szCs w:val="21"/>
                <w:highlight w:val="none"/>
              </w:rPr>
              <w:t>50亿～100亿元</w:t>
            </w:r>
          </w:p>
        </w:tc>
        <w:tc>
          <w:tcPr>
            <w:tcW w:w="1659" w:type="dxa"/>
            <w:vAlign w:val="center"/>
          </w:tcPr>
          <w:p w14:paraId="1E5FCA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0.006%</w:t>
            </w:r>
          </w:p>
        </w:tc>
        <w:tc>
          <w:tcPr>
            <w:tcW w:w="1532" w:type="dxa"/>
            <w:vAlign w:val="center"/>
          </w:tcPr>
          <w:p w14:paraId="2C8C10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vAlign w:val="center"/>
          </w:tcPr>
          <w:p w14:paraId="3EEB76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0.006%</w:t>
            </w:r>
          </w:p>
        </w:tc>
      </w:tr>
      <w:tr w14:paraId="34AE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4B0570">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vAlign w:val="center"/>
          </w:tcPr>
          <w:p w14:paraId="52FC48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0.004%</w:t>
            </w:r>
          </w:p>
        </w:tc>
        <w:tc>
          <w:tcPr>
            <w:tcW w:w="1532" w:type="dxa"/>
            <w:vAlign w:val="center"/>
          </w:tcPr>
          <w:p w14:paraId="6DC91A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vAlign w:val="center"/>
          </w:tcPr>
          <w:p w14:paraId="270C10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0.004%</w:t>
            </w:r>
          </w:p>
        </w:tc>
      </w:tr>
    </w:tbl>
    <w:p w14:paraId="23FEFD4F">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493F6B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698FD52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23388C61">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7EB032A0">
      <w:pPr>
        <w:spacing w:line="360" w:lineRule="auto"/>
        <w:ind w:firstLine="420" w:firstLineChars="200"/>
        <w:rPr>
          <w:rFonts w:ascii="宋体" w:hAnsi="宋体" w:cs="宋体"/>
          <w:color w:val="auto"/>
          <w:highlight w:val="none"/>
        </w:rPr>
      </w:pPr>
      <w:r>
        <w:rPr>
          <w:rFonts w:ascii="宋体" w:hAnsi="宋体" w:cs="宋体"/>
          <w:color w:val="auto"/>
          <w:highlight w:val="none"/>
        </w:rPr>
        <w:t>100万元×l.5%＝1.5万元</w:t>
      </w:r>
    </w:p>
    <w:p w14:paraId="5ED2A17A">
      <w:pPr>
        <w:spacing w:line="360" w:lineRule="auto"/>
        <w:ind w:firstLine="420" w:firstLineChars="200"/>
        <w:rPr>
          <w:rFonts w:ascii="宋体" w:hAnsi="宋体" w:cs="宋体"/>
          <w:color w:val="auto"/>
          <w:highlight w:val="none"/>
        </w:rPr>
      </w:pPr>
      <w:r>
        <w:rPr>
          <w:rFonts w:ascii="宋体" w:hAnsi="宋体" w:cs="宋体"/>
          <w:color w:val="auto"/>
          <w:highlight w:val="none"/>
        </w:rPr>
        <w:t>（150－100）万元×0.8%＝0.4万元</w:t>
      </w:r>
    </w:p>
    <w:p w14:paraId="6570425C">
      <w:pPr>
        <w:spacing w:line="360" w:lineRule="auto"/>
        <w:ind w:firstLine="420" w:firstLineChars="200"/>
        <w:rPr>
          <w:rFonts w:ascii="宋体" w:hAnsi="宋体" w:cs="宋体"/>
          <w:color w:val="auto"/>
          <w:highlight w:val="none"/>
        </w:rPr>
      </w:pPr>
      <w:r>
        <w:rPr>
          <w:rFonts w:ascii="宋体" w:hAnsi="宋体" w:cs="宋体"/>
          <w:color w:val="auto"/>
          <w:highlight w:val="none"/>
        </w:rPr>
        <w:t>合计收费＝1.5＋0.4＝1.9万元</w:t>
      </w:r>
    </w:p>
    <w:p w14:paraId="2E25AED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3FFE79D5">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53E26F9D">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33.2其他事项详见“供应商须知前附表”。</w:t>
      </w:r>
    </w:p>
    <w:p w14:paraId="3C7CD641">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CD09B50">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BC358B4">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3EDE3EC">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A610B2D">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76DE920">
      <w:pPr>
        <w:pStyle w:val="2"/>
        <w:spacing w:before="0" w:after="0" w:line="240" w:lineRule="auto"/>
        <w:jc w:val="left"/>
        <w:rPr>
          <w:rFonts w:ascii="宋体" w:hAnsi="宋体" w:cs="宋体"/>
          <w:color w:val="auto"/>
          <w:kern w:val="2"/>
          <w:sz w:val="21"/>
          <w:highlight w:val="none"/>
        </w:rPr>
      </w:pPr>
      <w:r>
        <w:rPr>
          <w:rFonts w:hint="eastAsia" w:ascii="宋体"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1CF3C037">
      <w:pPr>
        <w:pStyle w:val="2"/>
        <w:spacing w:before="0" w:after="0" w:line="240" w:lineRule="auto"/>
        <w:jc w:val="center"/>
        <w:rPr>
          <w:rFonts w:ascii="宋体" w:hAnsi="宋体" w:cs="宋体"/>
          <w:color w:val="auto"/>
          <w:highlight w:val="none"/>
        </w:rPr>
      </w:pPr>
      <w:r>
        <w:rPr>
          <w:rFonts w:hint="eastAsia" w:ascii="宋体" w:hAnsi="宋体" w:cs="宋体"/>
          <w:b w:val="0"/>
          <w:color w:val="auto"/>
          <w:highlight w:val="none"/>
        </w:rPr>
        <w:br w:type="page"/>
      </w:r>
      <w:bookmarkStart w:id="77" w:name="_Toc74323458"/>
      <w:r>
        <w:rPr>
          <w:rFonts w:hint="eastAsia" w:ascii="宋体" w:hAnsi="宋体" w:cs="宋体"/>
          <w:color w:val="auto"/>
          <w:highlight w:val="none"/>
        </w:rPr>
        <w:t>第三章 采购需求</w:t>
      </w:r>
      <w:bookmarkEnd w:id="77"/>
    </w:p>
    <w:p w14:paraId="790BEC72">
      <w:pPr>
        <w:spacing w:line="360" w:lineRule="auto"/>
        <w:jc w:val="center"/>
        <w:rPr>
          <w:rFonts w:ascii="宋体" w:hAnsi="宋体" w:cs="宋体"/>
          <w:b/>
          <w:color w:val="auto"/>
          <w:sz w:val="32"/>
          <w:szCs w:val="32"/>
          <w:highlight w:val="none"/>
        </w:rPr>
      </w:pPr>
    </w:p>
    <w:p w14:paraId="339F3A0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0D36490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1.为落实政府采购政策需满足的要求：</w:t>
      </w:r>
    </w:p>
    <w:p w14:paraId="62C3487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15078953">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62AEDC">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“实质性要求”是指采购需求中带“</w:t>
      </w:r>
      <w:r>
        <w:rPr>
          <w:rFonts w:hint="eastAsia" w:ascii="宋体" w:hAnsi="宋体" w:cs="宋体"/>
          <w:b/>
          <w:bCs/>
          <w:color w:val="auto"/>
          <w:kern w:val="0"/>
          <w:szCs w:val="21"/>
          <w:highlight w:val="none"/>
        </w:rPr>
        <w:t>▲</w:t>
      </w:r>
      <w:r>
        <w:rPr>
          <w:rFonts w:hint="eastAsia" w:ascii="宋体" w:hAnsi="宋体" w:cs="宋体"/>
          <w:b/>
          <w:bCs/>
          <w:color w:val="auto"/>
          <w:szCs w:val="21"/>
          <w:highlight w:val="none"/>
        </w:rPr>
        <w:t>”的条款或者不能负偏离的条款或者已经指明不满足响应文件按无效处理的条款。</w:t>
      </w:r>
      <w:r>
        <w:rPr>
          <w:rFonts w:hint="eastAsia" w:ascii="宋体" w:hAnsi="宋体" w:cs="宋体"/>
          <w:b/>
          <w:bCs/>
          <w:color w:val="auto"/>
          <w:highlight w:val="none"/>
        </w:rPr>
        <w:t>本项目技术需求为实质性要求，不允许负偏离</w:t>
      </w:r>
      <w:r>
        <w:rPr>
          <w:rFonts w:hint="eastAsia" w:ascii="宋体" w:hAnsi="宋体" w:cs="宋体"/>
          <w:b/>
          <w:bCs/>
          <w:color w:val="auto"/>
          <w:szCs w:val="21"/>
          <w:highlight w:val="none"/>
        </w:rPr>
        <w:t>。</w:t>
      </w:r>
    </w:p>
    <w:p w14:paraId="2F61B9FA">
      <w:pPr>
        <w:spacing w:line="360" w:lineRule="auto"/>
        <w:ind w:firstLine="424" w:firstLineChars="202"/>
        <w:jc w:val="left"/>
        <w:rPr>
          <w:rFonts w:ascii="宋体" w:hAnsi="宋体" w:cs="宋体"/>
          <w:color w:val="auto"/>
          <w:highlight w:val="none"/>
        </w:rPr>
      </w:pPr>
      <w:r>
        <w:rPr>
          <w:rFonts w:hint="eastAsia" w:ascii="宋体" w:hAnsi="宋体" w:cs="宋体"/>
          <w:color w:val="auto"/>
          <w:szCs w:val="21"/>
          <w:highlight w:val="none"/>
        </w:rPr>
        <w:t>3.供应商应根据自身实际情况如实响应磋商文件，否则将按无效响应处理（定制采购不适用本条款）。</w:t>
      </w:r>
      <w:r>
        <w:rPr>
          <w:rFonts w:hint="eastAsia" w:ascii="宋体" w:hAnsi="宋体" w:cs="宋体"/>
          <w:color w:val="auto"/>
          <w:highlight w:val="none"/>
        </w:rPr>
        <w:t>对于重要技术条款或技术参数应当在响应文件中提供技术支持资料，技术支持资料以磋商文件中规定的形式为准，否则将视为无效技术支持资料。</w:t>
      </w:r>
    </w:p>
    <w:p w14:paraId="74E4C9C1">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供应商必须自行为其竞标产品侵犯他人的知识产权或者专利成果的行为承担相应法律责任。</w:t>
      </w:r>
    </w:p>
    <w:p w14:paraId="1EB5614F">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1</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2105600.00 元 </w:t>
      </w:r>
    </w:p>
    <w:tbl>
      <w:tblPr>
        <w:tblStyle w:val="29"/>
        <w:tblW w:w="90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071"/>
        <w:gridCol w:w="71"/>
        <w:gridCol w:w="620"/>
        <w:gridCol w:w="690"/>
        <w:gridCol w:w="6081"/>
      </w:tblGrid>
      <w:tr w14:paraId="5C634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62" w:type="dxa"/>
            <w:tcBorders>
              <w:top w:val="single" w:color="000000" w:sz="4" w:space="0"/>
              <w:left w:val="single" w:color="000000" w:sz="4" w:space="0"/>
              <w:bottom w:val="single" w:color="000000" w:sz="4" w:space="0"/>
              <w:right w:val="single" w:color="000000" w:sz="4" w:space="0"/>
            </w:tcBorders>
            <w:vAlign w:val="center"/>
          </w:tcPr>
          <w:p w14:paraId="37349A6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071" w:type="dxa"/>
            <w:tcBorders>
              <w:top w:val="single" w:color="000000" w:sz="4" w:space="0"/>
              <w:left w:val="single" w:color="000000" w:sz="4" w:space="0"/>
              <w:bottom w:val="single" w:color="000000" w:sz="4" w:space="0"/>
              <w:right w:val="single" w:color="000000" w:sz="4" w:space="0"/>
            </w:tcBorders>
            <w:vAlign w:val="center"/>
          </w:tcPr>
          <w:p w14:paraId="6B16422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标的的名称</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9F54AA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所属行业</w:t>
            </w:r>
          </w:p>
        </w:tc>
        <w:tc>
          <w:tcPr>
            <w:tcW w:w="690" w:type="dxa"/>
            <w:tcBorders>
              <w:top w:val="single" w:color="000000" w:sz="4" w:space="0"/>
              <w:left w:val="single" w:color="000000" w:sz="4" w:space="0"/>
              <w:bottom w:val="single" w:color="000000" w:sz="4" w:space="0"/>
              <w:right w:val="single" w:color="000000" w:sz="4" w:space="0"/>
            </w:tcBorders>
            <w:vAlign w:val="center"/>
          </w:tcPr>
          <w:p w14:paraId="3C9B56B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数量及单位</w:t>
            </w:r>
          </w:p>
        </w:tc>
        <w:tc>
          <w:tcPr>
            <w:tcW w:w="6081" w:type="dxa"/>
            <w:tcBorders>
              <w:top w:val="single" w:color="000000" w:sz="4" w:space="0"/>
              <w:left w:val="single" w:color="000000" w:sz="4" w:space="0"/>
              <w:bottom w:val="single" w:color="000000" w:sz="4" w:space="0"/>
              <w:right w:val="single" w:color="000000" w:sz="4" w:space="0"/>
            </w:tcBorders>
            <w:vAlign w:val="center"/>
          </w:tcPr>
          <w:p w14:paraId="56B8A4E0">
            <w:pPr>
              <w:wordWrap w:val="0"/>
              <w:spacing w:line="360" w:lineRule="auto"/>
              <w:jc w:val="center"/>
              <w:rPr>
                <w:rFonts w:ascii="宋体" w:hAnsi="宋体" w:cs="宋体"/>
                <w:b/>
                <w:color w:val="auto"/>
                <w:szCs w:val="21"/>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b/>
                <w:bCs/>
                <w:color w:val="auto"/>
                <w:sz w:val="24"/>
                <w:highlight w:val="none"/>
              </w:rPr>
              <w:t>项目需求及服务要求</w:t>
            </w:r>
          </w:p>
        </w:tc>
      </w:tr>
      <w:tr w14:paraId="64F27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vAlign w:val="center"/>
          </w:tcPr>
          <w:p w14:paraId="7A7D60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071" w:type="dxa"/>
            <w:tcBorders>
              <w:top w:val="single" w:color="000000" w:sz="4" w:space="0"/>
              <w:left w:val="single" w:color="000000" w:sz="4" w:space="0"/>
              <w:bottom w:val="single" w:color="000000" w:sz="4" w:space="0"/>
              <w:right w:val="single" w:color="000000" w:sz="4" w:space="0"/>
            </w:tcBorders>
            <w:vAlign w:val="center"/>
          </w:tcPr>
          <w:p w14:paraId="1C127E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苍梧县沙头镇、六堡镇污水处理厂委托运营服务</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3575D5F">
            <w:pPr>
              <w:spacing w:line="360" w:lineRule="auto"/>
              <w:jc w:val="center"/>
              <w:rPr>
                <w:rFonts w:ascii="宋体" w:hAnsi="宋体" w:cs="宋体"/>
                <w:color w:val="auto"/>
                <w:szCs w:val="21"/>
                <w:highlight w:val="none"/>
              </w:rPr>
            </w:pPr>
            <w:r>
              <w:rPr>
                <w:rFonts w:hint="eastAsia"/>
                <w:color w:val="auto"/>
                <w:szCs w:val="21"/>
                <w:highlight w:val="none"/>
              </w:rPr>
              <w:t>其他未列明行业</w:t>
            </w:r>
          </w:p>
        </w:tc>
        <w:tc>
          <w:tcPr>
            <w:tcW w:w="690" w:type="dxa"/>
            <w:tcBorders>
              <w:top w:val="single" w:color="000000" w:sz="4" w:space="0"/>
              <w:left w:val="single" w:color="000000" w:sz="4" w:space="0"/>
              <w:bottom w:val="single" w:color="000000" w:sz="4" w:space="0"/>
              <w:right w:val="single" w:color="000000" w:sz="4" w:space="0"/>
            </w:tcBorders>
            <w:vAlign w:val="center"/>
          </w:tcPr>
          <w:p w14:paraId="020A0F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081" w:type="dxa"/>
            <w:tcBorders>
              <w:top w:val="single" w:color="000000" w:sz="4" w:space="0"/>
              <w:left w:val="single" w:color="000000" w:sz="4" w:space="0"/>
              <w:bottom w:val="single" w:color="000000" w:sz="4" w:space="0"/>
              <w:right w:val="single" w:color="000000" w:sz="4" w:space="0"/>
            </w:tcBorders>
            <w:vAlign w:val="center"/>
          </w:tcPr>
          <w:p w14:paraId="1B447F89">
            <w:pPr>
              <w:wordWrap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一、项目基本情况</w:t>
            </w:r>
          </w:p>
          <w:p w14:paraId="09FA981C">
            <w:pPr>
              <w:wordWrap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对苍梧县沙头镇、六堡镇污水处理厂共2座污水处理厂进行运营维护服务，要求污水经过处理后，出水水质达到《城镇污水处理厂污染物排放标准》（GB18918-2002）一级 B 标准，污泥经过浓缩脱水含水率小于 80%后进行无害化处置。</w:t>
            </w:r>
          </w:p>
          <w:p w14:paraId="3B131552">
            <w:pPr>
              <w:wordWrap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苍梧县沙头镇污水处理厂日处理量（1500m³/天），含配套污水管网维护；苍梧县六堡镇污水处理厂日处理量（1500m³/天），含配套污水管网维护。</w:t>
            </w:r>
          </w:p>
          <w:p w14:paraId="39FC9E55">
            <w:pPr>
              <w:wordWrap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二、工作内容</w:t>
            </w:r>
          </w:p>
          <w:p w14:paraId="05775BF3">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主要包括但不限于污水处理厂设施的管理维护及正常运行，污水处理厂构筑物的管理维护、设备运行和维护（不含设备设施大修、重置）、电气自控运行和维护、污水处理厂进出水水质日常检测和第三方监测、在线监测设备运维。</w:t>
            </w:r>
          </w:p>
          <w:p w14:paraId="289F77DD">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2.配套附属设施的工艺、设备、设施、安全、厂区绿化、现场卫生保洁等事项的运营维护，收集整理完整的工艺设施运行与维护台账，保证污水处理厂正常稳定运行。</w:t>
            </w:r>
          </w:p>
          <w:p w14:paraId="7714AAEC">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3.派出技术人员派驻污水处理厂并进行污水管网维护巡查，配合各级政府相关部门检查。</w:t>
            </w:r>
          </w:p>
          <w:p w14:paraId="35CF0D6E">
            <w:pPr>
              <w:wordWrap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三、运营水质达标要求</w:t>
            </w:r>
          </w:p>
          <w:p w14:paraId="4668255C">
            <w:pPr>
              <w:wordWrap w:val="0"/>
              <w:spacing w:before="173"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pacing w:val="11"/>
                <w:szCs w:val="21"/>
                <w:highlight w:val="none"/>
              </w:rPr>
              <w:t>进水水质标准</w:t>
            </w:r>
          </w:p>
          <w:p w14:paraId="7DE2B950">
            <w:pPr>
              <w:wordWrap w:val="0"/>
              <w:spacing w:line="360" w:lineRule="auto"/>
              <w:ind w:firstLine="476" w:firstLineChars="200"/>
              <w:rPr>
                <w:rFonts w:ascii="宋体" w:hAnsi="宋体" w:cs="宋体"/>
                <w:color w:val="auto"/>
                <w:szCs w:val="21"/>
                <w:highlight w:val="none"/>
              </w:rPr>
            </w:pPr>
            <w:r>
              <w:rPr>
                <w:rFonts w:hint="eastAsia" w:ascii="宋体" w:hAnsi="宋体" w:cs="宋体"/>
                <w:color w:val="auto"/>
                <w:spacing w:val="14"/>
                <w:szCs w:val="21"/>
                <w:highlight w:val="none"/>
              </w:rPr>
              <w:t>表1-1</w:t>
            </w:r>
            <w:r>
              <w:rPr>
                <w:rFonts w:hint="eastAsia" w:ascii="宋体" w:hAnsi="宋体" w:cs="宋体"/>
                <w:color w:val="auto"/>
                <w:spacing w:val="20"/>
                <w:w w:val="101"/>
                <w:szCs w:val="21"/>
                <w:highlight w:val="none"/>
              </w:rPr>
              <w:t xml:space="preserve">  </w:t>
            </w:r>
            <w:r>
              <w:rPr>
                <w:rFonts w:hint="eastAsia" w:ascii="宋体" w:hAnsi="宋体" w:cs="宋体"/>
                <w:color w:val="auto"/>
                <w:spacing w:val="14"/>
                <w:szCs w:val="21"/>
                <w:highlight w:val="none"/>
              </w:rPr>
              <w:t>污水处理厂设计进水水质（单位：</w:t>
            </w:r>
            <w:r>
              <w:rPr>
                <w:rFonts w:hint="eastAsia" w:ascii="宋体" w:hAnsi="宋体" w:cs="宋体"/>
                <w:color w:val="auto"/>
                <w:spacing w:val="-56"/>
                <w:szCs w:val="21"/>
                <w:highlight w:val="none"/>
              </w:rPr>
              <w:t xml:space="preserve"> </w:t>
            </w:r>
            <w:r>
              <w:rPr>
                <w:rFonts w:hint="eastAsia" w:ascii="宋体" w:hAnsi="宋体" w:cs="宋体"/>
                <w:color w:val="auto"/>
                <w:szCs w:val="21"/>
                <w:highlight w:val="none"/>
              </w:rPr>
              <w:t>mg</w:t>
            </w:r>
            <w:r>
              <w:rPr>
                <w:rFonts w:hint="eastAsia" w:ascii="宋体" w:hAnsi="宋体" w:cs="宋体"/>
                <w:color w:val="auto"/>
                <w:spacing w:val="14"/>
                <w:szCs w:val="21"/>
                <w:highlight w:val="none"/>
              </w:rPr>
              <w:t>/L）</w:t>
            </w:r>
          </w:p>
          <w:tbl>
            <w:tblPr>
              <w:tblStyle w:val="86"/>
              <w:tblW w:w="58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928"/>
              <w:gridCol w:w="842"/>
              <w:gridCol w:w="842"/>
              <w:gridCol w:w="842"/>
              <w:gridCol w:w="917"/>
              <w:gridCol w:w="725"/>
            </w:tblGrid>
            <w:tr w14:paraId="7581E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764" w:type="dxa"/>
                  <w:tcBorders>
                    <w:top w:val="single" w:color="000000" w:sz="2" w:space="0"/>
                    <w:left w:val="single" w:color="000000" w:sz="2" w:space="0"/>
                    <w:bottom w:val="single" w:color="000000" w:sz="2" w:space="0"/>
                    <w:right w:val="single" w:color="000000" w:sz="2" w:space="0"/>
                  </w:tcBorders>
                  <w:vAlign w:val="center"/>
                </w:tcPr>
                <w:p w14:paraId="7C5A18AF">
                  <w:pPr>
                    <w:wordWrap w:val="0"/>
                    <w:jc w:val="center"/>
                    <w:rPr>
                      <w:rFonts w:ascii="宋体" w:hAnsi="宋体" w:cs="宋体"/>
                      <w:color w:val="auto"/>
                      <w:szCs w:val="21"/>
                      <w:highlight w:val="none"/>
                    </w:rPr>
                  </w:pPr>
                  <w:r>
                    <w:rPr>
                      <w:rFonts w:hint="eastAsia" w:ascii="宋体" w:hAnsi="宋体" w:cs="宋体"/>
                      <w:color w:val="auto"/>
                      <w:spacing w:val="7"/>
                      <w:szCs w:val="21"/>
                      <w:highlight w:val="none"/>
                    </w:rPr>
                    <w:t>项目</w:t>
                  </w:r>
                </w:p>
              </w:tc>
              <w:tc>
                <w:tcPr>
                  <w:tcW w:w="928" w:type="dxa"/>
                  <w:tcBorders>
                    <w:top w:val="single" w:color="000000" w:sz="2" w:space="0"/>
                    <w:left w:val="single" w:color="000000" w:sz="2" w:space="0"/>
                    <w:bottom w:val="single" w:color="000000" w:sz="2" w:space="0"/>
                    <w:right w:val="single" w:color="000000" w:sz="2" w:space="0"/>
                  </w:tcBorders>
                  <w:vAlign w:val="center"/>
                </w:tcPr>
                <w:p w14:paraId="2C7B6276">
                  <w:pPr>
                    <w:wordWrap w:val="0"/>
                    <w:jc w:val="center"/>
                    <w:rPr>
                      <w:rFonts w:ascii="宋体" w:hAnsi="宋体" w:cs="宋体"/>
                      <w:color w:val="auto"/>
                      <w:szCs w:val="21"/>
                      <w:highlight w:val="none"/>
                    </w:rPr>
                  </w:pPr>
                  <w:r>
                    <w:rPr>
                      <w:rFonts w:hint="eastAsia" w:ascii="宋体" w:hAnsi="宋体" w:cs="宋体"/>
                      <w:color w:val="auto"/>
                      <w:spacing w:val="6"/>
                      <w:szCs w:val="21"/>
                      <w:highlight w:val="none"/>
                    </w:rPr>
                    <w:t>CODcr</w:t>
                  </w:r>
                </w:p>
                <w:p w14:paraId="1CDF5E14">
                  <w:pPr>
                    <w:wordWrap w:val="0"/>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vAlign w:val="center"/>
                </w:tcPr>
                <w:p w14:paraId="57F32C4A">
                  <w:pPr>
                    <w:wordWrap w:val="0"/>
                    <w:jc w:val="center"/>
                    <w:rPr>
                      <w:rFonts w:ascii="宋体" w:hAnsi="宋体" w:cs="宋体"/>
                      <w:color w:val="auto"/>
                      <w:szCs w:val="21"/>
                      <w:highlight w:val="none"/>
                    </w:rPr>
                  </w:pPr>
                  <w:r>
                    <w:rPr>
                      <w:rFonts w:hint="eastAsia" w:ascii="宋体" w:hAnsi="宋体" w:cs="宋体"/>
                      <w:color w:val="auto"/>
                      <w:szCs w:val="21"/>
                      <w:highlight w:val="none"/>
                    </w:rPr>
                    <w:t>BOD</w:t>
                  </w:r>
                  <w:r>
                    <w:rPr>
                      <w:rFonts w:hint="eastAsia" w:ascii="宋体" w:hAnsi="宋体" w:cs="宋体"/>
                      <w:color w:val="auto"/>
                      <w:spacing w:val="22"/>
                      <w:szCs w:val="21"/>
                      <w:highlight w:val="none"/>
                      <w:vertAlign w:val="subscript"/>
                    </w:rPr>
                    <w:t>5</w:t>
                  </w:r>
                </w:p>
                <w:p w14:paraId="1C9C16CB">
                  <w:pPr>
                    <w:wordWrap w:val="0"/>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vAlign w:val="center"/>
                </w:tcPr>
                <w:p w14:paraId="3B2E58BD">
                  <w:pPr>
                    <w:wordWrap w:val="0"/>
                    <w:jc w:val="center"/>
                    <w:rPr>
                      <w:rFonts w:ascii="宋体" w:hAnsi="宋体" w:cs="宋体"/>
                      <w:color w:val="auto"/>
                      <w:szCs w:val="21"/>
                      <w:highlight w:val="none"/>
                    </w:rPr>
                  </w:pPr>
                  <w:r>
                    <w:rPr>
                      <w:rFonts w:hint="eastAsia" w:ascii="宋体" w:hAnsi="宋体" w:cs="宋体"/>
                      <w:color w:val="auto"/>
                      <w:spacing w:val="-3"/>
                      <w:szCs w:val="21"/>
                      <w:highlight w:val="none"/>
                    </w:rPr>
                    <w:t>SS</w:t>
                  </w:r>
                </w:p>
                <w:p w14:paraId="53F90817">
                  <w:pPr>
                    <w:wordWrap w:val="0"/>
                    <w:jc w:val="center"/>
                    <w:rPr>
                      <w:rFonts w:ascii="宋体" w:hAnsi="宋体" w:cs="宋体"/>
                      <w:color w:val="auto"/>
                      <w:szCs w:val="21"/>
                      <w:highlight w:val="none"/>
                    </w:rPr>
                  </w:pPr>
                  <w:r>
                    <w:rPr>
                      <w:rFonts w:hint="eastAsia" w:ascii="宋体" w:hAnsi="宋体" w:cs="宋体"/>
                      <w:color w:val="auto"/>
                      <w:spacing w:val="6"/>
                      <w:szCs w:val="21"/>
                      <w:highlight w:val="none"/>
                    </w:rPr>
                    <w:t>(</w:t>
                  </w:r>
                  <w:r>
                    <w:rPr>
                      <w:rFonts w:hint="eastAsia" w:ascii="宋体" w:hAnsi="宋体" w:cs="宋体"/>
                      <w:color w:val="auto"/>
                      <w:szCs w:val="21"/>
                      <w:highlight w:val="none"/>
                    </w:rPr>
                    <w:t>mg</w:t>
                  </w:r>
                  <w:r>
                    <w:rPr>
                      <w:rFonts w:hint="eastAsia" w:ascii="宋体" w:hAnsi="宋体" w:cs="宋体"/>
                      <w:color w:val="auto"/>
                      <w:spacing w:val="6"/>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vAlign w:val="center"/>
                </w:tcPr>
                <w:p w14:paraId="613040E3">
                  <w:pPr>
                    <w:wordWrap w:val="0"/>
                    <w:jc w:val="center"/>
                    <w:rPr>
                      <w:rFonts w:ascii="宋体" w:hAnsi="宋体" w:cs="宋体"/>
                      <w:color w:val="auto"/>
                      <w:szCs w:val="21"/>
                      <w:highlight w:val="none"/>
                    </w:rPr>
                  </w:pPr>
                  <w:r>
                    <w:rPr>
                      <w:rFonts w:hint="eastAsia" w:ascii="宋体" w:hAnsi="宋体" w:cs="宋体"/>
                      <w:color w:val="auto"/>
                      <w:spacing w:val="4"/>
                      <w:szCs w:val="21"/>
                      <w:highlight w:val="none"/>
                    </w:rPr>
                    <w:t>TN</w:t>
                  </w:r>
                </w:p>
                <w:p w14:paraId="7F83F370">
                  <w:pPr>
                    <w:wordWrap w:val="0"/>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917" w:type="dxa"/>
                  <w:tcBorders>
                    <w:top w:val="single" w:color="000000" w:sz="2" w:space="0"/>
                    <w:left w:val="single" w:color="000000" w:sz="2" w:space="0"/>
                    <w:bottom w:val="single" w:color="000000" w:sz="2" w:space="0"/>
                    <w:right w:val="single" w:color="000000" w:sz="2" w:space="0"/>
                  </w:tcBorders>
                  <w:vAlign w:val="center"/>
                </w:tcPr>
                <w:p w14:paraId="3BDE4A62">
                  <w:pPr>
                    <w:wordWrap w:val="0"/>
                    <w:jc w:val="center"/>
                    <w:rPr>
                      <w:rFonts w:ascii="宋体" w:hAnsi="宋体" w:cs="宋体"/>
                      <w:color w:val="auto"/>
                      <w:szCs w:val="21"/>
                      <w:highlight w:val="none"/>
                    </w:rPr>
                  </w:pPr>
                  <w:r>
                    <w:rPr>
                      <w:rFonts w:hint="eastAsia" w:ascii="宋体" w:hAnsi="宋体" w:cs="宋体"/>
                      <w:color w:val="auto"/>
                      <w:szCs w:val="21"/>
                      <w:highlight w:val="none"/>
                    </w:rPr>
                    <w:t>NH₃</w:t>
                  </w:r>
                  <w:r>
                    <w:rPr>
                      <w:rFonts w:hint="eastAsia" w:ascii="宋体" w:hAnsi="宋体" w:cs="宋体"/>
                      <w:color w:val="auto"/>
                      <w:spacing w:val="18"/>
                      <w:szCs w:val="21"/>
                      <w:highlight w:val="none"/>
                    </w:rPr>
                    <w:t>-</w:t>
                  </w:r>
                  <w:r>
                    <w:rPr>
                      <w:rFonts w:hint="eastAsia" w:ascii="宋体" w:hAnsi="宋体" w:cs="宋体"/>
                      <w:color w:val="auto"/>
                      <w:spacing w:val="8"/>
                      <w:szCs w:val="21"/>
                      <w:highlight w:val="none"/>
                    </w:rPr>
                    <w:t>N</w:t>
                  </w:r>
                </w:p>
                <w:p w14:paraId="22014AFB">
                  <w:pPr>
                    <w:wordWrap w:val="0"/>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725" w:type="dxa"/>
                  <w:tcBorders>
                    <w:top w:val="single" w:color="000000" w:sz="2" w:space="0"/>
                    <w:left w:val="single" w:color="000000" w:sz="2" w:space="0"/>
                    <w:bottom w:val="single" w:color="000000" w:sz="2" w:space="0"/>
                    <w:right w:val="single" w:color="000000" w:sz="2" w:space="0"/>
                  </w:tcBorders>
                  <w:vAlign w:val="center"/>
                </w:tcPr>
                <w:p w14:paraId="55A24209">
                  <w:pPr>
                    <w:wordWrap w:val="0"/>
                    <w:jc w:val="center"/>
                    <w:rPr>
                      <w:rFonts w:ascii="宋体" w:hAnsi="宋体" w:cs="宋体"/>
                      <w:color w:val="auto"/>
                      <w:szCs w:val="21"/>
                      <w:highlight w:val="none"/>
                    </w:rPr>
                  </w:pPr>
                  <w:r>
                    <w:rPr>
                      <w:rFonts w:hint="eastAsia" w:ascii="宋体" w:hAnsi="宋体" w:cs="宋体"/>
                      <w:color w:val="auto"/>
                      <w:spacing w:val="3"/>
                      <w:szCs w:val="21"/>
                      <w:highlight w:val="none"/>
                    </w:rPr>
                    <w:t>TP</w:t>
                  </w:r>
                </w:p>
                <w:p w14:paraId="07B6AC4C">
                  <w:pPr>
                    <w:wordWrap w:val="0"/>
                    <w:jc w:val="center"/>
                    <w:rPr>
                      <w:rFonts w:ascii="宋体" w:hAnsi="宋体" w:cs="宋体"/>
                      <w:color w:val="auto"/>
                      <w:szCs w:val="21"/>
                      <w:highlight w:val="none"/>
                    </w:rPr>
                  </w:pPr>
                  <w:r>
                    <w:rPr>
                      <w:rFonts w:hint="eastAsia" w:ascii="宋体" w:hAnsi="宋体" w:cs="宋体"/>
                      <w:color w:val="auto"/>
                      <w:spacing w:val="6"/>
                      <w:szCs w:val="21"/>
                      <w:highlight w:val="none"/>
                    </w:rPr>
                    <w:t>(</w:t>
                  </w:r>
                  <w:r>
                    <w:rPr>
                      <w:rFonts w:hint="eastAsia" w:ascii="宋体" w:hAnsi="宋体" w:cs="宋体"/>
                      <w:color w:val="auto"/>
                      <w:szCs w:val="21"/>
                      <w:highlight w:val="none"/>
                    </w:rPr>
                    <w:t>mg</w:t>
                  </w:r>
                  <w:r>
                    <w:rPr>
                      <w:rFonts w:hint="eastAsia" w:ascii="宋体" w:hAnsi="宋体" w:cs="宋体"/>
                      <w:color w:val="auto"/>
                      <w:spacing w:val="6"/>
                      <w:szCs w:val="21"/>
                      <w:highlight w:val="none"/>
                    </w:rPr>
                    <w:t>/</w:t>
                  </w:r>
                  <w:r>
                    <w:rPr>
                      <w:rFonts w:hint="eastAsia" w:ascii="宋体" w:hAnsi="宋体" w:cs="宋体"/>
                      <w:color w:val="auto"/>
                      <w:spacing w:val="2"/>
                      <w:szCs w:val="21"/>
                      <w:highlight w:val="none"/>
                    </w:rPr>
                    <w:t>L)</w:t>
                  </w:r>
                </w:p>
              </w:tc>
            </w:tr>
            <w:tr w14:paraId="41D1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jc w:val="center"/>
              </w:trPr>
              <w:tc>
                <w:tcPr>
                  <w:tcW w:w="764" w:type="dxa"/>
                  <w:tcBorders>
                    <w:top w:val="single" w:color="000000" w:sz="2" w:space="0"/>
                    <w:left w:val="single" w:color="000000" w:sz="2" w:space="0"/>
                    <w:bottom w:val="single" w:color="000000" w:sz="2" w:space="0"/>
                    <w:right w:val="single" w:color="000000" w:sz="2" w:space="0"/>
                  </w:tcBorders>
                  <w:vAlign w:val="center"/>
                </w:tcPr>
                <w:p w14:paraId="113C001A">
                  <w:pPr>
                    <w:wordWrap w:val="0"/>
                    <w:jc w:val="center"/>
                    <w:rPr>
                      <w:rFonts w:ascii="宋体" w:hAnsi="宋体" w:cs="宋体"/>
                      <w:color w:val="auto"/>
                      <w:szCs w:val="21"/>
                      <w:highlight w:val="none"/>
                    </w:rPr>
                  </w:pPr>
                  <w:r>
                    <w:rPr>
                      <w:rFonts w:hint="eastAsia" w:ascii="宋体" w:hAnsi="宋体" w:cs="宋体"/>
                      <w:color w:val="auto"/>
                      <w:spacing w:val="7"/>
                      <w:szCs w:val="21"/>
                      <w:highlight w:val="none"/>
                    </w:rPr>
                    <w:t>进水</w:t>
                  </w:r>
                  <w:r>
                    <w:rPr>
                      <w:rFonts w:hint="eastAsia" w:ascii="宋体" w:hAnsi="宋体" w:cs="宋体"/>
                      <w:color w:val="auto"/>
                      <w:spacing w:val="10"/>
                      <w:szCs w:val="21"/>
                      <w:highlight w:val="none"/>
                    </w:rPr>
                    <w:t>浓度</w:t>
                  </w:r>
                </w:p>
              </w:tc>
              <w:tc>
                <w:tcPr>
                  <w:tcW w:w="928" w:type="dxa"/>
                  <w:tcBorders>
                    <w:top w:val="single" w:color="000000" w:sz="2" w:space="0"/>
                    <w:left w:val="single" w:color="000000" w:sz="2" w:space="0"/>
                    <w:bottom w:val="single" w:color="000000" w:sz="2" w:space="0"/>
                    <w:right w:val="single" w:color="000000" w:sz="2" w:space="0"/>
                  </w:tcBorders>
                  <w:vAlign w:val="center"/>
                </w:tcPr>
                <w:p w14:paraId="51C286DC">
                  <w:pPr>
                    <w:wordWrap w:val="0"/>
                    <w:jc w:val="center"/>
                    <w:rPr>
                      <w:rFonts w:ascii="宋体" w:hAnsi="宋体" w:cs="宋体"/>
                      <w:color w:val="auto"/>
                      <w:szCs w:val="21"/>
                      <w:highlight w:val="none"/>
                    </w:rPr>
                  </w:pPr>
                  <w:r>
                    <w:rPr>
                      <w:rFonts w:hint="eastAsia" w:ascii="宋体" w:hAnsi="宋体" w:cs="宋体"/>
                      <w:color w:val="auto"/>
                      <w:spacing w:val="1"/>
                      <w:position w:val="1"/>
                      <w:szCs w:val="21"/>
                      <w:highlight w:val="none"/>
                    </w:rPr>
                    <w:t>200</w:t>
                  </w:r>
                </w:p>
              </w:tc>
              <w:tc>
                <w:tcPr>
                  <w:tcW w:w="842" w:type="dxa"/>
                  <w:tcBorders>
                    <w:top w:val="single" w:color="000000" w:sz="2" w:space="0"/>
                    <w:left w:val="single" w:color="000000" w:sz="2" w:space="0"/>
                    <w:bottom w:val="single" w:color="000000" w:sz="2" w:space="0"/>
                    <w:right w:val="single" w:color="000000" w:sz="2" w:space="0"/>
                  </w:tcBorders>
                  <w:vAlign w:val="center"/>
                </w:tcPr>
                <w:p w14:paraId="5EC5DD91">
                  <w:pPr>
                    <w:wordWrap w:val="0"/>
                    <w:jc w:val="center"/>
                    <w:rPr>
                      <w:rFonts w:ascii="宋体" w:hAnsi="宋体" w:cs="宋体"/>
                      <w:color w:val="auto"/>
                      <w:szCs w:val="21"/>
                      <w:highlight w:val="none"/>
                    </w:rPr>
                  </w:pPr>
                  <w:r>
                    <w:rPr>
                      <w:rFonts w:hint="eastAsia" w:ascii="宋体" w:hAnsi="宋体" w:cs="宋体"/>
                      <w:color w:val="auto"/>
                      <w:spacing w:val="-4"/>
                      <w:position w:val="1"/>
                      <w:szCs w:val="21"/>
                      <w:highlight w:val="none"/>
                    </w:rPr>
                    <w:t>120</w:t>
                  </w:r>
                </w:p>
              </w:tc>
              <w:tc>
                <w:tcPr>
                  <w:tcW w:w="842" w:type="dxa"/>
                  <w:tcBorders>
                    <w:top w:val="single" w:color="000000" w:sz="2" w:space="0"/>
                    <w:left w:val="single" w:color="000000" w:sz="2" w:space="0"/>
                    <w:bottom w:val="single" w:color="000000" w:sz="2" w:space="0"/>
                    <w:right w:val="single" w:color="000000" w:sz="2" w:space="0"/>
                  </w:tcBorders>
                  <w:vAlign w:val="center"/>
                </w:tcPr>
                <w:p w14:paraId="26828151">
                  <w:pPr>
                    <w:wordWrap w:val="0"/>
                    <w:jc w:val="center"/>
                    <w:rPr>
                      <w:rFonts w:ascii="宋体" w:hAnsi="宋体" w:cs="宋体"/>
                      <w:color w:val="auto"/>
                      <w:szCs w:val="21"/>
                      <w:highlight w:val="none"/>
                    </w:rPr>
                  </w:pPr>
                  <w:r>
                    <w:rPr>
                      <w:rFonts w:hint="eastAsia" w:ascii="宋体" w:hAnsi="宋体" w:cs="宋体"/>
                      <w:color w:val="auto"/>
                      <w:spacing w:val="-4"/>
                      <w:position w:val="1"/>
                      <w:szCs w:val="21"/>
                      <w:highlight w:val="none"/>
                    </w:rPr>
                    <w:t>150</w:t>
                  </w:r>
                </w:p>
              </w:tc>
              <w:tc>
                <w:tcPr>
                  <w:tcW w:w="842" w:type="dxa"/>
                  <w:tcBorders>
                    <w:top w:val="single" w:color="000000" w:sz="2" w:space="0"/>
                    <w:left w:val="single" w:color="000000" w:sz="2" w:space="0"/>
                    <w:bottom w:val="single" w:color="000000" w:sz="2" w:space="0"/>
                    <w:right w:val="single" w:color="000000" w:sz="2" w:space="0"/>
                  </w:tcBorders>
                  <w:vAlign w:val="center"/>
                </w:tcPr>
                <w:p w14:paraId="5833EE9D">
                  <w:pPr>
                    <w:wordWrap w:val="0"/>
                    <w:jc w:val="center"/>
                    <w:rPr>
                      <w:rFonts w:ascii="宋体" w:hAnsi="宋体" w:cs="宋体"/>
                      <w:color w:val="auto"/>
                      <w:szCs w:val="21"/>
                      <w:highlight w:val="none"/>
                    </w:rPr>
                  </w:pPr>
                  <w:r>
                    <w:rPr>
                      <w:rFonts w:hint="eastAsia" w:ascii="宋体" w:hAnsi="宋体" w:cs="宋体"/>
                      <w:color w:val="auto"/>
                      <w:spacing w:val="-2"/>
                      <w:position w:val="1"/>
                      <w:szCs w:val="21"/>
                      <w:highlight w:val="none"/>
                    </w:rPr>
                    <w:t>35</w:t>
                  </w:r>
                </w:p>
              </w:tc>
              <w:tc>
                <w:tcPr>
                  <w:tcW w:w="917" w:type="dxa"/>
                  <w:tcBorders>
                    <w:top w:val="single" w:color="000000" w:sz="2" w:space="0"/>
                    <w:left w:val="single" w:color="000000" w:sz="2" w:space="0"/>
                    <w:bottom w:val="single" w:color="000000" w:sz="2" w:space="0"/>
                    <w:right w:val="single" w:color="000000" w:sz="2" w:space="0"/>
                  </w:tcBorders>
                  <w:vAlign w:val="center"/>
                </w:tcPr>
                <w:p w14:paraId="10EA1D13">
                  <w:pPr>
                    <w:wordWrap w:val="0"/>
                    <w:jc w:val="center"/>
                    <w:rPr>
                      <w:rFonts w:ascii="宋体" w:hAnsi="宋体" w:cs="宋体"/>
                      <w:color w:val="auto"/>
                      <w:szCs w:val="21"/>
                      <w:highlight w:val="none"/>
                    </w:rPr>
                  </w:pPr>
                  <w:r>
                    <w:rPr>
                      <w:rFonts w:hint="eastAsia" w:ascii="宋体" w:hAnsi="宋体" w:cs="宋体"/>
                      <w:color w:val="auto"/>
                      <w:spacing w:val="-2"/>
                      <w:position w:val="1"/>
                      <w:szCs w:val="21"/>
                      <w:highlight w:val="none"/>
                    </w:rPr>
                    <w:t>30</w:t>
                  </w:r>
                </w:p>
              </w:tc>
              <w:tc>
                <w:tcPr>
                  <w:tcW w:w="725" w:type="dxa"/>
                  <w:tcBorders>
                    <w:top w:val="single" w:color="000000" w:sz="2" w:space="0"/>
                    <w:left w:val="single" w:color="000000" w:sz="2" w:space="0"/>
                    <w:bottom w:val="single" w:color="000000" w:sz="2" w:space="0"/>
                    <w:right w:val="single" w:color="000000" w:sz="2" w:space="0"/>
                  </w:tcBorders>
                  <w:vAlign w:val="center"/>
                </w:tcPr>
                <w:p w14:paraId="1B76F5B3">
                  <w:pPr>
                    <w:wordWrap w:val="0"/>
                    <w:jc w:val="center"/>
                    <w:rPr>
                      <w:rFonts w:ascii="宋体" w:hAnsi="宋体" w:cs="宋体"/>
                      <w:color w:val="auto"/>
                      <w:szCs w:val="21"/>
                      <w:highlight w:val="none"/>
                    </w:rPr>
                  </w:pPr>
                  <w:r>
                    <w:rPr>
                      <w:rFonts w:hint="eastAsia" w:ascii="宋体" w:hAnsi="宋体" w:cs="宋体"/>
                      <w:color w:val="auto"/>
                      <w:position w:val="1"/>
                      <w:szCs w:val="21"/>
                      <w:highlight w:val="none"/>
                    </w:rPr>
                    <w:t>3</w:t>
                  </w:r>
                </w:p>
              </w:tc>
            </w:tr>
          </w:tbl>
          <w:p w14:paraId="1E83605C">
            <w:pPr>
              <w:wordWrap w:val="0"/>
              <w:spacing w:before="86" w:line="360" w:lineRule="auto"/>
              <w:ind w:firstLine="484" w:firstLineChars="200"/>
              <w:outlineLvl w:val="1"/>
              <w:rPr>
                <w:rFonts w:ascii="宋体" w:hAnsi="宋体" w:cs="宋体"/>
                <w:color w:val="auto"/>
                <w:szCs w:val="21"/>
                <w:highlight w:val="none"/>
              </w:rPr>
            </w:pPr>
            <w:r>
              <w:rPr>
                <w:rFonts w:hint="eastAsia" w:ascii="宋体" w:hAnsi="宋体" w:cs="宋体"/>
                <w:color w:val="auto"/>
                <w:spacing w:val="16"/>
                <w:szCs w:val="21"/>
                <w:highlight w:val="none"/>
              </w:rPr>
              <w:t>2.出水水质标准</w:t>
            </w:r>
          </w:p>
          <w:p w14:paraId="16E94590">
            <w:pPr>
              <w:wordWrap w:val="0"/>
              <w:spacing w:line="360" w:lineRule="auto"/>
              <w:ind w:firstLine="472" w:firstLineChars="200"/>
              <w:rPr>
                <w:rFonts w:ascii="宋体" w:hAnsi="宋体" w:cs="宋体"/>
                <w:color w:val="auto"/>
                <w:szCs w:val="21"/>
                <w:highlight w:val="none"/>
              </w:rPr>
            </w:pPr>
            <w:r>
              <w:rPr>
                <w:rFonts w:hint="eastAsia" w:ascii="宋体" w:hAnsi="宋体" w:cs="宋体"/>
                <w:color w:val="auto"/>
                <w:spacing w:val="13"/>
                <w:szCs w:val="21"/>
                <w:highlight w:val="none"/>
              </w:rPr>
              <w:t xml:space="preserve">表2-1  </w:t>
            </w:r>
            <w:r>
              <w:rPr>
                <w:rFonts w:hint="eastAsia" w:ascii="宋体" w:hAnsi="宋体" w:cs="宋体"/>
                <w:color w:val="auto"/>
                <w:spacing w:val="-54"/>
                <w:szCs w:val="21"/>
                <w:highlight w:val="none"/>
              </w:rPr>
              <w:t xml:space="preserve"> </w:t>
            </w:r>
            <w:r>
              <w:rPr>
                <w:rFonts w:hint="eastAsia" w:ascii="宋体" w:hAnsi="宋体" w:cs="宋体"/>
                <w:color w:val="auto"/>
                <w:spacing w:val="13"/>
                <w:szCs w:val="21"/>
                <w:highlight w:val="none"/>
              </w:rPr>
              <w:t>污水处理厂设计出水水质（单位：</w:t>
            </w:r>
            <w:r>
              <w:rPr>
                <w:rFonts w:hint="eastAsia" w:ascii="宋体" w:hAnsi="宋体" w:cs="宋体"/>
                <w:color w:val="auto"/>
                <w:spacing w:val="-52"/>
                <w:szCs w:val="21"/>
                <w:highlight w:val="none"/>
              </w:rPr>
              <w:t xml:space="preserve"> </w:t>
            </w:r>
            <w:r>
              <w:rPr>
                <w:rFonts w:hint="eastAsia" w:ascii="宋体" w:hAnsi="宋体" w:cs="宋体"/>
                <w:color w:val="auto"/>
                <w:szCs w:val="21"/>
                <w:highlight w:val="none"/>
              </w:rPr>
              <w:t>mg</w:t>
            </w:r>
            <w:r>
              <w:rPr>
                <w:rFonts w:hint="eastAsia" w:ascii="宋体" w:hAnsi="宋体" w:cs="宋体"/>
                <w:color w:val="auto"/>
                <w:spacing w:val="13"/>
                <w:szCs w:val="21"/>
                <w:highlight w:val="none"/>
              </w:rPr>
              <w:t>/L）</w:t>
            </w:r>
          </w:p>
          <w:tbl>
            <w:tblPr>
              <w:tblStyle w:val="86"/>
              <w:tblW w:w="5757"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004"/>
              <w:gridCol w:w="842"/>
              <w:gridCol w:w="842"/>
              <w:gridCol w:w="842"/>
              <w:gridCol w:w="843"/>
              <w:gridCol w:w="696"/>
            </w:tblGrid>
            <w:tr w14:paraId="74F7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88" w:type="dxa"/>
                  <w:tcBorders>
                    <w:top w:val="single" w:color="000000" w:sz="2" w:space="0"/>
                    <w:left w:val="single" w:color="000000" w:sz="2" w:space="0"/>
                    <w:bottom w:val="single" w:color="000000" w:sz="2" w:space="0"/>
                    <w:right w:val="single" w:color="000000" w:sz="2" w:space="0"/>
                  </w:tcBorders>
                  <w:vAlign w:val="center"/>
                </w:tcPr>
                <w:p w14:paraId="1115565C">
                  <w:pPr>
                    <w:wordWrap w:val="0"/>
                    <w:jc w:val="center"/>
                    <w:rPr>
                      <w:rFonts w:ascii="宋体" w:hAnsi="宋体" w:cs="宋体"/>
                      <w:color w:val="auto"/>
                      <w:szCs w:val="21"/>
                      <w:highlight w:val="none"/>
                    </w:rPr>
                  </w:pPr>
                  <w:r>
                    <w:rPr>
                      <w:rFonts w:hint="eastAsia" w:ascii="宋体" w:hAnsi="宋体" w:cs="宋体"/>
                      <w:color w:val="auto"/>
                      <w:spacing w:val="7"/>
                      <w:szCs w:val="21"/>
                      <w:highlight w:val="none"/>
                    </w:rPr>
                    <w:t>项目</w:t>
                  </w:r>
                </w:p>
              </w:tc>
              <w:tc>
                <w:tcPr>
                  <w:tcW w:w="1004" w:type="dxa"/>
                  <w:tcBorders>
                    <w:top w:val="single" w:color="000000" w:sz="2" w:space="0"/>
                    <w:left w:val="single" w:color="000000" w:sz="2" w:space="0"/>
                    <w:bottom w:val="single" w:color="000000" w:sz="2" w:space="0"/>
                    <w:right w:val="single" w:color="000000" w:sz="2" w:space="0"/>
                  </w:tcBorders>
                  <w:vAlign w:val="center"/>
                </w:tcPr>
                <w:p w14:paraId="02C7BE62">
                  <w:pPr>
                    <w:wordWrap w:val="0"/>
                    <w:jc w:val="center"/>
                    <w:rPr>
                      <w:rFonts w:ascii="宋体" w:hAnsi="宋体" w:cs="宋体"/>
                      <w:color w:val="auto"/>
                      <w:szCs w:val="21"/>
                      <w:highlight w:val="none"/>
                    </w:rPr>
                  </w:pPr>
                  <w:r>
                    <w:rPr>
                      <w:rFonts w:hint="eastAsia" w:ascii="宋体" w:hAnsi="宋体" w:cs="宋体"/>
                      <w:color w:val="auto"/>
                      <w:spacing w:val="6"/>
                      <w:szCs w:val="21"/>
                      <w:highlight w:val="none"/>
                    </w:rPr>
                    <w:t>CODcr</w:t>
                  </w:r>
                </w:p>
                <w:p w14:paraId="417F911F">
                  <w:pPr>
                    <w:wordWrap w:val="0"/>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vAlign w:val="center"/>
                </w:tcPr>
                <w:p w14:paraId="573C3D1E">
                  <w:pPr>
                    <w:wordWrap w:val="0"/>
                    <w:jc w:val="center"/>
                    <w:rPr>
                      <w:rFonts w:ascii="宋体" w:hAnsi="宋体" w:cs="宋体"/>
                      <w:color w:val="auto"/>
                      <w:szCs w:val="21"/>
                      <w:highlight w:val="none"/>
                    </w:rPr>
                  </w:pPr>
                  <w:r>
                    <w:rPr>
                      <w:rFonts w:hint="eastAsia" w:ascii="宋体" w:hAnsi="宋体" w:cs="宋体"/>
                      <w:color w:val="auto"/>
                      <w:szCs w:val="21"/>
                      <w:highlight w:val="none"/>
                    </w:rPr>
                    <w:t>BOD</w:t>
                  </w:r>
                  <w:r>
                    <w:rPr>
                      <w:rFonts w:hint="eastAsia" w:ascii="宋体" w:hAnsi="宋体" w:cs="宋体"/>
                      <w:color w:val="auto"/>
                      <w:spacing w:val="22"/>
                      <w:szCs w:val="21"/>
                      <w:highlight w:val="none"/>
                      <w:vertAlign w:val="subscript"/>
                    </w:rPr>
                    <w:t>5</w:t>
                  </w:r>
                </w:p>
                <w:p w14:paraId="2E2EA938">
                  <w:pPr>
                    <w:wordWrap w:val="0"/>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vAlign w:val="center"/>
                </w:tcPr>
                <w:p w14:paraId="10809020">
                  <w:pPr>
                    <w:wordWrap w:val="0"/>
                    <w:jc w:val="center"/>
                    <w:rPr>
                      <w:rFonts w:ascii="宋体" w:hAnsi="宋体" w:cs="宋体"/>
                      <w:color w:val="auto"/>
                      <w:szCs w:val="21"/>
                      <w:highlight w:val="none"/>
                    </w:rPr>
                  </w:pPr>
                  <w:r>
                    <w:rPr>
                      <w:rFonts w:hint="eastAsia" w:ascii="宋体" w:hAnsi="宋体" w:cs="宋体"/>
                      <w:color w:val="auto"/>
                      <w:spacing w:val="-3"/>
                      <w:szCs w:val="21"/>
                      <w:highlight w:val="none"/>
                    </w:rPr>
                    <w:t>SS</w:t>
                  </w:r>
                </w:p>
                <w:p w14:paraId="1CF6D924">
                  <w:pPr>
                    <w:wordWrap w:val="0"/>
                    <w:jc w:val="center"/>
                    <w:rPr>
                      <w:rFonts w:ascii="宋体" w:hAnsi="宋体" w:cs="宋体"/>
                      <w:color w:val="auto"/>
                      <w:szCs w:val="21"/>
                      <w:highlight w:val="none"/>
                    </w:rPr>
                  </w:pPr>
                  <w:r>
                    <w:rPr>
                      <w:rFonts w:hint="eastAsia" w:ascii="宋体" w:hAnsi="宋体" w:cs="宋体"/>
                      <w:color w:val="auto"/>
                      <w:spacing w:val="6"/>
                      <w:szCs w:val="21"/>
                      <w:highlight w:val="none"/>
                    </w:rPr>
                    <w:t>(</w:t>
                  </w:r>
                  <w:r>
                    <w:rPr>
                      <w:rFonts w:hint="eastAsia" w:ascii="宋体" w:hAnsi="宋体" w:cs="宋体"/>
                      <w:color w:val="auto"/>
                      <w:szCs w:val="21"/>
                      <w:highlight w:val="none"/>
                    </w:rPr>
                    <w:t>mg</w:t>
                  </w:r>
                  <w:r>
                    <w:rPr>
                      <w:rFonts w:hint="eastAsia" w:ascii="宋体" w:hAnsi="宋体" w:cs="宋体"/>
                      <w:color w:val="auto"/>
                      <w:spacing w:val="6"/>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vAlign w:val="center"/>
                </w:tcPr>
                <w:p w14:paraId="6DEE5943">
                  <w:pPr>
                    <w:wordWrap w:val="0"/>
                    <w:jc w:val="center"/>
                    <w:rPr>
                      <w:rFonts w:ascii="宋体" w:hAnsi="宋体" w:cs="宋体"/>
                      <w:color w:val="auto"/>
                      <w:szCs w:val="21"/>
                      <w:highlight w:val="none"/>
                    </w:rPr>
                  </w:pPr>
                  <w:r>
                    <w:rPr>
                      <w:rFonts w:hint="eastAsia" w:ascii="宋体" w:hAnsi="宋体" w:cs="宋体"/>
                      <w:color w:val="auto"/>
                      <w:spacing w:val="4"/>
                      <w:szCs w:val="21"/>
                      <w:highlight w:val="none"/>
                    </w:rPr>
                    <w:t>TN</w:t>
                  </w:r>
                </w:p>
                <w:p w14:paraId="1BE6C42C">
                  <w:pPr>
                    <w:wordWrap w:val="0"/>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843" w:type="dxa"/>
                  <w:tcBorders>
                    <w:top w:val="single" w:color="000000" w:sz="2" w:space="0"/>
                    <w:left w:val="single" w:color="000000" w:sz="2" w:space="0"/>
                    <w:bottom w:val="single" w:color="000000" w:sz="2" w:space="0"/>
                    <w:right w:val="single" w:color="000000" w:sz="2" w:space="0"/>
                  </w:tcBorders>
                  <w:vAlign w:val="center"/>
                </w:tcPr>
                <w:p w14:paraId="09226406">
                  <w:pPr>
                    <w:wordWrap w:val="0"/>
                    <w:jc w:val="center"/>
                    <w:rPr>
                      <w:rFonts w:ascii="宋体" w:hAnsi="宋体" w:cs="宋体"/>
                      <w:color w:val="auto"/>
                      <w:szCs w:val="21"/>
                      <w:highlight w:val="none"/>
                    </w:rPr>
                  </w:pPr>
                  <w:r>
                    <w:rPr>
                      <w:rFonts w:hint="eastAsia" w:ascii="宋体" w:hAnsi="宋体" w:cs="宋体"/>
                      <w:color w:val="auto"/>
                      <w:szCs w:val="21"/>
                      <w:highlight w:val="none"/>
                    </w:rPr>
                    <w:t>NH₃</w:t>
                  </w:r>
                  <w:r>
                    <w:rPr>
                      <w:rFonts w:hint="eastAsia" w:ascii="宋体" w:hAnsi="宋体" w:cs="宋体"/>
                      <w:color w:val="auto"/>
                      <w:spacing w:val="18"/>
                      <w:szCs w:val="21"/>
                      <w:highlight w:val="none"/>
                    </w:rPr>
                    <w:t>-</w:t>
                  </w:r>
                  <w:r>
                    <w:rPr>
                      <w:rFonts w:hint="eastAsia" w:ascii="宋体" w:hAnsi="宋体" w:cs="宋体"/>
                      <w:color w:val="auto"/>
                      <w:spacing w:val="8"/>
                      <w:szCs w:val="21"/>
                      <w:highlight w:val="none"/>
                    </w:rPr>
                    <w:t>N</w:t>
                  </w:r>
                </w:p>
                <w:p w14:paraId="1EEC1F23">
                  <w:pPr>
                    <w:wordWrap w:val="0"/>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696" w:type="dxa"/>
                  <w:tcBorders>
                    <w:top w:val="single" w:color="000000" w:sz="2" w:space="0"/>
                    <w:left w:val="single" w:color="000000" w:sz="2" w:space="0"/>
                    <w:bottom w:val="single" w:color="000000" w:sz="2" w:space="0"/>
                    <w:right w:val="single" w:color="000000" w:sz="2" w:space="0"/>
                  </w:tcBorders>
                  <w:vAlign w:val="center"/>
                </w:tcPr>
                <w:p w14:paraId="5C97619E">
                  <w:pPr>
                    <w:wordWrap w:val="0"/>
                    <w:jc w:val="center"/>
                    <w:rPr>
                      <w:rFonts w:ascii="宋体" w:hAnsi="宋体" w:cs="宋体"/>
                      <w:color w:val="auto"/>
                      <w:szCs w:val="21"/>
                      <w:highlight w:val="none"/>
                    </w:rPr>
                  </w:pPr>
                  <w:r>
                    <w:rPr>
                      <w:rFonts w:hint="eastAsia" w:ascii="宋体" w:hAnsi="宋体" w:cs="宋体"/>
                      <w:color w:val="auto"/>
                      <w:spacing w:val="3"/>
                      <w:szCs w:val="21"/>
                      <w:highlight w:val="none"/>
                    </w:rPr>
                    <w:t>TP</w:t>
                  </w:r>
                </w:p>
                <w:p w14:paraId="450BB323">
                  <w:pPr>
                    <w:wordWrap w:val="0"/>
                    <w:jc w:val="center"/>
                    <w:rPr>
                      <w:rFonts w:ascii="宋体" w:hAnsi="宋体" w:cs="宋体"/>
                      <w:color w:val="auto"/>
                      <w:szCs w:val="21"/>
                      <w:highlight w:val="none"/>
                    </w:rPr>
                  </w:pPr>
                  <w:r>
                    <w:rPr>
                      <w:rFonts w:hint="eastAsia" w:ascii="宋体" w:hAnsi="宋体" w:cs="宋体"/>
                      <w:color w:val="auto"/>
                      <w:spacing w:val="6"/>
                      <w:szCs w:val="21"/>
                      <w:highlight w:val="none"/>
                    </w:rPr>
                    <w:t>(</w:t>
                  </w:r>
                  <w:r>
                    <w:rPr>
                      <w:rFonts w:hint="eastAsia" w:ascii="宋体" w:hAnsi="宋体" w:cs="宋体"/>
                      <w:color w:val="auto"/>
                      <w:szCs w:val="21"/>
                      <w:highlight w:val="none"/>
                    </w:rPr>
                    <w:t>mg</w:t>
                  </w:r>
                  <w:r>
                    <w:rPr>
                      <w:rFonts w:hint="eastAsia" w:ascii="宋体" w:hAnsi="宋体" w:cs="宋体"/>
                      <w:color w:val="auto"/>
                      <w:spacing w:val="6"/>
                      <w:szCs w:val="21"/>
                      <w:highlight w:val="none"/>
                    </w:rPr>
                    <w:t>/</w:t>
                  </w:r>
                  <w:r>
                    <w:rPr>
                      <w:rFonts w:hint="eastAsia" w:ascii="宋体" w:hAnsi="宋体" w:cs="宋体"/>
                      <w:color w:val="auto"/>
                      <w:spacing w:val="2"/>
                      <w:szCs w:val="21"/>
                      <w:highlight w:val="none"/>
                    </w:rPr>
                    <w:t>L)</w:t>
                  </w:r>
                </w:p>
              </w:tc>
            </w:tr>
            <w:tr w14:paraId="25F4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88" w:type="dxa"/>
                  <w:tcBorders>
                    <w:top w:val="single" w:color="000000" w:sz="2" w:space="0"/>
                    <w:left w:val="single" w:color="000000" w:sz="2" w:space="0"/>
                    <w:bottom w:val="single" w:color="000000" w:sz="2" w:space="0"/>
                    <w:right w:val="single" w:color="000000" w:sz="2" w:space="0"/>
                  </w:tcBorders>
                  <w:vAlign w:val="center"/>
                </w:tcPr>
                <w:p w14:paraId="28C95C18">
                  <w:pPr>
                    <w:wordWrap w:val="0"/>
                    <w:jc w:val="center"/>
                    <w:rPr>
                      <w:rFonts w:ascii="宋体" w:hAnsi="宋体" w:cs="宋体"/>
                      <w:color w:val="auto"/>
                      <w:szCs w:val="21"/>
                      <w:highlight w:val="none"/>
                    </w:rPr>
                  </w:pPr>
                  <w:r>
                    <w:rPr>
                      <w:rFonts w:hint="eastAsia" w:ascii="宋体" w:hAnsi="宋体" w:cs="宋体"/>
                      <w:color w:val="auto"/>
                      <w:spacing w:val="-3"/>
                      <w:szCs w:val="21"/>
                      <w:highlight w:val="none"/>
                    </w:rPr>
                    <w:t>出水</w:t>
                  </w:r>
                  <w:r>
                    <w:rPr>
                      <w:rFonts w:hint="eastAsia" w:ascii="宋体" w:hAnsi="宋体" w:cs="宋体"/>
                      <w:color w:val="auto"/>
                      <w:spacing w:val="10"/>
                      <w:szCs w:val="21"/>
                      <w:highlight w:val="none"/>
                    </w:rPr>
                    <w:t>浓度</w:t>
                  </w:r>
                </w:p>
              </w:tc>
              <w:tc>
                <w:tcPr>
                  <w:tcW w:w="1004" w:type="dxa"/>
                  <w:tcBorders>
                    <w:top w:val="single" w:color="000000" w:sz="2" w:space="0"/>
                    <w:left w:val="single" w:color="000000" w:sz="2" w:space="0"/>
                    <w:bottom w:val="single" w:color="000000" w:sz="2" w:space="0"/>
                    <w:right w:val="single" w:color="000000" w:sz="2" w:space="0"/>
                  </w:tcBorders>
                  <w:vAlign w:val="center"/>
                </w:tcPr>
                <w:p w14:paraId="45B2E08F">
                  <w:pPr>
                    <w:wordWrap w:val="0"/>
                    <w:jc w:val="center"/>
                    <w:rPr>
                      <w:rFonts w:ascii="宋体" w:hAnsi="宋体" w:cs="宋体"/>
                      <w:color w:val="auto"/>
                      <w:szCs w:val="21"/>
                      <w:highlight w:val="none"/>
                    </w:rPr>
                  </w:pPr>
                  <w:r>
                    <w:rPr>
                      <w:rFonts w:hint="eastAsia" w:ascii="宋体" w:hAnsi="宋体" w:cs="宋体"/>
                      <w:color w:val="auto"/>
                      <w:szCs w:val="21"/>
                      <w:highlight w:val="none"/>
                    </w:rPr>
                    <w:t>60</w:t>
                  </w:r>
                </w:p>
              </w:tc>
              <w:tc>
                <w:tcPr>
                  <w:tcW w:w="842" w:type="dxa"/>
                  <w:tcBorders>
                    <w:top w:val="single" w:color="000000" w:sz="2" w:space="0"/>
                    <w:left w:val="single" w:color="000000" w:sz="2" w:space="0"/>
                    <w:bottom w:val="single" w:color="000000" w:sz="2" w:space="0"/>
                    <w:right w:val="single" w:color="000000" w:sz="2" w:space="0"/>
                  </w:tcBorders>
                  <w:vAlign w:val="center"/>
                </w:tcPr>
                <w:p w14:paraId="3B367D56">
                  <w:pPr>
                    <w:wordWrap w:val="0"/>
                    <w:jc w:val="center"/>
                    <w:rPr>
                      <w:rFonts w:ascii="宋体" w:hAnsi="宋体" w:cs="宋体"/>
                      <w:color w:val="auto"/>
                      <w:szCs w:val="21"/>
                      <w:highlight w:val="none"/>
                    </w:rPr>
                  </w:pPr>
                  <w:r>
                    <w:rPr>
                      <w:rFonts w:hint="eastAsia" w:ascii="宋体" w:hAnsi="宋体" w:cs="宋体"/>
                      <w:color w:val="auto"/>
                      <w:spacing w:val="3"/>
                      <w:szCs w:val="21"/>
                      <w:highlight w:val="none"/>
                    </w:rPr>
                    <w:t>20</w:t>
                  </w:r>
                </w:p>
              </w:tc>
              <w:tc>
                <w:tcPr>
                  <w:tcW w:w="842" w:type="dxa"/>
                  <w:tcBorders>
                    <w:top w:val="single" w:color="000000" w:sz="2" w:space="0"/>
                    <w:left w:val="single" w:color="000000" w:sz="2" w:space="0"/>
                    <w:bottom w:val="single" w:color="000000" w:sz="2" w:space="0"/>
                    <w:right w:val="single" w:color="000000" w:sz="2" w:space="0"/>
                  </w:tcBorders>
                  <w:vAlign w:val="center"/>
                </w:tcPr>
                <w:p w14:paraId="4CF967A4">
                  <w:pPr>
                    <w:wordWrap w:val="0"/>
                    <w:jc w:val="center"/>
                    <w:rPr>
                      <w:rFonts w:ascii="宋体" w:hAnsi="宋体" w:cs="宋体"/>
                      <w:color w:val="auto"/>
                      <w:szCs w:val="21"/>
                      <w:highlight w:val="none"/>
                    </w:rPr>
                  </w:pPr>
                  <w:r>
                    <w:rPr>
                      <w:rFonts w:hint="eastAsia" w:ascii="宋体" w:hAnsi="宋体" w:cs="宋体"/>
                      <w:color w:val="auto"/>
                      <w:spacing w:val="3"/>
                      <w:szCs w:val="21"/>
                      <w:highlight w:val="none"/>
                    </w:rPr>
                    <w:t>20</w:t>
                  </w:r>
                </w:p>
              </w:tc>
              <w:tc>
                <w:tcPr>
                  <w:tcW w:w="842" w:type="dxa"/>
                  <w:tcBorders>
                    <w:top w:val="single" w:color="000000" w:sz="2" w:space="0"/>
                    <w:left w:val="single" w:color="000000" w:sz="2" w:space="0"/>
                    <w:bottom w:val="single" w:color="000000" w:sz="2" w:space="0"/>
                    <w:right w:val="single" w:color="000000" w:sz="2" w:space="0"/>
                  </w:tcBorders>
                  <w:vAlign w:val="center"/>
                </w:tcPr>
                <w:p w14:paraId="23AA695D">
                  <w:pPr>
                    <w:wordWrap w:val="0"/>
                    <w:jc w:val="center"/>
                    <w:rPr>
                      <w:rFonts w:ascii="宋体" w:hAnsi="宋体" w:cs="宋体"/>
                      <w:color w:val="auto"/>
                      <w:szCs w:val="21"/>
                      <w:highlight w:val="none"/>
                    </w:rPr>
                  </w:pPr>
                  <w:r>
                    <w:rPr>
                      <w:rFonts w:hint="eastAsia" w:ascii="宋体" w:hAnsi="宋体" w:cs="宋体"/>
                      <w:color w:val="auto"/>
                      <w:spacing w:val="3"/>
                      <w:szCs w:val="21"/>
                      <w:highlight w:val="none"/>
                    </w:rPr>
                    <w:t>20</w:t>
                  </w:r>
                </w:p>
              </w:tc>
              <w:tc>
                <w:tcPr>
                  <w:tcW w:w="843" w:type="dxa"/>
                  <w:tcBorders>
                    <w:top w:val="single" w:color="000000" w:sz="2" w:space="0"/>
                    <w:left w:val="single" w:color="000000" w:sz="2" w:space="0"/>
                    <w:bottom w:val="single" w:color="000000" w:sz="2" w:space="0"/>
                    <w:right w:val="single" w:color="000000" w:sz="2" w:space="0"/>
                  </w:tcBorders>
                  <w:vAlign w:val="center"/>
                </w:tcPr>
                <w:p w14:paraId="3F502518">
                  <w:pPr>
                    <w:wordWrap w:val="0"/>
                    <w:jc w:val="center"/>
                    <w:rPr>
                      <w:rFonts w:ascii="宋体" w:hAnsi="宋体" w:cs="宋体"/>
                      <w:color w:val="auto"/>
                      <w:szCs w:val="21"/>
                      <w:highlight w:val="none"/>
                    </w:rPr>
                  </w:pPr>
                  <w:r>
                    <w:rPr>
                      <w:rFonts w:hint="eastAsia" w:ascii="宋体" w:hAnsi="宋体" w:cs="宋体"/>
                      <w:color w:val="auto"/>
                      <w:spacing w:val="4"/>
                      <w:szCs w:val="21"/>
                      <w:highlight w:val="none"/>
                    </w:rPr>
                    <w:t>8(15)</w:t>
                  </w:r>
                </w:p>
              </w:tc>
              <w:tc>
                <w:tcPr>
                  <w:tcW w:w="696" w:type="dxa"/>
                  <w:tcBorders>
                    <w:top w:val="single" w:color="000000" w:sz="2" w:space="0"/>
                    <w:left w:val="single" w:color="000000" w:sz="2" w:space="0"/>
                    <w:bottom w:val="single" w:color="000000" w:sz="2" w:space="0"/>
                    <w:right w:val="single" w:color="000000" w:sz="2" w:space="0"/>
                  </w:tcBorders>
                  <w:vAlign w:val="center"/>
                </w:tcPr>
                <w:p w14:paraId="11DF39EA">
                  <w:pPr>
                    <w:wordWrap w:val="0"/>
                    <w:jc w:val="center"/>
                    <w:rPr>
                      <w:rFonts w:ascii="宋体" w:hAnsi="宋体" w:cs="宋体"/>
                      <w:color w:val="auto"/>
                      <w:szCs w:val="21"/>
                      <w:highlight w:val="none"/>
                    </w:rPr>
                  </w:pPr>
                  <w:r>
                    <w:rPr>
                      <w:rFonts w:hint="eastAsia" w:ascii="宋体" w:hAnsi="宋体" w:cs="宋体"/>
                      <w:color w:val="auto"/>
                      <w:szCs w:val="21"/>
                      <w:highlight w:val="none"/>
                    </w:rPr>
                    <w:t>1</w:t>
                  </w:r>
                </w:p>
              </w:tc>
            </w:tr>
          </w:tbl>
          <w:p w14:paraId="1F1536E0">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3.符合国家规定的技术质量标准和现行技术规范、规程要求。</w:t>
            </w:r>
          </w:p>
          <w:p w14:paraId="166C2873">
            <w:pPr>
              <w:wordWrap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四、服务内容及工作要求</w:t>
            </w:r>
          </w:p>
          <w:p w14:paraId="30F8236B">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本要求基于污水处理厂处理规模及出水标准制定，成交供应商在服务期内须严格遵照执行，确保污水处理系统稳定、安全、高效运行，出水水质持续达标。</w:t>
            </w:r>
          </w:p>
          <w:p w14:paraId="68977CCD">
            <w:pPr>
              <w:wordWrap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（一）核心运行保障要求</w:t>
            </w:r>
          </w:p>
          <w:p w14:paraId="0868E965">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全面负责服务期内污水处理系统正常运行的全流程工作，成交后制定科学的运行方案并严格实施，定期开展设备检修保养与日常维修工作。对于无法自主维修的设备，须及时协助采购人联系原厂家或授权服务商开展维修事宜。确保所有处理设施、设备无堵塞、渗漏、开裂、破损等异常情况；故障设备须在规定时限内修复（一般故障不超过24小时，重大故障不超过72小时），关键设备（如提升泵、曝气设备、消毒设备等）必须制定并落实备用方案，确保不影响系统整体运行。</w:t>
            </w:r>
          </w:p>
          <w:p w14:paraId="7CB5B49A">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分类型做好设施运维：①有动力处理设施：保障各类水泵、风机、曝气设备及配套配电设施运行良好，无漏电、跳闸、异响、振动异常等现象，定期检测设备运行参数（如电流、电压、扬程、流量等），确保符合设计要求；②其他设施：按季节开展植物修枝、整形、杂草清除、病虫害防治及补种工作，确保厂区植物覆盖率及生长状态；保持污水池内基质无板结、无垃圾杂物、无杂草滋生，池体及周边绿化带内禁止堆放任何杂物，保障污水处理效率及景观整洁度。</w:t>
            </w:r>
          </w:p>
          <w:p w14:paraId="259FE433">
            <w:pPr>
              <w:wordWrap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（二）全范围设施运维管理要求</w:t>
            </w:r>
          </w:p>
          <w:p w14:paraId="658F5375">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对厂区内所有设施设备及公用附属设施实施全生命周期检测与维护管理，具体涵盖：各类处理设备、构筑物、厂区道路、绿化系统、排水排污管道、给水及消防管道等；建立“日巡查、周检查、月保养”制度，详细记录检查生产维护情况，形成可追溯的设施管理档案，发现隐患4小时内整改。</w:t>
            </w:r>
          </w:p>
          <w:p w14:paraId="37CB1ECF">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建立并完善污水收集管网巡查制度（需上墙），明确巡查范围、频次（重点区域每日至少1次，一般区域每周至少2次）及巡查标准；制定针对性应急处理预案（如管网堵塞、破损、雨天溢流等场景），一旦发现污水处理设施或管网破损、堵塞等问题，须立即启动响应，安排专业人员进行维修处置，防止污水外溢污染环境。</w:t>
            </w:r>
          </w:p>
          <w:p w14:paraId="50989BAF">
            <w:pPr>
              <w:wordWrap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（三）安全生产与责任界定要求</w:t>
            </w:r>
          </w:p>
          <w:p w14:paraId="412857FB">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严格履行设施设备运行维护安全生产主体责任，建立健全安全生产管理制度、操作规程及岗位责任制（需上墙）；加强对操作人员的安全生产教育、培训及考核，确保全员持证上岗、规范操作；定期开展安全生产检查并做好记录（每月至少1次全面检查），及时纠正违规操作、排除安全隐患。</w:t>
            </w:r>
          </w:p>
          <w:p w14:paraId="37DF7C8A">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2.若因成交供应商操作不当、维护不及时或管理失职导致设备仪器故障、安全事故发生的，</w:t>
            </w:r>
            <w:r>
              <w:rPr>
                <w:rFonts w:hint="eastAsia" w:ascii="宋体" w:hAnsi="宋体" w:cs="宋体"/>
                <w:b/>
                <w:bCs/>
                <w:color w:val="auto"/>
                <w:kern w:val="0"/>
                <w:szCs w:val="21"/>
                <w:highlight w:val="none"/>
              </w:rPr>
              <w:t>由供应商承担全部法律责任及经济赔偿责任；因设备本身质量缺陷(非供应商使用不当)导致的事故，由设备供应单位承担责任；因采购人指令违规或第三方原因导致的事故，供应商不承担责任；</w:t>
            </w:r>
            <w:r>
              <w:rPr>
                <w:rFonts w:hint="eastAsia" w:ascii="宋体" w:hAnsi="宋体" w:cs="宋体"/>
                <w:color w:val="auto"/>
                <w:kern w:val="0"/>
                <w:szCs w:val="21"/>
                <w:highlight w:val="none"/>
              </w:rPr>
              <w:t>发生事故后须立即通报采购人，并启动应急处置机制，尽最大人力物力抢救，尽快恢复生产服务，减少对公众环境及周边居民的影响。</w:t>
            </w:r>
          </w:p>
          <w:p w14:paraId="46A8A3F9">
            <w:pPr>
              <w:wordWrap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（四）物资更换与费用界定要求</w:t>
            </w:r>
          </w:p>
          <w:p w14:paraId="0349BA05">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污水设施运行过程中，设施设备一般性故障及管网损坏等情况由供应商自行修复更换，费用包含在合同价内，维修更换费用上限6万元/年，超出6万元/年由供应商报采购人，经采购人同意后进行维修或重置，费用由采购人承担，属质保期范围内的设施设备维修或重置费用由设备供应单位承担。</w:t>
            </w:r>
          </w:p>
          <w:p w14:paraId="4B93A11F">
            <w:pPr>
              <w:wordWrap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（五）运行台账与水质管控要求</w:t>
            </w:r>
          </w:p>
          <w:p w14:paraId="16F8BD28">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严格按照一级B出水标准及国家相关规范，建立健全运行管理台账体系，台账内容须完整、真实、准确，具体包括：设施运转参数（处理量、停留时间、药剂投加量等）、设备维护记录（检修内容、更换配件、保养时间等）、生态养护记录（绿化维护等）、进出水水质水量监测记录等。</w:t>
            </w:r>
          </w:p>
          <w:p w14:paraId="5284CDE8">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建立日常水质检测与检验制度，按照国家《城镇污水处理厂污染物排放标准》（GB18918-2002）及相关规范要求，明确检测项目（如COD、BOD₅、SS、氨氮、总磷等一级B标准相关指标）、检测频次（进出水水质每周至少1次手工检测，关键指标实时监测），采用标准检测方法开展检测工作；做好检测分析资料、水质报表的汇总、归档工作，定期形成运营总结报告，按要求上报采购人备案。</w:t>
            </w:r>
          </w:p>
          <w:p w14:paraId="1FFBF6E8">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3.每月5日前（遇节假日顺延）将上月完整台账数据及相关佐证材料（含设备维修表、运营记录表、关键点位现场照片等）上报采购人存档；对提交的所有技术文件、监测数据的真实性、准确性负责。</w:t>
            </w:r>
          </w:p>
          <w:p w14:paraId="23353790">
            <w:pPr>
              <w:wordWrap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（六）成果交付与配合要求</w:t>
            </w:r>
          </w:p>
          <w:p w14:paraId="39F6CB51">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服务期内须向采购人交付以下成果资料（均需加盖公章，纸质版及电子版各1份）：①运营方案（含年度运行计划、季度调整方案）；②设备维修表（按月汇总）；③运营记录表（每日记录，按月汇总）；④应急处置预案（含管网故障、水质超标、设备停运等场景）；⑤员工培训手册（含安全操作、设备维护、应急处置等内容）；⑥年度第三方水质检测报告（每季度至少检测一次，委托具备CMA资质的第三方检测机构出具，检测项目覆盖一级B出水标准全指标）。</w:t>
            </w:r>
          </w:p>
          <w:p w14:paraId="2CF631F2">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2.积极配合采购人及环保、应急、住建等相关部门的检查、采样、监测及资料核查工作，提供必要的工作条件及完整的佐证资料；对检查发现的问题，须在规定时限内完成整改并反馈整改报告。</w:t>
            </w:r>
          </w:p>
          <w:p w14:paraId="2241546F">
            <w:pPr>
              <w:wordWrap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五、运营人员配置要求</w:t>
            </w:r>
          </w:p>
          <w:p w14:paraId="7C1E5B4A">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1.沙头镇污水处理厂和六堡镇污水处理厂拟投入日常工作人员（含技术人员）各厂不少于2人（其中1人具有环保工程类专业技术职称或技术证书）。</w:t>
            </w:r>
          </w:p>
          <w:p w14:paraId="6119E92E">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服务期内，采购人发现供应商实际投入的人员不足以满足项目需要或发现人员不称职时，向供应商发出书面要求增加或更换人员的通知。供应商在收到通知后5个工作日内完成增加或更换相应人员，由此产生的费用由成交供应商自行承担。</w:t>
            </w:r>
          </w:p>
          <w:p w14:paraId="57937A2A">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供应商须依据《中华人民共和国劳动法》《中华人民共和国劳动合同法》等法律规定，按时足额发放本项目人员薪酬（含基本工资、绩效提成、加班费），依法缴纳社会保险，差旅费按约定报销。供应商应依法用工，避免引发劳动纠纷；若因供应商违法用工、欠薪或未参保等导致纠纷，由供应商承担全部责任及损失，并确保不影响项目正常运维。</w:t>
            </w:r>
          </w:p>
          <w:p w14:paraId="3E623C06">
            <w:pPr>
              <w:wordWrap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六、运营考核制度</w:t>
            </w:r>
          </w:p>
          <w:p w14:paraId="0EE6C7A1">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采购人应对成交供应商的考核情况实行评分评价制度，评分周期为每个季度，1个评分周期总分为100分，对运营过程中未满足考核评分表要求的项目予以扣分。考核评分结果与运营服务费挂钩，具体如下：</w:t>
            </w:r>
          </w:p>
          <w:p w14:paraId="7604E57E">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1.考核评分为85分（含）以上，当季度运营服务费全额拨付；</w:t>
            </w:r>
          </w:p>
          <w:p w14:paraId="0547B4FE">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2.考核评分为70（含）-85分（不含），每扣1分，减拨当季度运营服务费全额的1%，扣减额度实行累加；</w:t>
            </w:r>
          </w:p>
          <w:p w14:paraId="736BE345">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3.考核评分为60（含）-70分（不含），运营服务费按当季度运营服务费全额的60％拨付；</w:t>
            </w:r>
          </w:p>
          <w:p w14:paraId="7D476A7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4.考核评分在60分（不含）以下，运营服务费按当季度运营服务费全额的50％拨付，成交供应商按采购人要求进行限期整改；未按期完成整改的，采购人有权</w:t>
            </w:r>
            <w:r>
              <w:rPr>
                <w:rFonts w:hint="eastAsia" w:ascii="宋体" w:hAnsi="宋体" w:cs="宋体"/>
                <w:color w:val="auto"/>
                <w:szCs w:val="21"/>
                <w:highlight w:val="none"/>
              </w:rPr>
              <w:t>依法</w:t>
            </w:r>
            <w:r>
              <w:rPr>
                <w:rFonts w:hint="eastAsia" w:ascii="宋体" w:hAnsi="宋体" w:cs="宋体"/>
                <w:color w:val="auto"/>
                <w:kern w:val="0"/>
                <w:szCs w:val="21"/>
                <w:highlight w:val="none"/>
              </w:rPr>
              <w:t>终止合同。</w:t>
            </w:r>
          </w:p>
        </w:tc>
      </w:tr>
      <w:tr w14:paraId="3C132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95" w:type="dxa"/>
            <w:gridSpan w:val="6"/>
            <w:tcBorders>
              <w:top w:val="single" w:color="auto" w:sz="4" w:space="0"/>
              <w:left w:val="single" w:color="auto" w:sz="4" w:space="0"/>
              <w:bottom w:val="single" w:color="auto" w:sz="4" w:space="0"/>
              <w:right w:val="single" w:color="auto" w:sz="4" w:space="0"/>
            </w:tcBorders>
          </w:tcPr>
          <w:p w14:paraId="356DB616">
            <w:pPr>
              <w:spacing w:line="360" w:lineRule="auto"/>
              <w:rPr>
                <w:rFonts w:ascii="宋体" w:hAnsi="宋体" w:cs="宋体"/>
                <w:color w:val="auto"/>
                <w:szCs w:val="21"/>
                <w:highlight w:val="none"/>
              </w:rPr>
            </w:pPr>
            <w:r>
              <w:rPr>
                <w:rFonts w:hint="eastAsia" w:ascii="宋体" w:hAnsi="宋体" w:cs="宋体"/>
                <w:b/>
                <w:color w:val="auto"/>
                <w:szCs w:val="21"/>
                <w:highlight w:val="none"/>
              </w:rPr>
              <w:t>▲一、商务要求</w:t>
            </w:r>
          </w:p>
        </w:tc>
      </w:tr>
      <w:tr w14:paraId="2A5D0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704" w:type="dxa"/>
            <w:gridSpan w:val="3"/>
            <w:tcBorders>
              <w:top w:val="single" w:color="auto" w:sz="4" w:space="0"/>
              <w:left w:val="single" w:color="auto" w:sz="4" w:space="0"/>
              <w:bottom w:val="single" w:color="auto" w:sz="4" w:space="0"/>
              <w:right w:val="single" w:color="auto" w:sz="4" w:space="0"/>
            </w:tcBorders>
            <w:vAlign w:val="center"/>
          </w:tcPr>
          <w:p w14:paraId="55E59724">
            <w:pPr>
              <w:wordWrap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合同签订时间</w:t>
            </w:r>
          </w:p>
        </w:tc>
        <w:tc>
          <w:tcPr>
            <w:tcW w:w="7391" w:type="dxa"/>
            <w:gridSpan w:val="3"/>
            <w:tcBorders>
              <w:top w:val="single" w:color="auto" w:sz="4" w:space="0"/>
              <w:left w:val="single" w:color="auto" w:sz="4" w:space="0"/>
              <w:bottom w:val="single" w:color="auto" w:sz="4" w:space="0"/>
              <w:right w:val="single" w:color="auto" w:sz="4" w:space="0"/>
            </w:tcBorders>
            <w:vAlign w:val="center"/>
          </w:tcPr>
          <w:p w14:paraId="13A3B8BD">
            <w:pPr>
              <w:wordWrap w:val="0"/>
              <w:spacing w:line="360" w:lineRule="auto"/>
              <w:rPr>
                <w:rFonts w:ascii="宋体" w:hAnsi="宋体" w:cs="宋体"/>
                <w:b/>
                <w:color w:val="auto"/>
                <w:szCs w:val="21"/>
                <w:highlight w:val="none"/>
              </w:rPr>
            </w:pPr>
            <w:r>
              <w:rPr>
                <w:rFonts w:hint="eastAsia" w:ascii="宋体" w:hAnsi="宋体" w:cs="宋体"/>
                <w:color w:val="auto"/>
                <w:szCs w:val="21"/>
                <w:highlight w:val="none"/>
              </w:rPr>
              <w:t>自成交通知书发出之日起15日内。</w:t>
            </w:r>
          </w:p>
        </w:tc>
      </w:tr>
      <w:tr w14:paraId="0B715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4" w:type="dxa"/>
            <w:gridSpan w:val="3"/>
            <w:tcBorders>
              <w:top w:val="single" w:color="auto" w:sz="4" w:space="0"/>
              <w:left w:val="single" w:color="auto" w:sz="4" w:space="0"/>
              <w:bottom w:val="single" w:color="auto" w:sz="4" w:space="0"/>
              <w:right w:val="single" w:color="auto" w:sz="4" w:space="0"/>
            </w:tcBorders>
            <w:vAlign w:val="center"/>
          </w:tcPr>
          <w:p w14:paraId="5D71B9C3">
            <w:pPr>
              <w:wordWrap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合同有效期</w:t>
            </w:r>
          </w:p>
        </w:tc>
        <w:tc>
          <w:tcPr>
            <w:tcW w:w="7391" w:type="dxa"/>
            <w:gridSpan w:val="3"/>
            <w:tcBorders>
              <w:top w:val="single" w:color="auto" w:sz="4" w:space="0"/>
              <w:left w:val="single" w:color="auto" w:sz="4" w:space="0"/>
              <w:bottom w:val="single" w:color="auto" w:sz="4" w:space="0"/>
              <w:right w:val="single" w:color="auto" w:sz="4" w:space="0"/>
            </w:tcBorders>
            <w:vAlign w:val="center"/>
          </w:tcPr>
          <w:p w14:paraId="4E70797B">
            <w:pPr>
              <w:wordWrap w:val="0"/>
              <w:spacing w:line="360" w:lineRule="auto"/>
              <w:rPr>
                <w:rFonts w:ascii="宋体" w:hAnsi="宋体" w:cs="宋体"/>
                <w:b/>
                <w:color w:val="auto"/>
                <w:szCs w:val="21"/>
                <w:highlight w:val="none"/>
              </w:rPr>
            </w:pPr>
            <w:r>
              <w:rPr>
                <w:rFonts w:hint="eastAsia" w:ascii="宋体" w:hAnsi="宋体" w:cs="宋体"/>
                <w:color w:val="auto"/>
                <w:szCs w:val="21"/>
                <w:highlight w:val="none"/>
              </w:rPr>
              <w:t>合同生效时间自本项目采购合同签订之日起开始执行。</w:t>
            </w:r>
          </w:p>
        </w:tc>
      </w:tr>
      <w:tr w14:paraId="5F613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4" w:type="dxa"/>
            <w:gridSpan w:val="3"/>
            <w:tcBorders>
              <w:top w:val="single" w:color="auto" w:sz="4" w:space="0"/>
              <w:left w:val="single" w:color="auto" w:sz="4" w:space="0"/>
              <w:bottom w:val="single" w:color="auto" w:sz="4" w:space="0"/>
              <w:right w:val="single" w:color="auto" w:sz="4" w:space="0"/>
            </w:tcBorders>
            <w:vAlign w:val="center"/>
          </w:tcPr>
          <w:p w14:paraId="121173D3">
            <w:pPr>
              <w:wordWrap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服务期限</w:t>
            </w:r>
            <w:r>
              <w:rPr>
                <w:rFonts w:hint="eastAsia" w:ascii="宋体" w:hAnsi="宋体" w:cs="宋体"/>
                <w:b/>
                <w:color w:val="auto"/>
                <w:kern w:val="0"/>
                <w:szCs w:val="21"/>
                <w:highlight w:val="none"/>
              </w:rPr>
              <w:t>及</w:t>
            </w:r>
            <w:r>
              <w:rPr>
                <w:rFonts w:hint="eastAsia" w:ascii="宋体" w:hAnsi="宋体" w:cs="宋体"/>
                <w:b/>
                <w:color w:val="auto"/>
                <w:szCs w:val="21"/>
                <w:highlight w:val="none"/>
              </w:rPr>
              <w:t>地点</w:t>
            </w:r>
          </w:p>
        </w:tc>
        <w:tc>
          <w:tcPr>
            <w:tcW w:w="7391" w:type="dxa"/>
            <w:gridSpan w:val="3"/>
            <w:tcBorders>
              <w:top w:val="single" w:color="auto" w:sz="4" w:space="0"/>
              <w:left w:val="single" w:color="auto" w:sz="4" w:space="0"/>
              <w:bottom w:val="single" w:color="auto" w:sz="4" w:space="0"/>
              <w:right w:val="single" w:color="auto" w:sz="4" w:space="0"/>
            </w:tcBorders>
            <w:vAlign w:val="center"/>
          </w:tcPr>
          <w:p w14:paraId="706C6667">
            <w:pPr>
              <w:wordWrap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1.服务期限：自签订合同之日起24个月</w:t>
            </w:r>
            <w:r>
              <w:rPr>
                <w:rFonts w:hint="eastAsia" w:ascii="宋体" w:hAnsi="宋体" w:cs="宋体"/>
                <w:color w:val="auto"/>
                <w:szCs w:val="21"/>
                <w:highlight w:val="none"/>
              </w:rPr>
              <w:t>。</w:t>
            </w:r>
          </w:p>
          <w:p w14:paraId="0DED08D6">
            <w:pPr>
              <w:wordWrap w:val="0"/>
              <w:spacing w:line="360" w:lineRule="auto"/>
              <w:rPr>
                <w:rFonts w:ascii="宋体" w:hAnsi="宋体" w:cs="宋体"/>
                <w:b/>
                <w:color w:val="auto"/>
                <w:szCs w:val="21"/>
                <w:highlight w:val="none"/>
              </w:rPr>
            </w:pPr>
            <w:r>
              <w:rPr>
                <w:rFonts w:hint="eastAsia" w:ascii="宋体" w:hAnsi="宋体" w:cs="宋体"/>
                <w:color w:val="auto"/>
                <w:szCs w:val="21"/>
                <w:highlight w:val="none"/>
              </w:rPr>
              <w:t>2.服务</w:t>
            </w:r>
            <w:r>
              <w:rPr>
                <w:rFonts w:hint="eastAsia" w:ascii="宋体" w:hAnsi="宋体" w:cs="宋体"/>
                <w:color w:val="auto"/>
                <w:kern w:val="0"/>
                <w:szCs w:val="21"/>
                <w:highlight w:val="none"/>
              </w:rPr>
              <w:t>地点：广西苍梧县沙头镇、六堡镇（采购人指定地点）。</w:t>
            </w:r>
          </w:p>
        </w:tc>
      </w:tr>
      <w:tr w14:paraId="63B3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4" w:type="dxa"/>
            <w:gridSpan w:val="3"/>
            <w:tcBorders>
              <w:top w:val="single" w:color="auto" w:sz="4" w:space="0"/>
              <w:left w:val="single" w:color="auto" w:sz="4" w:space="0"/>
              <w:bottom w:val="single" w:color="auto" w:sz="4" w:space="0"/>
              <w:right w:val="single" w:color="auto" w:sz="4" w:space="0"/>
            </w:tcBorders>
            <w:vAlign w:val="center"/>
          </w:tcPr>
          <w:p w14:paraId="4A9C1C5C">
            <w:pPr>
              <w:wordWrap w:val="0"/>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服务要求</w:t>
            </w:r>
          </w:p>
        </w:tc>
        <w:tc>
          <w:tcPr>
            <w:tcW w:w="7391" w:type="dxa"/>
            <w:gridSpan w:val="3"/>
            <w:tcBorders>
              <w:top w:val="single" w:color="auto" w:sz="4" w:space="0"/>
              <w:left w:val="single" w:color="auto" w:sz="4" w:space="0"/>
              <w:bottom w:val="single" w:color="auto" w:sz="4" w:space="0"/>
              <w:right w:val="single" w:color="auto" w:sz="4" w:space="0"/>
            </w:tcBorders>
            <w:vAlign w:val="center"/>
          </w:tcPr>
          <w:p w14:paraId="2028ABF6">
            <w:pPr>
              <w:numPr>
                <w:ilvl w:val="0"/>
                <w:numId w:val="1"/>
              </w:numPr>
              <w:wordWrap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服务要求响应时间：</w:t>
            </w:r>
          </w:p>
          <w:p w14:paraId="1ACA57F1">
            <w:pPr>
              <w:wordWrap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（1）电话咨询</w:t>
            </w:r>
          </w:p>
          <w:p w14:paraId="1F00CED1">
            <w:pPr>
              <w:wordWrap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成交供应商应当为采购人提供技术援助电话，解答采购人遇到的问题，在1小时内为采购人提出解决问题的建议。</w:t>
            </w:r>
          </w:p>
          <w:p w14:paraId="1A314140">
            <w:pPr>
              <w:wordWrap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（2）现场响应</w:t>
            </w:r>
          </w:p>
          <w:p w14:paraId="4D067E50">
            <w:pPr>
              <w:wordWrap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①接到采购人通知后，供应商技术人员能在24小时内到达现场处理问题。</w:t>
            </w:r>
          </w:p>
          <w:p w14:paraId="5F7E58BD">
            <w:pPr>
              <w:wordWrap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②因供应商管理不善导致的人身损害或财产损失等安全问题，造成的经济损失由供应商承担。</w:t>
            </w:r>
          </w:p>
          <w:p w14:paraId="700F5BE7">
            <w:pPr>
              <w:wordWrap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2.每月向采购人汇报运营情况不低于1次。</w:t>
            </w:r>
          </w:p>
          <w:p w14:paraId="5E87D8CB">
            <w:pPr>
              <w:wordWrap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3.如有上级部门检查，成交供应商必须有技术人员在场。</w:t>
            </w:r>
          </w:p>
          <w:p w14:paraId="3AF4C8A6">
            <w:pPr>
              <w:wordWrap w:val="0"/>
              <w:spacing w:line="360" w:lineRule="auto"/>
              <w:rPr>
                <w:rFonts w:ascii="宋体" w:hAnsi="宋体" w:cs="宋体"/>
                <w:bCs/>
                <w:color w:val="auto"/>
                <w:szCs w:val="21"/>
                <w:highlight w:val="none"/>
              </w:rPr>
            </w:pPr>
            <w:r>
              <w:rPr>
                <w:rFonts w:hint="eastAsia" w:ascii="宋体" w:hAnsi="宋体" w:cs="宋体"/>
                <w:color w:val="auto"/>
                <w:kern w:val="0"/>
                <w:szCs w:val="21"/>
                <w:highlight w:val="none"/>
              </w:rPr>
              <w:t>4.备品备件及耗材等要求：配备交通工具。零部件、污水处理设施的相关设备及排污管网维护、配件及安装材料，应符合国家相关质量标准</w:t>
            </w:r>
            <w:r>
              <w:rPr>
                <w:rFonts w:hint="eastAsia" w:ascii="宋体" w:hAnsi="宋体" w:cs="宋体"/>
                <w:bCs/>
                <w:color w:val="auto"/>
                <w:szCs w:val="21"/>
                <w:highlight w:val="none"/>
              </w:rPr>
              <w:t>。</w:t>
            </w:r>
          </w:p>
          <w:p w14:paraId="1E7AE0BD">
            <w:pPr>
              <w:wordWrap w:val="0"/>
              <w:spacing w:line="440" w:lineRule="exact"/>
              <w:rPr>
                <w:rFonts w:ascii="宋体" w:hAnsi="宋体" w:cs="宋体"/>
                <w:color w:val="auto"/>
                <w:szCs w:val="21"/>
                <w:highlight w:val="none"/>
              </w:rPr>
            </w:pPr>
            <w:r>
              <w:rPr>
                <w:rFonts w:hint="eastAsia" w:ascii="宋体" w:hAnsi="宋体" w:cs="宋体"/>
                <w:bCs/>
                <w:color w:val="auto"/>
                <w:szCs w:val="21"/>
                <w:highlight w:val="none"/>
              </w:rPr>
              <w:t>5.成交供应商必须依据国家现行的有关规范、标准、规程和设备现行标准、规程，对委托内容进行如实检查和维护，对存在问题提出解决方案，完善设备设施，处理解决存在的故障、问题、安全隐患，保障设备的安全正常运行。</w:t>
            </w:r>
          </w:p>
        </w:tc>
      </w:tr>
      <w:tr w14:paraId="7ACBE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4" w:type="dxa"/>
            <w:gridSpan w:val="3"/>
            <w:tcBorders>
              <w:top w:val="single" w:color="auto" w:sz="4" w:space="0"/>
              <w:left w:val="single" w:color="auto" w:sz="4" w:space="0"/>
              <w:bottom w:val="single" w:color="auto" w:sz="4" w:space="0"/>
              <w:right w:val="single" w:color="auto" w:sz="4" w:space="0"/>
            </w:tcBorders>
            <w:vAlign w:val="center"/>
          </w:tcPr>
          <w:p w14:paraId="0F6346D4">
            <w:pPr>
              <w:wordWrap w:val="0"/>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报价要求</w:t>
            </w:r>
          </w:p>
        </w:tc>
        <w:tc>
          <w:tcPr>
            <w:tcW w:w="7391" w:type="dxa"/>
            <w:gridSpan w:val="3"/>
            <w:tcBorders>
              <w:top w:val="single" w:color="auto" w:sz="4" w:space="0"/>
              <w:left w:val="single" w:color="auto" w:sz="4" w:space="0"/>
              <w:bottom w:val="single" w:color="auto" w:sz="4" w:space="0"/>
              <w:right w:val="single" w:color="auto" w:sz="4" w:space="0"/>
            </w:tcBorders>
            <w:vAlign w:val="center"/>
          </w:tcPr>
          <w:p w14:paraId="5C8FBE6A">
            <w:pPr>
              <w:wordWrap w:val="0"/>
              <w:spacing w:line="440" w:lineRule="exact"/>
              <w:rPr>
                <w:rFonts w:ascii="宋体" w:hAnsi="宋体" w:cs="宋体"/>
                <w:bCs/>
                <w:color w:val="auto"/>
                <w:szCs w:val="21"/>
                <w:highlight w:val="none"/>
              </w:rPr>
            </w:pPr>
            <w:r>
              <w:rPr>
                <w:rFonts w:hint="eastAsia" w:ascii="宋体" w:hAnsi="宋体" w:cs="宋体"/>
                <w:bCs/>
                <w:color w:val="auto"/>
                <w:szCs w:val="21"/>
                <w:highlight w:val="none"/>
              </w:rPr>
              <w:t>报价必须包含但不限于全部的住宿费、伙食费、交通费、劳务费、劳保费、电力消耗、日常用水药剂费、栅渣及污泥处置费、日常水质化验费、第三方水质监测费（每季度至少检测一次）、设备日常维护费、管网日常维护费、在线监测设备运维费、管理费、利润、各项税金等费用。</w:t>
            </w:r>
          </w:p>
          <w:p w14:paraId="0B05E907">
            <w:pPr>
              <w:wordWrap w:val="0"/>
              <w:spacing w:line="440" w:lineRule="exact"/>
              <w:rPr>
                <w:rFonts w:ascii="宋体" w:hAnsi="宋体" w:cs="宋体"/>
                <w:bCs/>
                <w:color w:val="auto"/>
                <w:szCs w:val="21"/>
                <w:highlight w:val="none"/>
              </w:rPr>
            </w:pPr>
            <w:r>
              <w:rPr>
                <w:rFonts w:hint="eastAsia" w:ascii="宋体" w:hAnsi="宋体" w:cs="宋体"/>
                <w:bCs/>
                <w:color w:val="auto"/>
                <w:szCs w:val="21"/>
                <w:highlight w:val="none"/>
              </w:rPr>
              <w:t>其中：</w:t>
            </w:r>
          </w:p>
          <w:p w14:paraId="693DAB6C">
            <w:pPr>
              <w:wordWrap w:val="0"/>
              <w:spacing w:line="440" w:lineRule="exact"/>
              <w:rPr>
                <w:rFonts w:ascii="宋体" w:hAnsi="宋体" w:cs="宋体"/>
                <w:bCs/>
                <w:color w:val="auto"/>
                <w:szCs w:val="21"/>
                <w:highlight w:val="none"/>
              </w:rPr>
            </w:pPr>
            <w:r>
              <w:rPr>
                <w:rFonts w:hint="eastAsia" w:ascii="宋体" w:hAnsi="宋体" w:cs="宋体"/>
                <w:bCs/>
                <w:color w:val="auto"/>
                <w:szCs w:val="21"/>
                <w:highlight w:val="none"/>
              </w:rPr>
              <w:t>1.在线监测设备运维费包含进出水在线监测设备运维。</w:t>
            </w:r>
          </w:p>
          <w:p w14:paraId="3AF7213B">
            <w:pPr>
              <w:wordWrap w:val="0"/>
              <w:spacing w:line="440" w:lineRule="exact"/>
              <w:rPr>
                <w:rFonts w:ascii="宋体" w:hAnsi="宋体" w:cs="宋体"/>
                <w:bCs/>
                <w:color w:val="auto"/>
                <w:szCs w:val="21"/>
                <w:highlight w:val="none"/>
              </w:rPr>
            </w:pPr>
            <w:r>
              <w:rPr>
                <w:rFonts w:hint="eastAsia" w:ascii="宋体" w:hAnsi="宋体" w:cs="宋体"/>
                <w:bCs/>
                <w:color w:val="auto"/>
                <w:szCs w:val="21"/>
                <w:highlight w:val="none"/>
              </w:rPr>
              <w:t>2.设施设备一般性故障由成交供应商自行修复，费用包含在合同价内，污水处理厂一般性故障维修费用上限</w:t>
            </w:r>
            <w:r>
              <w:rPr>
                <w:rFonts w:hint="eastAsia" w:ascii="宋体" w:hAnsi="宋体" w:cs="宋体"/>
                <w:color w:val="auto"/>
                <w:kern w:val="0"/>
                <w:szCs w:val="21"/>
                <w:highlight w:val="none"/>
              </w:rPr>
              <w:t>6万元/年</w:t>
            </w:r>
            <w:r>
              <w:rPr>
                <w:rFonts w:hint="eastAsia" w:ascii="宋体" w:hAnsi="宋体" w:cs="宋体"/>
                <w:bCs/>
                <w:color w:val="auto"/>
                <w:szCs w:val="21"/>
                <w:highlight w:val="none"/>
              </w:rPr>
              <w:t>，超出</w:t>
            </w:r>
            <w:r>
              <w:rPr>
                <w:rFonts w:hint="eastAsia" w:ascii="宋体" w:hAnsi="宋体" w:cs="宋体"/>
                <w:color w:val="auto"/>
                <w:kern w:val="0"/>
                <w:szCs w:val="21"/>
                <w:highlight w:val="none"/>
              </w:rPr>
              <w:t>6万元/年</w:t>
            </w:r>
            <w:r>
              <w:rPr>
                <w:rFonts w:hint="eastAsia" w:ascii="宋体" w:hAnsi="宋体" w:cs="宋体"/>
                <w:bCs/>
                <w:color w:val="auto"/>
                <w:szCs w:val="21"/>
                <w:highlight w:val="none"/>
              </w:rPr>
              <w:t>由成交供应商报采购人，经采购人同意后进行维修或重置，费用由采购人承担，属于质保期范围内的设施设备维修或重置费用由设备供应单位承担。</w:t>
            </w:r>
          </w:p>
        </w:tc>
      </w:tr>
      <w:tr w14:paraId="518EC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4" w:type="dxa"/>
            <w:gridSpan w:val="3"/>
            <w:tcBorders>
              <w:top w:val="single" w:color="auto" w:sz="4" w:space="0"/>
              <w:left w:val="single" w:color="auto" w:sz="4" w:space="0"/>
              <w:bottom w:val="single" w:color="auto" w:sz="4" w:space="0"/>
              <w:right w:val="single" w:color="auto" w:sz="4" w:space="0"/>
            </w:tcBorders>
            <w:vAlign w:val="center"/>
          </w:tcPr>
          <w:p w14:paraId="594B7BF5">
            <w:pPr>
              <w:wordWrap w:val="0"/>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付款方式</w:t>
            </w:r>
          </w:p>
        </w:tc>
        <w:tc>
          <w:tcPr>
            <w:tcW w:w="7391" w:type="dxa"/>
            <w:gridSpan w:val="3"/>
            <w:tcBorders>
              <w:top w:val="single" w:color="auto" w:sz="4" w:space="0"/>
              <w:left w:val="single" w:color="auto" w:sz="4" w:space="0"/>
              <w:bottom w:val="single" w:color="auto" w:sz="4" w:space="0"/>
              <w:right w:val="single" w:color="auto" w:sz="4" w:space="0"/>
            </w:tcBorders>
            <w:vAlign w:val="center"/>
          </w:tcPr>
          <w:p w14:paraId="633D3BA3">
            <w:pPr>
              <w:wordWrap w:val="0"/>
              <w:spacing w:line="440" w:lineRule="exact"/>
              <w:rPr>
                <w:rFonts w:ascii="宋体" w:hAnsi="宋体" w:cs="宋体"/>
                <w:bCs/>
                <w:color w:val="auto"/>
                <w:szCs w:val="21"/>
                <w:highlight w:val="none"/>
              </w:rPr>
            </w:pPr>
            <w:r>
              <w:rPr>
                <w:rFonts w:hint="eastAsia" w:ascii="宋体" w:hAnsi="宋体" w:cs="宋体"/>
                <w:color w:val="auto"/>
                <w:szCs w:val="21"/>
                <w:highlight w:val="none"/>
              </w:rPr>
              <w:t>1.本</w:t>
            </w:r>
            <w:r>
              <w:rPr>
                <w:rFonts w:hint="eastAsia" w:ascii="宋体" w:hAnsi="宋体" w:cs="宋体"/>
                <w:bCs/>
                <w:color w:val="auto"/>
                <w:szCs w:val="21"/>
                <w:highlight w:val="none"/>
              </w:rPr>
              <w:t>项目无预付款，每季度结束后，成交供应商于下一季度第一个月的5日前将上个季度的《运营服务费付款申请》资料报采购人进行审核。</w:t>
            </w:r>
          </w:p>
          <w:p w14:paraId="5BD80418">
            <w:pPr>
              <w:wordWrap w:val="0"/>
              <w:spacing w:line="440" w:lineRule="exact"/>
              <w:rPr>
                <w:rFonts w:ascii="宋体" w:hAnsi="宋体" w:cs="宋体"/>
                <w:bCs/>
                <w:color w:val="auto"/>
                <w:szCs w:val="21"/>
                <w:highlight w:val="none"/>
              </w:rPr>
            </w:pPr>
            <w:r>
              <w:rPr>
                <w:rFonts w:hint="eastAsia" w:ascii="宋体" w:hAnsi="宋体" w:cs="宋体"/>
                <w:bCs/>
                <w:color w:val="auto"/>
                <w:szCs w:val="21"/>
                <w:highlight w:val="none"/>
              </w:rPr>
              <w:t>2.采购人对成交供应商递交的《运营服务费付款申请》资料有异议的，先按递交《运营服务费付款申请》资料中申请金额的80%支付，并且双方在10个工作日内对考核结果进行核实及确认，双方确认后10个工作日内支付余下运营服务费。</w:t>
            </w:r>
          </w:p>
        </w:tc>
      </w:tr>
      <w:tr w14:paraId="35FD5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4" w:type="dxa"/>
            <w:gridSpan w:val="3"/>
            <w:tcBorders>
              <w:top w:val="single" w:color="auto" w:sz="4" w:space="0"/>
              <w:left w:val="single" w:color="auto" w:sz="4" w:space="0"/>
              <w:bottom w:val="single" w:color="auto" w:sz="4" w:space="0"/>
              <w:right w:val="single" w:color="auto" w:sz="4" w:space="0"/>
            </w:tcBorders>
            <w:vAlign w:val="center"/>
          </w:tcPr>
          <w:p w14:paraId="0504EDDC">
            <w:pPr>
              <w:pStyle w:val="17"/>
              <w:snapToGrid w:val="0"/>
              <w:spacing w:line="360" w:lineRule="auto"/>
              <w:jc w:val="center"/>
              <w:outlineLvl w:val="0"/>
              <w:rPr>
                <w:rFonts w:hAnsi="宋体" w:cs="宋体"/>
                <w:b/>
                <w:color w:val="auto"/>
                <w:sz w:val="21"/>
                <w:highlight w:val="none"/>
              </w:rPr>
            </w:pPr>
            <w:r>
              <w:rPr>
                <w:rFonts w:hint="eastAsia" w:hAnsi="宋体" w:cs="宋体"/>
                <w:b/>
                <w:color w:val="auto"/>
                <w:sz w:val="21"/>
                <w:highlight w:val="none"/>
              </w:rPr>
              <w:t>验收标准</w:t>
            </w:r>
            <w:r>
              <w:rPr>
                <w:rFonts w:hint="eastAsia" w:hAnsi="宋体" w:cs="宋体"/>
                <w:b/>
                <w:color w:val="auto"/>
                <w:highlight w:val="none"/>
              </w:rPr>
              <w:t>（质量要求）</w:t>
            </w:r>
          </w:p>
        </w:tc>
        <w:tc>
          <w:tcPr>
            <w:tcW w:w="7391" w:type="dxa"/>
            <w:gridSpan w:val="3"/>
            <w:tcBorders>
              <w:top w:val="single" w:color="auto" w:sz="4" w:space="0"/>
              <w:left w:val="single" w:color="auto" w:sz="4" w:space="0"/>
              <w:bottom w:val="single" w:color="auto" w:sz="4" w:space="0"/>
              <w:right w:val="single" w:color="auto" w:sz="4" w:space="0"/>
            </w:tcBorders>
            <w:vAlign w:val="center"/>
          </w:tcPr>
          <w:p w14:paraId="10DE6AC1">
            <w:pPr>
              <w:tabs>
                <w:tab w:val="left" w:pos="180"/>
                <w:tab w:val="left" w:pos="1620"/>
              </w:tabs>
              <w:wordWrap w:val="0"/>
              <w:spacing w:line="440" w:lineRule="exact"/>
              <w:rPr>
                <w:rFonts w:ascii="宋体" w:hAnsi="宋体" w:cs="宋体"/>
                <w:bCs/>
                <w:color w:val="auto"/>
                <w:szCs w:val="21"/>
                <w:highlight w:val="none"/>
              </w:rPr>
            </w:pPr>
            <w:r>
              <w:rPr>
                <w:rFonts w:hint="eastAsia" w:ascii="宋体" w:hAnsi="宋体" w:cs="宋体"/>
                <w:bCs/>
                <w:color w:val="auto"/>
                <w:szCs w:val="21"/>
                <w:highlight w:val="none"/>
              </w:rPr>
              <w:t>1.符合现行国家相关标准、行业标准、地方标准或者其他标准、规范；</w:t>
            </w:r>
          </w:p>
          <w:p w14:paraId="4E09E270">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验收条件及标准：为了保证系统正常运转和质量控制要求，供应商所提供的备品备件，其来源必须正规合法，符合国家相关规定；更换的设备以及重要部件时需要提供原厂证书、出厂检验报告等证件，保证为原厂全新并确保可溯源。</w:t>
            </w:r>
          </w:p>
        </w:tc>
      </w:tr>
      <w:tr w14:paraId="67EB0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95" w:type="dxa"/>
            <w:gridSpan w:val="6"/>
            <w:tcBorders>
              <w:top w:val="single" w:color="auto" w:sz="4" w:space="0"/>
              <w:left w:val="single" w:color="auto" w:sz="4" w:space="0"/>
              <w:bottom w:val="single" w:color="auto" w:sz="4" w:space="0"/>
              <w:right w:val="single" w:color="auto" w:sz="4" w:space="0"/>
            </w:tcBorders>
            <w:vAlign w:val="center"/>
          </w:tcPr>
          <w:p w14:paraId="76BF1E5C">
            <w:pPr>
              <w:wordWrap w:val="0"/>
              <w:spacing w:line="440" w:lineRule="exact"/>
              <w:rPr>
                <w:rFonts w:ascii="宋体" w:hAnsi="宋体" w:cs="宋体"/>
                <w:bCs/>
                <w:color w:val="auto"/>
                <w:szCs w:val="21"/>
                <w:highlight w:val="none"/>
              </w:rPr>
            </w:pPr>
            <w:r>
              <w:rPr>
                <w:rFonts w:hint="eastAsia" w:ascii="宋体" w:hAnsi="宋体" w:cs="宋体"/>
                <w:b/>
                <w:bCs/>
                <w:color w:val="auto"/>
                <w:szCs w:val="21"/>
                <w:highlight w:val="none"/>
              </w:rPr>
              <w:t>二、与实现项目目标相关的其他要求</w:t>
            </w:r>
          </w:p>
        </w:tc>
      </w:tr>
      <w:tr w14:paraId="44AA9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95" w:type="dxa"/>
            <w:gridSpan w:val="6"/>
            <w:tcBorders>
              <w:top w:val="single" w:color="auto" w:sz="4" w:space="0"/>
              <w:left w:val="single" w:color="auto" w:sz="4" w:space="0"/>
              <w:bottom w:val="single" w:color="auto" w:sz="4" w:space="0"/>
              <w:right w:val="single" w:color="auto" w:sz="4" w:space="0"/>
            </w:tcBorders>
            <w:noWrap/>
            <w:vAlign w:val="center"/>
          </w:tcPr>
          <w:p w14:paraId="04039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供应商可根据自身情况编制项目技术方案，内容可包括但不限于以下内容：</w:t>
            </w:r>
          </w:p>
          <w:p w14:paraId="735A197F">
            <w:pPr>
              <w:numPr>
                <w:ilvl w:val="0"/>
                <w:numId w:val="2"/>
              </w:numPr>
              <w:adjustRightInd w:val="0"/>
              <w:spacing w:line="360" w:lineRule="auto"/>
              <w:ind w:right="-105" w:rightChars="-50"/>
              <w:textAlignment w:val="baseline"/>
              <w:rPr>
                <w:rFonts w:ascii="宋体" w:hAnsi="宋体"/>
                <w:bCs/>
                <w:color w:val="auto"/>
                <w:szCs w:val="21"/>
                <w:highlight w:val="none"/>
              </w:rPr>
            </w:pPr>
            <w:r>
              <w:rPr>
                <w:rFonts w:hint="eastAsia" w:ascii="宋体" w:hAnsi="宋体"/>
                <w:b/>
                <w:color w:val="auto"/>
                <w:szCs w:val="21"/>
                <w:highlight w:val="none"/>
              </w:rPr>
              <w:t>项目运维服务方案:</w:t>
            </w:r>
            <w:r>
              <w:rPr>
                <w:rFonts w:hint="eastAsia" w:ascii="宋体" w:hAnsi="宋体"/>
                <w:bCs/>
                <w:color w:val="auto"/>
                <w:szCs w:val="21"/>
                <w:highlight w:val="none"/>
              </w:rPr>
              <w:t>结合本项目采购需求及评审方法及供应商自身情况，提供对本项目运营情况、污水处理工作原理的阐述、项目重点难点及优化措施，以及运维服务方案的管理质量、人员配备、设备维护方案及计划、定期巡检制度、设备运行情况报告制度等内容。</w:t>
            </w:r>
          </w:p>
          <w:p w14:paraId="42473ED4">
            <w:pPr>
              <w:numPr>
                <w:ilvl w:val="0"/>
                <w:numId w:val="0"/>
              </w:numPr>
              <w:adjustRightInd w:val="0"/>
              <w:spacing w:line="360" w:lineRule="auto"/>
              <w:ind w:right="-105" w:rightChars="-50"/>
              <w:textAlignment w:val="baseline"/>
              <w:rPr>
                <w:rFonts w:ascii="宋体" w:hAnsi="宋体"/>
                <w:bCs/>
                <w:color w:val="auto"/>
                <w:szCs w:val="21"/>
                <w:highlight w:val="none"/>
              </w:rPr>
            </w:pPr>
            <w:r>
              <w:rPr>
                <w:rFonts w:hint="eastAsia" w:ascii="宋体" w:hAnsi="宋体"/>
                <w:b/>
                <w:color w:val="auto"/>
                <w:szCs w:val="21"/>
                <w:highlight w:val="none"/>
              </w:rPr>
              <w:t>2.环境保护措施方案：</w:t>
            </w:r>
            <w:r>
              <w:rPr>
                <w:rFonts w:hint="eastAsia" w:ascii="宋体" w:hAnsi="宋体"/>
                <w:bCs/>
                <w:color w:val="auto"/>
                <w:szCs w:val="21"/>
                <w:highlight w:val="none"/>
              </w:rPr>
              <w:t>结合本项目采购需求及评审方法及供应商自身情况，提供环境保护措施方案的设备通风、除臭控制、噪声控制、污泥及废渣处理等内容。</w:t>
            </w:r>
          </w:p>
          <w:p w14:paraId="2427BAAB">
            <w:pPr>
              <w:adjustRightInd w:val="0"/>
              <w:spacing w:line="360" w:lineRule="auto"/>
              <w:ind w:left="-105" w:leftChars="-50" w:right="-105" w:rightChars="-50"/>
              <w:textAlignment w:val="baseline"/>
              <w:rPr>
                <w:rFonts w:ascii="宋体" w:hAnsi="宋体"/>
                <w:bCs/>
                <w:color w:val="auto"/>
                <w:szCs w:val="21"/>
                <w:highlight w:val="none"/>
              </w:rPr>
            </w:pPr>
            <w:r>
              <w:rPr>
                <w:rFonts w:hint="eastAsia" w:ascii="宋体" w:hAnsi="宋体"/>
                <w:b/>
                <w:color w:val="auto"/>
                <w:szCs w:val="21"/>
                <w:highlight w:val="none"/>
              </w:rPr>
              <w:t>3.服务承诺方案：</w:t>
            </w:r>
            <w:r>
              <w:rPr>
                <w:rFonts w:hint="eastAsia" w:ascii="宋体" w:hAnsi="宋体"/>
                <w:bCs/>
                <w:color w:val="auto"/>
                <w:szCs w:val="21"/>
                <w:highlight w:val="none"/>
              </w:rPr>
              <w:t>结合本项目采购需求及评审方法及供应商自身情况，提供</w:t>
            </w:r>
            <w:r>
              <w:rPr>
                <w:rFonts w:hint="eastAsia" w:ascii="宋体" w:hAnsi="宋体" w:cs="宋体"/>
                <w:color w:val="auto"/>
                <w:szCs w:val="21"/>
                <w:highlight w:val="none"/>
              </w:rPr>
              <w:t>服务承诺方案的完整度、响应程度出发，结合项目处理量、完成时间、出水水质达标排放、设施设备维护管理、运营台账、运营安全等</w:t>
            </w:r>
            <w:r>
              <w:rPr>
                <w:rFonts w:hint="eastAsia" w:ascii="宋体" w:hAnsi="宋体"/>
                <w:bCs/>
                <w:color w:val="auto"/>
                <w:szCs w:val="21"/>
                <w:highlight w:val="none"/>
              </w:rPr>
              <w:t>内容。</w:t>
            </w:r>
          </w:p>
          <w:p w14:paraId="03B02EF8">
            <w:pPr>
              <w:adjustRightInd w:val="0"/>
              <w:spacing w:line="360" w:lineRule="auto"/>
              <w:ind w:left="-105" w:leftChars="-50" w:right="-105" w:rightChars="-50"/>
              <w:textAlignment w:val="baseline"/>
              <w:rPr>
                <w:rFonts w:ascii="宋体" w:hAnsi="宋体"/>
                <w:bCs/>
                <w:color w:val="auto"/>
                <w:szCs w:val="21"/>
                <w:highlight w:val="none"/>
              </w:rPr>
            </w:pPr>
            <w:r>
              <w:rPr>
                <w:rFonts w:hint="eastAsia" w:ascii="宋体" w:hAnsi="宋体"/>
                <w:bCs/>
                <w:color w:val="auto"/>
                <w:szCs w:val="21"/>
                <w:highlight w:val="none"/>
              </w:rPr>
              <w:t>4.</w:t>
            </w:r>
            <w:r>
              <w:rPr>
                <w:rFonts w:hint="eastAsia" w:ascii="宋体" w:hAnsi="宋体" w:cs="宋体"/>
                <w:b/>
                <w:bCs/>
                <w:color w:val="auto"/>
                <w:szCs w:val="21"/>
                <w:highlight w:val="none"/>
              </w:rPr>
              <w:t>应急机制方案：</w:t>
            </w:r>
            <w:r>
              <w:rPr>
                <w:rFonts w:hint="eastAsia" w:ascii="宋体" w:hAnsi="宋体"/>
                <w:bCs/>
                <w:color w:val="auto"/>
                <w:szCs w:val="21"/>
                <w:highlight w:val="none"/>
              </w:rPr>
              <w:t>结合本项目采购需求及评审方法及供应商自身情况，提供</w:t>
            </w:r>
            <w:r>
              <w:rPr>
                <w:rFonts w:hint="eastAsia" w:ascii="宋体" w:hAnsi="宋体" w:cs="宋体"/>
                <w:color w:val="auto"/>
                <w:szCs w:val="21"/>
                <w:highlight w:val="none"/>
              </w:rPr>
              <w:t>应急机制方案的设备故障、污水外溢、自然灾害、人员伤害、运行异常等问题，从问题诊断与排除措施的制定等</w:t>
            </w:r>
            <w:r>
              <w:rPr>
                <w:rFonts w:hint="eastAsia" w:ascii="宋体" w:hAnsi="宋体"/>
                <w:bCs/>
                <w:color w:val="auto"/>
                <w:szCs w:val="21"/>
                <w:highlight w:val="none"/>
              </w:rPr>
              <w:t>内容。</w:t>
            </w:r>
          </w:p>
        </w:tc>
      </w:tr>
      <w:tr w14:paraId="1210C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95" w:type="dxa"/>
            <w:gridSpan w:val="6"/>
            <w:tcBorders>
              <w:top w:val="single" w:color="auto" w:sz="4" w:space="0"/>
              <w:left w:val="single" w:color="auto" w:sz="4" w:space="0"/>
              <w:bottom w:val="single" w:color="auto" w:sz="4" w:space="0"/>
              <w:right w:val="single" w:color="auto" w:sz="4" w:space="0"/>
            </w:tcBorders>
            <w:noWrap/>
            <w:vAlign w:val="center"/>
          </w:tcPr>
          <w:p w14:paraId="7AE7A225">
            <w:pPr>
              <w:spacing w:line="360" w:lineRule="auto"/>
              <w:rPr>
                <w:rFonts w:ascii="宋体" w:hAnsi="宋体" w:cs="宋体"/>
                <w:color w:val="auto"/>
                <w:szCs w:val="21"/>
                <w:highlight w:val="none"/>
              </w:rPr>
            </w:pPr>
            <w:r>
              <w:rPr>
                <w:rFonts w:hint="eastAsia" w:ascii="宋体" w:hAnsi="宋体" w:cs="宋体"/>
                <w:b/>
                <w:bCs/>
                <w:color w:val="auto"/>
                <w:szCs w:val="21"/>
                <w:highlight w:val="none"/>
              </w:rPr>
              <w:t>三、核心产品</w:t>
            </w:r>
          </w:p>
        </w:tc>
      </w:tr>
      <w:tr w14:paraId="26517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95" w:type="dxa"/>
            <w:gridSpan w:val="6"/>
            <w:tcBorders>
              <w:top w:val="single" w:color="auto" w:sz="4" w:space="0"/>
              <w:left w:val="single" w:color="auto" w:sz="4" w:space="0"/>
              <w:bottom w:val="single" w:color="auto" w:sz="4" w:space="0"/>
              <w:right w:val="single" w:color="auto" w:sz="4" w:space="0"/>
            </w:tcBorders>
            <w:noWrap/>
            <w:vAlign w:val="center"/>
          </w:tcPr>
          <w:p w14:paraId="12EF1D7E">
            <w:pPr>
              <w:spacing w:line="360" w:lineRule="auto"/>
              <w:rPr>
                <w:rFonts w:ascii="宋体" w:hAnsi="宋体" w:cs="宋体"/>
                <w:color w:val="auto"/>
                <w:szCs w:val="21"/>
                <w:highlight w:val="none"/>
              </w:rPr>
            </w:pPr>
            <w:r>
              <w:rPr>
                <w:rFonts w:hint="eastAsia" w:ascii="宋体" w:hAnsi="宋体" w:cs="宋体"/>
                <w:color w:val="auto"/>
                <w:highlight w:val="none"/>
              </w:rPr>
              <w:t>本项目为服务项目，无核心产品。</w:t>
            </w:r>
          </w:p>
        </w:tc>
      </w:tr>
    </w:tbl>
    <w:p w14:paraId="72C32041">
      <w:pPr>
        <w:rPr>
          <w:rFonts w:ascii="仿宋_GB2312" w:hAnsi="仿宋_GB2312" w:eastAsia="仿宋_GB2312" w:cs="仿宋_GB2312"/>
          <w:b/>
          <w:bCs/>
          <w:color w:val="auto"/>
          <w:spacing w:val="-15"/>
          <w:sz w:val="30"/>
          <w:szCs w:val="30"/>
          <w:highlight w:val="none"/>
        </w:rPr>
      </w:pPr>
      <w:r>
        <w:rPr>
          <w:rFonts w:hint="eastAsia" w:ascii="宋体" w:hAnsi="宋体" w:cs="宋体"/>
          <w:color w:val="auto"/>
          <w:sz w:val="28"/>
          <w:szCs w:val="28"/>
          <w:highlight w:val="none"/>
        </w:rPr>
        <w:br w:type="page"/>
      </w:r>
    </w:p>
    <w:p w14:paraId="57380A02">
      <w:pPr>
        <w:rPr>
          <w:rFonts w:ascii="仿宋_GB2312" w:hAnsi="仿宋_GB2312" w:eastAsia="仿宋_GB2312" w:cs="仿宋_GB2312"/>
          <w:color w:val="auto"/>
          <w:highlight w:val="none"/>
        </w:rPr>
      </w:pPr>
      <w:r>
        <w:rPr>
          <w:rFonts w:hint="eastAsia" w:ascii="宋体" w:hAnsi="宋体" w:cs="宋体"/>
          <w:b/>
          <w:bCs/>
          <w:color w:val="auto"/>
          <w:sz w:val="32"/>
          <w:szCs w:val="32"/>
          <w:highlight w:val="none"/>
        </w:rPr>
        <w:t>附件一</w:t>
      </w:r>
      <w:r>
        <w:rPr>
          <w:rFonts w:hint="eastAsia" w:ascii="仿宋_GB2312" w:hAnsi="仿宋_GB2312" w:eastAsia="仿宋_GB2312" w:cs="仿宋_GB2312"/>
          <w:b/>
          <w:bCs/>
          <w:color w:val="auto"/>
          <w:spacing w:val="-15"/>
          <w:sz w:val="30"/>
          <w:szCs w:val="30"/>
          <w:highlight w:val="none"/>
        </w:rPr>
        <w:t>：</w:t>
      </w:r>
    </w:p>
    <w:p w14:paraId="41DEEDA5">
      <w:pPr>
        <w:jc w:val="center"/>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11"/>
          <w:sz w:val="30"/>
          <w:szCs w:val="30"/>
          <w:highlight w:val="none"/>
        </w:rPr>
        <w:t>考核评分表</w:t>
      </w:r>
    </w:p>
    <w:tbl>
      <w:tblPr>
        <w:tblStyle w:val="86"/>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4"/>
        <w:gridCol w:w="10"/>
        <w:gridCol w:w="1608"/>
        <w:gridCol w:w="749"/>
        <w:gridCol w:w="4056"/>
        <w:gridCol w:w="639"/>
        <w:gridCol w:w="599"/>
        <w:gridCol w:w="764"/>
      </w:tblGrid>
      <w:tr w14:paraId="380C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1204" w:type="dxa"/>
            <w:vAlign w:val="center"/>
          </w:tcPr>
          <w:p w14:paraId="5B79FA76">
            <w:pPr>
              <w:spacing w:line="500" w:lineRule="exact"/>
              <w:jc w:val="center"/>
              <w:rPr>
                <w:rFonts w:ascii="宋体" w:hAnsi="宋体" w:cs="宋体"/>
                <w:color w:val="auto"/>
                <w:sz w:val="24"/>
                <w:highlight w:val="none"/>
              </w:rPr>
            </w:pPr>
            <w:r>
              <w:rPr>
                <w:rFonts w:hint="eastAsia" w:ascii="宋体" w:hAnsi="宋体" w:cs="宋体"/>
                <w:color w:val="auto"/>
                <w:spacing w:val="9"/>
                <w:sz w:val="24"/>
                <w:highlight w:val="none"/>
              </w:rPr>
              <w:t>类别</w:t>
            </w:r>
          </w:p>
        </w:tc>
        <w:tc>
          <w:tcPr>
            <w:tcW w:w="1618" w:type="dxa"/>
            <w:gridSpan w:val="2"/>
            <w:vAlign w:val="center"/>
          </w:tcPr>
          <w:p w14:paraId="03A99532">
            <w:pPr>
              <w:spacing w:line="500" w:lineRule="exact"/>
              <w:jc w:val="center"/>
              <w:rPr>
                <w:rFonts w:ascii="宋体" w:hAnsi="宋体" w:cs="宋体"/>
                <w:color w:val="auto"/>
                <w:sz w:val="24"/>
                <w:highlight w:val="none"/>
              </w:rPr>
            </w:pPr>
            <w:r>
              <w:rPr>
                <w:rFonts w:hint="eastAsia" w:ascii="宋体" w:hAnsi="宋体" w:cs="宋体"/>
                <w:color w:val="auto"/>
                <w:spacing w:val="-7"/>
                <w:sz w:val="24"/>
                <w:highlight w:val="none"/>
              </w:rPr>
              <w:t>项目</w:t>
            </w:r>
          </w:p>
        </w:tc>
        <w:tc>
          <w:tcPr>
            <w:tcW w:w="749" w:type="dxa"/>
            <w:vAlign w:val="center"/>
          </w:tcPr>
          <w:p w14:paraId="70BAA39D">
            <w:pPr>
              <w:spacing w:line="500" w:lineRule="exact"/>
              <w:jc w:val="center"/>
              <w:rPr>
                <w:rFonts w:ascii="宋体" w:hAnsi="宋体" w:cs="宋体"/>
                <w:color w:val="auto"/>
                <w:sz w:val="24"/>
                <w:highlight w:val="none"/>
              </w:rPr>
            </w:pPr>
            <w:r>
              <w:rPr>
                <w:rFonts w:hint="eastAsia" w:ascii="宋体" w:hAnsi="宋体" w:cs="宋体"/>
                <w:color w:val="auto"/>
                <w:spacing w:val="5"/>
                <w:position w:val="17"/>
                <w:sz w:val="24"/>
                <w:highlight w:val="none"/>
              </w:rPr>
              <w:t>考核目标</w:t>
            </w:r>
          </w:p>
        </w:tc>
        <w:tc>
          <w:tcPr>
            <w:tcW w:w="4056" w:type="dxa"/>
            <w:vAlign w:val="center"/>
          </w:tcPr>
          <w:p w14:paraId="4987F9E4">
            <w:pPr>
              <w:spacing w:line="500" w:lineRule="exact"/>
              <w:jc w:val="center"/>
              <w:rPr>
                <w:rFonts w:ascii="宋体" w:hAnsi="宋体" w:cs="宋体"/>
                <w:color w:val="auto"/>
                <w:sz w:val="24"/>
                <w:highlight w:val="none"/>
              </w:rPr>
            </w:pPr>
            <w:r>
              <w:rPr>
                <w:rFonts w:hint="eastAsia" w:ascii="宋体" w:hAnsi="宋体" w:cs="宋体"/>
                <w:color w:val="auto"/>
                <w:spacing w:val="25"/>
                <w:sz w:val="24"/>
                <w:highlight w:val="none"/>
              </w:rPr>
              <w:t>考核细则</w:t>
            </w:r>
          </w:p>
        </w:tc>
        <w:tc>
          <w:tcPr>
            <w:tcW w:w="639" w:type="dxa"/>
            <w:vAlign w:val="center"/>
          </w:tcPr>
          <w:p w14:paraId="22E6407E">
            <w:pPr>
              <w:spacing w:line="500" w:lineRule="exact"/>
              <w:jc w:val="center"/>
              <w:rPr>
                <w:rFonts w:ascii="宋体" w:hAnsi="宋体" w:cs="宋体"/>
                <w:color w:val="auto"/>
                <w:sz w:val="24"/>
                <w:highlight w:val="none"/>
              </w:rPr>
            </w:pPr>
            <w:r>
              <w:rPr>
                <w:rFonts w:hint="eastAsia" w:ascii="宋体" w:hAnsi="宋体" w:cs="宋体"/>
                <w:color w:val="auto"/>
                <w:spacing w:val="5"/>
                <w:position w:val="17"/>
                <w:sz w:val="24"/>
                <w:highlight w:val="none"/>
              </w:rPr>
              <w:t>标准得分</w:t>
            </w:r>
          </w:p>
        </w:tc>
        <w:tc>
          <w:tcPr>
            <w:tcW w:w="599" w:type="dxa"/>
            <w:vAlign w:val="center"/>
          </w:tcPr>
          <w:p w14:paraId="55AA8BB2">
            <w:pPr>
              <w:spacing w:line="500" w:lineRule="exact"/>
              <w:jc w:val="center"/>
              <w:rPr>
                <w:rFonts w:ascii="宋体" w:hAnsi="宋体" w:cs="宋体"/>
                <w:color w:val="auto"/>
                <w:sz w:val="24"/>
                <w:highlight w:val="none"/>
              </w:rPr>
            </w:pPr>
            <w:r>
              <w:rPr>
                <w:rFonts w:hint="eastAsia" w:ascii="宋体" w:hAnsi="宋体" w:cs="宋体"/>
                <w:color w:val="auto"/>
                <w:spacing w:val="5"/>
                <w:position w:val="17"/>
                <w:sz w:val="24"/>
                <w:highlight w:val="none"/>
              </w:rPr>
              <w:t>实际得分</w:t>
            </w:r>
          </w:p>
        </w:tc>
        <w:tc>
          <w:tcPr>
            <w:tcW w:w="764" w:type="dxa"/>
            <w:vAlign w:val="center"/>
          </w:tcPr>
          <w:p w14:paraId="1C9FF12D">
            <w:pPr>
              <w:spacing w:line="500" w:lineRule="exact"/>
              <w:jc w:val="center"/>
              <w:rPr>
                <w:rFonts w:ascii="宋体" w:hAnsi="宋体" w:cs="宋体"/>
                <w:color w:val="auto"/>
                <w:sz w:val="24"/>
                <w:highlight w:val="none"/>
              </w:rPr>
            </w:pPr>
            <w:r>
              <w:rPr>
                <w:rFonts w:hint="eastAsia" w:ascii="宋体" w:hAnsi="宋体" w:cs="宋体"/>
                <w:color w:val="auto"/>
                <w:spacing w:val="5"/>
                <w:position w:val="17"/>
                <w:sz w:val="24"/>
                <w:highlight w:val="none"/>
              </w:rPr>
              <w:t>考核情况</w:t>
            </w:r>
          </w:p>
        </w:tc>
      </w:tr>
      <w:tr w14:paraId="4869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4" w:hRule="atLeast"/>
          <w:jc w:val="center"/>
        </w:trPr>
        <w:tc>
          <w:tcPr>
            <w:tcW w:w="1204" w:type="dxa"/>
            <w:vMerge w:val="restart"/>
            <w:vAlign w:val="center"/>
          </w:tcPr>
          <w:p w14:paraId="0C1968A3">
            <w:pPr>
              <w:jc w:val="center"/>
              <w:rPr>
                <w:rFonts w:ascii="宋体" w:hAnsi="宋体" w:cs="宋体"/>
                <w:color w:val="auto"/>
                <w:sz w:val="24"/>
                <w:highlight w:val="none"/>
              </w:rPr>
            </w:pPr>
            <w:r>
              <w:rPr>
                <w:rFonts w:hint="eastAsia" w:ascii="宋体" w:hAnsi="宋体" w:cs="宋体"/>
                <w:color w:val="auto"/>
                <w:spacing w:val="9"/>
                <w:sz w:val="24"/>
                <w:highlight w:val="none"/>
              </w:rPr>
              <w:t>一</w:t>
            </w:r>
            <w:r>
              <w:rPr>
                <w:rFonts w:hint="eastAsia" w:ascii="宋体" w:hAnsi="宋体" w:cs="宋体"/>
                <w:color w:val="auto"/>
                <w:sz w:val="24"/>
                <w:highlight w:val="none"/>
              </w:rPr>
              <w:t>、质量管理</w:t>
            </w:r>
          </w:p>
          <w:p w14:paraId="565EE674">
            <w:pPr>
              <w:jc w:val="center"/>
              <w:rPr>
                <w:rFonts w:ascii="宋体" w:hAnsi="宋体" w:cs="宋体"/>
                <w:color w:val="auto"/>
                <w:sz w:val="24"/>
                <w:highlight w:val="none"/>
              </w:rPr>
            </w:pPr>
            <w:r>
              <w:rPr>
                <w:rFonts w:hint="eastAsia" w:ascii="宋体" w:hAnsi="宋体" w:cs="宋体"/>
                <w:color w:val="auto"/>
                <w:spacing w:val="2"/>
                <w:sz w:val="24"/>
                <w:highlight w:val="none"/>
              </w:rPr>
              <w:t>目标（57分）</w:t>
            </w:r>
          </w:p>
        </w:tc>
        <w:tc>
          <w:tcPr>
            <w:tcW w:w="1618" w:type="dxa"/>
            <w:gridSpan w:val="2"/>
            <w:vAlign w:val="center"/>
          </w:tcPr>
          <w:p w14:paraId="4B1C7462">
            <w:pPr>
              <w:jc w:val="center"/>
              <w:rPr>
                <w:rFonts w:ascii="宋体" w:hAnsi="宋体" w:cs="宋体"/>
                <w:color w:val="auto"/>
                <w:sz w:val="24"/>
                <w:highlight w:val="none"/>
              </w:rPr>
            </w:pPr>
            <w:r>
              <w:rPr>
                <w:rFonts w:hint="eastAsia" w:ascii="宋体" w:hAnsi="宋体" w:cs="宋体"/>
                <w:color w:val="auto"/>
                <w:spacing w:val="1"/>
                <w:sz w:val="24"/>
                <w:highlight w:val="none"/>
              </w:rPr>
              <w:t>处理后排放水</w:t>
            </w:r>
            <w:r>
              <w:rPr>
                <w:rFonts w:hint="eastAsia" w:ascii="宋体" w:hAnsi="宋体" w:cs="宋体"/>
                <w:color w:val="auto"/>
                <w:spacing w:val="2"/>
                <w:sz w:val="24"/>
                <w:highlight w:val="none"/>
              </w:rPr>
              <w:t>质指标合格</w:t>
            </w:r>
            <w:r>
              <w:rPr>
                <w:rFonts w:hint="eastAsia" w:ascii="宋体" w:hAnsi="宋体" w:cs="宋体"/>
                <w:color w:val="auto"/>
                <w:spacing w:val="10"/>
                <w:sz w:val="24"/>
                <w:highlight w:val="none"/>
              </w:rPr>
              <w:t>(10分)</w:t>
            </w:r>
          </w:p>
        </w:tc>
        <w:tc>
          <w:tcPr>
            <w:tcW w:w="749" w:type="dxa"/>
            <w:vAlign w:val="center"/>
          </w:tcPr>
          <w:p w14:paraId="35BFAA33">
            <w:pPr>
              <w:jc w:val="center"/>
              <w:rPr>
                <w:rFonts w:ascii="宋体" w:hAnsi="宋体" w:cs="宋体"/>
                <w:color w:val="auto"/>
                <w:sz w:val="24"/>
                <w:highlight w:val="none"/>
              </w:rPr>
            </w:pPr>
            <w:r>
              <w:rPr>
                <w:rFonts w:hint="eastAsia" w:ascii="宋体" w:hAnsi="宋体" w:cs="宋体"/>
                <w:color w:val="auto"/>
                <w:spacing w:val="-6"/>
                <w:sz w:val="24"/>
                <w:highlight w:val="none"/>
              </w:rPr>
              <w:t>100%</w:t>
            </w:r>
          </w:p>
        </w:tc>
        <w:tc>
          <w:tcPr>
            <w:tcW w:w="4056" w:type="dxa"/>
            <w:vAlign w:val="center"/>
          </w:tcPr>
          <w:p w14:paraId="24997203">
            <w:pPr>
              <w:rPr>
                <w:rFonts w:ascii="宋体" w:hAnsi="宋体" w:cs="宋体"/>
                <w:color w:val="auto"/>
                <w:sz w:val="24"/>
                <w:highlight w:val="none"/>
              </w:rPr>
            </w:pPr>
            <w:r>
              <w:rPr>
                <w:rFonts w:hint="eastAsia" w:ascii="宋体" w:hAnsi="宋体" w:cs="宋体"/>
                <w:color w:val="auto"/>
                <w:spacing w:val="10"/>
                <w:sz w:val="24"/>
                <w:highlight w:val="none"/>
              </w:rPr>
              <w:t>污水处理质量对在线监测系统CODcr、BOD</w:t>
            </w:r>
            <w:r>
              <w:rPr>
                <w:rFonts w:hint="eastAsia" w:ascii="宋体" w:hAnsi="宋体" w:cs="宋体"/>
                <w:color w:val="auto"/>
                <w:spacing w:val="10"/>
                <w:sz w:val="24"/>
                <w:highlight w:val="none"/>
                <w:vertAlign w:val="subscript"/>
              </w:rPr>
              <w:t>5</w:t>
            </w:r>
            <w:r>
              <w:rPr>
                <w:rFonts w:hint="eastAsia" w:ascii="宋体" w:hAnsi="宋体" w:cs="宋体"/>
                <w:color w:val="auto"/>
                <w:spacing w:val="10"/>
                <w:sz w:val="24"/>
                <w:highlight w:val="none"/>
              </w:rPr>
              <w:t>、SS、TN、NH</w:t>
            </w:r>
            <w:r>
              <w:rPr>
                <w:rFonts w:hint="eastAsia" w:ascii="宋体" w:hAnsi="宋体" w:cs="宋体"/>
                <w:color w:val="auto"/>
                <w:spacing w:val="10"/>
                <w:sz w:val="24"/>
                <w:highlight w:val="none"/>
                <w:vertAlign w:val="subscript"/>
              </w:rPr>
              <w:t>3</w:t>
            </w:r>
            <w:r>
              <w:rPr>
                <w:rFonts w:hint="eastAsia" w:ascii="宋体" w:hAnsi="宋体" w:cs="宋体"/>
                <w:color w:val="auto"/>
                <w:spacing w:val="10"/>
                <w:sz w:val="24"/>
                <w:highlight w:val="none"/>
              </w:rPr>
              <w:t>-N、TP、ph等(以系统可监测指标及季度检测报告等为准)进行考核。有一项不达标为一天不达标，在线设备故障亦视同不达标，一天不达标扣0.3分，扣完10分为止。</w:t>
            </w:r>
          </w:p>
        </w:tc>
        <w:tc>
          <w:tcPr>
            <w:tcW w:w="639" w:type="dxa"/>
            <w:vAlign w:val="center"/>
          </w:tcPr>
          <w:p w14:paraId="70E1342D">
            <w:pPr>
              <w:jc w:val="center"/>
              <w:rPr>
                <w:rFonts w:ascii="宋体" w:hAnsi="宋体" w:cs="宋体"/>
                <w:color w:val="auto"/>
                <w:sz w:val="24"/>
                <w:highlight w:val="none"/>
              </w:rPr>
            </w:pPr>
            <w:r>
              <w:rPr>
                <w:rFonts w:hint="eastAsia" w:ascii="宋体" w:hAnsi="宋体" w:cs="宋体"/>
                <w:color w:val="auto"/>
                <w:spacing w:val="3"/>
                <w:sz w:val="24"/>
                <w:highlight w:val="none"/>
              </w:rPr>
              <w:t>10分</w:t>
            </w:r>
          </w:p>
        </w:tc>
        <w:tc>
          <w:tcPr>
            <w:tcW w:w="599" w:type="dxa"/>
            <w:vAlign w:val="center"/>
          </w:tcPr>
          <w:p w14:paraId="70E0AF9C">
            <w:pPr>
              <w:jc w:val="center"/>
              <w:rPr>
                <w:rFonts w:ascii="宋体" w:hAnsi="宋体" w:cs="宋体"/>
                <w:color w:val="auto"/>
                <w:sz w:val="24"/>
                <w:highlight w:val="none"/>
              </w:rPr>
            </w:pPr>
          </w:p>
        </w:tc>
        <w:tc>
          <w:tcPr>
            <w:tcW w:w="764" w:type="dxa"/>
            <w:vAlign w:val="center"/>
          </w:tcPr>
          <w:p w14:paraId="2E87E91F">
            <w:pPr>
              <w:jc w:val="center"/>
              <w:rPr>
                <w:rFonts w:ascii="宋体" w:hAnsi="宋体" w:cs="宋体"/>
                <w:color w:val="auto"/>
                <w:sz w:val="24"/>
                <w:highlight w:val="none"/>
              </w:rPr>
            </w:pPr>
          </w:p>
        </w:tc>
      </w:tr>
      <w:tr w14:paraId="325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3" w:hRule="atLeast"/>
          <w:jc w:val="center"/>
        </w:trPr>
        <w:tc>
          <w:tcPr>
            <w:tcW w:w="1204" w:type="dxa"/>
            <w:vMerge w:val="continue"/>
            <w:vAlign w:val="center"/>
          </w:tcPr>
          <w:p w14:paraId="3CC3A822">
            <w:pPr>
              <w:jc w:val="center"/>
              <w:rPr>
                <w:rFonts w:ascii="宋体" w:hAnsi="宋体" w:cs="宋体"/>
                <w:color w:val="auto"/>
                <w:sz w:val="24"/>
                <w:highlight w:val="none"/>
              </w:rPr>
            </w:pPr>
          </w:p>
        </w:tc>
        <w:tc>
          <w:tcPr>
            <w:tcW w:w="1618" w:type="dxa"/>
            <w:gridSpan w:val="2"/>
            <w:vAlign w:val="center"/>
          </w:tcPr>
          <w:p w14:paraId="2D765E64">
            <w:pPr>
              <w:jc w:val="center"/>
              <w:rPr>
                <w:rFonts w:ascii="宋体" w:hAnsi="宋体" w:cs="宋体"/>
                <w:color w:val="auto"/>
                <w:sz w:val="24"/>
                <w:highlight w:val="none"/>
              </w:rPr>
            </w:pPr>
            <w:r>
              <w:rPr>
                <w:rFonts w:hint="eastAsia" w:ascii="宋体" w:hAnsi="宋体" w:cs="宋体"/>
                <w:color w:val="auto"/>
                <w:spacing w:val="4"/>
                <w:sz w:val="24"/>
                <w:highlight w:val="none"/>
              </w:rPr>
              <w:t>环境监测部门或主管部门</w:t>
            </w:r>
            <w:r>
              <w:rPr>
                <w:rFonts w:hint="eastAsia" w:ascii="宋体" w:hAnsi="宋体" w:cs="宋体"/>
                <w:color w:val="auto"/>
                <w:spacing w:val="-2"/>
                <w:sz w:val="24"/>
                <w:highlight w:val="none"/>
              </w:rPr>
              <w:t>抽检合格率</w:t>
            </w:r>
            <w:r>
              <w:rPr>
                <w:rFonts w:hint="eastAsia" w:ascii="宋体" w:hAnsi="宋体" w:cs="宋体"/>
                <w:color w:val="auto"/>
                <w:spacing w:val="10"/>
                <w:sz w:val="24"/>
                <w:highlight w:val="none"/>
              </w:rPr>
              <w:t>(8分)</w:t>
            </w:r>
          </w:p>
        </w:tc>
        <w:tc>
          <w:tcPr>
            <w:tcW w:w="749" w:type="dxa"/>
            <w:vAlign w:val="center"/>
          </w:tcPr>
          <w:p w14:paraId="636F3017">
            <w:pPr>
              <w:jc w:val="center"/>
              <w:rPr>
                <w:rFonts w:ascii="宋体" w:hAnsi="宋体" w:cs="宋体"/>
                <w:color w:val="auto"/>
                <w:sz w:val="24"/>
                <w:highlight w:val="none"/>
              </w:rPr>
            </w:pPr>
            <w:r>
              <w:rPr>
                <w:rFonts w:hint="eastAsia" w:ascii="宋体" w:hAnsi="宋体" w:cs="宋体"/>
                <w:color w:val="auto"/>
                <w:spacing w:val="-6"/>
                <w:sz w:val="24"/>
                <w:highlight w:val="none"/>
              </w:rPr>
              <w:t>100%</w:t>
            </w:r>
          </w:p>
        </w:tc>
        <w:tc>
          <w:tcPr>
            <w:tcW w:w="4056" w:type="dxa"/>
            <w:vAlign w:val="center"/>
          </w:tcPr>
          <w:p w14:paraId="2D8CC050">
            <w:pPr>
              <w:rPr>
                <w:rFonts w:ascii="宋体" w:hAnsi="宋体" w:cs="宋体"/>
                <w:color w:val="auto"/>
                <w:sz w:val="24"/>
                <w:highlight w:val="none"/>
              </w:rPr>
            </w:pPr>
            <w:r>
              <w:rPr>
                <w:rFonts w:hint="eastAsia" w:ascii="宋体" w:hAnsi="宋体" w:cs="宋体"/>
                <w:color w:val="auto"/>
                <w:spacing w:val="10"/>
                <w:sz w:val="24"/>
                <w:highlight w:val="none"/>
              </w:rPr>
              <w:t>一次抽检不合格扣4分；二次抽检不合格扣完8分。</w:t>
            </w:r>
          </w:p>
        </w:tc>
        <w:tc>
          <w:tcPr>
            <w:tcW w:w="639" w:type="dxa"/>
            <w:vAlign w:val="center"/>
          </w:tcPr>
          <w:p w14:paraId="290A8CAB">
            <w:pPr>
              <w:jc w:val="center"/>
              <w:rPr>
                <w:rFonts w:ascii="宋体" w:hAnsi="宋体" w:cs="宋体"/>
                <w:color w:val="auto"/>
                <w:sz w:val="24"/>
                <w:highlight w:val="none"/>
              </w:rPr>
            </w:pPr>
            <w:r>
              <w:rPr>
                <w:rFonts w:hint="eastAsia" w:ascii="宋体" w:hAnsi="宋体" w:cs="宋体"/>
                <w:color w:val="auto"/>
                <w:spacing w:val="3"/>
                <w:sz w:val="24"/>
                <w:highlight w:val="none"/>
              </w:rPr>
              <w:t>8分</w:t>
            </w:r>
          </w:p>
        </w:tc>
        <w:tc>
          <w:tcPr>
            <w:tcW w:w="599" w:type="dxa"/>
            <w:vAlign w:val="center"/>
          </w:tcPr>
          <w:p w14:paraId="40E4F4DA">
            <w:pPr>
              <w:jc w:val="center"/>
              <w:rPr>
                <w:rFonts w:ascii="宋体" w:hAnsi="宋体" w:cs="宋体"/>
                <w:color w:val="auto"/>
                <w:sz w:val="24"/>
                <w:highlight w:val="none"/>
              </w:rPr>
            </w:pPr>
          </w:p>
        </w:tc>
        <w:tc>
          <w:tcPr>
            <w:tcW w:w="764" w:type="dxa"/>
            <w:vAlign w:val="center"/>
          </w:tcPr>
          <w:p w14:paraId="1F305AD6">
            <w:pPr>
              <w:jc w:val="center"/>
              <w:rPr>
                <w:rFonts w:ascii="宋体" w:hAnsi="宋体" w:cs="宋体"/>
                <w:color w:val="auto"/>
                <w:sz w:val="24"/>
                <w:highlight w:val="none"/>
              </w:rPr>
            </w:pPr>
          </w:p>
        </w:tc>
      </w:tr>
      <w:tr w14:paraId="1F99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jc w:val="center"/>
        </w:trPr>
        <w:tc>
          <w:tcPr>
            <w:tcW w:w="1204" w:type="dxa"/>
            <w:vMerge w:val="continue"/>
            <w:vAlign w:val="center"/>
          </w:tcPr>
          <w:p w14:paraId="2925B948">
            <w:pPr>
              <w:jc w:val="center"/>
              <w:rPr>
                <w:rFonts w:ascii="宋体" w:hAnsi="宋体" w:cs="宋体"/>
                <w:color w:val="auto"/>
                <w:sz w:val="24"/>
                <w:highlight w:val="none"/>
              </w:rPr>
            </w:pPr>
          </w:p>
        </w:tc>
        <w:tc>
          <w:tcPr>
            <w:tcW w:w="1618" w:type="dxa"/>
            <w:gridSpan w:val="2"/>
            <w:vAlign w:val="center"/>
          </w:tcPr>
          <w:p w14:paraId="06077C59">
            <w:pPr>
              <w:jc w:val="center"/>
              <w:rPr>
                <w:rFonts w:ascii="宋体" w:hAnsi="宋体" w:cs="宋体"/>
                <w:color w:val="auto"/>
                <w:spacing w:val="10"/>
                <w:sz w:val="24"/>
                <w:highlight w:val="none"/>
              </w:rPr>
            </w:pPr>
            <w:r>
              <w:rPr>
                <w:rFonts w:hint="eastAsia" w:ascii="宋体" w:hAnsi="宋体" w:cs="宋体"/>
                <w:color w:val="auto"/>
                <w:spacing w:val="10"/>
                <w:sz w:val="24"/>
                <w:highlight w:val="none"/>
              </w:rPr>
              <w:t>被上级部门通报(8分)</w:t>
            </w:r>
          </w:p>
        </w:tc>
        <w:tc>
          <w:tcPr>
            <w:tcW w:w="749" w:type="dxa"/>
            <w:vAlign w:val="center"/>
          </w:tcPr>
          <w:p w14:paraId="515CFCEF">
            <w:pPr>
              <w:jc w:val="center"/>
              <w:rPr>
                <w:rFonts w:ascii="宋体" w:hAnsi="宋体" w:cs="宋体"/>
                <w:color w:val="auto"/>
                <w:spacing w:val="-6"/>
                <w:sz w:val="24"/>
                <w:highlight w:val="none"/>
              </w:rPr>
            </w:pPr>
            <w:r>
              <w:rPr>
                <w:rFonts w:hint="eastAsia" w:ascii="宋体" w:hAnsi="宋体" w:cs="宋体"/>
                <w:color w:val="auto"/>
                <w:spacing w:val="-6"/>
                <w:sz w:val="24"/>
                <w:highlight w:val="none"/>
              </w:rPr>
              <w:t>100%</w:t>
            </w:r>
          </w:p>
        </w:tc>
        <w:tc>
          <w:tcPr>
            <w:tcW w:w="4056" w:type="dxa"/>
            <w:vAlign w:val="center"/>
          </w:tcPr>
          <w:p w14:paraId="1945393D">
            <w:pPr>
              <w:rPr>
                <w:rFonts w:ascii="宋体" w:hAnsi="宋体" w:cs="宋体"/>
                <w:color w:val="auto"/>
                <w:spacing w:val="10"/>
                <w:sz w:val="24"/>
                <w:highlight w:val="none"/>
              </w:rPr>
            </w:pPr>
            <w:r>
              <w:rPr>
                <w:rFonts w:hint="eastAsia" w:ascii="宋体" w:hAnsi="宋体" w:cs="宋体"/>
                <w:color w:val="auto"/>
                <w:spacing w:val="10"/>
                <w:sz w:val="24"/>
                <w:highlight w:val="none"/>
              </w:rPr>
              <w:t>被通报一次扣4分；被通报两次扣完8分。</w:t>
            </w:r>
          </w:p>
        </w:tc>
        <w:tc>
          <w:tcPr>
            <w:tcW w:w="639" w:type="dxa"/>
            <w:vAlign w:val="center"/>
          </w:tcPr>
          <w:p w14:paraId="66E82F86">
            <w:pPr>
              <w:jc w:val="center"/>
              <w:rPr>
                <w:rFonts w:ascii="宋体" w:hAnsi="宋体" w:cs="宋体"/>
                <w:color w:val="auto"/>
                <w:spacing w:val="3"/>
                <w:sz w:val="24"/>
                <w:highlight w:val="none"/>
              </w:rPr>
            </w:pPr>
            <w:r>
              <w:rPr>
                <w:rFonts w:hint="eastAsia" w:ascii="宋体" w:hAnsi="宋体" w:cs="宋体"/>
                <w:color w:val="auto"/>
                <w:spacing w:val="3"/>
                <w:sz w:val="24"/>
                <w:highlight w:val="none"/>
              </w:rPr>
              <w:t>8分</w:t>
            </w:r>
          </w:p>
        </w:tc>
        <w:tc>
          <w:tcPr>
            <w:tcW w:w="599" w:type="dxa"/>
            <w:vAlign w:val="center"/>
          </w:tcPr>
          <w:p w14:paraId="231DDDBA">
            <w:pPr>
              <w:jc w:val="center"/>
              <w:rPr>
                <w:rFonts w:ascii="宋体" w:hAnsi="宋体" w:cs="宋体"/>
                <w:color w:val="auto"/>
                <w:sz w:val="24"/>
                <w:highlight w:val="none"/>
              </w:rPr>
            </w:pPr>
          </w:p>
        </w:tc>
        <w:tc>
          <w:tcPr>
            <w:tcW w:w="764" w:type="dxa"/>
            <w:vAlign w:val="center"/>
          </w:tcPr>
          <w:p w14:paraId="5A87F270">
            <w:pPr>
              <w:jc w:val="center"/>
              <w:rPr>
                <w:rFonts w:ascii="宋体" w:hAnsi="宋体" w:cs="宋体"/>
                <w:color w:val="auto"/>
                <w:sz w:val="24"/>
                <w:highlight w:val="none"/>
              </w:rPr>
            </w:pPr>
          </w:p>
        </w:tc>
      </w:tr>
      <w:tr w14:paraId="28E9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jc w:val="center"/>
        </w:trPr>
        <w:tc>
          <w:tcPr>
            <w:tcW w:w="1204" w:type="dxa"/>
            <w:vMerge w:val="continue"/>
            <w:vAlign w:val="center"/>
          </w:tcPr>
          <w:p w14:paraId="666CD196">
            <w:pPr>
              <w:jc w:val="center"/>
              <w:rPr>
                <w:rFonts w:ascii="宋体" w:hAnsi="宋体" w:cs="宋体"/>
                <w:color w:val="auto"/>
                <w:sz w:val="24"/>
                <w:highlight w:val="none"/>
              </w:rPr>
            </w:pPr>
          </w:p>
        </w:tc>
        <w:tc>
          <w:tcPr>
            <w:tcW w:w="1618" w:type="dxa"/>
            <w:gridSpan w:val="2"/>
            <w:vAlign w:val="center"/>
          </w:tcPr>
          <w:p w14:paraId="410955DB">
            <w:pPr>
              <w:jc w:val="center"/>
              <w:rPr>
                <w:rFonts w:ascii="宋体" w:hAnsi="宋体" w:cs="宋体"/>
                <w:color w:val="auto"/>
                <w:sz w:val="24"/>
                <w:highlight w:val="none"/>
              </w:rPr>
            </w:pPr>
            <w:r>
              <w:rPr>
                <w:rFonts w:hint="eastAsia" w:ascii="宋体" w:hAnsi="宋体" w:cs="宋体"/>
                <w:color w:val="auto"/>
                <w:spacing w:val="2"/>
                <w:sz w:val="24"/>
                <w:highlight w:val="none"/>
              </w:rPr>
              <w:t>噪音等其他污染物排放</w:t>
            </w:r>
            <w:r>
              <w:rPr>
                <w:rFonts w:hint="eastAsia" w:ascii="宋体" w:hAnsi="宋体" w:cs="宋体"/>
                <w:color w:val="auto"/>
                <w:spacing w:val="10"/>
                <w:sz w:val="24"/>
                <w:highlight w:val="none"/>
              </w:rPr>
              <w:t>(2分)</w:t>
            </w:r>
          </w:p>
        </w:tc>
        <w:tc>
          <w:tcPr>
            <w:tcW w:w="749" w:type="dxa"/>
            <w:vAlign w:val="center"/>
          </w:tcPr>
          <w:p w14:paraId="720BEC78">
            <w:pPr>
              <w:jc w:val="center"/>
              <w:rPr>
                <w:rFonts w:ascii="宋体" w:hAnsi="宋体" w:cs="宋体"/>
                <w:color w:val="auto"/>
                <w:sz w:val="24"/>
                <w:highlight w:val="none"/>
              </w:rPr>
            </w:pPr>
            <w:r>
              <w:rPr>
                <w:rFonts w:hint="eastAsia" w:ascii="宋体" w:hAnsi="宋体" w:cs="宋体"/>
                <w:color w:val="auto"/>
                <w:spacing w:val="-6"/>
                <w:sz w:val="24"/>
                <w:highlight w:val="none"/>
              </w:rPr>
              <w:t>100%</w:t>
            </w:r>
          </w:p>
        </w:tc>
        <w:tc>
          <w:tcPr>
            <w:tcW w:w="4056" w:type="dxa"/>
            <w:vAlign w:val="center"/>
          </w:tcPr>
          <w:p w14:paraId="0E3143EC">
            <w:pPr>
              <w:rPr>
                <w:rFonts w:ascii="宋体" w:hAnsi="宋体" w:cs="宋体"/>
                <w:color w:val="auto"/>
                <w:sz w:val="24"/>
                <w:highlight w:val="none"/>
              </w:rPr>
            </w:pPr>
            <w:r>
              <w:rPr>
                <w:rFonts w:hint="eastAsia" w:ascii="宋体" w:hAnsi="宋体" w:cs="宋体"/>
                <w:color w:val="auto"/>
                <w:spacing w:val="-1"/>
                <w:sz w:val="24"/>
                <w:highlight w:val="none"/>
              </w:rPr>
              <w:t>根据环境监测部门对噪音、臭气排放</w:t>
            </w:r>
            <w:r>
              <w:rPr>
                <w:rFonts w:hint="eastAsia" w:ascii="宋体" w:hAnsi="宋体" w:cs="宋体"/>
                <w:color w:val="auto"/>
                <w:sz w:val="24"/>
                <w:highlight w:val="none"/>
              </w:rPr>
              <w:t>等其他污染物指标抽检结果采用扣分</w:t>
            </w:r>
            <w:r>
              <w:rPr>
                <w:rFonts w:hint="eastAsia" w:ascii="宋体" w:hAnsi="宋体" w:cs="宋体"/>
                <w:color w:val="auto"/>
                <w:spacing w:val="1"/>
                <w:sz w:val="24"/>
                <w:highlight w:val="none"/>
              </w:rPr>
              <w:t>制。一项检查指标不合格扣0.1分。</w:t>
            </w:r>
          </w:p>
        </w:tc>
        <w:tc>
          <w:tcPr>
            <w:tcW w:w="639" w:type="dxa"/>
            <w:vAlign w:val="center"/>
          </w:tcPr>
          <w:p w14:paraId="4E1666BF">
            <w:pPr>
              <w:jc w:val="center"/>
              <w:rPr>
                <w:rFonts w:ascii="宋体" w:hAnsi="宋体" w:cs="宋体"/>
                <w:color w:val="auto"/>
                <w:sz w:val="24"/>
                <w:highlight w:val="none"/>
              </w:rPr>
            </w:pPr>
            <w:r>
              <w:rPr>
                <w:rFonts w:hint="eastAsia" w:ascii="宋体" w:hAnsi="宋体" w:cs="宋体"/>
                <w:color w:val="auto"/>
                <w:spacing w:val="3"/>
                <w:sz w:val="24"/>
                <w:highlight w:val="none"/>
              </w:rPr>
              <w:t>2分</w:t>
            </w:r>
          </w:p>
        </w:tc>
        <w:tc>
          <w:tcPr>
            <w:tcW w:w="599" w:type="dxa"/>
            <w:vAlign w:val="center"/>
          </w:tcPr>
          <w:p w14:paraId="691497E3">
            <w:pPr>
              <w:jc w:val="center"/>
              <w:rPr>
                <w:rFonts w:ascii="宋体" w:hAnsi="宋体" w:cs="宋体"/>
                <w:color w:val="auto"/>
                <w:sz w:val="24"/>
                <w:highlight w:val="none"/>
              </w:rPr>
            </w:pPr>
          </w:p>
        </w:tc>
        <w:tc>
          <w:tcPr>
            <w:tcW w:w="764" w:type="dxa"/>
            <w:vAlign w:val="center"/>
          </w:tcPr>
          <w:p w14:paraId="3A738473">
            <w:pPr>
              <w:jc w:val="center"/>
              <w:rPr>
                <w:rFonts w:ascii="宋体" w:hAnsi="宋体" w:cs="宋体"/>
                <w:color w:val="auto"/>
                <w:sz w:val="24"/>
                <w:highlight w:val="none"/>
              </w:rPr>
            </w:pPr>
          </w:p>
        </w:tc>
      </w:tr>
      <w:tr w14:paraId="2080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1204" w:type="dxa"/>
            <w:vMerge w:val="continue"/>
            <w:vAlign w:val="center"/>
          </w:tcPr>
          <w:p w14:paraId="7716AC68">
            <w:pPr>
              <w:jc w:val="center"/>
              <w:rPr>
                <w:rFonts w:ascii="宋体" w:hAnsi="宋体" w:cs="宋体"/>
                <w:color w:val="auto"/>
                <w:sz w:val="24"/>
                <w:highlight w:val="none"/>
              </w:rPr>
            </w:pPr>
          </w:p>
        </w:tc>
        <w:tc>
          <w:tcPr>
            <w:tcW w:w="1618" w:type="dxa"/>
            <w:gridSpan w:val="2"/>
            <w:vMerge w:val="restart"/>
            <w:vAlign w:val="center"/>
          </w:tcPr>
          <w:p w14:paraId="79B7D148">
            <w:pPr>
              <w:jc w:val="center"/>
              <w:rPr>
                <w:rFonts w:ascii="宋体" w:hAnsi="宋体" w:cs="宋体"/>
                <w:color w:val="auto"/>
                <w:spacing w:val="10"/>
                <w:sz w:val="24"/>
                <w:highlight w:val="none"/>
              </w:rPr>
            </w:pPr>
            <w:r>
              <w:rPr>
                <w:rFonts w:hint="eastAsia" w:ascii="宋体" w:hAnsi="宋体" w:cs="宋体"/>
                <w:color w:val="auto"/>
                <w:spacing w:val="10"/>
                <w:sz w:val="24"/>
                <w:highlight w:val="none"/>
              </w:rPr>
              <w:t>负荷率</w:t>
            </w:r>
          </w:p>
          <w:p w14:paraId="42C0B81D">
            <w:pPr>
              <w:jc w:val="center"/>
              <w:rPr>
                <w:rFonts w:ascii="宋体" w:hAnsi="宋体" w:cs="宋体"/>
                <w:color w:val="auto"/>
                <w:spacing w:val="10"/>
                <w:sz w:val="24"/>
                <w:highlight w:val="none"/>
              </w:rPr>
            </w:pPr>
            <w:r>
              <w:rPr>
                <w:rFonts w:hint="eastAsia" w:ascii="宋体" w:hAnsi="宋体" w:cs="宋体"/>
                <w:color w:val="auto"/>
                <w:spacing w:val="10"/>
                <w:sz w:val="24"/>
                <w:highlight w:val="none"/>
              </w:rPr>
              <w:t>(21分)</w:t>
            </w:r>
          </w:p>
        </w:tc>
        <w:tc>
          <w:tcPr>
            <w:tcW w:w="749" w:type="dxa"/>
            <w:vMerge w:val="restart"/>
            <w:vAlign w:val="center"/>
          </w:tcPr>
          <w:p w14:paraId="6000AE06">
            <w:pPr>
              <w:jc w:val="center"/>
              <w:rPr>
                <w:rFonts w:ascii="宋体" w:hAnsi="宋体" w:cs="宋体"/>
                <w:color w:val="auto"/>
                <w:spacing w:val="-6"/>
                <w:sz w:val="24"/>
                <w:highlight w:val="none"/>
              </w:rPr>
            </w:pPr>
            <w:r>
              <w:rPr>
                <w:rFonts w:hint="eastAsia" w:ascii="宋体" w:hAnsi="宋体" w:cs="宋体"/>
                <w:color w:val="auto"/>
                <w:spacing w:val="-6"/>
                <w:sz w:val="24"/>
                <w:highlight w:val="none"/>
              </w:rPr>
              <w:t>100%</w:t>
            </w:r>
          </w:p>
        </w:tc>
        <w:tc>
          <w:tcPr>
            <w:tcW w:w="4056" w:type="dxa"/>
            <w:vAlign w:val="center"/>
          </w:tcPr>
          <w:p w14:paraId="10113BB0">
            <w:pPr>
              <w:rPr>
                <w:rFonts w:ascii="宋体" w:hAnsi="宋体" w:cs="宋体"/>
                <w:color w:val="auto"/>
                <w:spacing w:val="-1"/>
                <w:sz w:val="24"/>
                <w:highlight w:val="none"/>
              </w:rPr>
            </w:pPr>
            <w:r>
              <w:rPr>
                <w:rFonts w:hint="eastAsia" w:ascii="宋体" w:hAnsi="宋体" w:cs="宋体"/>
                <w:color w:val="auto"/>
                <w:spacing w:val="-1"/>
                <w:sz w:val="24"/>
                <w:highlight w:val="none"/>
              </w:rPr>
              <w:t>每季度平均运行负荷率同比比每低1个百分点扣1分，最高扣12分；每季度平均运行负荷率同比比每上升1个百分点得1分，最高得12分。</w:t>
            </w:r>
          </w:p>
        </w:tc>
        <w:tc>
          <w:tcPr>
            <w:tcW w:w="639" w:type="dxa"/>
            <w:vAlign w:val="center"/>
          </w:tcPr>
          <w:p w14:paraId="40D5B743">
            <w:pPr>
              <w:jc w:val="center"/>
              <w:rPr>
                <w:rFonts w:ascii="宋体" w:hAnsi="宋体" w:cs="宋体"/>
                <w:color w:val="auto"/>
                <w:spacing w:val="3"/>
                <w:sz w:val="24"/>
                <w:highlight w:val="none"/>
              </w:rPr>
            </w:pPr>
            <w:r>
              <w:rPr>
                <w:rFonts w:hint="eastAsia" w:ascii="宋体" w:hAnsi="宋体" w:cs="宋体"/>
                <w:color w:val="auto"/>
                <w:spacing w:val="3"/>
                <w:sz w:val="24"/>
                <w:highlight w:val="none"/>
              </w:rPr>
              <w:t>12分</w:t>
            </w:r>
          </w:p>
        </w:tc>
        <w:tc>
          <w:tcPr>
            <w:tcW w:w="599" w:type="dxa"/>
            <w:vAlign w:val="center"/>
          </w:tcPr>
          <w:p w14:paraId="75F15846">
            <w:pPr>
              <w:jc w:val="center"/>
              <w:rPr>
                <w:rFonts w:ascii="宋体" w:hAnsi="宋体" w:cs="宋体"/>
                <w:color w:val="auto"/>
                <w:sz w:val="24"/>
                <w:highlight w:val="none"/>
              </w:rPr>
            </w:pPr>
          </w:p>
        </w:tc>
        <w:tc>
          <w:tcPr>
            <w:tcW w:w="764" w:type="dxa"/>
            <w:vAlign w:val="center"/>
          </w:tcPr>
          <w:p w14:paraId="67253233">
            <w:pPr>
              <w:jc w:val="center"/>
              <w:rPr>
                <w:rFonts w:ascii="宋体" w:hAnsi="宋体" w:cs="宋体"/>
                <w:color w:val="auto"/>
                <w:sz w:val="24"/>
                <w:highlight w:val="none"/>
              </w:rPr>
            </w:pPr>
          </w:p>
        </w:tc>
      </w:tr>
      <w:tr w14:paraId="2402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2" w:hRule="atLeast"/>
          <w:jc w:val="center"/>
        </w:trPr>
        <w:tc>
          <w:tcPr>
            <w:tcW w:w="1204" w:type="dxa"/>
            <w:vMerge w:val="continue"/>
            <w:vAlign w:val="center"/>
          </w:tcPr>
          <w:p w14:paraId="28E473C0">
            <w:pPr>
              <w:ind w:firstLine="480" w:firstLineChars="200"/>
              <w:rPr>
                <w:rFonts w:ascii="宋体" w:hAnsi="宋体" w:cs="宋体"/>
                <w:color w:val="auto"/>
                <w:sz w:val="24"/>
                <w:highlight w:val="none"/>
              </w:rPr>
            </w:pPr>
          </w:p>
        </w:tc>
        <w:tc>
          <w:tcPr>
            <w:tcW w:w="1618" w:type="dxa"/>
            <w:gridSpan w:val="2"/>
            <w:vMerge w:val="continue"/>
            <w:vAlign w:val="center"/>
          </w:tcPr>
          <w:p w14:paraId="469765DD">
            <w:pPr>
              <w:ind w:firstLine="480" w:firstLineChars="200"/>
              <w:rPr>
                <w:rFonts w:ascii="宋体" w:hAnsi="宋体" w:cs="宋体"/>
                <w:color w:val="auto"/>
                <w:sz w:val="24"/>
                <w:highlight w:val="none"/>
              </w:rPr>
            </w:pPr>
          </w:p>
        </w:tc>
        <w:tc>
          <w:tcPr>
            <w:tcW w:w="749" w:type="dxa"/>
            <w:vMerge w:val="continue"/>
            <w:vAlign w:val="center"/>
          </w:tcPr>
          <w:p w14:paraId="58DC42B5">
            <w:pPr>
              <w:ind w:firstLine="480" w:firstLineChars="200"/>
              <w:rPr>
                <w:rFonts w:ascii="宋体" w:hAnsi="宋体" w:cs="宋体"/>
                <w:color w:val="auto"/>
                <w:sz w:val="24"/>
                <w:highlight w:val="none"/>
              </w:rPr>
            </w:pPr>
          </w:p>
        </w:tc>
        <w:tc>
          <w:tcPr>
            <w:tcW w:w="4056" w:type="dxa"/>
            <w:vAlign w:val="center"/>
          </w:tcPr>
          <w:p w14:paraId="5F7D53AD">
            <w:pPr>
              <w:rPr>
                <w:rFonts w:ascii="宋体" w:hAnsi="宋体" w:cs="宋体"/>
                <w:color w:val="auto"/>
                <w:spacing w:val="-1"/>
                <w:sz w:val="24"/>
                <w:highlight w:val="none"/>
              </w:rPr>
            </w:pPr>
            <w:r>
              <w:rPr>
                <w:rFonts w:hint="eastAsia" w:ascii="宋体" w:hAnsi="宋体" w:cs="宋体"/>
                <w:color w:val="auto"/>
                <w:spacing w:val="-1"/>
                <w:sz w:val="24"/>
                <w:highlight w:val="none"/>
              </w:rPr>
              <w:t>污水处理厂的负荷率应满足相关要求，其中:</w:t>
            </w:r>
          </w:p>
          <w:p w14:paraId="235F2A61">
            <w:pPr>
              <w:rPr>
                <w:rFonts w:ascii="宋体" w:hAnsi="宋体" w:cs="宋体"/>
                <w:color w:val="auto"/>
                <w:spacing w:val="-1"/>
                <w:sz w:val="24"/>
                <w:highlight w:val="none"/>
              </w:rPr>
            </w:pPr>
            <w:r>
              <w:rPr>
                <w:rFonts w:hint="eastAsia" w:ascii="宋体" w:hAnsi="宋体" w:cs="宋体"/>
                <w:color w:val="auto"/>
                <w:spacing w:val="-1"/>
                <w:sz w:val="24"/>
                <w:highlight w:val="none"/>
              </w:rPr>
              <w:t>1.沙头镇污水处理厂(按建设规模1500m³/d考核）:负荷率≥70%得9分，60-70%得6分，50-60%得4分，＜50%不得分。</w:t>
            </w:r>
          </w:p>
          <w:p w14:paraId="27C0E425">
            <w:pPr>
              <w:rPr>
                <w:rFonts w:ascii="宋体" w:hAnsi="宋体" w:cs="宋体"/>
                <w:color w:val="auto"/>
                <w:spacing w:val="-1"/>
                <w:sz w:val="24"/>
                <w:highlight w:val="none"/>
              </w:rPr>
            </w:pPr>
            <w:r>
              <w:rPr>
                <w:rFonts w:hint="eastAsia" w:ascii="宋体" w:hAnsi="宋体" w:cs="宋体"/>
                <w:color w:val="auto"/>
                <w:spacing w:val="-1"/>
                <w:sz w:val="24"/>
                <w:highlight w:val="none"/>
              </w:rPr>
              <w:t>2.六堡镇污水处理厂(按环保验收的规模500m³/d考核）:负荷率≥70%得9分，60-70%得6分，50-60%得4分，＜50%不得分。</w:t>
            </w:r>
          </w:p>
        </w:tc>
        <w:tc>
          <w:tcPr>
            <w:tcW w:w="639" w:type="dxa"/>
            <w:vAlign w:val="center"/>
          </w:tcPr>
          <w:p w14:paraId="612C89D0">
            <w:pPr>
              <w:jc w:val="center"/>
              <w:rPr>
                <w:rFonts w:ascii="宋体" w:hAnsi="宋体" w:cs="宋体"/>
                <w:color w:val="auto"/>
                <w:spacing w:val="-1"/>
                <w:sz w:val="24"/>
                <w:highlight w:val="none"/>
              </w:rPr>
            </w:pPr>
            <w:r>
              <w:rPr>
                <w:rFonts w:hint="eastAsia" w:ascii="宋体" w:hAnsi="宋体" w:cs="宋体"/>
                <w:color w:val="auto"/>
                <w:spacing w:val="-1"/>
                <w:sz w:val="24"/>
                <w:highlight w:val="none"/>
              </w:rPr>
              <w:t>9分</w:t>
            </w:r>
          </w:p>
        </w:tc>
        <w:tc>
          <w:tcPr>
            <w:tcW w:w="599" w:type="dxa"/>
            <w:vAlign w:val="center"/>
          </w:tcPr>
          <w:p w14:paraId="346E2E81">
            <w:pPr>
              <w:ind w:firstLine="476" w:firstLineChars="200"/>
              <w:rPr>
                <w:rFonts w:ascii="宋体" w:hAnsi="宋体" w:cs="宋体"/>
                <w:color w:val="auto"/>
                <w:spacing w:val="-1"/>
                <w:sz w:val="24"/>
                <w:highlight w:val="none"/>
              </w:rPr>
            </w:pPr>
          </w:p>
        </w:tc>
        <w:tc>
          <w:tcPr>
            <w:tcW w:w="764" w:type="dxa"/>
            <w:vAlign w:val="center"/>
          </w:tcPr>
          <w:p w14:paraId="60811A7C">
            <w:pPr>
              <w:ind w:firstLine="476" w:firstLineChars="200"/>
              <w:rPr>
                <w:rFonts w:ascii="宋体" w:hAnsi="宋体" w:cs="宋体"/>
                <w:color w:val="auto"/>
                <w:spacing w:val="-1"/>
                <w:sz w:val="24"/>
                <w:highlight w:val="none"/>
              </w:rPr>
            </w:pPr>
          </w:p>
        </w:tc>
      </w:tr>
      <w:tr w14:paraId="3878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04" w:type="dxa"/>
            <w:vMerge w:val="continue"/>
            <w:vAlign w:val="center"/>
          </w:tcPr>
          <w:p w14:paraId="2132EEBA">
            <w:pPr>
              <w:jc w:val="center"/>
              <w:rPr>
                <w:rFonts w:ascii="宋体" w:hAnsi="宋体" w:cs="宋体"/>
                <w:color w:val="auto"/>
                <w:sz w:val="24"/>
                <w:highlight w:val="none"/>
              </w:rPr>
            </w:pPr>
          </w:p>
        </w:tc>
        <w:tc>
          <w:tcPr>
            <w:tcW w:w="1618" w:type="dxa"/>
            <w:gridSpan w:val="2"/>
            <w:vMerge w:val="restart"/>
            <w:vAlign w:val="center"/>
          </w:tcPr>
          <w:p w14:paraId="62BB8431">
            <w:pPr>
              <w:jc w:val="center"/>
              <w:rPr>
                <w:rFonts w:ascii="宋体" w:hAnsi="宋体" w:cs="宋体"/>
                <w:color w:val="auto"/>
                <w:sz w:val="24"/>
                <w:highlight w:val="none"/>
              </w:rPr>
            </w:pPr>
            <w:r>
              <w:rPr>
                <w:rFonts w:hint="eastAsia" w:ascii="宋体" w:hAnsi="宋体" w:cs="宋体"/>
                <w:color w:val="auto"/>
                <w:spacing w:val="2"/>
                <w:sz w:val="24"/>
                <w:highlight w:val="none"/>
              </w:rPr>
              <w:t>质量管理台账</w:t>
            </w:r>
          </w:p>
          <w:p w14:paraId="731806DB">
            <w:pPr>
              <w:jc w:val="center"/>
              <w:rPr>
                <w:rFonts w:ascii="宋体" w:hAnsi="宋体" w:cs="宋体"/>
                <w:color w:val="auto"/>
                <w:sz w:val="24"/>
                <w:highlight w:val="none"/>
              </w:rPr>
            </w:pPr>
            <w:r>
              <w:rPr>
                <w:rFonts w:hint="eastAsia" w:ascii="宋体" w:hAnsi="宋体" w:cs="宋体"/>
                <w:color w:val="auto"/>
                <w:spacing w:val="10"/>
                <w:sz w:val="24"/>
                <w:highlight w:val="none"/>
              </w:rPr>
              <w:t>(5分)</w:t>
            </w:r>
          </w:p>
        </w:tc>
        <w:tc>
          <w:tcPr>
            <w:tcW w:w="749" w:type="dxa"/>
            <w:vMerge w:val="restart"/>
            <w:vAlign w:val="center"/>
          </w:tcPr>
          <w:p w14:paraId="11E230A7">
            <w:pPr>
              <w:jc w:val="center"/>
              <w:rPr>
                <w:rFonts w:ascii="宋体" w:hAnsi="宋体" w:cs="宋体"/>
                <w:color w:val="auto"/>
                <w:sz w:val="24"/>
                <w:highlight w:val="none"/>
              </w:rPr>
            </w:pPr>
            <w:r>
              <w:rPr>
                <w:rFonts w:hint="eastAsia" w:ascii="宋体" w:hAnsi="宋体" w:cs="宋体"/>
                <w:color w:val="auto"/>
                <w:spacing w:val="-6"/>
                <w:sz w:val="24"/>
                <w:highlight w:val="none"/>
              </w:rPr>
              <w:t>100%</w:t>
            </w:r>
          </w:p>
        </w:tc>
        <w:tc>
          <w:tcPr>
            <w:tcW w:w="4056" w:type="dxa"/>
            <w:vAlign w:val="center"/>
          </w:tcPr>
          <w:p w14:paraId="66DBA8C4">
            <w:pPr>
              <w:rPr>
                <w:rFonts w:ascii="宋体" w:hAnsi="宋体" w:cs="宋体"/>
                <w:color w:val="auto"/>
                <w:sz w:val="24"/>
                <w:highlight w:val="none"/>
              </w:rPr>
            </w:pPr>
            <w:r>
              <w:rPr>
                <w:rFonts w:hint="eastAsia" w:ascii="宋体" w:hAnsi="宋体" w:cs="宋体"/>
                <w:color w:val="auto"/>
                <w:spacing w:val="-1"/>
                <w:sz w:val="24"/>
                <w:highlight w:val="none"/>
              </w:rPr>
              <w:t>进出水台账、生产药剂使用台账、水质检测台账、</w:t>
            </w:r>
            <w:bookmarkStart w:id="78" w:name="OLE_LINK1"/>
            <w:r>
              <w:rPr>
                <w:rFonts w:hint="eastAsia" w:ascii="宋体" w:hAnsi="宋体" w:cs="宋体"/>
                <w:color w:val="auto"/>
                <w:spacing w:val="-1"/>
                <w:sz w:val="24"/>
                <w:highlight w:val="none"/>
              </w:rPr>
              <w:t>故障维修记录、巡视巡查记录、</w:t>
            </w:r>
            <w:bookmarkEnd w:id="78"/>
            <w:r>
              <w:rPr>
                <w:rFonts w:hint="eastAsia" w:ascii="宋体" w:hAnsi="宋体" w:cs="宋体"/>
                <w:color w:val="auto"/>
                <w:spacing w:val="-1"/>
                <w:sz w:val="24"/>
                <w:highlight w:val="none"/>
              </w:rPr>
              <w:t>在线仪器运维记录、危废台账等资料完备程度。质量台账资料</w:t>
            </w:r>
            <w:r>
              <w:rPr>
                <w:rFonts w:hint="eastAsia" w:ascii="宋体" w:hAnsi="宋体" w:cs="宋体"/>
                <w:color w:val="auto"/>
                <w:spacing w:val="38"/>
                <w:sz w:val="24"/>
                <w:highlight w:val="none"/>
              </w:rPr>
              <w:t>每缺1类扣1分，最多扣3分。</w:t>
            </w:r>
          </w:p>
        </w:tc>
        <w:tc>
          <w:tcPr>
            <w:tcW w:w="639" w:type="dxa"/>
            <w:vAlign w:val="center"/>
          </w:tcPr>
          <w:p w14:paraId="6D52AC4E">
            <w:pPr>
              <w:jc w:val="center"/>
              <w:rPr>
                <w:rFonts w:ascii="宋体" w:hAnsi="宋体" w:cs="宋体"/>
                <w:color w:val="auto"/>
                <w:sz w:val="24"/>
                <w:highlight w:val="none"/>
              </w:rPr>
            </w:pPr>
            <w:r>
              <w:rPr>
                <w:rFonts w:hint="eastAsia" w:ascii="宋体" w:hAnsi="宋体" w:cs="宋体"/>
                <w:color w:val="auto"/>
                <w:spacing w:val="3"/>
                <w:sz w:val="24"/>
                <w:highlight w:val="none"/>
              </w:rPr>
              <w:t>3分</w:t>
            </w:r>
          </w:p>
        </w:tc>
        <w:tc>
          <w:tcPr>
            <w:tcW w:w="599" w:type="dxa"/>
            <w:vAlign w:val="center"/>
          </w:tcPr>
          <w:p w14:paraId="10278414">
            <w:pPr>
              <w:jc w:val="center"/>
              <w:rPr>
                <w:rFonts w:ascii="宋体" w:hAnsi="宋体" w:cs="宋体"/>
                <w:color w:val="auto"/>
                <w:sz w:val="24"/>
                <w:highlight w:val="none"/>
              </w:rPr>
            </w:pPr>
          </w:p>
        </w:tc>
        <w:tc>
          <w:tcPr>
            <w:tcW w:w="764" w:type="dxa"/>
            <w:vAlign w:val="center"/>
          </w:tcPr>
          <w:p w14:paraId="049699CB">
            <w:pPr>
              <w:jc w:val="center"/>
              <w:rPr>
                <w:rFonts w:ascii="宋体" w:hAnsi="宋体" w:cs="宋体"/>
                <w:color w:val="auto"/>
                <w:sz w:val="24"/>
                <w:highlight w:val="none"/>
              </w:rPr>
            </w:pPr>
          </w:p>
        </w:tc>
      </w:tr>
      <w:tr w14:paraId="0D0D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1204" w:type="dxa"/>
            <w:vMerge w:val="continue"/>
            <w:vAlign w:val="center"/>
          </w:tcPr>
          <w:p w14:paraId="1612C165">
            <w:pPr>
              <w:jc w:val="center"/>
              <w:rPr>
                <w:rFonts w:ascii="宋体" w:hAnsi="宋体" w:cs="宋体"/>
                <w:color w:val="auto"/>
                <w:sz w:val="24"/>
                <w:highlight w:val="none"/>
              </w:rPr>
            </w:pPr>
          </w:p>
        </w:tc>
        <w:tc>
          <w:tcPr>
            <w:tcW w:w="1618" w:type="dxa"/>
            <w:gridSpan w:val="2"/>
            <w:vMerge w:val="continue"/>
            <w:vAlign w:val="center"/>
          </w:tcPr>
          <w:p w14:paraId="52D29D77">
            <w:pPr>
              <w:jc w:val="center"/>
              <w:rPr>
                <w:rFonts w:ascii="宋体" w:hAnsi="宋体" w:cs="宋体"/>
                <w:color w:val="auto"/>
                <w:sz w:val="24"/>
                <w:highlight w:val="none"/>
              </w:rPr>
            </w:pPr>
          </w:p>
        </w:tc>
        <w:tc>
          <w:tcPr>
            <w:tcW w:w="749" w:type="dxa"/>
            <w:vMerge w:val="continue"/>
            <w:vAlign w:val="center"/>
          </w:tcPr>
          <w:p w14:paraId="4A97B8D9">
            <w:pPr>
              <w:jc w:val="center"/>
              <w:rPr>
                <w:rFonts w:ascii="宋体" w:hAnsi="宋体" w:cs="宋体"/>
                <w:color w:val="auto"/>
                <w:sz w:val="24"/>
                <w:highlight w:val="none"/>
              </w:rPr>
            </w:pPr>
          </w:p>
        </w:tc>
        <w:tc>
          <w:tcPr>
            <w:tcW w:w="4056" w:type="dxa"/>
            <w:vAlign w:val="center"/>
          </w:tcPr>
          <w:p w14:paraId="6B1D9F51">
            <w:pPr>
              <w:rPr>
                <w:rFonts w:ascii="宋体" w:hAnsi="宋体" w:cs="宋体"/>
                <w:color w:val="auto"/>
                <w:sz w:val="24"/>
                <w:highlight w:val="none"/>
              </w:rPr>
            </w:pPr>
            <w:r>
              <w:rPr>
                <w:rFonts w:hint="eastAsia" w:ascii="宋体" w:hAnsi="宋体" w:cs="宋体"/>
                <w:color w:val="auto"/>
                <w:spacing w:val="-1"/>
                <w:sz w:val="24"/>
                <w:highlight w:val="none"/>
              </w:rPr>
              <w:t>进出水台账、生产药剂使用台账、水质检测台账、故障维修记录、巡视巡查记录、在线仪器运维记录、危废台账等资料完备程度。</w:t>
            </w:r>
            <w:r>
              <w:rPr>
                <w:rFonts w:hint="eastAsia" w:ascii="宋体" w:hAnsi="宋体" w:cs="宋体"/>
                <w:color w:val="auto"/>
                <w:sz w:val="24"/>
                <w:highlight w:val="none"/>
              </w:rPr>
              <w:t>质量台账数据</w:t>
            </w:r>
            <w:r>
              <w:rPr>
                <w:rFonts w:hint="eastAsia" w:ascii="宋体" w:hAnsi="宋体" w:cs="宋体"/>
                <w:color w:val="auto"/>
                <w:spacing w:val="15"/>
                <w:sz w:val="24"/>
                <w:highlight w:val="none"/>
              </w:rPr>
              <w:t>每漏1项扣0.1分，最多扣2分。</w:t>
            </w:r>
          </w:p>
        </w:tc>
        <w:tc>
          <w:tcPr>
            <w:tcW w:w="639" w:type="dxa"/>
            <w:vAlign w:val="center"/>
          </w:tcPr>
          <w:p w14:paraId="7A27C4C1">
            <w:pPr>
              <w:jc w:val="center"/>
              <w:rPr>
                <w:rFonts w:ascii="宋体" w:hAnsi="宋体" w:cs="宋体"/>
                <w:color w:val="auto"/>
                <w:sz w:val="24"/>
                <w:highlight w:val="none"/>
              </w:rPr>
            </w:pPr>
            <w:r>
              <w:rPr>
                <w:rFonts w:hint="eastAsia" w:ascii="宋体" w:hAnsi="宋体" w:cs="宋体"/>
                <w:color w:val="auto"/>
                <w:spacing w:val="5"/>
                <w:sz w:val="24"/>
                <w:highlight w:val="none"/>
              </w:rPr>
              <w:t>2分</w:t>
            </w:r>
          </w:p>
        </w:tc>
        <w:tc>
          <w:tcPr>
            <w:tcW w:w="599" w:type="dxa"/>
            <w:vAlign w:val="center"/>
          </w:tcPr>
          <w:p w14:paraId="7E14EC12">
            <w:pPr>
              <w:jc w:val="center"/>
              <w:rPr>
                <w:rFonts w:ascii="宋体" w:hAnsi="宋体" w:cs="宋体"/>
                <w:color w:val="auto"/>
                <w:sz w:val="24"/>
                <w:highlight w:val="none"/>
              </w:rPr>
            </w:pPr>
          </w:p>
        </w:tc>
        <w:tc>
          <w:tcPr>
            <w:tcW w:w="764" w:type="dxa"/>
            <w:vAlign w:val="center"/>
          </w:tcPr>
          <w:p w14:paraId="10A583DF">
            <w:pPr>
              <w:jc w:val="center"/>
              <w:rPr>
                <w:rFonts w:ascii="宋体" w:hAnsi="宋体" w:cs="宋体"/>
                <w:color w:val="auto"/>
                <w:sz w:val="24"/>
                <w:highlight w:val="none"/>
              </w:rPr>
            </w:pPr>
          </w:p>
        </w:tc>
      </w:tr>
      <w:tr w14:paraId="5C75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1204" w:type="dxa"/>
            <w:vMerge w:val="continue"/>
            <w:vAlign w:val="center"/>
          </w:tcPr>
          <w:p w14:paraId="41EE0EE5">
            <w:pPr>
              <w:jc w:val="center"/>
              <w:rPr>
                <w:rFonts w:ascii="宋体" w:hAnsi="宋体" w:cs="宋体"/>
                <w:color w:val="auto"/>
                <w:sz w:val="24"/>
                <w:highlight w:val="none"/>
              </w:rPr>
            </w:pPr>
          </w:p>
        </w:tc>
        <w:tc>
          <w:tcPr>
            <w:tcW w:w="1618" w:type="dxa"/>
            <w:gridSpan w:val="2"/>
            <w:vMerge w:val="restart"/>
            <w:vAlign w:val="center"/>
          </w:tcPr>
          <w:p w14:paraId="3E5FA4EC">
            <w:pPr>
              <w:jc w:val="center"/>
              <w:rPr>
                <w:rFonts w:ascii="宋体" w:hAnsi="宋体" w:cs="宋体"/>
                <w:color w:val="auto"/>
                <w:spacing w:val="-2"/>
                <w:sz w:val="24"/>
                <w:highlight w:val="none"/>
              </w:rPr>
            </w:pPr>
            <w:r>
              <w:rPr>
                <w:rFonts w:hint="eastAsia" w:ascii="宋体" w:hAnsi="宋体" w:cs="宋体"/>
                <w:color w:val="auto"/>
                <w:spacing w:val="-2"/>
                <w:sz w:val="24"/>
                <w:highlight w:val="none"/>
              </w:rPr>
              <w:t>污泥处理处置</w:t>
            </w:r>
          </w:p>
          <w:p w14:paraId="0BB25E5C">
            <w:pPr>
              <w:jc w:val="center"/>
              <w:rPr>
                <w:rFonts w:ascii="宋体" w:hAnsi="宋体" w:cs="宋体"/>
                <w:color w:val="auto"/>
                <w:spacing w:val="-1"/>
                <w:sz w:val="24"/>
                <w:highlight w:val="none"/>
              </w:rPr>
            </w:pPr>
            <w:r>
              <w:rPr>
                <w:rFonts w:hint="eastAsia" w:ascii="宋体" w:hAnsi="宋体" w:cs="宋体"/>
                <w:color w:val="auto"/>
                <w:spacing w:val="-1"/>
                <w:sz w:val="24"/>
                <w:highlight w:val="none"/>
              </w:rPr>
              <w:t>(3分)</w:t>
            </w:r>
          </w:p>
        </w:tc>
        <w:tc>
          <w:tcPr>
            <w:tcW w:w="749" w:type="dxa"/>
            <w:vMerge w:val="restart"/>
            <w:vAlign w:val="center"/>
          </w:tcPr>
          <w:p w14:paraId="6C31FFD0">
            <w:pPr>
              <w:jc w:val="center"/>
              <w:rPr>
                <w:rFonts w:ascii="宋体" w:hAnsi="宋体" w:cs="宋体"/>
                <w:color w:val="auto"/>
                <w:spacing w:val="-1"/>
                <w:sz w:val="24"/>
                <w:highlight w:val="none"/>
              </w:rPr>
            </w:pPr>
            <w:r>
              <w:rPr>
                <w:rFonts w:hint="eastAsia" w:ascii="宋体" w:hAnsi="宋体" w:cs="宋体"/>
                <w:color w:val="auto"/>
                <w:spacing w:val="-6"/>
                <w:sz w:val="24"/>
                <w:highlight w:val="none"/>
              </w:rPr>
              <w:t>100%</w:t>
            </w:r>
          </w:p>
        </w:tc>
        <w:tc>
          <w:tcPr>
            <w:tcW w:w="4056" w:type="dxa"/>
            <w:vAlign w:val="center"/>
          </w:tcPr>
          <w:p w14:paraId="7668E09A">
            <w:pPr>
              <w:rPr>
                <w:rFonts w:ascii="宋体" w:hAnsi="宋体" w:cs="宋体"/>
                <w:color w:val="auto"/>
                <w:sz w:val="24"/>
                <w:highlight w:val="none"/>
              </w:rPr>
            </w:pPr>
            <w:r>
              <w:rPr>
                <w:rFonts w:hint="eastAsia" w:ascii="宋体" w:hAnsi="宋体" w:cs="宋体"/>
                <w:color w:val="auto"/>
                <w:spacing w:val="3"/>
                <w:sz w:val="24"/>
                <w:highlight w:val="none"/>
              </w:rPr>
              <w:t>正常率：</w:t>
            </w:r>
            <w:r>
              <w:rPr>
                <w:rFonts w:hint="eastAsia" w:ascii="宋体" w:hAnsi="宋体" w:cs="宋体"/>
                <w:color w:val="auto"/>
                <w:spacing w:val="-1"/>
                <w:sz w:val="24"/>
                <w:highlight w:val="none"/>
              </w:rPr>
              <w:t>污泥处理按照国家和自治区要求，污泥处理设施设备正常运行。一次检查不合格扣1分。</w:t>
            </w:r>
          </w:p>
        </w:tc>
        <w:tc>
          <w:tcPr>
            <w:tcW w:w="639" w:type="dxa"/>
            <w:vAlign w:val="center"/>
          </w:tcPr>
          <w:p w14:paraId="2B3D4364">
            <w:pPr>
              <w:jc w:val="center"/>
              <w:rPr>
                <w:rFonts w:ascii="宋体" w:hAnsi="宋体" w:cs="宋体"/>
                <w:color w:val="auto"/>
                <w:sz w:val="24"/>
                <w:highlight w:val="none"/>
              </w:rPr>
            </w:pPr>
            <w:r>
              <w:rPr>
                <w:rFonts w:hint="eastAsia" w:ascii="宋体" w:hAnsi="宋体" w:cs="宋体"/>
                <w:color w:val="auto"/>
                <w:spacing w:val="3"/>
                <w:sz w:val="24"/>
                <w:highlight w:val="none"/>
              </w:rPr>
              <w:t>1分</w:t>
            </w:r>
          </w:p>
        </w:tc>
        <w:tc>
          <w:tcPr>
            <w:tcW w:w="599" w:type="dxa"/>
            <w:vAlign w:val="center"/>
          </w:tcPr>
          <w:p w14:paraId="0C43DF99">
            <w:pPr>
              <w:jc w:val="center"/>
              <w:rPr>
                <w:rFonts w:ascii="宋体" w:hAnsi="宋体" w:cs="宋体"/>
                <w:color w:val="auto"/>
                <w:sz w:val="24"/>
                <w:highlight w:val="none"/>
              </w:rPr>
            </w:pPr>
          </w:p>
        </w:tc>
        <w:tc>
          <w:tcPr>
            <w:tcW w:w="764" w:type="dxa"/>
            <w:vAlign w:val="center"/>
          </w:tcPr>
          <w:p w14:paraId="769C8500">
            <w:pPr>
              <w:jc w:val="center"/>
              <w:rPr>
                <w:rFonts w:ascii="宋体" w:hAnsi="宋体" w:cs="宋体"/>
                <w:color w:val="auto"/>
                <w:sz w:val="24"/>
                <w:highlight w:val="none"/>
              </w:rPr>
            </w:pPr>
          </w:p>
        </w:tc>
      </w:tr>
      <w:tr w14:paraId="6849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204" w:type="dxa"/>
            <w:vMerge w:val="continue"/>
            <w:vAlign w:val="center"/>
          </w:tcPr>
          <w:p w14:paraId="3343C4DD">
            <w:pPr>
              <w:jc w:val="center"/>
              <w:rPr>
                <w:rFonts w:ascii="宋体" w:hAnsi="宋体" w:cs="宋体"/>
                <w:color w:val="auto"/>
                <w:spacing w:val="-1"/>
                <w:sz w:val="24"/>
                <w:highlight w:val="none"/>
              </w:rPr>
            </w:pPr>
          </w:p>
        </w:tc>
        <w:tc>
          <w:tcPr>
            <w:tcW w:w="1618" w:type="dxa"/>
            <w:gridSpan w:val="2"/>
            <w:vMerge w:val="continue"/>
            <w:vAlign w:val="center"/>
          </w:tcPr>
          <w:p w14:paraId="68CF8E35">
            <w:pPr>
              <w:jc w:val="center"/>
              <w:rPr>
                <w:rFonts w:ascii="宋体" w:hAnsi="宋体" w:cs="宋体"/>
                <w:color w:val="auto"/>
                <w:spacing w:val="-1"/>
                <w:sz w:val="24"/>
                <w:highlight w:val="none"/>
              </w:rPr>
            </w:pPr>
          </w:p>
        </w:tc>
        <w:tc>
          <w:tcPr>
            <w:tcW w:w="749" w:type="dxa"/>
            <w:vMerge w:val="continue"/>
            <w:vAlign w:val="center"/>
          </w:tcPr>
          <w:p w14:paraId="6C3A0BE9">
            <w:pPr>
              <w:jc w:val="center"/>
              <w:rPr>
                <w:rFonts w:ascii="宋体" w:hAnsi="宋体" w:cs="宋体"/>
                <w:color w:val="auto"/>
                <w:spacing w:val="-1"/>
                <w:sz w:val="24"/>
                <w:highlight w:val="none"/>
              </w:rPr>
            </w:pPr>
          </w:p>
        </w:tc>
        <w:tc>
          <w:tcPr>
            <w:tcW w:w="4056" w:type="dxa"/>
            <w:vAlign w:val="center"/>
          </w:tcPr>
          <w:p w14:paraId="11BF77BA">
            <w:pPr>
              <w:rPr>
                <w:rFonts w:ascii="宋体" w:hAnsi="宋体" w:cs="宋体"/>
                <w:color w:val="auto"/>
                <w:spacing w:val="-1"/>
                <w:sz w:val="24"/>
                <w:highlight w:val="none"/>
              </w:rPr>
            </w:pPr>
            <w:r>
              <w:rPr>
                <w:rFonts w:hint="eastAsia" w:ascii="宋体" w:hAnsi="宋体" w:cs="宋体"/>
                <w:color w:val="auto"/>
                <w:spacing w:val="-1"/>
                <w:sz w:val="24"/>
                <w:highlight w:val="none"/>
              </w:rPr>
              <w:t>含水率：脱水污泥含水率低于80%。一次检查不合格扣1分。</w:t>
            </w:r>
          </w:p>
        </w:tc>
        <w:tc>
          <w:tcPr>
            <w:tcW w:w="639" w:type="dxa"/>
            <w:vAlign w:val="center"/>
          </w:tcPr>
          <w:p w14:paraId="79CBC637">
            <w:pPr>
              <w:jc w:val="center"/>
              <w:rPr>
                <w:rFonts w:ascii="宋体" w:hAnsi="宋体" w:cs="宋体"/>
                <w:color w:val="auto"/>
                <w:spacing w:val="-1"/>
                <w:sz w:val="24"/>
                <w:highlight w:val="none"/>
              </w:rPr>
            </w:pPr>
            <w:r>
              <w:rPr>
                <w:rFonts w:hint="eastAsia" w:ascii="宋体" w:hAnsi="宋体" w:cs="宋体"/>
                <w:color w:val="auto"/>
                <w:spacing w:val="3"/>
                <w:sz w:val="24"/>
                <w:highlight w:val="none"/>
              </w:rPr>
              <w:t>1分</w:t>
            </w:r>
          </w:p>
        </w:tc>
        <w:tc>
          <w:tcPr>
            <w:tcW w:w="599" w:type="dxa"/>
            <w:vAlign w:val="center"/>
          </w:tcPr>
          <w:p w14:paraId="5A8724B7">
            <w:pPr>
              <w:jc w:val="center"/>
              <w:rPr>
                <w:rFonts w:ascii="宋体" w:hAnsi="宋体" w:cs="宋体"/>
                <w:color w:val="auto"/>
                <w:spacing w:val="-1"/>
                <w:sz w:val="24"/>
                <w:highlight w:val="none"/>
              </w:rPr>
            </w:pPr>
          </w:p>
        </w:tc>
        <w:tc>
          <w:tcPr>
            <w:tcW w:w="764" w:type="dxa"/>
            <w:vAlign w:val="center"/>
          </w:tcPr>
          <w:p w14:paraId="6D5686F1">
            <w:pPr>
              <w:jc w:val="center"/>
              <w:rPr>
                <w:rFonts w:ascii="宋体" w:hAnsi="宋体" w:cs="宋体"/>
                <w:color w:val="auto"/>
                <w:spacing w:val="-1"/>
                <w:sz w:val="24"/>
                <w:highlight w:val="none"/>
              </w:rPr>
            </w:pPr>
          </w:p>
        </w:tc>
      </w:tr>
      <w:tr w14:paraId="570D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1204" w:type="dxa"/>
            <w:vMerge w:val="continue"/>
            <w:vAlign w:val="center"/>
          </w:tcPr>
          <w:p w14:paraId="4EDFC962">
            <w:pPr>
              <w:jc w:val="center"/>
              <w:rPr>
                <w:rFonts w:ascii="宋体" w:hAnsi="宋体" w:cs="宋体"/>
                <w:color w:val="auto"/>
                <w:spacing w:val="-1"/>
                <w:sz w:val="24"/>
                <w:highlight w:val="none"/>
              </w:rPr>
            </w:pPr>
          </w:p>
        </w:tc>
        <w:tc>
          <w:tcPr>
            <w:tcW w:w="1618" w:type="dxa"/>
            <w:gridSpan w:val="2"/>
            <w:vMerge w:val="continue"/>
            <w:vAlign w:val="center"/>
          </w:tcPr>
          <w:p w14:paraId="48721CB8">
            <w:pPr>
              <w:jc w:val="center"/>
              <w:rPr>
                <w:rFonts w:ascii="宋体" w:hAnsi="宋体" w:cs="宋体"/>
                <w:color w:val="auto"/>
                <w:spacing w:val="-1"/>
                <w:sz w:val="24"/>
                <w:highlight w:val="none"/>
              </w:rPr>
            </w:pPr>
          </w:p>
        </w:tc>
        <w:tc>
          <w:tcPr>
            <w:tcW w:w="749" w:type="dxa"/>
            <w:vMerge w:val="continue"/>
            <w:vAlign w:val="center"/>
          </w:tcPr>
          <w:p w14:paraId="343B158D">
            <w:pPr>
              <w:jc w:val="center"/>
              <w:rPr>
                <w:rFonts w:ascii="宋体" w:hAnsi="宋体" w:cs="宋体"/>
                <w:color w:val="auto"/>
                <w:spacing w:val="-1"/>
                <w:sz w:val="24"/>
                <w:highlight w:val="none"/>
              </w:rPr>
            </w:pPr>
          </w:p>
        </w:tc>
        <w:tc>
          <w:tcPr>
            <w:tcW w:w="4056" w:type="dxa"/>
            <w:vAlign w:val="center"/>
          </w:tcPr>
          <w:p w14:paraId="654986CA">
            <w:pPr>
              <w:rPr>
                <w:rFonts w:ascii="宋体" w:hAnsi="宋体" w:cs="宋体"/>
                <w:color w:val="auto"/>
                <w:spacing w:val="-1"/>
                <w:sz w:val="24"/>
                <w:highlight w:val="none"/>
              </w:rPr>
            </w:pPr>
            <w:r>
              <w:rPr>
                <w:rFonts w:hint="eastAsia" w:ascii="宋体" w:hAnsi="宋体" w:cs="宋体"/>
                <w:color w:val="auto"/>
                <w:spacing w:val="-1"/>
                <w:sz w:val="24"/>
                <w:highlight w:val="none"/>
              </w:rPr>
              <w:t>合法合规：污泥处置去向相关手续合法合规，并实现稳定化、无害化处置。一次检查不合格扣1分。</w:t>
            </w:r>
          </w:p>
        </w:tc>
        <w:tc>
          <w:tcPr>
            <w:tcW w:w="639" w:type="dxa"/>
            <w:vAlign w:val="center"/>
          </w:tcPr>
          <w:p w14:paraId="090AF774">
            <w:pPr>
              <w:jc w:val="center"/>
              <w:rPr>
                <w:rFonts w:ascii="宋体" w:hAnsi="宋体" w:cs="宋体"/>
                <w:color w:val="auto"/>
                <w:spacing w:val="-1"/>
                <w:sz w:val="24"/>
                <w:highlight w:val="none"/>
              </w:rPr>
            </w:pPr>
            <w:r>
              <w:rPr>
                <w:rFonts w:hint="eastAsia" w:ascii="宋体" w:hAnsi="宋体" w:cs="宋体"/>
                <w:color w:val="auto"/>
                <w:spacing w:val="3"/>
                <w:sz w:val="24"/>
                <w:highlight w:val="none"/>
              </w:rPr>
              <w:t>1分</w:t>
            </w:r>
          </w:p>
        </w:tc>
        <w:tc>
          <w:tcPr>
            <w:tcW w:w="599" w:type="dxa"/>
            <w:vAlign w:val="center"/>
          </w:tcPr>
          <w:p w14:paraId="03F168FD">
            <w:pPr>
              <w:jc w:val="center"/>
              <w:rPr>
                <w:rFonts w:ascii="宋体" w:hAnsi="宋体" w:cs="宋体"/>
                <w:color w:val="auto"/>
                <w:spacing w:val="-1"/>
                <w:sz w:val="24"/>
                <w:highlight w:val="none"/>
              </w:rPr>
            </w:pPr>
          </w:p>
        </w:tc>
        <w:tc>
          <w:tcPr>
            <w:tcW w:w="764" w:type="dxa"/>
            <w:vAlign w:val="center"/>
          </w:tcPr>
          <w:p w14:paraId="153505AF">
            <w:pPr>
              <w:jc w:val="center"/>
              <w:rPr>
                <w:rFonts w:ascii="宋体" w:hAnsi="宋体" w:cs="宋体"/>
                <w:color w:val="auto"/>
                <w:spacing w:val="-1"/>
                <w:sz w:val="24"/>
                <w:highlight w:val="none"/>
              </w:rPr>
            </w:pPr>
          </w:p>
        </w:tc>
      </w:tr>
      <w:tr w14:paraId="5804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1204" w:type="dxa"/>
            <w:vMerge w:val="restart"/>
            <w:vAlign w:val="center"/>
          </w:tcPr>
          <w:p w14:paraId="3F57BD7D">
            <w:pPr>
              <w:jc w:val="center"/>
              <w:rPr>
                <w:rFonts w:ascii="宋体" w:hAnsi="宋体" w:cs="宋体"/>
                <w:color w:val="auto"/>
                <w:spacing w:val="-1"/>
                <w:sz w:val="24"/>
                <w:highlight w:val="none"/>
              </w:rPr>
            </w:pPr>
            <w:r>
              <w:rPr>
                <w:rFonts w:hint="eastAsia" w:ascii="宋体" w:hAnsi="宋体" w:cs="宋体"/>
                <w:color w:val="auto"/>
                <w:spacing w:val="-1"/>
                <w:sz w:val="24"/>
                <w:highlight w:val="none"/>
              </w:rPr>
              <w:t>二、安全管理目标(25分)</w:t>
            </w:r>
          </w:p>
        </w:tc>
        <w:tc>
          <w:tcPr>
            <w:tcW w:w="1618" w:type="dxa"/>
            <w:gridSpan w:val="2"/>
            <w:vMerge w:val="restart"/>
            <w:vAlign w:val="center"/>
          </w:tcPr>
          <w:p w14:paraId="2E9CED48">
            <w:pPr>
              <w:jc w:val="center"/>
              <w:rPr>
                <w:rFonts w:ascii="宋体" w:hAnsi="宋体" w:cs="宋体"/>
                <w:color w:val="auto"/>
                <w:spacing w:val="-1"/>
                <w:sz w:val="24"/>
                <w:highlight w:val="none"/>
              </w:rPr>
            </w:pPr>
            <w:r>
              <w:rPr>
                <w:rFonts w:hint="eastAsia" w:ascii="宋体" w:hAnsi="宋体" w:cs="宋体"/>
                <w:color w:val="auto"/>
                <w:spacing w:val="-1"/>
                <w:sz w:val="24"/>
                <w:highlight w:val="none"/>
              </w:rPr>
              <w:t>安全事故、安全管理制度及台账、安全培训等(10分)</w:t>
            </w:r>
          </w:p>
        </w:tc>
        <w:tc>
          <w:tcPr>
            <w:tcW w:w="749" w:type="dxa"/>
            <w:vMerge w:val="restart"/>
            <w:vAlign w:val="center"/>
          </w:tcPr>
          <w:p w14:paraId="2365755D">
            <w:pPr>
              <w:jc w:val="center"/>
              <w:rPr>
                <w:rFonts w:ascii="宋体" w:hAnsi="宋体" w:cs="宋体"/>
                <w:color w:val="auto"/>
                <w:spacing w:val="-1"/>
                <w:sz w:val="24"/>
                <w:highlight w:val="none"/>
              </w:rPr>
            </w:pPr>
            <w:r>
              <w:rPr>
                <w:rFonts w:hint="eastAsia" w:ascii="宋体" w:hAnsi="宋体" w:cs="宋体"/>
                <w:color w:val="auto"/>
                <w:spacing w:val="-1"/>
                <w:sz w:val="24"/>
                <w:highlight w:val="none"/>
              </w:rPr>
              <w:t>100%</w:t>
            </w:r>
          </w:p>
        </w:tc>
        <w:tc>
          <w:tcPr>
            <w:tcW w:w="4056" w:type="dxa"/>
            <w:vAlign w:val="center"/>
          </w:tcPr>
          <w:p w14:paraId="1EB168B5">
            <w:pPr>
              <w:rPr>
                <w:rFonts w:ascii="宋体" w:hAnsi="宋体" w:cs="宋体"/>
                <w:color w:val="auto"/>
                <w:spacing w:val="-1"/>
                <w:sz w:val="24"/>
                <w:highlight w:val="none"/>
              </w:rPr>
            </w:pPr>
            <w:r>
              <w:rPr>
                <w:rFonts w:hint="eastAsia" w:ascii="宋体" w:hAnsi="宋体" w:cs="宋体"/>
                <w:color w:val="auto"/>
                <w:spacing w:val="-1"/>
                <w:sz w:val="24"/>
                <w:highlight w:val="none"/>
              </w:rPr>
              <w:t>有健全的技术操作规程、安全操作规程及岗位责任等制度，得分2分；安全管理相关制度及台账每缺1类扣1分；</w:t>
            </w:r>
          </w:p>
        </w:tc>
        <w:tc>
          <w:tcPr>
            <w:tcW w:w="639" w:type="dxa"/>
            <w:vAlign w:val="center"/>
          </w:tcPr>
          <w:p w14:paraId="5BED5ECB">
            <w:pPr>
              <w:jc w:val="center"/>
              <w:rPr>
                <w:rFonts w:ascii="宋体" w:hAnsi="宋体" w:cs="宋体"/>
                <w:color w:val="auto"/>
                <w:spacing w:val="-1"/>
                <w:sz w:val="24"/>
                <w:highlight w:val="none"/>
              </w:rPr>
            </w:pPr>
            <w:r>
              <w:rPr>
                <w:rFonts w:hint="eastAsia" w:ascii="宋体" w:hAnsi="宋体" w:cs="宋体"/>
                <w:color w:val="auto"/>
                <w:spacing w:val="3"/>
                <w:sz w:val="24"/>
                <w:highlight w:val="none"/>
              </w:rPr>
              <w:t>1分</w:t>
            </w:r>
          </w:p>
        </w:tc>
        <w:tc>
          <w:tcPr>
            <w:tcW w:w="599" w:type="dxa"/>
            <w:vAlign w:val="center"/>
          </w:tcPr>
          <w:p w14:paraId="453C6933">
            <w:pPr>
              <w:jc w:val="center"/>
              <w:rPr>
                <w:rFonts w:ascii="宋体" w:hAnsi="宋体" w:cs="宋体"/>
                <w:color w:val="auto"/>
                <w:spacing w:val="-1"/>
                <w:sz w:val="24"/>
                <w:highlight w:val="none"/>
              </w:rPr>
            </w:pPr>
          </w:p>
        </w:tc>
        <w:tc>
          <w:tcPr>
            <w:tcW w:w="764" w:type="dxa"/>
            <w:vAlign w:val="center"/>
          </w:tcPr>
          <w:p w14:paraId="466A73BA">
            <w:pPr>
              <w:jc w:val="center"/>
              <w:rPr>
                <w:rFonts w:ascii="宋体" w:hAnsi="宋体" w:cs="宋体"/>
                <w:color w:val="auto"/>
                <w:spacing w:val="-1"/>
                <w:sz w:val="24"/>
                <w:highlight w:val="none"/>
              </w:rPr>
            </w:pPr>
          </w:p>
        </w:tc>
      </w:tr>
      <w:tr w14:paraId="37F9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1204" w:type="dxa"/>
            <w:vMerge w:val="continue"/>
            <w:vAlign w:val="center"/>
          </w:tcPr>
          <w:p w14:paraId="30358B3E">
            <w:pPr>
              <w:jc w:val="center"/>
              <w:rPr>
                <w:rFonts w:ascii="宋体" w:hAnsi="宋体" w:cs="宋体"/>
                <w:color w:val="auto"/>
                <w:spacing w:val="-1"/>
                <w:sz w:val="24"/>
                <w:highlight w:val="none"/>
              </w:rPr>
            </w:pPr>
          </w:p>
        </w:tc>
        <w:tc>
          <w:tcPr>
            <w:tcW w:w="1618" w:type="dxa"/>
            <w:gridSpan w:val="2"/>
            <w:vMerge w:val="continue"/>
            <w:vAlign w:val="center"/>
          </w:tcPr>
          <w:p w14:paraId="06C3A1EF">
            <w:pPr>
              <w:jc w:val="center"/>
              <w:rPr>
                <w:rFonts w:ascii="宋体" w:hAnsi="宋体" w:cs="宋体"/>
                <w:color w:val="auto"/>
                <w:spacing w:val="-1"/>
                <w:sz w:val="24"/>
                <w:highlight w:val="none"/>
              </w:rPr>
            </w:pPr>
          </w:p>
        </w:tc>
        <w:tc>
          <w:tcPr>
            <w:tcW w:w="749" w:type="dxa"/>
            <w:vMerge w:val="continue"/>
            <w:vAlign w:val="center"/>
          </w:tcPr>
          <w:p w14:paraId="6E391704">
            <w:pPr>
              <w:jc w:val="center"/>
              <w:rPr>
                <w:rFonts w:ascii="宋体" w:hAnsi="宋体" w:cs="宋体"/>
                <w:color w:val="auto"/>
                <w:spacing w:val="-1"/>
                <w:sz w:val="24"/>
                <w:highlight w:val="none"/>
              </w:rPr>
            </w:pPr>
          </w:p>
        </w:tc>
        <w:tc>
          <w:tcPr>
            <w:tcW w:w="4056" w:type="dxa"/>
            <w:vAlign w:val="center"/>
          </w:tcPr>
          <w:p w14:paraId="415C72EC">
            <w:pPr>
              <w:rPr>
                <w:rFonts w:ascii="宋体" w:hAnsi="宋体" w:cs="宋体"/>
                <w:color w:val="auto"/>
                <w:spacing w:val="-1"/>
                <w:sz w:val="24"/>
                <w:highlight w:val="none"/>
              </w:rPr>
            </w:pPr>
            <w:r>
              <w:rPr>
                <w:rFonts w:hint="eastAsia" w:ascii="宋体" w:hAnsi="宋体" w:cs="宋体"/>
                <w:color w:val="auto"/>
                <w:spacing w:val="-1"/>
                <w:sz w:val="24"/>
                <w:highlight w:val="none"/>
              </w:rPr>
              <w:t>有定期操作人员安全教育培训计划及培训记录，且培训计划周期不高于2个月，得分2分；缺一项扣1分，最多扣2分。</w:t>
            </w:r>
          </w:p>
        </w:tc>
        <w:tc>
          <w:tcPr>
            <w:tcW w:w="639" w:type="dxa"/>
            <w:vAlign w:val="center"/>
          </w:tcPr>
          <w:p w14:paraId="7AA5F336">
            <w:pPr>
              <w:jc w:val="center"/>
              <w:rPr>
                <w:rFonts w:ascii="宋体" w:hAnsi="宋体" w:cs="宋体"/>
                <w:color w:val="auto"/>
                <w:spacing w:val="-1"/>
                <w:sz w:val="24"/>
                <w:highlight w:val="none"/>
              </w:rPr>
            </w:pPr>
            <w:r>
              <w:rPr>
                <w:rFonts w:hint="eastAsia" w:ascii="宋体" w:hAnsi="宋体" w:cs="宋体"/>
                <w:color w:val="auto"/>
                <w:spacing w:val="3"/>
                <w:sz w:val="24"/>
                <w:highlight w:val="none"/>
              </w:rPr>
              <w:t>1分</w:t>
            </w:r>
          </w:p>
        </w:tc>
        <w:tc>
          <w:tcPr>
            <w:tcW w:w="599" w:type="dxa"/>
            <w:vAlign w:val="center"/>
          </w:tcPr>
          <w:p w14:paraId="17DE3365">
            <w:pPr>
              <w:jc w:val="center"/>
              <w:rPr>
                <w:rFonts w:ascii="宋体" w:hAnsi="宋体" w:cs="宋体"/>
                <w:color w:val="auto"/>
                <w:spacing w:val="-1"/>
                <w:sz w:val="24"/>
                <w:highlight w:val="none"/>
              </w:rPr>
            </w:pPr>
          </w:p>
        </w:tc>
        <w:tc>
          <w:tcPr>
            <w:tcW w:w="764" w:type="dxa"/>
            <w:vAlign w:val="center"/>
          </w:tcPr>
          <w:p w14:paraId="280DE941">
            <w:pPr>
              <w:jc w:val="center"/>
              <w:rPr>
                <w:rFonts w:ascii="宋体" w:hAnsi="宋体" w:cs="宋体"/>
                <w:color w:val="auto"/>
                <w:spacing w:val="-1"/>
                <w:sz w:val="24"/>
                <w:highlight w:val="none"/>
              </w:rPr>
            </w:pPr>
          </w:p>
        </w:tc>
      </w:tr>
      <w:tr w14:paraId="3571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204" w:type="dxa"/>
            <w:vMerge w:val="continue"/>
            <w:vAlign w:val="center"/>
          </w:tcPr>
          <w:p w14:paraId="4DD5F578">
            <w:pPr>
              <w:jc w:val="center"/>
              <w:rPr>
                <w:rFonts w:ascii="宋体" w:hAnsi="宋体" w:cs="宋体"/>
                <w:color w:val="auto"/>
                <w:spacing w:val="-1"/>
                <w:sz w:val="24"/>
                <w:highlight w:val="none"/>
              </w:rPr>
            </w:pPr>
          </w:p>
        </w:tc>
        <w:tc>
          <w:tcPr>
            <w:tcW w:w="1618" w:type="dxa"/>
            <w:gridSpan w:val="2"/>
            <w:vMerge w:val="continue"/>
            <w:vAlign w:val="center"/>
          </w:tcPr>
          <w:p w14:paraId="422C86F3">
            <w:pPr>
              <w:jc w:val="center"/>
              <w:rPr>
                <w:rFonts w:ascii="宋体" w:hAnsi="宋体" w:cs="宋体"/>
                <w:color w:val="auto"/>
                <w:spacing w:val="-1"/>
                <w:sz w:val="24"/>
                <w:highlight w:val="none"/>
              </w:rPr>
            </w:pPr>
          </w:p>
        </w:tc>
        <w:tc>
          <w:tcPr>
            <w:tcW w:w="749" w:type="dxa"/>
            <w:vMerge w:val="continue"/>
            <w:vAlign w:val="center"/>
          </w:tcPr>
          <w:p w14:paraId="75B46AD3">
            <w:pPr>
              <w:jc w:val="center"/>
              <w:rPr>
                <w:rFonts w:ascii="宋体" w:hAnsi="宋体" w:cs="宋体"/>
                <w:color w:val="auto"/>
                <w:spacing w:val="-1"/>
                <w:sz w:val="24"/>
                <w:highlight w:val="none"/>
              </w:rPr>
            </w:pPr>
          </w:p>
        </w:tc>
        <w:tc>
          <w:tcPr>
            <w:tcW w:w="4056" w:type="dxa"/>
            <w:vAlign w:val="center"/>
          </w:tcPr>
          <w:p w14:paraId="5CA39790">
            <w:pPr>
              <w:rPr>
                <w:rFonts w:ascii="宋体" w:hAnsi="宋体" w:cs="宋体"/>
                <w:color w:val="auto"/>
                <w:spacing w:val="-1"/>
                <w:sz w:val="24"/>
                <w:highlight w:val="none"/>
              </w:rPr>
            </w:pPr>
            <w:r>
              <w:rPr>
                <w:rFonts w:hint="eastAsia" w:ascii="宋体" w:hAnsi="宋体" w:cs="宋体"/>
                <w:color w:val="auto"/>
                <w:spacing w:val="-1"/>
                <w:sz w:val="24"/>
                <w:highlight w:val="none"/>
              </w:rPr>
              <w:t>消防器材与安全设施配套齐全，符合相关规定，得分1分；消防器材与安全设施配套缺失或不符合使用要求，扣1分。</w:t>
            </w:r>
          </w:p>
        </w:tc>
        <w:tc>
          <w:tcPr>
            <w:tcW w:w="639" w:type="dxa"/>
            <w:vAlign w:val="center"/>
          </w:tcPr>
          <w:p w14:paraId="4D398737">
            <w:pPr>
              <w:jc w:val="center"/>
              <w:rPr>
                <w:rFonts w:ascii="宋体" w:hAnsi="宋体" w:cs="宋体"/>
                <w:color w:val="auto"/>
                <w:spacing w:val="-1"/>
                <w:sz w:val="24"/>
                <w:highlight w:val="none"/>
              </w:rPr>
            </w:pPr>
            <w:r>
              <w:rPr>
                <w:rFonts w:hint="eastAsia" w:ascii="宋体" w:hAnsi="宋体" w:cs="宋体"/>
                <w:color w:val="auto"/>
                <w:spacing w:val="-1"/>
                <w:sz w:val="24"/>
                <w:highlight w:val="none"/>
              </w:rPr>
              <w:t>1分</w:t>
            </w:r>
          </w:p>
        </w:tc>
        <w:tc>
          <w:tcPr>
            <w:tcW w:w="599" w:type="dxa"/>
            <w:vAlign w:val="center"/>
          </w:tcPr>
          <w:p w14:paraId="6769AE98">
            <w:pPr>
              <w:jc w:val="center"/>
              <w:rPr>
                <w:rFonts w:ascii="宋体" w:hAnsi="宋体" w:cs="宋体"/>
                <w:color w:val="auto"/>
                <w:spacing w:val="-1"/>
                <w:sz w:val="24"/>
                <w:highlight w:val="none"/>
              </w:rPr>
            </w:pPr>
          </w:p>
        </w:tc>
        <w:tc>
          <w:tcPr>
            <w:tcW w:w="764" w:type="dxa"/>
            <w:vAlign w:val="center"/>
          </w:tcPr>
          <w:p w14:paraId="42FF78C2">
            <w:pPr>
              <w:jc w:val="center"/>
              <w:rPr>
                <w:rFonts w:ascii="宋体" w:hAnsi="宋体" w:cs="宋体"/>
                <w:color w:val="auto"/>
                <w:spacing w:val="-1"/>
                <w:sz w:val="24"/>
                <w:highlight w:val="none"/>
              </w:rPr>
            </w:pPr>
          </w:p>
        </w:tc>
      </w:tr>
      <w:tr w14:paraId="1E76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jc w:val="center"/>
        </w:trPr>
        <w:tc>
          <w:tcPr>
            <w:tcW w:w="1204" w:type="dxa"/>
            <w:vMerge w:val="continue"/>
            <w:vAlign w:val="center"/>
          </w:tcPr>
          <w:p w14:paraId="3FF09639">
            <w:pPr>
              <w:jc w:val="center"/>
              <w:rPr>
                <w:rFonts w:ascii="宋体" w:hAnsi="宋体" w:cs="宋体"/>
                <w:color w:val="auto"/>
                <w:spacing w:val="-1"/>
                <w:sz w:val="24"/>
                <w:highlight w:val="none"/>
              </w:rPr>
            </w:pPr>
          </w:p>
        </w:tc>
        <w:tc>
          <w:tcPr>
            <w:tcW w:w="1618" w:type="dxa"/>
            <w:gridSpan w:val="2"/>
            <w:vMerge w:val="continue"/>
            <w:vAlign w:val="center"/>
          </w:tcPr>
          <w:p w14:paraId="7061A4E6">
            <w:pPr>
              <w:jc w:val="center"/>
              <w:rPr>
                <w:rFonts w:ascii="宋体" w:hAnsi="宋体" w:cs="宋体"/>
                <w:color w:val="auto"/>
                <w:spacing w:val="-1"/>
                <w:sz w:val="24"/>
                <w:highlight w:val="none"/>
              </w:rPr>
            </w:pPr>
          </w:p>
        </w:tc>
        <w:tc>
          <w:tcPr>
            <w:tcW w:w="749" w:type="dxa"/>
            <w:vMerge w:val="continue"/>
            <w:vAlign w:val="center"/>
          </w:tcPr>
          <w:p w14:paraId="13B1DF06">
            <w:pPr>
              <w:jc w:val="center"/>
              <w:rPr>
                <w:rFonts w:ascii="宋体" w:hAnsi="宋体" w:cs="宋体"/>
                <w:color w:val="auto"/>
                <w:spacing w:val="-1"/>
                <w:sz w:val="24"/>
                <w:highlight w:val="none"/>
              </w:rPr>
            </w:pPr>
          </w:p>
        </w:tc>
        <w:tc>
          <w:tcPr>
            <w:tcW w:w="4056" w:type="dxa"/>
            <w:vAlign w:val="center"/>
          </w:tcPr>
          <w:p w14:paraId="2107A3AC">
            <w:pPr>
              <w:rPr>
                <w:rFonts w:ascii="宋体" w:hAnsi="宋体" w:cs="宋体"/>
                <w:color w:val="auto"/>
                <w:spacing w:val="-1"/>
                <w:sz w:val="24"/>
                <w:highlight w:val="none"/>
              </w:rPr>
            </w:pPr>
            <w:r>
              <w:rPr>
                <w:rFonts w:hint="eastAsia" w:ascii="宋体" w:hAnsi="宋体" w:cs="宋体"/>
                <w:color w:val="auto"/>
                <w:spacing w:val="-1"/>
                <w:sz w:val="24"/>
                <w:highlight w:val="none"/>
              </w:rPr>
              <w:t>定期开展巡查检查，及时消除安全隐患，得分2分；缺失巡查检查制度及相应台账，每缺失一项扣1分，最多扣2分。</w:t>
            </w:r>
          </w:p>
        </w:tc>
        <w:tc>
          <w:tcPr>
            <w:tcW w:w="639" w:type="dxa"/>
            <w:vAlign w:val="center"/>
          </w:tcPr>
          <w:p w14:paraId="28834B88">
            <w:pPr>
              <w:jc w:val="center"/>
              <w:rPr>
                <w:rFonts w:ascii="宋体" w:hAnsi="宋体" w:cs="宋体"/>
                <w:color w:val="auto"/>
                <w:spacing w:val="-1"/>
                <w:sz w:val="24"/>
                <w:highlight w:val="none"/>
              </w:rPr>
            </w:pPr>
            <w:r>
              <w:rPr>
                <w:rFonts w:hint="eastAsia" w:ascii="宋体" w:hAnsi="宋体" w:cs="宋体"/>
                <w:color w:val="auto"/>
                <w:spacing w:val="3"/>
                <w:sz w:val="24"/>
                <w:highlight w:val="none"/>
              </w:rPr>
              <w:t>2分</w:t>
            </w:r>
          </w:p>
        </w:tc>
        <w:tc>
          <w:tcPr>
            <w:tcW w:w="599" w:type="dxa"/>
            <w:vAlign w:val="center"/>
          </w:tcPr>
          <w:p w14:paraId="28046E93">
            <w:pPr>
              <w:jc w:val="center"/>
              <w:rPr>
                <w:rFonts w:ascii="宋体" w:hAnsi="宋体" w:cs="宋体"/>
                <w:color w:val="auto"/>
                <w:spacing w:val="-1"/>
                <w:sz w:val="24"/>
                <w:highlight w:val="none"/>
              </w:rPr>
            </w:pPr>
          </w:p>
        </w:tc>
        <w:tc>
          <w:tcPr>
            <w:tcW w:w="764" w:type="dxa"/>
            <w:vAlign w:val="center"/>
          </w:tcPr>
          <w:p w14:paraId="706CC4FF">
            <w:pPr>
              <w:jc w:val="center"/>
              <w:rPr>
                <w:rFonts w:ascii="宋体" w:hAnsi="宋体" w:cs="宋体"/>
                <w:color w:val="auto"/>
                <w:spacing w:val="-1"/>
                <w:sz w:val="24"/>
                <w:highlight w:val="none"/>
              </w:rPr>
            </w:pPr>
          </w:p>
        </w:tc>
      </w:tr>
      <w:tr w14:paraId="19D4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1204" w:type="dxa"/>
            <w:vMerge w:val="continue"/>
            <w:vAlign w:val="center"/>
          </w:tcPr>
          <w:p w14:paraId="5B356142">
            <w:pPr>
              <w:jc w:val="center"/>
              <w:rPr>
                <w:rFonts w:ascii="宋体" w:hAnsi="宋体" w:cs="宋体"/>
                <w:color w:val="auto"/>
                <w:spacing w:val="-1"/>
                <w:sz w:val="24"/>
                <w:highlight w:val="none"/>
              </w:rPr>
            </w:pPr>
          </w:p>
        </w:tc>
        <w:tc>
          <w:tcPr>
            <w:tcW w:w="1618" w:type="dxa"/>
            <w:gridSpan w:val="2"/>
            <w:vMerge w:val="continue"/>
            <w:vAlign w:val="center"/>
          </w:tcPr>
          <w:p w14:paraId="12193A4A">
            <w:pPr>
              <w:jc w:val="center"/>
              <w:rPr>
                <w:rFonts w:ascii="宋体" w:hAnsi="宋体" w:cs="宋体"/>
                <w:color w:val="auto"/>
                <w:spacing w:val="-1"/>
                <w:sz w:val="24"/>
                <w:highlight w:val="none"/>
              </w:rPr>
            </w:pPr>
          </w:p>
        </w:tc>
        <w:tc>
          <w:tcPr>
            <w:tcW w:w="749" w:type="dxa"/>
            <w:vMerge w:val="continue"/>
            <w:vAlign w:val="center"/>
          </w:tcPr>
          <w:p w14:paraId="7DEE5203">
            <w:pPr>
              <w:jc w:val="center"/>
              <w:rPr>
                <w:rFonts w:ascii="宋体" w:hAnsi="宋体" w:cs="宋体"/>
                <w:color w:val="auto"/>
                <w:spacing w:val="-1"/>
                <w:sz w:val="24"/>
                <w:highlight w:val="none"/>
              </w:rPr>
            </w:pPr>
          </w:p>
        </w:tc>
        <w:tc>
          <w:tcPr>
            <w:tcW w:w="4056" w:type="dxa"/>
            <w:vAlign w:val="center"/>
          </w:tcPr>
          <w:p w14:paraId="7A896B81">
            <w:pPr>
              <w:rPr>
                <w:rFonts w:ascii="宋体" w:hAnsi="宋体" w:cs="宋体"/>
                <w:color w:val="auto"/>
                <w:spacing w:val="-1"/>
                <w:sz w:val="24"/>
                <w:highlight w:val="none"/>
              </w:rPr>
            </w:pPr>
            <w:r>
              <w:rPr>
                <w:rFonts w:hint="eastAsia" w:ascii="宋体" w:hAnsi="宋体" w:cs="宋体"/>
                <w:color w:val="auto"/>
                <w:spacing w:val="-1"/>
                <w:sz w:val="24"/>
                <w:highlight w:val="none"/>
              </w:rPr>
              <w:t>有相关应急预案，具备应急事故预防检测机制，得3分；缺一项扣1分，最多扣3分。</w:t>
            </w:r>
          </w:p>
        </w:tc>
        <w:tc>
          <w:tcPr>
            <w:tcW w:w="639" w:type="dxa"/>
            <w:vAlign w:val="center"/>
          </w:tcPr>
          <w:p w14:paraId="19916573">
            <w:pPr>
              <w:jc w:val="center"/>
              <w:rPr>
                <w:rFonts w:ascii="宋体" w:hAnsi="宋体" w:cs="宋体"/>
                <w:color w:val="auto"/>
                <w:spacing w:val="-1"/>
                <w:sz w:val="24"/>
                <w:highlight w:val="none"/>
              </w:rPr>
            </w:pPr>
            <w:r>
              <w:rPr>
                <w:rFonts w:hint="eastAsia" w:ascii="宋体" w:hAnsi="宋体" w:cs="宋体"/>
                <w:color w:val="auto"/>
                <w:spacing w:val="-1"/>
                <w:sz w:val="24"/>
                <w:highlight w:val="none"/>
              </w:rPr>
              <w:t>2分</w:t>
            </w:r>
          </w:p>
        </w:tc>
        <w:tc>
          <w:tcPr>
            <w:tcW w:w="599" w:type="dxa"/>
            <w:vAlign w:val="center"/>
          </w:tcPr>
          <w:p w14:paraId="46238DA4">
            <w:pPr>
              <w:jc w:val="center"/>
              <w:rPr>
                <w:rFonts w:ascii="宋体" w:hAnsi="宋体" w:cs="宋体"/>
                <w:color w:val="auto"/>
                <w:spacing w:val="-1"/>
                <w:sz w:val="24"/>
                <w:highlight w:val="none"/>
              </w:rPr>
            </w:pPr>
          </w:p>
        </w:tc>
        <w:tc>
          <w:tcPr>
            <w:tcW w:w="764" w:type="dxa"/>
            <w:vAlign w:val="center"/>
          </w:tcPr>
          <w:p w14:paraId="12030547">
            <w:pPr>
              <w:jc w:val="center"/>
              <w:rPr>
                <w:rFonts w:ascii="宋体" w:hAnsi="宋体" w:cs="宋体"/>
                <w:color w:val="auto"/>
                <w:spacing w:val="-1"/>
                <w:sz w:val="24"/>
                <w:highlight w:val="none"/>
              </w:rPr>
            </w:pPr>
          </w:p>
        </w:tc>
      </w:tr>
      <w:tr w14:paraId="586D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1" w:hRule="atLeast"/>
          <w:jc w:val="center"/>
        </w:trPr>
        <w:tc>
          <w:tcPr>
            <w:tcW w:w="1204" w:type="dxa"/>
            <w:vMerge w:val="continue"/>
            <w:vAlign w:val="center"/>
          </w:tcPr>
          <w:p w14:paraId="0B2E5C34">
            <w:pPr>
              <w:jc w:val="center"/>
              <w:rPr>
                <w:rFonts w:ascii="宋体" w:hAnsi="宋体" w:cs="宋体"/>
                <w:color w:val="auto"/>
                <w:spacing w:val="-1"/>
                <w:sz w:val="24"/>
                <w:highlight w:val="none"/>
              </w:rPr>
            </w:pPr>
          </w:p>
        </w:tc>
        <w:tc>
          <w:tcPr>
            <w:tcW w:w="1618" w:type="dxa"/>
            <w:gridSpan w:val="2"/>
            <w:vMerge w:val="continue"/>
            <w:vAlign w:val="center"/>
          </w:tcPr>
          <w:p w14:paraId="4F39791B">
            <w:pPr>
              <w:jc w:val="center"/>
              <w:rPr>
                <w:rFonts w:ascii="宋体" w:hAnsi="宋体" w:cs="宋体"/>
                <w:color w:val="auto"/>
                <w:spacing w:val="-1"/>
                <w:sz w:val="24"/>
                <w:highlight w:val="none"/>
              </w:rPr>
            </w:pPr>
          </w:p>
        </w:tc>
        <w:tc>
          <w:tcPr>
            <w:tcW w:w="749" w:type="dxa"/>
            <w:vMerge w:val="continue"/>
            <w:vAlign w:val="center"/>
          </w:tcPr>
          <w:p w14:paraId="350A6302">
            <w:pPr>
              <w:jc w:val="center"/>
              <w:rPr>
                <w:rFonts w:ascii="宋体" w:hAnsi="宋体" w:cs="宋体"/>
                <w:color w:val="auto"/>
                <w:spacing w:val="-1"/>
                <w:sz w:val="24"/>
                <w:highlight w:val="none"/>
              </w:rPr>
            </w:pPr>
          </w:p>
        </w:tc>
        <w:tc>
          <w:tcPr>
            <w:tcW w:w="4056" w:type="dxa"/>
            <w:vAlign w:val="center"/>
          </w:tcPr>
          <w:p w14:paraId="5DDF0D53">
            <w:pPr>
              <w:rPr>
                <w:rFonts w:ascii="宋体" w:hAnsi="宋体" w:cs="宋体"/>
                <w:color w:val="auto"/>
                <w:spacing w:val="-1"/>
                <w:sz w:val="24"/>
                <w:highlight w:val="none"/>
              </w:rPr>
            </w:pPr>
            <w:r>
              <w:rPr>
                <w:rFonts w:hint="eastAsia" w:ascii="宋体" w:hAnsi="宋体" w:cs="宋体"/>
                <w:color w:val="auto"/>
                <w:spacing w:val="-1"/>
                <w:sz w:val="24"/>
                <w:highlight w:val="none"/>
              </w:rPr>
              <w:t>应急预案具备物资保障、技术保障、安全防护保障、通讯信息保障的；得分2分；缺一项扣1分，最多扣2分。</w:t>
            </w:r>
          </w:p>
        </w:tc>
        <w:tc>
          <w:tcPr>
            <w:tcW w:w="639" w:type="dxa"/>
            <w:vAlign w:val="center"/>
          </w:tcPr>
          <w:p w14:paraId="25F23581">
            <w:pPr>
              <w:jc w:val="center"/>
              <w:rPr>
                <w:rFonts w:ascii="宋体" w:hAnsi="宋体" w:cs="宋体"/>
                <w:color w:val="auto"/>
                <w:spacing w:val="-1"/>
                <w:sz w:val="24"/>
                <w:highlight w:val="none"/>
              </w:rPr>
            </w:pPr>
            <w:r>
              <w:rPr>
                <w:rFonts w:hint="eastAsia" w:ascii="宋体" w:hAnsi="宋体" w:cs="宋体"/>
                <w:color w:val="auto"/>
                <w:spacing w:val="-1"/>
                <w:sz w:val="24"/>
                <w:highlight w:val="none"/>
              </w:rPr>
              <w:t>2分</w:t>
            </w:r>
          </w:p>
        </w:tc>
        <w:tc>
          <w:tcPr>
            <w:tcW w:w="599" w:type="dxa"/>
            <w:vAlign w:val="center"/>
          </w:tcPr>
          <w:p w14:paraId="78F73D03">
            <w:pPr>
              <w:jc w:val="center"/>
              <w:rPr>
                <w:rFonts w:ascii="宋体" w:hAnsi="宋体" w:cs="宋体"/>
                <w:color w:val="auto"/>
                <w:spacing w:val="-1"/>
                <w:sz w:val="24"/>
                <w:highlight w:val="none"/>
              </w:rPr>
            </w:pPr>
          </w:p>
        </w:tc>
        <w:tc>
          <w:tcPr>
            <w:tcW w:w="764" w:type="dxa"/>
            <w:vAlign w:val="center"/>
          </w:tcPr>
          <w:p w14:paraId="35C476A3">
            <w:pPr>
              <w:jc w:val="center"/>
              <w:rPr>
                <w:rFonts w:ascii="宋体" w:hAnsi="宋体" w:cs="宋体"/>
                <w:color w:val="auto"/>
                <w:spacing w:val="-1"/>
                <w:sz w:val="24"/>
                <w:highlight w:val="none"/>
              </w:rPr>
            </w:pPr>
          </w:p>
        </w:tc>
      </w:tr>
      <w:tr w14:paraId="7219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7" w:hRule="atLeast"/>
          <w:jc w:val="center"/>
        </w:trPr>
        <w:tc>
          <w:tcPr>
            <w:tcW w:w="1204" w:type="dxa"/>
            <w:vMerge w:val="continue"/>
            <w:vAlign w:val="center"/>
          </w:tcPr>
          <w:p w14:paraId="31A65284">
            <w:pPr>
              <w:jc w:val="center"/>
              <w:rPr>
                <w:rFonts w:ascii="宋体" w:hAnsi="宋体" w:cs="宋体"/>
                <w:color w:val="auto"/>
                <w:spacing w:val="-1"/>
                <w:sz w:val="24"/>
                <w:highlight w:val="none"/>
              </w:rPr>
            </w:pPr>
          </w:p>
        </w:tc>
        <w:tc>
          <w:tcPr>
            <w:tcW w:w="1618" w:type="dxa"/>
            <w:gridSpan w:val="2"/>
            <w:vMerge w:val="continue"/>
            <w:vAlign w:val="center"/>
          </w:tcPr>
          <w:p w14:paraId="1F1E19CE">
            <w:pPr>
              <w:jc w:val="center"/>
              <w:rPr>
                <w:rFonts w:ascii="宋体" w:hAnsi="宋体" w:cs="宋体"/>
                <w:color w:val="auto"/>
                <w:spacing w:val="-1"/>
                <w:sz w:val="24"/>
                <w:highlight w:val="none"/>
              </w:rPr>
            </w:pPr>
          </w:p>
        </w:tc>
        <w:tc>
          <w:tcPr>
            <w:tcW w:w="749" w:type="dxa"/>
            <w:vMerge w:val="continue"/>
            <w:vAlign w:val="center"/>
          </w:tcPr>
          <w:p w14:paraId="1CF8ABCE">
            <w:pPr>
              <w:jc w:val="center"/>
              <w:rPr>
                <w:rFonts w:ascii="宋体" w:hAnsi="宋体" w:cs="宋体"/>
                <w:color w:val="auto"/>
                <w:spacing w:val="-1"/>
                <w:sz w:val="24"/>
                <w:highlight w:val="none"/>
              </w:rPr>
            </w:pPr>
          </w:p>
        </w:tc>
        <w:tc>
          <w:tcPr>
            <w:tcW w:w="4056" w:type="dxa"/>
            <w:vAlign w:val="center"/>
          </w:tcPr>
          <w:p w14:paraId="08F91734">
            <w:pPr>
              <w:rPr>
                <w:rFonts w:ascii="宋体" w:hAnsi="宋体" w:cs="宋体"/>
                <w:color w:val="auto"/>
                <w:spacing w:val="-1"/>
                <w:sz w:val="24"/>
                <w:highlight w:val="none"/>
              </w:rPr>
            </w:pPr>
            <w:r>
              <w:rPr>
                <w:rFonts w:hint="eastAsia" w:ascii="宋体" w:hAnsi="宋体" w:cs="宋体"/>
                <w:color w:val="auto"/>
                <w:spacing w:val="-1"/>
                <w:sz w:val="24"/>
                <w:highlight w:val="none"/>
              </w:rPr>
              <w:t>应急预案包含应急技术措施；触电、中毒、防汛、关键性生产设备紧急抢险、重大水质污染、严重超负荷运行、压力容器故障、氯气泄漏、沼气泄漏、硫化氢等有毒有害气体泄漏、防火防爆、防自然灾害、防溺水、防高空坠落、化验室事故应急措施等。</w:t>
            </w:r>
          </w:p>
        </w:tc>
        <w:tc>
          <w:tcPr>
            <w:tcW w:w="639" w:type="dxa"/>
            <w:vAlign w:val="center"/>
          </w:tcPr>
          <w:p w14:paraId="3330CF30">
            <w:pPr>
              <w:jc w:val="center"/>
              <w:rPr>
                <w:rFonts w:ascii="宋体" w:hAnsi="宋体" w:cs="宋体"/>
                <w:color w:val="auto"/>
                <w:spacing w:val="-1"/>
                <w:sz w:val="24"/>
                <w:highlight w:val="none"/>
              </w:rPr>
            </w:pPr>
            <w:r>
              <w:rPr>
                <w:rFonts w:hint="eastAsia" w:ascii="宋体" w:hAnsi="宋体" w:cs="宋体"/>
                <w:color w:val="auto"/>
                <w:spacing w:val="-1"/>
                <w:sz w:val="24"/>
                <w:highlight w:val="none"/>
              </w:rPr>
              <w:t>1分</w:t>
            </w:r>
          </w:p>
        </w:tc>
        <w:tc>
          <w:tcPr>
            <w:tcW w:w="599" w:type="dxa"/>
            <w:vAlign w:val="center"/>
          </w:tcPr>
          <w:p w14:paraId="534C5CD3">
            <w:pPr>
              <w:jc w:val="center"/>
              <w:rPr>
                <w:rFonts w:ascii="宋体" w:hAnsi="宋体" w:cs="宋体"/>
                <w:color w:val="auto"/>
                <w:spacing w:val="-1"/>
                <w:sz w:val="24"/>
                <w:highlight w:val="none"/>
              </w:rPr>
            </w:pPr>
          </w:p>
        </w:tc>
        <w:tc>
          <w:tcPr>
            <w:tcW w:w="764" w:type="dxa"/>
            <w:vAlign w:val="center"/>
          </w:tcPr>
          <w:p w14:paraId="7F99E6BB">
            <w:pPr>
              <w:jc w:val="center"/>
              <w:rPr>
                <w:rFonts w:ascii="宋体" w:hAnsi="宋体" w:cs="宋体"/>
                <w:color w:val="auto"/>
                <w:spacing w:val="-1"/>
                <w:sz w:val="24"/>
                <w:highlight w:val="none"/>
              </w:rPr>
            </w:pPr>
          </w:p>
        </w:tc>
      </w:tr>
      <w:tr w14:paraId="7D2B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0" w:hRule="atLeast"/>
          <w:jc w:val="center"/>
        </w:trPr>
        <w:tc>
          <w:tcPr>
            <w:tcW w:w="1214" w:type="dxa"/>
            <w:gridSpan w:val="2"/>
            <w:vAlign w:val="center"/>
          </w:tcPr>
          <w:p w14:paraId="58E45F4D">
            <w:pPr>
              <w:jc w:val="center"/>
              <w:rPr>
                <w:rFonts w:ascii="宋体" w:hAnsi="宋体" w:cs="宋体"/>
                <w:color w:val="auto"/>
                <w:spacing w:val="-1"/>
                <w:sz w:val="24"/>
                <w:highlight w:val="none"/>
              </w:rPr>
            </w:pPr>
          </w:p>
        </w:tc>
        <w:tc>
          <w:tcPr>
            <w:tcW w:w="1608" w:type="dxa"/>
            <w:vAlign w:val="center"/>
          </w:tcPr>
          <w:p w14:paraId="737B936A">
            <w:pPr>
              <w:jc w:val="center"/>
              <w:rPr>
                <w:rFonts w:ascii="宋体" w:hAnsi="宋体" w:cs="宋体"/>
                <w:color w:val="auto"/>
                <w:spacing w:val="-1"/>
                <w:sz w:val="24"/>
                <w:highlight w:val="none"/>
              </w:rPr>
            </w:pPr>
            <w:r>
              <w:rPr>
                <w:rFonts w:hint="eastAsia" w:ascii="宋体" w:hAnsi="宋体" w:cs="宋体"/>
                <w:color w:val="auto"/>
                <w:spacing w:val="-1"/>
                <w:sz w:val="24"/>
                <w:highlight w:val="none"/>
              </w:rPr>
              <w:t>安全事故分级考核(15分）</w:t>
            </w:r>
          </w:p>
        </w:tc>
        <w:tc>
          <w:tcPr>
            <w:tcW w:w="749" w:type="dxa"/>
            <w:vAlign w:val="center"/>
          </w:tcPr>
          <w:p w14:paraId="4C2293B9">
            <w:pPr>
              <w:jc w:val="center"/>
              <w:rPr>
                <w:rFonts w:ascii="宋体" w:hAnsi="宋体" w:cs="宋体"/>
                <w:color w:val="auto"/>
                <w:spacing w:val="-1"/>
                <w:sz w:val="24"/>
                <w:highlight w:val="none"/>
              </w:rPr>
            </w:pPr>
            <w:r>
              <w:rPr>
                <w:rFonts w:hint="eastAsia" w:ascii="宋体" w:hAnsi="宋体" w:cs="宋体"/>
                <w:color w:val="auto"/>
                <w:spacing w:val="-1"/>
                <w:sz w:val="24"/>
                <w:highlight w:val="none"/>
              </w:rPr>
              <w:t>100%</w:t>
            </w:r>
          </w:p>
        </w:tc>
        <w:tc>
          <w:tcPr>
            <w:tcW w:w="4056" w:type="dxa"/>
            <w:vAlign w:val="center"/>
          </w:tcPr>
          <w:p w14:paraId="3AB43D1B">
            <w:pPr>
              <w:rPr>
                <w:rFonts w:ascii="宋体" w:hAnsi="宋体" w:cs="宋体"/>
                <w:color w:val="auto"/>
                <w:spacing w:val="-1"/>
                <w:sz w:val="24"/>
                <w:highlight w:val="none"/>
              </w:rPr>
            </w:pPr>
            <w:r>
              <w:rPr>
                <w:rFonts w:hint="eastAsia" w:ascii="宋体" w:hAnsi="宋体" w:cs="宋体"/>
                <w:color w:val="auto"/>
                <w:spacing w:val="-1"/>
                <w:sz w:val="24"/>
                <w:highlight w:val="none"/>
              </w:rPr>
              <w:t>一般安全事故：造成轻微伤害、无财产损失或财产损失≤1万元，扣3分；较大安全事故：造成轻伤1-2人、财产损失1万-10万元，扣10分；重大安全事故：造成人员受伤、财产损失＞10万元或造成恶劣社会影响，扣完15分；特重大安全事故：造成人员伤亡，除扣完本项分值外，本次考核整体按不合格处理。</w:t>
            </w:r>
          </w:p>
          <w:p w14:paraId="79D959C4">
            <w:pPr>
              <w:rPr>
                <w:rFonts w:ascii="宋体" w:hAnsi="宋体" w:cs="宋体"/>
                <w:color w:val="auto"/>
                <w:spacing w:val="-1"/>
                <w:sz w:val="24"/>
                <w:highlight w:val="none"/>
              </w:rPr>
            </w:pPr>
            <w:r>
              <w:rPr>
                <w:rFonts w:hint="eastAsia" w:ascii="宋体" w:hAnsi="宋体" w:cs="宋体"/>
                <w:color w:val="auto"/>
                <w:spacing w:val="-1"/>
                <w:sz w:val="24"/>
                <w:highlight w:val="none"/>
              </w:rPr>
              <w:t>(事故等级判定以国家安全生产事故分级标准及当地主管部门认定结果为准)</w:t>
            </w:r>
          </w:p>
        </w:tc>
        <w:tc>
          <w:tcPr>
            <w:tcW w:w="639" w:type="dxa"/>
            <w:vAlign w:val="center"/>
          </w:tcPr>
          <w:p w14:paraId="67F04426">
            <w:pPr>
              <w:jc w:val="center"/>
              <w:rPr>
                <w:rFonts w:ascii="宋体" w:hAnsi="宋体" w:cs="宋体"/>
                <w:color w:val="auto"/>
                <w:spacing w:val="-1"/>
                <w:sz w:val="24"/>
                <w:highlight w:val="none"/>
              </w:rPr>
            </w:pPr>
            <w:r>
              <w:rPr>
                <w:rFonts w:hint="eastAsia" w:ascii="宋体" w:hAnsi="宋体" w:cs="宋体"/>
                <w:color w:val="auto"/>
                <w:spacing w:val="-1"/>
                <w:sz w:val="24"/>
                <w:highlight w:val="none"/>
              </w:rPr>
              <w:t>15</w:t>
            </w:r>
          </w:p>
        </w:tc>
        <w:tc>
          <w:tcPr>
            <w:tcW w:w="599" w:type="dxa"/>
            <w:vAlign w:val="center"/>
          </w:tcPr>
          <w:p w14:paraId="79DB9AC9">
            <w:pPr>
              <w:jc w:val="center"/>
              <w:rPr>
                <w:rFonts w:ascii="宋体" w:hAnsi="宋体" w:cs="宋体"/>
                <w:color w:val="auto"/>
                <w:spacing w:val="-1"/>
                <w:sz w:val="24"/>
                <w:highlight w:val="none"/>
              </w:rPr>
            </w:pPr>
          </w:p>
        </w:tc>
        <w:tc>
          <w:tcPr>
            <w:tcW w:w="764" w:type="dxa"/>
            <w:vAlign w:val="center"/>
          </w:tcPr>
          <w:p w14:paraId="33FAA5CE">
            <w:pPr>
              <w:jc w:val="center"/>
              <w:rPr>
                <w:rFonts w:ascii="宋体" w:hAnsi="宋体" w:cs="宋体"/>
                <w:color w:val="auto"/>
                <w:spacing w:val="-1"/>
                <w:sz w:val="24"/>
                <w:highlight w:val="none"/>
              </w:rPr>
            </w:pPr>
          </w:p>
        </w:tc>
      </w:tr>
      <w:tr w14:paraId="0148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4" w:hRule="atLeast"/>
          <w:jc w:val="center"/>
        </w:trPr>
        <w:tc>
          <w:tcPr>
            <w:tcW w:w="1214" w:type="dxa"/>
            <w:gridSpan w:val="2"/>
            <w:vMerge w:val="restart"/>
            <w:vAlign w:val="center"/>
          </w:tcPr>
          <w:p w14:paraId="01DB4727">
            <w:pPr>
              <w:jc w:val="center"/>
              <w:rPr>
                <w:rFonts w:ascii="宋体" w:hAnsi="宋体" w:cs="宋体"/>
                <w:color w:val="auto"/>
                <w:spacing w:val="-1"/>
                <w:sz w:val="24"/>
                <w:highlight w:val="none"/>
              </w:rPr>
            </w:pPr>
            <w:r>
              <w:rPr>
                <w:rFonts w:hint="eastAsia" w:ascii="宋体" w:hAnsi="宋体" w:cs="宋体"/>
                <w:color w:val="auto"/>
                <w:spacing w:val="-1"/>
                <w:sz w:val="24"/>
                <w:highlight w:val="none"/>
              </w:rPr>
              <w:t>三、设备管理目标(16分)</w:t>
            </w:r>
          </w:p>
        </w:tc>
        <w:tc>
          <w:tcPr>
            <w:tcW w:w="1608" w:type="dxa"/>
            <w:vAlign w:val="center"/>
          </w:tcPr>
          <w:p w14:paraId="5524D70F">
            <w:pPr>
              <w:jc w:val="center"/>
              <w:rPr>
                <w:rFonts w:ascii="宋体" w:hAnsi="宋体" w:cs="宋体"/>
                <w:color w:val="auto"/>
                <w:spacing w:val="-1"/>
                <w:sz w:val="24"/>
                <w:highlight w:val="none"/>
              </w:rPr>
            </w:pPr>
            <w:r>
              <w:rPr>
                <w:rFonts w:hint="eastAsia" w:ascii="宋体" w:hAnsi="宋体" w:cs="宋体"/>
                <w:color w:val="auto"/>
                <w:spacing w:val="-1"/>
                <w:sz w:val="24"/>
                <w:highlight w:val="none"/>
              </w:rPr>
              <w:t>1.主要生产设备完好率</w:t>
            </w:r>
          </w:p>
          <w:p w14:paraId="630FB793">
            <w:pPr>
              <w:jc w:val="center"/>
              <w:rPr>
                <w:rFonts w:ascii="宋体" w:hAnsi="宋体" w:cs="宋体"/>
                <w:color w:val="auto"/>
                <w:spacing w:val="-1"/>
                <w:sz w:val="24"/>
                <w:highlight w:val="none"/>
              </w:rPr>
            </w:pPr>
            <w:r>
              <w:rPr>
                <w:rFonts w:hint="eastAsia" w:ascii="宋体" w:hAnsi="宋体" w:cs="宋体"/>
                <w:color w:val="auto"/>
                <w:spacing w:val="-1"/>
                <w:sz w:val="24"/>
                <w:highlight w:val="none"/>
              </w:rPr>
              <w:t>(6分)</w:t>
            </w:r>
          </w:p>
        </w:tc>
        <w:tc>
          <w:tcPr>
            <w:tcW w:w="749" w:type="dxa"/>
            <w:vAlign w:val="center"/>
          </w:tcPr>
          <w:p w14:paraId="75115219">
            <w:pPr>
              <w:jc w:val="center"/>
              <w:rPr>
                <w:rFonts w:ascii="宋体" w:hAnsi="宋体" w:cs="宋体"/>
                <w:color w:val="auto"/>
                <w:spacing w:val="-1"/>
                <w:sz w:val="24"/>
                <w:highlight w:val="none"/>
              </w:rPr>
            </w:pPr>
            <w:r>
              <w:rPr>
                <w:rFonts w:hint="eastAsia" w:ascii="宋体" w:hAnsi="宋体" w:cs="宋体"/>
                <w:color w:val="auto"/>
                <w:spacing w:val="-1"/>
                <w:sz w:val="24"/>
                <w:highlight w:val="none"/>
              </w:rPr>
              <w:t>100%</w:t>
            </w:r>
          </w:p>
        </w:tc>
        <w:tc>
          <w:tcPr>
            <w:tcW w:w="4056" w:type="dxa"/>
            <w:vAlign w:val="center"/>
          </w:tcPr>
          <w:p w14:paraId="783DEF4F">
            <w:pPr>
              <w:rPr>
                <w:rFonts w:ascii="宋体" w:hAnsi="宋体" w:cs="宋体"/>
                <w:color w:val="auto"/>
                <w:spacing w:val="-1"/>
                <w:sz w:val="24"/>
                <w:highlight w:val="none"/>
              </w:rPr>
            </w:pPr>
            <w:r>
              <w:rPr>
                <w:rFonts w:hint="eastAsia" w:ascii="宋体" w:hAnsi="宋体" w:cs="宋体"/>
                <w:color w:val="auto"/>
                <w:spacing w:val="-1"/>
                <w:sz w:val="24"/>
                <w:highlight w:val="none"/>
              </w:rPr>
              <w:t>主要生产设备（包括回转式固液分离机、</w:t>
            </w:r>
          </w:p>
          <w:p w14:paraId="78B1D1D1">
            <w:pPr>
              <w:rPr>
                <w:rFonts w:ascii="宋体" w:hAnsi="宋体" w:cs="宋体"/>
                <w:color w:val="auto"/>
                <w:spacing w:val="-1"/>
                <w:sz w:val="24"/>
                <w:highlight w:val="none"/>
              </w:rPr>
            </w:pPr>
            <w:r>
              <w:rPr>
                <w:rFonts w:hint="eastAsia" w:ascii="宋体" w:hAnsi="宋体" w:cs="宋体"/>
                <w:color w:val="auto"/>
                <w:spacing w:val="-1"/>
                <w:sz w:val="24"/>
                <w:highlight w:val="none"/>
              </w:rPr>
              <w:t>液下搅拌器、潜水排污泵、电磁流量计、配水器、MC-MBBR处理器、曝气机、回流泵、污泥搅拌机、带式压滤机、污泥螺杆泵、计量泵、加药箱、搅拌器、反冲洗水泵、空压机、轴流风机、紫外消毒装置、进出水在线监测仪器、配电控制中心等），完好率≤90%扣2分；完好率≤85%扣4分；备完好率≤80%扣6分。</w:t>
            </w:r>
          </w:p>
        </w:tc>
        <w:tc>
          <w:tcPr>
            <w:tcW w:w="639" w:type="dxa"/>
            <w:vAlign w:val="center"/>
          </w:tcPr>
          <w:p w14:paraId="3E8EE2F2">
            <w:pPr>
              <w:jc w:val="center"/>
              <w:rPr>
                <w:rFonts w:ascii="宋体" w:hAnsi="宋体" w:cs="宋体"/>
                <w:color w:val="auto"/>
                <w:spacing w:val="-1"/>
                <w:sz w:val="24"/>
                <w:highlight w:val="none"/>
              </w:rPr>
            </w:pPr>
            <w:r>
              <w:rPr>
                <w:rFonts w:hint="eastAsia" w:ascii="宋体" w:hAnsi="宋体" w:cs="宋体"/>
                <w:color w:val="auto"/>
                <w:spacing w:val="-1"/>
                <w:sz w:val="24"/>
                <w:highlight w:val="none"/>
              </w:rPr>
              <w:t>6分</w:t>
            </w:r>
          </w:p>
        </w:tc>
        <w:tc>
          <w:tcPr>
            <w:tcW w:w="599" w:type="dxa"/>
            <w:vAlign w:val="center"/>
          </w:tcPr>
          <w:p w14:paraId="437B9CE0">
            <w:pPr>
              <w:jc w:val="center"/>
              <w:rPr>
                <w:rFonts w:ascii="宋体" w:hAnsi="宋体" w:cs="宋体"/>
                <w:color w:val="auto"/>
                <w:spacing w:val="-1"/>
                <w:sz w:val="24"/>
                <w:highlight w:val="none"/>
              </w:rPr>
            </w:pPr>
          </w:p>
        </w:tc>
        <w:tc>
          <w:tcPr>
            <w:tcW w:w="764" w:type="dxa"/>
            <w:vAlign w:val="center"/>
          </w:tcPr>
          <w:p w14:paraId="6DF473DC">
            <w:pPr>
              <w:jc w:val="center"/>
              <w:rPr>
                <w:rFonts w:ascii="宋体" w:hAnsi="宋体" w:cs="宋体"/>
                <w:color w:val="auto"/>
                <w:spacing w:val="-1"/>
                <w:sz w:val="24"/>
                <w:highlight w:val="none"/>
              </w:rPr>
            </w:pPr>
          </w:p>
        </w:tc>
      </w:tr>
      <w:tr w14:paraId="754B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214" w:type="dxa"/>
            <w:gridSpan w:val="2"/>
            <w:vMerge w:val="continue"/>
            <w:vAlign w:val="center"/>
          </w:tcPr>
          <w:p w14:paraId="0770446F">
            <w:pPr>
              <w:jc w:val="center"/>
              <w:rPr>
                <w:rFonts w:ascii="宋体" w:hAnsi="宋体" w:cs="宋体"/>
                <w:color w:val="auto"/>
                <w:spacing w:val="-1"/>
                <w:sz w:val="24"/>
                <w:highlight w:val="none"/>
              </w:rPr>
            </w:pPr>
          </w:p>
        </w:tc>
        <w:tc>
          <w:tcPr>
            <w:tcW w:w="1608" w:type="dxa"/>
            <w:vMerge w:val="restart"/>
            <w:vAlign w:val="center"/>
          </w:tcPr>
          <w:p w14:paraId="0C234282">
            <w:pPr>
              <w:jc w:val="center"/>
              <w:rPr>
                <w:rFonts w:ascii="宋体" w:hAnsi="宋体" w:cs="宋体"/>
                <w:color w:val="auto"/>
                <w:spacing w:val="-1"/>
                <w:sz w:val="24"/>
                <w:highlight w:val="none"/>
              </w:rPr>
            </w:pPr>
            <w:r>
              <w:rPr>
                <w:rFonts w:hint="eastAsia" w:ascii="宋体" w:hAnsi="宋体" w:cs="宋体"/>
                <w:color w:val="auto"/>
                <w:spacing w:val="-1"/>
                <w:sz w:val="24"/>
                <w:highlight w:val="none"/>
              </w:rPr>
              <w:t>2.管网维护</w:t>
            </w:r>
          </w:p>
          <w:p w14:paraId="06A3EEB7">
            <w:pPr>
              <w:jc w:val="center"/>
              <w:rPr>
                <w:rFonts w:ascii="宋体" w:hAnsi="宋体" w:cs="宋体"/>
                <w:color w:val="auto"/>
                <w:spacing w:val="-1"/>
                <w:sz w:val="24"/>
                <w:highlight w:val="none"/>
              </w:rPr>
            </w:pPr>
            <w:r>
              <w:rPr>
                <w:rFonts w:hint="eastAsia" w:ascii="宋体" w:hAnsi="宋体" w:cs="宋体"/>
                <w:color w:val="auto"/>
                <w:spacing w:val="-1"/>
                <w:sz w:val="24"/>
                <w:highlight w:val="none"/>
              </w:rPr>
              <w:t>(10分)</w:t>
            </w:r>
          </w:p>
        </w:tc>
        <w:tc>
          <w:tcPr>
            <w:tcW w:w="749" w:type="dxa"/>
            <w:vMerge w:val="restart"/>
            <w:vAlign w:val="center"/>
          </w:tcPr>
          <w:p w14:paraId="429D999D">
            <w:pPr>
              <w:jc w:val="center"/>
              <w:rPr>
                <w:rFonts w:ascii="宋体" w:hAnsi="宋体" w:cs="宋体"/>
                <w:color w:val="auto"/>
                <w:spacing w:val="-1"/>
                <w:sz w:val="24"/>
                <w:highlight w:val="none"/>
              </w:rPr>
            </w:pPr>
            <w:r>
              <w:rPr>
                <w:rFonts w:hint="eastAsia" w:ascii="宋体" w:hAnsi="宋体" w:cs="宋体"/>
                <w:color w:val="auto"/>
                <w:spacing w:val="-1"/>
                <w:sz w:val="24"/>
                <w:highlight w:val="none"/>
              </w:rPr>
              <w:t>100%</w:t>
            </w:r>
          </w:p>
        </w:tc>
        <w:tc>
          <w:tcPr>
            <w:tcW w:w="4056" w:type="dxa"/>
            <w:vAlign w:val="center"/>
          </w:tcPr>
          <w:p w14:paraId="6AC05556">
            <w:pPr>
              <w:rPr>
                <w:rFonts w:ascii="宋体" w:hAnsi="宋体" w:cs="宋体"/>
                <w:color w:val="auto"/>
                <w:spacing w:val="-1"/>
                <w:sz w:val="24"/>
                <w:highlight w:val="none"/>
              </w:rPr>
            </w:pPr>
            <w:r>
              <w:rPr>
                <w:rFonts w:hint="eastAsia" w:ascii="宋体" w:hAnsi="宋体" w:cs="宋体"/>
                <w:color w:val="auto"/>
                <w:spacing w:val="-1"/>
                <w:sz w:val="24"/>
                <w:highlight w:val="none"/>
              </w:rPr>
              <w:t>污水管网有堵塞、污水溢出等，应在48小时内做好疏通工作，未能及时解决问题的，每发现一次扣1分，如因管网崩塌、损坏等原因需修复的除外。（5分）</w:t>
            </w:r>
          </w:p>
        </w:tc>
        <w:tc>
          <w:tcPr>
            <w:tcW w:w="639" w:type="dxa"/>
            <w:vAlign w:val="center"/>
          </w:tcPr>
          <w:p w14:paraId="317B8D63">
            <w:pPr>
              <w:jc w:val="center"/>
              <w:rPr>
                <w:rFonts w:ascii="宋体" w:hAnsi="宋体" w:cs="宋体"/>
                <w:color w:val="auto"/>
                <w:spacing w:val="-1"/>
                <w:sz w:val="24"/>
                <w:highlight w:val="none"/>
              </w:rPr>
            </w:pPr>
            <w:r>
              <w:rPr>
                <w:rFonts w:hint="eastAsia" w:ascii="宋体" w:hAnsi="宋体" w:cs="宋体"/>
                <w:color w:val="auto"/>
                <w:spacing w:val="-1"/>
                <w:sz w:val="24"/>
                <w:highlight w:val="none"/>
              </w:rPr>
              <w:t>5分</w:t>
            </w:r>
          </w:p>
        </w:tc>
        <w:tc>
          <w:tcPr>
            <w:tcW w:w="599" w:type="dxa"/>
            <w:vAlign w:val="center"/>
          </w:tcPr>
          <w:p w14:paraId="63E06BB3">
            <w:pPr>
              <w:jc w:val="center"/>
              <w:rPr>
                <w:rFonts w:ascii="宋体" w:hAnsi="宋体" w:cs="宋体"/>
                <w:color w:val="auto"/>
                <w:spacing w:val="-1"/>
                <w:sz w:val="24"/>
                <w:highlight w:val="none"/>
              </w:rPr>
            </w:pPr>
          </w:p>
        </w:tc>
        <w:tc>
          <w:tcPr>
            <w:tcW w:w="764" w:type="dxa"/>
            <w:vAlign w:val="center"/>
          </w:tcPr>
          <w:p w14:paraId="4399AEF8">
            <w:pPr>
              <w:jc w:val="center"/>
              <w:rPr>
                <w:rFonts w:ascii="宋体" w:hAnsi="宋体" w:cs="宋体"/>
                <w:color w:val="auto"/>
                <w:spacing w:val="-1"/>
                <w:sz w:val="24"/>
                <w:highlight w:val="none"/>
              </w:rPr>
            </w:pPr>
          </w:p>
        </w:tc>
      </w:tr>
      <w:tr w14:paraId="3901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1214" w:type="dxa"/>
            <w:gridSpan w:val="2"/>
            <w:vMerge w:val="continue"/>
            <w:vAlign w:val="center"/>
          </w:tcPr>
          <w:p w14:paraId="286EB056">
            <w:pPr>
              <w:jc w:val="center"/>
              <w:rPr>
                <w:rFonts w:ascii="宋体" w:hAnsi="宋体" w:cs="宋体"/>
                <w:color w:val="auto"/>
                <w:spacing w:val="-1"/>
                <w:sz w:val="24"/>
                <w:highlight w:val="none"/>
              </w:rPr>
            </w:pPr>
          </w:p>
        </w:tc>
        <w:tc>
          <w:tcPr>
            <w:tcW w:w="1608" w:type="dxa"/>
            <w:vMerge w:val="continue"/>
            <w:vAlign w:val="center"/>
          </w:tcPr>
          <w:p w14:paraId="30D9971C">
            <w:pPr>
              <w:jc w:val="center"/>
              <w:rPr>
                <w:rFonts w:ascii="宋体" w:hAnsi="宋体" w:cs="宋体"/>
                <w:color w:val="auto"/>
                <w:spacing w:val="-1"/>
                <w:sz w:val="24"/>
                <w:highlight w:val="none"/>
              </w:rPr>
            </w:pPr>
          </w:p>
        </w:tc>
        <w:tc>
          <w:tcPr>
            <w:tcW w:w="749" w:type="dxa"/>
            <w:vMerge w:val="continue"/>
            <w:vAlign w:val="center"/>
          </w:tcPr>
          <w:p w14:paraId="326C326D">
            <w:pPr>
              <w:jc w:val="center"/>
              <w:rPr>
                <w:rFonts w:ascii="宋体" w:hAnsi="宋体" w:cs="宋体"/>
                <w:color w:val="auto"/>
                <w:spacing w:val="-1"/>
                <w:sz w:val="24"/>
                <w:highlight w:val="none"/>
              </w:rPr>
            </w:pPr>
          </w:p>
        </w:tc>
        <w:tc>
          <w:tcPr>
            <w:tcW w:w="4056" w:type="dxa"/>
            <w:vAlign w:val="center"/>
          </w:tcPr>
          <w:p w14:paraId="58620385">
            <w:pPr>
              <w:rPr>
                <w:rFonts w:ascii="宋体" w:hAnsi="宋体" w:cs="宋体"/>
                <w:color w:val="auto"/>
                <w:spacing w:val="-1"/>
                <w:sz w:val="24"/>
                <w:highlight w:val="none"/>
              </w:rPr>
            </w:pPr>
            <w:r>
              <w:rPr>
                <w:rFonts w:hint="eastAsia" w:ascii="宋体" w:hAnsi="宋体" w:cs="宋体"/>
                <w:color w:val="auto"/>
                <w:spacing w:val="-1"/>
                <w:sz w:val="24"/>
                <w:highlight w:val="none"/>
              </w:rPr>
              <w:t>制定污水管网巡查制度，并做好管网定期维护工作以及巡查维护台账记录。（5分）</w:t>
            </w:r>
          </w:p>
        </w:tc>
        <w:tc>
          <w:tcPr>
            <w:tcW w:w="639" w:type="dxa"/>
            <w:vAlign w:val="center"/>
          </w:tcPr>
          <w:p w14:paraId="7935EE9C">
            <w:pPr>
              <w:jc w:val="center"/>
              <w:rPr>
                <w:rFonts w:ascii="宋体" w:hAnsi="宋体" w:cs="宋体"/>
                <w:color w:val="auto"/>
                <w:spacing w:val="-1"/>
                <w:sz w:val="24"/>
                <w:highlight w:val="none"/>
              </w:rPr>
            </w:pPr>
            <w:r>
              <w:rPr>
                <w:rFonts w:hint="eastAsia" w:ascii="宋体" w:hAnsi="宋体" w:cs="宋体"/>
                <w:color w:val="auto"/>
                <w:spacing w:val="-1"/>
                <w:sz w:val="24"/>
                <w:highlight w:val="none"/>
              </w:rPr>
              <w:t>5分</w:t>
            </w:r>
          </w:p>
        </w:tc>
        <w:tc>
          <w:tcPr>
            <w:tcW w:w="599" w:type="dxa"/>
            <w:vAlign w:val="center"/>
          </w:tcPr>
          <w:p w14:paraId="37D95DE7">
            <w:pPr>
              <w:jc w:val="center"/>
              <w:rPr>
                <w:rFonts w:ascii="宋体" w:hAnsi="宋体" w:cs="宋体"/>
                <w:color w:val="auto"/>
                <w:spacing w:val="-1"/>
                <w:sz w:val="24"/>
                <w:highlight w:val="none"/>
              </w:rPr>
            </w:pPr>
          </w:p>
        </w:tc>
        <w:tc>
          <w:tcPr>
            <w:tcW w:w="764" w:type="dxa"/>
            <w:vAlign w:val="center"/>
          </w:tcPr>
          <w:p w14:paraId="3E709DB1">
            <w:pPr>
              <w:jc w:val="center"/>
              <w:rPr>
                <w:rFonts w:ascii="宋体" w:hAnsi="宋体" w:cs="宋体"/>
                <w:color w:val="auto"/>
                <w:spacing w:val="-1"/>
                <w:sz w:val="24"/>
                <w:highlight w:val="none"/>
              </w:rPr>
            </w:pPr>
          </w:p>
        </w:tc>
      </w:tr>
      <w:tr w14:paraId="07EC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1214" w:type="dxa"/>
            <w:gridSpan w:val="2"/>
            <w:vMerge w:val="restart"/>
            <w:vAlign w:val="center"/>
          </w:tcPr>
          <w:p w14:paraId="016C535B">
            <w:pPr>
              <w:jc w:val="center"/>
              <w:rPr>
                <w:rFonts w:ascii="宋体" w:hAnsi="宋体" w:cs="宋体"/>
                <w:color w:val="auto"/>
                <w:spacing w:val="-1"/>
                <w:sz w:val="24"/>
                <w:highlight w:val="none"/>
              </w:rPr>
            </w:pPr>
            <w:r>
              <w:rPr>
                <w:rFonts w:hint="eastAsia" w:ascii="宋体" w:hAnsi="宋体" w:cs="宋体"/>
                <w:color w:val="auto"/>
                <w:spacing w:val="-1"/>
                <w:sz w:val="24"/>
                <w:highlight w:val="none"/>
              </w:rPr>
              <w:t>四、基础管理目标(2分)</w:t>
            </w:r>
          </w:p>
        </w:tc>
        <w:tc>
          <w:tcPr>
            <w:tcW w:w="1608" w:type="dxa"/>
            <w:vAlign w:val="center"/>
          </w:tcPr>
          <w:p w14:paraId="43291C4E">
            <w:pPr>
              <w:jc w:val="center"/>
              <w:rPr>
                <w:rFonts w:ascii="宋体" w:hAnsi="宋体" w:cs="宋体"/>
                <w:color w:val="auto"/>
                <w:spacing w:val="-1"/>
                <w:sz w:val="24"/>
                <w:highlight w:val="none"/>
              </w:rPr>
            </w:pPr>
            <w:r>
              <w:rPr>
                <w:rFonts w:hint="eastAsia" w:ascii="宋体" w:hAnsi="宋体" w:cs="宋体"/>
                <w:color w:val="auto"/>
                <w:spacing w:val="-1"/>
                <w:sz w:val="24"/>
                <w:highlight w:val="none"/>
              </w:rPr>
              <w:t>1.劳动纪律、精神面貌</w:t>
            </w:r>
          </w:p>
          <w:p w14:paraId="0D7F4CD0">
            <w:pPr>
              <w:jc w:val="center"/>
              <w:rPr>
                <w:rFonts w:ascii="宋体" w:hAnsi="宋体" w:cs="宋体"/>
                <w:color w:val="auto"/>
                <w:spacing w:val="-1"/>
                <w:sz w:val="24"/>
                <w:highlight w:val="none"/>
              </w:rPr>
            </w:pPr>
            <w:r>
              <w:rPr>
                <w:rFonts w:hint="eastAsia" w:ascii="宋体" w:hAnsi="宋体" w:cs="宋体"/>
                <w:color w:val="auto"/>
                <w:spacing w:val="-1"/>
                <w:sz w:val="24"/>
                <w:highlight w:val="none"/>
              </w:rPr>
              <w:t>(1分)</w:t>
            </w:r>
          </w:p>
        </w:tc>
        <w:tc>
          <w:tcPr>
            <w:tcW w:w="749" w:type="dxa"/>
            <w:vAlign w:val="center"/>
          </w:tcPr>
          <w:p w14:paraId="7E7B6AAD">
            <w:pPr>
              <w:jc w:val="center"/>
              <w:rPr>
                <w:rFonts w:ascii="宋体" w:hAnsi="宋体" w:cs="宋体"/>
                <w:color w:val="auto"/>
                <w:spacing w:val="-1"/>
                <w:sz w:val="24"/>
                <w:highlight w:val="none"/>
              </w:rPr>
            </w:pPr>
            <w:r>
              <w:rPr>
                <w:rFonts w:hint="eastAsia" w:ascii="宋体" w:hAnsi="宋体" w:cs="宋体"/>
                <w:color w:val="auto"/>
                <w:spacing w:val="-1"/>
                <w:sz w:val="24"/>
                <w:highlight w:val="none"/>
              </w:rPr>
              <w:t>100%</w:t>
            </w:r>
          </w:p>
        </w:tc>
        <w:tc>
          <w:tcPr>
            <w:tcW w:w="4056" w:type="dxa"/>
            <w:vAlign w:val="center"/>
          </w:tcPr>
          <w:p w14:paraId="29C2DFB1">
            <w:pPr>
              <w:rPr>
                <w:rFonts w:ascii="宋体" w:hAnsi="宋体" w:cs="宋体"/>
                <w:color w:val="auto"/>
                <w:spacing w:val="-1"/>
                <w:sz w:val="24"/>
                <w:highlight w:val="none"/>
              </w:rPr>
            </w:pPr>
            <w:r>
              <w:rPr>
                <w:rFonts w:hint="eastAsia" w:ascii="宋体" w:hAnsi="宋体" w:cs="宋体"/>
                <w:color w:val="auto"/>
                <w:spacing w:val="-1"/>
                <w:sz w:val="24"/>
                <w:highlight w:val="none"/>
              </w:rPr>
              <w:t>以现场检查情况为准。</w:t>
            </w:r>
          </w:p>
        </w:tc>
        <w:tc>
          <w:tcPr>
            <w:tcW w:w="639" w:type="dxa"/>
            <w:vAlign w:val="center"/>
          </w:tcPr>
          <w:p w14:paraId="6DFA768B">
            <w:pPr>
              <w:jc w:val="center"/>
              <w:rPr>
                <w:rFonts w:ascii="宋体" w:hAnsi="宋体" w:cs="宋体"/>
                <w:color w:val="auto"/>
                <w:spacing w:val="-1"/>
                <w:sz w:val="24"/>
                <w:highlight w:val="none"/>
              </w:rPr>
            </w:pPr>
            <w:r>
              <w:rPr>
                <w:rFonts w:hint="eastAsia" w:ascii="宋体" w:hAnsi="宋体" w:cs="宋体"/>
                <w:color w:val="auto"/>
                <w:spacing w:val="-1"/>
                <w:sz w:val="24"/>
                <w:highlight w:val="none"/>
              </w:rPr>
              <w:t>1分</w:t>
            </w:r>
          </w:p>
        </w:tc>
        <w:tc>
          <w:tcPr>
            <w:tcW w:w="599" w:type="dxa"/>
            <w:vAlign w:val="center"/>
          </w:tcPr>
          <w:p w14:paraId="74C7E21B">
            <w:pPr>
              <w:jc w:val="center"/>
              <w:rPr>
                <w:rFonts w:ascii="宋体" w:hAnsi="宋体" w:cs="宋体"/>
                <w:color w:val="auto"/>
                <w:spacing w:val="-1"/>
                <w:sz w:val="24"/>
                <w:highlight w:val="none"/>
              </w:rPr>
            </w:pPr>
          </w:p>
        </w:tc>
        <w:tc>
          <w:tcPr>
            <w:tcW w:w="764" w:type="dxa"/>
            <w:vAlign w:val="center"/>
          </w:tcPr>
          <w:p w14:paraId="1062739A">
            <w:pPr>
              <w:jc w:val="center"/>
              <w:rPr>
                <w:rFonts w:ascii="宋体" w:hAnsi="宋体" w:cs="宋体"/>
                <w:color w:val="auto"/>
                <w:spacing w:val="-1"/>
                <w:sz w:val="24"/>
                <w:highlight w:val="none"/>
              </w:rPr>
            </w:pPr>
          </w:p>
        </w:tc>
      </w:tr>
      <w:tr w14:paraId="5D74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214" w:type="dxa"/>
            <w:gridSpan w:val="2"/>
            <w:vMerge w:val="continue"/>
            <w:vAlign w:val="center"/>
          </w:tcPr>
          <w:p w14:paraId="75B1E2FC">
            <w:pPr>
              <w:jc w:val="center"/>
              <w:rPr>
                <w:rFonts w:ascii="宋体" w:hAnsi="宋体" w:cs="宋体"/>
                <w:color w:val="auto"/>
                <w:spacing w:val="-1"/>
                <w:sz w:val="24"/>
                <w:highlight w:val="none"/>
              </w:rPr>
            </w:pPr>
          </w:p>
        </w:tc>
        <w:tc>
          <w:tcPr>
            <w:tcW w:w="1608" w:type="dxa"/>
            <w:vAlign w:val="center"/>
          </w:tcPr>
          <w:p w14:paraId="37DA3F16">
            <w:pPr>
              <w:jc w:val="center"/>
              <w:rPr>
                <w:rFonts w:ascii="宋体" w:hAnsi="宋体" w:cs="宋体"/>
                <w:color w:val="auto"/>
                <w:spacing w:val="-1"/>
                <w:sz w:val="24"/>
                <w:highlight w:val="none"/>
              </w:rPr>
            </w:pPr>
            <w:r>
              <w:rPr>
                <w:rFonts w:hint="eastAsia" w:ascii="宋体" w:hAnsi="宋体" w:cs="宋体"/>
                <w:color w:val="auto"/>
                <w:spacing w:val="-1"/>
                <w:sz w:val="24"/>
                <w:highlight w:val="none"/>
              </w:rPr>
              <w:t>2.岗位卫生</w:t>
            </w:r>
          </w:p>
          <w:p w14:paraId="7850C56B">
            <w:pPr>
              <w:jc w:val="center"/>
              <w:rPr>
                <w:rFonts w:ascii="宋体" w:hAnsi="宋体" w:cs="宋体"/>
                <w:color w:val="auto"/>
                <w:spacing w:val="-1"/>
                <w:sz w:val="24"/>
                <w:highlight w:val="none"/>
              </w:rPr>
            </w:pPr>
            <w:r>
              <w:rPr>
                <w:rFonts w:hint="eastAsia" w:ascii="宋体" w:hAnsi="宋体" w:cs="宋体"/>
                <w:color w:val="auto"/>
                <w:spacing w:val="-1"/>
                <w:sz w:val="24"/>
                <w:highlight w:val="none"/>
              </w:rPr>
              <w:t>(1分)</w:t>
            </w:r>
          </w:p>
        </w:tc>
        <w:tc>
          <w:tcPr>
            <w:tcW w:w="749" w:type="dxa"/>
            <w:vAlign w:val="center"/>
          </w:tcPr>
          <w:p w14:paraId="5052DCDC">
            <w:pPr>
              <w:jc w:val="center"/>
              <w:rPr>
                <w:rFonts w:ascii="宋体" w:hAnsi="宋体" w:cs="宋体"/>
                <w:color w:val="auto"/>
                <w:spacing w:val="-1"/>
                <w:sz w:val="24"/>
                <w:highlight w:val="none"/>
              </w:rPr>
            </w:pPr>
            <w:r>
              <w:rPr>
                <w:rFonts w:hint="eastAsia" w:ascii="宋体" w:hAnsi="宋体" w:cs="宋体"/>
                <w:color w:val="auto"/>
                <w:spacing w:val="-1"/>
                <w:sz w:val="24"/>
                <w:highlight w:val="none"/>
              </w:rPr>
              <w:t>100%</w:t>
            </w:r>
          </w:p>
        </w:tc>
        <w:tc>
          <w:tcPr>
            <w:tcW w:w="4056" w:type="dxa"/>
            <w:vAlign w:val="center"/>
          </w:tcPr>
          <w:p w14:paraId="1344FA42">
            <w:pPr>
              <w:rPr>
                <w:rFonts w:ascii="宋体" w:hAnsi="宋体" w:cs="宋体"/>
                <w:color w:val="auto"/>
                <w:spacing w:val="-1"/>
                <w:sz w:val="24"/>
                <w:highlight w:val="none"/>
              </w:rPr>
            </w:pPr>
            <w:r>
              <w:rPr>
                <w:rFonts w:hint="eastAsia" w:ascii="宋体" w:hAnsi="宋体" w:cs="宋体"/>
                <w:color w:val="auto"/>
                <w:spacing w:val="-1"/>
                <w:sz w:val="24"/>
                <w:highlight w:val="none"/>
              </w:rPr>
              <w:t>以现场检查情况为准。</w:t>
            </w:r>
          </w:p>
        </w:tc>
        <w:tc>
          <w:tcPr>
            <w:tcW w:w="639" w:type="dxa"/>
            <w:vAlign w:val="center"/>
          </w:tcPr>
          <w:p w14:paraId="00FCC5CC">
            <w:pPr>
              <w:jc w:val="center"/>
              <w:rPr>
                <w:rFonts w:ascii="宋体" w:hAnsi="宋体" w:cs="宋体"/>
                <w:color w:val="auto"/>
                <w:spacing w:val="-1"/>
                <w:sz w:val="24"/>
                <w:highlight w:val="none"/>
              </w:rPr>
            </w:pPr>
            <w:r>
              <w:rPr>
                <w:rFonts w:hint="eastAsia" w:ascii="宋体" w:hAnsi="宋体" w:cs="宋体"/>
                <w:color w:val="auto"/>
                <w:spacing w:val="-1"/>
                <w:sz w:val="24"/>
                <w:highlight w:val="none"/>
              </w:rPr>
              <w:t>1分</w:t>
            </w:r>
          </w:p>
        </w:tc>
        <w:tc>
          <w:tcPr>
            <w:tcW w:w="599" w:type="dxa"/>
            <w:vAlign w:val="center"/>
          </w:tcPr>
          <w:p w14:paraId="10AAF987">
            <w:pPr>
              <w:jc w:val="center"/>
              <w:rPr>
                <w:rFonts w:ascii="宋体" w:hAnsi="宋体" w:cs="宋体"/>
                <w:color w:val="auto"/>
                <w:spacing w:val="-1"/>
                <w:sz w:val="24"/>
                <w:highlight w:val="none"/>
              </w:rPr>
            </w:pPr>
          </w:p>
        </w:tc>
        <w:tc>
          <w:tcPr>
            <w:tcW w:w="764" w:type="dxa"/>
            <w:vAlign w:val="center"/>
          </w:tcPr>
          <w:p w14:paraId="1F353C7A">
            <w:pPr>
              <w:jc w:val="center"/>
              <w:rPr>
                <w:rFonts w:ascii="宋体" w:hAnsi="宋体" w:cs="宋体"/>
                <w:color w:val="auto"/>
                <w:spacing w:val="-1"/>
                <w:sz w:val="24"/>
                <w:highlight w:val="none"/>
              </w:rPr>
            </w:pPr>
          </w:p>
        </w:tc>
      </w:tr>
    </w:tbl>
    <w:p w14:paraId="04945B1F">
      <w:pPr>
        <w:rPr>
          <w:rFonts w:eastAsia="仿宋_GB2312"/>
          <w:b/>
          <w:bCs/>
          <w:color w:val="auto"/>
          <w:sz w:val="24"/>
          <w:szCs w:val="21"/>
          <w:highlight w:val="none"/>
        </w:rPr>
      </w:pPr>
      <w:r>
        <w:rPr>
          <w:rFonts w:hint="eastAsia"/>
          <w:b/>
          <w:bCs/>
          <w:color w:val="auto"/>
          <w:sz w:val="24"/>
          <w:szCs w:val="21"/>
          <w:highlight w:val="none"/>
        </w:rPr>
        <w:t>注：</w:t>
      </w:r>
      <w:r>
        <w:rPr>
          <w:rFonts w:hint="eastAsia" w:cs="仿宋_GB2312"/>
          <w:b/>
          <w:bCs/>
          <w:color w:val="auto"/>
          <w:spacing w:val="11"/>
          <w:sz w:val="24"/>
          <w:highlight w:val="none"/>
        </w:rPr>
        <w:t>本表一厂一份，两个厂分开打分，取平均值作为最终分值。</w:t>
      </w:r>
    </w:p>
    <w:p w14:paraId="26EC5CA5">
      <w:pPr>
        <w:tabs>
          <w:tab w:val="left" w:pos="180"/>
          <w:tab w:val="left" w:pos="1620"/>
        </w:tabs>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附件二：</w:t>
      </w:r>
    </w:p>
    <w:p w14:paraId="1A92E21E">
      <w:pPr>
        <w:spacing w:after="120"/>
        <w:jc w:val="center"/>
        <w:rPr>
          <w:b/>
          <w:color w:val="auto"/>
          <w:sz w:val="28"/>
          <w:szCs w:val="28"/>
          <w:highlight w:val="none"/>
        </w:rPr>
      </w:pPr>
      <w:r>
        <w:rPr>
          <w:rFonts w:hint="eastAsia"/>
          <w:b/>
          <w:color w:val="auto"/>
          <w:sz w:val="28"/>
          <w:szCs w:val="28"/>
          <w:highlight w:val="none"/>
        </w:rPr>
        <w:t>中小企业划型标准规定</w:t>
      </w:r>
    </w:p>
    <w:p w14:paraId="57E2D1FF">
      <w:pPr>
        <w:spacing w:after="120"/>
        <w:jc w:val="center"/>
        <w:rPr>
          <w:rFonts w:ascii="宋体" w:hAnsi="宋体"/>
          <w:color w:val="auto"/>
          <w:szCs w:val="21"/>
          <w:highlight w:val="none"/>
        </w:rPr>
      </w:pPr>
      <w:r>
        <w:rPr>
          <w:rFonts w:hint="eastAsia" w:ascii="宋体" w:hAnsi="宋体"/>
          <w:color w:val="auto"/>
          <w:szCs w:val="21"/>
          <w:highlight w:val="none"/>
        </w:rPr>
        <w:t>工信部联企业〔2011〕300号</w:t>
      </w:r>
    </w:p>
    <w:p w14:paraId="3463AD44">
      <w:pPr>
        <w:spacing w:after="120"/>
        <w:rPr>
          <w:color w:val="auto"/>
          <w:szCs w:val="21"/>
          <w:highlight w:val="none"/>
        </w:rPr>
      </w:pPr>
    </w:p>
    <w:p w14:paraId="3E8FEAFC">
      <w:pPr>
        <w:spacing w:after="120"/>
        <w:ind w:firstLine="420" w:firstLineChars="200"/>
        <w:rPr>
          <w:color w:val="auto"/>
          <w:szCs w:val="21"/>
          <w:highlight w:val="none"/>
        </w:rPr>
      </w:pPr>
      <w:r>
        <w:rPr>
          <w:rFonts w:hint="eastAsia"/>
          <w:color w:val="auto"/>
          <w:szCs w:val="21"/>
          <w:highlight w:val="none"/>
        </w:rPr>
        <w:t>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国发〔2009〕36号</w:t>
      </w:r>
      <w:r>
        <w:rPr>
          <w:color w:val="auto"/>
          <w:szCs w:val="21"/>
          <w:highlight w:val="none"/>
        </w:rPr>
        <w:t>)</w:t>
      </w:r>
      <w:r>
        <w:rPr>
          <w:rFonts w:hint="eastAsia"/>
          <w:color w:val="auto"/>
          <w:szCs w:val="21"/>
          <w:highlight w:val="none"/>
        </w:rPr>
        <w:t>，制定本规定。</w:t>
      </w:r>
    </w:p>
    <w:p w14:paraId="38D8C48F">
      <w:pPr>
        <w:spacing w:after="120"/>
        <w:ind w:firstLine="420" w:firstLineChars="200"/>
        <w:rPr>
          <w:color w:val="auto"/>
          <w:szCs w:val="21"/>
          <w:highlight w:val="none"/>
        </w:rPr>
      </w:pPr>
      <w:r>
        <w:rPr>
          <w:rFonts w:hint="eastAsia"/>
          <w:color w:val="auto"/>
          <w:szCs w:val="21"/>
          <w:highlight w:val="none"/>
        </w:rPr>
        <w:t>二、中小企业划分为中型、小型、微型三种类型，具体标准根据企业从业人员、营业收入、资产总额等指标，结合行业特点制定。</w:t>
      </w:r>
    </w:p>
    <w:p w14:paraId="022B5C34">
      <w:pPr>
        <w:spacing w:after="120"/>
        <w:ind w:firstLine="420" w:firstLineChars="200"/>
        <w:rPr>
          <w:color w:val="auto"/>
          <w:szCs w:val="21"/>
          <w:highlight w:val="none"/>
        </w:rPr>
      </w:pPr>
      <w:r>
        <w:rPr>
          <w:rFonts w:hint="eastAsia"/>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D5BF3B3">
      <w:pPr>
        <w:spacing w:after="120"/>
        <w:ind w:firstLine="420" w:firstLineChars="200"/>
        <w:rPr>
          <w:color w:val="auto"/>
          <w:szCs w:val="21"/>
          <w:highlight w:val="none"/>
        </w:rPr>
      </w:pPr>
      <w:r>
        <w:rPr>
          <w:rFonts w:hint="eastAsia"/>
          <w:color w:val="auto"/>
          <w:szCs w:val="21"/>
          <w:highlight w:val="none"/>
        </w:rPr>
        <w:t>四、各行业划型标准为：</w:t>
      </w:r>
    </w:p>
    <w:p w14:paraId="22D2042B">
      <w:pPr>
        <w:spacing w:after="120"/>
        <w:ind w:firstLine="420" w:firstLineChars="200"/>
        <w:rPr>
          <w:color w:val="auto"/>
          <w:szCs w:val="21"/>
          <w:highlight w:val="none"/>
        </w:rPr>
      </w:pPr>
      <w:r>
        <w:rPr>
          <w:rFonts w:hint="eastAsia"/>
          <w:color w:val="auto"/>
          <w:szCs w:val="21"/>
          <w:highlight w:val="none"/>
        </w:rPr>
        <w:t>（一）农、林、牧、渔业。营业收入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35E7BBD5">
      <w:pPr>
        <w:spacing w:after="120"/>
        <w:ind w:firstLine="420" w:firstLineChars="200"/>
        <w:rPr>
          <w:color w:val="auto"/>
          <w:szCs w:val="21"/>
          <w:highlight w:val="none"/>
        </w:rPr>
      </w:pPr>
      <w:r>
        <w:rPr>
          <w:rFonts w:hint="eastAsia"/>
          <w:color w:val="auto"/>
          <w:szCs w:val="21"/>
          <w:highlight w:val="none"/>
        </w:rPr>
        <w:t>（二）工业。从业人员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4C54FD91">
      <w:pPr>
        <w:spacing w:after="120"/>
        <w:ind w:firstLine="420" w:firstLineChars="200"/>
        <w:rPr>
          <w:color w:val="auto"/>
          <w:szCs w:val="21"/>
          <w:highlight w:val="none"/>
        </w:rPr>
      </w:pPr>
      <w:r>
        <w:rPr>
          <w:rFonts w:hint="eastAsia"/>
          <w:color w:val="auto"/>
          <w:szCs w:val="21"/>
          <w:highlight w:val="none"/>
        </w:rPr>
        <w:t>（三）建筑业。营业收入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0318A0A7">
      <w:pPr>
        <w:spacing w:after="120"/>
        <w:ind w:firstLine="420" w:firstLineChars="200"/>
        <w:rPr>
          <w:color w:val="auto"/>
          <w:szCs w:val="21"/>
          <w:highlight w:val="none"/>
        </w:rPr>
      </w:pPr>
      <w:r>
        <w:rPr>
          <w:rFonts w:hint="eastAsia"/>
          <w:color w:val="auto"/>
          <w:szCs w:val="21"/>
          <w:highlight w:val="none"/>
        </w:rPr>
        <w:t>（四）批发业。从业人员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437ADF12">
      <w:pPr>
        <w:spacing w:after="120"/>
        <w:ind w:firstLine="420" w:firstLineChars="200"/>
        <w:rPr>
          <w:color w:val="auto"/>
          <w:szCs w:val="21"/>
          <w:highlight w:val="none"/>
        </w:rPr>
      </w:pPr>
      <w:r>
        <w:rPr>
          <w:rFonts w:hint="eastAsia"/>
          <w:color w:val="auto"/>
          <w:szCs w:val="21"/>
          <w:highlight w:val="none"/>
        </w:rPr>
        <w:t>（五）零售业。从业人员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AA00EB1">
      <w:pPr>
        <w:spacing w:after="120"/>
        <w:ind w:firstLine="420" w:firstLineChars="200"/>
        <w:rPr>
          <w:color w:val="auto"/>
          <w:szCs w:val="21"/>
          <w:highlight w:val="none"/>
        </w:rPr>
      </w:pPr>
      <w:r>
        <w:rPr>
          <w:rFonts w:hint="eastAsia"/>
          <w:color w:val="auto"/>
          <w:szCs w:val="21"/>
          <w:highlight w:val="none"/>
        </w:rPr>
        <w:t>（六）交通运输业。从业人员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31E8D3F2">
      <w:pPr>
        <w:spacing w:after="120"/>
        <w:ind w:firstLine="420" w:firstLineChars="200"/>
        <w:rPr>
          <w:color w:val="auto"/>
          <w:szCs w:val="21"/>
          <w:highlight w:val="none"/>
        </w:rPr>
      </w:pPr>
      <w:r>
        <w:rPr>
          <w:rFonts w:hint="eastAsia"/>
          <w:color w:val="auto"/>
          <w:szCs w:val="21"/>
          <w:highlight w:val="none"/>
        </w:rPr>
        <w:t>（七）仓储业。从业人员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705141A">
      <w:pPr>
        <w:spacing w:after="120"/>
        <w:ind w:firstLine="420" w:firstLineChars="200"/>
        <w:rPr>
          <w:color w:val="auto"/>
          <w:szCs w:val="21"/>
          <w:highlight w:val="none"/>
        </w:rPr>
      </w:pPr>
      <w:r>
        <w:rPr>
          <w:rFonts w:hint="eastAsia"/>
          <w:color w:val="auto"/>
          <w:szCs w:val="21"/>
          <w:highlight w:val="none"/>
        </w:rPr>
        <w:t>（八）邮政业。从业人员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A42D3D8">
      <w:pPr>
        <w:spacing w:after="120"/>
        <w:ind w:firstLine="420" w:firstLineChars="200"/>
        <w:rPr>
          <w:color w:val="auto"/>
          <w:szCs w:val="21"/>
          <w:highlight w:val="none"/>
        </w:rPr>
      </w:pPr>
      <w:r>
        <w:rPr>
          <w:rFonts w:hint="eastAsia"/>
          <w:color w:val="auto"/>
          <w:szCs w:val="21"/>
          <w:highlight w:val="none"/>
        </w:rPr>
        <w:t>（九）住宿业。从业人员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680BDE6">
      <w:pPr>
        <w:spacing w:after="120"/>
        <w:ind w:firstLine="420" w:firstLineChars="200"/>
        <w:rPr>
          <w:color w:val="auto"/>
          <w:szCs w:val="21"/>
          <w:highlight w:val="none"/>
        </w:rPr>
      </w:pPr>
      <w:r>
        <w:rPr>
          <w:rFonts w:hint="eastAsia"/>
          <w:color w:val="auto"/>
          <w:szCs w:val="21"/>
          <w:highlight w:val="none"/>
        </w:rPr>
        <w:t>（十）餐饮业。从业人员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C528772">
      <w:pPr>
        <w:spacing w:after="120"/>
        <w:ind w:firstLine="420" w:firstLineChars="200"/>
        <w:rPr>
          <w:color w:val="auto"/>
          <w:szCs w:val="21"/>
          <w:highlight w:val="none"/>
        </w:rPr>
      </w:pPr>
      <w:r>
        <w:rPr>
          <w:rFonts w:hint="eastAsia"/>
          <w:color w:val="auto"/>
          <w:szCs w:val="21"/>
          <w:highlight w:val="none"/>
        </w:rPr>
        <w:t>（十一）信息传输业。从业人员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FF38DB8">
      <w:pPr>
        <w:spacing w:after="120"/>
        <w:ind w:firstLine="420" w:firstLineChars="200"/>
        <w:rPr>
          <w:color w:val="auto"/>
          <w:szCs w:val="21"/>
          <w:highlight w:val="none"/>
        </w:rPr>
      </w:pPr>
      <w:r>
        <w:rPr>
          <w:rFonts w:hint="eastAsia"/>
          <w:color w:val="auto"/>
          <w:szCs w:val="21"/>
          <w:highlight w:val="none"/>
        </w:rPr>
        <w:t>（十二）软件和信息技术服务业。从业人员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552BA192">
      <w:pPr>
        <w:spacing w:after="120"/>
        <w:ind w:firstLine="420" w:firstLineChars="200"/>
        <w:rPr>
          <w:color w:val="auto"/>
          <w:szCs w:val="21"/>
          <w:highlight w:val="none"/>
        </w:rPr>
      </w:pPr>
      <w:r>
        <w:rPr>
          <w:rFonts w:hint="eastAsia"/>
          <w:color w:val="auto"/>
          <w:szCs w:val="21"/>
          <w:highlight w:val="none"/>
        </w:rPr>
        <w:t>（十三）房地产开发经营。营业收入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13A3C11F">
      <w:pPr>
        <w:spacing w:after="120"/>
        <w:ind w:firstLine="420" w:firstLineChars="200"/>
        <w:rPr>
          <w:color w:val="auto"/>
          <w:szCs w:val="21"/>
          <w:highlight w:val="none"/>
        </w:rPr>
      </w:pPr>
      <w:r>
        <w:rPr>
          <w:rFonts w:hint="eastAsia"/>
          <w:color w:val="auto"/>
          <w:szCs w:val="21"/>
          <w:highlight w:val="none"/>
        </w:rPr>
        <w:t>（十四）物业管理。从业人员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0A095A11">
      <w:pPr>
        <w:spacing w:after="120"/>
        <w:ind w:firstLine="420" w:firstLineChars="200"/>
        <w:rPr>
          <w:color w:val="auto"/>
          <w:szCs w:val="21"/>
          <w:highlight w:val="none"/>
        </w:rPr>
      </w:pPr>
      <w:r>
        <w:rPr>
          <w:rFonts w:hint="eastAsia"/>
          <w:color w:val="auto"/>
          <w:szCs w:val="21"/>
          <w:highlight w:val="none"/>
        </w:rPr>
        <w:t>（十五）租赁和商务服务业。从业人员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3F5993B0">
      <w:pPr>
        <w:spacing w:after="120"/>
        <w:ind w:firstLine="420" w:firstLineChars="200"/>
        <w:rPr>
          <w:color w:val="auto"/>
          <w:szCs w:val="21"/>
          <w:highlight w:val="none"/>
        </w:rPr>
      </w:pPr>
      <w:r>
        <w:rPr>
          <w:rFonts w:hint="eastAsia"/>
          <w:color w:val="auto"/>
          <w:szCs w:val="21"/>
          <w:highlight w:val="none"/>
        </w:rPr>
        <w:t>（十六）其他未列明行业。从业人员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736B3008">
      <w:pPr>
        <w:spacing w:after="120"/>
        <w:ind w:firstLine="420" w:firstLineChars="200"/>
        <w:rPr>
          <w:color w:val="auto"/>
          <w:szCs w:val="21"/>
          <w:highlight w:val="none"/>
        </w:rPr>
      </w:pPr>
      <w:r>
        <w:rPr>
          <w:rFonts w:hint="eastAsia"/>
          <w:color w:val="auto"/>
          <w:szCs w:val="21"/>
          <w:highlight w:val="none"/>
        </w:rPr>
        <w:t>五、企业类型的划分以统计部门的统计数据为依据。</w:t>
      </w:r>
    </w:p>
    <w:p w14:paraId="79EE67E3">
      <w:pPr>
        <w:spacing w:after="120"/>
        <w:ind w:firstLine="420" w:firstLineChars="200"/>
        <w:rPr>
          <w:color w:val="auto"/>
          <w:szCs w:val="21"/>
          <w:highlight w:val="none"/>
        </w:rPr>
      </w:pPr>
      <w:r>
        <w:rPr>
          <w:rFonts w:hint="eastAsia"/>
          <w:color w:val="auto"/>
          <w:szCs w:val="21"/>
          <w:highlight w:val="none"/>
        </w:rPr>
        <w:t>六、本规定适用于在中华人民共和国境内依法设立的各类所有制和各种组织形式的企业。个体工商户和本规定以外的行业，参照本规定进行划型。</w:t>
      </w:r>
    </w:p>
    <w:p w14:paraId="7294C307">
      <w:pPr>
        <w:spacing w:after="120"/>
        <w:ind w:firstLine="420" w:firstLineChars="200"/>
        <w:rPr>
          <w:color w:val="auto"/>
          <w:szCs w:val="21"/>
          <w:highlight w:val="none"/>
        </w:rPr>
      </w:pPr>
      <w:r>
        <w:rPr>
          <w:rFonts w:hint="eastAsia"/>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3E333584">
      <w:pPr>
        <w:spacing w:after="120"/>
        <w:ind w:firstLine="420" w:firstLineChars="200"/>
        <w:rPr>
          <w:color w:val="auto"/>
          <w:szCs w:val="21"/>
          <w:highlight w:val="none"/>
        </w:rPr>
      </w:pPr>
      <w:r>
        <w:rPr>
          <w:rFonts w:hint="eastAsia"/>
          <w:color w:val="auto"/>
          <w:szCs w:val="21"/>
          <w:highlight w:val="none"/>
        </w:rPr>
        <w:t>八、本规定由工业和信息化部、国家统计局会同有关部门根据《国民经济行业分类》修订情况和企业发展变化情况适时修订。</w:t>
      </w:r>
    </w:p>
    <w:p w14:paraId="1173B2DE">
      <w:pPr>
        <w:spacing w:after="120"/>
        <w:ind w:firstLine="420" w:firstLineChars="200"/>
        <w:rPr>
          <w:color w:val="auto"/>
          <w:szCs w:val="21"/>
          <w:highlight w:val="none"/>
        </w:rPr>
      </w:pPr>
      <w:r>
        <w:rPr>
          <w:rFonts w:hint="eastAsia"/>
          <w:color w:val="auto"/>
          <w:szCs w:val="21"/>
          <w:highlight w:val="none"/>
        </w:rPr>
        <w:t>九、本规定由工业和信息化部、国家统计局会同有关部门负责解释。</w:t>
      </w:r>
    </w:p>
    <w:p w14:paraId="221E1C3D">
      <w:pPr>
        <w:spacing w:after="120"/>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0064EFD7">
      <w:pPr>
        <w:tabs>
          <w:tab w:val="left" w:pos="180"/>
          <w:tab w:val="left" w:pos="1620"/>
        </w:tabs>
        <w:spacing w:line="360" w:lineRule="auto"/>
        <w:rPr>
          <w:rFonts w:ascii="宋体" w:hAnsi="宋体" w:cs="宋体"/>
          <w:b/>
          <w:bCs/>
          <w:color w:val="auto"/>
          <w:szCs w:val="21"/>
          <w:highlight w:val="none"/>
        </w:rPr>
      </w:pPr>
    </w:p>
    <w:p w14:paraId="0FCA0DE7">
      <w:pPr>
        <w:tabs>
          <w:tab w:val="left" w:pos="180"/>
          <w:tab w:val="left" w:pos="1620"/>
        </w:tabs>
        <w:spacing w:line="360" w:lineRule="auto"/>
        <w:ind w:firstLine="422" w:firstLineChars="200"/>
        <w:rPr>
          <w:rFonts w:ascii="宋体" w:hAnsi="宋体" w:cs="宋体"/>
          <w:b/>
          <w:bCs/>
          <w:color w:val="auto"/>
          <w:szCs w:val="21"/>
          <w:highlight w:val="none"/>
        </w:rPr>
      </w:pPr>
    </w:p>
    <w:p w14:paraId="314FCB84">
      <w:pPr>
        <w:tabs>
          <w:tab w:val="left" w:pos="180"/>
          <w:tab w:val="left" w:pos="1620"/>
        </w:tabs>
        <w:spacing w:line="360" w:lineRule="auto"/>
        <w:ind w:firstLine="422" w:firstLineChars="200"/>
        <w:rPr>
          <w:rFonts w:ascii="宋体" w:hAnsi="宋体" w:cs="宋体"/>
          <w:b/>
          <w:bCs/>
          <w:color w:val="auto"/>
          <w:szCs w:val="21"/>
          <w:highlight w:val="none"/>
        </w:rPr>
      </w:pPr>
    </w:p>
    <w:p w14:paraId="737BF0E0">
      <w:pPr>
        <w:spacing w:line="360" w:lineRule="auto"/>
        <w:ind w:firstLine="542" w:firstLineChars="200"/>
        <w:rPr>
          <w:rFonts w:ascii="宋体" w:hAnsi="宋体" w:cs="宋体"/>
          <w:color w:val="auto"/>
          <w:highlight w:val="none"/>
        </w:rPr>
      </w:pPr>
      <w:r>
        <w:rPr>
          <w:rFonts w:hint="eastAsia" w:ascii="仿宋_GB2312" w:hAnsi="仿宋_GB2312" w:eastAsia="仿宋_GB2312" w:cs="仿宋_GB2312"/>
          <w:b/>
          <w:bCs/>
          <w:color w:val="auto"/>
          <w:spacing w:val="-15"/>
          <w:sz w:val="30"/>
          <w:szCs w:val="30"/>
          <w:highlight w:val="none"/>
        </w:rPr>
        <w:br w:type="page"/>
      </w:r>
    </w:p>
    <w:p w14:paraId="06D5A852">
      <w:pPr>
        <w:rPr>
          <w:rFonts w:ascii="宋体" w:hAnsi="宋体" w:cs="宋体"/>
          <w:color w:val="auto"/>
          <w:highlight w:val="none"/>
        </w:rPr>
      </w:pPr>
    </w:p>
    <w:p w14:paraId="69FEC55E">
      <w:pPr>
        <w:spacing w:line="360" w:lineRule="auto"/>
        <w:ind w:firstLine="420" w:firstLineChars="200"/>
        <w:rPr>
          <w:rFonts w:ascii="宋体" w:hAnsi="宋体" w:cs="宋体"/>
          <w:color w:val="auto"/>
          <w:highlight w:val="none"/>
        </w:rPr>
      </w:pPr>
    </w:p>
    <w:p w14:paraId="6CCFA352">
      <w:pPr>
        <w:pStyle w:val="2"/>
        <w:rPr>
          <w:rFonts w:ascii="宋体" w:hAnsi="宋体" w:cs="宋体"/>
          <w:color w:val="auto"/>
          <w:highlight w:val="none"/>
        </w:rPr>
      </w:pPr>
      <w:bookmarkStart w:id="79" w:name="_Toc74323459"/>
      <w:r>
        <w:rPr>
          <w:rFonts w:hint="eastAsia" w:ascii="宋体" w:hAnsi="宋体" w:cs="宋体"/>
          <w:color w:val="auto"/>
          <w:highlight w:val="none"/>
        </w:rPr>
        <w:t>第四章 评审程序、评审方法和评审标准</w:t>
      </w:r>
      <w:bookmarkEnd w:id="79"/>
    </w:p>
    <w:p w14:paraId="567A727C">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42583F3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62B3B90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6C06981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411FBAE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w:t>
      </w:r>
    </w:p>
    <w:p w14:paraId="2F35324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B399C8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3C43F1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480845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1952BE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6004C1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64410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4ED478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0D9A99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45477B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不再参加该采购项目的其他采购活动的。</w:t>
      </w:r>
    </w:p>
    <w:p w14:paraId="4C1D40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70C51AF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25F65BB2">
      <w:pPr>
        <w:spacing w:line="360" w:lineRule="auto"/>
        <w:ind w:firstLine="420" w:firstLineChars="200"/>
        <w:rPr>
          <w:rFonts w:ascii="宋体" w:hAnsi="宋体" w:cs="宋体"/>
          <w:color w:val="auto"/>
          <w:szCs w:val="21"/>
          <w:highlight w:val="none"/>
        </w:rPr>
      </w:pPr>
      <w:bookmarkStart w:id="80"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80"/>
    <w:p w14:paraId="516134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2AE90FB">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127FFB50">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25D2D483">
      <w:pPr>
        <w:spacing w:line="360" w:lineRule="auto"/>
        <w:ind w:firstLine="396" w:firstLineChars="200"/>
        <w:rPr>
          <w:rFonts w:hint="eastAsia" w:ascii="宋体" w:hAnsi="宋体" w:eastAsia="宋体" w:cs="宋体"/>
          <w:color w:val="auto"/>
          <w:szCs w:val="21"/>
          <w:highlight w:val="none"/>
          <w:lang w:eastAsia="zh-CN"/>
        </w:rPr>
      </w:pPr>
      <w:r>
        <w:rPr>
          <w:rFonts w:hint="eastAsia" w:ascii="宋体" w:hAnsi="宋体" w:cs="宋体"/>
          <w:color w:val="auto"/>
          <w:spacing w:val="-6"/>
          <w:szCs w:val="21"/>
          <w:highlight w:val="none"/>
        </w:rPr>
        <w:t>2.4</w:t>
      </w:r>
      <w:r>
        <w:rPr>
          <w:rFonts w:hint="eastAsia" w:ascii="宋体" w:hAnsi="宋体" w:cs="宋体"/>
          <w:color w:val="auto"/>
          <w:szCs w:val="21"/>
          <w:highlight w:val="none"/>
        </w:rPr>
        <w:t>首次响应文件报价出现前后不一致的，按照下列规定修正：</w:t>
      </w:r>
    </w:p>
    <w:p w14:paraId="630D3B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56468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0E00F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C9ABF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BF110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58D62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681928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74F0E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0D3105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35E1AEE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2）委托代理人未能出具有效身份证或者出具的身份证与授权委托书中的信息不符的；</w:t>
      </w:r>
    </w:p>
    <w:p w14:paraId="736F60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647EA6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4AFEBB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5）商务条款允许负偏离的条款数超过“供应商须知前附表”规定项数的；</w:t>
      </w:r>
    </w:p>
    <w:p w14:paraId="69016D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2A24E4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0E88AC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108F67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390334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471E24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11）技术要求允许负偏离的条款数超过“供应商须知前附表”规定项数；</w:t>
      </w:r>
    </w:p>
    <w:p w14:paraId="20D077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044658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81"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1"/>
    </w:p>
    <w:p w14:paraId="574465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7CA377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
          <w:color w:val="auto"/>
          <w:szCs w:val="21"/>
          <w:highlight w:val="none"/>
        </w:rPr>
        <w:t>竞争性磋商文件明确不允许分包，响应文件拟分包的；</w:t>
      </w:r>
    </w:p>
    <w:p w14:paraId="57A5D8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16）未响应磋商文件实质性要求；</w:t>
      </w:r>
    </w:p>
    <w:p w14:paraId="31818D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440375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54589D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w:t>
      </w:r>
    </w:p>
    <w:p w14:paraId="1A69EF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6BCC9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55721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2" w:name="_Hlk42596405"/>
      <w:r>
        <w:rPr>
          <w:rFonts w:hint="eastAsia" w:ascii="宋体" w:hAnsi="宋体" w:cs="宋体"/>
          <w:color w:val="auto"/>
          <w:szCs w:val="21"/>
          <w:highlight w:val="none"/>
        </w:rPr>
        <w:t>竞标报价（包含首次报价、最后报价）</w:t>
      </w:r>
      <w:bookmarkEnd w:id="82"/>
      <w:bookmarkStart w:id="83" w:name="_Hlk42596276"/>
      <w:r>
        <w:rPr>
          <w:rFonts w:hint="eastAsia" w:ascii="宋体" w:hAnsi="宋体" w:cs="宋体"/>
          <w:color w:val="auto"/>
          <w:szCs w:val="21"/>
          <w:highlight w:val="none"/>
        </w:rPr>
        <w:t>超过磋商文件分项采购预算金额或者最高限价的</w:t>
      </w:r>
      <w:bookmarkEnd w:id="83"/>
      <w:r>
        <w:rPr>
          <w:rFonts w:hint="eastAsia" w:ascii="宋体" w:hAnsi="宋体" w:cs="宋体"/>
          <w:color w:val="auto"/>
          <w:szCs w:val="21"/>
          <w:highlight w:val="none"/>
        </w:rPr>
        <w:t>（如本项目公布了最高限价）；</w:t>
      </w:r>
    </w:p>
    <w:p w14:paraId="57A6AE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6749C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2B2FC6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15993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6105069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1274B8D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在规定时间内在广西政府采购云平台上参加磋商，未在规定时间内参加磋商的视同放弃参加磋商权利，其响应文件按无效响应处理。</w:t>
      </w:r>
    </w:p>
    <w:p w14:paraId="03D773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64C5A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627B9D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5CE9B7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2407C553">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3CAB7881">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F623710">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6D6E6D85">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4.最后报价</w:t>
      </w:r>
    </w:p>
    <w:p w14:paraId="2510BB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248DBE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726A3D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53575E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72BD5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0981AC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6B8385A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4.7最后报价出现前后不一致的，按照本章第2.4条的规定修正。</w:t>
      </w:r>
    </w:p>
    <w:p w14:paraId="05D186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502A80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（1）供应商不确认的（全流程电子化评审采取在线确认）；</w:t>
      </w:r>
    </w:p>
    <w:p w14:paraId="20EA63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3027C6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04372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71477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0C775C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6D2F39D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64ECE5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2F0772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02724E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2FFAC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1AB039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96198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19128690">
      <w:pPr>
        <w:snapToGrid w:val="0"/>
        <w:spacing w:line="360" w:lineRule="auto"/>
        <w:ind w:firstLine="424" w:firstLineChars="202"/>
        <w:jc w:val="left"/>
        <w:rPr>
          <w:rFonts w:ascii="宋体" w:hAnsi="宋体"/>
          <w:color w:val="auto"/>
          <w:spacing w:val="-6"/>
          <w:szCs w:val="21"/>
          <w:highlight w:val="none"/>
        </w:rPr>
      </w:pPr>
      <w:r>
        <w:rPr>
          <w:rFonts w:hint="eastAsia" w:ascii="宋体" w:hAnsi="宋体" w:cs="宋体"/>
          <w:color w:val="auto"/>
          <w:szCs w:val="21"/>
          <w:highlight w:val="none"/>
        </w:rPr>
        <w:t>5.5</w:t>
      </w:r>
      <w:r>
        <w:rPr>
          <w:rFonts w:hint="eastAsia" w:ascii="宋体" w:hAnsi="宋体"/>
          <w:color w:val="auto"/>
          <w:szCs w:val="21"/>
          <w:highlight w:val="none"/>
        </w:rPr>
        <w:t>异常低价响应审查</w:t>
      </w:r>
    </w:p>
    <w:p w14:paraId="7BAC7D0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78A0797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69CEEDB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lang w:val="en-US" w:eastAsia="zh-CN"/>
        </w:rPr>
        <w:t>65</w:t>
      </w:r>
      <w:r>
        <w:rPr>
          <w:rFonts w:hint="eastAsia" w:ascii="宋体" w:hAnsi="宋体"/>
          <w:color w:val="auto"/>
          <w:szCs w:val="21"/>
          <w:highlight w:val="none"/>
          <w:u w:val="single"/>
        </w:rPr>
        <w:t>%</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w:t>
      </w:r>
    </w:p>
    <w:p w14:paraId="3E6B616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5FB70F97">
      <w:pPr>
        <w:snapToGrid w:val="0"/>
        <w:spacing w:line="360" w:lineRule="auto"/>
        <w:ind w:firstLine="420" w:firstLineChars="200"/>
        <w:rPr>
          <w:rFonts w:ascii="宋体" w:hAnsi="宋体"/>
          <w:color w:val="auto"/>
          <w:szCs w:val="21"/>
          <w:highlight w:val="none"/>
        </w:rPr>
      </w:pPr>
      <w:bookmarkStart w:id="187" w:name="_GoBack"/>
      <w:bookmarkEnd w:id="187"/>
      <w:r>
        <w:rPr>
          <w:rFonts w:hint="eastAsia" w:ascii="宋体" w:hAnsi="宋体"/>
          <w:color w:val="auto"/>
          <w:szCs w:val="21"/>
          <w:highlight w:val="none"/>
        </w:rPr>
        <w:t>④磋商小组基于专业判断，认为供应商报价过低，有可能影响产品质量或者不能诚信履约的其他情形。</w:t>
      </w:r>
    </w:p>
    <w:p w14:paraId="69D2451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68C956D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6488519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FCEB87E">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32167F7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5.6由磋商小组根据综合评分情况，按照评审得分由高到低顺序推荐3名以上成交候选供应商，并编写评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52231F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C9DD8F">
      <w:pPr>
        <w:pStyle w:val="12"/>
        <w:rPr>
          <w:color w:val="auto"/>
          <w:highlight w:val="none"/>
        </w:rPr>
      </w:pPr>
    </w:p>
    <w:p w14:paraId="378687D2">
      <w:pPr>
        <w:numPr>
          <w:ilvl w:val="0"/>
          <w:numId w:val="3"/>
        </w:num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评审标准</w:t>
      </w:r>
    </w:p>
    <w:p w14:paraId="74039CDE">
      <w:pPr>
        <w:numPr>
          <w:ilvl w:val="0"/>
          <w:numId w:val="0"/>
        </w:numPr>
        <w:spacing w:line="360" w:lineRule="auto"/>
        <w:ind w:firstLine="420" w:firstLineChars="200"/>
        <w:rPr>
          <w:rFonts w:ascii="宋体" w:hAnsi="宋体"/>
          <w:bCs/>
          <w:color w:val="auto"/>
          <w:szCs w:val="21"/>
          <w:highlight w:val="none"/>
        </w:rPr>
      </w:pP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评审依据：磋商小组将以磋商响应文件为评审依据，对供应商的报价、技术、商务等方面内容按百分制打分。（计分方法按四舍五入取至百分位）</w:t>
      </w:r>
    </w:p>
    <w:tbl>
      <w:tblPr>
        <w:tblStyle w:val="29"/>
        <w:tblW w:w="90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534"/>
        <w:gridCol w:w="992"/>
        <w:gridCol w:w="1109"/>
        <w:gridCol w:w="6462"/>
      </w:tblGrid>
      <w:tr w14:paraId="583D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c>
          <w:tcPr>
            <w:tcW w:w="1526" w:type="dxa"/>
            <w:gridSpan w:val="2"/>
            <w:tcBorders>
              <w:top w:val="single" w:color="auto" w:sz="4" w:space="0"/>
              <w:left w:val="single" w:color="auto" w:sz="4" w:space="0"/>
              <w:bottom w:val="single" w:color="auto" w:sz="4" w:space="0"/>
              <w:right w:val="single" w:color="auto" w:sz="4" w:space="0"/>
            </w:tcBorders>
            <w:vAlign w:val="center"/>
          </w:tcPr>
          <w:p w14:paraId="18E9E51D">
            <w:pPr>
              <w:tabs>
                <w:tab w:val="left" w:pos="8460"/>
              </w:tabs>
              <w:wordWrap w:val="0"/>
              <w:topLinePunct/>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09" w:type="dxa"/>
            <w:tcBorders>
              <w:top w:val="single" w:color="auto" w:sz="4" w:space="0"/>
              <w:left w:val="single" w:color="auto" w:sz="4" w:space="0"/>
              <w:bottom w:val="single" w:color="auto" w:sz="4" w:space="0"/>
              <w:right w:val="single" w:color="auto" w:sz="4" w:space="0"/>
            </w:tcBorders>
            <w:vAlign w:val="center"/>
          </w:tcPr>
          <w:p w14:paraId="057A0242">
            <w:pPr>
              <w:tabs>
                <w:tab w:val="left" w:pos="8460"/>
              </w:tabs>
              <w:wordWrap w:val="0"/>
              <w:topLinePunct/>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6462" w:type="dxa"/>
            <w:tcBorders>
              <w:top w:val="single" w:color="auto" w:sz="4" w:space="0"/>
              <w:left w:val="single" w:color="auto" w:sz="4" w:space="0"/>
              <w:bottom w:val="single" w:color="auto" w:sz="4" w:space="0"/>
              <w:right w:val="single" w:color="auto" w:sz="4" w:space="0"/>
            </w:tcBorders>
            <w:vAlign w:val="center"/>
          </w:tcPr>
          <w:p w14:paraId="5CE6BB7B">
            <w:pPr>
              <w:tabs>
                <w:tab w:val="left" w:pos="8460"/>
              </w:tabs>
              <w:wordWrap w:val="0"/>
              <w:topLinePunct/>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14:paraId="40C3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14:paraId="60495544">
            <w:pPr>
              <w:tabs>
                <w:tab w:val="left" w:pos="8460"/>
              </w:tabs>
              <w:wordWrap w:val="0"/>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14:paraId="134C10A5">
            <w:pPr>
              <w:tabs>
                <w:tab w:val="left" w:pos="8460"/>
              </w:tabs>
              <w:wordWrap w:val="0"/>
              <w:topLinePunct/>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价格分</w:t>
            </w:r>
          </w:p>
          <w:p w14:paraId="1D3CF3B2">
            <w:pPr>
              <w:tabs>
                <w:tab w:val="left" w:pos="8460"/>
              </w:tabs>
              <w:wordWrap w:val="0"/>
              <w:topLinePunct/>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（满分20分）</w:t>
            </w:r>
          </w:p>
        </w:tc>
        <w:tc>
          <w:tcPr>
            <w:tcW w:w="1109" w:type="dxa"/>
            <w:tcBorders>
              <w:top w:val="single" w:color="auto" w:sz="4" w:space="0"/>
              <w:left w:val="single" w:color="auto" w:sz="4" w:space="0"/>
              <w:bottom w:val="single" w:color="auto" w:sz="4" w:space="0"/>
              <w:right w:val="single" w:color="auto" w:sz="4" w:space="0"/>
            </w:tcBorders>
            <w:vAlign w:val="center"/>
          </w:tcPr>
          <w:p w14:paraId="7716FBB6">
            <w:pPr>
              <w:tabs>
                <w:tab w:val="left" w:pos="8460"/>
              </w:tabs>
              <w:wordWrap w:val="0"/>
              <w:topLinePunct/>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磋商报价</w:t>
            </w:r>
          </w:p>
        </w:tc>
        <w:tc>
          <w:tcPr>
            <w:tcW w:w="6462" w:type="dxa"/>
            <w:tcBorders>
              <w:top w:val="single" w:color="auto" w:sz="4" w:space="0"/>
              <w:left w:val="single" w:color="auto" w:sz="4" w:space="0"/>
              <w:bottom w:val="single" w:color="auto" w:sz="4" w:space="0"/>
              <w:right w:val="single" w:color="auto" w:sz="4" w:space="0"/>
            </w:tcBorders>
          </w:tcPr>
          <w:p w14:paraId="076701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（1）本项目为专门面向中小企业采购的项目，不再执行价格评审优惠的扶持政策，评审价=最后报价。</w:t>
            </w:r>
            <w:r>
              <w:rPr>
                <w:rFonts w:hint="eastAsia" w:ascii="宋体" w:hAnsi="宋体"/>
                <w:color w:val="auto"/>
                <w:szCs w:val="21"/>
                <w:highlight w:val="none"/>
              </w:rPr>
              <w:t>（如有修正，以确认修正后的最后报价为准）</w:t>
            </w:r>
            <w:r>
              <w:rPr>
                <w:rFonts w:hint="eastAsia" w:ascii="宋体" w:hAnsi="宋体" w:cs="宋体"/>
                <w:color w:val="auto"/>
                <w:szCs w:val="21"/>
                <w:highlight w:val="none"/>
              </w:rPr>
              <w:t>。</w:t>
            </w:r>
          </w:p>
          <w:p w14:paraId="4E2606B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（2）</w:t>
            </w:r>
            <w:r>
              <w:rPr>
                <w:rFonts w:hint="eastAsia" w:asciiTheme="minorEastAsia" w:hAnsiTheme="minorEastAsia" w:eastAsiaTheme="minorEastAsia" w:cstheme="minorEastAsia"/>
                <w:color w:val="auto"/>
                <w:szCs w:val="21"/>
                <w:highlight w:val="none"/>
              </w:rPr>
              <w:t>本国产品政策性扣除计算方法。</w:t>
            </w:r>
          </w:p>
          <w:p w14:paraId="459A3238">
            <w:pPr>
              <w:spacing w:line="360" w:lineRule="auto"/>
              <w:ind w:firstLine="420" w:firstLineChars="200"/>
              <w:rPr>
                <w:rFonts w:ascii="宋体" w:hAnsi="宋体"/>
                <w:color w:val="auto"/>
                <w:szCs w:val="21"/>
                <w:highlight w:val="none"/>
              </w:rPr>
            </w:pPr>
            <w:r>
              <w:rPr>
                <w:rFonts w:hint="eastAsia" w:asciiTheme="minorEastAsia" w:hAnsiTheme="minorEastAsia" w:eastAsiaTheme="minorEastAsia" w:cstheme="minorEastAsia"/>
                <w:color w:val="auto"/>
                <w:szCs w:val="21"/>
                <w:highlight w:val="none"/>
              </w:rPr>
              <w:t>本项目为纯服务采购项目，服务中不涉及采购货物交付，故不执行《国务院办公厅关于在政府采购中实施本国产品标准及相关政策的通知》（国办发〔2025〕34号）的规定。</w:t>
            </w:r>
          </w:p>
          <w:p w14:paraId="7AA2C7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（3）以进入比较与评价环节的最低的评审价为基准价，基准价得分为20分。</w:t>
            </w:r>
          </w:p>
          <w:p w14:paraId="130F4B3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（4）价格分计算公式：</w:t>
            </w:r>
          </w:p>
          <w:p w14:paraId="1A782AAA">
            <w:pPr>
              <w:pStyle w:val="10"/>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报价得分=（基准价/最后报价）×20分</w:t>
            </w:r>
          </w:p>
        </w:tc>
      </w:tr>
      <w:tr w14:paraId="60D2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0EA80154">
            <w:pPr>
              <w:tabs>
                <w:tab w:val="left" w:pos="8460"/>
              </w:tabs>
              <w:wordWrap w:val="0"/>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49E9A38">
            <w:pPr>
              <w:tabs>
                <w:tab w:val="left" w:pos="8460"/>
              </w:tabs>
              <w:wordWrap w:val="0"/>
              <w:topLinePunct/>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技术分（满分</w:t>
            </w:r>
          </w:p>
          <w:p w14:paraId="7A1F1BAC">
            <w:pPr>
              <w:tabs>
                <w:tab w:val="left" w:pos="8460"/>
              </w:tabs>
              <w:wordWrap w:val="0"/>
              <w:topLinePunct/>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60分）</w:t>
            </w:r>
          </w:p>
        </w:tc>
        <w:tc>
          <w:tcPr>
            <w:tcW w:w="1109" w:type="dxa"/>
            <w:tcBorders>
              <w:top w:val="single" w:color="auto" w:sz="4" w:space="0"/>
              <w:left w:val="single" w:color="auto" w:sz="4" w:space="0"/>
              <w:bottom w:val="single" w:color="auto" w:sz="4" w:space="0"/>
              <w:right w:val="single" w:color="auto" w:sz="4" w:space="0"/>
            </w:tcBorders>
            <w:vAlign w:val="center"/>
          </w:tcPr>
          <w:p w14:paraId="5ACFE150">
            <w:pPr>
              <w:wordWrap w:val="0"/>
              <w:spacing w:line="360" w:lineRule="auto"/>
              <w:jc w:val="center"/>
              <w:rPr>
                <w:rFonts w:ascii="宋体" w:hAnsi="宋体" w:cs="宋体"/>
                <w:b/>
                <w:color w:val="auto"/>
                <w:szCs w:val="21"/>
                <w:highlight w:val="none"/>
              </w:rPr>
            </w:pPr>
            <w:r>
              <w:rPr>
                <w:rFonts w:hint="eastAsia" w:ascii="宋体" w:hAnsi="宋体" w:cs="宋体"/>
                <w:b/>
                <w:bCs/>
                <w:color w:val="auto"/>
                <w:kern w:val="0"/>
                <w:szCs w:val="21"/>
                <w:highlight w:val="none"/>
              </w:rPr>
              <w:t>2.1项目运维服务方案分（满分20分）</w:t>
            </w:r>
          </w:p>
        </w:tc>
        <w:tc>
          <w:tcPr>
            <w:tcW w:w="6462" w:type="dxa"/>
            <w:tcBorders>
              <w:top w:val="single" w:color="auto" w:sz="4" w:space="0"/>
              <w:left w:val="single" w:color="auto" w:sz="4" w:space="0"/>
              <w:bottom w:val="single" w:color="auto" w:sz="4" w:space="0"/>
              <w:right w:val="single" w:color="auto" w:sz="4" w:space="0"/>
            </w:tcBorders>
            <w:vAlign w:val="center"/>
          </w:tcPr>
          <w:p w14:paraId="1497F9DE">
            <w:pPr>
              <w:wordWrap w:val="0"/>
              <w:topLinePunct/>
              <w:spacing w:line="360" w:lineRule="auto"/>
              <w:ind w:right="-7" w:firstLine="420" w:firstLineChars="200"/>
              <w:rPr>
                <w:rFonts w:ascii="宋体" w:hAnsi="宋体" w:cs="宋体"/>
                <w:bCs/>
                <w:color w:val="auto"/>
                <w:szCs w:val="21"/>
                <w:highlight w:val="none"/>
              </w:rPr>
            </w:pPr>
            <w:r>
              <w:rPr>
                <w:rFonts w:hint="eastAsia" w:ascii="宋体" w:hAnsi="宋体" w:cs="宋体"/>
                <w:bCs/>
                <w:color w:val="auto"/>
                <w:szCs w:val="21"/>
                <w:highlight w:val="none"/>
              </w:rPr>
              <w:t>供应商对本项目运营情况、污水处理工作原理的阐述、项目重点难点及优化措施，以及运维服务方案的管理质量、人员配备、设备维护方案及计划、定期巡检制度、设备运行情况报告制度等内容综合评定。未提供方案或方案不满足最低档次要求的，本项不得分。</w:t>
            </w:r>
          </w:p>
          <w:p w14:paraId="44A19194">
            <w:pPr>
              <w:wordWrap w:val="0"/>
              <w:topLinePunct/>
              <w:spacing w:line="360" w:lineRule="auto"/>
              <w:ind w:right="-7" w:firstLine="420" w:firstLineChars="200"/>
              <w:rPr>
                <w:rFonts w:ascii="宋体" w:hAnsi="宋体" w:cs="宋体"/>
                <w:bCs/>
                <w:color w:val="auto"/>
                <w:szCs w:val="21"/>
                <w:highlight w:val="none"/>
              </w:rPr>
            </w:pPr>
            <w:r>
              <w:rPr>
                <w:rFonts w:hint="eastAsia" w:ascii="宋体" w:hAnsi="宋体" w:cs="宋体"/>
                <w:color w:val="auto"/>
                <w:szCs w:val="21"/>
                <w:highlight w:val="none"/>
              </w:rPr>
              <w:t>一档（8分）：对项目有了解，但与实际情况偏差大，运维</w:t>
            </w:r>
            <w:r>
              <w:rPr>
                <w:rFonts w:hint="eastAsia" w:ascii="宋体" w:hAnsi="宋体" w:cs="宋体"/>
                <w:bCs/>
                <w:color w:val="auto"/>
                <w:szCs w:val="21"/>
                <w:highlight w:val="none"/>
              </w:rPr>
              <w:t>服务管理方案内容不完整。</w:t>
            </w:r>
          </w:p>
          <w:p w14:paraId="3F1B0756">
            <w:pPr>
              <w:wordWrap w:val="0"/>
              <w:topLinePunct/>
              <w:spacing w:line="360" w:lineRule="auto"/>
              <w:ind w:right="-7"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二档（12分）：对项目有了解，需求理解到位，运维服务管理方案编制完整，符合规范，但各项工作内容及步骤设置不合理。</w:t>
            </w:r>
          </w:p>
          <w:p w14:paraId="545A0327">
            <w:pPr>
              <w:wordWrap w:val="0"/>
              <w:topLinePunct/>
              <w:spacing w:line="360" w:lineRule="auto"/>
              <w:ind w:right="-7" w:firstLine="420" w:firstLineChars="200"/>
              <w:rPr>
                <w:rFonts w:ascii="宋体" w:hAnsi="宋体" w:cs="宋体"/>
                <w:bCs/>
                <w:color w:val="auto"/>
                <w:szCs w:val="21"/>
                <w:highlight w:val="none"/>
              </w:rPr>
            </w:pPr>
            <w:r>
              <w:rPr>
                <w:rFonts w:hint="eastAsia" w:ascii="宋体" w:hAnsi="宋体" w:cs="宋体"/>
                <w:bCs/>
                <w:color w:val="auto"/>
                <w:szCs w:val="21"/>
                <w:highlight w:val="none"/>
              </w:rPr>
              <w:t>三档（16分）：对本项目运营情况的了解与实际相符，运维服务管理方案各项工作内容初步设想思路清晰、内容完整，方案合理可行，符合规范且满足项目全部要求。</w:t>
            </w:r>
          </w:p>
          <w:p w14:paraId="4E79015D">
            <w:pPr>
              <w:wordWrap w:val="0"/>
              <w:topLinePunct/>
              <w:spacing w:line="360" w:lineRule="auto"/>
              <w:ind w:right="-7" w:firstLine="420" w:firstLineChars="200"/>
              <w:rPr>
                <w:rFonts w:ascii="宋体" w:hAnsi="宋体" w:cs="宋体"/>
                <w:bCs/>
                <w:color w:val="auto"/>
                <w:szCs w:val="21"/>
                <w:highlight w:val="none"/>
              </w:rPr>
            </w:pPr>
            <w:r>
              <w:rPr>
                <w:rFonts w:hint="eastAsia" w:ascii="宋体" w:hAnsi="宋体" w:cs="宋体"/>
                <w:bCs/>
                <w:color w:val="auto"/>
                <w:szCs w:val="21"/>
                <w:highlight w:val="none"/>
              </w:rPr>
              <w:t>四档（20分）：对本项目运营情况有准确理解，运维服务管理方案内容完整详细、全面规范，重点突出、目标清晰，满足项目全部要求；思路清晰，分析深入透彻，项目管理制度完善，针对性强，服务合理。</w:t>
            </w:r>
          </w:p>
        </w:tc>
      </w:tr>
      <w:tr w14:paraId="37A3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8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14:paraId="1C72B78E">
            <w:pPr>
              <w:tabs>
                <w:tab w:val="left" w:pos="8460"/>
              </w:tabs>
              <w:wordWrap w:val="0"/>
              <w:topLinePunct/>
              <w:spacing w:line="360" w:lineRule="auto"/>
              <w:jc w:val="center"/>
              <w:rPr>
                <w:rFonts w:ascii="宋体" w:hAnsi="宋体" w:cs="宋体"/>
                <w:color w:val="auto"/>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514971D">
            <w:pPr>
              <w:tabs>
                <w:tab w:val="left" w:pos="8460"/>
              </w:tabs>
              <w:wordWrap w:val="0"/>
              <w:topLinePunct/>
              <w:spacing w:line="360" w:lineRule="auto"/>
              <w:jc w:val="center"/>
              <w:rPr>
                <w:rFonts w:ascii="宋体" w:hAnsi="宋体" w:cs="宋体"/>
                <w:b/>
                <w:bCs/>
                <w:color w:val="auto"/>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14:paraId="346EFAB0">
            <w:pPr>
              <w:wordWrap w:val="0"/>
              <w:spacing w:line="360" w:lineRule="auto"/>
              <w:jc w:val="center"/>
              <w:rPr>
                <w:rFonts w:ascii="宋体" w:hAnsi="宋体" w:cs="宋体"/>
                <w:b/>
                <w:color w:val="auto"/>
                <w:szCs w:val="21"/>
                <w:highlight w:val="none"/>
              </w:rPr>
            </w:pPr>
            <w:r>
              <w:rPr>
                <w:rFonts w:hint="eastAsia" w:ascii="宋体" w:hAnsi="宋体" w:cs="宋体"/>
                <w:b/>
                <w:bCs/>
                <w:color w:val="auto"/>
                <w:kern w:val="0"/>
                <w:szCs w:val="21"/>
                <w:highlight w:val="none"/>
              </w:rPr>
              <w:t>2.2环境保护措施方案分（满分10分）</w:t>
            </w:r>
          </w:p>
        </w:tc>
        <w:tc>
          <w:tcPr>
            <w:tcW w:w="6462" w:type="dxa"/>
            <w:tcBorders>
              <w:top w:val="single" w:color="auto" w:sz="4" w:space="0"/>
              <w:left w:val="single" w:color="auto" w:sz="4" w:space="0"/>
              <w:bottom w:val="single" w:color="auto" w:sz="4" w:space="0"/>
              <w:right w:val="single" w:color="auto" w:sz="4" w:space="0"/>
            </w:tcBorders>
            <w:vAlign w:val="center"/>
          </w:tcPr>
          <w:p w14:paraId="0736AC2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从设备通风、除臭控制、噪声控制、污泥及废渣处理等内容，对供应商的环境保护措施方案进行综合评定。未提供方案或方案不满足最低档次要求的，本项不得分</w:t>
            </w:r>
          </w:p>
          <w:p w14:paraId="55D9018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一档（4分）：针对设备通风、除臭控制、噪声控制、污泥及废渣处理的环境保护措施方案内容，保障流程与具体措施不完善，可操作性差。</w:t>
            </w:r>
          </w:p>
          <w:p w14:paraId="42D6316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二档（6分）：针对设备通风、除臭控制、噪声控制、污泥及废渣处理的环境保护措施方案完整，能够满足本项目服务采购的相关需求。</w:t>
            </w:r>
          </w:p>
          <w:p w14:paraId="1C069F5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三档（8分）：在满足二档的基础上，方案内容更完善，措施具有可操作性。</w:t>
            </w:r>
          </w:p>
          <w:p w14:paraId="40EAD17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四档（10分）：在满足三档的基础上，方案贴合项目实际，措施全面且具备高可操作性，能充分满足项目环境保护需求。</w:t>
            </w:r>
          </w:p>
        </w:tc>
      </w:tr>
      <w:tr w14:paraId="00F5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78"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14:paraId="7714993F">
            <w:pPr>
              <w:tabs>
                <w:tab w:val="left" w:pos="8460"/>
              </w:tabs>
              <w:wordWrap w:val="0"/>
              <w:topLinePunct/>
              <w:spacing w:line="360" w:lineRule="auto"/>
              <w:jc w:val="center"/>
              <w:rPr>
                <w:rFonts w:ascii="宋体" w:hAnsi="宋体" w:cs="宋体"/>
                <w:color w:val="auto"/>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8F0513F">
            <w:pPr>
              <w:tabs>
                <w:tab w:val="left" w:pos="8460"/>
              </w:tabs>
              <w:wordWrap w:val="0"/>
              <w:topLinePunct/>
              <w:spacing w:line="360" w:lineRule="auto"/>
              <w:jc w:val="center"/>
              <w:rPr>
                <w:rFonts w:ascii="宋体" w:hAnsi="宋体" w:cs="宋体"/>
                <w:b/>
                <w:bCs/>
                <w:color w:val="auto"/>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14:paraId="6FA56947">
            <w:pPr>
              <w:wordWrap w:val="0"/>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2.3服务承诺方案分（满分15分）</w:t>
            </w:r>
          </w:p>
        </w:tc>
        <w:tc>
          <w:tcPr>
            <w:tcW w:w="6462" w:type="dxa"/>
            <w:tcBorders>
              <w:top w:val="single" w:color="auto" w:sz="4" w:space="0"/>
              <w:left w:val="single" w:color="auto" w:sz="4" w:space="0"/>
              <w:bottom w:val="single" w:color="auto" w:sz="4" w:space="0"/>
              <w:right w:val="single" w:color="auto" w:sz="4" w:space="0"/>
            </w:tcBorders>
            <w:vAlign w:val="center"/>
          </w:tcPr>
          <w:p w14:paraId="0B6F381F">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从服务承诺方案的完整度、响应程度出发，结合项目处理量、完成时间、出水水质达标排放、设施设备维护管理、运营台账、运营安全等内容综合评定。未提供方案或方案不满足最低档次要求的，本项不得分。</w:t>
            </w:r>
          </w:p>
          <w:p w14:paraId="7001D5B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一档（6分）：服务承诺内容齐全，但描述内容不完整。</w:t>
            </w:r>
          </w:p>
          <w:p w14:paraId="66AA067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二档（9分）：服务承诺各项目内容齐全，方案可行，实施方满足项目要求。</w:t>
            </w:r>
          </w:p>
          <w:p w14:paraId="7B4D3EA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三档（12分）：服务承诺略优于项目要求，后期服务规划详细；事故处理方案、电话支持、运行机制完善，服务方案编制细致，可实施性好，具备落地性。</w:t>
            </w:r>
          </w:p>
          <w:p w14:paraId="38A6801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四档（15分）：服务承诺高于项目要求，后期服务规划详细、可靠、全面；事故处理方案、电话支持、运行机制完善，服务方案编制详尽且贴合采购人实际需求，可实施性强。</w:t>
            </w:r>
          </w:p>
        </w:tc>
      </w:tr>
      <w:tr w14:paraId="12FA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78"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14:paraId="442979AE">
            <w:pPr>
              <w:tabs>
                <w:tab w:val="left" w:pos="8460"/>
              </w:tabs>
              <w:wordWrap w:val="0"/>
              <w:topLinePunct/>
              <w:spacing w:line="360" w:lineRule="auto"/>
              <w:jc w:val="center"/>
              <w:rPr>
                <w:rFonts w:ascii="宋体" w:hAnsi="宋体" w:cs="宋体"/>
                <w:color w:val="auto"/>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06214DB">
            <w:pPr>
              <w:tabs>
                <w:tab w:val="left" w:pos="8460"/>
              </w:tabs>
              <w:wordWrap w:val="0"/>
              <w:topLinePunct/>
              <w:spacing w:line="360" w:lineRule="auto"/>
              <w:jc w:val="center"/>
              <w:rPr>
                <w:rFonts w:ascii="宋体" w:hAnsi="宋体" w:cs="宋体"/>
                <w:b/>
                <w:bCs/>
                <w:color w:val="auto"/>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14:paraId="7016F635">
            <w:pPr>
              <w:wordWrap w:val="0"/>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2.4应急机制方案分（满分15分）</w:t>
            </w:r>
          </w:p>
        </w:tc>
        <w:tc>
          <w:tcPr>
            <w:tcW w:w="6462" w:type="dxa"/>
            <w:tcBorders>
              <w:top w:val="single" w:color="auto" w:sz="4" w:space="0"/>
              <w:left w:val="single" w:color="auto" w:sz="4" w:space="0"/>
              <w:bottom w:val="single" w:color="auto" w:sz="4" w:space="0"/>
              <w:right w:val="single" w:color="auto" w:sz="4" w:space="0"/>
            </w:tcBorders>
          </w:tcPr>
          <w:p w14:paraId="7E71877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针对设备故障、污水外溢、自然灾害、人员伤害、运行异常等问题，从问题诊断与排除措施的制定等内容，对供应商的应急机制方案进行综合评定。未提供方案或方案不满足最低档次要求的，本项不得分。</w:t>
            </w:r>
          </w:p>
          <w:p w14:paraId="22864CE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一档（6分）：针对设备故障、污水外溢、自然灾害、人员伤害、运行异常的问题诊断与排除措施编制，应急保障流程和具体措施不完善，可操作性差。</w:t>
            </w:r>
          </w:p>
          <w:p w14:paraId="2BA9A62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9分）：针对设备故障、污水外溢、自然灾害、人员伤害、运行异常的问题诊断与排除措施编制完整，包含方案处置流程，具备可操作性；承诺应急响应时间2小时内，如需现场处理，4小时内安排人员抵达采购人指定现场。</w:t>
            </w:r>
          </w:p>
          <w:p w14:paraId="2A27A1C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10分）：在满足二档评分要求的基础上，对可能出现的突发事件有基本分析，制定了针对性处理措施和应急预案，内容完整（含方案处置流程、处置预案）；承诺应急响应时间1小时内，如需现场处理，3小时内安排人员抵达采购人指定现场。</w:t>
            </w:r>
          </w:p>
          <w:p w14:paraId="0CBEDFA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15分）：在满足三档评分要求的基础上，对可能出现的突发事件有深入分析，针对性处理措施和应急预案编制贴合项目实际，内容完整、明确、详尽（含方案处置流程、处置预案、清晰的工作安排等）；承诺应急响应时间30分钟内，如需现场处理，1小时内安排人员抵达采购人指定现场。</w:t>
            </w:r>
          </w:p>
        </w:tc>
      </w:tr>
      <w:tr w14:paraId="26DD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78" w:hRule="atLeast"/>
        </w:trPr>
        <w:tc>
          <w:tcPr>
            <w:tcW w:w="534" w:type="dxa"/>
            <w:vMerge w:val="restart"/>
            <w:tcBorders>
              <w:top w:val="single" w:color="auto" w:sz="4" w:space="0"/>
              <w:left w:val="single" w:color="auto" w:sz="4" w:space="0"/>
              <w:bottom w:val="single" w:color="auto" w:sz="4" w:space="0"/>
              <w:right w:val="single" w:color="auto" w:sz="4" w:space="0"/>
            </w:tcBorders>
            <w:vAlign w:val="center"/>
          </w:tcPr>
          <w:p w14:paraId="26D57D6B">
            <w:pPr>
              <w:tabs>
                <w:tab w:val="left" w:pos="8460"/>
              </w:tabs>
              <w:wordWrap w:val="0"/>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3E2ACC7">
            <w:pPr>
              <w:tabs>
                <w:tab w:val="left" w:pos="8460"/>
              </w:tabs>
              <w:wordWrap w:val="0"/>
              <w:topLinePunct/>
              <w:spacing w:line="360" w:lineRule="auto"/>
              <w:jc w:val="center"/>
              <w:rPr>
                <w:rFonts w:ascii="宋体" w:hAnsi="宋体" w:cs="宋体"/>
                <w:b/>
                <w:color w:val="auto"/>
                <w:szCs w:val="21"/>
                <w:highlight w:val="none"/>
              </w:rPr>
            </w:pPr>
            <w:r>
              <w:rPr>
                <w:rFonts w:hint="eastAsia" w:ascii="宋体" w:hAnsi="宋体" w:cs="宋体"/>
                <w:b/>
                <w:color w:val="auto"/>
                <w:kern w:val="0"/>
                <w:szCs w:val="21"/>
                <w:highlight w:val="none"/>
              </w:rPr>
              <w:t>商务分</w:t>
            </w:r>
            <w:r>
              <w:rPr>
                <w:rFonts w:hint="eastAsia" w:ascii="宋体" w:hAnsi="宋体" w:cs="宋体"/>
                <w:b/>
                <w:color w:val="auto"/>
                <w:szCs w:val="21"/>
                <w:highlight w:val="none"/>
              </w:rPr>
              <w:t>（满分</w:t>
            </w:r>
          </w:p>
          <w:p w14:paraId="6D84BAB3">
            <w:pPr>
              <w:tabs>
                <w:tab w:val="left" w:pos="8460"/>
              </w:tabs>
              <w:wordWrap w:val="0"/>
              <w:topLinePunct/>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20分）</w:t>
            </w:r>
          </w:p>
        </w:tc>
        <w:tc>
          <w:tcPr>
            <w:tcW w:w="1109" w:type="dxa"/>
            <w:tcBorders>
              <w:top w:val="single" w:color="auto" w:sz="4" w:space="0"/>
              <w:left w:val="single" w:color="auto" w:sz="4" w:space="0"/>
              <w:bottom w:val="single" w:color="auto" w:sz="4" w:space="0"/>
              <w:right w:val="single" w:color="auto" w:sz="4" w:space="0"/>
            </w:tcBorders>
            <w:vAlign w:val="center"/>
          </w:tcPr>
          <w:p w14:paraId="42AF18A0">
            <w:pPr>
              <w:wordWrap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3.1项目人员配备分（满分10分）</w:t>
            </w:r>
          </w:p>
        </w:tc>
        <w:tc>
          <w:tcPr>
            <w:tcW w:w="6462" w:type="dxa"/>
            <w:tcBorders>
              <w:top w:val="single" w:color="auto" w:sz="4" w:space="0"/>
              <w:left w:val="single" w:color="auto" w:sz="4" w:space="0"/>
              <w:bottom w:val="single" w:color="auto" w:sz="4" w:space="0"/>
              <w:right w:val="single" w:color="auto" w:sz="4" w:space="0"/>
            </w:tcBorders>
            <w:vAlign w:val="center"/>
          </w:tcPr>
          <w:p w14:paraId="746353AB">
            <w:pPr>
              <w:wordWrap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1.技术负责人（满分5分）</w:t>
            </w:r>
          </w:p>
          <w:p w14:paraId="637CB62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供应商拟派技术负责人具有</w:t>
            </w:r>
            <w:r>
              <w:rPr>
                <w:rFonts w:hint="eastAsia" w:ascii="宋体" w:hAnsi="宋体" w:cs="宋体"/>
                <w:color w:val="auto"/>
                <w:kern w:val="0"/>
                <w:szCs w:val="21"/>
                <w:highlight w:val="none"/>
              </w:rPr>
              <w:t>环保工程类</w:t>
            </w:r>
            <w:r>
              <w:rPr>
                <w:rFonts w:hint="eastAsia" w:ascii="宋体" w:hAnsi="宋体" w:cs="宋体"/>
                <w:color w:val="auto"/>
                <w:szCs w:val="21"/>
                <w:highlight w:val="none"/>
              </w:rPr>
              <w:t>相关专业中级职称得1.5分；具有</w:t>
            </w:r>
            <w:r>
              <w:rPr>
                <w:rFonts w:hint="eastAsia" w:ascii="宋体" w:hAnsi="宋体" w:cs="宋体"/>
                <w:color w:val="auto"/>
                <w:kern w:val="0"/>
                <w:szCs w:val="21"/>
                <w:highlight w:val="none"/>
              </w:rPr>
              <w:t>环保工程类</w:t>
            </w:r>
            <w:r>
              <w:rPr>
                <w:rFonts w:hint="eastAsia" w:ascii="宋体" w:hAnsi="宋体" w:cs="宋体"/>
                <w:color w:val="auto"/>
                <w:szCs w:val="21"/>
                <w:highlight w:val="none"/>
              </w:rPr>
              <w:t>相关专业高级职称得3分；具备环境影响评价工程师或注册环保工程师执业资格证书得2分。本项满分5分。</w:t>
            </w:r>
          </w:p>
          <w:p w14:paraId="09FA3187">
            <w:pPr>
              <w:wordWrap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2.其他项目人员（满分5分）</w:t>
            </w:r>
          </w:p>
          <w:p w14:paraId="41B556C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供应商拟派项目人员持第三方具备资质的认证机构颁发的污（废）水处理工（员）证或自动监控污废水证或水环境监测工（员）证的运营操作工的，每人得1分，本项满分5分。</w:t>
            </w:r>
          </w:p>
          <w:p w14:paraId="1D79B257">
            <w:pPr>
              <w:wordWrap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注：在响应文件中提供相关证明材料及供应商为上述人员缴纳的2026年1月至响应文件递交截止时间前任意1月的社保证明或养老证明或劳动合同材料复印件，否则不予得分。</w:t>
            </w:r>
          </w:p>
        </w:tc>
      </w:tr>
      <w:tr w14:paraId="49A3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78"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14:paraId="287963F7">
            <w:pPr>
              <w:tabs>
                <w:tab w:val="left" w:pos="8460"/>
              </w:tabs>
              <w:wordWrap w:val="0"/>
              <w:topLinePunct/>
              <w:spacing w:line="360" w:lineRule="auto"/>
              <w:jc w:val="center"/>
              <w:rPr>
                <w:rFonts w:ascii="宋体" w:hAnsi="宋体" w:cs="宋体"/>
                <w:color w:val="auto"/>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4AD7F86">
            <w:pPr>
              <w:tabs>
                <w:tab w:val="left" w:pos="8460"/>
              </w:tabs>
              <w:wordWrap w:val="0"/>
              <w:topLinePunct/>
              <w:spacing w:line="360" w:lineRule="auto"/>
              <w:jc w:val="center"/>
              <w:rPr>
                <w:rFonts w:ascii="宋体" w:hAnsi="宋体" w:cs="宋体"/>
                <w:b/>
                <w:bCs/>
                <w:color w:val="auto"/>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14:paraId="3ED015FB">
            <w:pPr>
              <w:wordWrap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3.2业绩分（满分10分）</w:t>
            </w:r>
          </w:p>
        </w:tc>
        <w:tc>
          <w:tcPr>
            <w:tcW w:w="6462" w:type="dxa"/>
            <w:tcBorders>
              <w:top w:val="single" w:color="auto" w:sz="4" w:space="0"/>
              <w:left w:val="single" w:color="auto" w:sz="4" w:space="0"/>
              <w:bottom w:val="single" w:color="auto" w:sz="4" w:space="0"/>
              <w:right w:val="single" w:color="auto" w:sz="4" w:space="0"/>
            </w:tcBorders>
          </w:tcPr>
          <w:p w14:paraId="02962D6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供应商自2023年1月1日以来，完成过或承接过同类项目业绩的，每提供1个项目得2.5分，满分10分。</w:t>
            </w:r>
          </w:p>
          <w:p w14:paraId="33F07C5A">
            <w:pPr>
              <w:wordWrap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注：供应商须在响应文件中提供合同或协议复印件或中标（成交）通知书复印件，不提供的不得分。</w:t>
            </w:r>
          </w:p>
        </w:tc>
      </w:tr>
      <w:tr w14:paraId="70FE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c>
          <w:tcPr>
            <w:tcW w:w="9097" w:type="dxa"/>
            <w:gridSpan w:val="4"/>
            <w:tcBorders>
              <w:top w:val="single" w:color="auto" w:sz="4" w:space="0"/>
              <w:left w:val="single" w:color="auto" w:sz="4" w:space="0"/>
              <w:bottom w:val="single" w:color="auto" w:sz="4" w:space="0"/>
              <w:right w:val="single" w:color="auto" w:sz="4" w:space="0"/>
            </w:tcBorders>
            <w:vAlign w:val="center"/>
          </w:tcPr>
          <w:p w14:paraId="22A35B95">
            <w:pPr>
              <w:tabs>
                <w:tab w:val="left" w:pos="8460"/>
              </w:tabs>
              <w:wordWrap w:val="0"/>
              <w:topLinePunct/>
              <w:spacing w:line="360" w:lineRule="auto"/>
              <w:ind w:left="240" w:right="240" w:firstLine="420"/>
              <w:rPr>
                <w:rFonts w:ascii="宋体" w:hAnsi="宋体" w:cs="宋体"/>
                <w:bCs/>
                <w:color w:val="auto"/>
                <w:szCs w:val="21"/>
                <w:highlight w:val="none"/>
              </w:rPr>
            </w:pPr>
            <w:r>
              <w:rPr>
                <w:rFonts w:hint="eastAsia" w:ascii="宋体" w:hAnsi="宋体" w:cs="宋体"/>
                <w:bCs/>
                <w:color w:val="auto"/>
                <w:szCs w:val="21"/>
                <w:highlight w:val="none"/>
              </w:rPr>
              <w:t>总得分为以上各项评审因素得分合计。</w:t>
            </w:r>
          </w:p>
        </w:tc>
      </w:tr>
    </w:tbl>
    <w:p w14:paraId="0796571A">
      <w:pPr>
        <w:spacing w:line="360" w:lineRule="auto"/>
        <w:ind w:firstLine="420" w:firstLineChars="200"/>
        <w:rPr>
          <w:rFonts w:ascii="宋体" w:hAnsi="宋体" w:cs="宋体"/>
          <w:color w:val="auto"/>
          <w:highlight w:val="none"/>
        </w:rPr>
      </w:pPr>
      <w:r>
        <w:rPr>
          <w:rFonts w:hint="eastAsia" w:ascii="宋体" w:hAnsi="宋体" w:cs="宋体"/>
          <w:bCs/>
          <w:color w:val="auto"/>
          <w:szCs w:val="21"/>
          <w:highlight w:val="none"/>
        </w:rPr>
        <w:t>7.由磋商小组根据综合评分情况，按照评审得分由高到低顺序推荐3名及以上成交候选供应商，并编写评审报告，</w:t>
      </w:r>
      <w:r>
        <w:rPr>
          <w:rFonts w:hint="eastAsia" w:ascii="宋体" w:hAnsi="宋体" w:cs="宋体"/>
          <w:color w:val="auto"/>
          <w:highlight w:val="none"/>
        </w:rPr>
        <w:t>评审报告通过电子交易平台向采购人、采购代理机构提交。</w:t>
      </w:r>
      <w:r>
        <w:rPr>
          <w:rFonts w:hint="eastAsia" w:ascii="宋体" w:hAnsi="宋体" w:cs="宋体"/>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技术要求偏离分均相同的，由磋商小组随机抽取推荐。</w:t>
      </w:r>
    </w:p>
    <w:p w14:paraId="5B9BFB07">
      <w:pPr>
        <w:pStyle w:val="2"/>
        <w:spacing w:line="360" w:lineRule="auto"/>
        <w:jc w:val="center"/>
        <w:rPr>
          <w:rFonts w:ascii="宋体" w:hAnsi="宋体" w:cs="宋体"/>
          <w:color w:val="auto"/>
          <w:highlight w:val="none"/>
        </w:rPr>
      </w:pPr>
    </w:p>
    <w:p w14:paraId="18709FB6">
      <w:pPr>
        <w:rPr>
          <w:rFonts w:ascii="宋体" w:hAnsi="宋体" w:cs="宋体"/>
          <w:color w:val="auto"/>
          <w:highlight w:val="none"/>
        </w:rPr>
      </w:pPr>
    </w:p>
    <w:p w14:paraId="04F2569A">
      <w:pPr>
        <w:rPr>
          <w:rFonts w:ascii="宋体" w:hAnsi="宋体" w:cs="宋体"/>
          <w:color w:val="auto"/>
          <w:highlight w:val="none"/>
        </w:rPr>
      </w:pPr>
    </w:p>
    <w:p w14:paraId="0364180F">
      <w:pPr>
        <w:rPr>
          <w:rFonts w:ascii="宋体" w:hAnsi="宋体" w:cs="宋体"/>
          <w:color w:val="auto"/>
          <w:highlight w:val="none"/>
        </w:rPr>
      </w:pPr>
    </w:p>
    <w:p w14:paraId="59D2EF70">
      <w:pPr>
        <w:rPr>
          <w:rFonts w:ascii="宋体" w:hAnsi="宋体" w:cs="宋体"/>
          <w:color w:val="auto"/>
          <w:highlight w:val="none"/>
        </w:rPr>
      </w:pPr>
    </w:p>
    <w:p w14:paraId="0D85731D">
      <w:pPr>
        <w:rPr>
          <w:rFonts w:ascii="宋体" w:hAnsi="宋体" w:cs="宋体"/>
          <w:color w:val="auto"/>
          <w:highlight w:val="none"/>
        </w:rPr>
      </w:pPr>
    </w:p>
    <w:p w14:paraId="7B23552A">
      <w:pPr>
        <w:rPr>
          <w:rFonts w:ascii="宋体" w:hAnsi="宋体" w:cs="宋体"/>
          <w:color w:val="auto"/>
          <w:highlight w:val="none"/>
        </w:rPr>
      </w:pPr>
    </w:p>
    <w:p w14:paraId="00AE17A9">
      <w:pPr>
        <w:rPr>
          <w:rFonts w:ascii="宋体" w:hAnsi="宋体" w:cs="宋体"/>
          <w:color w:val="auto"/>
          <w:highlight w:val="none"/>
        </w:rPr>
      </w:pPr>
    </w:p>
    <w:p w14:paraId="7FA3AB22">
      <w:pPr>
        <w:rPr>
          <w:rFonts w:ascii="宋体" w:hAnsi="宋体" w:cs="宋体"/>
          <w:color w:val="auto"/>
          <w:highlight w:val="none"/>
        </w:rPr>
      </w:pPr>
    </w:p>
    <w:p w14:paraId="1FE0A80B">
      <w:pPr>
        <w:rPr>
          <w:rFonts w:ascii="宋体" w:hAnsi="宋体" w:cs="宋体"/>
          <w:color w:val="auto"/>
          <w:highlight w:val="none"/>
        </w:rPr>
      </w:pPr>
    </w:p>
    <w:p w14:paraId="29468C42">
      <w:pPr>
        <w:rPr>
          <w:rFonts w:ascii="宋体" w:hAnsi="宋体" w:cs="宋体"/>
          <w:color w:val="auto"/>
          <w:highlight w:val="none"/>
        </w:rPr>
      </w:pPr>
    </w:p>
    <w:p w14:paraId="37E68500">
      <w:pPr>
        <w:rPr>
          <w:rFonts w:ascii="宋体" w:hAnsi="宋体" w:cs="宋体"/>
          <w:color w:val="auto"/>
          <w:highlight w:val="none"/>
        </w:rPr>
      </w:pPr>
    </w:p>
    <w:p w14:paraId="0D7B5CAD">
      <w:pPr>
        <w:rPr>
          <w:rFonts w:ascii="宋体" w:hAnsi="宋体" w:cs="宋体"/>
          <w:color w:val="auto"/>
          <w:highlight w:val="none"/>
        </w:rPr>
      </w:pPr>
    </w:p>
    <w:p w14:paraId="737C52C5">
      <w:pPr>
        <w:rPr>
          <w:rFonts w:ascii="宋体" w:hAnsi="宋体" w:cs="宋体"/>
          <w:color w:val="auto"/>
          <w:highlight w:val="none"/>
        </w:rPr>
      </w:pPr>
    </w:p>
    <w:p w14:paraId="7AD2673A">
      <w:pPr>
        <w:pStyle w:val="2"/>
        <w:jc w:val="center"/>
        <w:rPr>
          <w:rFonts w:ascii="宋体" w:hAnsi="宋体" w:cs="宋体"/>
          <w:color w:val="auto"/>
          <w:highlight w:val="none"/>
        </w:rPr>
      </w:pPr>
      <w:bookmarkStart w:id="84" w:name="_Toc74323460"/>
    </w:p>
    <w:p w14:paraId="59FDB1BE">
      <w:pPr>
        <w:pStyle w:val="2"/>
        <w:jc w:val="center"/>
        <w:rPr>
          <w:rFonts w:ascii="宋体" w:hAnsi="宋体" w:cs="宋体"/>
          <w:color w:val="auto"/>
          <w:highlight w:val="none"/>
        </w:rPr>
      </w:pPr>
    </w:p>
    <w:p w14:paraId="01858987">
      <w:pPr>
        <w:pStyle w:val="2"/>
        <w:jc w:val="center"/>
        <w:rPr>
          <w:rFonts w:ascii="宋体" w:hAnsi="宋体" w:cs="宋体"/>
          <w:color w:val="auto"/>
          <w:highlight w:val="none"/>
        </w:rPr>
      </w:pPr>
    </w:p>
    <w:p w14:paraId="7FFFC02C">
      <w:pPr>
        <w:pStyle w:val="2"/>
        <w:jc w:val="center"/>
        <w:rPr>
          <w:rFonts w:ascii="宋体" w:hAnsi="宋体" w:cs="宋体"/>
          <w:color w:val="auto"/>
          <w:highlight w:val="none"/>
        </w:rPr>
      </w:pPr>
    </w:p>
    <w:p w14:paraId="5140A91F">
      <w:pPr>
        <w:pStyle w:val="2"/>
        <w:jc w:val="center"/>
        <w:rPr>
          <w:rFonts w:ascii="宋体" w:hAnsi="宋体" w:cs="宋体"/>
          <w:color w:val="auto"/>
          <w:highlight w:val="none"/>
        </w:rPr>
      </w:pPr>
    </w:p>
    <w:p w14:paraId="198AF2C8">
      <w:pPr>
        <w:pStyle w:val="2"/>
        <w:jc w:val="center"/>
        <w:rPr>
          <w:rFonts w:ascii="宋体" w:hAnsi="宋体" w:cs="宋体"/>
          <w:color w:val="auto"/>
          <w:highlight w:val="none"/>
        </w:rPr>
      </w:pPr>
      <w:r>
        <w:rPr>
          <w:rFonts w:hint="eastAsia" w:ascii="宋体" w:hAnsi="宋体" w:cs="宋体"/>
          <w:color w:val="auto"/>
          <w:highlight w:val="none"/>
        </w:rPr>
        <w:t>第五章 响应文件格式</w:t>
      </w:r>
      <w:bookmarkEnd w:id="84"/>
    </w:p>
    <w:p w14:paraId="5A6A8598">
      <w:pPr>
        <w:spacing w:line="240" w:lineRule="atLeast"/>
        <w:rPr>
          <w:rFonts w:ascii="宋体" w:hAnsi="宋体" w:cs="宋体"/>
          <w:b/>
          <w:color w:val="auto"/>
          <w:sz w:val="32"/>
          <w:szCs w:val="32"/>
          <w:highlight w:val="none"/>
        </w:rPr>
      </w:pPr>
    </w:p>
    <w:p w14:paraId="434F3E1F">
      <w:pPr>
        <w:spacing w:line="240" w:lineRule="atLeast"/>
        <w:rPr>
          <w:rFonts w:ascii="宋体" w:hAnsi="宋体" w:cs="宋体"/>
          <w:b/>
          <w:color w:val="auto"/>
          <w:sz w:val="32"/>
          <w:szCs w:val="32"/>
          <w:highlight w:val="none"/>
        </w:rPr>
      </w:pPr>
    </w:p>
    <w:p w14:paraId="755DD492">
      <w:pPr>
        <w:spacing w:line="240" w:lineRule="atLeast"/>
        <w:rPr>
          <w:rFonts w:ascii="宋体" w:hAnsi="宋体" w:cs="宋体"/>
          <w:b/>
          <w:color w:val="auto"/>
          <w:sz w:val="32"/>
          <w:szCs w:val="32"/>
          <w:highlight w:val="none"/>
        </w:rPr>
      </w:pPr>
    </w:p>
    <w:p w14:paraId="23849960">
      <w:pPr>
        <w:pStyle w:val="12"/>
        <w:rPr>
          <w:rFonts w:ascii="宋体" w:hAnsi="宋体" w:cs="宋体"/>
          <w:b/>
          <w:color w:val="auto"/>
          <w:sz w:val="32"/>
          <w:szCs w:val="32"/>
          <w:highlight w:val="none"/>
        </w:rPr>
      </w:pPr>
    </w:p>
    <w:p w14:paraId="6774504A">
      <w:pPr>
        <w:spacing w:line="240" w:lineRule="atLeast"/>
        <w:rPr>
          <w:rFonts w:ascii="宋体" w:hAnsi="宋体" w:cs="宋体"/>
          <w:b/>
          <w:color w:val="auto"/>
          <w:sz w:val="32"/>
          <w:szCs w:val="32"/>
          <w:highlight w:val="none"/>
        </w:rPr>
      </w:pPr>
    </w:p>
    <w:p w14:paraId="5AB7A7A8">
      <w:pPr>
        <w:rPr>
          <w:rFonts w:ascii="宋体" w:hAnsi="宋体" w:cs="宋体"/>
          <w:b/>
          <w:color w:val="auto"/>
          <w:sz w:val="32"/>
          <w:szCs w:val="32"/>
          <w:highlight w:val="none"/>
        </w:rPr>
      </w:pPr>
      <w:bookmarkStart w:id="85" w:name="_Toc35611516"/>
      <w:bookmarkStart w:id="86" w:name="_Toc31723070"/>
      <w:bookmarkStart w:id="87" w:name="_Toc71366186"/>
      <w:bookmarkStart w:id="88" w:name="_Toc44229899"/>
      <w:bookmarkStart w:id="89" w:name="_Toc35611438"/>
      <w:bookmarkStart w:id="90" w:name="_Toc31728084"/>
      <w:r>
        <w:rPr>
          <w:rFonts w:hint="eastAsia" w:ascii="宋体" w:hAnsi="宋体" w:cs="宋体"/>
          <w:b/>
          <w:color w:val="auto"/>
          <w:sz w:val="32"/>
          <w:szCs w:val="32"/>
          <w:highlight w:val="none"/>
        </w:rPr>
        <w:br w:type="page"/>
      </w:r>
    </w:p>
    <w:p w14:paraId="66D106DA">
      <w:pPr>
        <w:rPr>
          <w:rFonts w:ascii="宋体" w:hAnsi="宋体" w:cs="宋体"/>
          <w:b/>
          <w:color w:val="auto"/>
          <w:sz w:val="32"/>
          <w:szCs w:val="32"/>
          <w:highlight w:val="none"/>
        </w:rPr>
      </w:pPr>
      <w:r>
        <w:rPr>
          <w:rFonts w:hint="eastAsia" w:ascii="宋体" w:hAnsi="宋体" w:cs="宋体"/>
          <w:b/>
          <w:color w:val="auto"/>
          <w:sz w:val="32"/>
          <w:szCs w:val="32"/>
          <w:highlight w:val="none"/>
        </w:rPr>
        <w:t>一、资格证明文件格式</w:t>
      </w:r>
      <w:bookmarkEnd w:id="85"/>
      <w:bookmarkEnd w:id="86"/>
      <w:bookmarkEnd w:id="87"/>
      <w:bookmarkEnd w:id="88"/>
      <w:bookmarkEnd w:id="89"/>
      <w:bookmarkEnd w:id="90"/>
    </w:p>
    <w:p w14:paraId="4BC4C6EA">
      <w:pPr>
        <w:snapToGrid w:val="0"/>
        <w:spacing w:before="156"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61C2356D">
      <w:pPr>
        <w:snapToGrid w:val="0"/>
        <w:spacing w:before="156" w:beforeLines="50" w:after="50"/>
        <w:jc w:val="center"/>
        <w:rPr>
          <w:rFonts w:ascii="宋体" w:hAnsi="宋体" w:cs="宋体"/>
          <w:color w:val="auto"/>
          <w:sz w:val="44"/>
          <w:szCs w:val="44"/>
          <w:highlight w:val="none"/>
        </w:rPr>
      </w:pPr>
    </w:p>
    <w:p w14:paraId="7EB57E76">
      <w:pPr>
        <w:snapToGrid w:val="0"/>
        <w:spacing w:before="156" w:beforeLines="50" w:after="50"/>
        <w:jc w:val="center"/>
        <w:rPr>
          <w:rFonts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45DAD3E6">
      <w:pPr>
        <w:snapToGrid w:val="0"/>
        <w:spacing w:before="156" w:beforeLines="50" w:after="50"/>
        <w:rPr>
          <w:rFonts w:ascii="宋体" w:hAnsi="宋体" w:cs="宋体"/>
          <w:color w:val="auto"/>
          <w:sz w:val="24"/>
          <w:szCs w:val="20"/>
          <w:highlight w:val="none"/>
        </w:rPr>
      </w:pPr>
    </w:p>
    <w:p w14:paraId="58CB1F16">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5A1D5642">
      <w:pPr>
        <w:snapToGrid w:val="0"/>
        <w:spacing w:before="156" w:beforeLines="50" w:after="50"/>
        <w:rPr>
          <w:rFonts w:ascii="宋体" w:hAnsi="宋体" w:cs="宋体"/>
          <w:bCs/>
          <w:color w:val="auto"/>
          <w:sz w:val="24"/>
          <w:szCs w:val="20"/>
          <w:highlight w:val="none"/>
        </w:rPr>
      </w:pPr>
    </w:p>
    <w:p w14:paraId="44A5BE91">
      <w:pPr>
        <w:snapToGrid w:val="0"/>
        <w:spacing w:before="156" w:beforeLines="50" w:after="50"/>
        <w:rPr>
          <w:rFonts w:ascii="宋体" w:hAnsi="宋体" w:cs="宋体"/>
          <w:bCs/>
          <w:color w:val="auto"/>
          <w:sz w:val="24"/>
          <w:szCs w:val="20"/>
          <w:highlight w:val="none"/>
        </w:rPr>
      </w:pPr>
    </w:p>
    <w:p w14:paraId="07AFC74B">
      <w:pPr>
        <w:snapToGrid w:val="0"/>
        <w:spacing w:before="156" w:beforeLines="50" w:after="50"/>
        <w:rPr>
          <w:rFonts w:ascii="宋体" w:hAnsi="宋体" w:cs="宋体"/>
          <w:bCs/>
          <w:color w:val="auto"/>
          <w:sz w:val="24"/>
          <w:szCs w:val="20"/>
          <w:highlight w:val="none"/>
        </w:rPr>
      </w:pPr>
    </w:p>
    <w:p w14:paraId="4F281D74">
      <w:pPr>
        <w:snapToGrid w:val="0"/>
        <w:spacing w:before="156" w:beforeLines="50" w:after="50"/>
        <w:rPr>
          <w:rFonts w:ascii="宋体" w:hAnsi="宋体" w:cs="宋体"/>
          <w:bCs/>
          <w:color w:val="auto"/>
          <w:sz w:val="24"/>
          <w:szCs w:val="20"/>
          <w:highlight w:val="none"/>
        </w:rPr>
      </w:pPr>
    </w:p>
    <w:p w14:paraId="15D95E79">
      <w:pPr>
        <w:snapToGrid w:val="0"/>
        <w:spacing w:before="156" w:beforeLines="50" w:after="50"/>
        <w:rPr>
          <w:rFonts w:ascii="宋体" w:hAnsi="宋体" w:cs="宋体"/>
          <w:bCs/>
          <w:color w:val="auto"/>
          <w:sz w:val="24"/>
          <w:szCs w:val="20"/>
          <w:highlight w:val="none"/>
        </w:rPr>
      </w:pPr>
    </w:p>
    <w:p w14:paraId="6D85B559">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0E553DDB">
      <w:pPr>
        <w:snapToGrid w:val="0"/>
        <w:spacing w:before="156" w:beforeLines="50" w:after="50"/>
        <w:ind w:firstLine="720" w:firstLineChars="225"/>
        <w:rPr>
          <w:rFonts w:ascii="宋体" w:hAnsi="宋体" w:cs="宋体"/>
          <w:bCs/>
          <w:color w:val="auto"/>
          <w:sz w:val="32"/>
          <w:szCs w:val="32"/>
          <w:highlight w:val="none"/>
        </w:rPr>
      </w:pPr>
    </w:p>
    <w:p w14:paraId="720C140B">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E51A805">
      <w:pPr>
        <w:snapToGrid w:val="0"/>
        <w:spacing w:before="156" w:beforeLines="50" w:after="50"/>
        <w:ind w:firstLine="720" w:firstLineChars="225"/>
        <w:rPr>
          <w:rFonts w:ascii="宋体" w:hAnsi="宋体" w:cs="宋体"/>
          <w:bCs/>
          <w:color w:val="auto"/>
          <w:sz w:val="32"/>
          <w:szCs w:val="32"/>
          <w:highlight w:val="none"/>
        </w:rPr>
      </w:pPr>
    </w:p>
    <w:p w14:paraId="44764FD8">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BD7B0BA">
      <w:pPr>
        <w:snapToGrid w:val="0"/>
        <w:spacing w:before="156" w:beforeLines="50" w:after="50"/>
        <w:ind w:firstLine="720" w:firstLineChars="225"/>
        <w:rPr>
          <w:rFonts w:ascii="宋体" w:hAnsi="宋体" w:cs="宋体"/>
          <w:bCs/>
          <w:color w:val="auto"/>
          <w:sz w:val="32"/>
          <w:szCs w:val="32"/>
          <w:highlight w:val="none"/>
        </w:rPr>
      </w:pPr>
    </w:p>
    <w:p w14:paraId="1615EB1E">
      <w:pPr>
        <w:pStyle w:val="6"/>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AA417C9">
      <w:pPr>
        <w:snapToGrid w:val="0"/>
        <w:spacing w:before="156" w:beforeLines="50" w:after="50"/>
        <w:ind w:firstLine="640" w:firstLineChars="200"/>
        <w:rPr>
          <w:rFonts w:ascii="宋体" w:hAnsi="宋体" w:cs="宋体"/>
          <w:bCs/>
          <w:color w:val="auto"/>
          <w:sz w:val="32"/>
          <w:szCs w:val="32"/>
          <w:highlight w:val="none"/>
        </w:rPr>
      </w:pPr>
    </w:p>
    <w:p w14:paraId="2C206E04">
      <w:pPr>
        <w:pStyle w:val="6"/>
        <w:snapToGrid w:val="0"/>
        <w:spacing w:before="50" w:after="50"/>
        <w:ind w:firstLine="720" w:firstLineChars="225"/>
        <w:rPr>
          <w:rFonts w:ascii="宋体" w:hAnsi="宋体" w:cs="宋体"/>
          <w:bCs/>
          <w:color w:val="auto"/>
          <w:sz w:val="32"/>
          <w:szCs w:val="32"/>
          <w:highlight w:val="none"/>
        </w:rPr>
      </w:pPr>
    </w:p>
    <w:p w14:paraId="03CF8788">
      <w:pPr>
        <w:pStyle w:val="6"/>
        <w:snapToGrid w:val="0"/>
        <w:spacing w:before="50" w:after="50"/>
        <w:ind w:firstLine="720" w:firstLineChars="225"/>
        <w:rPr>
          <w:rFonts w:ascii="宋体" w:hAnsi="宋体" w:cs="宋体"/>
          <w:bCs/>
          <w:color w:val="auto"/>
          <w:sz w:val="32"/>
          <w:szCs w:val="32"/>
          <w:highlight w:val="none"/>
        </w:rPr>
      </w:pPr>
    </w:p>
    <w:p w14:paraId="4AC1E31E">
      <w:pPr>
        <w:pStyle w:val="6"/>
        <w:snapToGrid w:val="0"/>
        <w:spacing w:before="50" w:after="50"/>
        <w:ind w:firstLine="1280" w:firstLineChars="400"/>
        <w:rPr>
          <w:rFonts w:ascii="宋体" w:hAnsi="宋体" w:cs="宋体"/>
          <w:bCs/>
          <w:color w:val="auto"/>
          <w:sz w:val="32"/>
          <w:szCs w:val="32"/>
          <w:highlight w:val="none"/>
        </w:rPr>
      </w:pPr>
    </w:p>
    <w:p w14:paraId="31DA2767">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8D5D268">
      <w:pPr>
        <w:snapToGrid w:val="0"/>
        <w:spacing w:before="156"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6038133F">
      <w:pPr>
        <w:snapToGrid w:val="0"/>
        <w:spacing w:before="156"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16E76C1F">
      <w:pPr>
        <w:snapToGrid w:val="0"/>
        <w:spacing w:before="156" w:beforeLines="50" w:after="50"/>
        <w:rPr>
          <w:rFonts w:ascii="宋体" w:hAnsi="宋体" w:cs="宋体"/>
          <w:color w:val="auto"/>
          <w:sz w:val="24"/>
          <w:szCs w:val="20"/>
          <w:highlight w:val="none"/>
        </w:rPr>
      </w:pPr>
    </w:p>
    <w:p w14:paraId="4BA495EE">
      <w:pPr>
        <w:spacing w:line="300" w:lineRule="auto"/>
        <w:rPr>
          <w:rFonts w:ascii="宋体" w:hAnsi="宋体" w:cs="宋体"/>
          <w:color w:val="auto"/>
          <w:szCs w:val="21"/>
          <w:highlight w:val="none"/>
        </w:rPr>
      </w:pPr>
    </w:p>
    <w:p w14:paraId="08570B0D">
      <w:pPr>
        <w:spacing w:line="300" w:lineRule="auto"/>
        <w:rPr>
          <w:rFonts w:ascii="宋体" w:hAnsi="宋体" w:cs="宋体"/>
          <w:color w:val="auto"/>
          <w:szCs w:val="21"/>
          <w:highlight w:val="none"/>
        </w:rPr>
      </w:pPr>
    </w:p>
    <w:p w14:paraId="4AD4B5AD">
      <w:pPr>
        <w:spacing w:line="300" w:lineRule="auto"/>
        <w:rPr>
          <w:rFonts w:ascii="宋体" w:hAnsi="宋体" w:cs="宋体"/>
          <w:color w:val="auto"/>
          <w:szCs w:val="21"/>
          <w:highlight w:val="none"/>
        </w:rPr>
      </w:pPr>
    </w:p>
    <w:p w14:paraId="57F9DCC0">
      <w:pPr>
        <w:spacing w:line="300" w:lineRule="auto"/>
        <w:rPr>
          <w:rFonts w:ascii="宋体" w:hAnsi="宋体" w:cs="宋体"/>
          <w:color w:val="auto"/>
          <w:szCs w:val="21"/>
          <w:highlight w:val="none"/>
        </w:rPr>
      </w:pPr>
    </w:p>
    <w:p w14:paraId="092E3AD4">
      <w:pPr>
        <w:spacing w:line="300" w:lineRule="auto"/>
        <w:rPr>
          <w:rFonts w:ascii="宋体" w:hAnsi="宋体" w:cs="宋体"/>
          <w:color w:val="auto"/>
          <w:szCs w:val="21"/>
          <w:highlight w:val="none"/>
        </w:rPr>
      </w:pPr>
    </w:p>
    <w:p w14:paraId="568BE979">
      <w:pPr>
        <w:spacing w:line="300" w:lineRule="auto"/>
        <w:rPr>
          <w:rFonts w:ascii="宋体" w:hAnsi="宋体" w:cs="宋体"/>
          <w:color w:val="auto"/>
          <w:szCs w:val="21"/>
          <w:highlight w:val="none"/>
        </w:rPr>
      </w:pPr>
    </w:p>
    <w:p w14:paraId="7FC2B105">
      <w:pPr>
        <w:spacing w:line="300" w:lineRule="auto"/>
        <w:rPr>
          <w:rFonts w:ascii="宋体" w:hAnsi="宋体" w:cs="宋体"/>
          <w:color w:val="auto"/>
          <w:szCs w:val="21"/>
          <w:highlight w:val="none"/>
        </w:rPr>
      </w:pPr>
    </w:p>
    <w:p w14:paraId="00BAB4E3">
      <w:pPr>
        <w:spacing w:line="300" w:lineRule="auto"/>
        <w:rPr>
          <w:rFonts w:ascii="宋体" w:hAnsi="宋体" w:cs="宋体"/>
          <w:color w:val="auto"/>
          <w:szCs w:val="21"/>
          <w:highlight w:val="none"/>
        </w:rPr>
      </w:pPr>
    </w:p>
    <w:p w14:paraId="36B6877B">
      <w:pPr>
        <w:spacing w:line="300" w:lineRule="auto"/>
        <w:rPr>
          <w:rFonts w:ascii="宋体" w:hAnsi="宋体" w:cs="宋体"/>
          <w:color w:val="auto"/>
          <w:szCs w:val="21"/>
          <w:highlight w:val="none"/>
        </w:rPr>
      </w:pPr>
    </w:p>
    <w:p w14:paraId="644E64E2">
      <w:pPr>
        <w:spacing w:line="300" w:lineRule="auto"/>
        <w:rPr>
          <w:rFonts w:ascii="宋体" w:hAnsi="宋体" w:cs="宋体"/>
          <w:color w:val="auto"/>
          <w:szCs w:val="21"/>
          <w:highlight w:val="none"/>
        </w:rPr>
      </w:pPr>
    </w:p>
    <w:p w14:paraId="5D6082E7">
      <w:pPr>
        <w:spacing w:line="300" w:lineRule="auto"/>
        <w:rPr>
          <w:rFonts w:ascii="宋体" w:hAnsi="宋体" w:cs="宋体"/>
          <w:color w:val="auto"/>
          <w:szCs w:val="21"/>
          <w:highlight w:val="none"/>
        </w:rPr>
      </w:pPr>
    </w:p>
    <w:p w14:paraId="259327C0">
      <w:pPr>
        <w:spacing w:line="300" w:lineRule="auto"/>
        <w:rPr>
          <w:rFonts w:ascii="宋体" w:hAnsi="宋体" w:cs="宋体"/>
          <w:color w:val="auto"/>
          <w:szCs w:val="21"/>
          <w:highlight w:val="none"/>
        </w:rPr>
      </w:pPr>
    </w:p>
    <w:p w14:paraId="0FCE635F">
      <w:pPr>
        <w:spacing w:line="300" w:lineRule="auto"/>
        <w:rPr>
          <w:rFonts w:ascii="宋体" w:hAnsi="宋体" w:cs="宋体"/>
          <w:color w:val="auto"/>
          <w:szCs w:val="21"/>
          <w:highlight w:val="none"/>
        </w:rPr>
      </w:pPr>
    </w:p>
    <w:p w14:paraId="1CA31B1E">
      <w:pPr>
        <w:spacing w:line="300" w:lineRule="auto"/>
        <w:rPr>
          <w:rFonts w:ascii="宋体" w:hAnsi="宋体" w:cs="宋体"/>
          <w:color w:val="auto"/>
          <w:szCs w:val="21"/>
          <w:highlight w:val="none"/>
        </w:rPr>
      </w:pPr>
    </w:p>
    <w:p w14:paraId="244E3A22">
      <w:pPr>
        <w:spacing w:line="300" w:lineRule="auto"/>
        <w:rPr>
          <w:rFonts w:ascii="宋体" w:hAnsi="宋体" w:cs="宋体"/>
          <w:color w:val="auto"/>
          <w:szCs w:val="21"/>
          <w:highlight w:val="none"/>
        </w:rPr>
      </w:pPr>
    </w:p>
    <w:p w14:paraId="2F3553A3">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br w:type="page"/>
      </w:r>
    </w:p>
    <w:p w14:paraId="60F7D378">
      <w:pPr>
        <w:snapToGrid w:val="0"/>
        <w:spacing w:before="156" w:beforeLines="50" w:after="50"/>
        <w:jc w:val="left"/>
        <w:rPr>
          <w:rFonts w:ascii="宋体" w:hAnsi="宋体"/>
          <w:b/>
          <w:color w:val="auto"/>
          <w:sz w:val="24"/>
          <w:highlight w:val="none"/>
        </w:rPr>
      </w:pPr>
      <w:r>
        <w:rPr>
          <w:rFonts w:hint="eastAsia" w:ascii="宋体" w:hAnsi="宋体"/>
          <w:b/>
          <w:color w:val="auto"/>
          <w:sz w:val="24"/>
          <w:highlight w:val="none"/>
        </w:rPr>
        <w:t>3.</w:t>
      </w:r>
      <w:r>
        <w:rPr>
          <w:rFonts w:hint="eastAsia" w:ascii="宋体" w:hAnsi="宋体"/>
          <w:b/>
          <w:color w:val="auto"/>
          <w:sz w:val="28"/>
          <w:szCs w:val="28"/>
          <w:highlight w:val="none"/>
        </w:rPr>
        <w:t>供应商直接控股股东信息表</w:t>
      </w:r>
    </w:p>
    <w:p w14:paraId="1485BBBB">
      <w:pPr>
        <w:snapToGrid w:val="0"/>
        <w:spacing w:before="50" w:after="156" w:afterLines="50"/>
        <w:jc w:val="center"/>
        <w:rPr>
          <w:rFonts w:ascii="宋体" w:hAnsi="宋体"/>
          <w:b/>
          <w:color w:val="auto"/>
          <w:sz w:val="28"/>
          <w:szCs w:val="28"/>
          <w:highlight w:val="none"/>
        </w:rPr>
      </w:pPr>
    </w:p>
    <w:p w14:paraId="333ECD83">
      <w:pPr>
        <w:snapToGrid w:val="0"/>
        <w:spacing w:before="50" w:after="156"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9"/>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E22899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C1AB5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80466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5D7EF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A3369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C7C94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C3610D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AE378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EBFB8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29163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2D073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3D5DC9">
            <w:pPr>
              <w:spacing w:line="360" w:lineRule="auto"/>
              <w:jc w:val="center"/>
              <w:rPr>
                <w:rFonts w:ascii="宋体" w:hAnsi="宋体" w:cs="宋体"/>
                <w:color w:val="auto"/>
                <w:kern w:val="0"/>
                <w:sz w:val="24"/>
                <w:highlight w:val="none"/>
              </w:rPr>
            </w:pPr>
          </w:p>
        </w:tc>
      </w:tr>
      <w:tr w14:paraId="7D5CE88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6F1AB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248B5B">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98E68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6E122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CFA2FF">
            <w:pPr>
              <w:spacing w:line="360" w:lineRule="auto"/>
              <w:jc w:val="center"/>
              <w:rPr>
                <w:rFonts w:ascii="宋体" w:hAnsi="宋体" w:cs="宋体"/>
                <w:color w:val="auto"/>
                <w:kern w:val="0"/>
                <w:sz w:val="24"/>
                <w:highlight w:val="none"/>
              </w:rPr>
            </w:pPr>
          </w:p>
        </w:tc>
      </w:tr>
      <w:tr w14:paraId="7C7944E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C4EA0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08F22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31D1B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84FFE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4E0E50">
            <w:pPr>
              <w:spacing w:line="360" w:lineRule="auto"/>
              <w:jc w:val="center"/>
              <w:rPr>
                <w:rFonts w:ascii="宋体" w:hAnsi="宋体" w:cs="宋体"/>
                <w:color w:val="auto"/>
                <w:kern w:val="0"/>
                <w:sz w:val="24"/>
                <w:highlight w:val="none"/>
              </w:rPr>
            </w:pPr>
          </w:p>
        </w:tc>
      </w:tr>
      <w:tr w14:paraId="3170A67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397BB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F6F84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69EA5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2E8DF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88AB95">
            <w:pPr>
              <w:spacing w:line="360" w:lineRule="auto"/>
              <w:jc w:val="center"/>
              <w:rPr>
                <w:rFonts w:ascii="宋体" w:hAnsi="宋体" w:cs="宋体"/>
                <w:color w:val="auto"/>
                <w:kern w:val="0"/>
                <w:sz w:val="24"/>
                <w:highlight w:val="none"/>
              </w:rPr>
            </w:pPr>
          </w:p>
        </w:tc>
      </w:tr>
    </w:tbl>
    <w:p w14:paraId="6943CA39">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16BAA0C3">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11BB99E">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B9F9E3D">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18DD12C6">
      <w:pPr>
        <w:snapToGrid w:val="0"/>
        <w:spacing w:line="360" w:lineRule="auto"/>
        <w:jc w:val="left"/>
        <w:rPr>
          <w:rFonts w:ascii="宋体" w:hAnsi="宋体"/>
          <w:color w:val="auto"/>
          <w:sz w:val="24"/>
          <w:highlight w:val="none"/>
        </w:rPr>
      </w:pPr>
    </w:p>
    <w:p w14:paraId="177D9850">
      <w:pPr>
        <w:snapToGrid w:val="0"/>
        <w:spacing w:line="360" w:lineRule="auto"/>
        <w:jc w:val="left"/>
        <w:rPr>
          <w:rFonts w:ascii="宋体" w:hAnsi="宋体"/>
          <w:color w:val="auto"/>
          <w:sz w:val="24"/>
          <w:highlight w:val="none"/>
        </w:rPr>
      </w:pPr>
    </w:p>
    <w:p w14:paraId="42B57224">
      <w:pPr>
        <w:snapToGrid w:val="0"/>
        <w:spacing w:line="360" w:lineRule="auto"/>
        <w:jc w:val="left"/>
        <w:rPr>
          <w:rFonts w:ascii="宋体" w:hAnsi="宋体"/>
          <w:color w:val="auto"/>
          <w:sz w:val="24"/>
          <w:highlight w:val="none"/>
        </w:rPr>
      </w:pPr>
    </w:p>
    <w:p w14:paraId="5A1387EC">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094307CC">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0018DE60">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3EE871CD">
      <w:pPr>
        <w:snapToGrid w:val="0"/>
        <w:jc w:val="center"/>
        <w:rPr>
          <w:rFonts w:ascii="宋体" w:hAnsi="宋体"/>
          <w:b/>
          <w:color w:val="auto"/>
          <w:sz w:val="28"/>
          <w:szCs w:val="28"/>
          <w:highlight w:val="none"/>
        </w:rPr>
      </w:pPr>
    </w:p>
    <w:p w14:paraId="3B179FD7">
      <w:pPr>
        <w:snapToGrid w:val="0"/>
        <w:spacing w:line="360" w:lineRule="auto"/>
        <w:jc w:val="left"/>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供应商直接管理关系信息表</w:t>
      </w:r>
    </w:p>
    <w:p w14:paraId="7FFC0D9F">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29"/>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4A886E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F6DCA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937BD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AC1DD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0D6AD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0F0D48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21E80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27DDD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7FE2F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8EDC7">
            <w:pPr>
              <w:spacing w:line="360" w:lineRule="auto"/>
              <w:jc w:val="center"/>
              <w:rPr>
                <w:rFonts w:ascii="宋体" w:hAnsi="宋体" w:cs="宋体"/>
                <w:color w:val="auto"/>
                <w:kern w:val="0"/>
                <w:sz w:val="24"/>
                <w:highlight w:val="none"/>
              </w:rPr>
            </w:pPr>
          </w:p>
        </w:tc>
      </w:tr>
      <w:tr w14:paraId="708EACE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14420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759F9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BDEAB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C1C94B">
            <w:pPr>
              <w:spacing w:line="360" w:lineRule="auto"/>
              <w:jc w:val="center"/>
              <w:rPr>
                <w:rFonts w:ascii="宋体" w:hAnsi="宋体" w:cs="宋体"/>
                <w:color w:val="auto"/>
                <w:kern w:val="0"/>
                <w:sz w:val="24"/>
                <w:highlight w:val="none"/>
              </w:rPr>
            </w:pPr>
          </w:p>
        </w:tc>
      </w:tr>
      <w:tr w14:paraId="63C1712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3120C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CF134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B597B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8574B8">
            <w:pPr>
              <w:spacing w:line="360" w:lineRule="auto"/>
              <w:jc w:val="center"/>
              <w:rPr>
                <w:rFonts w:ascii="宋体" w:hAnsi="宋体" w:cs="宋体"/>
                <w:color w:val="auto"/>
                <w:kern w:val="0"/>
                <w:sz w:val="24"/>
                <w:highlight w:val="none"/>
              </w:rPr>
            </w:pPr>
          </w:p>
        </w:tc>
      </w:tr>
      <w:tr w14:paraId="71B246D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CAAD8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9D261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4F7F8F">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944619">
            <w:pPr>
              <w:spacing w:line="360" w:lineRule="auto"/>
              <w:jc w:val="center"/>
              <w:rPr>
                <w:rFonts w:ascii="宋体" w:hAnsi="宋体" w:cs="宋体"/>
                <w:color w:val="auto"/>
                <w:kern w:val="0"/>
                <w:sz w:val="24"/>
                <w:highlight w:val="none"/>
              </w:rPr>
            </w:pPr>
          </w:p>
        </w:tc>
      </w:tr>
    </w:tbl>
    <w:p w14:paraId="0E7F817A">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29A1A69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39CF5C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994529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47A0B951">
      <w:pPr>
        <w:snapToGrid w:val="0"/>
        <w:spacing w:line="360" w:lineRule="auto"/>
        <w:jc w:val="left"/>
        <w:rPr>
          <w:rFonts w:ascii="宋体" w:hAnsi="宋体"/>
          <w:color w:val="auto"/>
          <w:sz w:val="24"/>
          <w:highlight w:val="none"/>
        </w:rPr>
      </w:pPr>
    </w:p>
    <w:p w14:paraId="297717AA">
      <w:pPr>
        <w:snapToGrid w:val="0"/>
        <w:spacing w:line="360" w:lineRule="auto"/>
        <w:jc w:val="left"/>
        <w:rPr>
          <w:rFonts w:ascii="宋体" w:hAnsi="宋体"/>
          <w:color w:val="auto"/>
          <w:sz w:val="24"/>
          <w:highlight w:val="none"/>
        </w:rPr>
      </w:pPr>
    </w:p>
    <w:p w14:paraId="6EA4F3AF">
      <w:pPr>
        <w:snapToGrid w:val="0"/>
        <w:spacing w:line="360" w:lineRule="auto"/>
        <w:jc w:val="left"/>
        <w:rPr>
          <w:rFonts w:ascii="宋体" w:hAnsi="宋体"/>
          <w:color w:val="auto"/>
          <w:sz w:val="24"/>
          <w:highlight w:val="none"/>
        </w:rPr>
      </w:pPr>
    </w:p>
    <w:p w14:paraId="12FBB9ED">
      <w:pPr>
        <w:snapToGrid w:val="0"/>
        <w:spacing w:line="360" w:lineRule="auto"/>
        <w:jc w:val="left"/>
        <w:rPr>
          <w:color w:val="auto"/>
          <w:sz w:val="24"/>
          <w:highlight w:val="none"/>
        </w:rPr>
      </w:pPr>
    </w:p>
    <w:p w14:paraId="13A32E67">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27D194BE">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42E60632">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3F1C7149">
      <w:pPr>
        <w:snapToGrid w:val="0"/>
        <w:spacing w:before="156" w:beforeLines="50" w:after="50"/>
        <w:ind w:left="142"/>
        <w:jc w:val="left"/>
        <w:rPr>
          <w:rFonts w:ascii="宋体" w:hAnsi="宋体"/>
          <w:b/>
          <w:color w:val="auto"/>
          <w:sz w:val="24"/>
          <w:szCs w:val="20"/>
          <w:highlight w:val="none"/>
        </w:rPr>
      </w:pPr>
      <w:r>
        <w:rPr>
          <w:rFonts w:hint="eastAsia" w:ascii="宋体" w:hAnsi="宋体" w:cs="宋体"/>
          <w:color w:val="auto"/>
          <w:sz w:val="28"/>
          <w:szCs w:val="28"/>
          <w:highlight w:val="none"/>
        </w:rPr>
        <w:br w:type="page"/>
      </w:r>
      <w:r>
        <w:rPr>
          <w:rFonts w:hint="eastAsia" w:ascii="宋体" w:hAnsi="宋体"/>
          <w:b/>
          <w:color w:val="auto"/>
          <w:sz w:val="24"/>
          <w:highlight w:val="none"/>
        </w:rPr>
        <w:t>5.竞标声明</w:t>
      </w:r>
    </w:p>
    <w:p w14:paraId="569E552C">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竞标声明</w:t>
      </w:r>
    </w:p>
    <w:p w14:paraId="1BEB9E94">
      <w:pPr>
        <w:spacing w:line="320" w:lineRule="exact"/>
        <w:jc w:val="center"/>
        <w:rPr>
          <w:rFonts w:ascii="宋体" w:hAnsi="宋体" w:cs="宋体"/>
          <w:color w:val="auto"/>
          <w:sz w:val="24"/>
          <w:szCs w:val="20"/>
          <w:highlight w:val="none"/>
        </w:rPr>
      </w:pPr>
    </w:p>
    <w:p w14:paraId="5BDA3D8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6A13FE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E080E0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 xml:space="preserve">（项目名称）       </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2E904C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08B47E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4394181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15C7B08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FADCF0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3783E8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071AC9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5D55E1C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7590716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D141C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FCF65B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F2B524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71CF1C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947DEF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6914DC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F2922B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895A8C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 xml:space="preserve">涉及商业秘密                        </w:t>
      </w:r>
    </w:p>
    <w:p w14:paraId="39486B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56D9EC97">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p>
    <w:p w14:paraId="355FDB5D">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电子邮箱：</w:t>
      </w:r>
      <w:r>
        <w:rPr>
          <w:rFonts w:hint="eastAsia" w:hAnsi="宋体" w:cs="宋体"/>
          <w:color w:val="auto"/>
          <w:sz w:val="24"/>
          <w:szCs w:val="24"/>
          <w:highlight w:val="none"/>
          <w:u w:val="single"/>
        </w:rPr>
        <w:t xml:space="preserve">                   </w:t>
      </w:r>
    </w:p>
    <w:p w14:paraId="2966FF8D">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0E60A5AB">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8FBFE9B">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0FD6D7ED">
      <w:pPr>
        <w:spacing w:line="360" w:lineRule="auto"/>
        <w:contextualSpacing/>
        <w:jc w:val="left"/>
        <w:rPr>
          <w:rFonts w:ascii="宋体" w:hAnsi="宋体" w:cs="宋体"/>
          <w:b/>
          <w:color w:val="auto"/>
          <w:sz w:val="24"/>
          <w:highlight w:val="none"/>
        </w:rPr>
      </w:pPr>
      <w:r>
        <w:rPr>
          <w:rFonts w:hint="eastAsia" w:ascii="宋体" w:hAnsi="宋体" w:cs="宋体"/>
          <w:b/>
          <w:color w:val="auto"/>
          <w:sz w:val="24"/>
          <w:highlight w:val="none"/>
        </w:rPr>
        <w:t>注：如为联合体竞标，盖章处须加盖联合体牵头人电子签章并由联合体牵头人法定代表人分别签字或者盖章或者电子签名，否则响应文件按无效处理。</w:t>
      </w:r>
    </w:p>
    <w:p w14:paraId="428A1DFF">
      <w:pPr>
        <w:spacing w:line="360" w:lineRule="auto"/>
        <w:contextualSpacing/>
        <w:jc w:val="left"/>
        <w:rPr>
          <w:rFonts w:ascii="宋体" w:hAnsi="宋体" w:cs="宋体"/>
          <w:color w:val="auto"/>
          <w:szCs w:val="21"/>
          <w:highlight w:val="none"/>
        </w:rPr>
      </w:pPr>
    </w:p>
    <w:p w14:paraId="5B6BE9CB">
      <w:pPr>
        <w:spacing w:line="360" w:lineRule="auto"/>
        <w:ind w:firstLine="1800" w:firstLineChars="750"/>
        <w:contextualSpacing/>
        <w:rPr>
          <w:rFonts w:hint="eastAsia" w:ascii="宋体" w:hAnsi="宋体" w:cs="宋体"/>
          <w:color w:val="auto"/>
          <w:sz w:val="24"/>
          <w:highlight w:val="none"/>
        </w:rPr>
      </w:pPr>
    </w:p>
    <w:p w14:paraId="3419A3DA">
      <w:pPr>
        <w:spacing w:line="360" w:lineRule="auto"/>
        <w:ind w:firstLine="1800" w:firstLineChars="75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7EF053EC">
      <w:pPr>
        <w:spacing w:line="360" w:lineRule="auto"/>
        <w:ind w:firstLine="1800" w:firstLineChars="75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243CFC24">
      <w:pPr>
        <w:pStyle w:val="15"/>
        <w:tabs>
          <w:tab w:val="left" w:pos="939"/>
        </w:tabs>
        <w:spacing w:line="360" w:lineRule="auto"/>
        <w:ind w:left="0" w:leftChars="0" w:firstLine="420" w:firstLineChars="200"/>
        <w:jc w:val="right"/>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    月    日</w:t>
      </w:r>
    </w:p>
    <w:p w14:paraId="783DA6F8">
      <w:pPr>
        <w:spacing w:line="360" w:lineRule="auto"/>
        <w:ind w:right="420"/>
        <w:contextualSpacing/>
        <w:jc w:val="left"/>
        <w:rPr>
          <w:rFonts w:hint="eastAsia" w:ascii="宋体" w:hAnsi="宋体" w:eastAsia="宋体" w:cs="宋体"/>
          <w:b/>
          <w:color w:val="auto"/>
          <w:sz w:val="32"/>
          <w:szCs w:val="32"/>
          <w:highlight w:val="none"/>
          <w:lang w:eastAsia="zh-CN"/>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报价文件格式</w:t>
      </w:r>
    </w:p>
    <w:p w14:paraId="06F3C987">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10515BE4">
      <w:pPr>
        <w:snapToGrid w:val="0"/>
        <w:spacing w:before="156" w:beforeLines="50" w:after="50"/>
        <w:rPr>
          <w:rFonts w:ascii="宋体" w:hAnsi="宋体" w:cs="宋体"/>
          <w:bCs/>
          <w:color w:val="auto"/>
          <w:sz w:val="32"/>
          <w:szCs w:val="20"/>
          <w:highlight w:val="none"/>
        </w:rPr>
      </w:pPr>
    </w:p>
    <w:p w14:paraId="45BAF6C9">
      <w:pPr>
        <w:snapToGrid w:val="0"/>
        <w:spacing w:before="156"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59D3746C">
      <w:pPr>
        <w:snapToGrid w:val="0"/>
        <w:spacing w:before="156" w:beforeLines="50" w:after="50"/>
        <w:rPr>
          <w:rFonts w:ascii="宋体" w:hAnsi="宋体" w:cs="宋体"/>
          <w:color w:val="auto"/>
          <w:sz w:val="24"/>
          <w:szCs w:val="20"/>
          <w:highlight w:val="none"/>
        </w:rPr>
      </w:pPr>
    </w:p>
    <w:p w14:paraId="72830B74">
      <w:pPr>
        <w:snapToGrid w:val="0"/>
        <w:spacing w:before="156" w:beforeLines="50" w:after="50"/>
        <w:rPr>
          <w:rFonts w:ascii="宋体" w:hAnsi="宋体" w:cs="宋体"/>
          <w:color w:val="auto"/>
          <w:sz w:val="24"/>
          <w:szCs w:val="20"/>
          <w:highlight w:val="none"/>
        </w:rPr>
      </w:pPr>
    </w:p>
    <w:p w14:paraId="320626C7">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0EE419F4">
      <w:pPr>
        <w:snapToGrid w:val="0"/>
        <w:spacing w:before="156" w:beforeLines="50" w:after="50"/>
        <w:rPr>
          <w:rFonts w:ascii="宋体" w:hAnsi="宋体" w:cs="宋体"/>
          <w:bCs/>
          <w:color w:val="auto"/>
          <w:sz w:val="24"/>
          <w:szCs w:val="20"/>
          <w:highlight w:val="none"/>
        </w:rPr>
      </w:pPr>
    </w:p>
    <w:p w14:paraId="62430566">
      <w:pPr>
        <w:snapToGrid w:val="0"/>
        <w:spacing w:before="156" w:beforeLines="50" w:after="50"/>
        <w:rPr>
          <w:rFonts w:ascii="宋体" w:hAnsi="宋体" w:cs="宋体"/>
          <w:bCs/>
          <w:color w:val="auto"/>
          <w:sz w:val="24"/>
          <w:szCs w:val="20"/>
          <w:highlight w:val="none"/>
        </w:rPr>
      </w:pPr>
    </w:p>
    <w:p w14:paraId="45178150">
      <w:pPr>
        <w:snapToGrid w:val="0"/>
        <w:spacing w:before="156" w:beforeLines="50" w:after="50"/>
        <w:rPr>
          <w:rFonts w:ascii="宋体" w:hAnsi="宋体" w:cs="宋体"/>
          <w:bCs/>
          <w:color w:val="auto"/>
          <w:sz w:val="24"/>
          <w:szCs w:val="20"/>
          <w:highlight w:val="none"/>
        </w:rPr>
      </w:pPr>
    </w:p>
    <w:p w14:paraId="30937FC4">
      <w:pPr>
        <w:snapToGrid w:val="0"/>
        <w:spacing w:before="156" w:beforeLines="50" w:after="50"/>
        <w:rPr>
          <w:rFonts w:ascii="宋体" w:hAnsi="宋体" w:cs="宋体"/>
          <w:bCs/>
          <w:color w:val="auto"/>
          <w:sz w:val="24"/>
          <w:szCs w:val="20"/>
          <w:highlight w:val="none"/>
        </w:rPr>
      </w:pPr>
    </w:p>
    <w:p w14:paraId="421D7D08">
      <w:pPr>
        <w:snapToGrid w:val="0"/>
        <w:spacing w:before="156" w:beforeLines="50" w:after="50"/>
        <w:rPr>
          <w:rFonts w:ascii="宋体" w:hAnsi="宋体" w:cs="宋体"/>
          <w:bCs/>
          <w:color w:val="auto"/>
          <w:sz w:val="24"/>
          <w:szCs w:val="20"/>
          <w:highlight w:val="none"/>
        </w:rPr>
      </w:pPr>
    </w:p>
    <w:p w14:paraId="170DB029">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7ABC103">
      <w:pPr>
        <w:snapToGrid w:val="0"/>
        <w:spacing w:before="156" w:beforeLines="50" w:after="50"/>
        <w:ind w:firstLine="720" w:firstLineChars="225"/>
        <w:rPr>
          <w:rFonts w:ascii="宋体" w:hAnsi="宋体" w:cs="宋体"/>
          <w:bCs/>
          <w:color w:val="auto"/>
          <w:sz w:val="32"/>
          <w:szCs w:val="32"/>
          <w:highlight w:val="none"/>
        </w:rPr>
      </w:pPr>
    </w:p>
    <w:p w14:paraId="1E57B3E7">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E9B8E41">
      <w:pPr>
        <w:snapToGrid w:val="0"/>
        <w:spacing w:before="156" w:beforeLines="50" w:after="50"/>
        <w:ind w:firstLine="720" w:firstLineChars="225"/>
        <w:rPr>
          <w:rFonts w:ascii="宋体" w:hAnsi="宋体" w:cs="宋体"/>
          <w:bCs/>
          <w:color w:val="auto"/>
          <w:sz w:val="32"/>
          <w:szCs w:val="32"/>
          <w:highlight w:val="none"/>
        </w:rPr>
      </w:pPr>
    </w:p>
    <w:p w14:paraId="0C72C47A">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A0355F6">
      <w:pPr>
        <w:snapToGrid w:val="0"/>
        <w:spacing w:before="156" w:beforeLines="50" w:after="50"/>
        <w:ind w:firstLine="720" w:firstLineChars="225"/>
        <w:rPr>
          <w:rFonts w:ascii="宋体" w:hAnsi="宋体" w:cs="宋体"/>
          <w:bCs/>
          <w:color w:val="auto"/>
          <w:sz w:val="32"/>
          <w:szCs w:val="32"/>
          <w:highlight w:val="none"/>
        </w:rPr>
      </w:pPr>
    </w:p>
    <w:p w14:paraId="4822ECDE">
      <w:pPr>
        <w:pStyle w:val="6"/>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15B3A42">
      <w:pPr>
        <w:pStyle w:val="6"/>
        <w:snapToGrid w:val="0"/>
        <w:spacing w:before="50" w:after="50"/>
        <w:ind w:firstLine="640" w:firstLineChars="200"/>
        <w:rPr>
          <w:rFonts w:ascii="宋体" w:hAnsi="宋体" w:cs="宋体"/>
          <w:bCs/>
          <w:color w:val="auto"/>
          <w:sz w:val="32"/>
          <w:szCs w:val="32"/>
          <w:highlight w:val="none"/>
        </w:rPr>
      </w:pPr>
    </w:p>
    <w:p w14:paraId="5B28A116">
      <w:pPr>
        <w:pStyle w:val="6"/>
        <w:snapToGrid w:val="0"/>
        <w:spacing w:before="50" w:after="50"/>
        <w:ind w:firstLine="720" w:firstLineChars="225"/>
        <w:rPr>
          <w:rFonts w:ascii="宋体" w:hAnsi="宋体" w:cs="宋体"/>
          <w:bCs/>
          <w:color w:val="auto"/>
          <w:sz w:val="32"/>
          <w:szCs w:val="32"/>
          <w:highlight w:val="none"/>
        </w:rPr>
      </w:pPr>
    </w:p>
    <w:p w14:paraId="01F8B297">
      <w:pPr>
        <w:pStyle w:val="6"/>
        <w:snapToGrid w:val="0"/>
        <w:spacing w:before="50" w:after="50"/>
        <w:ind w:firstLine="0"/>
        <w:rPr>
          <w:rFonts w:ascii="宋体" w:hAnsi="宋体" w:cs="宋体"/>
          <w:bCs/>
          <w:color w:val="auto"/>
          <w:sz w:val="32"/>
          <w:szCs w:val="32"/>
          <w:highlight w:val="none"/>
        </w:rPr>
      </w:pPr>
    </w:p>
    <w:p w14:paraId="181DEE8A">
      <w:pPr>
        <w:pStyle w:val="6"/>
        <w:snapToGrid w:val="0"/>
        <w:spacing w:before="50" w:after="50"/>
        <w:ind w:firstLine="1280" w:firstLineChars="400"/>
        <w:rPr>
          <w:rFonts w:ascii="宋体" w:hAnsi="宋体" w:cs="宋体"/>
          <w:bCs/>
          <w:color w:val="auto"/>
          <w:sz w:val="32"/>
          <w:szCs w:val="32"/>
          <w:highlight w:val="none"/>
        </w:rPr>
      </w:pPr>
    </w:p>
    <w:p w14:paraId="17037AFF">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31CABE1D">
      <w:pPr>
        <w:snapToGrid w:val="0"/>
        <w:spacing w:before="156" w:beforeLines="50" w:after="50" w:line="360" w:lineRule="auto"/>
        <w:ind w:left="142"/>
        <w:jc w:val="left"/>
        <w:rPr>
          <w:rFonts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3A9E4A94">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r>
        <w:rPr>
          <w:rFonts w:hint="eastAsia" w:ascii="宋体" w:hAnsi="宋体" w:cs="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198A2DD7">
      <w:pPr>
        <w:spacing w:line="440" w:lineRule="exact"/>
        <w:jc w:val="center"/>
        <w:rPr>
          <w:rFonts w:ascii="方正小标宋简体" w:hAnsi="方正小标宋简体" w:eastAsia="方正小标宋简体" w:cs="方正小标宋简体"/>
          <w:bCs/>
          <w:color w:val="auto"/>
          <w:sz w:val="32"/>
          <w:szCs w:val="32"/>
          <w:highlight w:val="none"/>
        </w:rPr>
      </w:pPr>
    </w:p>
    <w:p w14:paraId="44B3B81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7BDD454">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6C10D33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69E584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9"/>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3F78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65977B8">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3C5A485E">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617" w:type="dxa"/>
            <w:tcBorders>
              <w:top w:val="single" w:color="auto" w:sz="4" w:space="0"/>
              <w:left w:val="single" w:color="auto" w:sz="4" w:space="0"/>
              <w:bottom w:val="single" w:color="auto" w:sz="4" w:space="0"/>
              <w:right w:val="single" w:color="auto" w:sz="4" w:space="0"/>
            </w:tcBorders>
            <w:vAlign w:val="center"/>
          </w:tcPr>
          <w:p w14:paraId="7E6B859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64D4F3CF">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297BDCC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0BF6823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11D5AF72">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2663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5837835">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475C179">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苍梧县沙头镇、六堡镇污水处理厂委托运营服务</w:t>
            </w:r>
          </w:p>
        </w:tc>
        <w:tc>
          <w:tcPr>
            <w:tcW w:w="617" w:type="dxa"/>
            <w:tcBorders>
              <w:top w:val="single" w:color="auto" w:sz="4" w:space="0"/>
              <w:left w:val="single" w:color="auto" w:sz="4" w:space="0"/>
              <w:bottom w:val="single" w:color="auto" w:sz="4" w:space="0"/>
              <w:right w:val="single" w:color="auto" w:sz="4" w:space="0"/>
            </w:tcBorders>
            <w:vAlign w:val="center"/>
          </w:tcPr>
          <w:p w14:paraId="26A1E265">
            <w:pPr>
              <w:spacing w:line="440" w:lineRule="exact"/>
              <w:jc w:val="center"/>
              <w:rPr>
                <w:rFonts w:ascii="宋体" w:hAnsi="宋体" w:cs="仿宋_GB2312"/>
                <w:color w:val="auto"/>
                <w:sz w:val="24"/>
                <w:highlight w:val="none"/>
              </w:rPr>
            </w:pPr>
            <w:r>
              <w:rPr>
                <w:rFonts w:hint="eastAsia" w:ascii="宋体" w:hAnsi="宋体" w:cs="宋体"/>
                <w:color w:val="auto"/>
                <w:sz w:val="24"/>
                <w:highlight w:val="none"/>
              </w:rPr>
              <w:t>1</w:t>
            </w:r>
          </w:p>
        </w:tc>
        <w:tc>
          <w:tcPr>
            <w:tcW w:w="617" w:type="dxa"/>
            <w:tcBorders>
              <w:top w:val="single" w:color="auto" w:sz="4" w:space="0"/>
              <w:left w:val="single" w:color="auto" w:sz="4" w:space="0"/>
              <w:bottom w:val="single" w:color="auto" w:sz="4" w:space="0"/>
              <w:right w:val="single" w:color="auto" w:sz="4" w:space="0"/>
            </w:tcBorders>
            <w:vAlign w:val="center"/>
          </w:tcPr>
          <w:p w14:paraId="2E3DF2C9">
            <w:pPr>
              <w:spacing w:line="440" w:lineRule="exact"/>
              <w:jc w:val="center"/>
              <w:rPr>
                <w:rFonts w:ascii="宋体" w:hAnsi="宋体" w:cs="仿宋_GB2312"/>
                <w:color w:val="auto"/>
                <w:sz w:val="24"/>
                <w:highlight w:val="none"/>
              </w:rPr>
            </w:pPr>
            <w:r>
              <w:rPr>
                <w:rFonts w:hint="eastAsia" w:ascii="宋体" w:hAnsi="宋体" w:cs="宋体"/>
                <w:color w:val="auto"/>
                <w:sz w:val="24"/>
                <w:highlight w:val="none"/>
              </w:rPr>
              <w:t>项</w:t>
            </w:r>
          </w:p>
        </w:tc>
        <w:tc>
          <w:tcPr>
            <w:tcW w:w="2194" w:type="dxa"/>
            <w:tcBorders>
              <w:top w:val="single" w:color="auto" w:sz="4" w:space="0"/>
              <w:left w:val="single" w:color="auto" w:sz="4" w:space="0"/>
              <w:bottom w:val="single" w:color="auto" w:sz="4" w:space="0"/>
              <w:right w:val="single" w:color="auto" w:sz="4" w:space="0"/>
            </w:tcBorders>
          </w:tcPr>
          <w:p w14:paraId="393BEAB1">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14:paraId="78BD3E08">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FED5E4B">
            <w:pPr>
              <w:spacing w:line="360" w:lineRule="auto"/>
              <w:contextualSpacing/>
              <w:rPr>
                <w:rFonts w:ascii="宋体" w:hAnsi="宋体" w:cs="仿宋_GB2312"/>
                <w:color w:val="auto"/>
                <w:sz w:val="24"/>
                <w:highlight w:val="none"/>
              </w:rPr>
            </w:pPr>
          </w:p>
        </w:tc>
      </w:tr>
      <w:tr w14:paraId="064A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0D56929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5CE0F690">
      <w:pPr>
        <w:spacing w:line="360" w:lineRule="auto"/>
        <w:contextualSpacing/>
        <w:jc w:val="left"/>
        <w:rPr>
          <w:rFonts w:ascii="宋体" w:hAnsi="宋体" w:cs="仿宋_GB2312"/>
          <w:color w:val="auto"/>
          <w:sz w:val="24"/>
          <w:highlight w:val="none"/>
        </w:rPr>
      </w:pPr>
    </w:p>
    <w:p w14:paraId="0A2F4989">
      <w:pPr>
        <w:spacing w:line="360" w:lineRule="auto"/>
        <w:contextualSpacing/>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注：</w:t>
      </w:r>
    </w:p>
    <w:p w14:paraId="19DC7EF7">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F38B028">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D53960E">
      <w:pPr>
        <w:spacing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14:paraId="58B8A06B">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5A2F1915">
      <w:pPr>
        <w:spacing w:line="360" w:lineRule="auto"/>
        <w:ind w:firstLine="480" w:firstLineChars="200"/>
        <w:contextualSpacing/>
        <w:rPr>
          <w:rFonts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0823C536">
      <w:pPr>
        <w:spacing w:line="360" w:lineRule="auto"/>
        <w:ind w:right="-817" w:rightChars="-389"/>
        <w:contextualSpacing/>
        <w:rPr>
          <w:rFonts w:ascii="宋体" w:hAnsi="宋体" w:cs="仿宋_GB2312"/>
          <w:color w:val="auto"/>
          <w:sz w:val="24"/>
          <w:highlight w:val="none"/>
        </w:rPr>
      </w:pPr>
    </w:p>
    <w:p w14:paraId="7801FE3A">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148924E">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54E35170">
      <w:pPr>
        <w:spacing w:line="360" w:lineRule="auto"/>
        <w:ind w:right="-817" w:rightChars="-389" w:firstLine="4080" w:firstLineChars="1700"/>
        <w:contextualSpacing/>
        <w:rPr>
          <w:rFonts w:ascii="宋体" w:hAnsi="宋体" w:cs="仿宋_GB2312"/>
          <w:b/>
          <w:color w:val="auto"/>
          <w:sz w:val="24"/>
          <w:highlight w:val="none"/>
        </w:rPr>
      </w:pPr>
      <w:r>
        <w:rPr>
          <w:rFonts w:hint="eastAsia" w:ascii="宋体" w:hAnsi="宋体" w:cs="仿宋_GB2312"/>
          <w:color w:val="auto"/>
          <w:sz w:val="24"/>
          <w:highlight w:val="none"/>
        </w:rPr>
        <w:t>日期：   年   月   日</w:t>
      </w:r>
    </w:p>
    <w:p w14:paraId="3F2EA69E">
      <w:pPr>
        <w:spacing w:line="360" w:lineRule="auto"/>
        <w:ind w:right="420"/>
        <w:contextualSpacing/>
        <w:jc w:val="right"/>
        <w:rPr>
          <w:rFonts w:ascii="宋体" w:hAnsi="宋体" w:cs="仿宋_GB2312"/>
          <w:color w:val="auto"/>
          <w:sz w:val="24"/>
          <w:highlight w:val="none"/>
        </w:rPr>
      </w:pPr>
    </w:p>
    <w:p w14:paraId="434FB27D">
      <w:pPr>
        <w:rPr>
          <w:rFonts w:ascii="宋体" w:hAnsi="宋体" w:cs="仿宋_GB2312"/>
          <w:color w:val="auto"/>
          <w:sz w:val="24"/>
          <w:highlight w:val="none"/>
        </w:rPr>
      </w:pPr>
      <w:r>
        <w:rPr>
          <w:rFonts w:hint="eastAsia" w:ascii="宋体" w:hAnsi="宋体" w:cs="仿宋_GB2312"/>
          <w:color w:val="auto"/>
          <w:sz w:val="24"/>
          <w:highlight w:val="none"/>
        </w:rPr>
        <w:br w:type="page"/>
      </w:r>
    </w:p>
    <w:p w14:paraId="117EE8E6">
      <w:pPr>
        <w:spacing w:line="360" w:lineRule="auto"/>
        <w:ind w:right="420"/>
        <w:contextualSpacing/>
        <w:jc w:val="left"/>
        <w:rPr>
          <w:rFonts w:hint="eastAsia" w:ascii="宋体" w:hAnsi="宋体" w:eastAsia="宋体" w:cs="宋体"/>
          <w:b/>
          <w:color w:val="auto"/>
          <w:sz w:val="32"/>
          <w:szCs w:val="32"/>
          <w:highlight w:val="none"/>
          <w:lang w:eastAsia="zh-CN"/>
        </w:rPr>
      </w:pP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商务技术文件格式</w:t>
      </w:r>
    </w:p>
    <w:p w14:paraId="10014C63">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57CD4790">
      <w:pPr>
        <w:snapToGrid w:val="0"/>
        <w:spacing w:before="156" w:beforeLines="50" w:after="50"/>
        <w:rPr>
          <w:rFonts w:ascii="宋体" w:hAnsi="宋体" w:cs="宋体"/>
          <w:bCs/>
          <w:color w:val="auto"/>
          <w:sz w:val="32"/>
          <w:szCs w:val="20"/>
          <w:highlight w:val="none"/>
        </w:rPr>
      </w:pPr>
    </w:p>
    <w:p w14:paraId="0E8C1DDE">
      <w:pPr>
        <w:snapToGrid w:val="0"/>
        <w:spacing w:before="156"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62B91F7D">
      <w:pPr>
        <w:snapToGrid w:val="0"/>
        <w:spacing w:before="156" w:beforeLines="50" w:after="50"/>
        <w:rPr>
          <w:rFonts w:ascii="宋体" w:hAnsi="宋体" w:cs="宋体"/>
          <w:color w:val="auto"/>
          <w:sz w:val="24"/>
          <w:szCs w:val="20"/>
          <w:highlight w:val="none"/>
        </w:rPr>
      </w:pPr>
    </w:p>
    <w:p w14:paraId="27145CCB">
      <w:pPr>
        <w:snapToGrid w:val="0"/>
        <w:spacing w:before="156" w:beforeLines="50" w:after="50"/>
        <w:rPr>
          <w:rFonts w:ascii="宋体" w:hAnsi="宋体" w:cs="宋体"/>
          <w:color w:val="auto"/>
          <w:sz w:val="24"/>
          <w:szCs w:val="20"/>
          <w:highlight w:val="none"/>
        </w:rPr>
      </w:pPr>
    </w:p>
    <w:p w14:paraId="7DBB648A">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556686D0">
      <w:pPr>
        <w:snapToGrid w:val="0"/>
        <w:spacing w:before="156" w:beforeLines="50" w:after="50"/>
        <w:rPr>
          <w:rFonts w:ascii="宋体" w:hAnsi="宋体" w:cs="宋体"/>
          <w:bCs/>
          <w:color w:val="auto"/>
          <w:sz w:val="24"/>
          <w:szCs w:val="20"/>
          <w:highlight w:val="none"/>
        </w:rPr>
      </w:pPr>
    </w:p>
    <w:p w14:paraId="169E5C89">
      <w:pPr>
        <w:snapToGrid w:val="0"/>
        <w:spacing w:before="156" w:beforeLines="50" w:after="50"/>
        <w:rPr>
          <w:rFonts w:ascii="宋体" w:hAnsi="宋体" w:cs="宋体"/>
          <w:bCs/>
          <w:color w:val="auto"/>
          <w:sz w:val="24"/>
          <w:szCs w:val="20"/>
          <w:highlight w:val="none"/>
        </w:rPr>
      </w:pPr>
    </w:p>
    <w:p w14:paraId="7BC8386A">
      <w:pPr>
        <w:snapToGrid w:val="0"/>
        <w:spacing w:before="156" w:beforeLines="50" w:after="50"/>
        <w:rPr>
          <w:rFonts w:ascii="宋体" w:hAnsi="宋体" w:cs="宋体"/>
          <w:bCs/>
          <w:color w:val="auto"/>
          <w:sz w:val="24"/>
          <w:szCs w:val="20"/>
          <w:highlight w:val="none"/>
        </w:rPr>
      </w:pPr>
    </w:p>
    <w:p w14:paraId="7B1970EA">
      <w:pPr>
        <w:snapToGrid w:val="0"/>
        <w:spacing w:before="156" w:beforeLines="50" w:after="50"/>
        <w:rPr>
          <w:rFonts w:ascii="宋体" w:hAnsi="宋体" w:cs="宋体"/>
          <w:bCs/>
          <w:color w:val="auto"/>
          <w:sz w:val="24"/>
          <w:szCs w:val="20"/>
          <w:highlight w:val="none"/>
        </w:rPr>
      </w:pPr>
    </w:p>
    <w:p w14:paraId="0EB6C073">
      <w:pPr>
        <w:snapToGrid w:val="0"/>
        <w:spacing w:before="156" w:beforeLines="50" w:after="50"/>
        <w:rPr>
          <w:rFonts w:ascii="宋体" w:hAnsi="宋体" w:cs="宋体"/>
          <w:bCs/>
          <w:color w:val="auto"/>
          <w:sz w:val="24"/>
          <w:szCs w:val="20"/>
          <w:highlight w:val="none"/>
        </w:rPr>
      </w:pPr>
    </w:p>
    <w:p w14:paraId="039AB786">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3B7E05D">
      <w:pPr>
        <w:snapToGrid w:val="0"/>
        <w:spacing w:before="156" w:beforeLines="50" w:after="50"/>
        <w:ind w:firstLine="720" w:firstLineChars="225"/>
        <w:rPr>
          <w:rFonts w:ascii="宋体" w:hAnsi="宋体" w:cs="宋体"/>
          <w:bCs/>
          <w:color w:val="auto"/>
          <w:sz w:val="32"/>
          <w:szCs w:val="32"/>
          <w:highlight w:val="none"/>
        </w:rPr>
      </w:pPr>
    </w:p>
    <w:p w14:paraId="26BB6E77">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C66F8D5">
      <w:pPr>
        <w:snapToGrid w:val="0"/>
        <w:spacing w:before="156" w:beforeLines="50" w:after="50"/>
        <w:ind w:firstLine="720" w:firstLineChars="225"/>
        <w:rPr>
          <w:rFonts w:ascii="宋体" w:hAnsi="宋体" w:cs="宋体"/>
          <w:bCs/>
          <w:color w:val="auto"/>
          <w:sz w:val="32"/>
          <w:szCs w:val="32"/>
          <w:highlight w:val="none"/>
        </w:rPr>
      </w:pPr>
    </w:p>
    <w:p w14:paraId="61E81FE3">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0E245CC">
      <w:pPr>
        <w:snapToGrid w:val="0"/>
        <w:spacing w:before="156" w:beforeLines="50" w:after="50"/>
        <w:ind w:firstLine="720" w:firstLineChars="225"/>
        <w:rPr>
          <w:rFonts w:ascii="宋体" w:hAnsi="宋体" w:cs="宋体"/>
          <w:bCs/>
          <w:color w:val="auto"/>
          <w:sz w:val="32"/>
          <w:szCs w:val="32"/>
          <w:highlight w:val="none"/>
        </w:rPr>
      </w:pPr>
    </w:p>
    <w:p w14:paraId="4DA85CA9">
      <w:pPr>
        <w:pStyle w:val="6"/>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62FEBE1">
      <w:pPr>
        <w:pStyle w:val="6"/>
        <w:snapToGrid w:val="0"/>
        <w:spacing w:before="50" w:after="50"/>
        <w:ind w:firstLine="640" w:firstLineChars="200"/>
        <w:rPr>
          <w:rFonts w:ascii="宋体" w:hAnsi="宋体" w:cs="宋体"/>
          <w:bCs/>
          <w:color w:val="auto"/>
          <w:sz w:val="32"/>
          <w:szCs w:val="32"/>
          <w:highlight w:val="none"/>
        </w:rPr>
      </w:pPr>
    </w:p>
    <w:p w14:paraId="1C4D75CE">
      <w:pPr>
        <w:pStyle w:val="6"/>
        <w:snapToGrid w:val="0"/>
        <w:spacing w:before="50" w:after="50"/>
        <w:ind w:firstLine="720" w:firstLineChars="225"/>
        <w:rPr>
          <w:rFonts w:ascii="宋体" w:hAnsi="宋体" w:cs="宋体"/>
          <w:bCs/>
          <w:color w:val="auto"/>
          <w:sz w:val="32"/>
          <w:szCs w:val="32"/>
          <w:highlight w:val="none"/>
        </w:rPr>
      </w:pPr>
    </w:p>
    <w:p w14:paraId="6DA00BCA">
      <w:pPr>
        <w:pStyle w:val="6"/>
        <w:snapToGrid w:val="0"/>
        <w:spacing w:before="50" w:after="50"/>
        <w:ind w:firstLine="0"/>
        <w:rPr>
          <w:rFonts w:ascii="宋体" w:hAnsi="宋体" w:cs="宋体"/>
          <w:bCs/>
          <w:color w:val="auto"/>
          <w:sz w:val="32"/>
          <w:szCs w:val="32"/>
          <w:highlight w:val="none"/>
        </w:rPr>
      </w:pPr>
    </w:p>
    <w:p w14:paraId="0B2ABB50">
      <w:pPr>
        <w:pStyle w:val="6"/>
        <w:snapToGrid w:val="0"/>
        <w:spacing w:before="50" w:after="50"/>
        <w:ind w:firstLine="1280" w:firstLineChars="400"/>
        <w:rPr>
          <w:rFonts w:ascii="宋体" w:hAnsi="宋体" w:cs="宋体"/>
          <w:bCs/>
          <w:color w:val="auto"/>
          <w:sz w:val="32"/>
          <w:szCs w:val="32"/>
          <w:highlight w:val="none"/>
        </w:rPr>
      </w:pPr>
    </w:p>
    <w:p w14:paraId="3945FB0E">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2961B3A">
      <w:pPr>
        <w:snapToGrid w:val="0"/>
        <w:spacing w:before="156" w:beforeLines="50" w:after="50" w:line="360" w:lineRule="auto"/>
        <w:ind w:right="480" w:firstLine="240" w:firstLineChars="100"/>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38A97B85">
      <w:pPr>
        <w:snapToGrid w:val="0"/>
        <w:spacing w:before="156"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31A5F1B7">
      <w:pPr>
        <w:spacing w:line="400" w:lineRule="exact"/>
        <w:rPr>
          <w:rFonts w:ascii="宋体" w:hAnsi="宋体" w:cs="宋体"/>
          <w:color w:val="auto"/>
          <w:sz w:val="32"/>
          <w:szCs w:val="32"/>
          <w:highlight w:val="none"/>
        </w:rPr>
      </w:pPr>
    </w:p>
    <w:p w14:paraId="47CF342B">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0C9063D">
      <w:pPr>
        <w:spacing w:line="360" w:lineRule="auto"/>
        <w:ind w:firstLine="482" w:firstLineChars="200"/>
        <w:contextualSpacing/>
        <w:rPr>
          <w:rFonts w:ascii="宋体" w:hAnsi="宋体" w:cs="宋体"/>
          <w:b/>
          <w:bCs/>
          <w:color w:val="auto"/>
          <w:sz w:val="24"/>
          <w:highlight w:val="none"/>
        </w:rPr>
      </w:pPr>
    </w:p>
    <w:p w14:paraId="65D89099">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4E00E625">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cs="宋体"/>
          <w:color w:val="auto"/>
          <w:sz w:val="24"/>
          <w:highlight w:val="none"/>
        </w:rPr>
        <w:t>1.不同供应商的响应文件由同一单位或者个人编制，或不同供应商报名的IP地址一致的；或不同供应商竞标设备信息（包括但不限于：IP地址、MAC地址、硬盘号、CPU号、主板号）一致的；</w:t>
      </w:r>
    </w:p>
    <w:p w14:paraId="114586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BEEE8A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0413CC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624CED8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244B5CC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4BC7F85A">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52164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53A7A71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2B41B9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369A55B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395DB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3132D5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4685D1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41D89972">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206C5FEE">
      <w:pPr>
        <w:spacing w:line="360" w:lineRule="auto"/>
        <w:contextualSpacing/>
        <w:rPr>
          <w:rFonts w:ascii="宋体" w:hAnsi="宋体" w:cs="宋体"/>
          <w:color w:val="auto"/>
          <w:sz w:val="24"/>
          <w:highlight w:val="none"/>
        </w:rPr>
      </w:pPr>
    </w:p>
    <w:p w14:paraId="72B011C5">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02709F47">
      <w:pPr>
        <w:spacing w:line="360" w:lineRule="auto"/>
        <w:ind w:firstLine="480" w:firstLineChars="200"/>
        <w:contextualSpacing/>
        <w:jc w:val="center"/>
        <w:rPr>
          <w:rFonts w:ascii="宋体" w:hAnsi="宋体" w:cs="宋体"/>
          <w:color w:val="auto"/>
          <w:sz w:val="32"/>
          <w:szCs w:val="32"/>
          <w:highlight w:val="none"/>
        </w:rPr>
      </w:pPr>
      <w:r>
        <w:rPr>
          <w:rFonts w:hint="eastAsia" w:ascii="宋体" w:hAnsi="宋体" w:cs="宋体"/>
          <w:color w:val="auto"/>
          <w:sz w:val="24"/>
          <w:highlight w:val="none"/>
        </w:rPr>
        <w:t xml:space="preserve">                               年   月   日</w:t>
      </w:r>
    </w:p>
    <w:p w14:paraId="0C579A2F">
      <w:pPr>
        <w:spacing w:line="52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p>
    <w:p w14:paraId="0B4FF989">
      <w:pPr>
        <w:spacing w:line="520" w:lineRule="exact"/>
        <w:jc w:val="center"/>
        <w:rPr>
          <w:rFonts w:ascii="宋体" w:hAnsi="宋体" w:cs="宋体"/>
          <w:bCs/>
          <w:color w:val="auto"/>
          <w:sz w:val="44"/>
          <w:szCs w:val="44"/>
          <w:highlight w:val="none"/>
        </w:rPr>
      </w:pPr>
    </w:p>
    <w:p w14:paraId="3586CED7">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436BB672">
      <w:pPr>
        <w:spacing w:line="520" w:lineRule="exact"/>
        <w:jc w:val="center"/>
        <w:rPr>
          <w:rFonts w:ascii="宋体" w:hAnsi="宋体" w:cs="宋体"/>
          <w:color w:val="auto"/>
          <w:sz w:val="32"/>
          <w:szCs w:val="32"/>
          <w:highlight w:val="none"/>
        </w:rPr>
      </w:pPr>
    </w:p>
    <w:p w14:paraId="0F9A869D">
      <w:pPr>
        <w:spacing w:line="360" w:lineRule="auto"/>
        <w:ind w:left="540"/>
        <w:contextualSpacing/>
        <w:rPr>
          <w:rFonts w:ascii="宋体" w:hAnsi="宋体" w:cs="宋体"/>
          <w:color w:val="auto"/>
          <w:sz w:val="32"/>
          <w:szCs w:val="32"/>
          <w:highlight w:val="none"/>
        </w:rPr>
      </w:pPr>
    </w:p>
    <w:p w14:paraId="01FCE71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1078235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7E3D93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     别：</w:t>
      </w:r>
      <w:r>
        <w:rPr>
          <w:rFonts w:hint="eastAsia" w:ascii="宋体" w:hAnsi="宋体" w:cs="宋体"/>
          <w:color w:val="auto"/>
          <w:sz w:val="24"/>
          <w:highlight w:val="none"/>
          <w:u w:val="single"/>
        </w:rPr>
        <w:t xml:space="preserve">       </w:t>
      </w:r>
    </w:p>
    <w:p w14:paraId="33743D95">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6F9E69E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2478DF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系 </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的法定代表人。</w:t>
      </w:r>
    </w:p>
    <w:p w14:paraId="2F06643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71566AB2">
      <w:pPr>
        <w:spacing w:line="360" w:lineRule="auto"/>
        <w:ind w:left="540"/>
        <w:contextualSpacing/>
        <w:rPr>
          <w:rFonts w:ascii="宋体" w:hAnsi="宋体" w:cs="宋体"/>
          <w:color w:val="auto"/>
          <w:sz w:val="24"/>
          <w:highlight w:val="none"/>
        </w:rPr>
      </w:pPr>
    </w:p>
    <w:p w14:paraId="3531D6F5">
      <w:pPr>
        <w:spacing w:line="360" w:lineRule="auto"/>
        <w:ind w:left="540"/>
        <w:contextualSpacing/>
        <w:rPr>
          <w:rFonts w:ascii="宋体" w:hAnsi="宋体" w:cs="宋体"/>
          <w:color w:val="auto"/>
          <w:sz w:val="24"/>
          <w:highlight w:val="none"/>
        </w:rPr>
      </w:pPr>
    </w:p>
    <w:p w14:paraId="555F26E7">
      <w:pPr>
        <w:spacing w:line="360" w:lineRule="auto"/>
        <w:ind w:left="540"/>
        <w:contextualSpacing/>
        <w:rPr>
          <w:rFonts w:ascii="宋体" w:hAnsi="宋体" w:cs="宋体"/>
          <w:color w:val="auto"/>
          <w:sz w:val="24"/>
          <w:highlight w:val="none"/>
        </w:rPr>
      </w:pPr>
    </w:p>
    <w:p w14:paraId="2686A7E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A95FD9A">
      <w:pPr>
        <w:spacing w:line="360" w:lineRule="auto"/>
        <w:ind w:left="540"/>
        <w:contextualSpacing/>
        <w:rPr>
          <w:rFonts w:ascii="宋体" w:hAnsi="宋体" w:cs="宋体"/>
          <w:color w:val="auto"/>
          <w:sz w:val="24"/>
          <w:highlight w:val="none"/>
        </w:rPr>
      </w:pPr>
    </w:p>
    <w:p w14:paraId="323EEDAB">
      <w:pPr>
        <w:spacing w:line="360" w:lineRule="auto"/>
        <w:ind w:left="540"/>
        <w:contextualSpacing/>
        <w:jc w:val="center"/>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7B2F2BB9">
      <w:pPr>
        <w:spacing w:line="360" w:lineRule="auto"/>
        <w:ind w:firstLine="4080" w:firstLineChars="1700"/>
        <w:contextualSpacing/>
        <w:jc w:val="right"/>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      月     日</w:t>
      </w:r>
    </w:p>
    <w:p w14:paraId="6AF278F6">
      <w:pPr>
        <w:spacing w:line="360" w:lineRule="auto"/>
        <w:contextualSpacing/>
        <w:jc w:val="center"/>
        <w:rPr>
          <w:rFonts w:ascii="宋体" w:hAnsi="宋体" w:cs="宋体"/>
          <w:b/>
          <w:color w:val="auto"/>
          <w:sz w:val="24"/>
          <w:highlight w:val="none"/>
        </w:rPr>
      </w:pPr>
    </w:p>
    <w:p w14:paraId="0F956051">
      <w:pPr>
        <w:spacing w:line="360" w:lineRule="auto"/>
        <w:contextualSpacing/>
        <w:jc w:val="left"/>
        <w:rPr>
          <w:rFonts w:ascii="宋体" w:hAnsi="宋体" w:cs="宋体"/>
          <w:color w:val="auto"/>
          <w:sz w:val="24"/>
          <w:highlight w:val="none"/>
        </w:rPr>
      </w:pPr>
    </w:p>
    <w:p w14:paraId="0378AE5C">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05BFA954">
      <w:pPr>
        <w:adjustRightInd w:val="0"/>
        <w:snapToGrid w:val="0"/>
        <w:spacing w:line="300" w:lineRule="auto"/>
        <w:jc w:val="left"/>
        <w:rPr>
          <w:rFonts w:ascii="宋体" w:hAnsi="宋体" w:cs="宋体"/>
          <w:b/>
          <w:color w:val="auto"/>
          <w:szCs w:val="21"/>
          <w:highlight w:val="none"/>
        </w:rPr>
      </w:pPr>
    </w:p>
    <w:p w14:paraId="12C61AE4">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6E0CA9AA">
      <w:pPr>
        <w:spacing w:line="520" w:lineRule="exact"/>
        <w:jc w:val="center"/>
        <w:rPr>
          <w:rFonts w:ascii="方正小标宋简体" w:hAnsi="方正小标宋简体" w:eastAsia="方正小标宋简体" w:cs="方正小标宋简体"/>
          <w:color w:val="auto"/>
          <w:sz w:val="44"/>
          <w:szCs w:val="44"/>
          <w:highlight w:val="none"/>
        </w:rPr>
      </w:pPr>
      <w:bookmarkStart w:id="91" w:name="_Hlk65853643"/>
    </w:p>
    <w:p w14:paraId="55C8AD1C">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74A7201E">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6E0D7CDC">
      <w:pPr>
        <w:spacing w:line="520" w:lineRule="exact"/>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012165D9">
      <w:pPr>
        <w:spacing w:line="520" w:lineRule="exact"/>
        <w:rPr>
          <w:rFonts w:ascii="宋体" w:hAnsi="宋体" w:cs="宋体"/>
          <w:color w:val="auto"/>
          <w:sz w:val="32"/>
          <w:szCs w:val="32"/>
          <w:highlight w:val="none"/>
        </w:rPr>
      </w:pPr>
    </w:p>
    <w:p w14:paraId="0A8A1A3F">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3F386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以我方的名义参加项目的竞标活动，并代表我方全权办理针对上述项目的所有采购程序和环节的具体事务和签署相关文件。</w:t>
      </w:r>
    </w:p>
    <w:p w14:paraId="16C026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3DEA48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E5C21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2FB61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51D00602">
      <w:pPr>
        <w:spacing w:line="360" w:lineRule="auto"/>
        <w:rPr>
          <w:rFonts w:ascii="宋体" w:hAnsi="宋体" w:cs="宋体"/>
          <w:color w:val="auto"/>
          <w:sz w:val="24"/>
          <w:highlight w:val="none"/>
        </w:rPr>
      </w:pPr>
    </w:p>
    <w:p w14:paraId="71AF7E7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委托代理人（签字或者电子签名）：     法定代表人或者委托代理人（签字或者电子签名）：                    </w:t>
      </w:r>
    </w:p>
    <w:p w14:paraId="005515D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5FC4E0F">
      <w:pPr>
        <w:spacing w:line="360" w:lineRule="auto"/>
        <w:contextualSpacing/>
        <w:rPr>
          <w:rFonts w:ascii="宋体" w:hAnsi="宋体" w:cs="宋体"/>
          <w:color w:val="auto"/>
          <w:sz w:val="24"/>
          <w:highlight w:val="none"/>
        </w:rPr>
      </w:pPr>
    </w:p>
    <w:p w14:paraId="361B14B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供应商（电子签章）：                      </w:t>
      </w:r>
    </w:p>
    <w:p w14:paraId="2275391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75D6DBA3">
      <w:pPr>
        <w:spacing w:line="360" w:lineRule="auto"/>
        <w:rPr>
          <w:rFonts w:ascii="宋体" w:hAnsi="宋体" w:cs="宋体"/>
          <w:color w:val="auto"/>
          <w:sz w:val="24"/>
          <w:highlight w:val="none"/>
        </w:rPr>
      </w:pPr>
    </w:p>
    <w:p w14:paraId="6289ECBF">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0B74876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bookmarkStart w:id="92" w:name="_Hlk65853109"/>
      <w:bookmarkStart w:id="93" w:name="_Hlk65853542"/>
      <w:r>
        <w:rPr>
          <w:rFonts w:hint="eastAsia" w:ascii="宋体" w:hAnsi="宋体" w:cs="宋体"/>
          <w:color w:val="auto"/>
          <w:sz w:val="24"/>
          <w:highlight w:val="none"/>
        </w:rPr>
        <w:t>法人、其他组织竞标时“我方”是指“我单位”，自然人竞标时“我方”是指“本人”。</w:t>
      </w:r>
      <w:bookmarkEnd w:id="92"/>
    </w:p>
    <w:bookmarkEnd w:id="93"/>
    <w:p w14:paraId="1C273515">
      <w:pPr>
        <w:spacing w:line="360" w:lineRule="auto"/>
        <w:ind w:firstLine="420" w:firstLineChars="200"/>
        <w:jc w:val="left"/>
        <w:rPr>
          <w:rFonts w:ascii="宋体" w:hAnsi="宋体" w:cs="宋体"/>
          <w:color w:val="auto"/>
          <w:szCs w:val="21"/>
          <w:highlight w:val="none"/>
        </w:rPr>
      </w:pPr>
    </w:p>
    <w:p w14:paraId="064377EB">
      <w:pPr>
        <w:spacing w:line="360" w:lineRule="auto"/>
        <w:jc w:val="left"/>
        <w:rPr>
          <w:rFonts w:ascii="宋体" w:hAnsi="宋体" w:cs="宋体"/>
          <w:color w:val="auto"/>
          <w:spacing w:val="-11"/>
          <w:sz w:val="24"/>
          <w:highlight w:val="none"/>
        </w:rPr>
      </w:pPr>
    </w:p>
    <w:bookmarkEnd w:id="91"/>
    <w:p w14:paraId="0996B464">
      <w:pPr>
        <w:spacing w:line="5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16D08DE2">
      <w:pPr>
        <w:spacing w:line="500" w:lineRule="exact"/>
        <w:jc w:val="center"/>
        <w:rPr>
          <w:rFonts w:ascii="宋体" w:hAnsi="宋体" w:cs="宋体"/>
          <w:color w:val="auto"/>
          <w:sz w:val="32"/>
          <w:szCs w:val="32"/>
          <w:highlight w:val="none"/>
        </w:rPr>
      </w:pPr>
    </w:p>
    <w:p w14:paraId="1B07E796">
      <w:pPr>
        <w:spacing w:line="500" w:lineRule="exact"/>
        <w:jc w:val="center"/>
        <w:rPr>
          <w:rFonts w:ascii="宋体" w:hAnsi="宋体" w:cs="宋体"/>
          <w:color w:val="auto"/>
          <w:sz w:val="32"/>
          <w:szCs w:val="32"/>
          <w:highlight w:val="none"/>
        </w:rPr>
      </w:pPr>
    </w:p>
    <w:p w14:paraId="69D45141">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商务要求偏离表格式</w:t>
      </w:r>
    </w:p>
    <w:p w14:paraId="2ED2932E">
      <w:pPr>
        <w:spacing w:line="360" w:lineRule="auto"/>
        <w:jc w:val="center"/>
        <w:rPr>
          <w:rFonts w:ascii="宋体" w:hAnsi="宋体" w:cs="宋体"/>
          <w:bCs/>
          <w:color w:val="auto"/>
          <w:sz w:val="44"/>
          <w:szCs w:val="44"/>
          <w:highlight w:val="none"/>
        </w:rPr>
      </w:pPr>
    </w:p>
    <w:tbl>
      <w:tblPr>
        <w:tblStyle w:val="29"/>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7"/>
        <w:gridCol w:w="3614"/>
        <w:gridCol w:w="3358"/>
        <w:gridCol w:w="879"/>
      </w:tblGrid>
      <w:tr w14:paraId="078C9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14:paraId="02499789">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3614" w:type="dxa"/>
            <w:tcBorders>
              <w:top w:val="single" w:color="auto" w:sz="4" w:space="0"/>
              <w:left w:val="single" w:color="auto" w:sz="4" w:space="0"/>
              <w:bottom w:val="single" w:color="auto" w:sz="4" w:space="0"/>
              <w:right w:val="single" w:color="auto" w:sz="4" w:space="0"/>
            </w:tcBorders>
            <w:vAlign w:val="center"/>
          </w:tcPr>
          <w:p w14:paraId="41964055">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磋商文件商务条款要求</w:t>
            </w:r>
          </w:p>
        </w:tc>
        <w:tc>
          <w:tcPr>
            <w:tcW w:w="3358" w:type="dxa"/>
            <w:tcBorders>
              <w:top w:val="single" w:color="auto" w:sz="4" w:space="0"/>
              <w:left w:val="single" w:color="auto" w:sz="4" w:space="0"/>
              <w:bottom w:val="single" w:color="auto" w:sz="4" w:space="0"/>
              <w:right w:val="single" w:color="auto" w:sz="4" w:space="0"/>
            </w:tcBorders>
            <w:vAlign w:val="center"/>
          </w:tcPr>
          <w:p w14:paraId="75A32F48">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879" w:type="dxa"/>
            <w:tcBorders>
              <w:top w:val="single" w:color="auto" w:sz="4" w:space="0"/>
              <w:left w:val="single" w:color="auto" w:sz="4" w:space="0"/>
              <w:bottom w:val="single" w:color="auto" w:sz="4" w:space="0"/>
              <w:right w:val="single" w:color="auto" w:sz="4" w:space="0"/>
            </w:tcBorders>
            <w:vAlign w:val="center"/>
          </w:tcPr>
          <w:p w14:paraId="1A8F492F">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0D28E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14:paraId="4767CB34">
            <w:pPr>
              <w:snapToGrid w:val="0"/>
              <w:spacing w:line="360" w:lineRule="auto"/>
              <w:jc w:val="center"/>
              <w:rPr>
                <w:rFonts w:ascii="宋体" w:hAnsi="宋体" w:cs="宋体"/>
                <w:b/>
                <w:color w:val="auto"/>
                <w:highlight w:val="none"/>
              </w:rPr>
            </w:pPr>
          </w:p>
        </w:tc>
        <w:tc>
          <w:tcPr>
            <w:tcW w:w="3614" w:type="dxa"/>
            <w:tcBorders>
              <w:top w:val="single" w:color="auto" w:sz="4" w:space="0"/>
              <w:left w:val="single" w:color="auto" w:sz="4" w:space="0"/>
              <w:bottom w:val="single" w:color="auto" w:sz="4" w:space="0"/>
              <w:right w:val="single" w:color="auto" w:sz="4" w:space="0"/>
            </w:tcBorders>
            <w:vAlign w:val="center"/>
          </w:tcPr>
          <w:p w14:paraId="0C3A6A50">
            <w:pPr>
              <w:autoSpaceDE w:val="0"/>
              <w:autoSpaceDN w:val="0"/>
              <w:adjustRightInd w:val="0"/>
              <w:spacing w:line="360" w:lineRule="auto"/>
              <w:rPr>
                <w:rFonts w:ascii="宋体" w:hAnsi="宋体" w:cs="宋体"/>
                <w:color w:val="auto"/>
                <w:sz w:val="24"/>
                <w:highlight w:val="none"/>
              </w:rPr>
            </w:pPr>
          </w:p>
        </w:tc>
        <w:tc>
          <w:tcPr>
            <w:tcW w:w="3358" w:type="dxa"/>
            <w:tcBorders>
              <w:top w:val="single" w:color="auto" w:sz="4" w:space="0"/>
              <w:left w:val="single" w:color="auto" w:sz="4" w:space="0"/>
              <w:bottom w:val="single" w:color="auto" w:sz="4" w:space="0"/>
              <w:right w:val="single" w:color="auto" w:sz="4" w:space="0"/>
            </w:tcBorders>
            <w:vAlign w:val="center"/>
          </w:tcPr>
          <w:p w14:paraId="1C5CE696">
            <w:pPr>
              <w:spacing w:line="360" w:lineRule="auto"/>
              <w:contextualSpacing/>
              <w:jc w:val="left"/>
              <w:rPr>
                <w:rFonts w:ascii="宋体" w:hAnsi="宋体" w:cs="宋体"/>
                <w:color w:val="auto"/>
                <w:sz w:val="24"/>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6E7483C4">
            <w:pPr>
              <w:spacing w:line="360" w:lineRule="auto"/>
              <w:contextualSpacing/>
              <w:jc w:val="left"/>
              <w:rPr>
                <w:rFonts w:ascii="宋体" w:hAnsi="宋体" w:cs="宋体"/>
                <w:color w:val="auto"/>
                <w:sz w:val="24"/>
                <w:highlight w:val="none"/>
              </w:rPr>
            </w:pPr>
          </w:p>
        </w:tc>
      </w:tr>
      <w:tr w14:paraId="60570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14:paraId="7BF36497">
            <w:pPr>
              <w:spacing w:line="360" w:lineRule="auto"/>
              <w:jc w:val="center"/>
              <w:rPr>
                <w:rFonts w:ascii="宋体" w:hAnsi="宋体" w:cs="宋体"/>
                <w:b/>
                <w:color w:val="auto"/>
                <w:highlight w:val="none"/>
              </w:rPr>
            </w:pPr>
          </w:p>
        </w:tc>
        <w:tc>
          <w:tcPr>
            <w:tcW w:w="3614" w:type="dxa"/>
            <w:tcBorders>
              <w:top w:val="single" w:color="auto" w:sz="4" w:space="0"/>
              <w:left w:val="single" w:color="auto" w:sz="4" w:space="0"/>
              <w:bottom w:val="single" w:color="auto" w:sz="4" w:space="0"/>
              <w:right w:val="single" w:color="auto" w:sz="4" w:space="0"/>
            </w:tcBorders>
            <w:vAlign w:val="center"/>
          </w:tcPr>
          <w:p w14:paraId="7C0A31A8">
            <w:pPr>
              <w:spacing w:line="360" w:lineRule="auto"/>
              <w:rPr>
                <w:rFonts w:ascii="宋体" w:hAnsi="宋体" w:cs="宋体"/>
                <w:color w:val="auto"/>
                <w:sz w:val="24"/>
                <w:highlight w:val="none"/>
              </w:rPr>
            </w:pPr>
          </w:p>
        </w:tc>
        <w:tc>
          <w:tcPr>
            <w:tcW w:w="3358" w:type="dxa"/>
            <w:tcBorders>
              <w:top w:val="single" w:color="auto" w:sz="4" w:space="0"/>
              <w:left w:val="single" w:color="auto" w:sz="4" w:space="0"/>
              <w:bottom w:val="single" w:color="auto" w:sz="4" w:space="0"/>
              <w:right w:val="single" w:color="auto" w:sz="4" w:space="0"/>
            </w:tcBorders>
            <w:vAlign w:val="center"/>
          </w:tcPr>
          <w:p w14:paraId="4E9B8D22">
            <w:pPr>
              <w:spacing w:line="360" w:lineRule="auto"/>
              <w:ind w:left="43"/>
              <w:contextualSpacing/>
              <w:jc w:val="left"/>
              <w:rPr>
                <w:rFonts w:ascii="宋体" w:hAnsi="宋体" w:cs="宋体"/>
                <w:color w:val="auto"/>
                <w:sz w:val="24"/>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4396874C">
            <w:pPr>
              <w:spacing w:line="360" w:lineRule="auto"/>
              <w:ind w:left="43"/>
              <w:contextualSpacing/>
              <w:jc w:val="left"/>
              <w:rPr>
                <w:rFonts w:ascii="宋体" w:hAnsi="宋体" w:cs="宋体"/>
                <w:color w:val="auto"/>
                <w:sz w:val="24"/>
                <w:highlight w:val="none"/>
              </w:rPr>
            </w:pPr>
          </w:p>
        </w:tc>
      </w:tr>
      <w:tr w14:paraId="07074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14:paraId="773D69E4">
            <w:pPr>
              <w:pStyle w:val="17"/>
              <w:snapToGrid w:val="0"/>
              <w:spacing w:line="360" w:lineRule="auto"/>
              <w:jc w:val="center"/>
              <w:outlineLvl w:val="0"/>
              <w:rPr>
                <w:rFonts w:hAnsi="宋体" w:cs="宋体"/>
                <w:b/>
                <w:color w:val="auto"/>
                <w:sz w:val="21"/>
                <w:highlight w:val="none"/>
              </w:rPr>
            </w:pPr>
          </w:p>
        </w:tc>
        <w:tc>
          <w:tcPr>
            <w:tcW w:w="3614" w:type="dxa"/>
            <w:tcBorders>
              <w:top w:val="single" w:color="auto" w:sz="4" w:space="0"/>
              <w:left w:val="single" w:color="auto" w:sz="4" w:space="0"/>
              <w:bottom w:val="single" w:color="auto" w:sz="4" w:space="0"/>
              <w:right w:val="single" w:color="auto" w:sz="4" w:space="0"/>
            </w:tcBorders>
            <w:vAlign w:val="center"/>
          </w:tcPr>
          <w:p w14:paraId="624DEB46">
            <w:pPr>
              <w:autoSpaceDE w:val="0"/>
              <w:autoSpaceDN w:val="0"/>
              <w:adjustRightInd w:val="0"/>
              <w:spacing w:line="360" w:lineRule="auto"/>
              <w:rPr>
                <w:color w:val="auto"/>
                <w:highlight w:val="none"/>
              </w:rPr>
            </w:pPr>
          </w:p>
        </w:tc>
        <w:tc>
          <w:tcPr>
            <w:tcW w:w="3358" w:type="dxa"/>
            <w:tcBorders>
              <w:top w:val="single" w:color="auto" w:sz="4" w:space="0"/>
              <w:left w:val="single" w:color="auto" w:sz="4" w:space="0"/>
              <w:bottom w:val="single" w:color="auto" w:sz="4" w:space="0"/>
              <w:right w:val="single" w:color="auto" w:sz="4" w:space="0"/>
            </w:tcBorders>
            <w:vAlign w:val="center"/>
          </w:tcPr>
          <w:p w14:paraId="4018CF1A">
            <w:pPr>
              <w:spacing w:line="360" w:lineRule="auto"/>
              <w:contextualSpacing/>
              <w:jc w:val="left"/>
              <w:rPr>
                <w:rFonts w:ascii="宋体" w:hAnsi="宋体" w:cs="宋体"/>
                <w:color w:val="auto"/>
                <w:sz w:val="24"/>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4DAD5B49">
            <w:pPr>
              <w:spacing w:line="360" w:lineRule="auto"/>
              <w:contextualSpacing/>
              <w:jc w:val="left"/>
              <w:rPr>
                <w:rFonts w:ascii="宋体" w:hAnsi="宋体" w:cs="宋体"/>
                <w:color w:val="auto"/>
                <w:sz w:val="24"/>
                <w:highlight w:val="none"/>
              </w:rPr>
            </w:pPr>
          </w:p>
        </w:tc>
      </w:tr>
      <w:tr w14:paraId="49AB2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14:paraId="4D3B4C35">
            <w:pPr>
              <w:pStyle w:val="17"/>
              <w:snapToGrid w:val="0"/>
              <w:spacing w:line="360" w:lineRule="auto"/>
              <w:jc w:val="center"/>
              <w:outlineLvl w:val="0"/>
              <w:rPr>
                <w:rFonts w:hAnsi="宋体" w:cs="宋体"/>
                <w:color w:val="auto"/>
                <w:sz w:val="24"/>
                <w:highlight w:val="none"/>
              </w:rPr>
            </w:pPr>
          </w:p>
        </w:tc>
        <w:tc>
          <w:tcPr>
            <w:tcW w:w="3614" w:type="dxa"/>
            <w:tcBorders>
              <w:top w:val="single" w:color="auto" w:sz="4" w:space="0"/>
              <w:left w:val="single" w:color="auto" w:sz="4" w:space="0"/>
              <w:bottom w:val="single" w:color="auto" w:sz="4" w:space="0"/>
              <w:right w:val="single" w:color="auto" w:sz="4" w:space="0"/>
            </w:tcBorders>
            <w:vAlign w:val="center"/>
          </w:tcPr>
          <w:p w14:paraId="60C4E964">
            <w:pPr>
              <w:spacing w:line="360" w:lineRule="auto"/>
              <w:rPr>
                <w:rFonts w:hAnsi="宋体" w:cs="宋体"/>
                <w:color w:val="auto"/>
                <w:sz w:val="24"/>
                <w:highlight w:val="none"/>
              </w:rPr>
            </w:pPr>
          </w:p>
        </w:tc>
        <w:tc>
          <w:tcPr>
            <w:tcW w:w="3358" w:type="dxa"/>
            <w:tcBorders>
              <w:top w:val="single" w:color="auto" w:sz="4" w:space="0"/>
              <w:left w:val="single" w:color="auto" w:sz="4" w:space="0"/>
              <w:bottom w:val="single" w:color="auto" w:sz="4" w:space="0"/>
              <w:right w:val="single" w:color="auto" w:sz="4" w:space="0"/>
            </w:tcBorders>
            <w:vAlign w:val="center"/>
          </w:tcPr>
          <w:p w14:paraId="0FD3971B">
            <w:pPr>
              <w:spacing w:line="360" w:lineRule="auto"/>
              <w:contextualSpacing/>
              <w:jc w:val="left"/>
              <w:rPr>
                <w:rFonts w:ascii="宋体" w:hAnsi="宋体" w:cs="宋体"/>
                <w:color w:val="auto"/>
                <w:sz w:val="24"/>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58263201">
            <w:pPr>
              <w:spacing w:line="360" w:lineRule="auto"/>
              <w:contextualSpacing/>
              <w:jc w:val="left"/>
              <w:rPr>
                <w:rFonts w:ascii="宋体" w:hAnsi="宋体" w:cs="宋体"/>
                <w:color w:val="auto"/>
                <w:sz w:val="24"/>
                <w:highlight w:val="none"/>
              </w:rPr>
            </w:pPr>
          </w:p>
        </w:tc>
      </w:tr>
      <w:tr w14:paraId="3732F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14:paraId="62C6C288">
            <w:pPr>
              <w:snapToGrid w:val="0"/>
              <w:spacing w:line="360" w:lineRule="auto"/>
              <w:jc w:val="center"/>
              <w:rPr>
                <w:rFonts w:ascii="宋体" w:hAnsi="宋体" w:cs="宋体"/>
                <w:color w:val="auto"/>
                <w:szCs w:val="21"/>
                <w:highlight w:val="none"/>
              </w:rPr>
            </w:pPr>
          </w:p>
        </w:tc>
        <w:tc>
          <w:tcPr>
            <w:tcW w:w="3614" w:type="dxa"/>
            <w:tcBorders>
              <w:top w:val="single" w:color="auto" w:sz="4" w:space="0"/>
              <w:left w:val="single" w:color="auto" w:sz="4" w:space="0"/>
              <w:bottom w:val="single" w:color="auto" w:sz="4" w:space="0"/>
              <w:right w:val="single" w:color="auto" w:sz="4" w:space="0"/>
            </w:tcBorders>
            <w:vAlign w:val="center"/>
          </w:tcPr>
          <w:p w14:paraId="7EE5B551">
            <w:pPr>
              <w:spacing w:line="360" w:lineRule="auto"/>
              <w:rPr>
                <w:rFonts w:ascii="宋体" w:hAnsi="宋体" w:cs="宋体"/>
                <w:color w:val="auto"/>
                <w:szCs w:val="21"/>
                <w:highlight w:val="none"/>
              </w:rPr>
            </w:pPr>
          </w:p>
        </w:tc>
        <w:tc>
          <w:tcPr>
            <w:tcW w:w="3358" w:type="dxa"/>
            <w:tcBorders>
              <w:top w:val="single" w:color="auto" w:sz="4" w:space="0"/>
              <w:left w:val="single" w:color="auto" w:sz="4" w:space="0"/>
              <w:bottom w:val="single" w:color="auto" w:sz="4" w:space="0"/>
              <w:right w:val="single" w:color="auto" w:sz="4" w:space="0"/>
            </w:tcBorders>
            <w:vAlign w:val="center"/>
          </w:tcPr>
          <w:p w14:paraId="07B2D8F6">
            <w:pPr>
              <w:spacing w:line="360" w:lineRule="auto"/>
              <w:contextualSpacing/>
              <w:jc w:val="left"/>
              <w:rPr>
                <w:rFonts w:ascii="宋体" w:hAnsi="宋体" w:cs="宋体"/>
                <w:color w:val="auto"/>
                <w:sz w:val="24"/>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60B4F922">
            <w:pPr>
              <w:spacing w:line="360" w:lineRule="auto"/>
              <w:contextualSpacing/>
              <w:jc w:val="left"/>
              <w:rPr>
                <w:rFonts w:ascii="宋体" w:hAnsi="宋体" w:cs="宋体"/>
                <w:color w:val="auto"/>
                <w:sz w:val="24"/>
                <w:highlight w:val="none"/>
              </w:rPr>
            </w:pPr>
          </w:p>
        </w:tc>
      </w:tr>
      <w:tr w14:paraId="17EAC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14:paraId="244A6814">
            <w:pPr>
              <w:snapToGrid w:val="0"/>
              <w:spacing w:line="360" w:lineRule="auto"/>
              <w:jc w:val="center"/>
              <w:rPr>
                <w:rFonts w:ascii="宋体" w:hAnsi="宋体" w:cs="宋体"/>
                <w:color w:val="auto"/>
                <w:sz w:val="24"/>
                <w:highlight w:val="none"/>
              </w:rPr>
            </w:pPr>
          </w:p>
        </w:tc>
        <w:tc>
          <w:tcPr>
            <w:tcW w:w="3614" w:type="dxa"/>
            <w:tcBorders>
              <w:top w:val="single" w:color="auto" w:sz="4" w:space="0"/>
              <w:left w:val="single" w:color="auto" w:sz="4" w:space="0"/>
              <w:bottom w:val="single" w:color="auto" w:sz="4" w:space="0"/>
              <w:right w:val="single" w:color="auto" w:sz="4" w:space="0"/>
            </w:tcBorders>
            <w:vAlign w:val="center"/>
          </w:tcPr>
          <w:p w14:paraId="5DC4A77F">
            <w:pPr>
              <w:widowControl/>
              <w:spacing w:line="360" w:lineRule="auto"/>
              <w:jc w:val="left"/>
              <w:rPr>
                <w:rFonts w:ascii="宋体" w:hAnsi="宋体" w:cs="宋体"/>
                <w:color w:val="auto"/>
                <w:sz w:val="24"/>
                <w:highlight w:val="none"/>
              </w:rPr>
            </w:pPr>
          </w:p>
        </w:tc>
        <w:tc>
          <w:tcPr>
            <w:tcW w:w="3358" w:type="dxa"/>
            <w:tcBorders>
              <w:top w:val="single" w:color="auto" w:sz="4" w:space="0"/>
              <w:left w:val="single" w:color="auto" w:sz="4" w:space="0"/>
              <w:bottom w:val="single" w:color="auto" w:sz="4" w:space="0"/>
              <w:right w:val="single" w:color="auto" w:sz="4" w:space="0"/>
            </w:tcBorders>
            <w:vAlign w:val="center"/>
          </w:tcPr>
          <w:p w14:paraId="7555B915">
            <w:pPr>
              <w:spacing w:line="360" w:lineRule="auto"/>
              <w:contextualSpacing/>
              <w:jc w:val="left"/>
              <w:rPr>
                <w:rFonts w:ascii="宋体" w:hAnsi="宋体" w:cs="宋体"/>
                <w:color w:val="auto"/>
                <w:sz w:val="24"/>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29EA5A76">
            <w:pPr>
              <w:spacing w:line="360" w:lineRule="auto"/>
              <w:contextualSpacing/>
              <w:jc w:val="left"/>
              <w:rPr>
                <w:rFonts w:ascii="宋体" w:hAnsi="宋体" w:cs="宋体"/>
                <w:color w:val="auto"/>
                <w:sz w:val="24"/>
                <w:highlight w:val="none"/>
              </w:rPr>
            </w:pPr>
          </w:p>
        </w:tc>
      </w:tr>
      <w:tr w14:paraId="23D40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14:paraId="733959BE">
            <w:pPr>
              <w:spacing w:line="360" w:lineRule="auto"/>
              <w:jc w:val="center"/>
              <w:rPr>
                <w:rFonts w:ascii="宋体" w:hAnsi="宋体" w:cs="宋体"/>
                <w:b/>
                <w:color w:val="auto"/>
                <w:szCs w:val="21"/>
                <w:highlight w:val="none"/>
              </w:rPr>
            </w:pPr>
          </w:p>
        </w:tc>
        <w:tc>
          <w:tcPr>
            <w:tcW w:w="3614" w:type="dxa"/>
            <w:tcBorders>
              <w:top w:val="single" w:color="auto" w:sz="4" w:space="0"/>
              <w:left w:val="single" w:color="auto" w:sz="4" w:space="0"/>
              <w:bottom w:val="single" w:color="auto" w:sz="4" w:space="0"/>
              <w:right w:val="single" w:color="auto" w:sz="4" w:space="0"/>
            </w:tcBorders>
            <w:vAlign w:val="center"/>
          </w:tcPr>
          <w:p w14:paraId="3F538C46">
            <w:pPr>
              <w:widowControl/>
              <w:spacing w:line="360" w:lineRule="auto"/>
              <w:jc w:val="left"/>
              <w:rPr>
                <w:rFonts w:ascii="宋体" w:hAnsi="宋体" w:cs="宋体"/>
                <w:color w:val="auto"/>
                <w:szCs w:val="21"/>
                <w:highlight w:val="none"/>
              </w:rPr>
            </w:pPr>
          </w:p>
        </w:tc>
        <w:tc>
          <w:tcPr>
            <w:tcW w:w="3358" w:type="dxa"/>
            <w:tcBorders>
              <w:top w:val="single" w:color="auto" w:sz="4" w:space="0"/>
              <w:left w:val="single" w:color="auto" w:sz="4" w:space="0"/>
              <w:bottom w:val="single" w:color="auto" w:sz="4" w:space="0"/>
              <w:right w:val="single" w:color="auto" w:sz="4" w:space="0"/>
            </w:tcBorders>
            <w:vAlign w:val="center"/>
          </w:tcPr>
          <w:p w14:paraId="7B5F0F98">
            <w:pPr>
              <w:spacing w:line="360" w:lineRule="auto"/>
              <w:contextualSpacing/>
              <w:jc w:val="left"/>
              <w:rPr>
                <w:rFonts w:ascii="宋体" w:hAnsi="宋体" w:cs="宋体"/>
                <w:color w:val="auto"/>
                <w:sz w:val="24"/>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020FA549">
            <w:pPr>
              <w:spacing w:line="360" w:lineRule="auto"/>
              <w:contextualSpacing/>
              <w:jc w:val="left"/>
              <w:rPr>
                <w:rFonts w:ascii="宋体" w:hAnsi="宋体" w:cs="宋体"/>
                <w:color w:val="auto"/>
                <w:sz w:val="24"/>
                <w:highlight w:val="none"/>
              </w:rPr>
            </w:pPr>
          </w:p>
        </w:tc>
      </w:tr>
    </w:tbl>
    <w:p w14:paraId="072A1C99">
      <w:pPr>
        <w:pStyle w:val="11"/>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7C2393D">
      <w:pPr>
        <w:pStyle w:val="11"/>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1.说明：应对照磋商文件“第三章 采购需求”中的商务条款逐条作出明确响应，并作出偏离说明。</w:t>
      </w:r>
    </w:p>
    <w:p w14:paraId="30D9CB85">
      <w:pPr>
        <w:spacing w:line="360" w:lineRule="auto"/>
        <w:contextualSpacing/>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3B158FB9">
      <w:pPr>
        <w:spacing w:line="360" w:lineRule="auto"/>
        <w:ind w:right="-817" w:rightChars="-389"/>
        <w:contextualSpacing/>
        <w:rPr>
          <w:rFonts w:ascii="宋体" w:hAnsi="宋体" w:cs="宋体"/>
          <w:color w:val="auto"/>
          <w:sz w:val="24"/>
          <w:highlight w:val="none"/>
        </w:rPr>
      </w:pPr>
    </w:p>
    <w:p w14:paraId="2F3564C2">
      <w:pPr>
        <w:spacing w:line="360" w:lineRule="auto"/>
        <w:ind w:right="-817" w:rightChars="-389"/>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16800DA1">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4A2B93B7">
      <w:pPr>
        <w:spacing w:line="360" w:lineRule="auto"/>
        <w:ind w:right="-817" w:rightChars="-389" w:firstLine="4080" w:firstLineChars="1700"/>
        <w:contextualSpacing/>
        <w:rPr>
          <w:rFonts w:ascii="宋体" w:hAnsi="宋体" w:cs="宋体"/>
          <w:bCs/>
          <w:color w:val="auto"/>
          <w:sz w:val="44"/>
          <w:szCs w:val="44"/>
          <w:highlight w:val="none"/>
        </w:rPr>
      </w:pPr>
      <w:r>
        <w:rPr>
          <w:rFonts w:hint="eastAsia" w:ascii="宋体" w:hAnsi="宋体" w:cs="宋体"/>
          <w:color w:val="auto"/>
          <w:sz w:val="24"/>
          <w:highlight w:val="none"/>
        </w:rPr>
        <w:t>日期：   年   月   日</w:t>
      </w:r>
    </w:p>
    <w:p w14:paraId="4230C29B">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p>
    <w:p w14:paraId="0C7738C3">
      <w:pPr>
        <w:spacing w:line="500" w:lineRule="exact"/>
        <w:jc w:val="center"/>
        <w:rPr>
          <w:rFonts w:ascii="方正小标宋简体" w:hAnsi="方正小标宋简体" w:eastAsia="方正小标宋简体" w:cs="方正小标宋简体"/>
          <w:bCs/>
          <w:color w:val="auto"/>
          <w:sz w:val="44"/>
          <w:szCs w:val="44"/>
          <w:highlight w:val="none"/>
        </w:rPr>
      </w:pPr>
    </w:p>
    <w:p w14:paraId="6532ADD8">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技术需求偏离表</w:t>
      </w:r>
    </w:p>
    <w:p w14:paraId="347E823B">
      <w:pPr>
        <w:spacing w:line="360" w:lineRule="auto"/>
        <w:contextualSpacing/>
        <w:rPr>
          <w:rFonts w:ascii="宋体" w:hAnsi="宋体" w:cs="宋体"/>
          <w:color w:val="auto"/>
          <w:sz w:val="24"/>
          <w:highlight w:val="none"/>
        </w:rPr>
      </w:pPr>
    </w:p>
    <w:p w14:paraId="3DCC6EDD">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558BBEA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68AEBD54">
      <w:pPr>
        <w:pStyle w:val="52"/>
        <w:rPr>
          <w:color w:val="auto"/>
          <w:highlight w:val="none"/>
        </w:rPr>
      </w:pPr>
    </w:p>
    <w:tbl>
      <w:tblPr>
        <w:tblStyle w:val="29"/>
        <w:tblW w:w="90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9"/>
        <w:gridCol w:w="909"/>
        <w:gridCol w:w="3019"/>
        <w:gridCol w:w="2717"/>
        <w:gridCol w:w="1482"/>
      </w:tblGrid>
      <w:tr w14:paraId="1DAD88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9" w:type="dxa"/>
            <w:noWrap/>
            <w:vAlign w:val="center"/>
          </w:tcPr>
          <w:p w14:paraId="2A83B98E">
            <w:pPr>
              <w:pStyle w:val="13"/>
              <w:spacing w:line="360" w:lineRule="auto"/>
              <w:ind w:firstLine="0" w:firstLineChars="0"/>
              <w:contextualSpacing/>
              <w:jc w:val="center"/>
              <w:rPr>
                <w:rFonts w:ascii="宋体" w:hAnsi="宋体" w:eastAsia="宋体" w:cs="仿宋_GB2312"/>
                <w:color w:val="auto"/>
                <w:kern w:val="2"/>
                <w:sz w:val="24"/>
                <w:szCs w:val="24"/>
                <w:highlight w:val="none"/>
              </w:rPr>
            </w:pPr>
            <w:bookmarkStart w:id="94" w:name="_Toc254970729"/>
            <w:bookmarkStart w:id="95" w:name="_Toc301781611"/>
            <w:bookmarkStart w:id="96" w:name="_Toc297193185"/>
            <w:bookmarkStart w:id="97" w:name="_Toc373333689"/>
            <w:bookmarkStart w:id="98" w:name="_Toc173066401"/>
            <w:bookmarkStart w:id="99" w:name="_Toc295404981"/>
            <w:bookmarkStart w:id="100" w:name="_Toc254970588"/>
            <w:bookmarkStart w:id="101" w:name="_Toc383699906"/>
            <w:bookmarkStart w:id="102" w:name="_Toc173211900"/>
            <w:r>
              <w:rPr>
                <w:rFonts w:hint="eastAsia" w:ascii="宋体" w:hAnsi="宋体" w:eastAsia="宋体" w:cs="仿宋_GB2312"/>
                <w:color w:val="auto"/>
                <w:kern w:val="2"/>
                <w:sz w:val="24"/>
                <w:szCs w:val="24"/>
                <w:highlight w:val="none"/>
              </w:rPr>
              <w:t>序号</w:t>
            </w:r>
            <w:bookmarkEnd w:id="94"/>
            <w:bookmarkEnd w:id="95"/>
            <w:bookmarkEnd w:id="96"/>
            <w:bookmarkEnd w:id="97"/>
            <w:bookmarkEnd w:id="98"/>
            <w:bookmarkEnd w:id="99"/>
            <w:bookmarkEnd w:id="100"/>
            <w:bookmarkEnd w:id="101"/>
            <w:bookmarkEnd w:id="102"/>
          </w:p>
        </w:tc>
        <w:tc>
          <w:tcPr>
            <w:tcW w:w="909" w:type="dxa"/>
            <w:tcBorders>
              <w:right w:val="single" w:color="auto" w:sz="4" w:space="0"/>
            </w:tcBorders>
            <w:noWrap/>
            <w:vAlign w:val="center"/>
          </w:tcPr>
          <w:p w14:paraId="450A3C64">
            <w:pPr>
              <w:pStyle w:val="13"/>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019" w:type="dxa"/>
            <w:tcBorders>
              <w:left w:val="single" w:color="auto" w:sz="4" w:space="0"/>
            </w:tcBorders>
            <w:noWrap/>
            <w:vAlign w:val="center"/>
          </w:tcPr>
          <w:p w14:paraId="089E6447">
            <w:pPr>
              <w:pStyle w:val="13"/>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磋商文件项目需求及服务要求</w:t>
            </w:r>
          </w:p>
        </w:tc>
        <w:tc>
          <w:tcPr>
            <w:tcW w:w="2717" w:type="dxa"/>
            <w:noWrap/>
            <w:vAlign w:val="center"/>
          </w:tcPr>
          <w:p w14:paraId="41A0AC10">
            <w:pPr>
              <w:pStyle w:val="13"/>
              <w:spacing w:line="360" w:lineRule="auto"/>
              <w:ind w:firstLine="0" w:firstLineChars="0"/>
              <w:contextualSpacing/>
              <w:jc w:val="center"/>
              <w:rPr>
                <w:rFonts w:ascii="宋体" w:hAnsi="宋体" w:eastAsia="宋体" w:cs="仿宋_GB2312"/>
                <w:color w:val="auto"/>
                <w:kern w:val="2"/>
                <w:sz w:val="24"/>
                <w:szCs w:val="24"/>
                <w:highlight w:val="none"/>
              </w:rPr>
            </w:pPr>
            <w:bookmarkStart w:id="103" w:name="_Toc254970590"/>
            <w:bookmarkStart w:id="104" w:name="_Toc254970731"/>
            <w:bookmarkStart w:id="105" w:name="_Toc173211902"/>
            <w:bookmarkStart w:id="106" w:name="_Toc383699908"/>
            <w:bookmarkStart w:id="107" w:name="_Toc373333691"/>
            <w:bookmarkStart w:id="108" w:name="_Toc297193187"/>
            <w:bookmarkStart w:id="109" w:name="_Toc295404983"/>
            <w:bookmarkStart w:id="110" w:name="_Toc173066403"/>
            <w:bookmarkStart w:id="111" w:name="_Toc301781613"/>
            <w:r>
              <w:rPr>
                <w:rFonts w:hint="eastAsia" w:ascii="宋体" w:hAnsi="宋体" w:eastAsia="宋体" w:cs="仿宋_GB2312"/>
                <w:color w:val="auto"/>
                <w:kern w:val="2"/>
                <w:sz w:val="24"/>
                <w:szCs w:val="24"/>
                <w:highlight w:val="none"/>
              </w:rPr>
              <w:t>竞标响应</w:t>
            </w:r>
            <w:bookmarkEnd w:id="103"/>
            <w:bookmarkEnd w:id="104"/>
            <w:bookmarkEnd w:id="105"/>
            <w:bookmarkEnd w:id="106"/>
            <w:bookmarkEnd w:id="107"/>
            <w:bookmarkEnd w:id="108"/>
            <w:bookmarkEnd w:id="109"/>
            <w:bookmarkEnd w:id="110"/>
            <w:bookmarkEnd w:id="111"/>
          </w:p>
        </w:tc>
        <w:tc>
          <w:tcPr>
            <w:tcW w:w="1482" w:type="dxa"/>
            <w:noWrap/>
            <w:vAlign w:val="center"/>
          </w:tcPr>
          <w:p w14:paraId="1850A48A">
            <w:pPr>
              <w:pStyle w:val="13"/>
              <w:spacing w:line="360" w:lineRule="auto"/>
              <w:ind w:firstLine="0" w:firstLineChars="0"/>
              <w:contextualSpacing/>
              <w:jc w:val="center"/>
              <w:rPr>
                <w:rFonts w:ascii="宋体" w:hAnsi="宋体" w:eastAsia="宋体" w:cs="仿宋_GB2312"/>
                <w:color w:val="auto"/>
                <w:kern w:val="2"/>
                <w:sz w:val="24"/>
                <w:szCs w:val="24"/>
                <w:highlight w:val="none"/>
              </w:rPr>
            </w:pPr>
            <w:bookmarkStart w:id="112" w:name="_Toc297193188"/>
            <w:bookmarkStart w:id="113" w:name="_Toc295404984"/>
            <w:bookmarkStart w:id="114" w:name="_Toc254970732"/>
            <w:bookmarkStart w:id="115" w:name="_Toc383699909"/>
            <w:bookmarkStart w:id="116" w:name="_Toc373333692"/>
            <w:bookmarkStart w:id="117" w:name="_Toc254970591"/>
            <w:bookmarkStart w:id="118" w:name="_Toc173211903"/>
            <w:bookmarkStart w:id="119" w:name="_Toc173066404"/>
            <w:bookmarkStart w:id="120" w:name="_Toc301781614"/>
            <w:r>
              <w:rPr>
                <w:rFonts w:hint="eastAsia" w:ascii="宋体" w:hAnsi="宋体" w:eastAsia="宋体" w:cs="仿宋_GB2312"/>
                <w:color w:val="auto"/>
                <w:kern w:val="2"/>
                <w:sz w:val="24"/>
                <w:szCs w:val="24"/>
                <w:highlight w:val="none"/>
              </w:rPr>
              <w:t>偏离</w:t>
            </w:r>
            <w:bookmarkEnd w:id="112"/>
            <w:bookmarkEnd w:id="113"/>
            <w:bookmarkEnd w:id="114"/>
            <w:bookmarkEnd w:id="115"/>
            <w:bookmarkEnd w:id="116"/>
            <w:bookmarkEnd w:id="117"/>
            <w:bookmarkEnd w:id="118"/>
            <w:bookmarkEnd w:id="119"/>
            <w:bookmarkEnd w:id="120"/>
            <w:bookmarkStart w:id="121" w:name="_Toc173211904"/>
            <w:bookmarkStart w:id="122" w:name="_Toc295404985"/>
            <w:bookmarkStart w:id="123" w:name="_Toc383699910"/>
            <w:bookmarkStart w:id="124" w:name="_Toc173066405"/>
            <w:bookmarkStart w:id="125" w:name="_Toc297193189"/>
            <w:bookmarkStart w:id="126" w:name="_Toc254970733"/>
            <w:bookmarkStart w:id="127" w:name="_Toc301781615"/>
            <w:bookmarkStart w:id="128" w:name="_Toc254970592"/>
            <w:bookmarkStart w:id="129" w:name="_Toc373333693"/>
            <w:r>
              <w:rPr>
                <w:rFonts w:hint="eastAsia" w:ascii="宋体" w:hAnsi="宋体" w:eastAsia="宋体" w:cs="仿宋_GB2312"/>
                <w:color w:val="auto"/>
                <w:kern w:val="2"/>
                <w:sz w:val="24"/>
                <w:szCs w:val="24"/>
                <w:highlight w:val="none"/>
              </w:rPr>
              <w:t>说明</w:t>
            </w:r>
            <w:bookmarkEnd w:id="121"/>
            <w:bookmarkEnd w:id="122"/>
            <w:bookmarkEnd w:id="123"/>
            <w:bookmarkEnd w:id="124"/>
            <w:bookmarkEnd w:id="125"/>
            <w:bookmarkEnd w:id="126"/>
            <w:bookmarkEnd w:id="127"/>
            <w:bookmarkEnd w:id="128"/>
            <w:bookmarkEnd w:id="129"/>
          </w:p>
        </w:tc>
      </w:tr>
      <w:tr w14:paraId="4FD60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9" w:type="dxa"/>
            <w:noWrap/>
            <w:vAlign w:val="center"/>
          </w:tcPr>
          <w:p w14:paraId="1FE2C48A">
            <w:pPr>
              <w:pStyle w:val="13"/>
              <w:spacing w:line="360" w:lineRule="auto"/>
              <w:ind w:firstLine="0" w:firstLineChars="0"/>
              <w:contextualSpacing/>
              <w:jc w:val="center"/>
              <w:rPr>
                <w:rFonts w:ascii="宋体" w:hAnsi="宋体" w:eastAsia="宋体" w:cs="仿宋_GB2312"/>
                <w:color w:val="auto"/>
                <w:kern w:val="2"/>
                <w:sz w:val="24"/>
                <w:szCs w:val="24"/>
                <w:highlight w:val="none"/>
              </w:rPr>
            </w:pPr>
            <w:bookmarkStart w:id="130" w:name="_Toc173066406"/>
            <w:bookmarkStart w:id="131" w:name="_Toc383699911"/>
            <w:bookmarkStart w:id="132" w:name="_Toc254970734"/>
            <w:bookmarkStart w:id="133" w:name="_Toc297193190"/>
            <w:bookmarkStart w:id="134" w:name="_Toc295404986"/>
            <w:bookmarkStart w:id="135" w:name="_Toc301781616"/>
            <w:bookmarkStart w:id="136" w:name="_Toc254970593"/>
            <w:bookmarkStart w:id="137" w:name="_Toc173211905"/>
            <w:bookmarkStart w:id="138" w:name="_Toc373333694"/>
            <w:r>
              <w:rPr>
                <w:rFonts w:hint="eastAsia" w:ascii="宋体" w:hAnsi="宋体" w:eastAsia="宋体" w:cs="仿宋_GB2312"/>
                <w:color w:val="auto"/>
                <w:kern w:val="2"/>
                <w:sz w:val="24"/>
                <w:szCs w:val="24"/>
                <w:highlight w:val="none"/>
              </w:rPr>
              <w:t>1</w:t>
            </w:r>
            <w:bookmarkEnd w:id="130"/>
            <w:bookmarkEnd w:id="131"/>
            <w:bookmarkEnd w:id="132"/>
            <w:bookmarkEnd w:id="133"/>
            <w:bookmarkEnd w:id="134"/>
            <w:bookmarkEnd w:id="135"/>
            <w:bookmarkEnd w:id="136"/>
            <w:bookmarkEnd w:id="137"/>
            <w:bookmarkEnd w:id="138"/>
          </w:p>
        </w:tc>
        <w:tc>
          <w:tcPr>
            <w:tcW w:w="909" w:type="dxa"/>
            <w:tcBorders>
              <w:right w:val="single" w:color="auto" w:sz="4" w:space="0"/>
            </w:tcBorders>
            <w:noWrap/>
            <w:vAlign w:val="center"/>
          </w:tcPr>
          <w:p w14:paraId="32378C7A">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19" w:type="dxa"/>
            <w:tcBorders>
              <w:left w:val="single" w:color="auto" w:sz="4" w:space="0"/>
            </w:tcBorders>
            <w:noWrap/>
            <w:vAlign w:val="center"/>
          </w:tcPr>
          <w:p w14:paraId="2DDCBF9B">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17" w:type="dxa"/>
            <w:noWrap/>
            <w:vAlign w:val="center"/>
          </w:tcPr>
          <w:p w14:paraId="3A70B756">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82" w:type="dxa"/>
            <w:noWrap/>
            <w:vAlign w:val="center"/>
          </w:tcPr>
          <w:p w14:paraId="3122DA39">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r>
      <w:tr w14:paraId="4C8E1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9" w:type="dxa"/>
            <w:noWrap/>
            <w:vAlign w:val="center"/>
          </w:tcPr>
          <w:p w14:paraId="1882A2AF">
            <w:pPr>
              <w:pStyle w:val="13"/>
              <w:spacing w:line="360" w:lineRule="auto"/>
              <w:ind w:firstLine="0" w:firstLineChars="0"/>
              <w:contextualSpacing/>
              <w:jc w:val="center"/>
              <w:rPr>
                <w:rFonts w:ascii="宋体" w:hAnsi="宋体" w:eastAsia="宋体" w:cs="仿宋_GB2312"/>
                <w:color w:val="auto"/>
                <w:kern w:val="2"/>
                <w:sz w:val="24"/>
                <w:szCs w:val="24"/>
                <w:highlight w:val="none"/>
              </w:rPr>
            </w:pPr>
            <w:bookmarkStart w:id="139" w:name="_Toc254970735"/>
            <w:bookmarkStart w:id="140" w:name="_Toc373333695"/>
            <w:bookmarkStart w:id="141" w:name="_Toc297193191"/>
            <w:bookmarkStart w:id="142" w:name="_Toc383699912"/>
            <w:bookmarkStart w:id="143" w:name="_Toc173211906"/>
            <w:bookmarkStart w:id="144" w:name="_Toc173066407"/>
            <w:bookmarkStart w:id="145" w:name="_Toc254970594"/>
            <w:bookmarkStart w:id="146" w:name="_Toc295404987"/>
            <w:bookmarkStart w:id="147" w:name="_Toc301781617"/>
            <w:r>
              <w:rPr>
                <w:rFonts w:hint="eastAsia" w:ascii="宋体" w:hAnsi="宋体" w:eastAsia="宋体" w:cs="仿宋_GB2312"/>
                <w:color w:val="auto"/>
                <w:kern w:val="2"/>
                <w:sz w:val="24"/>
                <w:szCs w:val="24"/>
                <w:highlight w:val="none"/>
              </w:rPr>
              <w:t>2</w:t>
            </w:r>
            <w:bookmarkEnd w:id="139"/>
            <w:bookmarkEnd w:id="140"/>
            <w:bookmarkEnd w:id="141"/>
            <w:bookmarkEnd w:id="142"/>
            <w:bookmarkEnd w:id="143"/>
            <w:bookmarkEnd w:id="144"/>
            <w:bookmarkEnd w:id="145"/>
            <w:bookmarkEnd w:id="146"/>
            <w:bookmarkEnd w:id="147"/>
          </w:p>
        </w:tc>
        <w:tc>
          <w:tcPr>
            <w:tcW w:w="909" w:type="dxa"/>
            <w:tcBorders>
              <w:right w:val="single" w:color="auto" w:sz="4" w:space="0"/>
            </w:tcBorders>
            <w:noWrap/>
            <w:vAlign w:val="center"/>
          </w:tcPr>
          <w:p w14:paraId="16C96FD7">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19" w:type="dxa"/>
            <w:tcBorders>
              <w:left w:val="single" w:color="auto" w:sz="4" w:space="0"/>
            </w:tcBorders>
            <w:noWrap/>
            <w:vAlign w:val="center"/>
          </w:tcPr>
          <w:p w14:paraId="4A761AA1">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17" w:type="dxa"/>
            <w:noWrap/>
            <w:vAlign w:val="center"/>
          </w:tcPr>
          <w:p w14:paraId="483E47B2">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82" w:type="dxa"/>
            <w:noWrap/>
            <w:vAlign w:val="center"/>
          </w:tcPr>
          <w:p w14:paraId="50378AA1">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r>
      <w:tr w14:paraId="6D11E6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9" w:type="dxa"/>
            <w:noWrap/>
            <w:vAlign w:val="center"/>
          </w:tcPr>
          <w:p w14:paraId="2D0276C8">
            <w:pPr>
              <w:pStyle w:val="13"/>
              <w:spacing w:line="360" w:lineRule="auto"/>
              <w:ind w:firstLine="0" w:firstLineChars="0"/>
              <w:contextualSpacing/>
              <w:jc w:val="center"/>
              <w:rPr>
                <w:rFonts w:ascii="宋体" w:hAnsi="宋体" w:eastAsia="宋体" w:cs="仿宋_GB2312"/>
                <w:color w:val="auto"/>
                <w:kern w:val="2"/>
                <w:sz w:val="24"/>
                <w:szCs w:val="24"/>
                <w:highlight w:val="none"/>
              </w:rPr>
            </w:pPr>
            <w:bookmarkStart w:id="148" w:name="_Toc383699913"/>
            <w:bookmarkStart w:id="149" w:name="_Toc301781618"/>
            <w:bookmarkStart w:id="150" w:name="_Toc173066408"/>
            <w:bookmarkStart w:id="151" w:name="_Toc254970736"/>
            <w:bookmarkStart w:id="152" w:name="_Toc254970595"/>
            <w:bookmarkStart w:id="153" w:name="_Toc173211907"/>
            <w:bookmarkStart w:id="154" w:name="_Toc295404988"/>
            <w:bookmarkStart w:id="155" w:name="_Toc373333696"/>
            <w:bookmarkStart w:id="156" w:name="_Toc297193192"/>
            <w:r>
              <w:rPr>
                <w:rFonts w:hint="eastAsia" w:ascii="宋体" w:hAnsi="宋体" w:eastAsia="宋体" w:cs="仿宋_GB2312"/>
                <w:color w:val="auto"/>
                <w:kern w:val="2"/>
                <w:sz w:val="24"/>
                <w:szCs w:val="24"/>
                <w:highlight w:val="none"/>
              </w:rPr>
              <w:t>3</w:t>
            </w:r>
            <w:bookmarkEnd w:id="148"/>
            <w:bookmarkEnd w:id="149"/>
            <w:bookmarkEnd w:id="150"/>
            <w:bookmarkEnd w:id="151"/>
            <w:bookmarkEnd w:id="152"/>
            <w:bookmarkEnd w:id="153"/>
            <w:bookmarkEnd w:id="154"/>
            <w:bookmarkEnd w:id="155"/>
            <w:bookmarkEnd w:id="156"/>
          </w:p>
        </w:tc>
        <w:tc>
          <w:tcPr>
            <w:tcW w:w="909" w:type="dxa"/>
            <w:tcBorders>
              <w:right w:val="single" w:color="auto" w:sz="4" w:space="0"/>
            </w:tcBorders>
            <w:noWrap/>
            <w:vAlign w:val="center"/>
          </w:tcPr>
          <w:p w14:paraId="3676E4BC">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19" w:type="dxa"/>
            <w:tcBorders>
              <w:left w:val="single" w:color="auto" w:sz="4" w:space="0"/>
            </w:tcBorders>
            <w:noWrap/>
            <w:vAlign w:val="center"/>
          </w:tcPr>
          <w:p w14:paraId="18678F6B">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17" w:type="dxa"/>
            <w:noWrap/>
            <w:vAlign w:val="center"/>
          </w:tcPr>
          <w:p w14:paraId="17C40849">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82" w:type="dxa"/>
            <w:noWrap/>
            <w:vAlign w:val="center"/>
          </w:tcPr>
          <w:p w14:paraId="1B02CA45">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r>
      <w:tr w14:paraId="31A211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9" w:type="dxa"/>
            <w:noWrap/>
            <w:vAlign w:val="center"/>
          </w:tcPr>
          <w:p w14:paraId="3D719CAB">
            <w:pPr>
              <w:pStyle w:val="13"/>
              <w:spacing w:line="360" w:lineRule="auto"/>
              <w:ind w:firstLine="0" w:firstLineChars="0"/>
              <w:contextualSpacing/>
              <w:jc w:val="center"/>
              <w:rPr>
                <w:rFonts w:ascii="宋体" w:hAnsi="宋体" w:eastAsia="宋体" w:cs="仿宋_GB2312"/>
                <w:color w:val="auto"/>
                <w:kern w:val="2"/>
                <w:sz w:val="24"/>
                <w:szCs w:val="24"/>
                <w:highlight w:val="none"/>
              </w:rPr>
            </w:pPr>
            <w:bookmarkStart w:id="157" w:name="_Toc295404989"/>
            <w:bookmarkStart w:id="158" w:name="_Toc173211908"/>
            <w:bookmarkStart w:id="159" w:name="_Toc297193193"/>
            <w:bookmarkStart w:id="160" w:name="_Toc254970737"/>
            <w:bookmarkStart w:id="161" w:name="_Toc173066409"/>
            <w:bookmarkStart w:id="162" w:name="_Toc373333697"/>
            <w:bookmarkStart w:id="163" w:name="_Toc254970596"/>
            <w:bookmarkStart w:id="164" w:name="_Toc301781619"/>
            <w:bookmarkStart w:id="165" w:name="_Toc383699914"/>
            <w:r>
              <w:rPr>
                <w:rFonts w:hint="eastAsia" w:ascii="宋体" w:hAnsi="宋体" w:eastAsia="宋体" w:cs="仿宋_GB2312"/>
                <w:color w:val="auto"/>
                <w:kern w:val="2"/>
                <w:sz w:val="24"/>
                <w:szCs w:val="24"/>
                <w:highlight w:val="none"/>
              </w:rPr>
              <w:t>4</w:t>
            </w:r>
            <w:bookmarkEnd w:id="157"/>
            <w:bookmarkEnd w:id="158"/>
            <w:bookmarkEnd w:id="159"/>
            <w:bookmarkEnd w:id="160"/>
            <w:bookmarkEnd w:id="161"/>
            <w:bookmarkEnd w:id="162"/>
            <w:bookmarkEnd w:id="163"/>
            <w:bookmarkEnd w:id="164"/>
            <w:bookmarkEnd w:id="165"/>
          </w:p>
        </w:tc>
        <w:tc>
          <w:tcPr>
            <w:tcW w:w="909" w:type="dxa"/>
            <w:tcBorders>
              <w:right w:val="single" w:color="auto" w:sz="4" w:space="0"/>
            </w:tcBorders>
            <w:noWrap/>
            <w:vAlign w:val="center"/>
          </w:tcPr>
          <w:p w14:paraId="5C841A78">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19" w:type="dxa"/>
            <w:tcBorders>
              <w:left w:val="single" w:color="auto" w:sz="4" w:space="0"/>
            </w:tcBorders>
            <w:noWrap/>
            <w:vAlign w:val="center"/>
          </w:tcPr>
          <w:p w14:paraId="1AB4D7AC">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17" w:type="dxa"/>
            <w:noWrap/>
            <w:vAlign w:val="center"/>
          </w:tcPr>
          <w:p w14:paraId="74E4046C">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82" w:type="dxa"/>
            <w:noWrap/>
            <w:vAlign w:val="center"/>
          </w:tcPr>
          <w:p w14:paraId="7351D9E7">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r>
      <w:tr w14:paraId="3D0D8B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9" w:type="dxa"/>
            <w:noWrap/>
            <w:vAlign w:val="center"/>
          </w:tcPr>
          <w:p w14:paraId="20742865">
            <w:pPr>
              <w:pStyle w:val="13"/>
              <w:spacing w:line="360" w:lineRule="auto"/>
              <w:ind w:firstLine="0" w:firstLineChars="0"/>
              <w:contextualSpacing/>
              <w:jc w:val="center"/>
              <w:rPr>
                <w:rFonts w:ascii="宋体" w:hAnsi="宋体" w:eastAsia="宋体" w:cs="仿宋_GB2312"/>
                <w:color w:val="auto"/>
                <w:kern w:val="2"/>
                <w:sz w:val="24"/>
                <w:szCs w:val="24"/>
                <w:highlight w:val="none"/>
              </w:rPr>
            </w:pPr>
            <w:bookmarkStart w:id="166" w:name="_Toc173066410"/>
            <w:bookmarkStart w:id="167" w:name="_Toc383699915"/>
            <w:bookmarkStart w:id="168" w:name="_Toc254970738"/>
            <w:bookmarkStart w:id="169" w:name="_Toc173211909"/>
            <w:bookmarkStart w:id="170" w:name="_Toc297193194"/>
            <w:bookmarkStart w:id="171" w:name="_Toc373333698"/>
            <w:bookmarkStart w:id="172" w:name="_Toc295404990"/>
            <w:bookmarkStart w:id="173" w:name="_Toc254970597"/>
            <w:bookmarkStart w:id="174" w:name="_Toc301781620"/>
            <w:r>
              <w:rPr>
                <w:rFonts w:hint="eastAsia" w:ascii="宋体" w:hAnsi="宋体" w:eastAsia="宋体" w:cs="仿宋_GB2312"/>
                <w:color w:val="auto"/>
                <w:kern w:val="2"/>
                <w:sz w:val="24"/>
                <w:szCs w:val="24"/>
                <w:highlight w:val="none"/>
              </w:rPr>
              <w:t>5</w:t>
            </w:r>
            <w:bookmarkEnd w:id="166"/>
            <w:bookmarkEnd w:id="167"/>
            <w:bookmarkEnd w:id="168"/>
            <w:bookmarkEnd w:id="169"/>
            <w:bookmarkEnd w:id="170"/>
            <w:bookmarkEnd w:id="171"/>
            <w:bookmarkEnd w:id="172"/>
            <w:bookmarkEnd w:id="173"/>
            <w:bookmarkEnd w:id="174"/>
          </w:p>
        </w:tc>
        <w:tc>
          <w:tcPr>
            <w:tcW w:w="909" w:type="dxa"/>
            <w:tcBorders>
              <w:right w:val="single" w:color="auto" w:sz="4" w:space="0"/>
            </w:tcBorders>
            <w:noWrap/>
            <w:vAlign w:val="center"/>
          </w:tcPr>
          <w:p w14:paraId="5A75A83E">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19" w:type="dxa"/>
            <w:tcBorders>
              <w:left w:val="single" w:color="auto" w:sz="4" w:space="0"/>
            </w:tcBorders>
            <w:noWrap/>
            <w:vAlign w:val="center"/>
          </w:tcPr>
          <w:p w14:paraId="701E6F2B">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17" w:type="dxa"/>
            <w:noWrap/>
            <w:vAlign w:val="center"/>
          </w:tcPr>
          <w:p w14:paraId="157D0966">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82" w:type="dxa"/>
            <w:noWrap/>
            <w:vAlign w:val="center"/>
          </w:tcPr>
          <w:p w14:paraId="796644D5">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r>
      <w:tr w14:paraId="176F1B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9" w:type="dxa"/>
            <w:noWrap/>
            <w:vAlign w:val="center"/>
          </w:tcPr>
          <w:p w14:paraId="57B0B6DF">
            <w:pPr>
              <w:pStyle w:val="13"/>
              <w:spacing w:line="360" w:lineRule="auto"/>
              <w:ind w:firstLine="0" w:firstLineChars="0"/>
              <w:contextualSpacing/>
              <w:jc w:val="center"/>
              <w:rPr>
                <w:rFonts w:ascii="宋体" w:hAnsi="宋体" w:eastAsia="宋体" w:cs="仿宋_GB2312"/>
                <w:color w:val="auto"/>
                <w:kern w:val="2"/>
                <w:sz w:val="24"/>
                <w:szCs w:val="24"/>
                <w:highlight w:val="none"/>
              </w:rPr>
            </w:pPr>
            <w:bookmarkStart w:id="175" w:name="_Toc373333699"/>
            <w:bookmarkStart w:id="176" w:name="_Toc254970743"/>
            <w:bookmarkStart w:id="177" w:name="_Toc254970602"/>
            <w:bookmarkStart w:id="178" w:name="_Toc301781621"/>
            <w:bookmarkStart w:id="179" w:name="_Toc173211914"/>
            <w:bookmarkStart w:id="180" w:name="_Toc295404991"/>
            <w:bookmarkStart w:id="181" w:name="_Toc173066415"/>
            <w:bookmarkStart w:id="182" w:name="_Toc297193195"/>
            <w:bookmarkStart w:id="183" w:name="_Toc383699916"/>
            <w:r>
              <w:rPr>
                <w:rFonts w:hint="eastAsia" w:ascii="宋体" w:hAnsi="宋体" w:eastAsia="宋体" w:cs="仿宋_GB2312"/>
                <w:color w:val="auto"/>
                <w:kern w:val="2"/>
                <w:sz w:val="24"/>
                <w:szCs w:val="24"/>
                <w:highlight w:val="none"/>
              </w:rPr>
              <w:t>…</w:t>
            </w:r>
            <w:bookmarkEnd w:id="175"/>
            <w:bookmarkEnd w:id="176"/>
            <w:bookmarkEnd w:id="177"/>
            <w:bookmarkEnd w:id="178"/>
            <w:bookmarkEnd w:id="179"/>
            <w:bookmarkEnd w:id="180"/>
            <w:bookmarkEnd w:id="181"/>
            <w:bookmarkEnd w:id="182"/>
            <w:bookmarkEnd w:id="183"/>
          </w:p>
        </w:tc>
        <w:tc>
          <w:tcPr>
            <w:tcW w:w="909" w:type="dxa"/>
            <w:tcBorders>
              <w:right w:val="single" w:color="auto" w:sz="4" w:space="0"/>
            </w:tcBorders>
            <w:noWrap/>
            <w:vAlign w:val="center"/>
          </w:tcPr>
          <w:p w14:paraId="0316C868">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19" w:type="dxa"/>
            <w:tcBorders>
              <w:left w:val="single" w:color="auto" w:sz="4" w:space="0"/>
            </w:tcBorders>
            <w:noWrap/>
            <w:vAlign w:val="center"/>
          </w:tcPr>
          <w:p w14:paraId="7B0C708E">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17" w:type="dxa"/>
            <w:noWrap/>
            <w:vAlign w:val="center"/>
          </w:tcPr>
          <w:p w14:paraId="3787E54A">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82" w:type="dxa"/>
            <w:tcBorders>
              <w:right w:val="single" w:color="auto" w:sz="4" w:space="0"/>
            </w:tcBorders>
            <w:noWrap/>
            <w:vAlign w:val="center"/>
          </w:tcPr>
          <w:p w14:paraId="7AE429B3">
            <w:pPr>
              <w:pStyle w:val="13"/>
              <w:spacing w:line="360" w:lineRule="auto"/>
              <w:ind w:firstLine="0" w:firstLineChars="0"/>
              <w:contextualSpacing/>
              <w:jc w:val="center"/>
              <w:rPr>
                <w:rFonts w:ascii="宋体" w:hAnsi="宋体" w:eastAsia="宋体" w:cs="仿宋_GB2312"/>
                <w:color w:val="auto"/>
                <w:kern w:val="2"/>
                <w:sz w:val="24"/>
                <w:szCs w:val="24"/>
                <w:highlight w:val="none"/>
              </w:rPr>
            </w:pPr>
          </w:p>
        </w:tc>
      </w:tr>
    </w:tbl>
    <w:p w14:paraId="1933FE5D">
      <w:pPr>
        <w:pStyle w:val="13"/>
        <w:spacing w:line="360" w:lineRule="auto"/>
        <w:ind w:firstLine="0" w:firstLineChars="0"/>
        <w:contextualSpacing/>
        <w:rPr>
          <w:rFonts w:ascii="宋体" w:hAnsi="宋体" w:eastAsia="宋体" w:cs="宋体"/>
          <w:color w:val="auto"/>
          <w:sz w:val="24"/>
          <w:szCs w:val="24"/>
          <w:highlight w:val="none"/>
        </w:rPr>
      </w:pPr>
    </w:p>
    <w:p w14:paraId="236664EB">
      <w:pPr>
        <w:pStyle w:val="13"/>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D9468EB">
      <w:pPr>
        <w:pStyle w:val="13"/>
        <w:spacing w:line="360" w:lineRule="auto"/>
        <w:ind w:left="29" w:leftChars="-95" w:hanging="228" w:hangingChars="9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采购需求”中的</w:t>
      </w:r>
      <w:r>
        <w:rPr>
          <w:rFonts w:hint="eastAsia" w:ascii="宋体" w:hAnsi="宋体" w:eastAsia="宋体" w:cs="宋体"/>
          <w:b/>
          <w:bCs/>
          <w:color w:val="auto"/>
          <w:sz w:val="24"/>
          <w:szCs w:val="24"/>
          <w:highlight w:val="none"/>
        </w:rPr>
        <w:t>项目需求及服务要求</w:t>
      </w:r>
      <w:r>
        <w:rPr>
          <w:rFonts w:hint="eastAsia" w:ascii="宋体" w:hAnsi="宋体" w:eastAsia="宋体" w:cs="宋体"/>
          <w:color w:val="auto"/>
          <w:sz w:val="24"/>
          <w:szCs w:val="24"/>
          <w:highlight w:val="none"/>
        </w:rPr>
        <w:t>逐条作出明确响应，并作出偏离说明。</w:t>
      </w:r>
    </w:p>
    <w:p w14:paraId="1BC03765">
      <w:pPr>
        <w:pStyle w:val="13"/>
        <w:spacing w:line="360" w:lineRule="auto"/>
        <w:ind w:left="29" w:leftChars="-95" w:hanging="228" w:hangingChars="9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43C2AE8F">
      <w:pPr>
        <w:spacing w:line="360" w:lineRule="auto"/>
        <w:ind w:right="-817" w:rightChars="-389"/>
        <w:contextualSpacing/>
        <w:rPr>
          <w:rFonts w:ascii="宋体" w:hAnsi="宋体" w:cs="宋体"/>
          <w:color w:val="auto"/>
          <w:sz w:val="24"/>
          <w:highlight w:val="none"/>
        </w:rPr>
      </w:pPr>
    </w:p>
    <w:p w14:paraId="1B9748F1">
      <w:pPr>
        <w:wordWrap w:val="0"/>
        <w:spacing w:line="360" w:lineRule="auto"/>
        <w:ind w:right="-817" w:rightChars="-389"/>
        <w:contextualSpacing/>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z w:val="24"/>
          <w:highlight w:val="none"/>
          <w:lang w:val="en-US" w:eastAsia="zh-CN"/>
        </w:rPr>
        <w:t xml:space="preserve">           </w:t>
      </w:r>
    </w:p>
    <w:p w14:paraId="6BBF7F2C">
      <w:pPr>
        <w:keepNext w:val="0"/>
        <w:keepLines w:val="0"/>
        <w:pageBreakBefore w:val="0"/>
        <w:widowControl w:val="0"/>
        <w:kinsoku/>
        <w:wordWrap/>
        <w:overflowPunct/>
        <w:topLinePunct w:val="0"/>
        <w:autoSpaceDE/>
        <w:autoSpaceDN/>
        <w:bidi w:val="0"/>
        <w:adjustRightInd/>
        <w:snapToGrid/>
        <w:spacing w:line="360" w:lineRule="auto"/>
        <w:ind w:right="-817" w:rightChars="-389" w:firstLine="0" w:firstLineChars="0"/>
        <w:contextualSpacing/>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供应商（电子签章）：</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14:paraId="583F9D7A">
      <w:pPr>
        <w:spacing w:line="360" w:lineRule="auto"/>
        <w:ind w:right="-817" w:rightChars="-389" w:firstLine="4080" w:firstLineChars="1700"/>
        <w:contextualSpacing/>
        <w:jc w:val="right"/>
        <w:rPr>
          <w:rFonts w:ascii="宋体" w:hAnsi="宋体" w:cs="宋体"/>
          <w:color w:val="auto"/>
          <w:sz w:val="24"/>
          <w:highlight w:val="none"/>
        </w:rPr>
      </w:pPr>
      <w:r>
        <w:rPr>
          <w:rFonts w:hint="eastAsia" w:ascii="宋体" w:hAnsi="宋体" w:cs="宋体"/>
          <w:color w:val="auto"/>
          <w:sz w:val="24"/>
          <w:highlight w:val="none"/>
        </w:rPr>
        <w:t>日期：   年   月   日</w:t>
      </w:r>
    </w:p>
    <w:p w14:paraId="7E01CD56">
      <w:pPr>
        <w:snapToGrid w:val="0"/>
        <w:spacing w:before="156"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384B6DC3">
      <w:pPr>
        <w:snapToGrid w:val="0"/>
        <w:spacing w:before="156" w:beforeLines="50" w:after="50"/>
        <w:ind w:left="142"/>
        <w:jc w:val="left"/>
        <w:rPr>
          <w:rFonts w:ascii="宋体" w:hAnsi="宋体" w:cs="宋体"/>
          <w:b/>
          <w:color w:val="auto"/>
          <w:sz w:val="24"/>
          <w:highlight w:val="none"/>
        </w:rPr>
      </w:pPr>
    </w:p>
    <w:p w14:paraId="3B8AF6E2">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12CA564B">
      <w:pPr>
        <w:pStyle w:val="17"/>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tbl>
      <w:tblPr>
        <w:tblStyle w:val="29"/>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2692"/>
      </w:tblGrid>
      <w:tr w14:paraId="6C52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353DE07">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noWrap/>
            <w:vAlign w:val="center"/>
          </w:tcPr>
          <w:p w14:paraId="6A508C22">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noWrap/>
            <w:vAlign w:val="center"/>
          </w:tcPr>
          <w:p w14:paraId="7B0E501F">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noWrap/>
            <w:vAlign w:val="center"/>
          </w:tcPr>
          <w:p w14:paraId="05C721EB">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noWrap/>
            <w:vAlign w:val="center"/>
          </w:tcPr>
          <w:p w14:paraId="4066C1C0">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0AC004E8">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692" w:type="dxa"/>
            <w:noWrap/>
            <w:vAlign w:val="center"/>
          </w:tcPr>
          <w:p w14:paraId="05C53702">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09EB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noWrap/>
            <w:vAlign w:val="center"/>
          </w:tcPr>
          <w:p w14:paraId="0CF2674A">
            <w:pPr>
              <w:spacing w:line="360" w:lineRule="auto"/>
              <w:contextualSpacing/>
              <w:jc w:val="center"/>
              <w:rPr>
                <w:rFonts w:ascii="宋体" w:hAnsi="宋体" w:cs="宋体"/>
                <w:color w:val="auto"/>
                <w:sz w:val="24"/>
                <w:szCs w:val="20"/>
                <w:highlight w:val="none"/>
              </w:rPr>
            </w:pPr>
          </w:p>
        </w:tc>
        <w:tc>
          <w:tcPr>
            <w:tcW w:w="709" w:type="dxa"/>
            <w:noWrap/>
            <w:vAlign w:val="center"/>
          </w:tcPr>
          <w:p w14:paraId="44B5DD58">
            <w:pPr>
              <w:spacing w:line="360" w:lineRule="auto"/>
              <w:contextualSpacing/>
              <w:jc w:val="center"/>
              <w:rPr>
                <w:rFonts w:ascii="宋体" w:hAnsi="宋体" w:cs="宋体"/>
                <w:color w:val="auto"/>
                <w:sz w:val="24"/>
                <w:szCs w:val="20"/>
                <w:highlight w:val="none"/>
              </w:rPr>
            </w:pPr>
          </w:p>
        </w:tc>
        <w:tc>
          <w:tcPr>
            <w:tcW w:w="1701" w:type="dxa"/>
            <w:noWrap/>
            <w:vAlign w:val="center"/>
          </w:tcPr>
          <w:p w14:paraId="65C578C2">
            <w:pPr>
              <w:spacing w:line="360" w:lineRule="auto"/>
              <w:contextualSpacing/>
              <w:jc w:val="center"/>
              <w:rPr>
                <w:rFonts w:ascii="宋体" w:hAnsi="宋体" w:cs="宋体"/>
                <w:color w:val="auto"/>
                <w:sz w:val="24"/>
                <w:szCs w:val="20"/>
                <w:highlight w:val="none"/>
              </w:rPr>
            </w:pPr>
          </w:p>
        </w:tc>
        <w:tc>
          <w:tcPr>
            <w:tcW w:w="1420" w:type="dxa"/>
            <w:noWrap/>
            <w:vAlign w:val="center"/>
          </w:tcPr>
          <w:p w14:paraId="586E7034">
            <w:pPr>
              <w:spacing w:line="360" w:lineRule="auto"/>
              <w:contextualSpacing/>
              <w:jc w:val="center"/>
              <w:rPr>
                <w:rFonts w:ascii="宋体" w:hAnsi="宋体" w:cs="宋体"/>
                <w:color w:val="auto"/>
                <w:sz w:val="24"/>
                <w:szCs w:val="20"/>
                <w:highlight w:val="none"/>
              </w:rPr>
            </w:pPr>
          </w:p>
        </w:tc>
        <w:tc>
          <w:tcPr>
            <w:tcW w:w="1698" w:type="dxa"/>
            <w:noWrap/>
            <w:vAlign w:val="center"/>
          </w:tcPr>
          <w:p w14:paraId="46A97092">
            <w:pPr>
              <w:spacing w:line="360" w:lineRule="auto"/>
              <w:contextualSpacing/>
              <w:jc w:val="center"/>
              <w:rPr>
                <w:rFonts w:ascii="宋体" w:hAnsi="宋体" w:cs="宋体"/>
                <w:color w:val="auto"/>
                <w:sz w:val="24"/>
                <w:szCs w:val="20"/>
                <w:highlight w:val="none"/>
              </w:rPr>
            </w:pPr>
          </w:p>
        </w:tc>
        <w:tc>
          <w:tcPr>
            <w:tcW w:w="2692" w:type="dxa"/>
            <w:noWrap/>
            <w:vAlign w:val="center"/>
          </w:tcPr>
          <w:p w14:paraId="50C9F71C">
            <w:pPr>
              <w:spacing w:line="360" w:lineRule="auto"/>
              <w:contextualSpacing/>
              <w:jc w:val="center"/>
              <w:rPr>
                <w:rFonts w:ascii="宋体" w:hAnsi="宋体" w:cs="宋体"/>
                <w:color w:val="auto"/>
                <w:sz w:val="24"/>
                <w:szCs w:val="20"/>
                <w:highlight w:val="none"/>
              </w:rPr>
            </w:pPr>
          </w:p>
        </w:tc>
      </w:tr>
      <w:tr w14:paraId="0E4D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noWrap/>
            <w:vAlign w:val="center"/>
          </w:tcPr>
          <w:p w14:paraId="47875B9C">
            <w:pPr>
              <w:spacing w:line="360" w:lineRule="auto"/>
              <w:contextualSpacing/>
              <w:jc w:val="center"/>
              <w:rPr>
                <w:rFonts w:ascii="宋体" w:hAnsi="宋体" w:cs="宋体"/>
                <w:color w:val="auto"/>
                <w:sz w:val="24"/>
                <w:szCs w:val="20"/>
                <w:highlight w:val="none"/>
              </w:rPr>
            </w:pPr>
          </w:p>
        </w:tc>
        <w:tc>
          <w:tcPr>
            <w:tcW w:w="709" w:type="dxa"/>
            <w:noWrap/>
            <w:vAlign w:val="center"/>
          </w:tcPr>
          <w:p w14:paraId="5D43BBF2">
            <w:pPr>
              <w:spacing w:line="360" w:lineRule="auto"/>
              <w:contextualSpacing/>
              <w:jc w:val="center"/>
              <w:rPr>
                <w:rFonts w:ascii="宋体" w:hAnsi="宋体" w:cs="宋体"/>
                <w:color w:val="auto"/>
                <w:sz w:val="24"/>
                <w:szCs w:val="20"/>
                <w:highlight w:val="none"/>
              </w:rPr>
            </w:pPr>
          </w:p>
        </w:tc>
        <w:tc>
          <w:tcPr>
            <w:tcW w:w="1701" w:type="dxa"/>
            <w:noWrap/>
            <w:vAlign w:val="center"/>
          </w:tcPr>
          <w:p w14:paraId="6CA40985">
            <w:pPr>
              <w:spacing w:line="360" w:lineRule="auto"/>
              <w:contextualSpacing/>
              <w:jc w:val="center"/>
              <w:rPr>
                <w:rFonts w:ascii="宋体" w:hAnsi="宋体" w:cs="宋体"/>
                <w:color w:val="auto"/>
                <w:sz w:val="24"/>
                <w:szCs w:val="20"/>
                <w:highlight w:val="none"/>
              </w:rPr>
            </w:pPr>
          </w:p>
        </w:tc>
        <w:tc>
          <w:tcPr>
            <w:tcW w:w="1420" w:type="dxa"/>
            <w:noWrap/>
            <w:vAlign w:val="center"/>
          </w:tcPr>
          <w:p w14:paraId="0F97A921">
            <w:pPr>
              <w:spacing w:line="360" w:lineRule="auto"/>
              <w:contextualSpacing/>
              <w:jc w:val="center"/>
              <w:rPr>
                <w:rFonts w:ascii="宋体" w:hAnsi="宋体" w:cs="宋体"/>
                <w:color w:val="auto"/>
                <w:sz w:val="24"/>
                <w:szCs w:val="20"/>
                <w:highlight w:val="none"/>
              </w:rPr>
            </w:pPr>
          </w:p>
        </w:tc>
        <w:tc>
          <w:tcPr>
            <w:tcW w:w="1698" w:type="dxa"/>
            <w:noWrap/>
            <w:vAlign w:val="center"/>
          </w:tcPr>
          <w:p w14:paraId="579C8305">
            <w:pPr>
              <w:spacing w:line="360" w:lineRule="auto"/>
              <w:contextualSpacing/>
              <w:jc w:val="center"/>
              <w:rPr>
                <w:rFonts w:ascii="宋体" w:hAnsi="宋体" w:cs="宋体"/>
                <w:color w:val="auto"/>
                <w:sz w:val="24"/>
                <w:szCs w:val="20"/>
                <w:highlight w:val="none"/>
              </w:rPr>
            </w:pPr>
          </w:p>
        </w:tc>
        <w:tc>
          <w:tcPr>
            <w:tcW w:w="2692" w:type="dxa"/>
            <w:noWrap/>
            <w:vAlign w:val="center"/>
          </w:tcPr>
          <w:p w14:paraId="4187234B">
            <w:pPr>
              <w:spacing w:line="360" w:lineRule="auto"/>
              <w:contextualSpacing/>
              <w:jc w:val="center"/>
              <w:rPr>
                <w:rFonts w:ascii="宋体" w:hAnsi="宋体" w:cs="宋体"/>
                <w:color w:val="auto"/>
                <w:sz w:val="24"/>
                <w:szCs w:val="20"/>
                <w:highlight w:val="none"/>
              </w:rPr>
            </w:pPr>
          </w:p>
        </w:tc>
      </w:tr>
      <w:tr w14:paraId="7A67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noWrap/>
            <w:vAlign w:val="center"/>
          </w:tcPr>
          <w:p w14:paraId="5BE4E78D">
            <w:pPr>
              <w:spacing w:line="360" w:lineRule="auto"/>
              <w:contextualSpacing/>
              <w:jc w:val="center"/>
              <w:rPr>
                <w:rFonts w:ascii="宋体" w:hAnsi="宋体" w:cs="宋体"/>
                <w:color w:val="auto"/>
                <w:sz w:val="24"/>
                <w:szCs w:val="20"/>
                <w:highlight w:val="none"/>
              </w:rPr>
            </w:pPr>
          </w:p>
        </w:tc>
        <w:tc>
          <w:tcPr>
            <w:tcW w:w="709" w:type="dxa"/>
            <w:noWrap/>
            <w:vAlign w:val="center"/>
          </w:tcPr>
          <w:p w14:paraId="1BB8D0BA">
            <w:pPr>
              <w:spacing w:line="360" w:lineRule="auto"/>
              <w:contextualSpacing/>
              <w:jc w:val="center"/>
              <w:rPr>
                <w:rFonts w:ascii="宋体" w:hAnsi="宋体" w:cs="宋体"/>
                <w:color w:val="auto"/>
                <w:sz w:val="24"/>
                <w:szCs w:val="20"/>
                <w:highlight w:val="none"/>
              </w:rPr>
            </w:pPr>
          </w:p>
        </w:tc>
        <w:tc>
          <w:tcPr>
            <w:tcW w:w="1701" w:type="dxa"/>
            <w:noWrap/>
            <w:vAlign w:val="center"/>
          </w:tcPr>
          <w:p w14:paraId="51CBB7D8">
            <w:pPr>
              <w:spacing w:line="360" w:lineRule="auto"/>
              <w:contextualSpacing/>
              <w:jc w:val="center"/>
              <w:rPr>
                <w:rFonts w:ascii="宋体" w:hAnsi="宋体" w:cs="宋体"/>
                <w:color w:val="auto"/>
                <w:sz w:val="24"/>
                <w:szCs w:val="20"/>
                <w:highlight w:val="none"/>
              </w:rPr>
            </w:pPr>
          </w:p>
        </w:tc>
        <w:tc>
          <w:tcPr>
            <w:tcW w:w="1420" w:type="dxa"/>
            <w:noWrap/>
            <w:vAlign w:val="center"/>
          </w:tcPr>
          <w:p w14:paraId="6C7465B7">
            <w:pPr>
              <w:spacing w:line="360" w:lineRule="auto"/>
              <w:contextualSpacing/>
              <w:jc w:val="center"/>
              <w:rPr>
                <w:rFonts w:ascii="宋体" w:hAnsi="宋体" w:cs="宋体"/>
                <w:color w:val="auto"/>
                <w:sz w:val="24"/>
                <w:szCs w:val="20"/>
                <w:highlight w:val="none"/>
              </w:rPr>
            </w:pPr>
          </w:p>
        </w:tc>
        <w:tc>
          <w:tcPr>
            <w:tcW w:w="1698" w:type="dxa"/>
            <w:noWrap/>
            <w:vAlign w:val="center"/>
          </w:tcPr>
          <w:p w14:paraId="29E5C60E">
            <w:pPr>
              <w:spacing w:line="360" w:lineRule="auto"/>
              <w:contextualSpacing/>
              <w:jc w:val="center"/>
              <w:rPr>
                <w:rFonts w:ascii="宋体" w:hAnsi="宋体" w:cs="宋体"/>
                <w:color w:val="auto"/>
                <w:sz w:val="24"/>
                <w:szCs w:val="20"/>
                <w:highlight w:val="none"/>
              </w:rPr>
            </w:pPr>
          </w:p>
        </w:tc>
        <w:tc>
          <w:tcPr>
            <w:tcW w:w="2692" w:type="dxa"/>
            <w:noWrap/>
            <w:vAlign w:val="center"/>
          </w:tcPr>
          <w:p w14:paraId="1E0E9FBA">
            <w:pPr>
              <w:spacing w:line="360" w:lineRule="auto"/>
              <w:contextualSpacing/>
              <w:jc w:val="center"/>
              <w:rPr>
                <w:rFonts w:ascii="宋体" w:hAnsi="宋体" w:cs="宋体"/>
                <w:color w:val="auto"/>
                <w:sz w:val="24"/>
                <w:szCs w:val="20"/>
                <w:highlight w:val="none"/>
              </w:rPr>
            </w:pPr>
          </w:p>
        </w:tc>
      </w:tr>
    </w:tbl>
    <w:p w14:paraId="549A9576">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22EA9B66">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1.在填写时，如本表格不适合供应商的实际情况，可根据本表格式自行制表填写。</w:t>
      </w:r>
    </w:p>
    <w:p w14:paraId="27395A1A">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2.供应商应当附本表所列证书的复印件并加盖供应商电子签章。</w:t>
      </w:r>
    </w:p>
    <w:p w14:paraId="2A8D4D85">
      <w:pPr>
        <w:spacing w:line="360" w:lineRule="auto"/>
        <w:contextualSpacing/>
        <w:rPr>
          <w:rFonts w:ascii="宋体" w:hAnsi="宋体" w:cs="宋体"/>
          <w:color w:val="auto"/>
          <w:sz w:val="24"/>
          <w:highlight w:val="none"/>
        </w:rPr>
      </w:pPr>
    </w:p>
    <w:p w14:paraId="0D168667">
      <w:pPr>
        <w:spacing w:line="360" w:lineRule="auto"/>
        <w:contextualSpacing/>
        <w:rPr>
          <w:rFonts w:ascii="宋体" w:hAnsi="宋体" w:cs="宋体"/>
          <w:color w:val="auto"/>
          <w:sz w:val="24"/>
          <w:highlight w:val="none"/>
        </w:rPr>
      </w:pPr>
    </w:p>
    <w:p w14:paraId="33A95CA8">
      <w:pPr>
        <w:spacing w:line="360" w:lineRule="auto"/>
        <w:contextualSpacing/>
        <w:jc w:val="center"/>
        <w:rPr>
          <w:rFonts w:ascii="宋体" w:hAnsi="宋体" w:cs="宋体"/>
          <w:color w:val="auto"/>
          <w:sz w:val="24"/>
          <w:highlight w:val="none"/>
        </w:rPr>
      </w:pPr>
    </w:p>
    <w:p w14:paraId="182864B4">
      <w:pPr>
        <w:spacing w:line="360" w:lineRule="auto"/>
        <w:contextualSpacing/>
        <w:jc w:val="center"/>
        <w:rPr>
          <w:rFonts w:ascii="宋体" w:hAnsi="宋体" w:cs="宋体"/>
          <w:color w:val="auto"/>
          <w:spacing w:val="20"/>
          <w:sz w:val="24"/>
          <w:szCs w:val="20"/>
          <w:highlight w:val="none"/>
          <w:u w:val="single"/>
        </w:rPr>
      </w:pPr>
      <w:r>
        <w:rPr>
          <w:rFonts w:hint="eastAsia" w:ascii="宋体" w:hAnsi="宋体" w:cs="宋体"/>
          <w:color w:val="auto"/>
          <w:spacing w:val="20"/>
          <w:sz w:val="24"/>
          <w:highlight w:val="none"/>
        </w:rPr>
        <w:t>法定代表人或者委托代理人（签字或者电子签名）：</w:t>
      </w:r>
    </w:p>
    <w:p w14:paraId="0919BF63">
      <w:pPr>
        <w:spacing w:line="360" w:lineRule="auto"/>
        <w:contextualSpacing/>
        <w:jc w:val="center"/>
        <w:rPr>
          <w:rFonts w:ascii="宋体" w:hAnsi="宋体" w:cs="宋体"/>
          <w:color w:val="auto"/>
          <w:spacing w:val="20"/>
          <w:sz w:val="24"/>
          <w:highlight w:val="none"/>
        </w:rPr>
      </w:pPr>
      <w:r>
        <w:rPr>
          <w:rFonts w:hint="eastAsia" w:ascii="宋体" w:hAnsi="宋体" w:cs="宋体"/>
          <w:color w:val="auto"/>
          <w:spacing w:val="20"/>
          <w:sz w:val="24"/>
          <w:highlight w:val="none"/>
        </w:rPr>
        <w:t xml:space="preserve">      供应商（电子签章）：</w:t>
      </w:r>
    </w:p>
    <w:p w14:paraId="45FDBB6F">
      <w:pPr>
        <w:spacing w:line="360" w:lineRule="auto"/>
        <w:contextualSpacing/>
        <w:jc w:val="center"/>
        <w:rPr>
          <w:rFonts w:ascii="宋体" w:hAnsi="宋体" w:cs="宋体"/>
          <w:color w:val="auto"/>
          <w:sz w:val="24"/>
          <w:szCs w:val="20"/>
          <w:highlight w:val="none"/>
        </w:rPr>
      </w:pPr>
      <w:r>
        <w:rPr>
          <w:rFonts w:hint="eastAsia" w:ascii="宋体" w:hAnsi="宋体" w:cs="宋体"/>
          <w:color w:val="auto"/>
          <w:spacing w:val="20"/>
          <w:sz w:val="24"/>
          <w:highlight w:val="none"/>
        </w:rPr>
        <w:t xml:space="preserve">                 日 期：</w:t>
      </w:r>
    </w:p>
    <w:p w14:paraId="00EB3E1A">
      <w:pPr>
        <w:snapToGrid w:val="0"/>
        <w:spacing w:before="50" w:after="156" w:afterLines="50"/>
        <w:jc w:val="left"/>
        <w:rPr>
          <w:rFonts w:ascii="宋体" w:hAnsi="宋体" w:cs="宋体"/>
          <w:color w:val="auto"/>
          <w:sz w:val="24"/>
          <w:szCs w:val="20"/>
          <w:highlight w:val="none"/>
        </w:rPr>
      </w:pPr>
    </w:p>
    <w:p w14:paraId="53CAAF27">
      <w:pPr>
        <w:snapToGrid w:val="0"/>
        <w:spacing w:before="50" w:after="50" w:line="360" w:lineRule="auto"/>
        <w:ind w:right="-817" w:rightChars="-389" w:firstLine="5461" w:firstLineChars="1700"/>
        <w:rPr>
          <w:rFonts w:ascii="宋体" w:hAnsi="宋体" w:cs="宋体"/>
          <w:b/>
          <w:color w:val="auto"/>
          <w:sz w:val="32"/>
          <w:szCs w:val="32"/>
          <w:highlight w:val="none"/>
        </w:rPr>
      </w:pPr>
    </w:p>
    <w:p w14:paraId="71572EE7">
      <w:pPr>
        <w:spacing w:line="300" w:lineRule="auto"/>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6226C749">
      <w:pPr>
        <w:jc w:val="center"/>
        <w:rPr>
          <w:rFonts w:ascii="宋体" w:hAnsi="宋体" w:cs="宋体"/>
          <w:color w:val="auto"/>
          <w:sz w:val="44"/>
          <w:szCs w:val="44"/>
          <w:highlight w:val="none"/>
        </w:rPr>
      </w:pPr>
      <w:bookmarkStart w:id="184" w:name="_Toc71365926"/>
    </w:p>
    <w:p w14:paraId="7405FA14">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bookmarkEnd w:id="184"/>
    </w:p>
    <w:p w14:paraId="3F7AF1D3">
      <w:pPr>
        <w:spacing w:before="2" w:line="500" w:lineRule="exact"/>
        <w:ind w:firstLine="708" w:firstLineChars="294"/>
        <w:rPr>
          <w:rFonts w:ascii="宋体" w:hAnsi="宋体" w:cs="宋体"/>
          <w:b/>
          <w:bCs/>
          <w:color w:val="auto"/>
          <w:sz w:val="24"/>
          <w:highlight w:val="none"/>
        </w:rPr>
      </w:pPr>
    </w:p>
    <w:p w14:paraId="5868F527">
      <w:pPr>
        <w:pStyle w:val="12"/>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49568736">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483A7D3">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CECD2FB">
      <w:pPr>
        <w:pStyle w:val="1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6C229CDB">
      <w:pPr>
        <w:pStyle w:val="1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2BCF14EE">
      <w:pPr>
        <w:pStyle w:val="12"/>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6A20EC4C">
      <w:pPr>
        <w:pStyle w:val="12"/>
        <w:spacing w:before="56" w:line="500" w:lineRule="exact"/>
        <w:ind w:right="1808"/>
        <w:rPr>
          <w:rFonts w:ascii="宋体" w:hAnsi="宋体" w:cs="宋体"/>
          <w:color w:val="auto"/>
          <w:sz w:val="24"/>
          <w:highlight w:val="none"/>
        </w:rPr>
      </w:pPr>
    </w:p>
    <w:p w14:paraId="1EC56E82">
      <w:pPr>
        <w:pStyle w:val="12"/>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righ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企业名称（章）：</w:t>
      </w:r>
      <w:r>
        <w:rPr>
          <w:rFonts w:hint="eastAsia" w:ascii="宋体" w:hAnsi="宋体" w:cs="宋体"/>
          <w:color w:val="auto"/>
          <w:sz w:val="24"/>
          <w:highlight w:val="none"/>
          <w:lang w:val="en-US" w:eastAsia="zh-CN"/>
        </w:rPr>
        <w:t xml:space="preserve">          </w:t>
      </w:r>
    </w:p>
    <w:p w14:paraId="018460A7">
      <w:pPr>
        <w:pStyle w:val="12"/>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righ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日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期</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p w14:paraId="547250B0">
      <w:pPr>
        <w:spacing w:line="520" w:lineRule="exact"/>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E34F7C4">
      <w:pPr>
        <w:spacing w:line="52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2C2042E5">
      <w:pPr>
        <w:spacing w:line="360" w:lineRule="auto"/>
        <w:contextualSpacing/>
        <w:rPr>
          <w:rFonts w:ascii="宋体" w:hAnsi="宋体" w:cs="宋体"/>
          <w:color w:val="auto"/>
          <w:sz w:val="32"/>
          <w:szCs w:val="32"/>
          <w:highlight w:val="none"/>
        </w:rPr>
      </w:pPr>
    </w:p>
    <w:p w14:paraId="38CE80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51C4E0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AC897E7">
      <w:pPr>
        <w:spacing w:line="360" w:lineRule="auto"/>
        <w:contextualSpacing/>
        <w:rPr>
          <w:rFonts w:ascii="宋体" w:hAnsi="宋体" w:cs="宋体"/>
          <w:color w:val="auto"/>
          <w:sz w:val="24"/>
          <w:highlight w:val="none"/>
        </w:rPr>
      </w:pPr>
    </w:p>
    <w:p w14:paraId="59CFCA9C">
      <w:pPr>
        <w:spacing w:line="360" w:lineRule="auto"/>
        <w:contextualSpacing/>
        <w:rPr>
          <w:rFonts w:ascii="宋体" w:hAnsi="宋体" w:cs="宋体"/>
          <w:color w:val="auto"/>
          <w:sz w:val="24"/>
          <w:highlight w:val="none"/>
        </w:rPr>
      </w:pPr>
    </w:p>
    <w:p w14:paraId="338062CA">
      <w:pPr>
        <w:spacing w:line="360" w:lineRule="auto"/>
        <w:contextualSpacing/>
        <w:rPr>
          <w:rFonts w:ascii="宋体" w:hAnsi="宋体" w:cs="宋体"/>
          <w:color w:val="auto"/>
          <w:sz w:val="24"/>
          <w:highlight w:val="none"/>
        </w:rPr>
      </w:pPr>
    </w:p>
    <w:p w14:paraId="1C8AFBEE">
      <w:pPr>
        <w:wordWrap w:val="0"/>
        <w:spacing w:line="360" w:lineRule="auto"/>
        <w:ind w:firstLine="2400" w:firstLineChars="1000"/>
        <w:contextualSpacing/>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单位名称（盖章）：</w:t>
      </w:r>
      <w:r>
        <w:rPr>
          <w:rFonts w:hint="eastAsia" w:ascii="宋体" w:hAnsi="宋体" w:cs="宋体"/>
          <w:color w:val="auto"/>
          <w:sz w:val="24"/>
          <w:highlight w:val="none"/>
          <w:lang w:val="en-US" w:eastAsia="zh-CN"/>
        </w:rPr>
        <w:t xml:space="preserve">            </w:t>
      </w:r>
    </w:p>
    <w:p w14:paraId="4AA5FD03">
      <w:pPr>
        <w:wordWrap w:val="0"/>
        <w:spacing w:line="360" w:lineRule="auto"/>
        <w:ind w:firstLine="3600" w:firstLineChars="1500"/>
        <w:contextualSpacing/>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日  期：</w:t>
      </w:r>
      <w:r>
        <w:rPr>
          <w:rFonts w:hint="eastAsia" w:ascii="宋体" w:hAnsi="宋体" w:cs="宋体"/>
          <w:color w:val="auto"/>
          <w:sz w:val="24"/>
          <w:highlight w:val="none"/>
          <w:lang w:val="en-US" w:eastAsia="zh-CN"/>
        </w:rPr>
        <w:t xml:space="preserve">            </w:t>
      </w:r>
    </w:p>
    <w:p w14:paraId="4E4AF1FE">
      <w:pPr>
        <w:spacing w:line="360" w:lineRule="auto"/>
        <w:contextualSpacing/>
        <w:rPr>
          <w:rFonts w:ascii="宋体" w:hAnsi="宋体" w:cs="宋体"/>
          <w:color w:val="auto"/>
          <w:sz w:val="24"/>
          <w:highlight w:val="none"/>
        </w:rPr>
      </w:pPr>
    </w:p>
    <w:p w14:paraId="63219998">
      <w:pPr>
        <w:spacing w:line="360" w:lineRule="auto"/>
        <w:contextualSpacing/>
        <w:rPr>
          <w:rFonts w:ascii="宋体" w:hAnsi="宋体" w:cs="宋体"/>
          <w:color w:val="auto"/>
          <w:sz w:val="24"/>
          <w:highlight w:val="none"/>
        </w:rPr>
      </w:pPr>
    </w:p>
    <w:p w14:paraId="783C1769">
      <w:pPr>
        <w:spacing w:line="360" w:lineRule="auto"/>
        <w:contextualSpacing/>
        <w:rPr>
          <w:rFonts w:ascii="宋体" w:hAnsi="宋体" w:cs="宋体"/>
          <w:color w:val="auto"/>
          <w:sz w:val="24"/>
          <w:highlight w:val="none"/>
        </w:rPr>
      </w:pPr>
    </w:p>
    <w:p w14:paraId="6C65F4C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3137A414">
      <w:pPr>
        <w:pStyle w:val="25"/>
        <w:shd w:val="clear" w:color="auto" w:fill="FFFFFF"/>
        <w:jc w:val="center"/>
        <w:rPr>
          <w:rFonts w:ascii="宋体" w:hAnsi="宋体" w:cs="宋体"/>
          <w:color w:val="auto"/>
          <w:highlight w:val="none"/>
        </w:rPr>
      </w:pPr>
      <w:r>
        <w:rPr>
          <w:rFonts w:hint="eastAsia" w:ascii="宋体" w:hAnsi="宋体" w:cs="宋体"/>
          <w:color w:val="auto"/>
          <w:highlight w:val="none"/>
        </w:rPr>
        <w:br w:type="page"/>
      </w:r>
    </w:p>
    <w:p w14:paraId="6771F503">
      <w:pPr>
        <w:pStyle w:val="25"/>
        <w:shd w:val="clear" w:color="auto" w:fill="FFFFFF"/>
        <w:jc w:val="center"/>
        <w:rPr>
          <w:rFonts w:ascii="宋体" w:hAnsi="宋体" w:cs="宋体"/>
          <w:color w:val="auto"/>
          <w:highlight w:val="none"/>
        </w:rPr>
      </w:pPr>
    </w:p>
    <w:p w14:paraId="33BA5928">
      <w:pPr>
        <w:pStyle w:val="25"/>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6BA0BF6D">
      <w:pPr>
        <w:widowControl/>
        <w:shd w:val="clear" w:color="auto" w:fill="FFFFFF"/>
        <w:spacing w:before="30" w:after="30"/>
        <w:ind w:firstLine="480"/>
        <w:jc w:val="left"/>
        <w:rPr>
          <w:rFonts w:ascii="宋体" w:hAnsi="宋体" w:cs="宋体"/>
          <w:color w:val="auto"/>
          <w:kern w:val="0"/>
          <w:sz w:val="24"/>
          <w:highlight w:val="none"/>
        </w:rPr>
      </w:pPr>
    </w:p>
    <w:p w14:paraId="3FB417D6">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35A4AECB">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（产品名称1）</w:t>
      </w:r>
      <w:r>
        <w:rPr>
          <w:rFonts w:hint="eastAsia" w:ascii="宋体" w:hAnsi="宋体" w:cs="宋体"/>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color w:val="auto"/>
          <w:kern w:val="0"/>
          <w:sz w:val="24"/>
          <w:highlight w:val="none"/>
          <w:u w:val="single"/>
        </w:rPr>
        <w:t>（厂名）</w:t>
      </w:r>
      <w:r>
        <w:rPr>
          <w:rFonts w:hint="eastAsia" w:ascii="宋体" w:hAnsi="宋体" w:cs="宋体"/>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（产品名称1）</w:t>
      </w:r>
      <w:r>
        <w:rPr>
          <w:rFonts w:hint="eastAsia" w:ascii="宋体" w:hAnsi="宋体" w:cs="宋体"/>
          <w:color w:val="auto"/>
          <w:kern w:val="0"/>
          <w:sz w:val="24"/>
          <w:highlight w:val="none"/>
        </w:rPr>
        <w:t>的中国境内生产的组件成本占比≥</w:t>
      </w:r>
      <w:r>
        <w:rPr>
          <w:rFonts w:hint="eastAsia" w:ascii="宋体" w:hAnsi="宋体" w:cs="宋体"/>
          <w:color w:val="auto"/>
          <w:kern w:val="0"/>
          <w:sz w:val="24"/>
          <w:highlight w:val="none"/>
          <w:u w:val="single"/>
        </w:rPr>
        <w:t>（规定比例）</w:t>
      </w:r>
      <w:r>
        <w:rPr>
          <w:rFonts w:hint="eastAsia" w:ascii="宋体" w:hAnsi="宋体" w:cs="宋体"/>
          <w:color w:val="auto"/>
          <w:kern w:val="0"/>
          <w:sz w:val="18"/>
          <w:szCs w:val="18"/>
          <w:highlight w:val="none"/>
          <w:u w:val="single"/>
          <w:vertAlign w:val="superscript"/>
        </w:rPr>
        <w:t>3</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color w:val="auto"/>
          <w:kern w:val="0"/>
          <w:sz w:val="24"/>
          <w:highlight w:val="none"/>
          <w:u w:val="single"/>
        </w:rPr>
        <w:t>（关键组件）</w:t>
      </w:r>
      <w:r>
        <w:rPr>
          <w:rFonts w:hint="eastAsia" w:ascii="宋体" w:hAnsi="宋体" w:cs="宋体"/>
          <w:color w:val="auto"/>
          <w:kern w:val="0"/>
          <w:sz w:val="18"/>
          <w:szCs w:val="18"/>
          <w:highlight w:val="none"/>
          <w:u w:val="single"/>
          <w:vertAlign w:val="superscript"/>
        </w:rPr>
        <w:t>4</w:t>
      </w:r>
      <w:r>
        <w:rPr>
          <w:rFonts w:hint="eastAsia" w:ascii="宋体" w:hAnsi="宋体" w:cs="宋体"/>
          <w:color w:val="auto"/>
          <w:kern w:val="0"/>
          <w:sz w:val="24"/>
          <w:highlight w:val="none"/>
        </w:rPr>
        <w:t>在中国境内生产。</w:t>
      </w:r>
      <w:r>
        <w:rPr>
          <w:rFonts w:hint="eastAsia" w:ascii="宋体" w:hAnsi="宋体" w:cs="宋体"/>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color w:val="auto"/>
          <w:kern w:val="0"/>
          <w:sz w:val="24"/>
          <w:highlight w:val="none"/>
          <w:u w:val="single"/>
        </w:rPr>
        <w:t>（关键工序）</w:t>
      </w:r>
      <w:r>
        <w:rPr>
          <w:rFonts w:hint="eastAsia" w:ascii="宋体" w:hAnsi="宋体" w:cs="宋体"/>
          <w:color w:val="auto"/>
          <w:kern w:val="0"/>
          <w:sz w:val="18"/>
          <w:szCs w:val="18"/>
          <w:highlight w:val="none"/>
          <w:u w:val="single"/>
          <w:vertAlign w:val="superscript"/>
        </w:rPr>
        <w:t>5</w:t>
      </w:r>
      <w:r>
        <w:rPr>
          <w:rFonts w:hint="eastAsia" w:ascii="宋体" w:hAnsi="宋体" w:cs="宋体"/>
          <w:color w:val="auto"/>
          <w:kern w:val="0"/>
          <w:sz w:val="24"/>
          <w:highlight w:val="none"/>
        </w:rPr>
        <w:t>在中国境内完成。</w:t>
      </w:r>
    </w:p>
    <w:p w14:paraId="1FA1DD4C">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rPr>
        <w:t>（产品名称2）</w:t>
      </w:r>
      <w:r>
        <w:rPr>
          <w:rFonts w:hint="eastAsia" w:ascii="宋体" w:hAnsi="宋体" w:cs="宋体"/>
          <w:color w:val="auto"/>
          <w:kern w:val="0"/>
          <w:sz w:val="24"/>
          <w:highlight w:val="none"/>
        </w:rPr>
        <w:t>，生产厂为</w:t>
      </w:r>
      <w:r>
        <w:rPr>
          <w:rFonts w:hint="eastAsia" w:ascii="宋体" w:hAnsi="宋体" w:cs="宋体"/>
          <w:color w:val="auto"/>
          <w:kern w:val="0"/>
          <w:sz w:val="24"/>
          <w:highlight w:val="none"/>
          <w:u w:val="single"/>
        </w:rPr>
        <w:t>（厂名）</w:t>
      </w:r>
      <w:r>
        <w:rPr>
          <w:rFonts w:hint="eastAsia" w:ascii="宋体" w:hAnsi="宋体" w:cs="宋体"/>
          <w:color w:val="auto"/>
          <w:kern w:val="0"/>
          <w:sz w:val="24"/>
          <w:highlight w:val="none"/>
        </w:rPr>
        <w:t>，厂址为</w:t>
      </w:r>
      <w:r>
        <w:rPr>
          <w:rFonts w:hint="eastAsia" w:ascii="宋体" w:hAnsi="宋体" w:cs="宋体"/>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（产品名称2）</w:t>
      </w:r>
      <w:r>
        <w:rPr>
          <w:rFonts w:hint="eastAsia" w:ascii="宋体" w:hAnsi="宋体" w:cs="宋体"/>
          <w:color w:val="auto"/>
          <w:kern w:val="0"/>
          <w:sz w:val="24"/>
          <w:highlight w:val="none"/>
        </w:rPr>
        <w:t>的中国境内生产的组件成本占比≥</w:t>
      </w:r>
      <w:r>
        <w:rPr>
          <w:rFonts w:hint="eastAsia" w:ascii="宋体" w:hAnsi="宋体" w:cs="宋体"/>
          <w:color w:val="auto"/>
          <w:kern w:val="0"/>
          <w:sz w:val="24"/>
          <w:highlight w:val="none"/>
          <w:u w:val="single"/>
        </w:rPr>
        <w:t>（规定比例）</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color w:val="auto"/>
          <w:kern w:val="0"/>
          <w:sz w:val="24"/>
          <w:highlight w:val="none"/>
          <w:u w:val="single"/>
        </w:rPr>
        <w:t>（关键组件）</w:t>
      </w:r>
      <w:r>
        <w:rPr>
          <w:rFonts w:hint="eastAsia" w:ascii="宋体" w:hAnsi="宋体" w:cs="宋体"/>
          <w:color w:val="auto"/>
          <w:kern w:val="0"/>
          <w:sz w:val="24"/>
          <w:highlight w:val="none"/>
        </w:rPr>
        <w:t>在中国境内生产。</w:t>
      </w:r>
      <w:r>
        <w:rPr>
          <w:rFonts w:hint="eastAsia" w:ascii="宋体" w:hAnsi="宋体" w:cs="宋体"/>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color w:val="auto"/>
          <w:kern w:val="0"/>
          <w:sz w:val="24"/>
          <w:highlight w:val="none"/>
          <w:u w:val="single"/>
        </w:rPr>
        <w:t>（关键工序）</w:t>
      </w:r>
      <w:r>
        <w:rPr>
          <w:rFonts w:hint="eastAsia" w:ascii="宋体" w:hAnsi="宋体" w:cs="宋体"/>
          <w:color w:val="auto"/>
          <w:kern w:val="0"/>
          <w:sz w:val="24"/>
          <w:highlight w:val="none"/>
        </w:rPr>
        <w:t>在中国境内完成。</w:t>
      </w:r>
    </w:p>
    <w:p w14:paraId="5C716B62">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3EBBF025">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2845B5E8">
      <w:pPr>
        <w:widowControl/>
        <w:shd w:val="clear" w:color="auto" w:fill="FFFFFF"/>
        <w:spacing w:before="30" w:after="30"/>
        <w:jc w:val="left"/>
        <w:rPr>
          <w:rFonts w:ascii="宋体" w:hAnsi="宋体" w:cs="宋体"/>
          <w:color w:val="auto"/>
          <w:kern w:val="0"/>
          <w:sz w:val="24"/>
          <w:highlight w:val="none"/>
        </w:rPr>
      </w:pPr>
    </w:p>
    <w:p w14:paraId="31F8CCD6">
      <w:pPr>
        <w:widowControl/>
        <w:shd w:val="clear" w:color="auto" w:fill="FFFFFF"/>
        <w:spacing w:before="30" w:after="30"/>
        <w:jc w:val="left"/>
        <w:rPr>
          <w:rFonts w:ascii="宋体" w:hAnsi="宋体" w:cs="宋体"/>
          <w:color w:val="auto"/>
          <w:kern w:val="0"/>
          <w:sz w:val="24"/>
          <w:highlight w:val="none"/>
        </w:rPr>
      </w:pPr>
    </w:p>
    <w:p w14:paraId="03DDFC2F">
      <w:pPr>
        <w:widowControl/>
        <w:shd w:val="clear" w:color="auto" w:fill="FFFFFF"/>
        <w:spacing w:before="30" w:after="30"/>
        <w:jc w:val="left"/>
        <w:rPr>
          <w:rFonts w:ascii="宋体" w:hAnsi="宋体" w:cs="宋体"/>
          <w:color w:val="auto"/>
          <w:kern w:val="0"/>
          <w:sz w:val="24"/>
          <w:highlight w:val="none"/>
        </w:rPr>
      </w:pPr>
    </w:p>
    <w:p w14:paraId="7480080F">
      <w:pPr>
        <w:wordWrap w:val="0"/>
        <w:spacing w:line="360" w:lineRule="auto"/>
        <w:ind w:firstLine="2400" w:firstLineChars="1000"/>
        <w:contextualSpacing/>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单位名称（盖章）：</w:t>
      </w:r>
      <w:r>
        <w:rPr>
          <w:rFonts w:hint="eastAsia" w:ascii="宋体" w:hAnsi="宋体" w:cs="宋体"/>
          <w:color w:val="auto"/>
          <w:sz w:val="24"/>
          <w:highlight w:val="none"/>
          <w:lang w:val="en-US" w:eastAsia="zh-CN"/>
        </w:rPr>
        <w:t xml:space="preserve">            </w:t>
      </w:r>
    </w:p>
    <w:p w14:paraId="3B5B3304">
      <w:pPr>
        <w:wordWrap w:val="0"/>
        <w:spacing w:line="360" w:lineRule="auto"/>
        <w:ind w:firstLine="3600" w:firstLineChars="1500"/>
        <w:contextualSpacing/>
        <w:jc w:val="right"/>
        <w:rPr>
          <w:rFonts w:hint="eastAsia" w:ascii="宋体" w:hAnsi="宋体" w:cs="宋体"/>
          <w:color w:val="auto"/>
          <w:sz w:val="24"/>
          <w:highlight w:val="none"/>
          <w:lang w:val="en-US" w:eastAsia="zh-CN"/>
        </w:rPr>
      </w:pPr>
      <w:r>
        <w:rPr>
          <w:rFonts w:hint="eastAsia" w:ascii="宋体" w:hAnsi="宋体" w:cs="宋体"/>
          <w:color w:val="auto"/>
          <w:sz w:val="24"/>
          <w:highlight w:val="none"/>
        </w:rPr>
        <w:t>日  期：</w:t>
      </w:r>
      <w:r>
        <w:rPr>
          <w:rFonts w:hint="eastAsia" w:ascii="宋体" w:hAnsi="宋体" w:cs="宋体"/>
          <w:color w:val="auto"/>
          <w:sz w:val="24"/>
          <w:highlight w:val="none"/>
          <w:lang w:val="en-US" w:eastAsia="zh-CN"/>
        </w:rPr>
        <w:t xml:space="preserve">            </w:t>
      </w:r>
    </w:p>
    <w:p w14:paraId="4D3A7AFA">
      <w:pPr>
        <w:wordWrap/>
        <w:spacing w:line="360" w:lineRule="auto"/>
        <w:ind w:firstLine="3600" w:firstLineChars="1500"/>
        <w:contextualSpacing/>
        <w:jc w:val="right"/>
        <w:rPr>
          <w:rFonts w:hint="eastAsia" w:ascii="宋体" w:hAnsi="宋体" w:cs="宋体"/>
          <w:color w:val="auto"/>
          <w:sz w:val="24"/>
          <w:highlight w:val="none"/>
          <w:lang w:val="en-US" w:eastAsia="zh-CN"/>
        </w:rPr>
      </w:pPr>
    </w:p>
    <w:p w14:paraId="0B3CF9E7">
      <w:pPr>
        <w:wordWrap/>
        <w:spacing w:line="360" w:lineRule="auto"/>
        <w:ind w:firstLine="3600" w:firstLineChars="1500"/>
        <w:contextualSpacing/>
        <w:jc w:val="right"/>
        <w:rPr>
          <w:rFonts w:hint="eastAsia" w:ascii="宋体" w:hAnsi="宋体" w:cs="宋体"/>
          <w:color w:val="auto"/>
          <w:sz w:val="24"/>
          <w:highlight w:val="none"/>
          <w:lang w:val="en-US" w:eastAsia="zh-CN"/>
        </w:rPr>
      </w:pPr>
    </w:p>
    <w:p w14:paraId="33E1C082">
      <w:pPr>
        <w:wordWrap/>
        <w:spacing w:line="360" w:lineRule="auto"/>
        <w:ind w:firstLine="3600" w:firstLineChars="1500"/>
        <w:contextualSpacing/>
        <w:jc w:val="right"/>
        <w:rPr>
          <w:rFonts w:hint="default" w:ascii="宋体" w:hAnsi="宋体" w:cs="宋体"/>
          <w:color w:val="auto"/>
          <w:sz w:val="24"/>
          <w:highlight w:val="none"/>
          <w:lang w:val="en-US" w:eastAsia="zh-CN"/>
        </w:rPr>
      </w:pPr>
    </w:p>
    <w:p w14:paraId="1DB46503">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79BCE647">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7069D96D">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15AC8FC9">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4FC86E62">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1C08B04C">
      <w:pPr>
        <w:widowControl/>
        <w:shd w:val="clear" w:color="auto" w:fill="FFFFFF"/>
        <w:ind w:firstLine="480"/>
        <w:jc w:val="left"/>
        <w:rPr>
          <w:rFonts w:ascii="宋体" w:hAnsi="宋体" w:cs="宋体"/>
          <w:color w:val="auto"/>
          <w:kern w:val="0"/>
          <w:szCs w:val="21"/>
          <w:highlight w:val="none"/>
        </w:rPr>
      </w:pPr>
    </w:p>
    <w:p w14:paraId="3F00EC4A">
      <w:pPr>
        <w:widowControl/>
        <w:shd w:val="clear" w:color="auto" w:fill="FFFFFF"/>
        <w:ind w:firstLine="480"/>
        <w:jc w:val="left"/>
        <w:rPr>
          <w:rFonts w:ascii="宋体" w:hAnsi="宋体" w:cs="宋体"/>
          <w:color w:val="auto"/>
          <w:kern w:val="0"/>
          <w:szCs w:val="21"/>
          <w:highlight w:val="none"/>
        </w:rPr>
      </w:pPr>
    </w:p>
    <w:p w14:paraId="44BC884B">
      <w:pPr>
        <w:widowControl/>
        <w:shd w:val="clear" w:color="auto" w:fill="FFFFFF"/>
        <w:ind w:firstLine="480"/>
        <w:jc w:val="left"/>
        <w:rPr>
          <w:rFonts w:ascii="宋体" w:hAnsi="宋体" w:cs="宋体"/>
          <w:color w:val="auto"/>
          <w:kern w:val="0"/>
          <w:szCs w:val="21"/>
          <w:highlight w:val="none"/>
        </w:rPr>
      </w:pPr>
    </w:p>
    <w:p w14:paraId="05F26D66">
      <w:pPr>
        <w:rPr>
          <w:rFonts w:ascii="宋体" w:hAnsi="宋体" w:cs="宋体"/>
          <w:b/>
          <w:color w:val="auto"/>
          <w:sz w:val="44"/>
          <w:szCs w:val="44"/>
          <w:highlight w:val="none"/>
        </w:rPr>
      </w:pPr>
      <w:r>
        <w:rPr>
          <w:rFonts w:hint="eastAsia" w:ascii="宋体" w:hAnsi="宋体" w:cs="宋体"/>
          <w:b/>
          <w:color w:val="auto"/>
          <w:sz w:val="44"/>
          <w:szCs w:val="44"/>
          <w:highlight w:val="none"/>
        </w:rPr>
        <w:br w:type="page"/>
      </w:r>
    </w:p>
    <w:p w14:paraId="30DB1D59">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宋体" w:hAnsi="宋体" w:cs="宋体"/>
          <w:b/>
          <w:color w:val="auto"/>
          <w:sz w:val="44"/>
          <w:szCs w:val="44"/>
          <w:highlight w:val="none"/>
        </w:rPr>
        <w:t>采购代理服务费承诺书</w:t>
      </w:r>
    </w:p>
    <w:p w14:paraId="10209B32">
      <w:pPr>
        <w:snapToGrid w:val="0"/>
        <w:spacing w:before="156" w:beforeLines="50" w:after="50"/>
        <w:jc w:val="center"/>
        <w:rPr>
          <w:rFonts w:ascii="宋体" w:hAnsi="宋体"/>
          <w:b/>
          <w:color w:val="auto"/>
          <w:sz w:val="24"/>
          <w:highlight w:val="none"/>
        </w:rPr>
      </w:pPr>
    </w:p>
    <w:p w14:paraId="282AA9D0">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云之龙咨询集团有限公司</w:t>
      </w:r>
    </w:p>
    <w:p w14:paraId="629C86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项目名称（项目编号）          </w:t>
      </w:r>
      <w:r>
        <w:rPr>
          <w:rFonts w:hint="eastAsia" w:ascii="宋体" w:hAnsi="宋体"/>
          <w:color w:val="auto"/>
          <w:sz w:val="24"/>
          <w:highlight w:val="none"/>
        </w:rPr>
        <w:t>项目，在此说明如下：</w:t>
      </w:r>
    </w:p>
    <w:p w14:paraId="1166DE3C">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1.我方承诺，若本单位成交，保证在发出成交通知书之后，按本项目竞争性磋商的规定标准向贵单位一次性足额支付采购代理服务费。</w:t>
      </w:r>
    </w:p>
    <w:p w14:paraId="348CA931">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种方式作为采购代理服务费开票类型：</w:t>
      </w:r>
    </w:p>
    <w:p w14:paraId="0EF33972">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69144FEC">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8469F9D">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23087CB">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5FB31E19">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C9B2FFA">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13515CF">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D2CFBA2">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0B822BE">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D90C013">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C437BAA">
      <w:pPr>
        <w:spacing w:line="440" w:lineRule="exact"/>
        <w:rPr>
          <w:rFonts w:ascii="宋体" w:hAnsi="宋体"/>
          <w:color w:val="auto"/>
          <w:sz w:val="24"/>
          <w:highlight w:val="none"/>
        </w:rPr>
      </w:pPr>
    </w:p>
    <w:p w14:paraId="33A6D83A">
      <w:pPr>
        <w:spacing w:line="440" w:lineRule="exact"/>
        <w:rPr>
          <w:rFonts w:ascii="宋体" w:hAnsi="宋体"/>
          <w:color w:val="auto"/>
          <w:sz w:val="24"/>
          <w:highlight w:val="none"/>
        </w:rPr>
      </w:pPr>
    </w:p>
    <w:p w14:paraId="7372A247">
      <w:pPr>
        <w:spacing w:line="440" w:lineRule="exact"/>
        <w:rPr>
          <w:rFonts w:ascii="宋体" w:hAnsi="宋体"/>
          <w:color w:val="auto"/>
          <w:sz w:val="24"/>
          <w:highlight w:val="none"/>
        </w:rPr>
      </w:pPr>
    </w:p>
    <w:p w14:paraId="01F29825">
      <w:pPr>
        <w:snapToGrid w:val="0"/>
        <w:spacing w:line="360" w:lineRule="auto"/>
        <w:ind w:left="-2" w:leftChars="-1" w:right="-817" w:rightChars="-389" w:firstLine="1920" w:firstLineChars="800"/>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7B3884F4">
      <w:pPr>
        <w:snapToGrid w:val="0"/>
        <w:spacing w:line="360" w:lineRule="auto"/>
        <w:ind w:left="-3" w:leftChars="-15" w:right="-817" w:rightChars="-389" w:hanging="28" w:hangingChars="12"/>
        <w:rPr>
          <w:rFonts w:ascii="宋体" w:hAnsi="宋体"/>
          <w:color w:val="auto"/>
          <w:sz w:val="24"/>
          <w:highlight w:val="none"/>
          <w:u w:val="single"/>
        </w:rPr>
      </w:pPr>
      <w:r>
        <w:rPr>
          <w:rFonts w:hint="eastAsia" w:ascii="宋体" w:hAnsi="宋体"/>
          <w:color w:val="auto"/>
          <w:sz w:val="24"/>
          <w:highlight w:val="none"/>
        </w:rPr>
        <w:t xml:space="preserve">                                     供应商名称（公章）：</w:t>
      </w:r>
      <w:r>
        <w:rPr>
          <w:rFonts w:hint="eastAsia" w:ascii="宋体" w:hAnsi="宋体"/>
          <w:color w:val="auto"/>
          <w:sz w:val="24"/>
          <w:highlight w:val="none"/>
          <w:u w:val="single"/>
        </w:rPr>
        <w:t xml:space="preserve">     </w:t>
      </w:r>
    </w:p>
    <w:p w14:paraId="25FB53C3">
      <w:pPr>
        <w:snapToGrid w:val="0"/>
        <w:spacing w:line="360" w:lineRule="auto"/>
        <w:ind w:right="480" w:firstLine="240" w:firstLineChars="100"/>
        <w:jc w:val="left"/>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FC7D823">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p w14:paraId="04639C9C">
      <w:pPr>
        <w:spacing w:line="360" w:lineRule="auto"/>
        <w:jc w:val="center"/>
        <w:rPr>
          <w:rFonts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35633128">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6874EC5">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68F02E1">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6FF1FDE8">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00688DA">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633F1797">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BF9A740">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A7FC4FC">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7FC5BAD2">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47F69A05">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71BA875D">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C225313">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615C4C7B">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6D824811">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1F8E6CF">
      <w:pPr>
        <w:pStyle w:val="17"/>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4820BCDA">
      <w:pPr>
        <w:pStyle w:val="17"/>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44931C80">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0CBB22ED">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967E48A">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332AE9F0">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2C38E58C">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6FC60F07">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1D217E95">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464746F">
      <w:pPr>
        <w:pStyle w:val="17"/>
        <w:spacing w:line="360" w:lineRule="auto"/>
        <w:ind w:left="25" w:leftChars="12" w:firstLine="352" w:firstLineChars="147"/>
        <w:contextualSpacing/>
        <w:rPr>
          <w:rFonts w:hAnsi="宋体" w:cs="宋体"/>
          <w:color w:val="auto"/>
          <w:sz w:val="24"/>
          <w:szCs w:val="24"/>
          <w:highlight w:val="none"/>
        </w:rPr>
      </w:pPr>
    </w:p>
    <w:p w14:paraId="76FC15F0">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3D265E17">
      <w:pPr>
        <w:pStyle w:val="17"/>
        <w:spacing w:line="360" w:lineRule="auto"/>
        <w:ind w:firstLine="480" w:firstLineChars="200"/>
        <w:contextualSpacing/>
        <w:rPr>
          <w:rFonts w:hAnsi="宋体" w:cs="宋体"/>
          <w:b/>
          <w:color w:val="auto"/>
          <w:sz w:val="24"/>
          <w:szCs w:val="24"/>
          <w:highlight w:val="none"/>
        </w:rPr>
      </w:pPr>
      <w:r>
        <w:rPr>
          <w:rFonts w:hint="eastAsia" w:hAnsi="宋体" w:cs="宋体"/>
          <w:color w:val="auto"/>
          <w:sz w:val="24"/>
          <w:szCs w:val="24"/>
          <w:highlight w:val="none"/>
        </w:rPr>
        <w:t>日期：</w:t>
      </w:r>
    </w:p>
    <w:p w14:paraId="7C294B50">
      <w:pPr>
        <w:pStyle w:val="17"/>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3F3806F2">
      <w:pPr>
        <w:pStyle w:val="17"/>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31837BC0">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370D541">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3CE7464">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7980160B">
      <w:pPr>
        <w:pStyle w:val="17"/>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4CECD50">
      <w:pPr>
        <w:pStyle w:val="17"/>
        <w:snapToGrid w:val="0"/>
        <w:rPr>
          <w:rFonts w:hAnsi="宋体" w:cs="宋体"/>
          <w:b/>
          <w:color w:val="auto"/>
          <w:sz w:val="24"/>
          <w:szCs w:val="24"/>
          <w:highlight w:val="none"/>
        </w:rPr>
      </w:pPr>
    </w:p>
    <w:p w14:paraId="424A3151">
      <w:pPr>
        <w:rPr>
          <w:rFonts w:ascii="宋体" w:hAnsi="宋体" w:cs="宋体"/>
          <w:color w:val="auto"/>
          <w:sz w:val="32"/>
          <w:szCs w:val="40"/>
          <w:highlight w:val="none"/>
        </w:rPr>
      </w:pPr>
    </w:p>
    <w:p w14:paraId="3832B4F0">
      <w:pPr>
        <w:rPr>
          <w:rFonts w:ascii="宋体" w:hAnsi="宋体" w:cs="宋体"/>
          <w:color w:val="auto"/>
          <w:sz w:val="32"/>
          <w:szCs w:val="40"/>
          <w:highlight w:val="none"/>
        </w:rPr>
      </w:pPr>
    </w:p>
    <w:p w14:paraId="4A48EE87">
      <w:pPr>
        <w:rPr>
          <w:rFonts w:ascii="宋体" w:hAnsi="宋体" w:cs="宋体"/>
          <w:color w:val="auto"/>
          <w:sz w:val="32"/>
          <w:szCs w:val="40"/>
          <w:highlight w:val="none"/>
        </w:rPr>
      </w:pPr>
    </w:p>
    <w:p w14:paraId="5CE91304">
      <w:pPr>
        <w:rPr>
          <w:rFonts w:ascii="宋体" w:hAnsi="宋体" w:cs="宋体"/>
          <w:color w:val="auto"/>
          <w:sz w:val="32"/>
          <w:szCs w:val="40"/>
          <w:highlight w:val="none"/>
        </w:rPr>
      </w:pPr>
    </w:p>
    <w:p w14:paraId="5EF6E5CB">
      <w:pPr>
        <w:rPr>
          <w:rFonts w:ascii="宋体" w:hAnsi="宋体" w:cs="宋体"/>
          <w:color w:val="auto"/>
          <w:sz w:val="32"/>
          <w:szCs w:val="40"/>
          <w:highlight w:val="none"/>
        </w:rPr>
      </w:pPr>
    </w:p>
    <w:p w14:paraId="4EB4E5EA">
      <w:pPr>
        <w:rPr>
          <w:rFonts w:ascii="宋体" w:hAnsi="宋体" w:cs="宋体"/>
          <w:color w:val="auto"/>
          <w:sz w:val="32"/>
          <w:szCs w:val="40"/>
          <w:highlight w:val="none"/>
        </w:rPr>
      </w:pPr>
    </w:p>
    <w:p w14:paraId="7D956276">
      <w:pPr>
        <w:rPr>
          <w:rFonts w:ascii="宋体" w:hAnsi="宋体" w:cs="宋体"/>
          <w:color w:val="auto"/>
          <w:sz w:val="32"/>
          <w:szCs w:val="40"/>
          <w:highlight w:val="none"/>
        </w:rPr>
      </w:pPr>
    </w:p>
    <w:p w14:paraId="1B60AE13">
      <w:pPr>
        <w:rPr>
          <w:rFonts w:ascii="宋体" w:hAnsi="宋体" w:cs="宋体"/>
          <w:color w:val="auto"/>
          <w:sz w:val="32"/>
          <w:szCs w:val="40"/>
          <w:highlight w:val="none"/>
        </w:rPr>
      </w:pPr>
    </w:p>
    <w:p w14:paraId="314387C1">
      <w:pPr>
        <w:rPr>
          <w:rFonts w:ascii="宋体" w:hAnsi="宋体" w:cs="宋体"/>
          <w:color w:val="auto"/>
          <w:sz w:val="32"/>
          <w:szCs w:val="40"/>
          <w:highlight w:val="none"/>
        </w:rPr>
      </w:pPr>
    </w:p>
    <w:p w14:paraId="666A2BC6">
      <w:pPr>
        <w:rPr>
          <w:rFonts w:ascii="宋体" w:hAnsi="宋体" w:cs="宋体"/>
          <w:color w:val="auto"/>
          <w:sz w:val="32"/>
          <w:szCs w:val="40"/>
          <w:highlight w:val="none"/>
        </w:rPr>
      </w:pPr>
    </w:p>
    <w:p w14:paraId="56721CD8">
      <w:pPr>
        <w:rPr>
          <w:rFonts w:ascii="宋体" w:hAnsi="宋体" w:cs="宋体"/>
          <w:color w:val="auto"/>
          <w:sz w:val="32"/>
          <w:szCs w:val="40"/>
          <w:highlight w:val="none"/>
        </w:rPr>
      </w:pPr>
    </w:p>
    <w:p w14:paraId="550668C7">
      <w:pPr>
        <w:rPr>
          <w:rFonts w:ascii="宋体" w:hAnsi="宋体" w:cs="宋体"/>
          <w:color w:val="auto"/>
          <w:sz w:val="32"/>
          <w:szCs w:val="40"/>
          <w:highlight w:val="none"/>
        </w:rPr>
      </w:pPr>
    </w:p>
    <w:p w14:paraId="5C89DCA7">
      <w:pPr>
        <w:rPr>
          <w:rFonts w:ascii="宋体" w:hAnsi="宋体" w:cs="宋体"/>
          <w:color w:val="auto"/>
          <w:sz w:val="32"/>
          <w:szCs w:val="40"/>
          <w:highlight w:val="none"/>
        </w:rPr>
      </w:pPr>
    </w:p>
    <w:p w14:paraId="35EDEABC">
      <w:pPr>
        <w:pStyle w:val="12"/>
        <w:rPr>
          <w:rFonts w:ascii="宋体" w:hAnsi="宋体" w:cs="宋体"/>
          <w:color w:val="auto"/>
          <w:sz w:val="32"/>
          <w:szCs w:val="40"/>
          <w:highlight w:val="none"/>
        </w:rPr>
      </w:pPr>
    </w:p>
    <w:p w14:paraId="3109D656">
      <w:pPr>
        <w:rPr>
          <w:rFonts w:ascii="宋体" w:hAnsi="宋体" w:cs="宋体"/>
          <w:color w:val="auto"/>
          <w:sz w:val="32"/>
          <w:szCs w:val="40"/>
          <w:highlight w:val="none"/>
        </w:rPr>
      </w:pPr>
    </w:p>
    <w:p w14:paraId="2A167965">
      <w:pP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2DABFFC5">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13479A58">
      <w:pPr>
        <w:pStyle w:val="1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629A18E">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p>
    <w:p w14:paraId="7D9A5E96">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53123F6B">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6C97FEC8">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B29F95C">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4C25B06E">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26E524EE">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7B003D27">
      <w:pPr>
        <w:pStyle w:val="17"/>
        <w:snapToGrid w:val="0"/>
        <w:spacing w:line="360" w:lineRule="auto"/>
        <w:ind w:firstLine="480" w:firstLineChars="200"/>
        <w:rPr>
          <w:rFonts w:hint="eastAsia" w:hAnsi="宋体" w:cs="宋体"/>
          <w:bCs/>
          <w:color w:val="auto"/>
          <w:sz w:val="24"/>
          <w:szCs w:val="24"/>
          <w:highlight w:val="none"/>
        </w:rPr>
      </w:pPr>
    </w:p>
    <w:p w14:paraId="67D1FDA4">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50972A60">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674AF5CF">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1CFF97AA">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50E553D">
      <w:pPr>
        <w:pStyle w:val="17"/>
        <w:snapToGrid w:val="0"/>
        <w:spacing w:line="360" w:lineRule="auto"/>
        <w:ind w:firstLine="480" w:firstLineChars="200"/>
        <w:rPr>
          <w:rFonts w:hint="eastAsia" w:hAnsi="宋体" w:cs="宋体"/>
          <w:bCs/>
          <w:color w:val="auto"/>
          <w:sz w:val="24"/>
          <w:szCs w:val="24"/>
          <w:highlight w:val="none"/>
        </w:rPr>
      </w:pPr>
    </w:p>
    <w:p w14:paraId="79C54FC8">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1FB89154">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57D4D4D6">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4378CD03">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277940C1">
      <w:pPr>
        <w:pStyle w:val="1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01511078">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52B7815">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410A72FD">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02BAB0BE">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6881E0EB">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7AAF0190">
      <w:pPr>
        <w:pStyle w:val="17"/>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31DC6B8">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18BD4FAF">
      <w:pPr>
        <w:pStyle w:val="1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1D2A8982">
      <w:pPr>
        <w:pStyle w:val="17"/>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3DC6AA58">
      <w:pPr>
        <w:pStyle w:val="17"/>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u w:val="single"/>
        </w:rPr>
        <w:t xml:space="preserve">                                                                       </w:t>
      </w:r>
    </w:p>
    <w:p w14:paraId="457DED0C">
      <w:pPr>
        <w:pStyle w:val="17"/>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就质疑事项作出了答复/没有在法定期限内作出答复。</w:t>
      </w:r>
    </w:p>
    <w:p w14:paraId="0256AF1D">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4ADC0CC">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61A44BC4">
      <w:pPr>
        <w:pStyle w:val="17"/>
        <w:spacing w:line="360" w:lineRule="auto"/>
        <w:ind w:firstLine="480" w:firstLineChars="200"/>
        <w:rPr>
          <w:rFonts w:hAnsi="宋体" w:cs="宋体"/>
          <w:bCs/>
          <w:color w:val="auto"/>
          <w:sz w:val="24"/>
          <w:szCs w:val="24"/>
          <w:highlight w:val="none"/>
          <w:u w:val="single"/>
        </w:rPr>
      </w:pPr>
      <w:bookmarkStart w:id="185" w:name="OLE_LINK2"/>
      <w:r>
        <w:rPr>
          <w:rFonts w:hint="eastAsia" w:hAnsi="宋体" w:cs="宋体"/>
          <w:bCs/>
          <w:color w:val="auto"/>
          <w:sz w:val="24"/>
          <w:szCs w:val="24"/>
          <w:highlight w:val="none"/>
        </w:rPr>
        <w:t>事实依据：</w:t>
      </w:r>
      <w:r>
        <w:rPr>
          <w:rFonts w:hint="eastAsia" w:hAnsi="宋体" w:cs="宋体"/>
          <w:bCs/>
          <w:color w:val="auto"/>
          <w:sz w:val="24"/>
          <w:szCs w:val="24"/>
          <w:highlight w:val="none"/>
          <w:u w:val="single"/>
        </w:rPr>
        <w:t xml:space="preserve">                                                            </w:t>
      </w:r>
    </w:p>
    <w:p w14:paraId="635A66EB">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56D501EB">
      <w:pPr>
        <w:pStyle w:val="1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1CB69F4">
      <w:pPr>
        <w:pStyle w:val="17"/>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bookmarkEnd w:id="185"/>
    <w:p w14:paraId="229A0D49">
      <w:pPr>
        <w:pStyle w:val="17"/>
        <w:spacing w:line="360" w:lineRule="auto"/>
        <w:ind w:left="25" w:leftChars="12" w:firstLine="472" w:firstLineChars="197"/>
        <w:rPr>
          <w:rFonts w:hint="eastAsia" w:hAnsi="宋体" w:cs="宋体"/>
          <w:color w:val="auto"/>
          <w:sz w:val="24"/>
          <w:szCs w:val="24"/>
          <w:highlight w:val="none"/>
        </w:rPr>
      </w:pPr>
    </w:p>
    <w:p w14:paraId="5AD04E97">
      <w:pPr>
        <w:pStyle w:val="17"/>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投诉事项2</w:t>
      </w:r>
    </w:p>
    <w:p w14:paraId="025DA38D">
      <w:pPr>
        <w:pStyle w:val="1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bCs/>
          <w:color w:val="auto"/>
          <w:sz w:val="24"/>
          <w:szCs w:val="24"/>
          <w:highlight w:val="none"/>
          <w:u w:val="single"/>
        </w:rPr>
        <w:t xml:space="preserve">                                                            </w:t>
      </w:r>
    </w:p>
    <w:p w14:paraId="1E9018A8">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4777B0FB">
      <w:pPr>
        <w:pStyle w:val="1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B2BC2CA">
      <w:pPr>
        <w:pStyle w:val="17"/>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0E7E5D56">
      <w:pPr>
        <w:pStyle w:val="17"/>
        <w:spacing w:line="360" w:lineRule="auto"/>
        <w:ind w:left="25" w:leftChars="12" w:firstLine="472" w:firstLineChars="197"/>
        <w:rPr>
          <w:rFonts w:hAnsi="宋体" w:cs="宋体"/>
          <w:bCs/>
          <w:color w:val="auto"/>
          <w:sz w:val="24"/>
          <w:szCs w:val="24"/>
          <w:highlight w:val="none"/>
        </w:rPr>
      </w:pPr>
    </w:p>
    <w:p w14:paraId="753E6A39">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58E9D72">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0A307275">
      <w:pPr>
        <w:pStyle w:val="17"/>
        <w:spacing w:line="360" w:lineRule="auto"/>
        <w:ind w:left="25" w:leftChars="12" w:firstLine="352" w:firstLineChars="147"/>
        <w:rPr>
          <w:rFonts w:hAnsi="宋体" w:cs="宋体"/>
          <w:color w:val="auto"/>
          <w:sz w:val="24"/>
          <w:szCs w:val="24"/>
          <w:highlight w:val="none"/>
        </w:rPr>
      </w:pPr>
    </w:p>
    <w:p w14:paraId="03C3C839">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6499D2C2">
      <w:pPr>
        <w:pStyle w:val="17"/>
        <w:spacing w:line="360" w:lineRule="auto"/>
        <w:ind w:left="25" w:leftChars="12" w:firstLine="352" w:firstLineChars="147"/>
        <w:rPr>
          <w:rFonts w:hAnsi="宋体" w:cs="宋体"/>
          <w:color w:val="auto"/>
          <w:sz w:val="24"/>
          <w:szCs w:val="24"/>
          <w:highlight w:val="none"/>
        </w:rPr>
      </w:pPr>
    </w:p>
    <w:p w14:paraId="500F2494">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C75AA97">
      <w:pPr>
        <w:pStyle w:val="17"/>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 xml:space="preserve">                                                                      </w:t>
      </w:r>
    </w:p>
    <w:p w14:paraId="6CA71126">
      <w:pPr>
        <w:pStyle w:val="17"/>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9AE497D">
      <w:pPr>
        <w:pStyle w:val="17"/>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3A15DA29">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98ECCAE">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0DBA7317">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AE36A6E">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72281251">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6EFC7247">
      <w:pPr>
        <w:rPr>
          <w:rFonts w:ascii="宋体" w:hAnsi="宋体" w:cs="宋体"/>
          <w:b/>
          <w:color w:val="auto"/>
          <w:sz w:val="24"/>
          <w:highlight w:val="none"/>
        </w:rPr>
      </w:pPr>
    </w:p>
    <w:p w14:paraId="446A63F1">
      <w:pPr>
        <w:pStyle w:val="2"/>
        <w:jc w:val="center"/>
        <w:rPr>
          <w:rFonts w:ascii="宋体" w:hAnsi="宋体" w:cs="宋体"/>
          <w:color w:val="auto"/>
          <w:highlight w:val="none"/>
        </w:rPr>
      </w:pPr>
      <w:bookmarkStart w:id="186" w:name="_Toc74323461"/>
      <w:r>
        <w:rPr>
          <w:rFonts w:hint="eastAsia" w:ascii="宋体" w:hAnsi="宋体" w:cs="宋体"/>
          <w:color w:val="auto"/>
          <w:highlight w:val="none"/>
        </w:rPr>
        <w:t>第六章 合同文本</w:t>
      </w:r>
      <w:bookmarkEnd w:id="186"/>
    </w:p>
    <w:p w14:paraId="33819A9A">
      <w:pPr>
        <w:spacing w:line="360" w:lineRule="auto"/>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p>
    <w:p w14:paraId="1AC169A6">
      <w:pPr>
        <w:spacing w:line="360" w:lineRule="auto"/>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2C21B934">
      <w:pPr>
        <w:spacing w:line="360" w:lineRule="auto"/>
        <w:rPr>
          <w:rFonts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2BFD4FF">
      <w:pPr>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1951C9F0">
      <w:pPr>
        <w:spacing w:line="360" w:lineRule="auto"/>
        <w:rPr>
          <w:rFonts w:ascii="宋体" w:hAnsi="宋体"/>
          <w:color w:val="auto"/>
          <w:highlight w:val="none"/>
        </w:rPr>
      </w:pPr>
      <w:r>
        <w:rPr>
          <w:rFonts w:hint="eastAsia" w:ascii="宋体" w:hAnsi="宋体"/>
          <w:color w:val="auto"/>
          <w:szCs w:val="21"/>
          <w:highlight w:val="none"/>
        </w:rPr>
        <w:t>合同</w:t>
      </w:r>
      <w:r>
        <w:rPr>
          <w:rFonts w:hint="eastAsia" w:ascii="宋体" w:hAnsi="宋体"/>
          <w:color w:val="auto"/>
          <w:highlight w:val="none"/>
        </w:rPr>
        <w:t>类型：</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合同</w:t>
      </w:r>
    </w:p>
    <w:p w14:paraId="65CA133F">
      <w:pPr>
        <w:spacing w:line="360" w:lineRule="auto"/>
        <w:rPr>
          <w:rFonts w:ascii="宋体" w:hAnsi="宋体" w:cs="宋体"/>
          <w:color w:val="auto"/>
          <w:szCs w:val="21"/>
          <w:highlight w:val="none"/>
        </w:rPr>
      </w:pPr>
      <w:r>
        <w:rPr>
          <w:rFonts w:hint="eastAsia" w:ascii="宋体" w:hAnsi="宋体" w:cs="宋体"/>
          <w:color w:val="auto"/>
          <w:szCs w:val="21"/>
          <w:highlight w:val="none"/>
        </w:rPr>
        <w:t>本合同是否为中小企业预留合同：</w:t>
      </w:r>
      <w:r>
        <w:rPr>
          <w:rFonts w:hint="eastAsia" w:ascii="宋体" w:hAnsi="宋体" w:cs="宋体"/>
          <w:i/>
          <w:color w:val="auto"/>
          <w:szCs w:val="21"/>
          <w:highlight w:val="none"/>
          <w:u w:val="single"/>
        </w:rPr>
        <w:t xml:space="preserve"> </w:t>
      </w:r>
      <w:r>
        <w:rPr>
          <w:rFonts w:hint="eastAsia" w:ascii="宋体" w:hAnsi="宋体" w:cs="宋体"/>
          <w:i/>
          <w:color w:val="auto"/>
          <w:szCs w:val="21"/>
          <w:highlight w:val="none"/>
          <w:u w:val="single"/>
          <w:lang w:val="en-US" w:eastAsia="zh-CN"/>
        </w:rPr>
        <w:t xml:space="preserve"> </w:t>
      </w:r>
      <w:r>
        <w:rPr>
          <w:rFonts w:hint="eastAsia" w:ascii="宋体" w:hAnsi="宋体" w:cs="宋体"/>
          <w:color w:val="auto"/>
          <w:szCs w:val="21"/>
          <w:highlight w:val="none"/>
          <w:u w:val="single"/>
        </w:rPr>
        <w:t>（是/否）</w:t>
      </w:r>
      <w:r>
        <w:rPr>
          <w:rFonts w:hint="eastAsia" w:ascii="宋体" w:hAnsi="宋体" w:cs="宋体"/>
          <w:i/>
          <w:color w:val="auto"/>
          <w:szCs w:val="21"/>
          <w:highlight w:val="none"/>
          <w:u w:val="single"/>
        </w:rPr>
        <w:t xml:space="preserve">  </w:t>
      </w:r>
      <w:r>
        <w:rPr>
          <w:rFonts w:hint="eastAsia" w:ascii="宋体" w:hAnsi="宋体" w:cs="宋体"/>
          <w:color w:val="auto"/>
          <w:szCs w:val="21"/>
          <w:highlight w:val="none"/>
        </w:rPr>
        <w:t>。</w:t>
      </w:r>
    </w:p>
    <w:p w14:paraId="63E56D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中华人民共和国民法典》等法律、法规规定，按照</w:t>
      </w:r>
      <w:r>
        <w:rPr>
          <w:rFonts w:hint="eastAsia" w:ascii="宋体" w:hAnsi="宋体" w:eastAsia="宋体" w:cs="Times New Roman"/>
          <w:color w:val="auto"/>
          <w:szCs w:val="21"/>
          <w:highlight w:val="none"/>
        </w:rPr>
        <w:t>磋商文件规定条款和乙方响应文件及其承诺，甲乙双方签订本合同。</w:t>
      </w:r>
    </w:p>
    <w:p w14:paraId="574BC63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w:t>
      </w: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合同标的</w:t>
      </w:r>
    </w:p>
    <w:tbl>
      <w:tblPr>
        <w:tblStyle w:val="29"/>
        <w:tblW w:w="936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2C80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07E62C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90AABB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7FBBD1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8695B6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1B38B5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329C7E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  价</w:t>
            </w:r>
          </w:p>
          <w:p w14:paraId="4481D3E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B0E448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  价</w:t>
            </w:r>
          </w:p>
          <w:p w14:paraId="43CA013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34E0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D36986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EB7EE5A">
            <w:pPr>
              <w:spacing w:line="360" w:lineRule="auto"/>
              <w:jc w:val="center"/>
              <w:rPr>
                <w:rFonts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C4C8294">
            <w:pPr>
              <w:spacing w:line="360" w:lineRule="auto"/>
              <w:jc w:val="center"/>
              <w:rPr>
                <w:rFonts w:ascii="宋体" w:hAnsi="宋体" w:eastAsia="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675958C">
            <w:pPr>
              <w:spacing w:line="360" w:lineRule="auto"/>
              <w:jc w:val="center"/>
              <w:rPr>
                <w:rFonts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AC78A6">
            <w:pPr>
              <w:spacing w:line="360" w:lineRule="auto"/>
              <w:jc w:val="center"/>
              <w:rPr>
                <w:rFonts w:ascii="宋体" w:hAnsi="宋体" w:eastAsia="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53D0D3B">
            <w:pPr>
              <w:spacing w:line="360" w:lineRule="auto"/>
              <w:jc w:val="center"/>
              <w:rPr>
                <w:rFonts w:ascii="宋体" w:hAnsi="宋体" w:eastAsia="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2211E0F">
            <w:pPr>
              <w:spacing w:line="360" w:lineRule="auto"/>
              <w:jc w:val="center"/>
              <w:rPr>
                <w:rFonts w:ascii="宋体" w:hAnsi="宋体" w:eastAsia="宋体" w:cs="宋体"/>
                <w:color w:val="auto"/>
                <w:szCs w:val="21"/>
                <w:highlight w:val="none"/>
              </w:rPr>
            </w:pPr>
          </w:p>
        </w:tc>
      </w:tr>
      <w:tr w14:paraId="0BE4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4C453A8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合计金额（人民币）：</w:t>
            </w:r>
            <w:r>
              <w:rPr>
                <w:rFonts w:hint="eastAsia" w:ascii="宋体" w:hAnsi="宋体" w:eastAsia="宋体" w:cs="宋体"/>
                <w:color w:val="auto"/>
                <w:szCs w:val="21"/>
                <w:highlight w:val="none"/>
                <w:u w:val="single"/>
              </w:rPr>
              <w:t xml:space="preserve">（大写）                          （小写）                   </w:t>
            </w:r>
            <w:r>
              <w:rPr>
                <w:rFonts w:hint="eastAsia" w:ascii="宋体" w:hAnsi="宋体" w:eastAsia="宋体" w:cs="宋体"/>
                <w:color w:val="auto"/>
                <w:szCs w:val="21"/>
                <w:highlight w:val="none"/>
              </w:rPr>
              <w:t xml:space="preserve">             </w:t>
            </w:r>
          </w:p>
        </w:tc>
      </w:tr>
    </w:tbl>
    <w:p w14:paraId="776D523F">
      <w:pPr>
        <w:keepNext w:val="0"/>
        <w:keepLines w:val="0"/>
        <w:pageBreakBefore w:val="0"/>
        <w:widowControl w:val="0"/>
        <w:kinsoku/>
        <w:wordWrap/>
        <w:overflowPunct/>
        <w:topLinePunct w:val="0"/>
        <w:bidi w:val="0"/>
        <w:spacing w:line="300" w:lineRule="auto"/>
        <w:ind w:left="0" w:leftChars="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w:t>
      </w:r>
      <w:r>
        <w:rPr>
          <w:rFonts w:hint="eastAsia" w:ascii="宋体" w:hAnsi="宋体" w:cs="宋体"/>
          <w:b/>
          <w:color w:val="auto"/>
          <w:szCs w:val="21"/>
          <w:highlight w:val="none"/>
          <w:lang w:val="en-US" w:eastAsia="zh-CN"/>
        </w:rPr>
        <w:t xml:space="preserve">  </w:t>
      </w:r>
      <w:r>
        <w:rPr>
          <w:rFonts w:hint="eastAsia" w:ascii="宋体" w:hAnsi="宋体" w:eastAsia="宋体" w:cs="Times New Roman"/>
          <w:b/>
          <w:color w:val="auto"/>
          <w:szCs w:val="21"/>
          <w:highlight w:val="none"/>
        </w:rPr>
        <w:t>标的质量</w:t>
      </w:r>
    </w:p>
    <w:p w14:paraId="6EB273A2">
      <w:pPr>
        <w:keepNext w:val="0"/>
        <w:keepLines w:val="0"/>
        <w:pageBreakBefore w:val="0"/>
        <w:overflowPunct/>
        <w:topLinePunct w:val="0"/>
        <w:bidi w:val="0"/>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w:t>
      </w:r>
      <w:r>
        <w:rPr>
          <w:rFonts w:hint="eastAsia" w:ascii="宋体" w:hAnsi="宋体"/>
          <w:color w:val="auto"/>
          <w:szCs w:val="21"/>
          <w:highlight w:val="none"/>
        </w:rPr>
        <w:t>响应</w:t>
      </w:r>
      <w:r>
        <w:rPr>
          <w:rFonts w:hint="eastAsia" w:ascii="宋体" w:hAnsi="宋体" w:cs="宋体"/>
          <w:color w:val="auto"/>
          <w:szCs w:val="21"/>
          <w:highlight w:val="none"/>
        </w:rPr>
        <w:t>承诺相一致，</w:t>
      </w:r>
      <w:r>
        <w:rPr>
          <w:rFonts w:hint="eastAsia" w:ascii="宋体" w:hAnsi="宋体"/>
          <w:color w:val="auto"/>
          <w:szCs w:val="21"/>
          <w:highlight w:val="none"/>
        </w:rPr>
        <w:t>且满足项目实施要求，</w:t>
      </w:r>
      <w:r>
        <w:rPr>
          <w:rFonts w:hint="eastAsia" w:ascii="宋体" w:hAnsi="宋体" w:cs="宋体"/>
          <w:color w:val="auto"/>
          <w:szCs w:val="21"/>
          <w:highlight w:val="none"/>
        </w:rPr>
        <w:t>有国家强制性标准的，还必须符合国家强制性标准的规定，没有国家强制性标准但有其他强制性标准的，必须符合其他强制性标准的规定。</w:t>
      </w:r>
    </w:p>
    <w:p w14:paraId="18AFD0DE">
      <w:pPr>
        <w:keepNext w:val="0"/>
        <w:keepLines w:val="0"/>
        <w:pageBreakBefore w:val="0"/>
        <w:widowControl w:val="0"/>
        <w:kinsoku/>
        <w:wordWrap/>
        <w:overflowPunct/>
        <w:topLinePunct w:val="0"/>
        <w:bidi w:val="0"/>
        <w:spacing w:line="300" w:lineRule="auto"/>
        <w:ind w:left="0" w:leftChars="0" w:right="0" w:firstLine="422" w:firstLineChars="200"/>
        <w:rPr>
          <w:rFonts w:hint="eastAsia" w:ascii="宋体" w:hAnsi="宋体" w:eastAsia="宋体" w:cs="Times New Roman"/>
          <w:color w:val="auto"/>
          <w:szCs w:val="21"/>
          <w:highlight w:val="none"/>
        </w:rPr>
      </w:pPr>
      <w:r>
        <w:rPr>
          <w:rFonts w:hint="eastAsia" w:ascii="宋体" w:hAnsi="宋体" w:eastAsia="宋体" w:cs="宋体"/>
          <w:b/>
          <w:color w:val="auto"/>
          <w:szCs w:val="21"/>
          <w:highlight w:val="none"/>
        </w:rPr>
        <w:t>第三条  履行时间（期限）、地点和方式</w:t>
      </w:r>
    </w:p>
    <w:p w14:paraId="611A3556">
      <w:pPr>
        <w:keepNext w:val="0"/>
        <w:keepLines w:val="0"/>
        <w:pageBreakBefore w:val="0"/>
        <w:widowControl w:val="0"/>
        <w:kinsoku/>
        <w:wordWrap/>
        <w:overflowPunct/>
        <w:topLinePunct w:val="0"/>
        <w:bidi w:val="0"/>
        <w:spacing w:line="300" w:lineRule="auto"/>
        <w:ind w:left="0" w:leftChars="0" w:right="0" w:firstLine="420" w:firstLineChars="200"/>
        <w:rPr>
          <w:rFonts w:hint="eastAsia" w:ascii="宋体" w:hAnsi="宋体" w:eastAsia="宋体" w:cs="Times New Roman"/>
          <w:i/>
          <w:color w:val="auto"/>
          <w:szCs w:val="21"/>
          <w:highlight w:val="none"/>
        </w:rPr>
      </w:pPr>
      <w:r>
        <w:rPr>
          <w:rFonts w:hint="eastAsia" w:ascii="宋体" w:hAnsi="宋体" w:eastAsia="宋体" w:cs="宋体"/>
          <w:color w:val="auto"/>
          <w:szCs w:val="21"/>
          <w:highlight w:val="none"/>
        </w:rPr>
        <w:t>1.履行时间（期限）：</w:t>
      </w:r>
      <w:r>
        <w:rPr>
          <w:rFonts w:hint="eastAsia" w:ascii="宋体" w:hAnsi="宋体" w:eastAsia="宋体" w:cs="Times New Roman"/>
          <w:i w:val="0"/>
          <w:iCs/>
          <w:color w:val="auto"/>
          <w:szCs w:val="21"/>
          <w:highlight w:val="none"/>
          <w:u w:val="single"/>
          <w:lang w:val="en-US" w:eastAsia="zh-CN"/>
        </w:rPr>
        <w:t xml:space="preserve">                         </w:t>
      </w:r>
    </w:p>
    <w:p w14:paraId="08EFF41F">
      <w:pPr>
        <w:keepNext w:val="0"/>
        <w:keepLines w:val="0"/>
        <w:pageBreakBefore w:val="0"/>
        <w:widowControl w:val="0"/>
        <w:kinsoku/>
        <w:wordWrap/>
        <w:overflowPunct/>
        <w:topLinePunct w:val="0"/>
        <w:bidi w:val="0"/>
        <w:spacing w:line="30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2.履行地点：</w:t>
      </w:r>
      <w:r>
        <w:rPr>
          <w:rFonts w:hint="eastAsia" w:ascii="宋体" w:hAnsi="宋体" w:eastAsia="宋体" w:cs="宋体"/>
          <w:color w:val="auto"/>
          <w:szCs w:val="21"/>
          <w:highlight w:val="none"/>
          <w:u w:val="single"/>
        </w:rPr>
        <w:t xml:space="preserve">                       </w:t>
      </w:r>
    </w:p>
    <w:p w14:paraId="633FF93D">
      <w:pPr>
        <w:keepNext w:val="0"/>
        <w:keepLines w:val="0"/>
        <w:pageBreakBefore w:val="0"/>
        <w:widowControl w:val="0"/>
        <w:kinsoku/>
        <w:wordWrap/>
        <w:overflowPunct/>
        <w:topLinePunct w:val="0"/>
        <w:bidi w:val="0"/>
        <w:spacing w:line="300" w:lineRule="auto"/>
        <w:ind w:left="0" w:leftChars="0" w:right="0"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第四条</w:t>
      </w:r>
      <w:r>
        <w:rPr>
          <w:rFonts w:hint="eastAsia" w:ascii="宋体" w:hAnsi="宋体" w:cs="Times New Roman"/>
          <w:b/>
          <w:color w:val="auto"/>
          <w:szCs w:val="21"/>
          <w:highlight w:val="none"/>
          <w:lang w:val="en-US" w:eastAsia="zh-CN"/>
        </w:rPr>
        <w:t xml:space="preserve">  </w:t>
      </w:r>
      <w:r>
        <w:rPr>
          <w:rFonts w:hint="eastAsia" w:ascii="宋体" w:hAnsi="宋体" w:cs="宋体"/>
          <w:b/>
          <w:bCs/>
          <w:color w:val="auto"/>
          <w:kern w:val="0"/>
          <w:szCs w:val="21"/>
          <w:highlight w:val="none"/>
        </w:rPr>
        <w:t>运营水质达标要求</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服务内容及工作要求</w:t>
      </w:r>
    </w:p>
    <w:p w14:paraId="11768FFF">
      <w:pPr>
        <w:keepNext w:val="0"/>
        <w:keepLines w:val="0"/>
        <w:pageBreakBefore w:val="0"/>
        <w:wordWrap w:val="0"/>
        <w:overflowPunct/>
        <w:topLinePunct w:val="0"/>
        <w:bidi w:val="0"/>
        <w:spacing w:line="30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运营水质达标要求</w:t>
      </w:r>
    </w:p>
    <w:p w14:paraId="488632D8">
      <w:pPr>
        <w:keepNext w:val="0"/>
        <w:keepLines w:val="0"/>
        <w:pageBreakBefore w:val="0"/>
        <w:wordWrap w:val="0"/>
        <w:overflowPunct/>
        <w:topLinePunct w:val="0"/>
        <w:bidi w:val="0"/>
        <w:spacing w:before="173"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pacing w:val="11"/>
          <w:szCs w:val="21"/>
          <w:highlight w:val="none"/>
        </w:rPr>
        <w:t>进水水质标准</w:t>
      </w:r>
    </w:p>
    <w:p w14:paraId="3481079D">
      <w:pPr>
        <w:keepNext w:val="0"/>
        <w:keepLines w:val="0"/>
        <w:pageBreakBefore w:val="0"/>
        <w:wordWrap w:val="0"/>
        <w:overflowPunct/>
        <w:topLinePunct w:val="0"/>
        <w:bidi w:val="0"/>
        <w:spacing w:line="300" w:lineRule="auto"/>
        <w:ind w:firstLine="476" w:firstLineChars="200"/>
        <w:jc w:val="center"/>
        <w:rPr>
          <w:rFonts w:ascii="宋体" w:hAnsi="宋体" w:cs="宋体"/>
          <w:color w:val="auto"/>
          <w:szCs w:val="21"/>
          <w:highlight w:val="none"/>
        </w:rPr>
      </w:pPr>
      <w:r>
        <w:rPr>
          <w:rFonts w:hint="eastAsia" w:ascii="宋体" w:hAnsi="宋体" w:cs="宋体"/>
          <w:color w:val="auto"/>
          <w:spacing w:val="14"/>
          <w:szCs w:val="21"/>
          <w:highlight w:val="none"/>
        </w:rPr>
        <w:t>表1-1</w:t>
      </w:r>
      <w:r>
        <w:rPr>
          <w:rFonts w:hint="eastAsia" w:ascii="宋体" w:hAnsi="宋体" w:cs="宋体"/>
          <w:color w:val="auto"/>
          <w:spacing w:val="20"/>
          <w:w w:val="101"/>
          <w:szCs w:val="21"/>
          <w:highlight w:val="none"/>
        </w:rPr>
        <w:t xml:space="preserve">  </w:t>
      </w:r>
      <w:r>
        <w:rPr>
          <w:rFonts w:hint="eastAsia" w:ascii="宋体" w:hAnsi="宋体" w:cs="宋体"/>
          <w:color w:val="auto"/>
          <w:spacing w:val="14"/>
          <w:szCs w:val="21"/>
          <w:highlight w:val="none"/>
        </w:rPr>
        <w:t>污水处理厂设计进水水质（单位：</w:t>
      </w:r>
      <w:r>
        <w:rPr>
          <w:rFonts w:hint="eastAsia" w:ascii="宋体" w:hAnsi="宋体" w:cs="宋体"/>
          <w:color w:val="auto"/>
          <w:spacing w:val="-56"/>
          <w:szCs w:val="21"/>
          <w:highlight w:val="none"/>
        </w:rPr>
        <w:t xml:space="preserve"> </w:t>
      </w:r>
      <w:r>
        <w:rPr>
          <w:rFonts w:hint="eastAsia" w:ascii="宋体" w:hAnsi="宋体" w:cs="宋体"/>
          <w:color w:val="auto"/>
          <w:szCs w:val="21"/>
          <w:highlight w:val="none"/>
        </w:rPr>
        <w:t>mg</w:t>
      </w:r>
      <w:r>
        <w:rPr>
          <w:rFonts w:hint="eastAsia" w:ascii="宋体" w:hAnsi="宋体" w:cs="宋体"/>
          <w:color w:val="auto"/>
          <w:spacing w:val="14"/>
          <w:szCs w:val="21"/>
          <w:highlight w:val="none"/>
        </w:rPr>
        <w:t>/L）</w:t>
      </w:r>
    </w:p>
    <w:tbl>
      <w:tblPr>
        <w:tblStyle w:val="86"/>
        <w:tblW w:w="58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928"/>
        <w:gridCol w:w="842"/>
        <w:gridCol w:w="842"/>
        <w:gridCol w:w="842"/>
        <w:gridCol w:w="917"/>
        <w:gridCol w:w="725"/>
      </w:tblGrid>
      <w:tr w14:paraId="38097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764" w:type="dxa"/>
            <w:tcBorders>
              <w:top w:val="single" w:color="000000" w:sz="2" w:space="0"/>
              <w:left w:val="single" w:color="000000" w:sz="2" w:space="0"/>
              <w:bottom w:val="single" w:color="000000" w:sz="2" w:space="0"/>
              <w:right w:val="single" w:color="000000" w:sz="2" w:space="0"/>
            </w:tcBorders>
            <w:noWrap w:val="0"/>
            <w:vAlign w:val="center"/>
          </w:tcPr>
          <w:p w14:paraId="42D99121">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7"/>
                <w:szCs w:val="21"/>
                <w:highlight w:val="none"/>
              </w:rPr>
              <w:t>项目</w:t>
            </w:r>
          </w:p>
        </w:tc>
        <w:tc>
          <w:tcPr>
            <w:tcW w:w="928" w:type="dxa"/>
            <w:tcBorders>
              <w:top w:val="single" w:color="000000" w:sz="2" w:space="0"/>
              <w:left w:val="single" w:color="000000" w:sz="2" w:space="0"/>
              <w:bottom w:val="single" w:color="000000" w:sz="2" w:space="0"/>
              <w:right w:val="single" w:color="000000" w:sz="2" w:space="0"/>
            </w:tcBorders>
            <w:noWrap w:val="0"/>
            <w:vAlign w:val="center"/>
          </w:tcPr>
          <w:p w14:paraId="12BE5A21">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6"/>
                <w:szCs w:val="21"/>
                <w:highlight w:val="none"/>
              </w:rPr>
              <w:t>CODcr</w:t>
            </w:r>
          </w:p>
          <w:p w14:paraId="6CAE6647">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651E420A">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BOD</w:t>
            </w:r>
            <w:r>
              <w:rPr>
                <w:rFonts w:hint="eastAsia" w:ascii="宋体" w:hAnsi="宋体" w:cs="宋体"/>
                <w:color w:val="auto"/>
                <w:spacing w:val="22"/>
                <w:szCs w:val="21"/>
                <w:highlight w:val="none"/>
                <w:vertAlign w:val="subscript"/>
              </w:rPr>
              <w:t>5</w:t>
            </w:r>
          </w:p>
          <w:p w14:paraId="74CF980B">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20698F9B">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3"/>
                <w:szCs w:val="21"/>
                <w:highlight w:val="none"/>
              </w:rPr>
              <w:t>SS</w:t>
            </w:r>
          </w:p>
          <w:p w14:paraId="45F6C2E9">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6"/>
                <w:szCs w:val="21"/>
                <w:highlight w:val="none"/>
              </w:rPr>
              <w:t>(</w:t>
            </w:r>
            <w:r>
              <w:rPr>
                <w:rFonts w:hint="eastAsia" w:ascii="宋体" w:hAnsi="宋体" w:cs="宋体"/>
                <w:color w:val="auto"/>
                <w:szCs w:val="21"/>
                <w:highlight w:val="none"/>
              </w:rPr>
              <w:t>mg</w:t>
            </w:r>
            <w:r>
              <w:rPr>
                <w:rFonts w:hint="eastAsia" w:ascii="宋体" w:hAnsi="宋体" w:cs="宋体"/>
                <w:color w:val="auto"/>
                <w:spacing w:val="6"/>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29272A23">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4"/>
                <w:szCs w:val="21"/>
                <w:highlight w:val="none"/>
              </w:rPr>
              <w:t>TN</w:t>
            </w:r>
          </w:p>
          <w:p w14:paraId="17728BA4">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917" w:type="dxa"/>
            <w:tcBorders>
              <w:top w:val="single" w:color="000000" w:sz="2" w:space="0"/>
              <w:left w:val="single" w:color="000000" w:sz="2" w:space="0"/>
              <w:bottom w:val="single" w:color="000000" w:sz="2" w:space="0"/>
              <w:right w:val="single" w:color="000000" w:sz="2" w:space="0"/>
            </w:tcBorders>
            <w:noWrap w:val="0"/>
            <w:vAlign w:val="center"/>
          </w:tcPr>
          <w:p w14:paraId="545AEF26">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NH</w:t>
            </w:r>
            <w:r>
              <w:rPr>
                <w:rFonts w:hint="eastAsia" w:ascii="宋体" w:hAnsi="宋体" w:cs="宋体"/>
                <w:color w:val="auto"/>
                <w:szCs w:val="21"/>
                <w:highlight w:val="none"/>
                <w:vertAlign w:val="subscript"/>
                <w:lang w:val="en-US" w:eastAsia="zh-CN"/>
              </w:rPr>
              <w:t>3</w:t>
            </w:r>
            <w:r>
              <w:rPr>
                <w:rFonts w:hint="eastAsia" w:ascii="宋体" w:hAnsi="宋体" w:cs="宋体"/>
                <w:color w:val="auto"/>
                <w:spacing w:val="18"/>
                <w:szCs w:val="21"/>
                <w:highlight w:val="none"/>
              </w:rPr>
              <w:t>-</w:t>
            </w:r>
            <w:r>
              <w:rPr>
                <w:rFonts w:hint="eastAsia" w:ascii="宋体" w:hAnsi="宋体" w:cs="宋体"/>
                <w:color w:val="auto"/>
                <w:spacing w:val="8"/>
                <w:szCs w:val="21"/>
                <w:highlight w:val="none"/>
              </w:rPr>
              <w:t>N</w:t>
            </w:r>
          </w:p>
          <w:p w14:paraId="03F9E6DB">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725" w:type="dxa"/>
            <w:tcBorders>
              <w:top w:val="single" w:color="000000" w:sz="2" w:space="0"/>
              <w:left w:val="single" w:color="000000" w:sz="2" w:space="0"/>
              <w:bottom w:val="single" w:color="000000" w:sz="2" w:space="0"/>
              <w:right w:val="single" w:color="000000" w:sz="2" w:space="0"/>
            </w:tcBorders>
            <w:noWrap w:val="0"/>
            <w:vAlign w:val="center"/>
          </w:tcPr>
          <w:p w14:paraId="414E073F">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3"/>
                <w:szCs w:val="21"/>
                <w:highlight w:val="none"/>
              </w:rPr>
              <w:t>TP</w:t>
            </w:r>
          </w:p>
          <w:p w14:paraId="2F179E6F">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6"/>
                <w:szCs w:val="21"/>
                <w:highlight w:val="none"/>
              </w:rPr>
              <w:t>(</w:t>
            </w:r>
            <w:r>
              <w:rPr>
                <w:rFonts w:hint="eastAsia" w:ascii="宋体" w:hAnsi="宋体" w:cs="宋体"/>
                <w:color w:val="auto"/>
                <w:szCs w:val="21"/>
                <w:highlight w:val="none"/>
              </w:rPr>
              <w:t>mg</w:t>
            </w:r>
            <w:r>
              <w:rPr>
                <w:rFonts w:hint="eastAsia" w:ascii="宋体" w:hAnsi="宋体" w:cs="宋体"/>
                <w:color w:val="auto"/>
                <w:spacing w:val="6"/>
                <w:szCs w:val="21"/>
                <w:highlight w:val="none"/>
              </w:rPr>
              <w:t>/</w:t>
            </w:r>
            <w:r>
              <w:rPr>
                <w:rFonts w:hint="eastAsia" w:ascii="宋体" w:hAnsi="宋体" w:cs="宋体"/>
                <w:color w:val="auto"/>
                <w:spacing w:val="2"/>
                <w:szCs w:val="21"/>
                <w:highlight w:val="none"/>
              </w:rPr>
              <w:t>L)</w:t>
            </w:r>
          </w:p>
        </w:tc>
      </w:tr>
      <w:tr w14:paraId="5711D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jc w:val="center"/>
        </w:trPr>
        <w:tc>
          <w:tcPr>
            <w:tcW w:w="764" w:type="dxa"/>
            <w:tcBorders>
              <w:top w:val="single" w:color="000000" w:sz="2" w:space="0"/>
              <w:left w:val="single" w:color="000000" w:sz="2" w:space="0"/>
              <w:bottom w:val="single" w:color="000000" w:sz="2" w:space="0"/>
              <w:right w:val="single" w:color="000000" w:sz="2" w:space="0"/>
            </w:tcBorders>
            <w:noWrap w:val="0"/>
            <w:vAlign w:val="center"/>
          </w:tcPr>
          <w:p w14:paraId="7ACB28CD">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7"/>
                <w:szCs w:val="21"/>
                <w:highlight w:val="none"/>
              </w:rPr>
              <w:t>进水</w:t>
            </w:r>
            <w:r>
              <w:rPr>
                <w:rFonts w:hint="eastAsia" w:ascii="宋体" w:hAnsi="宋体" w:cs="宋体"/>
                <w:color w:val="auto"/>
                <w:spacing w:val="10"/>
                <w:szCs w:val="21"/>
                <w:highlight w:val="none"/>
              </w:rPr>
              <w:t>浓度</w:t>
            </w:r>
          </w:p>
        </w:tc>
        <w:tc>
          <w:tcPr>
            <w:tcW w:w="928" w:type="dxa"/>
            <w:tcBorders>
              <w:top w:val="single" w:color="000000" w:sz="2" w:space="0"/>
              <w:left w:val="single" w:color="000000" w:sz="2" w:space="0"/>
              <w:bottom w:val="single" w:color="000000" w:sz="2" w:space="0"/>
              <w:right w:val="single" w:color="000000" w:sz="2" w:space="0"/>
            </w:tcBorders>
            <w:noWrap w:val="0"/>
            <w:vAlign w:val="center"/>
          </w:tcPr>
          <w:p w14:paraId="59A3FC4F">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1"/>
                <w:position w:val="1"/>
                <w:szCs w:val="21"/>
                <w:highlight w:val="none"/>
              </w:rPr>
              <w:t>200</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04FCDE60">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4"/>
                <w:position w:val="1"/>
                <w:szCs w:val="21"/>
                <w:highlight w:val="none"/>
              </w:rPr>
              <w:t>120</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2B5B6FC5">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4"/>
                <w:position w:val="1"/>
                <w:szCs w:val="21"/>
                <w:highlight w:val="none"/>
              </w:rPr>
              <w:t>150</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2A9EB60B">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2"/>
                <w:position w:val="1"/>
                <w:szCs w:val="21"/>
                <w:highlight w:val="none"/>
              </w:rPr>
              <w:t>35</w:t>
            </w:r>
          </w:p>
        </w:tc>
        <w:tc>
          <w:tcPr>
            <w:tcW w:w="917" w:type="dxa"/>
            <w:tcBorders>
              <w:top w:val="single" w:color="000000" w:sz="2" w:space="0"/>
              <w:left w:val="single" w:color="000000" w:sz="2" w:space="0"/>
              <w:bottom w:val="single" w:color="000000" w:sz="2" w:space="0"/>
              <w:right w:val="single" w:color="000000" w:sz="2" w:space="0"/>
            </w:tcBorders>
            <w:noWrap w:val="0"/>
            <w:vAlign w:val="center"/>
          </w:tcPr>
          <w:p w14:paraId="00373770">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2"/>
                <w:position w:val="1"/>
                <w:szCs w:val="21"/>
                <w:highlight w:val="none"/>
              </w:rPr>
              <w:t>30</w:t>
            </w:r>
          </w:p>
        </w:tc>
        <w:tc>
          <w:tcPr>
            <w:tcW w:w="725" w:type="dxa"/>
            <w:tcBorders>
              <w:top w:val="single" w:color="000000" w:sz="2" w:space="0"/>
              <w:left w:val="single" w:color="000000" w:sz="2" w:space="0"/>
              <w:bottom w:val="single" w:color="000000" w:sz="2" w:space="0"/>
              <w:right w:val="single" w:color="000000" w:sz="2" w:space="0"/>
            </w:tcBorders>
            <w:noWrap w:val="0"/>
            <w:vAlign w:val="center"/>
          </w:tcPr>
          <w:p w14:paraId="16FB3E9B">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position w:val="1"/>
                <w:szCs w:val="21"/>
                <w:highlight w:val="none"/>
              </w:rPr>
              <w:t>3</w:t>
            </w:r>
          </w:p>
        </w:tc>
      </w:tr>
    </w:tbl>
    <w:p w14:paraId="4D77F08B">
      <w:pPr>
        <w:keepNext w:val="0"/>
        <w:keepLines w:val="0"/>
        <w:pageBreakBefore w:val="0"/>
        <w:wordWrap w:val="0"/>
        <w:overflowPunct/>
        <w:topLinePunct w:val="0"/>
        <w:bidi w:val="0"/>
        <w:spacing w:before="86" w:line="300" w:lineRule="auto"/>
        <w:ind w:firstLine="420" w:firstLineChars="200"/>
        <w:outlineLvl w:val="1"/>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pacing w:val="16"/>
          <w:szCs w:val="21"/>
          <w:highlight w:val="none"/>
        </w:rPr>
        <w:t>出水水质标准</w:t>
      </w:r>
    </w:p>
    <w:p w14:paraId="18B5B500">
      <w:pPr>
        <w:keepNext w:val="0"/>
        <w:keepLines w:val="0"/>
        <w:pageBreakBefore w:val="0"/>
        <w:wordWrap w:val="0"/>
        <w:overflowPunct/>
        <w:topLinePunct w:val="0"/>
        <w:bidi w:val="0"/>
        <w:spacing w:line="300" w:lineRule="auto"/>
        <w:ind w:firstLine="472" w:firstLineChars="200"/>
        <w:jc w:val="center"/>
        <w:rPr>
          <w:rFonts w:ascii="宋体" w:hAnsi="宋体" w:cs="宋体"/>
          <w:color w:val="auto"/>
          <w:szCs w:val="21"/>
          <w:highlight w:val="none"/>
        </w:rPr>
      </w:pPr>
      <w:r>
        <w:rPr>
          <w:rFonts w:hint="eastAsia" w:ascii="宋体" w:hAnsi="宋体" w:cs="宋体"/>
          <w:color w:val="auto"/>
          <w:spacing w:val="13"/>
          <w:szCs w:val="21"/>
          <w:highlight w:val="none"/>
        </w:rPr>
        <w:t xml:space="preserve">表2-1  </w:t>
      </w:r>
      <w:r>
        <w:rPr>
          <w:rFonts w:hint="eastAsia" w:ascii="宋体" w:hAnsi="宋体" w:cs="宋体"/>
          <w:color w:val="auto"/>
          <w:spacing w:val="-54"/>
          <w:szCs w:val="21"/>
          <w:highlight w:val="none"/>
        </w:rPr>
        <w:t xml:space="preserve"> </w:t>
      </w:r>
      <w:r>
        <w:rPr>
          <w:rFonts w:hint="eastAsia" w:ascii="宋体" w:hAnsi="宋体" w:cs="宋体"/>
          <w:color w:val="auto"/>
          <w:spacing w:val="13"/>
          <w:szCs w:val="21"/>
          <w:highlight w:val="none"/>
        </w:rPr>
        <w:t>污水处理厂设计出水水质（单位：</w:t>
      </w:r>
      <w:r>
        <w:rPr>
          <w:rFonts w:hint="eastAsia" w:ascii="宋体" w:hAnsi="宋体" w:cs="宋体"/>
          <w:color w:val="auto"/>
          <w:spacing w:val="-52"/>
          <w:szCs w:val="21"/>
          <w:highlight w:val="none"/>
        </w:rPr>
        <w:t xml:space="preserve"> </w:t>
      </w:r>
      <w:r>
        <w:rPr>
          <w:rFonts w:hint="eastAsia" w:ascii="宋体" w:hAnsi="宋体" w:cs="宋体"/>
          <w:color w:val="auto"/>
          <w:szCs w:val="21"/>
          <w:highlight w:val="none"/>
        </w:rPr>
        <w:t>mg</w:t>
      </w:r>
      <w:r>
        <w:rPr>
          <w:rFonts w:hint="eastAsia" w:ascii="宋体" w:hAnsi="宋体" w:cs="宋体"/>
          <w:color w:val="auto"/>
          <w:spacing w:val="13"/>
          <w:szCs w:val="21"/>
          <w:highlight w:val="none"/>
        </w:rPr>
        <w:t>/L）</w:t>
      </w:r>
    </w:p>
    <w:tbl>
      <w:tblPr>
        <w:tblStyle w:val="86"/>
        <w:tblW w:w="5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004"/>
        <w:gridCol w:w="842"/>
        <w:gridCol w:w="842"/>
        <w:gridCol w:w="842"/>
        <w:gridCol w:w="843"/>
        <w:gridCol w:w="696"/>
      </w:tblGrid>
      <w:tr w14:paraId="7F066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688" w:type="dxa"/>
            <w:tcBorders>
              <w:top w:val="single" w:color="000000" w:sz="2" w:space="0"/>
              <w:left w:val="single" w:color="000000" w:sz="2" w:space="0"/>
              <w:bottom w:val="single" w:color="000000" w:sz="2" w:space="0"/>
              <w:right w:val="single" w:color="000000" w:sz="2" w:space="0"/>
            </w:tcBorders>
            <w:noWrap w:val="0"/>
            <w:vAlign w:val="center"/>
          </w:tcPr>
          <w:p w14:paraId="2842EAB4">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7"/>
                <w:szCs w:val="21"/>
                <w:highlight w:val="none"/>
              </w:rPr>
              <w:t>项目</w:t>
            </w:r>
          </w:p>
        </w:tc>
        <w:tc>
          <w:tcPr>
            <w:tcW w:w="1004" w:type="dxa"/>
            <w:tcBorders>
              <w:top w:val="single" w:color="000000" w:sz="2" w:space="0"/>
              <w:left w:val="single" w:color="000000" w:sz="2" w:space="0"/>
              <w:bottom w:val="single" w:color="000000" w:sz="2" w:space="0"/>
              <w:right w:val="single" w:color="000000" w:sz="2" w:space="0"/>
            </w:tcBorders>
            <w:noWrap w:val="0"/>
            <w:vAlign w:val="center"/>
          </w:tcPr>
          <w:p w14:paraId="3EF9A79E">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6"/>
                <w:szCs w:val="21"/>
                <w:highlight w:val="none"/>
              </w:rPr>
              <w:t>CODcr</w:t>
            </w:r>
          </w:p>
          <w:p w14:paraId="7ECCEEFE">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3672CF8E">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BOD</w:t>
            </w:r>
            <w:r>
              <w:rPr>
                <w:rFonts w:hint="eastAsia" w:ascii="宋体" w:hAnsi="宋体" w:cs="宋体"/>
                <w:color w:val="auto"/>
                <w:spacing w:val="22"/>
                <w:szCs w:val="21"/>
                <w:highlight w:val="none"/>
                <w:vertAlign w:val="subscript"/>
              </w:rPr>
              <w:t>5</w:t>
            </w:r>
          </w:p>
          <w:p w14:paraId="13E71B81">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3E55EB1C">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3"/>
                <w:szCs w:val="21"/>
                <w:highlight w:val="none"/>
              </w:rPr>
              <w:t>SS</w:t>
            </w:r>
          </w:p>
          <w:p w14:paraId="1B5EB790">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6"/>
                <w:szCs w:val="21"/>
                <w:highlight w:val="none"/>
              </w:rPr>
              <w:t>(</w:t>
            </w:r>
            <w:r>
              <w:rPr>
                <w:rFonts w:hint="eastAsia" w:ascii="宋体" w:hAnsi="宋体" w:cs="宋体"/>
                <w:color w:val="auto"/>
                <w:szCs w:val="21"/>
                <w:highlight w:val="none"/>
              </w:rPr>
              <w:t>mg</w:t>
            </w:r>
            <w:r>
              <w:rPr>
                <w:rFonts w:hint="eastAsia" w:ascii="宋体" w:hAnsi="宋体" w:cs="宋体"/>
                <w:color w:val="auto"/>
                <w:spacing w:val="6"/>
                <w:szCs w:val="21"/>
                <w:highlight w:val="none"/>
              </w:rPr>
              <w:t>/L)</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25884544">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4"/>
                <w:szCs w:val="21"/>
                <w:highlight w:val="none"/>
              </w:rPr>
              <w:t>TN</w:t>
            </w:r>
          </w:p>
          <w:p w14:paraId="49ED5971">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843" w:type="dxa"/>
            <w:tcBorders>
              <w:top w:val="single" w:color="000000" w:sz="2" w:space="0"/>
              <w:left w:val="single" w:color="000000" w:sz="2" w:space="0"/>
              <w:bottom w:val="single" w:color="000000" w:sz="2" w:space="0"/>
              <w:right w:val="single" w:color="000000" w:sz="2" w:space="0"/>
            </w:tcBorders>
            <w:noWrap w:val="0"/>
            <w:vAlign w:val="center"/>
          </w:tcPr>
          <w:p w14:paraId="4E7C2287">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NH</w:t>
            </w:r>
            <w:r>
              <w:rPr>
                <w:rFonts w:hint="eastAsia" w:ascii="宋体" w:hAnsi="宋体" w:cs="宋体"/>
                <w:color w:val="auto"/>
                <w:szCs w:val="21"/>
                <w:highlight w:val="none"/>
                <w:vertAlign w:val="subscript"/>
                <w:lang w:val="en-US" w:eastAsia="zh-CN"/>
              </w:rPr>
              <w:t>3</w:t>
            </w:r>
            <w:r>
              <w:rPr>
                <w:rFonts w:hint="eastAsia" w:ascii="宋体" w:hAnsi="宋体" w:cs="宋体"/>
                <w:color w:val="auto"/>
                <w:spacing w:val="18"/>
                <w:szCs w:val="21"/>
                <w:highlight w:val="none"/>
              </w:rPr>
              <w:t>-</w:t>
            </w:r>
            <w:r>
              <w:rPr>
                <w:rFonts w:hint="eastAsia" w:ascii="宋体" w:hAnsi="宋体" w:cs="宋体"/>
                <w:color w:val="auto"/>
                <w:spacing w:val="8"/>
                <w:szCs w:val="21"/>
                <w:highlight w:val="none"/>
              </w:rPr>
              <w:t>N</w:t>
            </w:r>
          </w:p>
          <w:p w14:paraId="64389C44">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zCs w:val="21"/>
                <w:highlight w:val="none"/>
              </w:rPr>
              <w:t>mg</w:t>
            </w:r>
            <w:r>
              <w:rPr>
                <w:rFonts w:hint="eastAsia" w:ascii="宋体" w:hAnsi="宋体" w:cs="宋体"/>
                <w:color w:val="auto"/>
                <w:spacing w:val="7"/>
                <w:szCs w:val="21"/>
                <w:highlight w:val="none"/>
              </w:rPr>
              <w:t>/L)</w:t>
            </w:r>
          </w:p>
        </w:tc>
        <w:tc>
          <w:tcPr>
            <w:tcW w:w="696" w:type="dxa"/>
            <w:tcBorders>
              <w:top w:val="single" w:color="000000" w:sz="2" w:space="0"/>
              <w:left w:val="single" w:color="000000" w:sz="2" w:space="0"/>
              <w:bottom w:val="single" w:color="000000" w:sz="2" w:space="0"/>
              <w:right w:val="single" w:color="000000" w:sz="2" w:space="0"/>
            </w:tcBorders>
            <w:noWrap w:val="0"/>
            <w:vAlign w:val="center"/>
          </w:tcPr>
          <w:p w14:paraId="1C9CA749">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3"/>
                <w:szCs w:val="21"/>
                <w:highlight w:val="none"/>
              </w:rPr>
              <w:t>TP</w:t>
            </w:r>
          </w:p>
          <w:p w14:paraId="6DED9047">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6"/>
                <w:szCs w:val="21"/>
                <w:highlight w:val="none"/>
              </w:rPr>
              <w:t>(</w:t>
            </w:r>
            <w:r>
              <w:rPr>
                <w:rFonts w:hint="eastAsia" w:ascii="宋体" w:hAnsi="宋体" w:cs="宋体"/>
                <w:color w:val="auto"/>
                <w:szCs w:val="21"/>
                <w:highlight w:val="none"/>
              </w:rPr>
              <w:t>mg</w:t>
            </w:r>
            <w:r>
              <w:rPr>
                <w:rFonts w:hint="eastAsia" w:ascii="宋体" w:hAnsi="宋体" w:cs="宋体"/>
                <w:color w:val="auto"/>
                <w:spacing w:val="6"/>
                <w:szCs w:val="21"/>
                <w:highlight w:val="none"/>
              </w:rPr>
              <w:t>/</w:t>
            </w:r>
            <w:r>
              <w:rPr>
                <w:rFonts w:hint="eastAsia" w:ascii="宋体" w:hAnsi="宋体" w:cs="宋体"/>
                <w:color w:val="auto"/>
                <w:spacing w:val="2"/>
                <w:szCs w:val="21"/>
                <w:highlight w:val="none"/>
              </w:rPr>
              <w:t>L)</w:t>
            </w:r>
          </w:p>
        </w:tc>
      </w:tr>
      <w:tr w14:paraId="18BD3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jc w:val="center"/>
        </w:trPr>
        <w:tc>
          <w:tcPr>
            <w:tcW w:w="688" w:type="dxa"/>
            <w:tcBorders>
              <w:top w:val="single" w:color="000000" w:sz="2" w:space="0"/>
              <w:left w:val="single" w:color="000000" w:sz="2" w:space="0"/>
              <w:bottom w:val="single" w:color="000000" w:sz="2" w:space="0"/>
              <w:right w:val="single" w:color="000000" w:sz="2" w:space="0"/>
            </w:tcBorders>
            <w:noWrap w:val="0"/>
            <w:vAlign w:val="center"/>
          </w:tcPr>
          <w:p w14:paraId="75EF06C0">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3"/>
                <w:szCs w:val="21"/>
                <w:highlight w:val="none"/>
              </w:rPr>
              <w:t>出水</w:t>
            </w:r>
            <w:r>
              <w:rPr>
                <w:rFonts w:hint="eastAsia" w:ascii="宋体" w:hAnsi="宋体" w:cs="宋体"/>
                <w:color w:val="auto"/>
                <w:spacing w:val="10"/>
                <w:szCs w:val="21"/>
                <w:highlight w:val="none"/>
              </w:rPr>
              <w:t>浓度</w:t>
            </w:r>
          </w:p>
        </w:tc>
        <w:tc>
          <w:tcPr>
            <w:tcW w:w="1004" w:type="dxa"/>
            <w:tcBorders>
              <w:top w:val="single" w:color="000000" w:sz="2" w:space="0"/>
              <w:left w:val="single" w:color="000000" w:sz="2" w:space="0"/>
              <w:bottom w:val="single" w:color="000000" w:sz="2" w:space="0"/>
              <w:right w:val="single" w:color="000000" w:sz="2" w:space="0"/>
            </w:tcBorders>
            <w:noWrap w:val="0"/>
            <w:vAlign w:val="center"/>
          </w:tcPr>
          <w:p w14:paraId="00E43156">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60</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4E8782C9">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3"/>
                <w:szCs w:val="21"/>
                <w:highlight w:val="none"/>
              </w:rPr>
              <w:t>20</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6A1BE0E5">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3"/>
                <w:szCs w:val="21"/>
                <w:highlight w:val="none"/>
              </w:rPr>
              <w:t>20</w:t>
            </w:r>
          </w:p>
        </w:tc>
        <w:tc>
          <w:tcPr>
            <w:tcW w:w="842" w:type="dxa"/>
            <w:tcBorders>
              <w:top w:val="single" w:color="000000" w:sz="2" w:space="0"/>
              <w:left w:val="single" w:color="000000" w:sz="2" w:space="0"/>
              <w:bottom w:val="single" w:color="000000" w:sz="2" w:space="0"/>
              <w:right w:val="single" w:color="000000" w:sz="2" w:space="0"/>
            </w:tcBorders>
            <w:noWrap w:val="0"/>
            <w:vAlign w:val="center"/>
          </w:tcPr>
          <w:p w14:paraId="0D947857">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3"/>
                <w:szCs w:val="21"/>
                <w:highlight w:val="none"/>
              </w:rPr>
              <w:t>20</w:t>
            </w:r>
          </w:p>
        </w:tc>
        <w:tc>
          <w:tcPr>
            <w:tcW w:w="843" w:type="dxa"/>
            <w:tcBorders>
              <w:top w:val="single" w:color="000000" w:sz="2" w:space="0"/>
              <w:left w:val="single" w:color="000000" w:sz="2" w:space="0"/>
              <w:bottom w:val="single" w:color="000000" w:sz="2" w:space="0"/>
              <w:right w:val="single" w:color="000000" w:sz="2" w:space="0"/>
            </w:tcBorders>
            <w:noWrap w:val="0"/>
            <w:vAlign w:val="center"/>
          </w:tcPr>
          <w:p w14:paraId="1D51A393">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pacing w:val="4"/>
                <w:szCs w:val="21"/>
                <w:highlight w:val="none"/>
              </w:rPr>
              <w:t>8(15)</w:t>
            </w:r>
          </w:p>
        </w:tc>
        <w:tc>
          <w:tcPr>
            <w:tcW w:w="696" w:type="dxa"/>
            <w:tcBorders>
              <w:top w:val="single" w:color="000000" w:sz="2" w:space="0"/>
              <w:left w:val="single" w:color="000000" w:sz="2" w:space="0"/>
              <w:bottom w:val="single" w:color="000000" w:sz="2" w:space="0"/>
              <w:right w:val="single" w:color="000000" w:sz="2" w:space="0"/>
            </w:tcBorders>
            <w:noWrap w:val="0"/>
            <w:vAlign w:val="center"/>
          </w:tcPr>
          <w:p w14:paraId="7B90C35D">
            <w:pPr>
              <w:keepNext w:val="0"/>
              <w:keepLines w:val="0"/>
              <w:pageBreakBefore w:val="0"/>
              <w:wordWrap w:val="0"/>
              <w:overflowPunct/>
              <w:topLinePunct w:val="0"/>
              <w:bidi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1</w:t>
            </w:r>
          </w:p>
        </w:tc>
      </w:tr>
    </w:tbl>
    <w:p w14:paraId="34FE61DE">
      <w:pPr>
        <w:keepNext w:val="0"/>
        <w:keepLines w:val="0"/>
        <w:pageBreakBefore w:val="0"/>
        <w:numPr>
          <w:ilvl w:val="0"/>
          <w:numId w:val="4"/>
        </w:numPr>
        <w:wordWrap w:val="0"/>
        <w:overflowPunct/>
        <w:topLinePunct w:val="0"/>
        <w:bidi w:val="0"/>
        <w:spacing w:line="30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符合国家规定的技术质量标准和现行技术规范、规程要求。</w:t>
      </w:r>
    </w:p>
    <w:p w14:paraId="052F26C4">
      <w:pPr>
        <w:keepNext w:val="0"/>
        <w:keepLines w:val="0"/>
        <w:pageBreakBefore w:val="0"/>
        <w:wordWrap w:val="0"/>
        <w:overflowPunct/>
        <w:topLinePunct w:val="0"/>
        <w:bidi w:val="0"/>
        <w:spacing w:line="30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服务内容及工作要求</w:t>
      </w:r>
    </w:p>
    <w:p w14:paraId="1BE91F72">
      <w:pPr>
        <w:keepNext w:val="0"/>
        <w:keepLines w:val="0"/>
        <w:pageBreakBefore w:val="0"/>
        <w:wordWrap w:val="0"/>
        <w:overflowPunct/>
        <w:topLinePunct w:val="0"/>
        <w:bidi w:val="0"/>
        <w:spacing w:line="30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本要求基于污水处理厂处理规模及出水标准制定，</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在服务期内须严格遵照执行，确保污水处理系统稳定、安全、高效运行，出水水质持续达标。</w:t>
      </w:r>
    </w:p>
    <w:p w14:paraId="6AF4A041">
      <w:pPr>
        <w:keepNext w:val="0"/>
        <w:keepLines w:val="0"/>
        <w:pageBreakBefore w:val="0"/>
        <w:wordWrap w:val="0"/>
        <w:overflowPunct/>
        <w:topLinePunct w:val="0"/>
        <w:bidi w:val="0"/>
        <w:spacing w:line="30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核心运行保障要求</w:t>
      </w:r>
    </w:p>
    <w:p w14:paraId="6E5D1B6F">
      <w:pPr>
        <w:keepNext w:val="0"/>
        <w:keepLines w:val="0"/>
        <w:pageBreakBefore w:val="0"/>
        <w:wordWrap w:val="0"/>
        <w:overflowPunct/>
        <w:topLinePunct w:val="0"/>
        <w:bidi w:val="0"/>
        <w:spacing w:line="30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全面负责服务期内污水处理系统正常运行的全流程工作，成交后制定科学的运行方案并严格实施，定期开展设备检修保养与日常维修工作。对于无法自主维修的设备，须及时协助</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联系原厂家或授权服务商开展维修事宜。确保所有处理设施、设备无堵塞、渗漏、开裂、破损等异常情况；故障设备须在规定时限内修复（一般故障不超过24小时，重大故障不超过72小时），关键设备（如提升泵、曝气设备、消毒设备等）必须制定并落实备用方案，确保不影响系统整体运行。</w:t>
      </w:r>
    </w:p>
    <w:p w14:paraId="14FDE1EC">
      <w:pPr>
        <w:keepNext w:val="0"/>
        <w:keepLines w:val="0"/>
        <w:pageBreakBefore w:val="0"/>
        <w:wordWrap w:val="0"/>
        <w:overflowPunct/>
        <w:topLinePunct w:val="0"/>
        <w:bidi w:val="0"/>
        <w:spacing w:line="30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分类型做好设施运维：①有动力处理设施：保障各类水泵、风机、曝气设备及配套配电设施运行良好，无漏电、跳闸、异响、振动异常等现象，定期检测设备运行参数（如电流、电压、扬程、流量等），确保符合设计要求；②其他设施：按季节开展植物修枝、整形、杂草清除、病虫害防治及补种工作，确保厂区植物覆盖率及生长状态；保持污水池内基质无板结、无垃圾杂物、无杂草滋生，池体及周边绿化带内禁止堆放任何杂物，保障污水处理效率及景观整洁度。</w:t>
      </w:r>
    </w:p>
    <w:p w14:paraId="1F97A4BA">
      <w:pPr>
        <w:keepNext w:val="0"/>
        <w:keepLines w:val="0"/>
        <w:pageBreakBefore w:val="0"/>
        <w:wordWrap w:val="0"/>
        <w:overflowPunct/>
        <w:topLinePunct w:val="0"/>
        <w:bidi w:val="0"/>
        <w:spacing w:line="300" w:lineRule="auto"/>
        <w:ind w:firstLine="422" w:firstLineChars="200"/>
        <w:rPr>
          <w:rFonts w:ascii="宋体" w:hAnsi="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全范</w:t>
      </w:r>
      <w:r>
        <w:rPr>
          <w:rFonts w:hint="eastAsia" w:ascii="宋体" w:hAnsi="宋体" w:cs="宋体"/>
          <w:b/>
          <w:bCs/>
          <w:color w:val="auto"/>
          <w:kern w:val="0"/>
          <w:szCs w:val="21"/>
          <w:highlight w:val="none"/>
        </w:rPr>
        <w:t>围设施运维管理要求</w:t>
      </w:r>
    </w:p>
    <w:p w14:paraId="08F333B6">
      <w:pPr>
        <w:keepNext w:val="0"/>
        <w:keepLines w:val="0"/>
        <w:pageBreakBefore w:val="0"/>
        <w:wordWrap w:val="0"/>
        <w:overflowPunct/>
        <w:topLinePunct w:val="0"/>
        <w:bidi w:val="0"/>
        <w:spacing w:line="30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对厂区内所有设施设备及公用附属设施实施全生命周期检测与维护管理，具体涵盖：各类处理设备、构筑物、厂区道路、绿化系统、排水排污管道、给水及消防管道等；建立“日巡查、周检查、月保养”制度，详细记录检查生产维护情况，形成可追溯的设施管理档案，发现隐患4小时内整改。</w:t>
      </w:r>
    </w:p>
    <w:p w14:paraId="787BB2A4">
      <w:pPr>
        <w:keepNext w:val="0"/>
        <w:keepLines w:val="0"/>
        <w:pageBreakBefore w:val="0"/>
        <w:wordWrap w:val="0"/>
        <w:overflowPunct/>
        <w:topLinePunct w:val="0"/>
        <w:bidi w:val="0"/>
        <w:spacing w:line="30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建立并完善污水收集管网巡查制度（需上墙），明确巡查范围、频次（重点区域每日至少1次，一般区域每周至少2次）及巡查标准；制定针对性应急处理预案（如管网堵塞、破损、雨天溢流等场景），一旦发现污水处理设施或管网破损、堵塞等问题，须立即启动响应，安排专业人员进行维修处置，防止污水外溢污染环境。</w:t>
      </w:r>
    </w:p>
    <w:p w14:paraId="1EAD311A">
      <w:pPr>
        <w:keepNext w:val="0"/>
        <w:keepLines w:val="0"/>
        <w:pageBreakBefore w:val="0"/>
        <w:wordWrap w:val="0"/>
        <w:overflowPunct/>
        <w:topLinePunct w:val="0"/>
        <w:bidi w:val="0"/>
        <w:spacing w:line="300" w:lineRule="auto"/>
        <w:ind w:firstLine="422" w:firstLineChars="200"/>
        <w:rPr>
          <w:rFonts w:ascii="宋体" w:hAnsi="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rPr>
        <w:t>安全生产与责任界定要求</w:t>
      </w:r>
    </w:p>
    <w:p w14:paraId="7F723AFA">
      <w:pPr>
        <w:keepNext w:val="0"/>
        <w:keepLines w:val="0"/>
        <w:pageBreakBefore w:val="0"/>
        <w:wordWrap w:val="0"/>
        <w:overflowPunct/>
        <w:topLinePunct w:val="0"/>
        <w:bidi w:val="0"/>
        <w:spacing w:line="30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严格履行设施设备运行维护安全生产主体责任，建立健全安全生产管理制度、操作规程及岗位责任制（需上墙）；加强对操作人员的安全生产教育、培训及考核，确保全员持证上岗、规范操作；定期开展安全生产检查并做好记录（每月至少1次全面检查），及时纠正违规操作、排除安全隐患。</w:t>
      </w:r>
    </w:p>
    <w:p w14:paraId="22738655">
      <w:pPr>
        <w:keepNext w:val="0"/>
        <w:keepLines w:val="0"/>
        <w:pageBreakBefore w:val="0"/>
        <w:wordWrap w:val="0"/>
        <w:overflowPunct/>
        <w:topLinePunct w:val="0"/>
        <w:bidi w:val="0"/>
        <w:spacing w:line="30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若因</w:t>
      </w:r>
      <w:r>
        <w:rPr>
          <w:rFonts w:hint="eastAsia" w:ascii="宋体" w:hAnsi="宋体" w:cs="宋体"/>
          <w:color w:val="auto"/>
          <w:kern w:val="0"/>
          <w:szCs w:val="21"/>
          <w:highlight w:val="none"/>
          <w:lang w:eastAsia="zh-CN"/>
        </w:rPr>
        <w:t>乙方</w:t>
      </w:r>
      <w:r>
        <w:rPr>
          <w:rFonts w:hint="eastAsia" w:ascii="宋体" w:hAnsi="宋体" w:cs="宋体"/>
          <w:color w:val="auto"/>
          <w:kern w:val="0"/>
          <w:szCs w:val="21"/>
          <w:highlight w:val="none"/>
        </w:rPr>
        <w:t>操作不当、维护不及时或管理失职导致设备仪器故障、安全事故发生的，</w:t>
      </w:r>
      <w:r>
        <w:rPr>
          <w:rFonts w:hint="eastAsia" w:ascii="宋体" w:hAnsi="宋体" w:cs="宋体"/>
          <w:b/>
          <w:bCs/>
          <w:color w:val="auto"/>
          <w:kern w:val="0"/>
          <w:szCs w:val="21"/>
          <w:highlight w:val="none"/>
        </w:rPr>
        <w:t>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承担全部法律责任及经济赔偿责任；因设备本身质量缺陷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非</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使用不当</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导致的事故，由设备供应单位承担责任；因</w:t>
      </w:r>
      <w:r>
        <w:rPr>
          <w:rFonts w:hint="eastAsia" w:ascii="宋体" w:hAnsi="宋体" w:cs="宋体"/>
          <w:color w:val="auto"/>
          <w:kern w:val="0"/>
          <w:szCs w:val="21"/>
          <w:highlight w:val="none"/>
          <w:lang w:val="en-US" w:eastAsia="zh-CN"/>
        </w:rPr>
        <w:t>甲方</w:t>
      </w:r>
      <w:r>
        <w:rPr>
          <w:rFonts w:hint="eastAsia" w:ascii="宋体" w:hAnsi="宋体" w:eastAsia="宋体" w:cs="宋体"/>
          <w:color w:val="auto"/>
          <w:kern w:val="0"/>
          <w:szCs w:val="21"/>
          <w:highlight w:val="none"/>
        </w:rPr>
        <w:t>指令违规或第三方原因导致的事故，</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不承担责任；</w:t>
      </w:r>
      <w:r>
        <w:rPr>
          <w:rFonts w:hint="eastAsia" w:ascii="宋体" w:hAnsi="宋体" w:cs="宋体"/>
          <w:color w:val="auto"/>
          <w:kern w:val="0"/>
          <w:szCs w:val="21"/>
          <w:highlight w:val="none"/>
        </w:rPr>
        <w:t>发生事故后须立即通报</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，并启动应急处置机制，尽最大人力物力抢救，尽快恢复生产服务，减少对公众环境及周边居民的影响。</w:t>
      </w:r>
    </w:p>
    <w:p w14:paraId="0E2D6BDF">
      <w:pPr>
        <w:keepNext w:val="0"/>
        <w:keepLines w:val="0"/>
        <w:pageBreakBefore w:val="0"/>
        <w:wordWrap w:val="0"/>
        <w:overflowPunct/>
        <w:topLinePunct w:val="0"/>
        <w:bidi w:val="0"/>
        <w:spacing w:line="300" w:lineRule="auto"/>
        <w:ind w:firstLine="422" w:firstLineChars="200"/>
        <w:rPr>
          <w:rFonts w:ascii="宋体" w:hAnsi="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rPr>
        <w:t>物资更换与费用界定要求</w:t>
      </w:r>
    </w:p>
    <w:p w14:paraId="0412554D">
      <w:pPr>
        <w:keepNext w:val="0"/>
        <w:keepLines w:val="0"/>
        <w:pageBreakBefore w:val="0"/>
        <w:wordWrap w:val="0"/>
        <w:overflowPunct/>
        <w:topLinePunct w:val="0"/>
        <w:bidi w:val="0"/>
        <w:spacing w:line="30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污水设施运行过程中，设施设备一般性故障及管网损坏等情况由</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自行修复更换，费用包含在合同价内，维修更换费用上限6万元/年，超出6万元/年由</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报</w:t>
      </w:r>
      <w:r>
        <w:rPr>
          <w:rFonts w:hint="eastAsia" w:ascii="宋体" w:hAnsi="宋体" w:cs="宋体"/>
          <w:color w:val="auto"/>
          <w:kern w:val="0"/>
          <w:szCs w:val="21"/>
          <w:highlight w:val="none"/>
          <w:lang w:eastAsia="zh-CN"/>
        </w:rPr>
        <w:t>甲方</w:t>
      </w:r>
      <w:r>
        <w:rPr>
          <w:rFonts w:hint="eastAsia" w:ascii="宋体" w:hAnsi="宋体" w:cs="宋体"/>
          <w:color w:val="auto"/>
          <w:kern w:val="0"/>
          <w:szCs w:val="21"/>
          <w:highlight w:val="none"/>
        </w:rPr>
        <w:t>，经</w:t>
      </w:r>
      <w:r>
        <w:rPr>
          <w:rFonts w:hint="eastAsia" w:ascii="宋体" w:hAnsi="宋体" w:cs="宋体"/>
          <w:color w:val="auto"/>
          <w:kern w:val="0"/>
          <w:szCs w:val="21"/>
          <w:highlight w:val="none"/>
          <w:lang w:eastAsia="zh-CN"/>
        </w:rPr>
        <w:t>甲方</w:t>
      </w:r>
      <w:r>
        <w:rPr>
          <w:rFonts w:hint="eastAsia" w:ascii="宋体" w:hAnsi="宋体" w:cs="宋体"/>
          <w:color w:val="auto"/>
          <w:kern w:val="0"/>
          <w:szCs w:val="21"/>
          <w:highlight w:val="none"/>
        </w:rPr>
        <w:t>同意后进行维修或重置，费用由</w:t>
      </w:r>
      <w:r>
        <w:rPr>
          <w:rFonts w:hint="eastAsia" w:ascii="宋体" w:hAnsi="宋体" w:cs="宋体"/>
          <w:color w:val="auto"/>
          <w:kern w:val="0"/>
          <w:szCs w:val="21"/>
          <w:highlight w:val="none"/>
          <w:lang w:eastAsia="zh-CN"/>
        </w:rPr>
        <w:t>甲方</w:t>
      </w:r>
      <w:r>
        <w:rPr>
          <w:rFonts w:hint="eastAsia" w:ascii="宋体" w:hAnsi="宋体" w:cs="宋体"/>
          <w:color w:val="auto"/>
          <w:kern w:val="0"/>
          <w:szCs w:val="21"/>
          <w:highlight w:val="none"/>
        </w:rPr>
        <w:t>承担，属质保期范围内的设施设备维修或重置费用由设备供应单位承担。</w:t>
      </w:r>
    </w:p>
    <w:p w14:paraId="6341B620">
      <w:pPr>
        <w:keepNext w:val="0"/>
        <w:keepLines w:val="0"/>
        <w:pageBreakBefore w:val="0"/>
        <w:wordWrap w:val="0"/>
        <w:overflowPunct/>
        <w:topLinePunct w:val="0"/>
        <w:bidi w:val="0"/>
        <w:spacing w:line="300" w:lineRule="auto"/>
        <w:ind w:firstLine="422" w:firstLineChars="200"/>
        <w:rPr>
          <w:rFonts w:ascii="宋体" w:hAnsi="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rPr>
        <w:t>运行台账与水质管控要求</w:t>
      </w:r>
    </w:p>
    <w:p w14:paraId="4EA0F08F">
      <w:pPr>
        <w:keepNext w:val="0"/>
        <w:keepLines w:val="0"/>
        <w:pageBreakBefore w:val="0"/>
        <w:wordWrap w:val="0"/>
        <w:overflowPunct/>
        <w:topLinePunct w:val="0"/>
        <w:bidi w:val="0"/>
        <w:spacing w:line="30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严格按照一级B出水标准及国家相关规范，建立健全运行管理台账体系，台账内容须完整、真实、准确，具体包括：设施运转参数（处理量、停留时间、药剂投加量等）、设备维护记录（检修内容、更换配件、保养时间等）、生态养护记录（绿化维护等）、进出水水质水量监测记录等。</w:t>
      </w:r>
    </w:p>
    <w:p w14:paraId="418263A5">
      <w:pPr>
        <w:keepNext w:val="0"/>
        <w:keepLines w:val="0"/>
        <w:pageBreakBefore w:val="0"/>
        <w:wordWrap w:val="0"/>
        <w:overflowPunct/>
        <w:topLinePunct w:val="0"/>
        <w:bidi w:val="0"/>
        <w:spacing w:line="30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建立日常水质检测与检验制度，按照国家《城镇污水处理厂污染物排放标准》（GB18918-2002）及相关规范要求，明确检测项目（如COD、BOD、SS、氨氮、总磷等一级B标准相关指标）、检测频次（进出水水质每周至少1次手工检测，关键指标实时监测），采用标准检测方法开展检测工作；做好检测分析资料、水质报表的汇总、归档工作，定期形成运营总结报告，按要求上报</w:t>
      </w:r>
      <w:r>
        <w:rPr>
          <w:rFonts w:hint="eastAsia" w:ascii="宋体" w:hAnsi="宋体" w:cs="宋体"/>
          <w:color w:val="auto"/>
          <w:kern w:val="0"/>
          <w:szCs w:val="21"/>
          <w:highlight w:val="none"/>
          <w:lang w:eastAsia="zh-CN"/>
        </w:rPr>
        <w:t>甲方</w:t>
      </w:r>
      <w:r>
        <w:rPr>
          <w:rFonts w:hint="eastAsia" w:ascii="宋体" w:hAnsi="宋体" w:cs="宋体"/>
          <w:color w:val="auto"/>
          <w:kern w:val="0"/>
          <w:szCs w:val="21"/>
          <w:highlight w:val="none"/>
        </w:rPr>
        <w:t>备案。</w:t>
      </w:r>
    </w:p>
    <w:p w14:paraId="04B78EB5">
      <w:pPr>
        <w:keepNext w:val="0"/>
        <w:keepLines w:val="0"/>
        <w:pageBreakBefore w:val="0"/>
        <w:wordWrap w:val="0"/>
        <w:overflowPunct/>
        <w:topLinePunct w:val="0"/>
        <w:bidi w:val="0"/>
        <w:spacing w:line="30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每月5日前（遇节假日顺延）将上月完整台账数据及相关佐证材料（含设备维修表、运营记录表、关键点位现场照片等）上报</w:t>
      </w:r>
      <w:r>
        <w:rPr>
          <w:rFonts w:hint="eastAsia" w:ascii="宋体" w:hAnsi="宋体" w:cs="宋体"/>
          <w:color w:val="auto"/>
          <w:kern w:val="0"/>
          <w:szCs w:val="21"/>
          <w:highlight w:val="none"/>
          <w:lang w:eastAsia="zh-CN"/>
        </w:rPr>
        <w:t>甲方</w:t>
      </w:r>
      <w:r>
        <w:rPr>
          <w:rFonts w:hint="eastAsia" w:ascii="宋体" w:hAnsi="宋体" w:cs="宋体"/>
          <w:color w:val="auto"/>
          <w:kern w:val="0"/>
          <w:szCs w:val="21"/>
          <w:highlight w:val="none"/>
        </w:rPr>
        <w:t>存档；对提交的所有技术文件、监测数据的真实性、准确性负责。</w:t>
      </w:r>
    </w:p>
    <w:p w14:paraId="78DF9A98">
      <w:pPr>
        <w:keepNext w:val="0"/>
        <w:keepLines w:val="0"/>
        <w:pageBreakBefore w:val="0"/>
        <w:wordWrap w:val="0"/>
        <w:overflowPunct/>
        <w:topLinePunct w:val="0"/>
        <w:bidi w:val="0"/>
        <w:spacing w:line="300" w:lineRule="auto"/>
        <w:ind w:firstLine="422" w:firstLineChars="200"/>
        <w:rPr>
          <w:rFonts w:ascii="宋体" w:hAnsi="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rPr>
        <w:t>成果交付与配合要求</w:t>
      </w:r>
    </w:p>
    <w:p w14:paraId="037426AF">
      <w:pPr>
        <w:keepNext w:val="0"/>
        <w:keepLines w:val="0"/>
        <w:pageBreakBefore w:val="0"/>
        <w:wordWrap w:val="0"/>
        <w:overflowPunct/>
        <w:topLinePunct w:val="0"/>
        <w:bidi w:val="0"/>
        <w:spacing w:line="30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服务期内须向</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交付以下成果资料（均需加盖公章，纸质版及电子版各1份）：①运营方案（含年度运行计划、季度调整方案）；② 设备维修表（按月汇总）；③ 运营记录表（每日记录，按月汇总）；④ 应急处置预案（含管网故障、水质超标、设备停运等场景）；⑤ 员工培训手册（含安全操作、设备维护、应急处置等内容）；⑥ 年度第三方水质检测报告（每季度至少检测一次，委托具备CMA资质的第三方检测机构出具，检测项目覆盖一级B出水标准全指标）。</w:t>
      </w:r>
    </w:p>
    <w:p w14:paraId="7706CC46">
      <w:pPr>
        <w:keepNext w:val="0"/>
        <w:keepLines w:val="0"/>
        <w:pageBreakBefore w:val="0"/>
        <w:wordWrap w:val="0"/>
        <w:overflowPunct/>
        <w:topLinePunct w:val="0"/>
        <w:bidi w:val="0"/>
        <w:spacing w:line="30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积极配合</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及环保、应急、住建等相关部门的检查、采样、监测及资料核查工作，提供必要的工作条件及完整的佐证资料；对检查发现的问题，须在规定时限内完成整改并反馈整改报告。</w:t>
      </w:r>
    </w:p>
    <w:p w14:paraId="70749DE7">
      <w:pPr>
        <w:keepNext w:val="0"/>
        <w:keepLines w:val="0"/>
        <w:pageBreakBefore w:val="0"/>
        <w:widowControl w:val="0"/>
        <w:kinsoku/>
        <w:wordWrap/>
        <w:overflowPunct/>
        <w:topLinePunct w:val="0"/>
        <w:bidi w:val="0"/>
        <w:spacing w:line="300" w:lineRule="auto"/>
        <w:ind w:left="0" w:leftChars="0" w:right="0"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第五条　合同价款及支付</w:t>
      </w:r>
    </w:p>
    <w:p w14:paraId="073EC4FE">
      <w:pPr>
        <w:keepNext w:val="0"/>
        <w:keepLines w:val="0"/>
        <w:pageBreakBefore w:val="0"/>
        <w:widowControl w:val="0"/>
        <w:kinsoku/>
        <w:wordWrap/>
        <w:overflowPunct/>
        <w:topLinePunct w:val="0"/>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1.本合同以人民币付款。</w:t>
      </w:r>
    </w:p>
    <w:p w14:paraId="6BA28047">
      <w:pPr>
        <w:keepNext w:val="0"/>
        <w:keepLines w:val="0"/>
        <w:pageBreakBefore w:val="0"/>
        <w:widowControl w:val="0"/>
        <w:kinsoku/>
        <w:wordWrap/>
        <w:overflowPunct/>
        <w:topLinePunct w:val="0"/>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2.合同价款（或者报酬）：</w:t>
      </w:r>
      <w:r>
        <w:rPr>
          <w:rFonts w:hint="eastAsia" w:ascii="宋体" w:hAnsi="宋体" w:eastAsia="宋体" w:cs="Times New Roman"/>
          <w:color w:val="auto"/>
          <w:kern w:val="0"/>
          <w:sz w:val="21"/>
          <w:szCs w:val="21"/>
          <w:highlight w:val="none"/>
          <w:u w:val="single"/>
          <w:lang w:val="en-US" w:eastAsia="zh-CN" w:bidi="ar-SA"/>
        </w:rPr>
        <w:t xml:space="preserve">                     。</w:t>
      </w:r>
    </w:p>
    <w:p w14:paraId="4B191EC1">
      <w:pPr>
        <w:keepNext w:val="0"/>
        <w:keepLines w:val="0"/>
        <w:pageBreakBefore w:val="0"/>
        <w:wordWrap w:val="0"/>
        <w:overflowPunct/>
        <w:topLinePunct w:val="0"/>
        <w:bidi w:val="0"/>
        <w:spacing w:line="30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Times New Roman"/>
          <w:color w:val="auto"/>
          <w:kern w:val="0"/>
          <w:sz w:val="21"/>
          <w:szCs w:val="21"/>
          <w:highlight w:val="none"/>
          <w:lang w:val="en-US" w:eastAsia="zh-CN" w:bidi="ar-SA"/>
        </w:rPr>
        <w:t>3.合同价款</w:t>
      </w:r>
      <w:r>
        <w:rPr>
          <w:rFonts w:hint="eastAsia" w:ascii="宋体" w:hAnsi="宋体" w:eastAsia="宋体" w:cs="宋体"/>
          <w:bCs/>
          <w:color w:val="auto"/>
          <w:sz w:val="21"/>
          <w:szCs w:val="21"/>
          <w:highlight w:val="none"/>
        </w:rPr>
        <w:t>包含但不限于全部的住宿费、伙食费、交通费、劳务费、劳保费、电力消耗、日常用水药剂费、栅渣及污泥处置费、日常水质化验费、第三方水质监测费（每季度</w:t>
      </w:r>
      <w:r>
        <w:rPr>
          <w:rFonts w:hint="eastAsia" w:ascii="宋体" w:hAnsi="宋体" w:eastAsia="宋体" w:cs="宋体"/>
          <w:bCs/>
          <w:color w:val="auto"/>
          <w:sz w:val="21"/>
          <w:szCs w:val="21"/>
          <w:highlight w:val="none"/>
          <w:lang w:eastAsia="zh-CN"/>
        </w:rPr>
        <w:t>至少</w:t>
      </w:r>
      <w:r>
        <w:rPr>
          <w:rFonts w:hint="eastAsia" w:ascii="宋体" w:hAnsi="宋体" w:eastAsia="宋体" w:cs="宋体"/>
          <w:bCs/>
          <w:color w:val="auto"/>
          <w:sz w:val="21"/>
          <w:szCs w:val="21"/>
          <w:highlight w:val="none"/>
        </w:rPr>
        <w:t>检测一次）、设备日常维护费、管网日常维护费、在线监测设备运维费、管理费、利润、各项税金等费用</w:t>
      </w:r>
      <w:r>
        <w:rPr>
          <w:rFonts w:hint="eastAsia" w:ascii="宋体" w:hAnsi="宋体" w:eastAsia="宋体" w:cs="宋体"/>
          <w:bCs/>
          <w:color w:val="auto"/>
          <w:sz w:val="21"/>
          <w:szCs w:val="21"/>
          <w:highlight w:val="none"/>
          <w:lang w:eastAsia="zh-CN"/>
        </w:rPr>
        <w:t>。</w:t>
      </w:r>
    </w:p>
    <w:p w14:paraId="14EE06D4">
      <w:pPr>
        <w:keepNext w:val="0"/>
        <w:keepLines w:val="0"/>
        <w:pageBreakBefore w:val="0"/>
        <w:wordWrap w:val="0"/>
        <w:overflowPunct/>
        <w:topLinePunct w:val="0"/>
        <w:bidi w:val="0"/>
        <w:spacing w:line="30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其中：（1）</w:t>
      </w:r>
      <w:r>
        <w:rPr>
          <w:rFonts w:hint="eastAsia" w:ascii="宋体" w:hAnsi="宋体" w:eastAsia="宋体" w:cs="宋体"/>
          <w:bCs/>
          <w:color w:val="auto"/>
          <w:sz w:val="21"/>
          <w:szCs w:val="21"/>
          <w:highlight w:val="none"/>
        </w:rPr>
        <w:t>在线监测设备运维费包含进出水在线监测设备运维。</w:t>
      </w:r>
    </w:p>
    <w:p w14:paraId="2CBA327B">
      <w:pPr>
        <w:keepNext w:val="0"/>
        <w:keepLines w:val="0"/>
        <w:pageBreakBefore w:val="0"/>
        <w:widowControl w:val="0"/>
        <w:kinsoku/>
        <w:wordWrap/>
        <w:overflowPunct/>
        <w:topLinePunct w:val="0"/>
        <w:bidi w:val="0"/>
        <w:spacing w:line="300" w:lineRule="auto"/>
        <w:ind w:left="0" w:leftChars="0" w:right="0" w:firstLine="630" w:firstLineChars="3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设施设备一般性故障由</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自行修复，费用包含在合同价内，污水处理厂一般性故障维修费用上限</w:t>
      </w:r>
      <w:r>
        <w:rPr>
          <w:rFonts w:hint="eastAsia" w:ascii="宋体" w:hAnsi="宋体" w:eastAsia="宋体" w:cs="宋体"/>
          <w:color w:val="auto"/>
          <w:kern w:val="0"/>
          <w:sz w:val="21"/>
          <w:szCs w:val="21"/>
          <w:highlight w:val="none"/>
          <w:lang w:eastAsia="zh-CN"/>
        </w:rPr>
        <w:t>6万元</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年</w:t>
      </w:r>
      <w:r>
        <w:rPr>
          <w:rFonts w:hint="eastAsia" w:ascii="宋体" w:hAnsi="宋体" w:eastAsia="宋体" w:cs="宋体"/>
          <w:bCs/>
          <w:color w:val="auto"/>
          <w:sz w:val="21"/>
          <w:szCs w:val="21"/>
          <w:highlight w:val="none"/>
        </w:rPr>
        <w:t>，超出</w:t>
      </w:r>
      <w:r>
        <w:rPr>
          <w:rFonts w:hint="eastAsia" w:ascii="宋体" w:hAnsi="宋体" w:eastAsia="宋体" w:cs="宋体"/>
          <w:color w:val="auto"/>
          <w:kern w:val="0"/>
          <w:sz w:val="21"/>
          <w:szCs w:val="21"/>
          <w:highlight w:val="none"/>
          <w:lang w:eastAsia="zh-CN"/>
        </w:rPr>
        <w:t>6万元</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年</w:t>
      </w:r>
      <w:r>
        <w:rPr>
          <w:rFonts w:hint="eastAsia" w:ascii="宋体" w:hAnsi="宋体" w:eastAsia="宋体" w:cs="宋体"/>
          <w:bCs/>
          <w:color w:val="auto"/>
          <w:sz w:val="21"/>
          <w:szCs w:val="21"/>
          <w:highlight w:val="none"/>
        </w:rPr>
        <w:t>由</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报</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，经</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同意后进行维修或重置，费用由</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承担，</w:t>
      </w:r>
      <w:r>
        <w:rPr>
          <w:rFonts w:hint="eastAsia" w:ascii="宋体" w:hAnsi="宋体" w:eastAsia="宋体" w:cs="宋体"/>
          <w:bCs/>
          <w:color w:val="auto"/>
          <w:sz w:val="21"/>
          <w:szCs w:val="21"/>
          <w:highlight w:val="none"/>
          <w:lang w:eastAsia="zh-CN"/>
        </w:rPr>
        <w:t>属于</w:t>
      </w:r>
      <w:r>
        <w:rPr>
          <w:rFonts w:hint="eastAsia" w:ascii="宋体" w:hAnsi="宋体" w:eastAsia="宋体" w:cs="宋体"/>
          <w:bCs/>
          <w:color w:val="auto"/>
          <w:sz w:val="21"/>
          <w:szCs w:val="21"/>
          <w:highlight w:val="none"/>
        </w:rPr>
        <w:t>质保期范围内的设施设备维修或重置费用由设备供应单位承担</w:t>
      </w:r>
      <w:r>
        <w:rPr>
          <w:rFonts w:hint="eastAsia" w:ascii="宋体" w:hAnsi="宋体" w:eastAsia="宋体" w:cs="宋体"/>
          <w:bCs/>
          <w:color w:val="auto"/>
          <w:sz w:val="21"/>
          <w:szCs w:val="21"/>
          <w:highlight w:val="none"/>
          <w:lang w:eastAsia="zh-CN"/>
        </w:rPr>
        <w:t>。</w:t>
      </w:r>
    </w:p>
    <w:p w14:paraId="4C045F8E">
      <w:pPr>
        <w:keepNext w:val="0"/>
        <w:keepLines w:val="0"/>
        <w:pageBreakBefore w:val="0"/>
        <w:widowControl w:val="0"/>
        <w:kinsoku/>
        <w:wordWrap/>
        <w:overflowPunct/>
        <w:topLinePunct w:val="0"/>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4.付款进度安排：本项目无预付款，每季度结束后，乙方于下一季度第一个月的5日前将上个季度的《运营服务费付款申请》资料报甲方进行审核。</w:t>
      </w:r>
    </w:p>
    <w:p w14:paraId="64E0EFA0">
      <w:pPr>
        <w:keepNext w:val="0"/>
        <w:keepLines w:val="0"/>
        <w:pageBreakBefore w:val="0"/>
        <w:widowControl w:val="0"/>
        <w:kinsoku/>
        <w:wordWrap/>
        <w:overflowPunct/>
        <w:topLinePunct w:val="0"/>
        <w:bidi w:val="0"/>
        <w:spacing w:line="300" w:lineRule="auto"/>
        <w:ind w:left="0" w:leftChars="0" w:right="0" w:firstLine="420" w:firstLineChars="200"/>
        <w:jc w:val="both"/>
        <w:rPr>
          <w:rFonts w:ascii="宋体" w:hAnsi="宋体" w:eastAsia="宋体" w:cs="Times New Roman"/>
          <w:color w:val="auto"/>
          <w:kern w:val="0"/>
          <w:sz w:val="21"/>
          <w:szCs w:val="21"/>
          <w:highlight w:val="none"/>
          <w:u w:val="single"/>
          <w:lang w:val="en-US" w:eastAsia="zh-CN" w:bidi="ar-SA"/>
        </w:rPr>
      </w:pPr>
      <w:r>
        <w:rPr>
          <w:rFonts w:hint="eastAsia" w:ascii="宋体" w:hAnsi="宋体" w:eastAsia="宋体" w:cs="Times New Roman"/>
          <w:color w:val="auto"/>
          <w:kern w:val="0"/>
          <w:sz w:val="21"/>
          <w:szCs w:val="21"/>
          <w:highlight w:val="none"/>
          <w:lang w:val="en-US" w:eastAsia="zh-CN" w:bidi="ar-SA"/>
        </w:rPr>
        <w:t>甲方对乙方递交的《运营服务费付款申请》资料有异议的，先按递交《运营服务费付款申请》资料中申请金额的80%支付，并且双方在10个工作日内对考核结果进行核实及确认，双方确认后10个工作日内支付余下运营服务费。</w:t>
      </w:r>
    </w:p>
    <w:p w14:paraId="437F7B16">
      <w:pPr>
        <w:keepNext w:val="0"/>
        <w:keepLines w:val="0"/>
        <w:pageBreakBefore w:val="0"/>
        <w:widowControl w:val="0"/>
        <w:kinsoku/>
        <w:wordWrap/>
        <w:overflowPunct/>
        <w:topLinePunct w:val="0"/>
        <w:bidi w:val="0"/>
        <w:spacing w:line="300" w:lineRule="auto"/>
        <w:ind w:left="0" w:leftChars="0" w:right="0" w:firstLine="420" w:firstLineChars="200"/>
        <w:jc w:val="both"/>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5.资金支付方式：</w:t>
      </w:r>
      <w:r>
        <w:rPr>
          <w:rFonts w:hint="eastAsia" w:ascii="宋体" w:hAnsi="宋体" w:eastAsia="宋体" w:cs="Times New Roman"/>
          <w:color w:val="auto"/>
          <w:kern w:val="0"/>
          <w:sz w:val="21"/>
          <w:szCs w:val="21"/>
          <w:highlight w:val="none"/>
          <w:u w:val="single"/>
          <w:lang w:val="en-US" w:eastAsia="zh-CN" w:bidi="ar-SA"/>
        </w:rPr>
        <w:t xml:space="preserve">    （银行转账）   </w:t>
      </w:r>
      <w:r>
        <w:rPr>
          <w:rFonts w:hint="eastAsia" w:ascii="宋体" w:hAnsi="宋体" w:cs="Times New Roman"/>
          <w:color w:val="auto"/>
          <w:kern w:val="0"/>
          <w:sz w:val="21"/>
          <w:szCs w:val="21"/>
          <w:highlight w:val="none"/>
          <w:u w:val="single"/>
          <w:lang w:val="en-US" w:eastAsia="zh-CN" w:bidi="ar-SA"/>
        </w:rPr>
        <w:t xml:space="preserve"> </w:t>
      </w:r>
    </w:p>
    <w:p w14:paraId="74DEE2F8">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22" w:firstLineChars="200"/>
        <w:textAlignment w:val="baseline"/>
        <w:rPr>
          <w:rFonts w:hint="eastAsia" w:ascii="宋体" w:hAnsi="宋体" w:eastAsia="宋体" w:cs="宋体"/>
          <w:b/>
          <w:bCs/>
          <w:color w:val="auto"/>
          <w:spacing w:val="3"/>
          <w:sz w:val="20"/>
          <w:szCs w:val="20"/>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六</w:t>
      </w:r>
      <w:r>
        <w:rPr>
          <w:rFonts w:hint="eastAsia" w:ascii="宋体" w:hAnsi="宋体" w:eastAsia="宋体" w:cs="Times New Roman"/>
          <w:b/>
          <w:color w:val="auto"/>
          <w:szCs w:val="21"/>
          <w:highlight w:val="none"/>
        </w:rPr>
        <w:t>条　</w:t>
      </w:r>
      <w:r>
        <w:rPr>
          <w:rFonts w:hint="eastAsia" w:ascii="宋体" w:hAnsi="宋体" w:eastAsia="宋体" w:cs="Times New Roman"/>
          <w:b/>
          <w:color w:val="auto"/>
          <w:szCs w:val="21"/>
          <w:highlight w:val="none"/>
          <w:lang w:val="en-US" w:eastAsia="zh-CN"/>
        </w:rPr>
        <w:t>双方权利和义务</w:t>
      </w:r>
    </w:p>
    <w:p w14:paraId="35582427">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4" w:firstLineChars="200"/>
        <w:textAlignment w:val="baseline"/>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1.</w:t>
      </w:r>
      <w:r>
        <w:rPr>
          <w:rFonts w:hint="eastAsia" w:ascii="宋体" w:hAnsi="宋体" w:eastAsia="宋体" w:cs="宋体"/>
          <w:b/>
          <w:bCs/>
          <w:color w:val="auto"/>
          <w:spacing w:val="3"/>
          <w:sz w:val="21"/>
          <w:szCs w:val="21"/>
          <w:highlight w:val="none"/>
        </w:rPr>
        <w:t>甲方的主要权利和义务</w:t>
      </w:r>
    </w:p>
    <w:p w14:paraId="36897373">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行使对乙方运营、维护及移交污水处理厂开展全程实时监管的权利。</w:t>
      </w:r>
    </w:p>
    <w:p w14:paraId="31DB674A">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有权委托第三方机构，对乙方的运营、经营、管理、安全、质量、服务状况等进行定期评估，并有权将评估结果向社会公示，接受公众监督。</w:t>
      </w:r>
    </w:p>
    <w:p w14:paraId="17AC4971">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甲方对涉及公共利益、公共安全的重大事件，具有绝对控制权。当乙方违反合同约定，威胁公共产品和服务持续稳定安全供给，或危及国家安全和重大公共利益时，甲方有权临时接管项目，并有权要求乙方承担因此而产生的费用。</w:t>
      </w:r>
    </w:p>
    <w:p w14:paraId="7577B73C">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在合同有效期内，甲方有权督促乙方认真执行国家行业标准、行业管理部门和地方政府的相关规定。</w:t>
      </w:r>
    </w:p>
    <w:p w14:paraId="7A6369B8">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项目移交乙方时，甲方应完善项目相关合法合规手续，由于项目合法合规手续不完善导致的后果由甲方承担。</w:t>
      </w:r>
    </w:p>
    <w:p w14:paraId="16FAFD00">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6</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除适用法律或本合同有特殊规定外，甲方应保持乙方的运营服务管理经营权在整个服务合作期限内始终有效</w:t>
      </w:r>
      <w:r>
        <w:rPr>
          <w:rFonts w:hint="eastAsia" w:ascii="宋体" w:hAnsi="宋体" w:eastAsia="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服务合作期限内不以任何方式将运营服务管理权授予第三者，或者以任何方式减少运营服务管理权的内容或妨碍运营服务管理权的行使。</w:t>
      </w:r>
    </w:p>
    <w:p w14:paraId="6D26EB72">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7</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在乙方遵守合同条款前提下，确保其在委托运营期间内能获准连续运行，并负责办理环保竣工验收手续和排污许可证。</w:t>
      </w:r>
    </w:p>
    <w:p w14:paraId="2B8D46AB">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8</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甲方负责污水处理厂财政预算等全部相关工作；此外，应行使法律、法规及运营合同赋予的其他权利并履行其规定的其他义务。</w:t>
      </w:r>
    </w:p>
    <w:p w14:paraId="6F48127A">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审核乙方提交的运营服务费付费申请，履行合同约定的资金支付义务。</w:t>
      </w:r>
    </w:p>
    <w:p w14:paraId="453160F0">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10</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乙方严重违约时，甲方有权提前终止本项目合作及本合同。</w:t>
      </w:r>
    </w:p>
    <w:p w14:paraId="7B199B13">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11</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甲方负责对项目在交付乙方前进行检查，确保项目污水处理设施设备正常运行且电仪设备无损坏。若有设施、设备无法正常运行</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甲方也可以委托乙方对损坏的设施设备进行维修或更换，维修更换费用据实结算</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含维修更换成本、管理费、合理利润</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由双方另行协商解决。</w:t>
      </w:r>
    </w:p>
    <w:p w14:paraId="77E4750E">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4" w:firstLineChars="200"/>
        <w:textAlignment w:val="baseline"/>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2.</w:t>
      </w:r>
      <w:r>
        <w:rPr>
          <w:rFonts w:hint="eastAsia" w:ascii="宋体" w:hAnsi="宋体" w:eastAsia="宋体" w:cs="宋体"/>
          <w:b/>
          <w:bCs/>
          <w:color w:val="auto"/>
          <w:spacing w:val="3"/>
          <w:sz w:val="21"/>
          <w:szCs w:val="21"/>
          <w:highlight w:val="none"/>
        </w:rPr>
        <w:t>乙方的主要权利和义务</w:t>
      </w:r>
    </w:p>
    <w:p w14:paraId="53FEFD90">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在合同期限内，享有污水处理厂运营服务管理权。未经甲方同意，乙方在合同有效期内不得将污水处理厂运营服务管理权转让、出租、承包、分解、质押给第三方。</w:t>
      </w:r>
    </w:p>
    <w:p w14:paraId="6AF09D69">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按照《</w:t>
      </w:r>
      <w:r>
        <w:rPr>
          <w:rFonts w:hint="eastAsia" w:ascii="宋体" w:hAnsi="宋体" w:eastAsia="宋体" w:cs="宋体"/>
          <w:color w:val="auto"/>
          <w:spacing w:val="3"/>
          <w:sz w:val="21"/>
          <w:szCs w:val="21"/>
          <w:highlight w:val="none"/>
          <w:lang w:eastAsia="zh-CN"/>
        </w:rPr>
        <w:t>中华人民共和国民法典</w:t>
      </w:r>
      <w:r>
        <w:rPr>
          <w:rFonts w:hint="eastAsia" w:ascii="宋体" w:hAnsi="宋体" w:eastAsia="宋体" w:cs="宋体"/>
          <w:color w:val="auto"/>
          <w:spacing w:val="3"/>
          <w:sz w:val="21"/>
          <w:szCs w:val="21"/>
          <w:highlight w:val="none"/>
        </w:rPr>
        <w:t>》及相关法律、法规的规定和本合同约定，在甲方的监督下开展本项目运营活动。从开始运营日起，将污水、污泥处理按合同的规定处置。</w:t>
      </w:r>
    </w:p>
    <w:p w14:paraId="758E1CFD">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乙方按照本合同的规定，承担运营和维护污水处理厂的成 本费用、责任和风险，确保项目设施的安全、高效、稳定、持续运行。</w:t>
      </w:r>
    </w:p>
    <w:p w14:paraId="2313016B">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除了</w:t>
      </w:r>
      <w:r>
        <w:rPr>
          <w:rFonts w:hint="eastAsia" w:ascii="宋体" w:hAnsi="宋体" w:eastAsia="宋体" w:cs="宋体"/>
          <w:color w:val="auto"/>
          <w:spacing w:val="3"/>
          <w:sz w:val="21"/>
          <w:szCs w:val="21"/>
          <w:highlight w:val="none"/>
          <w:lang w:eastAsia="zh-CN"/>
        </w:rPr>
        <w:t>遭受</w:t>
      </w:r>
      <w:r>
        <w:rPr>
          <w:rFonts w:hint="eastAsia" w:ascii="宋体" w:hAnsi="宋体" w:eastAsia="宋体" w:cs="宋体"/>
          <w:color w:val="auto"/>
          <w:spacing w:val="3"/>
          <w:sz w:val="21"/>
          <w:szCs w:val="21"/>
          <w:highlight w:val="none"/>
        </w:rPr>
        <w:t>自然灾害之外，乙方应确保污水处理厂所有固定资产的完好；如有损失，由乙方负责赔偿。</w:t>
      </w:r>
    </w:p>
    <w:p w14:paraId="59AE960C">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乙方应确保在整个服务合作期限内，始终根据下列规定</w:t>
      </w:r>
      <w:r>
        <w:rPr>
          <w:rFonts w:hint="eastAsia" w:ascii="宋体" w:hAnsi="宋体" w:eastAsia="宋体" w:cs="宋体"/>
          <w:color w:val="auto"/>
          <w:spacing w:val="3"/>
          <w:sz w:val="21"/>
          <w:szCs w:val="21"/>
          <w:highlight w:val="none"/>
          <w:lang w:val="en-US" w:eastAsia="zh-CN"/>
        </w:rPr>
        <w:t>运</w:t>
      </w:r>
      <w:r>
        <w:rPr>
          <w:rFonts w:hint="eastAsia" w:ascii="宋体" w:hAnsi="宋体" w:eastAsia="宋体" w:cs="宋体"/>
          <w:color w:val="auto"/>
          <w:spacing w:val="3"/>
          <w:sz w:val="21"/>
          <w:szCs w:val="21"/>
          <w:highlight w:val="none"/>
        </w:rPr>
        <w:t>营并维护项目设施：</w:t>
      </w:r>
    </w:p>
    <w:p w14:paraId="7DE227B8">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①</w:t>
      </w:r>
      <w:r>
        <w:rPr>
          <w:rFonts w:hint="eastAsia" w:ascii="宋体" w:hAnsi="宋体" w:eastAsia="宋体" w:cs="宋体"/>
          <w:color w:val="auto"/>
          <w:spacing w:val="3"/>
          <w:sz w:val="21"/>
          <w:szCs w:val="21"/>
          <w:highlight w:val="none"/>
        </w:rPr>
        <w:t>适用的法律、法规；</w:t>
      </w:r>
      <w:r>
        <w:rPr>
          <w:rFonts w:hint="eastAsia" w:ascii="宋体" w:hAnsi="宋体" w:eastAsia="宋体" w:cs="宋体"/>
          <w:color w:val="auto"/>
          <w:spacing w:val="3"/>
          <w:sz w:val="21"/>
          <w:szCs w:val="21"/>
          <w:highlight w:val="none"/>
          <w:lang w:val="en-US" w:eastAsia="zh-CN"/>
        </w:rPr>
        <w:t>②</w:t>
      </w:r>
      <w:r>
        <w:rPr>
          <w:rFonts w:hint="eastAsia" w:ascii="宋体" w:hAnsi="宋体" w:eastAsia="宋体" w:cs="宋体"/>
          <w:color w:val="auto"/>
          <w:spacing w:val="3"/>
          <w:sz w:val="21"/>
          <w:szCs w:val="21"/>
          <w:highlight w:val="none"/>
        </w:rPr>
        <w:t>适用的相关技术规程；</w:t>
      </w:r>
      <w:r>
        <w:rPr>
          <w:rFonts w:hint="eastAsia" w:ascii="宋体" w:hAnsi="宋体" w:eastAsia="宋体" w:cs="宋体"/>
          <w:color w:val="auto"/>
          <w:spacing w:val="3"/>
          <w:sz w:val="21"/>
          <w:szCs w:val="21"/>
          <w:highlight w:val="none"/>
          <w:lang w:val="en-US" w:eastAsia="zh-CN"/>
        </w:rPr>
        <w:t>③</w:t>
      </w:r>
      <w:r>
        <w:rPr>
          <w:rFonts w:hint="eastAsia" w:ascii="宋体" w:hAnsi="宋体" w:eastAsia="宋体" w:cs="宋体"/>
          <w:color w:val="auto"/>
          <w:spacing w:val="3"/>
          <w:sz w:val="21"/>
          <w:szCs w:val="21"/>
          <w:highlight w:val="none"/>
        </w:rPr>
        <w:t>本合同；</w:t>
      </w:r>
      <w:r>
        <w:rPr>
          <w:rFonts w:hint="eastAsia" w:ascii="宋体" w:hAnsi="宋体" w:eastAsia="宋体" w:cs="宋体"/>
          <w:color w:val="auto"/>
          <w:spacing w:val="3"/>
          <w:sz w:val="21"/>
          <w:szCs w:val="21"/>
          <w:highlight w:val="none"/>
          <w:lang w:val="en-US" w:eastAsia="zh-CN"/>
        </w:rPr>
        <w:t>④</w:t>
      </w:r>
      <w:r>
        <w:rPr>
          <w:rFonts w:hint="eastAsia" w:ascii="宋体" w:hAnsi="宋体" w:eastAsia="宋体" w:cs="宋体"/>
          <w:color w:val="auto"/>
          <w:spacing w:val="3"/>
          <w:sz w:val="21"/>
          <w:szCs w:val="21"/>
          <w:highlight w:val="none"/>
        </w:rPr>
        <w:t>运营维护手册以及与项目设施有关的设备制造商提供的一切有关手册、指导和建议。</w:t>
      </w:r>
    </w:p>
    <w:p w14:paraId="0B7894E8">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lang w:val="en-US" w:eastAsia="zh-CN"/>
        </w:rPr>
        <w:t>（6）</w:t>
      </w:r>
      <w:r>
        <w:rPr>
          <w:rFonts w:hint="eastAsia" w:ascii="宋体" w:hAnsi="宋体" w:eastAsia="宋体" w:cs="宋体"/>
          <w:b w:val="0"/>
          <w:bCs w:val="0"/>
          <w:color w:val="auto"/>
          <w:spacing w:val="3"/>
          <w:sz w:val="21"/>
          <w:szCs w:val="21"/>
          <w:highlight w:val="none"/>
        </w:rPr>
        <w:t>遵守安全标准和环境保护的责任：</w:t>
      </w:r>
    </w:p>
    <w:p w14:paraId="0B7E0D65">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①</w:t>
      </w:r>
      <w:r>
        <w:rPr>
          <w:rFonts w:hint="eastAsia" w:ascii="宋体" w:hAnsi="宋体" w:eastAsia="宋体" w:cs="宋体"/>
          <w:color w:val="auto"/>
          <w:spacing w:val="3"/>
          <w:sz w:val="21"/>
          <w:szCs w:val="21"/>
          <w:highlight w:val="none"/>
        </w:rPr>
        <w:t>乙方应遵守有关公共卫生和安全的适用法律及本合同的规定；</w:t>
      </w:r>
    </w:p>
    <w:p w14:paraId="74AB37C2">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②</w:t>
      </w:r>
      <w:r>
        <w:rPr>
          <w:rFonts w:hint="eastAsia" w:ascii="宋体" w:hAnsi="宋体" w:eastAsia="宋体" w:cs="宋体"/>
          <w:color w:val="auto"/>
          <w:spacing w:val="3"/>
          <w:sz w:val="21"/>
          <w:szCs w:val="21"/>
          <w:highlight w:val="none"/>
        </w:rPr>
        <w:t>乙方在运营期间严格按照环保要求，根据“谁污染谁治理”的原则处置三废；</w:t>
      </w:r>
    </w:p>
    <w:p w14:paraId="7CB895F8">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③</w:t>
      </w:r>
      <w:r>
        <w:rPr>
          <w:rFonts w:hint="eastAsia" w:ascii="宋体" w:hAnsi="宋体" w:eastAsia="宋体" w:cs="宋体"/>
          <w:color w:val="auto"/>
          <w:spacing w:val="3"/>
          <w:sz w:val="21"/>
          <w:szCs w:val="21"/>
          <w:highlight w:val="none"/>
        </w:rPr>
        <w:t>乙方在运营期间生产过程中，不能对周边居民造成干扰及环境污染。</w:t>
      </w:r>
    </w:p>
    <w:p w14:paraId="2C759303">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7</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乙方认真有效地处理其运营业务和事务，并向甲方提交全面反映其运营经营情况的生产报表，并保证其真实性。</w:t>
      </w:r>
    </w:p>
    <w:p w14:paraId="75E49323">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8</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乙方应建立健全日常水质检测和检验制度，按照国家规定的检测项目、检测频次和有关标准、方法定期检测，做好各项检测分析资料和水质报表的汇总、归档。</w:t>
      </w:r>
    </w:p>
    <w:p w14:paraId="6C510007">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乙方对污水处理厂处理设施的状况及性能建立定期检修保养制度，对各项设施的图纸资料进行收集、归类和整理，完善公用  设施信息化管理系统，保持污水处理厂处理设施处于良好使用状态</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并在甲方的要求下将各项设施运行情况报告给甲方。</w:t>
      </w:r>
    </w:p>
    <w:p w14:paraId="7E7043B9">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10</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乙方应建立完善安全生产制度和事故应急机制，应保</w:t>
      </w:r>
      <w:r>
        <w:rPr>
          <w:rFonts w:hint="eastAsia" w:ascii="宋体" w:hAnsi="宋体" w:eastAsia="宋体" w:cs="宋体"/>
          <w:color w:val="auto"/>
          <w:spacing w:val="3"/>
          <w:sz w:val="21"/>
          <w:szCs w:val="21"/>
          <w:highlight w:val="none"/>
          <w:lang w:eastAsia="zh-CN"/>
        </w:rPr>
        <w:t>障生</w:t>
      </w:r>
      <w:r>
        <w:rPr>
          <w:rFonts w:hint="eastAsia" w:ascii="宋体" w:hAnsi="宋体" w:eastAsia="宋体" w:cs="宋体"/>
          <w:color w:val="auto"/>
          <w:spacing w:val="3"/>
          <w:sz w:val="21"/>
          <w:szCs w:val="21"/>
          <w:highlight w:val="none"/>
        </w:rPr>
        <w:t>产和服务的稳定和安全，防止事故发生。如出现重大意外事故，应及时通报甲方，并尽最大人力、物力进行抢救，尽快恢复生产与服务。在事故影响期间应采取各种应急措施进行补救，尽量减少事故对公众的影响。</w:t>
      </w:r>
    </w:p>
    <w:p w14:paraId="1D83BF59">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11</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乙方按照合同约定运营本项目，按要求处理符合本项目设计进水标准的经污水管网收集</w:t>
      </w:r>
      <w:r>
        <w:rPr>
          <w:rFonts w:hint="eastAsia" w:ascii="宋体" w:hAnsi="宋体" w:eastAsia="宋体" w:cs="宋体"/>
          <w:color w:val="auto"/>
          <w:spacing w:val="3"/>
          <w:sz w:val="21"/>
          <w:szCs w:val="21"/>
          <w:highlight w:val="none"/>
          <w:lang w:eastAsia="zh-CN"/>
        </w:rPr>
        <w:t>的</w:t>
      </w:r>
      <w:r>
        <w:rPr>
          <w:rFonts w:hint="eastAsia" w:ascii="宋体" w:hAnsi="宋体" w:eastAsia="宋体" w:cs="宋体"/>
          <w:color w:val="auto"/>
          <w:spacing w:val="3"/>
          <w:sz w:val="21"/>
          <w:szCs w:val="21"/>
          <w:highlight w:val="none"/>
        </w:rPr>
        <w:t>污水，产生的污水、废物等必须经处理达到合同标准方能排放。在进水水质中任意一项指标均不高于设计进水水质标准110%</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且不影响生化系统正常运行的情况下，乙方应积极对事故污水进行处理。在进水水质中任意一项指标连续2次采样</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每两小时采一次，共4小时</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均超出设计进水水质标准120%的情况下，乙方有权拒接污水，并及时向甲方及生态环境局等主管部门反映、备案。由于进水连续超标，造成的环境风险，乙方不承担责任，且有权解除合同。</w:t>
      </w:r>
    </w:p>
    <w:p w14:paraId="1F433C25">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12</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甲方发生违约行为时，乙方有权按相关合同约定要求甲方承担违约责任；甲方严重违约时，乙方有权提前终止本项目合作及本合同。</w:t>
      </w:r>
    </w:p>
    <w:p w14:paraId="0F0BF1F9">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13</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对合同生效日前已经存在的或潜在的因第三方的作为或不作为引起的，或者甲方导致的环境污染及安全隐患，乙方不承担责任。</w:t>
      </w:r>
    </w:p>
    <w:p w14:paraId="40211CA6">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4" w:firstLineChars="200"/>
        <w:textAlignment w:val="baseline"/>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rPr>
        <w:t>甲乙双方的主要权利和义务</w:t>
      </w:r>
    </w:p>
    <w:p w14:paraId="558AD54B">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合同期限届满前一周内由甲乙双方共同组建移交工作小组，负责完成项目设施设备清点、运行交接以及其他必要的移交工作。移交的项目设施以现场清点数目为准，并制定交接清单，最终的交接清单需经甲乙双方签字盖章后生效。</w:t>
      </w:r>
    </w:p>
    <w:p w14:paraId="5F686A3E">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乙方应保证所提供服务在使用时不会侵犯任何第三方的专利权、商标权、工业设计权等知识产权及其他合法权利，且所有权、处分权等没有受到任何限制。</w:t>
      </w:r>
    </w:p>
    <w:p w14:paraId="383EB292">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w:t>
      </w:r>
      <w:r>
        <w:rPr>
          <w:rFonts w:hint="eastAsia" w:ascii="宋体" w:hAnsi="宋体" w:eastAsia="宋体" w:cs="宋体"/>
          <w:color w:val="auto"/>
          <w:spacing w:val="3"/>
          <w:sz w:val="21"/>
          <w:szCs w:val="21"/>
          <w:highlight w:val="none"/>
          <w:lang w:eastAsia="zh-CN"/>
        </w:rPr>
        <w:t>因</w:t>
      </w:r>
      <w:r>
        <w:rPr>
          <w:rFonts w:hint="eastAsia" w:ascii="宋体" w:hAnsi="宋体" w:eastAsia="宋体" w:cs="宋体"/>
          <w:color w:val="auto"/>
          <w:spacing w:val="3"/>
          <w:sz w:val="21"/>
          <w:szCs w:val="21"/>
          <w:highlight w:val="none"/>
        </w:rPr>
        <w:t>本合同履行终止、解除或者无效而解除。</w:t>
      </w:r>
    </w:p>
    <w:p w14:paraId="1B2765DE">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22" w:firstLineChars="200"/>
        <w:textAlignment w:val="baseline"/>
        <w:rPr>
          <w:rFonts w:hint="eastAsia" w:ascii="宋体" w:hAnsi="宋体" w:eastAsia="宋体" w:cs="宋体"/>
          <w:b/>
          <w:bCs/>
          <w:color w:val="auto"/>
          <w:spacing w:val="3"/>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
          <w:bCs/>
          <w:color w:val="auto"/>
          <w:spacing w:val="3"/>
          <w:sz w:val="21"/>
          <w:szCs w:val="21"/>
          <w:highlight w:val="none"/>
        </w:rPr>
        <w:t>应急管理</w:t>
      </w:r>
    </w:p>
    <w:p w14:paraId="19BCDA0E">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在合同期内，乙方应按照相关法律法规要求制定应急管理预案，报甲方备案；配合甲方及政府有关部门进行突发紧急事件的演练等工作。</w:t>
      </w:r>
    </w:p>
    <w:p w14:paraId="4551898E">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营中发生突发紧急事件时，乙方应当依据应急管理预案和政府有关部门要求进行处理，并按照国家有关规定及时向甲方和政府有关部门报告。</w:t>
      </w:r>
    </w:p>
    <w:p w14:paraId="17241B69">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22" w:firstLineChars="200"/>
        <w:textAlignment w:val="baseline"/>
        <w:rPr>
          <w:rFonts w:hint="eastAsia" w:ascii="宋体" w:hAnsi="宋体" w:eastAsia="宋体" w:cs="宋体"/>
          <w:b/>
          <w:bCs/>
          <w:color w:val="auto"/>
          <w:spacing w:val="3"/>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pacing w:val="3"/>
          <w:sz w:val="21"/>
          <w:szCs w:val="21"/>
          <w:highlight w:val="none"/>
        </w:rPr>
        <w:t>服务期限、交付和验收</w:t>
      </w:r>
    </w:p>
    <w:p w14:paraId="2E8384F4">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lang w:val="en-US"/>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rPr>
        <w:t>服务期限：自签订合同之日起</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lang w:val="en-US" w:eastAsia="zh-CN"/>
        </w:rPr>
        <w:t>自</w:t>
      </w:r>
      <w:r>
        <w:rPr>
          <w:rFonts w:hint="eastAsia" w:ascii="宋体" w:hAnsi="宋体" w:eastAsia="宋体" w:cs="宋体"/>
          <w:color w:val="auto"/>
          <w:spacing w:val="3"/>
          <w:sz w:val="21"/>
          <w:szCs w:val="21"/>
          <w:highlight w:val="none"/>
          <w:u w:val="single"/>
          <w:lang w:val="en-US" w:eastAsia="zh-CN"/>
        </w:rPr>
        <w:t xml:space="preserve">202  年  月   日至202  年  月   </w:t>
      </w:r>
      <w:r>
        <w:rPr>
          <w:rFonts w:hint="eastAsia" w:ascii="宋体" w:hAnsi="宋体" w:eastAsia="宋体" w:cs="宋体"/>
          <w:color w:val="auto"/>
          <w:spacing w:val="3"/>
          <w:sz w:val="21"/>
          <w:szCs w:val="21"/>
          <w:highlight w:val="none"/>
          <w:u w:val="none"/>
          <w:lang w:val="en-US" w:eastAsia="zh-CN"/>
        </w:rPr>
        <w:t>日。</w:t>
      </w:r>
    </w:p>
    <w:p w14:paraId="09E67D3A">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2.</w:t>
      </w:r>
      <w:r>
        <w:rPr>
          <w:rFonts w:hint="eastAsia" w:ascii="宋体" w:hAnsi="宋体" w:eastAsia="宋体" w:cs="宋体"/>
          <w:color w:val="auto"/>
          <w:spacing w:val="3"/>
          <w:sz w:val="21"/>
          <w:szCs w:val="21"/>
          <w:highlight w:val="none"/>
        </w:rPr>
        <w:t>乙方应按响应文件的承诺向甲方提供相应的服务，并提供所服务内容的相关技术资料。</w:t>
      </w:r>
    </w:p>
    <w:p w14:paraId="4F20B84A">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3.</w:t>
      </w:r>
      <w:r>
        <w:rPr>
          <w:rFonts w:hint="eastAsia" w:ascii="宋体" w:hAnsi="宋体" w:eastAsia="宋体" w:cs="宋体"/>
          <w:color w:val="auto"/>
          <w:spacing w:val="3"/>
          <w:sz w:val="21"/>
          <w:szCs w:val="21"/>
          <w:highlight w:val="none"/>
        </w:rPr>
        <w:t>乙方提供不符合响应文件和本合同规定的服务，甲方有权拒绝接受。</w:t>
      </w:r>
    </w:p>
    <w:p w14:paraId="0A5E3F3C">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4.</w:t>
      </w:r>
      <w:r>
        <w:rPr>
          <w:rFonts w:hint="eastAsia" w:ascii="宋体" w:hAnsi="宋体" w:eastAsia="宋体" w:cs="宋体"/>
          <w:color w:val="auto"/>
          <w:spacing w:val="3"/>
          <w:sz w:val="21"/>
          <w:szCs w:val="21"/>
          <w:highlight w:val="none"/>
        </w:rPr>
        <w:t>乙方完成服务后应及时书面通知甲方进行验收，甲方应在收到通知后七个工作日内进行验收，逾期不开始验收的，乙方可视同验收合格。验收合格后由甲乙双方签署验收单并加盖</w:t>
      </w:r>
      <w:r>
        <w:rPr>
          <w:rFonts w:hint="eastAsia" w:ascii="宋体" w:hAnsi="宋体" w:eastAsia="宋体" w:cs="宋体"/>
          <w:color w:val="auto"/>
          <w:spacing w:val="3"/>
          <w:sz w:val="21"/>
          <w:szCs w:val="21"/>
          <w:highlight w:val="none"/>
          <w:lang w:eastAsia="zh-CN"/>
        </w:rPr>
        <w:t>甲方</w:t>
      </w:r>
      <w:r>
        <w:rPr>
          <w:rFonts w:hint="eastAsia" w:ascii="宋体" w:hAnsi="宋体" w:eastAsia="宋体" w:cs="宋体"/>
          <w:color w:val="auto"/>
          <w:spacing w:val="3"/>
          <w:sz w:val="21"/>
          <w:szCs w:val="21"/>
          <w:highlight w:val="none"/>
        </w:rPr>
        <w:t>公章，甲乙双方各执一份。</w:t>
      </w:r>
    </w:p>
    <w:p w14:paraId="242A5CFC">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5.</w:t>
      </w:r>
      <w:r>
        <w:rPr>
          <w:rFonts w:hint="eastAsia" w:ascii="宋体" w:hAnsi="宋体" w:eastAsia="宋体" w:cs="宋体"/>
          <w:color w:val="auto"/>
          <w:spacing w:val="3"/>
          <w:sz w:val="21"/>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7A5D28D2">
      <w:pPr>
        <w:keepNext w:val="0"/>
        <w:keepLines w:val="0"/>
        <w:pageBreakBefore w:val="0"/>
        <w:widowControl w:val="0"/>
        <w:kinsoku/>
        <w:wordWrap/>
        <w:overflowPunct/>
        <w:topLinePunct w:val="0"/>
        <w:bidi w:val="0"/>
        <w:spacing w:line="300" w:lineRule="auto"/>
        <w:ind w:left="0" w:leftChars="0" w:right="0" w:firstLine="43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lang w:eastAsia="zh-CN"/>
        </w:rPr>
        <w:t>6.</w:t>
      </w:r>
      <w:r>
        <w:rPr>
          <w:rFonts w:hint="eastAsia" w:ascii="宋体" w:hAnsi="宋体" w:eastAsia="宋体" w:cs="宋体"/>
          <w:color w:val="auto"/>
          <w:spacing w:val="3"/>
          <w:sz w:val="21"/>
          <w:szCs w:val="21"/>
          <w:highlight w:val="none"/>
        </w:rPr>
        <w:t>甲</w:t>
      </w:r>
      <w:r>
        <w:rPr>
          <w:rFonts w:hint="eastAsia" w:ascii="宋体" w:hAnsi="宋体" w:eastAsia="宋体" w:cs="宋体"/>
          <w:color w:val="auto"/>
          <w:spacing w:val="3"/>
          <w:sz w:val="21"/>
          <w:szCs w:val="21"/>
          <w:highlight w:val="none"/>
          <w:lang w:eastAsia="zh-CN"/>
        </w:rPr>
        <w:t>方在</w:t>
      </w:r>
      <w:r>
        <w:rPr>
          <w:rFonts w:hint="eastAsia" w:ascii="宋体" w:hAnsi="宋体" w:eastAsia="宋体" w:cs="宋体"/>
          <w:color w:val="auto"/>
          <w:spacing w:val="3"/>
          <w:sz w:val="21"/>
          <w:szCs w:val="21"/>
          <w:highlight w:val="none"/>
        </w:rPr>
        <w:t>验收时以书面形式提出异议的，乙方应自收到甲方书面异议后五个工作日内及时予以解决，否则甲方有权不出具服务验收合格</w:t>
      </w:r>
    </w:p>
    <w:p w14:paraId="253A1A1F">
      <w:pPr>
        <w:keepNext w:val="0"/>
        <w:keepLines w:val="0"/>
        <w:pageBreakBefore w:val="0"/>
        <w:widowControl w:val="0"/>
        <w:kinsoku/>
        <w:wordWrap/>
        <w:overflowPunct/>
        <w:topLinePunct w:val="0"/>
        <w:bidi w:val="0"/>
        <w:spacing w:line="300" w:lineRule="auto"/>
        <w:ind w:left="0" w:leftChars="0" w:right="0" w:firstLine="517" w:firstLineChars="245"/>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第九条　履约保证金</w:t>
      </w:r>
    </w:p>
    <w:p w14:paraId="275B20C2">
      <w:pPr>
        <w:keepNext w:val="0"/>
        <w:keepLines w:val="0"/>
        <w:pageBreakBefore w:val="0"/>
        <w:overflowPunct/>
        <w:topLinePunct w:val="0"/>
        <w:autoSpaceDE w:val="0"/>
        <w:autoSpaceDN w:val="0"/>
        <w:bidi w:val="0"/>
        <w:spacing w:line="300" w:lineRule="auto"/>
        <w:ind w:firstLine="424" w:firstLineChars="202"/>
        <w:rPr>
          <w:rFonts w:hint="default" w:ascii="宋体" w:hAnsi="宋体" w:eastAsia="宋体" w:cs="宋体"/>
          <w:i/>
          <w:color w:val="auto"/>
          <w:szCs w:val="21"/>
          <w:highlight w:val="none"/>
          <w:u w:val="single"/>
          <w:lang w:val="en-US" w:eastAsia="zh-CN"/>
        </w:rPr>
      </w:pPr>
      <w:r>
        <w:rPr>
          <w:rFonts w:hint="eastAsia" w:ascii="宋体" w:hAnsi="宋体" w:cs="宋体"/>
          <w:color w:val="auto"/>
          <w:szCs w:val="21"/>
          <w:highlight w:val="none"/>
        </w:rPr>
        <w:t>1.履约保证金金额：</w:t>
      </w:r>
      <w:r>
        <w:rPr>
          <w:rFonts w:hint="eastAsia" w:ascii="宋体" w:hAnsi="宋体" w:cs="宋体"/>
          <w:color w:val="auto"/>
          <w:szCs w:val="21"/>
          <w:highlight w:val="none"/>
          <w:u w:val="single"/>
          <w:lang w:val="en-US" w:eastAsia="zh-CN"/>
        </w:rPr>
        <w:t>成交金额的2%</w:t>
      </w:r>
      <w:r>
        <w:rPr>
          <w:rFonts w:hint="eastAsia" w:ascii="宋体" w:hAnsi="宋体" w:cs="宋体"/>
          <w:color w:val="auto"/>
          <w:szCs w:val="21"/>
          <w:highlight w:val="none"/>
          <w:lang w:val="en-US" w:eastAsia="zh-CN"/>
        </w:rPr>
        <w:t>。</w:t>
      </w:r>
    </w:p>
    <w:p w14:paraId="768B2A2E">
      <w:pPr>
        <w:keepNext w:val="0"/>
        <w:keepLines w:val="0"/>
        <w:pageBreakBefore w:val="0"/>
        <w:overflowPunct/>
        <w:topLinePunct w:val="0"/>
        <w:autoSpaceDE w:val="0"/>
        <w:autoSpaceDN w:val="0"/>
        <w:bidi w:val="0"/>
        <w:spacing w:line="30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2.履约保证金递交方式：</w:t>
      </w:r>
      <w:r>
        <w:rPr>
          <w:rFonts w:hint="eastAsia" w:ascii="宋体" w:hAnsi="宋体" w:cs="宋体"/>
          <w:i w:val="0"/>
          <w:iCs/>
          <w:color w:val="auto"/>
          <w:szCs w:val="21"/>
          <w:highlight w:val="none"/>
          <w:u w:val="single"/>
        </w:rPr>
        <w:t>支票、汇票、本票或者银行、保险机构出具的保函等非现金方式</w:t>
      </w:r>
      <w:r>
        <w:rPr>
          <w:rFonts w:hint="eastAsia" w:ascii="宋体" w:hAnsi="宋体" w:cs="宋体"/>
          <w:color w:val="auto"/>
          <w:szCs w:val="21"/>
          <w:highlight w:val="none"/>
        </w:rPr>
        <w:t>。</w:t>
      </w:r>
    </w:p>
    <w:p w14:paraId="41FE4E8F">
      <w:pPr>
        <w:keepNext w:val="0"/>
        <w:keepLines w:val="0"/>
        <w:pageBreakBefore w:val="0"/>
        <w:overflowPunct/>
        <w:topLinePunct w:val="0"/>
        <w:autoSpaceDE w:val="0"/>
        <w:autoSpaceDN w:val="0"/>
        <w:bidi w:val="0"/>
        <w:spacing w:line="300" w:lineRule="auto"/>
        <w:ind w:left="0" w:leftChars="0" w:firstLine="420" w:firstLineChars="200"/>
        <w:rPr>
          <w:rFonts w:hint="eastAsia" w:ascii="宋体" w:hAnsi="宋体" w:cs="宋体"/>
          <w:i w:val="0"/>
          <w:iCs/>
          <w:color w:val="auto"/>
          <w:szCs w:val="21"/>
          <w:highlight w:val="none"/>
        </w:rPr>
      </w:pPr>
      <w:r>
        <w:rPr>
          <w:rFonts w:hint="eastAsia" w:ascii="宋体" w:hAnsi="宋体" w:cs="宋体"/>
          <w:color w:val="auto"/>
          <w:szCs w:val="21"/>
          <w:highlight w:val="none"/>
        </w:rPr>
        <w:t>3.履约保证金退付的方式、时间及条件：</w:t>
      </w:r>
      <w:r>
        <w:rPr>
          <w:rFonts w:hint="eastAsia" w:ascii="宋体" w:hAnsi="宋体" w:cs="宋体"/>
          <w:i w:val="0"/>
          <w:iCs/>
          <w:color w:val="auto"/>
          <w:szCs w:val="21"/>
          <w:highlight w:val="none"/>
          <w:u w:val="single"/>
        </w:rPr>
        <w:t>由乙方向履约保证金收取单位提供《广西壮族自治区政府采购项目合同验收书》（详见桂财采〔2015〕22号），保证金收取单位在收到合格材料后5个工作日内办理退还手续（不计利息）</w:t>
      </w:r>
      <w:r>
        <w:rPr>
          <w:rFonts w:hint="eastAsia" w:ascii="宋体" w:hAnsi="宋体" w:cs="宋体"/>
          <w:i w:val="0"/>
          <w:iCs/>
          <w:color w:val="auto"/>
          <w:szCs w:val="21"/>
          <w:highlight w:val="none"/>
        </w:rPr>
        <w:t>。</w:t>
      </w:r>
    </w:p>
    <w:p w14:paraId="31085959">
      <w:pPr>
        <w:keepNext w:val="0"/>
        <w:keepLines w:val="0"/>
        <w:pageBreakBefore w:val="0"/>
        <w:overflowPunct/>
        <w:topLinePunct w:val="0"/>
        <w:autoSpaceDE w:val="0"/>
        <w:autoSpaceDN w:val="0"/>
        <w:bidi w:val="0"/>
        <w:spacing w:line="30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4.不予退还的情形：签订合同后，如乙方不按双方签订的合同规定履约，则其全部履约保证金不予退还。</w:t>
      </w:r>
    </w:p>
    <w:p w14:paraId="287C5D89">
      <w:pPr>
        <w:keepNext w:val="0"/>
        <w:keepLines w:val="0"/>
        <w:pageBreakBefore w:val="0"/>
        <w:widowControl w:val="0"/>
        <w:kinsoku/>
        <w:wordWrap/>
        <w:overflowPunct/>
        <w:topLinePunct w:val="0"/>
        <w:bidi w:val="0"/>
        <w:spacing w:line="300" w:lineRule="auto"/>
        <w:ind w:left="0" w:leftChars="0" w:right="0"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第十条　违约责任</w:t>
      </w:r>
    </w:p>
    <w:p w14:paraId="4B030F58">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rPr>
        <w:t>除不可抗力原因外，乙方没有按照合同规定的时间提供服务的，甲方可要求乙方支付违约金。每推迟一天按合同金额的0.5‰支付违约金，该违约金累计不超过合同金额的10%。</w:t>
      </w:r>
    </w:p>
    <w:p w14:paraId="20A22DAC">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2.</w:t>
      </w:r>
      <w:r>
        <w:rPr>
          <w:rFonts w:hint="eastAsia" w:ascii="宋体" w:hAnsi="宋体" w:eastAsia="宋体" w:cs="宋体"/>
          <w:color w:val="auto"/>
          <w:spacing w:val="3"/>
          <w:sz w:val="21"/>
          <w:szCs w:val="21"/>
          <w:highlight w:val="none"/>
        </w:rPr>
        <w:t>乙方提供的服务如侵犯了第三方合法权益而引发的任何纠纷或者诉讼，均由乙方负责交涉并承担全部责任。</w:t>
      </w:r>
    </w:p>
    <w:p w14:paraId="24859E9A">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3.</w:t>
      </w:r>
      <w:r>
        <w:rPr>
          <w:rFonts w:hint="eastAsia" w:ascii="宋体" w:hAnsi="宋体" w:eastAsia="宋体" w:cs="宋体"/>
          <w:color w:val="auto"/>
          <w:spacing w:val="3"/>
          <w:sz w:val="21"/>
          <w:szCs w:val="21"/>
          <w:highlight w:val="none"/>
        </w:rPr>
        <w:t>因乙方原因造成出水水质、污泥处置、运营服务不达标的，由乙方承担超标排放责任及环保部门罚款，甲方有权根据绩效考核规定扣减乙方运营服务费。</w:t>
      </w:r>
    </w:p>
    <w:p w14:paraId="16328EE1">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4.</w:t>
      </w:r>
      <w:r>
        <w:rPr>
          <w:rFonts w:hint="eastAsia" w:ascii="宋体" w:hAnsi="宋体" w:eastAsia="宋体" w:cs="宋体"/>
          <w:color w:val="auto"/>
          <w:spacing w:val="3"/>
          <w:sz w:val="21"/>
          <w:szCs w:val="21"/>
          <w:highlight w:val="none"/>
        </w:rPr>
        <w:t>甲方延期付款的，每天向乙方偿付延期款额0.5‰滞纳金，但滞纳金累计不得超过延期款额5%。</w:t>
      </w:r>
    </w:p>
    <w:p w14:paraId="47E7107C">
      <w:pPr>
        <w:keepNext w:val="0"/>
        <w:keepLines w:val="0"/>
        <w:pageBreakBefore w:val="0"/>
        <w:widowControl w:val="0"/>
        <w:kinsoku/>
        <w:wordWrap/>
        <w:overflowPunct/>
        <w:topLinePunct w:val="0"/>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5.因某一方原因导致变更、中止或者终止政府采购合同的，该方应当对另一方受到的损失予以赔偿或者补偿。</w:t>
      </w:r>
    </w:p>
    <w:p w14:paraId="1EAA2D70">
      <w:pPr>
        <w:keepNext w:val="0"/>
        <w:keepLines w:val="0"/>
        <w:pageBreakBefore w:val="0"/>
        <w:widowControl w:val="0"/>
        <w:kinsoku/>
        <w:wordWrap/>
        <w:overflowPunct/>
        <w:topLinePunct w:val="0"/>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6.其他违约责任按《中华人民共和国民法典》处理。</w:t>
      </w:r>
    </w:p>
    <w:p w14:paraId="037DF87E">
      <w:pPr>
        <w:keepNext w:val="0"/>
        <w:keepLines w:val="0"/>
        <w:pageBreakBefore w:val="0"/>
        <w:widowControl w:val="0"/>
        <w:kinsoku/>
        <w:wordWrap/>
        <w:overflowPunct/>
        <w:topLinePunct w:val="0"/>
        <w:bidi w:val="0"/>
        <w:spacing w:line="300" w:lineRule="auto"/>
        <w:ind w:left="0" w:leftChars="0" w:right="0" w:firstLine="413" w:firstLineChars="196"/>
        <w:jc w:val="both"/>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第十一条  不可抗力事件处理</w:t>
      </w:r>
    </w:p>
    <w:p w14:paraId="55E3C9D3">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本合同中所指不可抗力具体包括：</w:t>
      </w:r>
    </w:p>
    <w:p w14:paraId="06F9B5AA">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雷电、地震、火山爆发、滑坡、水灾、冰灾、暴雨、海啸、台风、龙头风或旱灾等自然灾害。</w:t>
      </w:r>
    </w:p>
    <w:p w14:paraId="4FFE51F9">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大规模流行病、饥荒或瘟疫。</w:t>
      </w:r>
    </w:p>
    <w:p w14:paraId="046008DD">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战争行为(无论是宣战的或未宣战的</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、入侵、武装冲突或外敌行为、封锁或军事力量的使用，暴乱或恐怖行为。</w:t>
      </w:r>
    </w:p>
    <w:p w14:paraId="53843F9E">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全国性、地区性、城市性或行业性罢工。</w:t>
      </w:r>
    </w:p>
    <w:p w14:paraId="5189DF79">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由于不能归因于甲方或乙方的原因引起的供电中断。</w:t>
      </w:r>
    </w:p>
    <w:p w14:paraId="2D367562">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6</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国家征用、征收。</w:t>
      </w:r>
    </w:p>
    <w:p w14:paraId="6460E8FC">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7</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导致本合同实际上不能履行的法律变更。</w:t>
      </w:r>
    </w:p>
    <w:p w14:paraId="61EE43DB">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8</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进水pH值小于5或大于10。</w:t>
      </w:r>
    </w:p>
    <w:p w14:paraId="142B1EDD">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本项目进水水量或进水水质中任一污染物浓度的检测值超出设计标准20%。</w:t>
      </w:r>
    </w:p>
    <w:p w14:paraId="3000E1F2">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不可抗力措施</w:t>
      </w:r>
    </w:p>
    <w:p w14:paraId="100E8132">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任何一方如果因不可抗力而导致不能全部或部分履行本合同规定义务的，在不可抗力的影响范围内受影响的一方可全部或部分免除在本合同项下的相应义务，并不承担任何责任。</w:t>
      </w:r>
    </w:p>
    <w:p w14:paraId="6E8349FF">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受到不可抗力影响的一方应尽一切合理努力和采取合理措施以继续履行其在本合同下的义务，减少不可抗力对其造成的影响。双方应协商制定并实施补救计划及合理的替代以不可抗力的影响。</w:t>
      </w:r>
    </w:p>
    <w:p w14:paraId="5190F421">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在合同有效期内，任何一方因不可抗力事件导致不能履行合同，则合同履行期可延长，其延长期与不可抗力影响期相同。</w:t>
      </w:r>
    </w:p>
    <w:p w14:paraId="499950DF">
      <w:pPr>
        <w:keepNext w:val="0"/>
        <w:keepLines w:val="0"/>
        <w:pageBreakBefore w:val="0"/>
        <w:widowControl/>
        <w:kinsoku w:val="0"/>
        <w:wordWrap/>
        <w:overflowPunct/>
        <w:topLinePunct w:val="0"/>
        <w:autoSpaceDE w:val="0"/>
        <w:autoSpaceDN w:val="0"/>
        <w:bidi w:val="0"/>
        <w:adjustRightInd w:val="0"/>
        <w:snapToGrid w:val="0"/>
        <w:spacing w:before="120" w:line="300" w:lineRule="auto"/>
        <w:ind w:right="38" w:firstLine="432" w:firstLineChars="20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4.</w:t>
      </w:r>
      <w:r>
        <w:rPr>
          <w:rFonts w:hint="eastAsia" w:ascii="宋体" w:hAnsi="宋体" w:eastAsia="宋体" w:cs="宋体"/>
          <w:color w:val="auto"/>
          <w:spacing w:val="3"/>
          <w:sz w:val="21"/>
          <w:szCs w:val="21"/>
          <w:highlight w:val="none"/>
        </w:rPr>
        <w:t>不可抗力事件发生后，应立即通知对方，并寄送有关权威机构出具的证明。</w:t>
      </w:r>
    </w:p>
    <w:p w14:paraId="5572BC9B">
      <w:pPr>
        <w:keepNext w:val="0"/>
        <w:keepLines w:val="0"/>
        <w:pageBreakBefore w:val="0"/>
        <w:widowControl w:val="0"/>
        <w:kinsoku/>
        <w:wordWrap/>
        <w:overflowPunct/>
        <w:topLinePunct w:val="0"/>
        <w:bidi w:val="0"/>
        <w:spacing w:line="300" w:lineRule="auto"/>
        <w:ind w:left="0" w:leftChars="0" w:right="0" w:firstLine="422" w:firstLineChars="200"/>
        <w:rPr>
          <w:rFonts w:hint="eastAsia"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第十二条  合同争议解决</w:t>
      </w:r>
    </w:p>
    <w:p w14:paraId="4BC81719">
      <w:pPr>
        <w:keepNext w:val="0"/>
        <w:keepLines w:val="0"/>
        <w:pageBreakBefore w:val="0"/>
        <w:widowControl w:val="0"/>
        <w:kinsoku/>
        <w:wordWrap/>
        <w:overflowPunct/>
        <w:topLinePunct w:val="0"/>
        <w:bidi w:val="0"/>
        <w:spacing w:line="300" w:lineRule="auto"/>
        <w:ind w:left="0" w:leftChars="0" w:right="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1.因服务质量问题发生争议的，应邀请国家认可的质量检测机构或专家组进行鉴定。服务符合标准的，鉴定费由甲方承担；服务不符合标准的，鉴定费由乙方承担。</w:t>
      </w:r>
    </w:p>
    <w:p w14:paraId="77F02083">
      <w:pPr>
        <w:keepNext w:val="0"/>
        <w:keepLines w:val="0"/>
        <w:pageBreakBefore w:val="0"/>
        <w:widowControl w:val="0"/>
        <w:kinsoku/>
        <w:wordWrap/>
        <w:overflowPunct/>
        <w:topLinePunct w:val="0"/>
        <w:autoSpaceDE w:val="0"/>
        <w:autoSpaceDN w:val="0"/>
        <w:bidi w:val="0"/>
        <w:spacing w:line="300" w:lineRule="auto"/>
        <w:ind w:left="0" w:leftChars="0" w:right="0"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2.因履行本合同引起的或者与本合同有关的争议，甲乙双方应首先通过友好协商解决，如果协商不能解决，按下列</w:t>
      </w:r>
      <w:r>
        <w:rPr>
          <w:rFonts w:hint="eastAsia" w:ascii="宋体" w:hAnsi="宋体" w:eastAsia="宋体" w:cs="Times New Roman"/>
          <w:color w:val="auto"/>
          <w:szCs w:val="21"/>
          <w:highlight w:val="none"/>
          <w:u w:val="single"/>
        </w:rPr>
        <w:t xml:space="preserve"> （2） </w:t>
      </w:r>
      <w:r>
        <w:rPr>
          <w:rFonts w:hint="eastAsia" w:ascii="宋体" w:hAnsi="宋体" w:eastAsia="宋体" w:cs="Times New Roman"/>
          <w:color w:val="auto"/>
          <w:szCs w:val="21"/>
          <w:highlight w:val="none"/>
        </w:rPr>
        <w:t>方式解决：</w:t>
      </w:r>
    </w:p>
    <w:p w14:paraId="4548969B">
      <w:pPr>
        <w:keepNext w:val="0"/>
        <w:keepLines w:val="0"/>
        <w:pageBreakBefore w:val="0"/>
        <w:widowControl w:val="0"/>
        <w:kinsoku/>
        <w:wordWrap/>
        <w:overflowPunct/>
        <w:topLinePunct w:val="0"/>
        <w:autoSpaceDE w:val="0"/>
        <w:autoSpaceDN w:val="0"/>
        <w:bidi w:val="0"/>
        <w:spacing w:line="300" w:lineRule="auto"/>
        <w:ind w:left="0" w:leftChars="0" w:right="0"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（1）向</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梧州市</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仲裁委员会申请仲裁；</w:t>
      </w:r>
    </w:p>
    <w:p w14:paraId="668AD5AB">
      <w:pPr>
        <w:keepNext w:val="0"/>
        <w:keepLines w:val="0"/>
        <w:pageBreakBefore w:val="0"/>
        <w:widowControl w:val="0"/>
        <w:kinsoku/>
        <w:wordWrap/>
        <w:overflowPunct/>
        <w:topLinePunct w:val="0"/>
        <w:autoSpaceDE w:val="0"/>
        <w:autoSpaceDN w:val="0"/>
        <w:bidi w:val="0"/>
        <w:spacing w:line="300" w:lineRule="auto"/>
        <w:ind w:left="0" w:leftChars="0" w:right="0"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（2）向</w:t>
      </w:r>
      <w:r>
        <w:rPr>
          <w:rFonts w:hint="eastAsia" w:ascii="宋体" w:hAnsi="宋体" w:eastAsia="宋体" w:cs="Times New Roman"/>
          <w:color w:val="auto"/>
          <w:szCs w:val="21"/>
          <w:highlight w:val="none"/>
          <w:lang w:val="en-US" w:eastAsia="zh-CN"/>
        </w:rPr>
        <w:t>甲方所在地的</w:t>
      </w:r>
      <w:r>
        <w:rPr>
          <w:rFonts w:hint="eastAsia" w:ascii="宋体" w:hAnsi="宋体" w:eastAsia="宋体" w:cs="Times New Roman"/>
          <w:color w:val="auto"/>
          <w:szCs w:val="21"/>
          <w:highlight w:val="none"/>
        </w:rPr>
        <w:t>人民法院提起诉讼。</w:t>
      </w:r>
    </w:p>
    <w:p w14:paraId="5C684D34">
      <w:pPr>
        <w:keepNext w:val="0"/>
        <w:keepLines w:val="0"/>
        <w:pageBreakBefore w:val="0"/>
        <w:widowControl w:val="0"/>
        <w:kinsoku/>
        <w:wordWrap/>
        <w:overflowPunct/>
        <w:topLinePunct w:val="0"/>
        <w:bidi w:val="0"/>
        <w:spacing w:line="300" w:lineRule="auto"/>
        <w:ind w:left="0" w:leftChars="0" w:right="0"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第十三条　合同的变更、中止或者终止</w:t>
      </w:r>
    </w:p>
    <w:p w14:paraId="4A881CE1">
      <w:pPr>
        <w:keepNext w:val="0"/>
        <w:keepLines w:val="0"/>
        <w:pageBreakBefore w:val="0"/>
        <w:widowControl w:val="0"/>
        <w:kinsoku/>
        <w:wordWrap/>
        <w:overflowPunct/>
        <w:topLinePunct w:val="0"/>
        <w:bidi w:val="0"/>
        <w:spacing w:line="300" w:lineRule="auto"/>
        <w:ind w:left="0" w:leftChars="0" w:right="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除《中华人民共和国政府采购法》第五十条规定的情形外，本合同一经签订，甲乙双方不得擅自变更、中止或者终止合同。</w:t>
      </w:r>
    </w:p>
    <w:p w14:paraId="109E4523">
      <w:pPr>
        <w:keepNext w:val="0"/>
        <w:keepLines w:val="0"/>
        <w:pageBreakBefore w:val="0"/>
        <w:widowControl w:val="0"/>
        <w:kinsoku/>
        <w:wordWrap/>
        <w:overflowPunct/>
        <w:topLinePunct w:val="0"/>
        <w:bidi w:val="0"/>
        <w:spacing w:line="300" w:lineRule="auto"/>
        <w:ind w:left="0" w:leftChars="0" w:right="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1A67155F">
      <w:pPr>
        <w:keepNext w:val="0"/>
        <w:keepLines w:val="0"/>
        <w:pageBreakBefore w:val="0"/>
        <w:widowControl w:val="0"/>
        <w:kinsoku/>
        <w:wordWrap/>
        <w:overflowPunct/>
        <w:topLinePunct w:val="0"/>
        <w:bidi w:val="0"/>
        <w:spacing w:line="300" w:lineRule="auto"/>
        <w:ind w:left="0" w:leftChars="0" w:right="0"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第十四条　</w:t>
      </w:r>
      <w:r>
        <w:rPr>
          <w:rFonts w:hint="eastAsia" w:ascii="宋体" w:hAnsi="宋体" w:eastAsia="宋体" w:cs="微软雅黑"/>
          <w:b/>
          <w:color w:val="auto"/>
          <w:kern w:val="0"/>
          <w:szCs w:val="21"/>
          <w:highlight w:val="none"/>
        </w:rPr>
        <w:t>合</w:t>
      </w:r>
      <w:r>
        <w:rPr>
          <w:rFonts w:hint="eastAsia" w:ascii="宋体" w:hAnsi="宋体" w:eastAsia="宋体" w:cs="微软雅黑"/>
          <w:b/>
          <w:color w:val="auto"/>
          <w:spacing w:val="-2"/>
          <w:kern w:val="0"/>
          <w:szCs w:val="21"/>
          <w:highlight w:val="none"/>
        </w:rPr>
        <w:t>同</w:t>
      </w:r>
      <w:r>
        <w:rPr>
          <w:rFonts w:hint="eastAsia" w:ascii="宋体" w:hAnsi="宋体" w:eastAsia="宋体" w:cs="微软雅黑"/>
          <w:b/>
          <w:color w:val="auto"/>
          <w:kern w:val="0"/>
          <w:szCs w:val="21"/>
          <w:highlight w:val="none"/>
        </w:rPr>
        <w:t>文</w:t>
      </w:r>
      <w:r>
        <w:rPr>
          <w:rFonts w:hint="eastAsia" w:ascii="宋体" w:hAnsi="宋体" w:eastAsia="宋体" w:cs="微软雅黑"/>
          <w:b/>
          <w:color w:val="auto"/>
          <w:spacing w:val="-2"/>
          <w:kern w:val="0"/>
          <w:szCs w:val="21"/>
          <w:highlight w:val="none"/>
        </w:rPr>
        <w:t>件构成</w:t>
      </w:r>
    </w:p>
    <w:p w14:paraId="08D0AA0B">
      <w:pPr>
        <w:keepNext w:val="0"/>
        <w:keepLines w:val="0"/>
        <w:pageBreakBefore w:val="0"/>
        <w:widowControl w:val="0"/>
        <w:kinsoku/>
        <w:wordWrap/>
        <w:overflowPunct/>
        <w:topLinePunct w:val="0"/>
        <w:autoSpaceDE/>
        <w:autoSpaceDN/>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1.政府采购合同</w:t>
      </w:r>
    </w:p>
    <w:p w14:paraId="50CC421B">
      <w:pPr>
        <w:keepNext w:val="0"/>
        <w:keepLines w:val="0"/>
        <w:pageBreakBefore w:val="0"/>
        <w:widowControl w:val="0"/>
        <w:kinsoku/>
        <w:wordWrap/>
        <w:overflowPunct/>
        <w:topLinePunct w:val="0"/>
        <w:autoSpaceDE/>
        <w:autoSpaceDN/>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2.成交通知书；</w:t>
      </w:r>
    </w:p>
    <w:p w14:paraId="6A24E4FC">
      <w:pPr>
        <w:keepNext w:val="0"/>
        <w:keepLines w:val="0"/>
        <w:pageBreakBefore w:val="0"/>
        <w:widowControl w:val="0"/>
        <w:kinsoku/>
        <w:wordWrap/>
        <w:overflowPunct/>
        <w:topLinePunct w:val="0"/>
        <w:autoSpaceDE/>
        <w:autoSpaceDN/>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3.响应文件；</w:t>
      </w:r>
    </w:p>
    <w:p w14:paraId="2548144E">
      <w:pPr>
        <w:keepNext w:val="0"/>
        <w:keepLines w:val="0"/>
        <w:pageBreakBefore w:val="0"/>
        <w:widowControl w:val="0"/>
        <w:kinsoku/>
        <w:wordWrap/>
        <w:overflowPunct/>
        <w:topLinePunct w:val="0"/>
        <w:autoSpaceDE/>
        <w:autoSpaceDN/>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4.采购文件及更正公告（澄清或补充通知）；</w:t>
      </w:r>
    </w:p>
    <w:p w14:paraId="33D568C7">
      <w:pPr>
        <w:keepNext w:val="0"/>
        <w:keepLines w:val="0"/>
        <w:pageBreakBefore w:val="0"/>
        <w:widowControl w:val="0"/>
        <w:kinsoku/>
        <w:wordWrap/>
        <w:overflowPunct/>
        <w:topLinePunct w:val="0"/>
        <w:autoSpaceDE/>
        <w:autoSpaceDN/>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5.标准、规范及有关技术文件；</w:t>
      </w:r>
    </w:p>
    <w:p w14:paraId="22E9AB4D">
      <w:pPr>
        <w:keepNext w:val="0"/>
        <w:keepLines w:val="0"/>
        <w:pageBreakBefore w:val="0"/>
        <w:widowControl w:val="0"/>
        <w:kinsoku/>
        <w:wordWrap/>
        <w:overflowPunct/>
        <w:topLinePunct w:val="0"/>
        <w:autoSpaceDE/>
        <w:autoSpaceDN/>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6.双方约定的其他合同文件。</w:t>
      </w:r>
    </w:p>
    <w:p w14:paraId="45C1D45A">
      <w:pPr>
        <w:keepNext w:val="0"/>
        <w:keepLines w:val="0"/>
        <w:pageBreakBefore w:val="0"/>
        <w:widowControl w:val="0"/>
        <w:kinsoku/>
        <w:wordWrap/>
        <w:overflowPunct/>
        <w:topLinePunct w:val="0"/>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上述合同文件互相补充和解释。如果合同文件之间存在矛盾或者不一致之处，以上述文件的排列顺序在先者为准。</w:t>
      </w:r>
    </w:p>
    <w:p w14:paraId="0389DBA6">
      <w:pPr>
        <w:keepNext w:val="0"/>
        <w:keepLines w:val="0"/>
        <w:pageBreakBefore w:val="0"/>
        <w:widowControl w:val="0"/>
        <w:kinsoku/>
        <w:wordWrap/>
        <w:overflowPunct/>
        <w:topLinePunct w:val="0"/>
        <w:bidi w:val="0"/>
        <w:spacing w:line="300" w:lineRule="auto"/>
        <w:ind w:left="0" w:leftChars="0" w:right="0" w:firstLine="413" w:firstLineChars="196"/>
        <w:jc w:val="both"/>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szCs w:val="21"/>
          <w:highlight w:val="none"/>
        </w:rPr>
        <w:t>第</w:t>
      </w:r>
      <w:r>
        <w:rPr>
          <w:rFonts w:hint="eastAsia" w:ascii="Times New Roman" w:hAnsi="宋体" w:eastAsia="宋体" w:cs="Times New Roman"/>
          <w:b/>
          <w:color w:val="auto"/>
          <w:highlight w:val="none"/>
        </w:rPr>
        <w:t>十五</w:t>
      </w:r>
      <w:r>
        <w:rPr>
          <w:rFonts w:hint="eastAsia" w:ascii="宋体" w:hAnsi="宋体" w:eastAsia="宋体" w:cs="Times New Roman"/>
          <w:b/>
          <w:color w:val="auto"/>
          <w:szCs w:val="21"/>
          <w:highlight w:val="none"/>
        </w:rPr>
        <w:t>条　</w:t>
      </w:r>
      <w:r>
        <w:rPr>
          <w:rFonts w:hint="eastAsia" w:ascii="宋体" w:hAnsi="宋体" w:eastAsia="宋体" w:cs="Times New Roman"/>
          <w:b/>
          <w:color w:val="auto"/>
          <w:kern w:val="0"/>
          <w:sz w:val="21"/>
          <w:szCs w:val="21"/>
          <w:highlight w:val="none"/>
          <w:lang w:val="en-US" w:eastAsia="zh-CN" w:bidi="ar-SA"/>
        </w:rPr>
        <w:t xml:space="preserve">  合同生效及其它</w:t>
      </w:r>
    </w:p>
    <w:p w14:paraId="0DBE3A84">
      <w:pPr>
        <w:keepNext w:val="0"/>
        <w:keepLines w:val="0"/>
        <w:pageBreakBefore w:val="0"/>
        <w:widowControl w:val="0"/>
        <w:kinsoku/>
        <w:wordWrap/>
        <w:overflowPunct/>
        <w:topLinePunct w:val="0"/>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1.合同经双方法定代表人或者委托代理人签字并加盖单位公章后生效（委托代理人签字的需后附授权委托书，格式自拟）。</w:t>
      </w:r>
    </w:p>
    <w:p w14:paraId="5770393F">
      <w:pPr>
        <w:keepNext w:val="0"/>
        <w:keepLines w:val="0"/>
        <w:pageBreakBefore w:val="0"/>
        <w:widowControl w:val="0"/>
        <w:kinsoku/>
        <w:wordWrap/>
        <w:overflowPunct/>
        <w:topLinePunct w:val="0"/>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2.合同执行中涉及采购资金和采购内容修改或者补充的，并</w:t>
      </w:r>
      <w:r>
        <w:rPr>
          <w:rFonts w:hint="eastAsia" w:ascii="宋体" w:hAnsi="宋体" w:cs="Times New Roman"/>
          <w:color w:val="auto"/>
          <w:kern w:val="0"/>
          <w:sz w:val="21"/>
          <w:szCs w:val="21"/>
          <w:highlight w:val="none"/>
          <w:lang w:val="en-US" w:eastAsia="zh-CN" w:bidi="ar-SA"/>
        </w:rPr>
        <w:t>签订</w:t>
      </w:r>
      <w:r>
        <w:rPr>
          <w:rFonts w:hint="eastAsia" w:ascii="宋体" w:hAnsi="宋体" w:eastAsia="宋体" w:cs="Times New Roman"/>
          <w:color w:val="auto"/>
          <w:kern w:val="0"/>
          <w:sz w:val="21"/>
          <w:szCs w:val="21"/>
          <w:highlight w:val="none"/>
          <w:lang w:val="en-US" w:eastAsia="zh-CN" w:bidi="ar-SA"/>
        </w:rPr>
        <w:t>书面补充协议报财政部门备案，方可作为主合同不可分割的一部分。</w:t>
      </w:r>
    </w:p>
    <w:p w14:paraId="57521A92">
      <w:pPr>
        <w:keepNext w:val="0"/>
        <w:keepLines w:val="0"/>
        <w:pageBreakBefore w:val="0"/>
        <w:widowControl w:val="0"/>
        <w:kinsoku/>
        <w:wordWrap/>
        <w:overflowPunct/>
        <w:topLinePunct w:val="0"/>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3.合同生效后，甲乙双方不得因姓名、名称的变更或者法定代表人、负责人、承办人的变动而不履行合同义务。</w:t>
      </w:r>
    </w:p>
    <w:p w14:paraId="652E4384">
      <w:pPr>
        <w:keepNext w:val="0"/>
        <w:keepLines w:val="0"/>
        <w:pageBreakBefore w:val="0"/>
        <w:widowControl w:val="0"/>
        <w:kinsoku/>
        <w:wordWrap/>
        <w:overflowPunct/>
        <w:topLinePunct w:val="0"/>
        <w:bidi w:val="0"/>
        <w:spacing w:line="300" w:lineRule="auto"/>
        <w:ind w:left="0" w:leftChars="0" w:right="0"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4.本合同未尽事宜，遵照《中华人民共和国民法典》有关条文执行。</w:t>
      </w:r>
    </w:p>
    <w:p w14:paraId="69D44737">
      <w:pPr>
        <w:keepNext w:val="0"/>
        <w:keepLines w:val="0"/>
        <w:pageBreakBefore w:val="0"/>
        <w:widowControl w:val="0"/>
        <w:kinsoku/>
        <w:wordWrap/>
        <w:overflowPunct/>
        <w:topLinePunct w:val="0"/>
        <w:bidi w:val="0"/>
        <w:spacing w:line="300" w:lineRule="auto"/>
        <w:ind w:left="0" w:leftChars="0" w:right="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5.本合同自签订之日起2个工作日内，甲方应当将采购合同在广西壮族自治区财政厅指定的媒体上公告。</w:t>
      </w:r>
    </w:p>
    <w:p w14:paraId="5CB8FF87">
      <w:pPr>
        <w:keepNext w:val="0"/>
        <w:keepLines w:val="0"/>
        <w:pageBreakBefore w:val="0"/>
        <w:widowControl w:val="0"/>
        <w:kinsoku/>
        <w:wordWrap/>
        <w:overflowPunct/>
        <w:topLinePunct w:val="0"/>
        <w:bidi w:val="0"/>
        <w:spacing w:line="300" w:lineRule="auto"/>
        <w:ind w:left="0" w:leftChars="0" w:right="0" w:firstLine="413" w:firstLineChars="196"/>
        <w:jc w:val="both"/>
        <w:rPr>
          <w:rFonts w:hint="eastAsia" w:ascii="宋体" w:hAnsi="宋体" w:eastAsia="宋体" w:cs="Times New Roman"/>
          <w:color w:val="auto"/>
          <w:szCs w:val="21"/>
          <w:highlight w:val="none"/>
          <w:lang w:eastAsia="zh-CN"/>
        </w:rPr>
      </w:pPr>
      <w:r>
        <w:rPr>
          <w:rFonts w:hint="eastAsia" w:ascii="宋体" w:hAnsi="宋体" w:eastAsia="宋体" w:cs="Times New Roman"/>
          <w:b/>
          <w:color w:val="auto"/>
          <w:kern w:val="0"/>
          <w:sz w:val="21"/>
          <w:szCs w:val="21"/>
          <w:highlight w:val="none"/>
          <w:lang w:val="en-US" w:eastAsia="zh-CN" w:bidi="ar-SA"/>
        </w:rPr>
        <w:t>第十六 条补充条款：</w:t>
      </w:r>
      <w:r>
        <w:rPr>
          <w:rFonts w:hint="eastAsia" w:ascii="宋体" w:hAnsi="宋体" w:eastAsia="宋体" w:cs="宋体"/>
          <w:color w:val="auto"/>
          <w:spacing w:val="3"/>
          <w:sz w:val="20"/>
          <w:szCs w:val="20"/>
          <w:highlight w:val="none"/>
          <w:u w:val="single"/>
        </w:rPr>
        <w:t xml:space="preserve">                            </w:t>
      </w:r>
    </w:p>
    <w:p w14:paraId="707303A6">
      <w:pPr>
        <w:tabs>
          <w:tab w:val="left" w:pos="439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5842F8E7">
      <w:pPr>
        <w:tabs>
          <w:tab w:val="left" w:pos="4395"/>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法定代表人或者委托代理人              法定代表人或者委托代理人</w:t>
      </w:r>
    </w:p>
    <w:p w14:paraId="4CAD173C">
      <w:pPr>
        <w:tabs>
          <w:tab w:val="left" w:pos="4395"/>
        </w:tabs>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rPr>
        <w:t>（签字或签章）：</w:t>
      </w:r>
      <w:r>
        <w:rPr>
          <w:rFonts w:hint="eastAsia" w:ascii="宋体" w:hAnsi="宋体"/>
          <w:b/>
          <w:color w:val="auto"/>
          <w:szCs w:val="21"/>
          <w:highlight w:val="none"/>
        </w:rPr>
        <w:tab/>
      </w:r>
      <w:r>
        <w:rPr>
          <w:rFonts w:hint="eastAsia" w:ascii="宋体" w:hAnsi="宋体"/>
          <w:bCs/>
          <w:color w:val="auto"/>
          <w:szCs w:val="21"/>
          <w:highlight w:val="none"/>
        </w:rPr>
        <w:t xml:space="preserve">（签字或签章）： </w:t>
      </w:r>
    </w:p>
    <w:p w14:paraId="5671D069">
      <w:pPr>
        <w:tabs>
          <w:tab w:val="left" w:pos="439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签订日期：　　　年　　月　　日</w:t>
      </w:r>
      <w:r>
        <w:rPr>
          <w:rFonts w:hint="eastAsia" w:ascii="宋体" w:hAnsi="宋体"/>
          <w:color w:val="auto"/>
          <w:szCs w:val="21"/>
          <w:highlight w:val="none"/>
        </w:rPr>
        <w:tab/>
      </w:r>
      <w:r>
        <w:rPr>
          <w:rFonts w:hint="eastAsia" w:ascii="宋体" w:hAnsi="宋体"/>
          <w:color w:val="auto"/>
          <w:szCs w:val="21"/>
          <w:highlight w:val="none"/>
        </w:rPr>
        <w:t>签订日期：　　　年　　月　　日</w:t>
      </w:r>
    </w:p>
    <w:p w14:paraId="3E0D7579">
      <w:pPr>
        <w:tabs>
          <w:tab w:val="left" w:pos="439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426AD2D0">
      <w:pPr>
        <w:tabs>
          <w:tab w:val="left" w:pos="439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4904CF8D">
      <w:pPr>
        <w:tabs>
          <w:tab w:val="left" w:pos="4395"/>
        </w:tabs>
        <w:spacing w:line="360" w:lineRule="auto"/>
        <w:ind w:firstLine="4410" w:firstLineChars="2100"/>
        <w:rPr>
          <w:rFonts w:ascii="宋体" w:hAnsi="宋体" w:cs="宋体"/>
          <w:color w:val="auto"/>
          <w:sz w:val="6"/>
          <w:szCs w:val="6"/>
          <w:highlight w:val="none"/>
        </w:rPr>
      </w:pPr>
      <w:r>
        <w:rPr>
          <w:rFonts w:hint="eastAsia" w:ascii="宋体" w:hAnsi="宋体"/>
          <w:color w:val="auto"/>
          <w:szCs w:val="21"/>
          <w:highlight w:val="none"/>
        </w:rPr>
        <w:t>开 户 行：</w:t>
      </w:r>
    </w:p>
    <w:sectPr>
      <w:footerReference r:id="rId8" w:type="first"/>
      <w:footerReference r:id="rId7" w:type="default"/>
      <w:pgSz w:w="11906" w:h="16838"/>
      <w:pgMar w:top="1440" w:right="1499"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6874">
    <w:pPr>
      <w:pStyle w:val="2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F95B82">
                          <w:pPr>
                            <w:pStyle w:val="2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v1xsgBAACe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hb9cbIAQAAngMAAA4AAAAAAAAAAQAgAAAAHgEAAGRycy9lMm9Eb2Mu&#10;eG1sUEsFBgAAAAAGAAYAWQEAAFgFAAAAAA==&#10;">
              <v:fill on="f" focussize="0,0"/>
              <v:stroke on="f"/>
              <v:imagedata o:title=""/>
              <o:lock v:ext="edit" aspectratio="f"/>
              <v:textbox inset="0mm,0mm,0mm,0mm" style="mso-fit-shape-to-text:t;">
                <w:txbxContent>
                  <w:p w14:paraId="17F95B82">
                    <w:pPr>
                      <w:pStyle w:val="20"/>
                    </w:pPr>
                    <w:r>
                      <w:fldChar w:fldCharType="begin"/>
                    </w:r>
                    <w:r>
                      <w:instrText xml:space="preserve"> PAGE  \* MERGEFORMAT </w:instrText>
                    </w:r>
                    <w:r>
                      <w:fldChar w:fldCharType="separate"/>
                    </w:r>
                    <w:r>
                      <w:t>1</w:t>
                    </w:r>
                    <w:r>
                      <w:fldChar w:fldCharType="end"/>
                    </w:r>
                  </w:p>
                </w:txbxContent>
              </v:textbox>
            </v:shape>
          </w:pict>
        </mc:Fallback>
      </mc:AlternateContent>
    </w:r>
  </w:p>
  <w:p w14:paraId="149F3605">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0F737">
    <w:pPr>
      <w:pStyle w:val="2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2C26E3"/>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002C26E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B1036">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B9CBC0">
                          <w:pPr>
                            <w:pStyle w:val="20"/>
                            <w:jc w:val="center"/>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8sLxZyQEAAJ4DAAAOAAAAAAAAAAEAIAAAAB4BAABkcnMvZTJvRG9j&#10;LnhtbFBLBQYAAAAABgAGAFkBAABZBQAAAAA=&#10;">
              <v:fill on="f" focussize="0,0"/>
              <v:stroke on="f"/>
              <v:imagedata o:title=""/>
              <o:lock v:ext="edit" aspectratio="f"/>
              <v:textbox inset="0mm,0mm,0mm,0mm" style="mso-fit-shape-to-text:t;">
                <w:txbxContent>
                  <w:p w14:paraId="39B9CBC0">
                    <w:pPr>
                      <w:pStyle w:val="20"/>
                      <w:jc w:val="center"/>
                    </w:pPr>
                    <w:r>
                      <w:fldChar w:fldCharType="begin"/>
                    </w:r>
                    <w:r>
                      <w:instrText xml:space="preserve"> PAGE  \* MERGEFORMAT </w:instrText>
                    </w:r>
                    <w:r>
                      <w:fldChar w:fldCharType="separate"/>
                    </w:r>
                    <w:r>
                      <w:t>53</w:t>
                    </w:r>
                    <w:r>
                      <w:fldChar w:fldCharType="end"/>
                    </w:r>
                  </w:p>
                </w:txbxContent>
              </v:textbox>
            </v:shape>
          </w:pict>
        </mc:Fallback>
      </mc:AlternateContent>
    </w:r>
  </w:p>
  <w:p w14:paraId="7D172B93">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4E49C">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8DD662">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q5Ri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arlGJyQEAAJ4DAAAOAAAAAAAAAAEAIAAAAB4BAABkcnMvZTJvRG9j&#10;LnhtbFBLBQYAAAAABgAGAFkBAABZBQAAAAA=&#10;">
              <v:fill on="f" focussize="0,0"/>
              <v:stroke on="f"/>
              <v:imagedata o:title=""/>
              <o:lock v:ext="edit" aspectratio="f"/>
              <v:textbox inset="0mm,0mm,0mm,0mm" style="mso-fit-shape-to-text:t;">
                <w:txbxContent>
                  <w:p w14:paraId="5B8DD662">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8B4F0">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56B4">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1F6"/>
    <w:multiLevelType w:val="singleLevel"/>
    <w:tmpl w:val="845B51F6"/>
    <w:lvl w:ilvl="0" w:tentative="0">
      <w:start w:val="2"/>
      <w:numFmt w:val="chineseCounting"/>
      <w:suff w:val="nothing"/>
      <w:lvlText w:val="%1、"/>
      <w:lvlJc w:val="left"/>
      <w:rPr>
        <w:rFonts w:hint="eastAsia"/>
      </w:rPr>
    </w:lvl>
  </w:abstractNum>
  <w:abstractNum w:abstractNumId="1">
    <w:nsid w:val="EABE01DE"/>
    <w:multiLevelType w:val="singleLevel"/>
    <w:tmpl w:val="EABE01DE"/>
    <w:lvl w:ilvl="0" w:tentative="0">
      <w:start w:val="3"/>
      <w:numFmt w:val="decimal"/>
      <w:suff w:val="nothing"/>
      <w:lvlText w:val="（%1）"/>
      <w:lvlJc w:val="left"/>
    </w:lvl>
  </w:abstractNum>
  <w:abstractNum w:abstractNumId="2">
    <w:nsid w:val="3E2402B3"/>
    <w:multiLevelType w:val="singleLevel"/>
    <w:tmpl w:val="3E2402B3"/>
    <w:lvl w:ilvl="0" w:tentative="0">
      <w:start w:val="1"/>
      <w:numFmt w:val="decimal"/>
      <w:lvlText w:val="%1."/>
      <w:lvlJc w:val="left"/>
      <w:pPr>
        <w:tabs>
          <w:tab w:val="left" w:pos="312"/>
        </w:tabs>
      </w:pPr>
    </w:lvl>
  </w:abstractNum>
  <w:abstractNum w:abstractNumId="3">
    <w:nsid w:val="77E78459"/>
    <w:multiLevelType w:val="singleLevel"/>
    <w:tmpl w:val="77E78459"/>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MmM4NjdjN2I0YzJiNjIxNGUwOTY0ODUxYmRhMWYifQ=="/>
  </w:docVars>
  <w:rsids>
    <w:rsidRoot w:val="00F34B14"/>
    <w:rsid w:val="000002E0"/>
    <w:rsid w:val="00000672"/>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52E9"/>
    <w:rsid w:val="00035494"/>
    <w:rsid w:val="00036125"/>
    <w:rsid w:val="00036A07"/>
    <w:rsid w:val="0003780B"/>
    <w:rsid w:val="00040571"/>
    <w:rsid w:val="00040631"/>
    <w:rsid w:val="00040973"/>
    <w:rsid w:val="0004156E"/>
    <w:rsid w:val="00041713"/>
    <w:rsid w:val="0004440C"/>
    <w:rsid w:val="000453F8"/>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0F07"/>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684"/>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53C3"/>
    <w:rsid w:val="001476D3"/>
    <w:rsid w:val="001509CF"/>
    <w:rsid w:val="00150D1D"/>
    <w:rsid w:val="001525AA"/>
    <w:rsid w:val="00152A87"/>
    <w:rsid w:val="00152AC1"/>
    <w:rsid w:val="00153BB5"/>
    <w:rsid w:val="00154518"/>
    <w:rsid w:val="00155DD9"/>
    <w:rsid w:val="00156359"/>
    <w:rsid w:val="00156DD6"/>
    <w:rsid w:val="0016086E"/>
    <w:rsid w:val="001609B9"/>
    <w:rsid w:val="00160D0C"/>
    <w:rsid w:val="00160DD1"/>
    <w:rsid w:val="00161172"/>
    <w:rsid w:val="00161998"/>
    <w:rsid w:val="00161E65"/>
    <w:rsid w:val="00162597"/>
    <w:rsid w:val="001629AF"/>
    <w:rsid w:val="001629FD"/>
    <w:rsid w:val="00162FE8"/>
    <w:rsid w:val="0016428A"/>
    <w:rsid w:val="001647C9"/>
    <w:rsid w:val="00165627"/>
    <w:rsid w:val="001661A3"/>
    <w:rsid w:val="00167226"/>
    <w:rsid w:val="0016782B"/>
    <w:rsid w:val="0016784D"/>
    <w:rsid w:val="00167853"/>
    <w:rsid w:val="00167887"/>
    <w:rsid w:val="00172CA8"/>
    <w:rsid w:val="00172D06"/>
    <w:rsid w:val="00173256"/>
    <w:rsid w:val="00173B0E"/>
    <w:rsid w:val="00173E03"/>
    <w:rsid w:val="0017512C"/>
    <w:rsid w:val="001756AF"/>
    <w:rsid w:val="0017586A"/>
    <w:rsid w:val="00175BA6"/>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1ABB"/>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2FEE"/>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E82"/>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67"/>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13D"/>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B84"/>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7092"/>
    <w:rsid w:val="003A72A1"/>
    <w:rsid w:val="003A7611"/>
    <w:rsid w:val="003A7D1F"/>
    <w:rsid w:val="003B0B6A"/>
    <w:rsid w:val="003B22F7"/>
    <w:rsid w:val="003B29CF"/>
    <w:rsid w:val="003B3A90"/>
    <w:rsid w:val="003B3D01"/>
    <w:rsid w:val="003B534F"/>
    <w:rsid w:val="003B7377"/>
    <w:rsid w:val="003B7A79"/>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91FA1"/>
    <w:rsid w:val="00492A25"/>
    <w:rsid w:val="004938A3"/>
    <w:rsid w:val="00493B8F"/>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4CD4"/>
    <w:rsid w:val="0050524B"/>
    <w:rsid w:val="00505450"/>
    <w:rsid w:val="00505FC6"/>
    <w:rsid w:val="00506BF1"/>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668"/>
    <w:rsid w:val="00534DDD"/>
    <w:rsid w:val="00535291"/>
    <w:rsid w:val="00535A94"/>
    <w:rsid w:val="00535E3B"/>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0F8"/>
    <w:rsid w:val="00556BF7"/>
    <w:rsid w:val="00556E53"/>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339D"/>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0F12"/>
    <w:rsid w:val="0061143F"/>
    <w:rsid w:val="006114D8"/>
    <w:rsid w:val="00613553"/>
    <w:rsid w:val="00613601"/>
    <w:rsid w:val="00613791"/>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5C7B"/>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376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279A"/>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762D"/>
    <w:rsid w:val="007F78F0"/>
    <w:rsid w:val="007F78FF"/>
    <w:rsid w:val="008001C5"/>
    <w:rsid w:val="00800F6C"/>
    <w:rsid w:val="00800FC1"/>
    <w:rsid w:val="00801065"/>
    <w:rsid w:val="00802C0B"/>
    <w:rsid w:val="00805040"/>
    <w:rsid w:val="008051FC"/>
    <w:rsid w:val="008055A9"/>
    <w:rsid w:val="008056C4"/>
    <w:rsid w:val="008057FD"/>
    <w:rsid w:val="00805D8B"/>
    <w:rsid w:val="0081010F"/>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6D2"/>
    <w:rsid w:val="008838AD"/>
    <w:rsid w:val="00885BC9"/>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673"/>
    <w:rsid w:val="008A0FC9"/>
    <w:rsid w:val="008A1956"/>
    <w:rsid w:val="008A1A7C"/>
    <w:rsid w:val="008A2CE2"/>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3AE"/>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2B2"/>
    <w:rsid w:val="009C7547"/>
    <w:rsid w:val="009D05EC"/>
    <w:rsid w:val="009D18D4"/>
    <w:rsid w:val="009D1FCF"/>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75B8"/>
    <w:rsid w:val="00A619BB"/>
    <w:rsid w:val="00A61C60"/>
    <w:rsid w:val="00A61ECB"/>
    <w:rsid w:val="00A6410C"/>
    <w:rsid w:val="00A647B1"/>
    <w:rsid w:val="00A64DEF"/>
    <w:rsid w:val="00A654D2"/>
    <w:rsid w:val="00A665DF"/>
    <w:rsid w:val="00A67FCC"/>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246D"/>
    <w:rsid w:val="00A92CCA"/>
    <w:rsid w:val="00A93BD0"/>
    <w:rsid w:val="00A93CC2"/>
    <w:rsid w:val="00A9460D"/>
    <w:rsid w:val="00A94D4B"/>
    <w:rsid w:val="00A974CC"/>
    <w:rsid w:val="00AA2001"/>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5A15"/>
    <w:rsid w:val="00B35B45"/>
    <w:rsid w:val="00B36165"/>
    <w:rsid w:val="00B36A99"/>
    <w:rsid w:val="00B42264"/>
    <w:rsid w:val="00B434B2"/>
    <w:rsid w:val="00B43D45"/>
    <w:rsid w:val="00B459AF"/>
    <w:rsid w:val="00B468F2"/>
    <w:rsid w:val="00B469DE"/>
    <w:rsid w:val="00B47286"/>
    <w:rsid w:val="00B47EB4"/>
    <w:rsid w:val="00B50234"/>
    <w:rsid w:val="00B51BF4"/>
    <w:rsid w:val="00B52C68"/>
    <w:rsid w:val="00B5372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47AB"/>
    <w:rsid w:val="00C058AF"/>
    <w:rsid w:val="00C075B6"/>
    <w:rsid w:val="00C124C1"/>
    <w:rsid w:val="00C128AE"/>
    <w:rsid w:val="00C12BA8"/>
    <w:rsid w:val="00C13094"/>
    <w:rsid w:val="00C136D6"/>
    <w:rsid w:val="00C13D5B"/>
    <w:rsid w:val="00C141D7"/>
    <w:rsid w:val="00C14CD5"/>
    <w:rsid w:val="00C1711B"/>
    <w:rsid w:val="00C17AE2"/>
    <w:rsid w:val="00C20140"/>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2479"/>
    <w:rsid w:val="00C5266E"/>
    <w:rsid w:val="00C52C59"/>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2880"/>
    <w:rsid w:val="00D0334D"/>
    <w:rsid w:val="00D0374D"/>
    <w:rsid w:val="00D06D7B"/>
    <w:rsid w:val="00D06DA5"/>
    <w:rsid w:val="00D07191"/>
    <w:rsid w:val="00D07F1D"/>
    <w:rsid w:val="00D10558"/>
    <w:rsid w:val="00D11D4D"/>
    <w:rsid w:val="00D11DB1"/>
    <w:rsid w:val="00D11ED1"/>
    <w:rsid w:val="00D126DC"/>
    <w:rsid w:val="00D12B03"/>
    <w:rsid w:val="00D13E70"/>
    <w:rsid w:val="00D13EE7"/>
    <w:rsid w:val="00D15FCD"/>
    <w:rsid w:val="00D16C58"/>
    <w:rsid w:val="00D17019"/>
    <w:rsid w:val="00D17FC8"/>
    <w:rsid w:val="00D2015B"/>
    <w:rsid w:val="00D20B44"/>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478C"/>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8BA"/>
    <w:rsid w:val="00DD2A18"/>
    <w:rsid w:val="00DD3044"/>
    <w:rsid w:val="00DD3985"/>
    <w:rsid w:val="00DD61E8"/>
    <w:rsid w:val="00DD62C0"/>
    <w:rsid w:val="00DD64DE"/>
    <w:rsid w:val="00DD66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1FA7"/>
    <w:rsid w:val="00E324EE"/>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91B"/>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3B50"/>
    <w:rsid w:val="00EB430A"/>
    <w:rsid w:val="00EB559F"/>
    <w:rsid w:val="00EB566C"/>
    <w:rsid w:val="00EB5A18"/>
    <w:rsid w:val="00EB5F3D"/>
    <w:rsid w:val="00EB6C97"/>
    <w:rsid w:val="00EC1CEB"/>
    <w:rsid w:val="00EC1DC0"/>
    <w:rsid w:val="00EC1DC2"/>
    <w:rsid w:val="00EC1E09"/>
    <w:rsid w:val="00EC210E"/>
    <w:rsid w:val="00EC21EC"/>
    <w:rsid w:val="00EC24B8"/>
    <w:rsid w:val="00EC268C"/>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C9F"/>
    <w:rsid w:val="00F43FEE"/>
    <w:rsid w:val="00F4492F"/>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6152"/>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D4062"/>
    <w:rsid w:val="012C5FAF"/>
    <w:rsid w:val="0144588D"/>
    <w:rsid w:val="01AF3D99"/>
    <w:rsid w:val="01B409B0"/>
    <w:rsid w:val="0227136C"/>
    <w:rsid w:val="022B7DBF"/>
    <w:rsid w:val="02511F9D"/>
    <w:rsid w:val="02542238"/>
    <w:rsid w:val="02D236C4"/>
    <w:rsid w:val="02D74B40"/>
    <w:rsid w:val="03181B96"/>
    <w:rsid w:val="035C0C84"/>
    <w:rsid w:val="03A314B8"/>
    <w:rsid w:val="03D357B6"/>
    <w:rsid w:val="03D82B98"/>
    <w:rsid w:val="03EF7C67"/>
    <w:rsid w:val="03F11C32"/>
    <w:rsid w:val="03F83E8B"/>
    <w:rsid w:val="05484847"/>
    <w:rsid w:val="0560706F"/>
    <w:rsid w:val="05962A91"/>
    <w:rsid w:val="05C56868"/>
    <w:rsid w:val="05DC1E73"/>
    <w:rsid w:val="0620235A"/>
    <w:rsid w:val="063D4CBA"/>
    <w:rsid w:val="064A2C47"/>
    <w:rsid w:val="06901DC6"/>
    <w:rsid w:val="06D03D80"/>
    <w:rsid w:val="06DA7D4B"/>
    <w:rsid w:val="06DE121A"/>
    <w:rsid w:val="06FC22C5"/>
    <w:rsid w:val="07213690"/>
    <w:rsid w:val="077A356B"/>
    <w:rsid w:val="078821CB"/>
    <w:rsid w:val="079E5C2C"/>
    <w:rsid w:val="07A539BD"/>
    <w:rsid w:val="07B72767"/>
    <w:rsid w:val="08077E72"/>
    <w:rsid w:val="08097C77"/>
    <w:rsid w:val="082D2938"/>
    <w:rsid w:val="08367AFD"/>
    <w:rsid w:val="083A29D8"/>
    <w:rsid w:val="08882DD0"/>
    <w:rsid w:val="08AF4AAE"/>
    <w:rsid w:val="0904737E"/>
    <w:rsid w:val="09055FC7"/>
    <w:rsid w:val="093A1985"/>
    <w:rsid w:val="094D65AA"/>
    <w:rsid w:val="09B8710A"/>
    <w:rsid w:val="09CC2AAC"/>
    <w:rsid w:val="09F56307"/>
    <w:rsid w:val="0A316988"/>
    <w:rsid w:val="0A3476EE"/>
    <w:rsid w:val="0A370A52"/>
    <w:rsid w:val="0A652D3E"/>
    <w:rsid w:val="0A9F39E3"/>
    <w:rsid w:val="0B18600A"/>
    <w:rsid w:val="0B326F2A"/>
    <w:rsid w:val="0B7900C7"/>
    <w:rsid w:val="0B892115"/>
    <w:rsid w:val="0BD95485"/>
    <w:rsid w:val="0C00574C"/>
    <w:rsid w:val="0C1E2888"/>
    <w:rsid w:val="0C3A0092"/>
    <w:rsid w:val="0C92213C"/>
    <w:rsid w:val="0C9933AE"/>
    <w:rsid w:val="0CC2027E"/>
    <w:rsid w:val="0D1C7D1F"/>
    <w:rsid w:val="0D270472"/>
    <w:rsid w:val="0D2A1D10"/>
    <w:rsid w:val="0D84032B"/>
    <w:rsid w:val="0D9D0734"/>
    <w:rsid w:val="0DD73F33"/>
    <w:rsid w:val="0DE16873"/>
    <w:rsid w:val="0EA75984"/>
    <w:rsid w:val="0F2A74C4"/>
    <w:rsid w:val="0F713C26"/>
    <w:rsid w:val="0FB87823"/>
    <w:rsid w:val="0FEE54E3"/>
    <w:rsid w:val="102D5D89"/>
    <w:rsid w:val="10412B23"/>
    <w:rsid w:val="10415056"/>
    <w:rsid w:val="10A27F31"/>
    <w:rsid w:val="10DB57FB"/>
    <w:rsid w:val="11184903"/>
    <w:rsid w:val="112D3AE1"/>
    <w:rsid w:val="1178687D"/>
    <w:rsid w:val="118653FD"/>
    <w:rsid w:val="11927058"/>
    <w:rsid w:val="11CF19D2"/>
    <w:rsid w:val="11D351CA"/>
    <w:rsid w:val="11F020C0"/>
    <w:rsid w:val="120E171E"/>
    <w:rsid w:val="121E7B6F"/>
    <w:rsid w:val="124A70DD"/>
    <w:rsid w:val="128E2859"/>
    <w:rsid w:val="12F6691D"/>
    <w:rsid w:val="135326FB"/>
    <w:rsid w:val="13AF4F03"/>
    <w:rsid w:val="13CB6CB8"/>
    <w:rsid w:val="140767FE"/>
    <w:rsid w:val="143E5385"/>
    <w:rsid w:val="144B7D94"/>
    <w:rsid w:val="14736E66"/>
    <w:rsid w:val="147F458F"/>
    <w:rsid w:val="1487326E"/>
    <w:rsid w:val="14AE1576"/>
    <w:rsid w:val="1517430A"/>
    <w:rsid w:val="1534169A"/>
    <w:rsid w:val="15396078"/>
    <w:rsid w:val="156536E2"/>
    <w:rsid w:val="157C797D"/>
    <w:rsid w:val="158C4A9F"/>
    <w:rsid w:val="15C03E03"/>
    <w:rsid w:val="15FA276E"/>
    <w:rsid w:val="162A25EB"/>
    <w:rsid w:val="16735895"/>
    <w:rsid w:val="169C3C7F"/>
    <w:rsid w:val="16E82A20"/>
    <w:rsid w:val="16FD2A55"/>
    <w:rsid w:val="17067C1A"/>
    <w:rsid w:val="17366761"/>
    <w:rsid w:val="177C01F0"/>
    <w:rsid w:val="179E3EFA"/>
    <w:rsid w:val="17CC0594"/>
    <w:rsid w:val="17CE6630"/>
    <w:rsid w:val="17E72CD8"/>
    <w:rsid w:val="17FB2C27"/>
    <w:rsid w:val="1849668B"/>
    <w:rsid w:val="18550677"/>
    <w:rsid w:val="193A152D"/>
    <w:rsid w:val="194505FE"/>
    <w:rsid w:val="196244CE"/>
    <w:rsid w:val="199649B5"/>
    <w:rsid w:val="1A2C25A0"/>
    <w:rsid w:val="1A4742D0"/>
    <w:rsid w:val="1A491A28"/>
    <w:rsid w:val="1A590030"/>
    <w:rsid w:val="1A641E02"/>
    <w:rsid w:val="1AB0209A"/>
    <w:rsid w:val="1ABD57E6"/>
    <w:rsid w:val="1AD3076B"/>
    <w:rsid w:val="1AFF0AFE"/>
    <w:rsid w:val="1B1C713C"/>
    <w:rsid w:val="1B264883"/>
    <w:rsid w:val="1B4F19F8"/>
    <w:rsid w:val="1B740D26"/>
    <w:rsid w:val="1BA9716A"/>
    <w:rsid w:val="1C2A481A"/>
    <w:rsid w:val="1C301EBE"/>
    <w:rsid w:val="1CA76EDA"/>
    <w:rsid w:val="1CB10F77"/>
    <w:rsid w:val="1CBF6811"/>
    <w:rsid w:val="1CE075DD"/>
    <w:rsid w:val="1D061E52"/>
    <w:rsid w:val="1D352737"/>
    <w:rsid w:val="1D42230C"/>
    <w:rsid w:val="1D984C89"/>
    <w:rsid w:val="1E1D2535"/>
    <w:rsid w:val="1E225B42"/>
    <w:rsid w:val="1E7768B6"/>
    <w:rsid w:val="1ECC44FA"/>
    <w:rsid w:val="1F063325"/>
    <w:rsid w:val="1FBC5DF5"/>
    <w:rsid w:val="1FF90588"/>
    <w:rsid w:val="208E0DAC"/>
    <w:rsid w:val="2091237A"/>
    <w:rsid w:val="20992FDD"/>
    <w:rsid w:val="209A7FC0"/>
    <w:rsid w:val="20C3623F"/>
    <w:rsid w:val="20C850C3"/>
    <w:rsid w:val="210B6DA8"/>
    <w:rsid w:val="21781212"/>
    <w:rsid w:val="21B83F86"/>
    <w:rsid w:val="21F9027E"/>
    <w:rsid w:val="22040662"/>
    <w:rsid w:val="221178A8"/>
    <w:rsid w:val="221213CF"/>
    <w:rsid w:val="22327A92"/>
    <w:rsid w:val="22877591"/>
    <w:rsid w:val="229959E3"/>
    <w:rsid w:val="229D6DB5"/>
    <w:rsid w:val="22E5250A"/>
    <w:rsid w:val="22F1348C"/>
    <w:rsid w:val="231D53A2"/>
    <w:rsid w:val="23447C29"/>
    <w:rsid w:val="23501763"/>
    <w:rsid w:val="236D5383"/>
    <w:rsid w:val="23B7504C"/>
    <w:rsid w:val="23C2014D"/>
    <w:rsid w:val="23C82101"/>
    <w:rsid w:val="23E8590D"/>
    <w:rsid w:val="24256858"/>
    <w:rsid w:val="242A28CA"/>
    <w:rsid w:val="24571307"/>
    <w:rsid w:val="247C0C4C"/>
    <w:rsid w:val="248D7C2D"/>
    <w:rsid w:val="24B46637"/>
    <w:rsid w:val="24B473B2"/>
    <w:rsid w:val="2500362B"/>
    <w:rsid w:val="25110A2A"/>
    <w:rsid w:val="25331C52"/>
    <w:rsid w:val="25626093"/>
    <w:rsid w:val="256C0944"/>
    <w:rsid w:val="25C13DB6"/>
    <w:rsid w:val="262D5DE0"/>
    <w:rsid w:val="26446DE3"/>
    <w:rsid w:val="26555BF8"/>
    <w:rsid w:val="26877DFE"/>
    <w:rsid w:val="269669E7"/>
    <w:rsid w:val="26A270C1"/>
    <w:rsid w:val="26D44D6F"/>
    <w:rsid w:val="26D7699F"/>
    <w:rsid w:val="26DB29B3"/>
    <w:rsid w:val="270D284F"/>
    <w:rsid w:val="271500AC"/>
    <w:rsid w:val="27535D9E"/>
    <w:rsid w:val="276D3CE7"/>
    <w:rsid w:val="278C15A4"/>
    <w:rsid w:val="279F590E"/>
    <w:rsid w:val="283319E6"/>
    <w:rsid w:val="28C17575"/>
    <w:rsid w:val="28EC18AC"/>
    <w:rsid w:val="28F30CF0"/>
    <w:rsid w:val="292813A2"/>
    <w:rsid w:val="296E0ED8"/>
    <w:rsid w:val="29796548"/>
    <w:rsid w:val="298E66C4"/>
    <w:rsid w:val="29BF49A7"/>
    <w:rsid w:val="29D75F7F"/>
    <w:rsid w:val="29E91134"/>
    <w:rsid w:val="2A1A518F"/>
    <w:rsid w:val="2A1B4A63"/>
    <w:rsid w:val="2A491627"/>
    <w:rsid w:val="2A4E6009"/>
    <w:rsid w:val="2A5B7B1F"/>
    <w:rsid w:val="2A954DED"/>
    <w:rsid w:val="2AC1560A"/>
    <w:rsid w:val="2B0019BA"/>
    <w:rsid w:val="2B0F45C8"/>
    <w:rsid w:val="2B1716CE"/>
    <w:rsid w:val="2B345518"/>
    <w:rsid w:val="2B502644"/>
    <w:rsid w:val="2B774624"/>
    <w:rsid w:val="2BCA6741"/>
    <w:rsid w:val="2C22657D"/>
    <w:rsid w:val="2C3F197A"/>
    <w:rsid w:val="2C7A72BE"/>
    <w:rsid w:val="2C9A7D75"/>
    <w:rsid w:val="2CA60F5C"/>
    <w:rsid w:val="2CBD20B5"/>
    <w:rsid w:val="2CC17412"/>
    <w:rsid w:val="2CDC5849"/>
    <w:rsid w:val="2CDE038C"/>
    <w:rsid w:val="2CE960BE"/>
    <w:rsid w:val="2D661FB6"/>
    <w:rsid w:val="2D76092E"/>
    <w:rsid w:val="2D7C1E99"/>
    <w:rsid w:val="2D824FB8"/>
    <w:rsid w:val="2D87488E"/>
    <w:rsid w:val="2DB93D24"/>
    <w:rsid w:val="2DE955A4"/>
    <w:rsid w:val="2E90033F"/>
    <w:rsid w:val="2E9976CE"/>
    <w:rsid w:val="2EE30245"/>
    <w:rsid w:val="2EF01DEE"/>
    <w:rsid w:val="2EFD6BC4"/>
    <w:rsid w:val="2F02653D"/>
    <w:rsid w:val="2F3D38E1"/>
    <w:rsid w:val="2F3D50C2"/>
    <w:rsid w:val="2F401D3C"/>
    <w:rsid w:val="2F545D48"/>
    <w:rsid w:val="2F5B24E1"/>
    <w:rsid w:val="2F6C3F70"/>
    <w:rsid w:val="2F7215C9"/>
    <w:rsid w:val="2F803CE6"/>
    <w:rsid w:val="2F961140"/>
    <w:rsid w:val="2FA95C88"/>
    <w:rsid w:val="2FB87618"/>
    <w:rsid w:val="2FD43499"/>
    <w:rsid w:val="3041370F"/>
    <w:rsid w:val="30B87FED"/>
    <w:rsid w:val="30D7574D"/>
    <w:rsid w:val="312B50A3"/>
    <w:rsid w:val="3162173B"/>
    <w:rsid w:val="31894FD2"/>
    <w:rsid w:val="31AB4ACB"/>
    <w:rsid w:val="31D62237"/>
    <w:rsid w:val="31DE4721"/>
    <w:rsid w:val="31E75CF0"/>
    <w:rsid w:val="31FA462F"/>
    <w:rsid w:val="323C501B"/>
    <w:rsid w:val="32453A27"/>
    <w:rsid w:val="324E37D2"/>
    <w:rsid w:val="3263064A"/>
    <w:rsid w:val="326A2217"/>
    <w:rsid w:val="32923D9A"/>
    <w:rsid w:val="329B4993"/>
    <w:rsid w:val="32A43132"/>
    <w:rsid w:val="32AC0C06"/>
    <w:rsid w:val="32AC4DF2"/>
    <w:rsid w:val="32F7285F"/>
    <w:rsid w:val="32F756B3"/>
    <w:rsid w:val="32FD2A2C"/>
    <w:rsid w:val="333252F7"/>
    <w:rsid w:val="33344EF5"/>
    <w:rsid w:val="333700DC"/>
    <w:rsid w:val="33796418"/>
    <w:rsid w:val="33C11593"/>
    <w:rsid w:val="33C5616B"/>
    <w:rsid w:val="33D605BE"/>
    <w:rsid w:val="33D71350"/>
    <w:rsid w:val="34720260"/>
    <w:rsid w:val="34744F5A"/>
    <w:rsid w:val="34843083"/>
    <w:rsid w:val="34B32468"/>
    <w:rsid w:val="3511077F"/>
    <w:rsid w:val="3537750C"/>
    <w:rsid w:val="3537798C"/>
    <w:rsid w:val="35C13FC9"/>
    <w:rsid w:val="35C96FA8"/>
    <w:rsid w:val="36372B05"/>
    <w:rsid w:val="364257B6"/>
    <w:rsid w:val="36835E6A"/>
    <w:rsid w:val="36AA1648"/>
    <w:rsid w:val="372F4937"/>
    <w:rsid w:val="37573C1C"/>
    <w:rsid w:val="37CB7AC8"/>
    <w:rsid w:val="37EA5922"/>
    <w:rsid w:val="38276B93"/>
    <w:rsid w:val="382E58B8"/>
    <w:rsid w:val="383A3B15"/>
    <w:rsid w:val="389D3921"/>
    <w:rsid w:val="38AC3431"/>
    <w:rsid w:val="38AF1198"/>
    <w:rsid w:val="38DE55D9"/>
    <w:rsid w:val="38F35529"/>
    <w:rsid w:val="39040E73"/>
    <w:rsid w:val="392F2E16"/>
    <w:rsid w:val="39C77710"/>
    <w:rsid w:val="39D11C3E"/>
    <w:rsid w:val="39DB2DA5"/>
    <w:rsid w:val="39E00529"/>
    <w:rsid w:val="39E3559D"/>
    <w:rsid w:val="39E85D69"/>
    <w:rsid w:val="39E97163"/>
    <w:rsid w:val="3A0B64A7"/>
    <w:rsid w:val="3A255BB6"/>
    <w:rsid w:val="3A574DDA"/>
    <w:rsid w:val="3A69778A"/>
    <w:rsid w:val="3A950622"/>
    <w:rsid w:val="3AC94579"/>
    <w:rsid w:val="3AD3075A"/>
    <w:rsid w:val="3AE80991"/>
    <w:rsid w:val="3AEF3ACE"/>
    <w:rsid w:val="3AF74C02"/>
    <w:rsid w:val="3B0E30E3"/>
    <w:rsid w:val="3B5F467B"/>
    <w:rsid w:val="3B6044ED"/>
    <w:rsid w:val="3BA42928"/>
    <w:rsid w:val="3BC431AC"/>
    <w:rsid w:val="3BDB4442"/>
    <w:rsid w:val="3C0059A5"/>
    <w:rsid w:val="3C134E78"/>
    <w:rsid w:val="3C54118C"/>
    <w:rsid w:val="3CDA48CF"/>
    <w:rsid w:val="3CDA6007"/>
    <w:rsid w:val="3DD671C7"/>
    <w:rsid w:val="3DE46666"/>
    <w:rsid w:val="3DF6345D"/>
    <w:rsid w:val="3DFD6502"/>
    <w:rsid w:val="3E2B5515"/>
    <w:rsid w:val="3E4D4F28"/>
    <w:rsid w:val="3E69714D"/>
    <w:rsid w:val="3EA47CB6"/>
    <w:rsid w:val="3ED92EC4"/>
    <w:rsid w:val="3EE13701"/>
    <w:rsid w:val="3EED47C8"/>
    <w:rsid w:val="3F004D0D"/>
    <w:rsid w:val="3F136539"/>
    <w:rsid w:val="3F1A4BB3"/>
    <w:rsid w:val="3F2E0366"/>
    <w:rsid w:val="3F8C5D8F"/>
    <w:rsid w:val="3FA04C43"/>
    <w:rsid w:val="40154CEE"/>
    <w:rsid w:val="40192BA6"/>
    <w:rsid w:val="40220D87"/>
    <w:rsid w:val="4046205B"/>
    <w:rsid w:val="405575E4"/>
    <w:rsid w:val="40C31C84"/>
    <w:rsid w:val="40E634D8"/>
    <w:rsid w:val="40E748E8"/>
    <w:rsid w:val="411B561D"/>
    <w:rsid w:val="41766EA9"/>
    <w:rsid w:val="419E7FFC"/>
    <w:rsid w:val="41AF2209"/>
    <w:rsid w:val="41E44F4A"/>
    <w:rsid w:val="42164036"/>
    <w:rsid w:val="421F73BE"/>
    <w:rsid w:val="421F7AC5"/>
    <w:rsid w:val="423C1CEE"/>
    <w:rsid w:val="42550A18"/>
    <w:rsid w:val="4276070E"/>
    <w:rsid w:val="42985594"/>
    <w:rsid w:val="429D496A"/>
    <w:rsid w:val="42A6360C"/>
    <w:rsid w:val="42E670C1"/>
    <w:rsid w:val="42F473A1"/>
    <w:rsid w:val="43616864"/>
    <w:rsid w:val="437217EA"/>
    <w:rsid w:val="43996CCD"/>
    <w:rsid w:val="439C135B"/>
    <w:rsid w:val="43AB7156"/>
    <w:rsid w:val="43EA577A"/>
    <w:rsid w:val="441822E7"/>
    <w:rsid w:val="441E62C0"/>
    <w:rsid w:val="44531571"/>
    <w:rsid w:val="44753296"/>
    <w:rsid w:val="45064201"/>
    <w:rsid w:val="45091C30"/>
    <w:rsid w:val="450F427E"/>
    <w:rsid w:val="45325D14"/>
    <w:rsid w:val="453874A3"/>
    <w:rsid w:val="454A5161"/>
    <w:rsid w:val="454E4C3A"/>
    <w:rsid w:val="45811C7C"/>
    <w:rsid w:val="45906116"/>
    <w:rsid w:val="45931B8C"/>
    <w:rsid w:val="45990FA1"/>
    <w:rsid w:val="459B56C8"/>
    <w:rsid w:val="45EF2552"/>
    <w:rsid w:val="45F2294E"/>
    <w:rsid w:val="46390B44"/>
    <w:rsid w:val="4646138E"/>
    <w:rsid w:val="4654337F"/>
    <w:rsid w:val="468B3EFB"/>
    <w:rsid w:val="46A00372"/>
    <w:rsid w:val="46C83579"/>
    <w:rsid w:val="470A6193"/>
    <w:rsid w:val="471D61EA"/>
    <w:rsid w:val="47385210"/>
    <w:rsid w:val="475510F8"/>
    <w:rsid w:val="478B688C"/>
    <w:rsid w:val="479F16AD"/>
    <w:rsid w:val="47A7451D"/>
    <w:rsid w:val="47AD69A5"/>
    <w:rsid w:val="47DC4F5C"/>
    <w:rsid w:val="48037925"/>
    <w:rsid w:val="48360F8E"/>
    <w:rsid w:val="48B40671"/>
    <w:rsid w:val="48B678AB"/>
    <w:rsid w:val="48DB6D9A"/>
    <w:rsid w:val="49486467"/>
    <w:rsid w:val="497A13FE"/>
    <w:rsid w:val="499B5738"/>
    <w:rsid w:val="499F244D"/>
    <w:rsid w:val="49AC70F5"/>
    <w:rsid w:val="49FC2287"/>
    <w:rsid w:val="4A6A3171"/>
    <w:rsid w:val="4A973F3F"/>
    <w:rsid w:val="4AAF5028"/>
    <w:rsid w:val="4AE178D7"/>
    <w:rsid w:val="4AEE2390"/>
    <w:rsid w:val="4AF96BC7"/>
    <w:rsid w:val="4B862A85"/>
    <w:rsid w:val="4BA95F1B"/>
    <w:rsid w:val="4BE91727"/>
    <w:rsid w:val="4C131BDF"/>
    <w:rsid w:val="4C433C79"/>
    <w:rsid w:val="4CBE1552"/>
    <w:rsid w:val="4CEF36E2"/>
    <w:rsid w:val="4CEF4DC5"/>
    <w:rsid w:val="4D150B55"/>
    <w:rsid w:val="4D1B237D"/>
    <w:rsid w:val="4D4759EB"/>
    <w:rsid w:val="4D812CAB"/>
    <w:rsid w:val="4DFD78AB"/>
    <w:rsid w:val="4E165AE9"/>
    <w:rsid w:val="4E257655"/>
    <w:rsid w:val="4EA8327E"/>
    <w:rsid w:val="4EB946C7"/>
    <w:rsid w:val="4EF90150"/>
    <w:rsid w:val="4F141555"/>
    <w:rsid w:val="4F372380"/>
    <w:rsid w:val="4F372FFB"/>
    <w:rsid w:val="4F385F2F"/>
    <w:rsid w:val="4F495D58"/>
    <w:rsid w:val="4FA26F09"/>
    <w:rsid w:val="4FBA6948"/>
    <w:rsid w:val="4FE94B38"/>
    <w:rsid w:val="4FF17EC2"/>
    <w:rsid w:val="5025116D"/>
    <w:rsid w:val="503B3B52"/>
    <w:rsid w:val="50A078EC"/>
    <w:rsid w:val="50A42453"/>
    <w:rsid w:val="50B136A5"/>
    <w:rsid w:val="50BB0282"/>
    <w:rsid w:val="50D878AE"/>
    <w:rsid w:val="50DD5829"/>
    <w:rsid w:val="50E33A31"/>
    <w:rsid w:val="515E1E1F"/>
    <w:rsid w:val="51661631"/>
    <w:rsid w:val="51832D4E"/>
    <w:rsid w:val="51A927D1"/>
    <w:rsid w:val="51C97CC9"/>
    <w:rsid w:val="51D43609"/>
    <w:rsid w:val="52395ECD"/>
    <w:rsid w:val="524D6E54"/>
    <w:rsid w:val="52647FE8"/>
    <w:rsid w:val="52964527"/>
    <w:rsid w:val="52C10D75"/>
    <w:rsid w:val="530D6D8F"/>
    <w:rsid w:val="531F2A5F"/>
    <w:rsid w:val="533F2FCC"/>
    <w:rsid w:val="53C27FF8"/>
    <w:rsid w:val="53EB38E9"/>
    <w:rsid w:val="54001ED5"/>
    <w:rsid w:val="54213643"/>
    <w:rsid w:val="54215404"/>
    <w:rsid w:val="547D3A6C"/>
    <w:rsid w:val="54806794"/>
    <w:rsid w:val="549A74A0"/>
    <w:rsid w:val="549C486F"/>
    <w:rsid w:val="549E1A80"/>
    <w:rsid w:val="54AF5068"/>
    <w:rsid w:val="54C55B73"/>
    <w:rsid w:val="54C658F4"/>
    <w:rsid w:val="54CF7D93"/>
    <w:rsid w:val="54D22D14"/>
    <w:rsid w:val="54DB7C79"/>
    <w:rsid w:val="550C4BD7"/>
    <w:rsid w:val="55124B31"/>
    <w:rsid w:val="55327C9E"/>
    <w:rsid w:val="553F4FCA"/>
    <w:rsid w:val="55437CB7"/>
    <w:rsid w:val="554C1D56"/>
    <w:rsid w:val="55572986"/>
    <w:rsid w:val="558D41B7"/>
    <w:rsid w:val="55E201F1"/>
    <w:rsid w:val="560B3A5A"/>
    <w:rsid w:val="56352885"/>
    <w:rsid w:val="565340FA"/>
    <w:rsid w:val="565E3DEE"/>
    <w:rsid w:val="566C0451"/>
    <w:rsid w:val="567B14E9"/>
    <w:rsid w:val="56AD5F59"/>
    <w:rsid w:val="56C60774"/>
    <w:rsid w:val="56C817E9"/>
    <w:rsid w:val="56F444EE"/>
    <w:rsid w:val="571A741F"/>
    <w:rsid w:val="573E79EB"/>
    <w:rsid w:val="57601B83"/>
    <w:rsid w:val="577E670F"/>
    <w:rsid w:val="57B12A52"/>
    <w:rsid w:val="57EE35D8"/>
    <w:rsid w:val="57FB18AC"/>
    <w:rsid w:val="58135684"/>
    <w:rsid w:val="58746535"/>
    <w:rsid w:val="587B5438"/>
    <w:rsid w:val="587C0C3F"/>
    <w:rsid w:val="58874375"/>
    <w:rsid w:val="58B02697"/>
    <w:rsid w:val="58B2640F"/>
    <w:rsid w:val="58D85002"/>
    <w:rsid w:val="593B073C"/>
    <w:rsid w:val="596811C3"/>
    <w:rsid w:val="59C304D5"/>
    <w:rsid w:val="59D81EA5"/>
    <w:rsid w:val="59EF3692"/>
    <w:rsid w:val="5A2F2CC8"/>
    <w:rsid w:val="5A675BEB"/>
    <w:rsid w:val="5A8D547E"/>
    <w:rsid w:val="5B2A18F8"/>
    <w:rsid w:val="5B5437AD"/>
    <w:rsid w:val="5BAC7165"/>
    <w:rsid w:val="5BD42A36"/>
    <w:rsid w:val="5C0F58C6"/>
    <w:rsid w:val="5C10702D"/>
    <w:rsid w:val="5C152601"/>
    <w:rsid w:val="5C262263"/>
    <w:rsid w:val="5C424478"/>
    <w:rsid w:val="5C425CFC"/>
    <w:rsid w:val="5C591F03"/>
    <w:rsid w:val="5C8A1B2F"/>
    <w:rsid w:val="5C8F4507"/>
    <w:rsid w:val="5C9522CF"/>
    <w:rsid w:val="5CAC0D47"/>
    <w:rsid w:val="5CFB265F"/>
    <w:rsid w:val="5D3459C3"/>
    <w:rsid w:val="5D361DBB"/>
    <w:rsid w:val="5D415FB3"/>
    <w:rsid w:val="5D5331C6"/>
    <w:rsid w:val="5D5A6288"/>
    <w:rsid w:val="5DCF1C3C"/>
    <w:rsid w:val="5DE676B8"/>
    <w:rsid w:val="5DEA664B"/>
    <w:rsid w:val="5E50745C"/>
    <w:rsid w:val="5E7C7E7F"/>
    <w:rsid w:val="5EC90E3A"/>
    <w:rsid w:val="5F2B0248"/>
    <w:rsid w:val="5F557FED"/>
    <w:rsid w:val="5F561B72"/>
    <w:rsid w:val="5F590833"/>
    <w:rsid w:val="5F9023F0"/>
    <w:rsid w:val="5FDB28D2"/>
    <w:rsid w:val="5FE5356E"/>
    <w:rsid w:val="606007BB"/>
    <w:rsid w:val="60714E01"/>
    <w:rsid w:val="608A6410"/>
    <w:rsid w:val="60911FC6"/>
    <w:rsid w:val="6094289E"/>
    <w:rsid w:val="609805E0"/>
    <w:rsid w:val="60AC7F66"/>
    <w:rsid w:val="60EC26DA"/>
    <w:rsid w:val="613B3C0A"/>
    <w:rsid w:val="6173696E"/>
    <w:rsid w:val="619C2BD9"/>
    <w:rsid w:val="61A00987"/>
    <w:rsid w:val="61AE798F"/>
    <w:rsid w:val="61BF10D9"/>
    <w:rsid w:val="61DC2775"/>
    <w:rsid w:val="623B30AB"/>
    <w:rsid w:val="623E48CA"/>
    <w:rsid w:val="627E303E"/>
    <w:rsid w:val="627E772B"/>
    <w:rsid w:val="62935F75"/>
    <w:rsid w:val="6299063F"/>
    <w:rsid w:val="62AC22DC"/>
    <w:rsid w:val="632A1297"/>
    <w:rsid w:val="632C3261"/>
    <w:rsid w:val="63396D96"/>
    <w:rsid w:val="636B1FDC"/>
    <w:rsid w:val="63A22BFD"/>
    <w:rsid w:val="63E566A1"/>
    <w:rsid w:val="63EA5E1E"/>
    <w:rsid w:val="64065861"/>
    <w:rsid w:val="64904E99"/>
    <w:rsid w:val="64995146"/>
    <w:rsid w:val="64DE2BED"/>
    <w:rsid w:val="64E44AA8"/>
    <w:rsid w:val="64E45EF7"/>
    <w:rsid w:val="650C334B"/>
    <w:rsid w:val="650F11A4"/>
    <w:rsid w:val="65624859"/>
    <w:rsid w:val="65B806E9"/>
    <w:rsid w:val="65C52E41"/>
    <w:rsid w:val="660E77E4"/>
    <w:rsid w:val="6691014E"/>
    <w:rsid w:val="66C3774A"/>
    <w:rsid w:val="66C87CCE"/>
    <w:rsid w:val="66EE6E2D"/>
    <w:rsid w:val="66F636DE"/>
    <w:rsid w:val="66FE4D45"/>
    <w:rsid w:val="677435B2"/>
    <w:rsid w:val="678809D3"/>
    <w:rsid w:val="67C654F9"/>
    <w:rsid w:val="67EC67C1"/>
    <w:rsid w:val="67EF75F1"/>
    <w:rsid w:val="684F4F11"/>
    <w:rsid w:val="68562DD6"/>
    <w:rsid w:val="69102450"/>
    <w:rsid w:val="69124F16"/>
    <w:rsid w:val="69815A80"/>
    <w:rsid w:val="69B045F1"/>
    <w:rsid w:val="69CD5C14"/>
    <w:rsid w:val="69CF0D33"/>
    <w:rsid w:val="6A372C18"/>
    <w:rsid w:val="6A6C6BC6"/>
    <w:rsid w:val="6ACF10A2"/>
    <w:rsid w:val="6AF40B09"/>
    <w:rsid w:val="6AF53699"/>
    <w:rsid w:val="6AFB1E97"/>
    <w:rsid w:val="6B3C600C"/>
    <w:rsid w:val="6B3D24B0"/>
    <w:rsid w:val="6B9946B3"/>
    <w:rsid w:val="6BE518DA"/>
    <w:rsid w:val="6C276F3A"/>
    <w:rsid w:val="6C343EB1"/>
    <w:rsid w:val="6C7007C7"/>
    <w:rsid w:val="6C7700A4"/>
    <w:rsid w:val="6C9C1458"/>
    <w:rsid w:val="6D192AA9"/>
    <w:rsid w:val="6D94487F"/>
    <w:rsid w:val="6DD86F5C"/>
    <w:rsid w:val="6DE76850"/>
    <w:rsid w:val="6E135155"/>
    <w:rsid w:val="6E363671"/>
    <w:rsid w:val="6E482C55"/>
    <w:rsid w:val="6E6A7B15"/>
    <w:rsid w:val="6EC10D02"/>
    <w:rsid w:val="6ECD6C5A"/>
    <w:rsid w:val="6ED85231"/>
    <w:rsid w:val="6FB20BD4"/>
    <w:rsid w:val="6FBA59BE"/>
    <w:rsid w:val="70057314"/>
    <w:rsid w:val="70296B3E"/>
    <w:rsid w:val="70611204"/>
    <w:rsid w:val="70A34E7F"/>
    <w:rsid w:val="70DF6549"/>
    <w:rsid w:val="70E37B70"/>
    <w:rsid w:val="71140834"/>
    <w:rsid w:val="71362161"/>
    <w:rsid w:val="7165620F"/>
    <w:rsid w:val="717039F8"/>
    <w:rsid w:val="718A7AD1"/>
    <w:rsid w:val="71A8724B"/>
    <w:rsid w:val="71ED1E0E"/>
    <w:rsid w:val="71FA6539"/>
    <w:rsid w:val="721F7DE3"/>
    <w:rsid w:val="72526EE5"/>
    <w:rsid w:val="72822E9E"/>
    <w:rsid w:val="7294412B"/>
    <w:rsid w:val="72F35B4A"/>
    <w:rsid w:val="72FC67AC"/>
    <w:rsid w:val="731E226C"/>
    <w:rsid w:val="73571C35"/>
    <w:rsid w:val="736B1B84"/>
    <w:rsid w:val="739357C1"/>
    <w:rsid w:val="73D9089C"/>
    <w:rsid w:val="73DE4104"/>
    <w:rsid w:val="73FE1225"/>
    <w:rsid w:val="74123B99"/>
    <w:rsid w:val="742D0BE7"/>
    <w:rsid w:val="746D5271"/>
    <w:rsid w:val="74770B98"/>
    <w:rsid w:val="749D2325"/>
    <w:rsid w:val="74A80D46"/>
    <w:rsid w:val="74D13AD5"/>
    <w:rsid w:val="74D54433"/>
    <w:rsid w:val="74FA2C30"/>
    <w:rsid w:val="75376F26"/>
    <w:rsid w:val="754D1541"/>
    <w:rsid w:val="754D5C4B"/>
    <w:rsid w:val="75563C1E"/>
    <w:rsid w:val="75A57A07"/>
    <w:rsid w:val="75D71930"/>
    <w:rsid w:val="765B1A3C"/>
    <w:rsid w:val="766D237B"/>
    <w:rsid w:val="769F6271"/>
    <w:rsid w:val="76A6186C"/>
    <w:rsid w:val="76C238F5"/>
    <w:rsid w:val="76C240A7"/>
    <w:rsid w:val="76DA416A"/>
    <w:rsid w:val="770025E3"/>
    <w:rsid w:val="77322671"/>
    <w:rsid w:val="775246B7"/>
    <w:rsid w:val="775A6197"/>
    <w:rsid w:val="7764731F"/>
    <w:rsid w:val="77903967"/>
    <w:rsid w:val="77E05E39"/>
    <w:rsid w:val="781E69D1"/>
    <w:rsid w:val="78533A23"/>
    <w:rsid w:val="785B21C7"/>
    <w:rsid w:val="78C37D6C"/>
    <w:rsid w:val="7901747F"/>
    <w:rsid w:val="79272AC6"/>
    <w:rsid w:val="794C7DA8"/>
    <w:rsid w:val="798B6FE7"/>
    <w:rsid w:val="799B65F3"/>
    <w:rsid w:val="79E96551"/>
    <w:rsid w:val="7A192ADA"/>
    <w:rsid w:val="7A263B6B"/>
    <w:rsid w:val="7A4E5C26"/>
    <w:rsid w:val="7A7237F8"/>
    <w:rsid w:val="7A727C72"/>
    <w:rsid w:val="7AA32F84"/>
    <w:rsid w:val="7AA33808"/>
    <w:rsid w:val="7ACF47A6"/>
    <w:rsid w:val="7AD54BE7"/>
    <w:rsid w:val="7AF46346"/>
    <w:rsid w:val="7B0F5EBF"/>
    <w:rsid w:val="7B130FB9"/>
    <w:rsid w:val="7B65146E"/>
    <w:rsid w:val="7B716095"/>
    <w:rsid w:val="7B775066"/>
    <w:rsid w:val="7BD71E38"/>
    <w:rsid w:val="7BF64EDE"/>
    <w:rsid w:val="7C400C1E"/>
    <w:rsid w:val="7C6776CE"/>
    <w:rsid w:val="7C74250F"/>
    <w:rsid w:val="7C972F25"/>
    <w:rsid w:val="7C9C5B48"/>
    <w:rsid w:val="7CFD114A"/>
    <w:rsid w:val="7D617BA8"/>
    <w:rsid w:val="7D731D61"/>
    <w:rsid w:val="7D807FDA"/>
    <w:rsid w:val="7DA626F0"/>
    <w:rsid w:val="7DD11708"/>
    <w:rsid w:val="7DEE4A4F"/>
    <w:rsid w:val="7E3808B5"/>
    <w:rsid w:val="7E790B39"/>
    <w:rsid w:val="7EAE6230"/>
    <w:rsid w:val="7EBD579E"/>
    <w:rsid w:val="7EC167BD"/>
    <w:rsid w:val="7EFB0260"/>
    <w:rsid w:val="7F176368"/>
    <w:rsid w:val="7F272D9E"/>
    <w:rsid w:val="7F5D24ED"/>
    <w:rsid w:val="7F6931F3"/>
    <w:rsid w:val="7F855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6"/>
    <w:link w:val="42"/>
    <w:qFormat/>
    <w:uiPriority w:val="9"/>
    <w:pPr>
      <w:keepNext/>
      <w:keepLines/>
      <w:spacing w:before="280" w:after="290" w:line="376" w:lineRule="auto"/>
      <w:outlineLvl w:val="4"/>
    </w:pPr>
    <w:rPr>
      <w:b/>
      <w:bCs/>
      <w:sz w:val="28"/>
      <w:szCs w:val="28"/>
    </w:rPr>
  </w:style>
  <w:style w:type="paragraph" w:styleId="7">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toa heading"/>
    <w:basedOn w:val="1"/>
    <w:next w:val="1"/>
    <w:qFormat/>
    <w:uiPriority w:val="0"/>
    <w:rPr>
      <w:rFonts w:ascii="Arial" w:hAnsi="Arial"/>
      <w:sz w:val="24"/>
    </w:rPr>
  </w:style>
  <w:style w:type="paragraph" w:styleId="10">
    <w:name w:val="annotation text"/>
    <w:basedOn w:val="1"/>
    <w:link w:val="44"/>
    <w:qFormat/>
    <w:uiPriority w:val="0"/>
    <w:pPr>
      <w:jc w:val="left"/>
    </w:pPr>
  </w:style>
  <w:style w:type="paragraph" w:styleId="11">
    <w:name w:val="Body Text 3"/>
    <w:basedOn w:val="1"/>
    <w:link w:val="45"/>
    <w:unhideWhenUsed/>
    <w:qFormat/>
    <w:uiPriority w:val="99"/>
    <w:pPr>
      <w:spacing w:after="120"/>
    </w:pPr>
    <w:rPr>
      <w:sz w:val="16"/>
      <w:szCs w:val="16"/>
    </w:rPr>
  </w:style>
  <w:style w:type="paragraph" w:styleId="12">
    <w:name w:val="Body Text"/>
    <w:basedOn w:val="1"/>
    <w:link w:val="39"/>
    <w:unhideWhenUsed/>
    <w:qFormat/>
    <w:uiPriority w:val="0"/>
    <w:pPr>
      <w:spacing w:after="120"/>
    </w:pPr>
  </w:style>
  <w:style w:type="paragraph" w:styleId="13">
    <w:name w:val="Body Text Indent"/>
    <w:basedOn w:val="1"/>
    <w:next w:val="14"/>
    <w:link w:val="46"/>
    <w:qFormat/>
    <w:uiPriority w:val="0"/>
    <w:pPr>
      <w:ind w:firstLine="830" w:firstLineChars="352"/>
    </w:pPr>
    <w:rPr>
      <w:rFonts w:ascii="仿宋_GB2312" w:eastAsia="仿宋_GB2312"/>
      <w:kern w:val="0"/>
      <w:sz w:val="32"/>
      <w:szCs w:val="20"/>
    </w:rPr>
  </w:style>
  <w:style w:type="paragraph" w:styleId="14">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15">
    <w:name w:val="List 2"/>
    <w:basedOn w:val="1"/>
    <w:unhideWhenUsed/>
    <w:qFormat/>
    <w:uiPriority w:val="99"/>
    <w:pPr>
      <w:ind w:left="100" w:leftChars="200" w:hanging="200" w:hangingChars="200"/>
      <w:contextualSpacing/>
    </w:pPr>
  </w:style>
  <w:style w:type="paragraph" w:styleId="16">
    <w:name w:val="index 4"/>
    <w:basedOn w:val="1"/>
    <w:next w:val="1"/>
    <w:semiHidden/>
    <w:qFormat/>
    <w:uiPriority w:val="99"/>
    <w:pPr>
      <w:ind w:left="600" w:leftChars="600"/>
    </w:pPr>
    <w:rPr>
      <w:szCs w:val="21"/>
    </w:rPr>
  </w:style>
  <w:style w:type="paragraph" w:styleId="17">
    <w:name w:val="Plain Text"/>
    <w:basedOn w:val="1"/>
    <w:link w:val="47"/>
    <w:qFormat/>
    <w:uiPriority w:val="0"/>
    <w:rPr>
      <w:rFonts w:ascii="宋体" w:hAnsi="Courier New"/>
      <w:kern w:val="0"/>
      <w:sz w:val="20"/>
      <w:szCs w:val="21"/>
    </w:rPr>
  </w:style>
  <w:style w:type="paragraph" w:styleId="18">
    <w:name w:val="Date"/>
    <w:basedOn w:val="1"/>
    <w:next w:val="1"/>
    <w:link w:val="48"/>
    <w:unhideWhenUsed/>
    <w:qFormat/>
    <w:uiPriority w:val="99"/>
    <w:pPr>
      <w:ind w:left="100" w:leftChars="2500"/>
    </w:pPr>
  </w:style>
  <w:style w:type="paragraph" w:styleId="19">
    <w:name w:val="Balloon Text"/>
    <w:basedOn w:val="1"/>
    <w:semiHidden/>
    <w:qFormat/>
    <w:uiPriority w:val="0"/>
    <w:rPr>
      <w:sz w:val="18"/>
      <w:szCs w:val="18"/>
    </w:rPr>
  </w:style>
  <w:style w:type="paragraph" w:styleId="20">
    <w:name w:val="footer"/>
    <w:basedOn w:val="1"/>
    <w:link w:val="49"/>
    <w:unhideWhenUsed/>
    <w:qFormat/>
    <w:uiPriority w:val="99"/>
    <w:pPr>
      <w:tabs>
        <w:tab w:val="center" w:pos="4153"/>
        <w:tab w:val="right" w:pos="8306"/>
      </w:tabs>
      <w:snapToGrid w:val="0"/>
      <w:jc w:val="left"/>
    </w:pPr>
    <w:rPr>
      <w:kern w:val="0"/>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toc 2"/>
    <w:basedOn w:val="1"/>
    <w:next w:val="1"/>
    <w:unhideWhenUsed/>
    <w:qFormat/>
    <w:uiPriority w:val="39"/>
    <w:pPr>
      <w:tabs>
        <w:tab w:val="right" w:leader="dot" w:pos="8296"/>
      </w:tabs>
      <w:ind w:left="420" w:leftChars="200"/>
    </w:pPr>
  </w:style>
  <w:style w:type="paragraph" w:styleId="24">
    <w:name w:val="Body Text 2"/>
    <w:basedOn w:val="1"/>
    <w:next w:val="12"/>
    <w:qFormat/>
    <w:uiPriority w:val="0"/>
    <w:pPr>
      <w:spacing w:after="120" w:line="480" w:lineRule="auto"/>
    </w:pPr>
    <w:rPr>
      <w:lang w:val="zh-CN"/>
    </w:rPr>
  </w:style>
  <w:style w:type="paragraph" w:styleId="25">
    <w:name w:val="Normal (Web)"/>
    <w:basedOn w:val="1"/>
    <w:unhideWhenUsed/>
    <w:qFormat/>
    <w:uiPriority w:val="99"/>
    <w:rPr>
      <w:rFonts w:ascii="Calibri" w:hAnsi="Calibri"/>
      <w:kern w:val="0"/>
      <w:sz w:val="24"/>
    </w:rPr>
  </w:style>
  <w:style w:type="paragraph" w:styleId="26">
    <w:name w:val="annotation subject"/>
    <w:basedOn w:val="10"/>
    <w:next w:val="10"/>
    <w:link w:val="51"/>
    <w:qFormat/>
    <w:uiPriority w:val="99"/>
    <w:rPr>
      <w:b/>
      <w:bCs/>
    </w:rPr>
  </w:style>
  <w:style w:type="paragraph" w:styleId="27">
    <w:name w:val="Body Text First Indent"/>
    <w:basedOn w:val="12"/>
    <w:qFormat/>
    <w:uiPriority w:val="0"/>
    <w:pPr>
      <w:ind w:firstLine="420" w:firstLineChars="100"/>
    </w:pPr>
    <w:rPr>
      <w:szCs w:val="20"/>
    </w:rPr>
  </w:style>
  <w:style w:type="paragraph" w:styleId="28">
    <w:name w:val="Body Text First Indent 2"/>
    <w:basedOn w:val="13"/>
    <w:qFormat/>
    <w:uiPriority w:val="99"/>
    <w:pPr>
      <w:widowControl/>
      <w:spacing w:line="360" w:lineRule="auto"/>
      <w:ind w:left="-358" w:leftChars="-128" w:firstLine="560" w:firstLineChars="200"/>
      <w:jc w:val="left"/>
    </w:pPr>
    <w:rPr>
      <w:sz w:val="28"/>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b/>
    </w:rPr>
  </w:style>
  <w:style w:type="character" w:styleId="33">
    <w:name w:val="endnote reference"/>
    <w:unhideWhenUsed/>
    <w:qFormat/>
    <w:uiPriority w:val="99"/>
    <w:rPr>
      <w:vertAlign w:val="superscript"/>
    </w:rPr>
  </w:style>
  <w:style w:type="character" w:styleId="34">
    <w:name w:val="Emphasis"/>
    <w:basedOn w:val="31"/>
    <w:qFormat/>
    <w:uiPriority w:val="20"/>
    <w:rPr>
      <w:i/>
    </w:rPr>
  </w:style>
  <w:style w:type="character" w:styleId="35">
    <w:name w:val="Hyperlink"/>
    <w:unhideWhenUsed/>
    <w:qFormat/>
    <w:uiPriority w:val="99"/>
    <w:rPr>
      <w:color w:val="0000FF"/>
      <w:u w:val="single"/>
    </w:rPr>
  </w:style>
  <w:style w:type="character" w:styleId="36">
    <w:name w:val="annotation reference"/>
    <w:qFormat/>
    <w:uiPriority w:val="0"/>
    <w:rPr>
      <w:sz w:val="21"/>
      <w:szCs w:val="21"/>
    </w:rPr>
  </w:style>
  <w:style w:type="character" w:styleId="37">
    <w:name w:val="HTML Sample"/>
    <w:unhideWhenUsed/>
    <w:qFormat/>
    <w:uiPriority w:val="99"/>
    <w:rPr>
      <w:rFonts w:ascii="Courier New" w:hAnsi="Courier New"/>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9">
    <w:name w:val="正文文本 Char1"/>
    <w:link w:val="12"/>
    <w:qFormat/>
    <w:uiPriority w:val="0"/>
    <w:rPr>
      <w:rFonts w:ascii="Times New Roman" w:hAnsi="Times New Roman"/>
      <w:kern w:val="2"/>
      <w:sz w:val="21"/>
      <w:szCs w:val="24"/>
    </w:rPr>
  </w:style>
  <w:style w:type="character" w:customStyle="1" w:styleId="40">
    <w:name w:val="标题 1 Char"/>
    <w:link w:val="2"/>
    <w:qFormat/>
    <w:uiPriority w:val="9"/>
    <w:rPr>
      <w:b/>
      <w:bCs/>
      <w:kern w:val="44"/>
      <w:sz w:val="44"/>
      <w:szCs w:val="44"/>
    </w:rPr>
  </w:style>
  <w:style w:type="character" w:customStyle="1" w:styleId="41">
    <w:name w:val="标题 2 Char1"/>
    <w:link w:val="3"/>
    <w:qFormat/>
    <w:uiPriority w:val="9"/>
    <w:rPr>
      <w:rFonts w:ascii="Cambria" w:hAnsi="Cambria" w:eastAsia="宋体" w:cs="Times New Roman"/>
      <w:b/>
      <w:bCs/>
      <w:kern w:val="2"/>
      <w:sz w:val="32"/>
      <w:szCs w:val="32"/>
    </w:rPr>
  </w:style>
  <w:style w:type="character" w:customStyle="1" w:styleId="42">
    <w:name w:val="标题 5 Char"/>
    <w:link w:val="5"/>
    <w:semiHidden/>
    <w:qFormat/>
    <w:uiPriority w:val="9"/>
    <w:rPr>
      <w:rFonts w:ascii="Times New Roman" w:hAnsi="Times New Roman"/>
      <w:b/>
      <w:bCs/>
      <w:kern w:val="2"/>
      <w:sz w:val="28"/>
      <w:szCs w:val="28"/>
    </w:rPr>
  </w:style>
  <w:style w:type="character" w:customStyle="1" w:styleId="43">
    <w:name w:val="标题 8 Char1"/>
    <w:link w:val="7"/>
    <w:semiHidden/>
    <w:qFormat/>
    <w:uiPriority w:val="9"/>
    <w:rPr>
      <w:rFonts w:ascii="等线 Light" w:hAnsi="等线 Light" w:eastAsia="等线 Light" w:cs="Times New Roman"/>
      <w:kern w:val="2"/>
      <w:sz w:val="24"/>
      <w:szCs w:val="24"/>
    </w:rPr>
  </w:style>
  <w:style w:type="character" w:customStyle="1" w:styleId="44">
    <w:name w:val="批注文字 Char1"/>
    <w:link w:val="10"/>
    <w:qFormat/>
    <w:uiPriority w:val="0"/>
    <w:rPr>
      <w:rFonts w:ascii="Times New Roman" w:hAnsi="Times New Roman"/>
      <w:kern w:val="2"/>
      <w:sz w:val="21"/>
      <w:szCs w:val="24"/>
    </w:rPr>
  </w:style>
  <w:style w:type="character" w:customStyle="1" w:styleId="45">
    <w:name w:val="正文文本 3 Char"/>
    <w:link w:val="11"/>
    <w:semiHidden/>
    <w:qFormat/>
    <w:uiPriority w:val="99"/>
    <w:rPr>
      <w:kern w:val="2"/>
      <w:sz w:val="16"/>
      <w:szCs w:val="16"/>
    </w:rPr>
  </w:style>
  <w:style w:type="character" w:customStyle="1" w:styleId="46">
    <w:name w:val="正文文本缩进 Char"/>
    <w:link w:val="13"/>
    <w:qFormat/>
    <w:uiPriority w:val="0"/>
    <w:rPr>
      <w:rFonts w:ascii="仿宋_GB2312" w:hAnsi="Times New Roman" w:eastAsia="仿宋_GB2312" w:cs="Times New Roman"/>
      <w:sz w:val="32"/>
      <w:szCs w:val="20"/>
    </w:rPr>
  </w:style>
  <w:style w:type="character" w:customStyle="1" w:styleId="47">
    <w:name w:val="纯文本 Char1"/>
    <w:link w:val="17"/>
    <w:qFormat/>
    <w:uiPriority w:val="0"/>
    <w:rPr>
      <w:rFonts w:ascii="宋体" w:hAnsi="Courier New" w:eastAsia="宋体" w:cs="Courier New"/>
      <w:szCs w:val="21"/>
    </w:rPr>
  </w:style>
  <w:style w:type="character" w:customStyle="1" w:styleId="48">
    <w:name w:val="日期 Char"/>
    <w:link w:val="18"/>
    <w:semiHidden/>
    <w:qFormat/>
    <w:uiPriority w:val="99"/>
    <w:rPr>
      <w:rFonts w:ascii="Times New Roman" w:hAnsi="Times New Roman"/>
      <w:kern w:val="2"/>
      <w:sz w:val="21"/>
      <w:szCs w:val="24"/>
    </w:rPr>
  </w:style>
  <w:style w:type="character" w:customStyle="1" w:styleId="49">
    <w:name w:val="页脚 Char"/>
    <w:link w:val="20"/>
    <w:qFormat/>
    <w:uiPriority w:val="99"/>
    <w:rPr>
      <w:sz w:val="18"/>
      <w:szCs w:val="18"/>
    </w:rPr>
  </w:style>
  <w:style w:type="character" w:customStyle="1" w:styleId="50">
    <w:name w:val="页眉 Char"/>
    <w:link w:val="21"/>
    <w:qFormat/>
    <w:uiPriority w:val="99"/>
    <w:rPr>
      <w:sz w:val="18"/>
      <w:szCs w:val="18"/>
    </w:rPr>
  </w:style>
  <w:style w:type="character" w:customStyle="1" w:styleId="51">
    <w:name w:val="批注主题 Char"/>
    <w:link w:val="26"/>
    <w:qFormat/>
    <w:uiPriority w:val="99"/>
    <w:rPr>
      <w:rFonts w:ascii="Times New Roman" w:hAnsi="Times New Roman"/>
      <w:b/>
      <w:bCs/>
      <w:kern w:val="2"/>
      <w:sz w:val="21"/>
      <w:szCs w:val="24"/>
    </w:rPr>
  </w:style>
  <w:style w:type="paragraph" w:customStyle="1" w:styleId="52">
    <w:name w:val="表格文字"/>
    <w:basedOn w:val="1"/>
    <w:qFormat/>
    <w:uiPriority w:val="0"/>
    <w:pPr>
      <w:spacing w:before="25" w:after="25"/>
      <w:jc w:val="left"/>
    </w:pPr>
    <w:rPr>
      <w:bCs/>
      <w:spacing w:val="10"/>
      <w:kern w:val="0"/>
      <w:sz w:val="24"/>
    </w:rPr>
  </w:style>
  <w:style w:type="character" w:customStyle="1" w:styleId="53">
    <w:name w:val="标题 2 Char"/>
    <w:qFormat/>
    <w:uiPriority w:val="9"/>
    <w:rPr>
      <w:rFonts w:ascii="Cambria" w:hAnsi="Cambria" w:eastAsia="宋体" w:cs="Times New Roman"/>
      <w:b/>
      <w:bCs/>
      <w:kern w:val="2"/>
      <w:sz w:val="32"/>
      <w:szCs w:val="32"/>
    </w:rPr>
  </w:style>
  <w:style w:type="character" w:customStyle="1" w:styleId="54">
    <w:name w:val="纯文本 字符1"/>
    <w:qFormat/>
    <w:uiPriority w:val="0"/>
    <w:rPr>
      <w:rFonts w:ascii="宋体" w:hAnsi="Courier New"/>
    </w:rPr>
  </w:style>
  <w:style w:type="character" w:customStyle="1" w:styleId="55">
    <w:name w:val="textcontents"/>
    <w:qFormat/>
    <w:uiPriority w:val="0"/>
  </w:style>
  <w:style w:type="character" w:customStyle="1" w:styleId="56">
    <w:name w:val="纯文本 字符2"/>
    <w:qFormat/>
    <w:uiPriority w:val="0"/>
    <w:rPr>
      <w:rFonts w:ascii="宋体" w:hAnsi="Courier New" w:eastAsia="宋体" w:cs="Courier New"/>
      <w:szCs w:val="21"/>
    </w:rPr>
  </w:style>
  <w:style w:type="character" w:customStyle="1" w:styleId="57">
    <w:name w:val="批注文字 字符"/>
    <w:qFormat/>
    <w:uiPriority w:val="0"/>
    <w:rPr>
      <w:rFonts w:ascii="Times New Roman" w:hAnsi="Times New Roman"/>
      <w:kern w:val="2"/>
      <w:sz w:val="21"/>
      <w:szCs w:val="24"/>
    </w:rPr>
  </w:style>
  <w:style w:type="character" w:customStyle="1" w:styleId="58">
    <w:name w:val="批注文字 Char2"/>
    <w:qFormat/>
    <w:uiPriority w:val="0"/>
    <w:rPr>
      <w:rFonts w:ascii="Times New Roman" w:hAnsi="Times New Roman"/>
      <w:kern w:val="2"/>
      <w:sz w:val="21"/>
      <w:szCs w:val="24"/>
    </w:rPr>
  </w:style>
  <w:style w:type="character" w:customStyle="1" w:styleId="59">
    <w:name w:val="批注文字 字符1"/>
    <w:qFormat/>
    <w:uiPriority w:val="0"/>
    <w:rPr>
      <w:rFonts w:ascii="Times New Roman" w:hAnsi="Times New Roman"/>
      <w:kern w:val="2"/>
      <w:sz w:val="21"/>
      <w:szCs w:val="24"/>
    </w:rPr>
  </w:style>
  <w:style w:type="character" w:customStyle="1" w:styleId="60">
    <w:name w:val="标题 8 Char"/>
    <w:qFormat/>
    <w:uiPriority w:val="0"/>
    <w:rPr>
      <w:rFonts w:ascii="Arial" w:hAnsi="Arial" w:eastAsia="黑体"/>
      <w:kern w:val="2"/>
      <w:sz w:val="24"/>
      <w:szCs w:val="24"/>
    </w:rPr>
  </w:style>
  <w:style w:type="character" w:customStyle="1" w:styleId="61">
    <w:name w:val="批注文字 Char"/>
    <w:qFormat/>
    <w:uiPriority w:val="0"/>
    <w:rPr>
      <w:rFonts w:ascii="Times New Roman" w:hAnsi="Times New Roman"/>
      <w:kern w:val="2"/>
      <w:sz w:val="21"/>
      <w:szCs w:val="24"/>
    </w:rPr>
  </w:style>
  <w:style w:type="character" w:customStyle="1" w:styleId="62">
    <w:name w:val="标题 1 字符1"/>
    <w:qFormat/>
    <w:uiPriority w:val="0"/>
    <w:rPr>
      <w:b/>
      <w:bCs/>
      <w:kern w:val="44"/>
      <w:sz w:val="44"/>
      <w:szCs w:val="44"/>
    </w:rPr>
  </w:style>
  <w:style w:type="character" w:customStyle="1" w:styleId="63">
    <w:name w:val="纯文本 字符"/>
    <w:qFormat/>
    <w:uiPriority w:val="0"/>
    <w:rPr>
      <w:rFonts w:ascii="宋体" w:hAnsi="Courier New" w:eastAsia="宋体" w:cs="Courier New"/>
      <w:szCs w:val="21"/>
    </w:rPr>
  </w:style>
  <w:style w:type="character" w:customStyle="1" w:styleId="64">
    <w:name w:val="正文文本 Char"/>
    <w:qFormat/>
    <w:uiPriority w:val="0"/>
    <w:rPr>
      <w:rFonts w:ascii="Times New Roman" w:hAnsi="Times New Roman"/>
      <w:kern w:val="2"/>
      <w:sz w:val="21"/>
      <w:szCs w:val="24"/>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正文文本 字符"/>
    <w:qFormat/>
    <w:uiPriority w:val="0"/>
    <w:rPr>
      <w:rFonts w:ascii="Times New Roman" w:hAnsi="Times New Roman"/>
      <w:kern w:val="2"/>
      <w:sz w:val="21"/>
      <w:szCs w:val="24"/>
    </w:rPr>
  </w:style>
  <w:style w:type="character" w:customStyle="1" w:styleId="67">
    <w:name w:val="apple-style-span"/>
    <w:qFormat/>
    <w:uiPriority w:val="0"/>
  </w:style>
  <w:style w:type="character" w:customStyle="1" w:styleId="68">
    <w:name w:val="纯文本 Char"/>
    <w:qFormat/>
    <w:uiPriority w:val="0"/>
    <w:rPr>
      <w:rFonts w:ascii="宋体" w:hAnsi="Courier New" w:eastAsia="宋体" w:cs="Courier New"/>
      <w:szCs w:val="21"/>
    </w:rPr>
  </w:style>
  <w:style w:type="character" w:customStyle="1" w:styleId="69">
    <w:name w:val="正文2 Char Char"/>
    <w:link w:val="70"/>
    <w:qFormat/>
    <w:uiPriority w:val="0"/>
    <w:rPr>
      <w:kern w:val="2"/>
      <w:sz w:val="24"/>
    </w:rPr>
  </w:style>
  <w:style w:type="paragraph" w:customStyle="1" w:styleId="70">
    <w:name w:val="正文2"/>
    <w:basedOn w:val="1"/>
    <w:link w:val="69"/>
    <w:qFormat/>
    <w:uiPriority w:val="0"/>
    <w:pPr>
      <w:adjustRightInd w:val="0"/>
      <w:spacing w:before="156" w:line="360" w:lineRule="auto"/>
      <w:ind w:firstLine="510" w:firstLineChars="200"/>
    </w:pPr>
    <w:rPr>
      <w:sz w:val="24"/>
      <w:szCs w:val="20"/>
    </w:rPr>
  </w:style>
  <w:style w:type="paragraph" w:customStyle="1" w:styleId="71">
    <w:name w:val="默认段落字体 Para Char Char Char Char Char Char Char Char Char1 Char Char Char Char"/>
    <w:basedOn w:val="1"/>
    <w:qFormat/>
    <w:uiPriority w:val="0"/>
    <w:rPr>
      <w:rFonts w:ascii="Tahoma" w:hAnsi="Tahoma"/>
      <w:sz w:val="24"/>
      <w:szCs w:val="20"/>
    </w:rPr>
  </w:style>
  <w:style w:type="paragraph" w:customStyle="1" w:styleId="72">
    <w:name w:val="Table Paragraph"/>
    <w:basedOn w:val="1"/>
    <w:qFormat/>
    <w:uiPriority w:val="1"/>
    <w:pPr>
      <w:jc w:val="left"/>
    </w:pPr>
    <w:rPr>
      <w:rFonts w:ascii="Calibri" w:hAnsi="Calibri"/>
      <w:kern w:val="0"/>
      <w:sz w:val="22"/>
      <w:szCs w:val="22"/>
      <w:lang w:eastAsia="en-US"/>
    </w:rPr>
  </w:style>
  <w:style w:type="paragraph" w:customStyle="1" w:styleId="7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7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5">
    <w:name w:val="List Paragraph"/>
    <w:basedOn w:val="1"/>
    <w:qFormat/>
    <w:uiPriority w:val="34"/>
    <w:pPr>
      <w:ind w:firstLine="420" w:firstLineChars="200"/>
    </w:pPr>
  </w:style>
  <w:style w:type="paragraph" w:customStyle="1" w:styleId="76">
    <w:name w:val="UserStyle_27"/>
    <w:basedOn w:val="1"/>
    <w:qFormat/>
    <w:uiPriority w:val="0"/>
    <w:pPr>
      <w:ind w:firstLine="420" w:firstLineChars="200"/>
    </w:pPr>
  </w:style>
  <w:style w:type="paragraph" w:customStyle="1" w:styleId="77">
    <w:name w:val="目录 42"/>
    <w:next w:val="1"/>
    <w:qFormat/>
    <w:uiPriority w:val="99"/>
    <w:pPr>
      <w:wordWrap w:val="0"/>
      <w:ind w:left="850"/>
      <w:jc w:val="both"/>
    </w:pPr>
    <w:rPr>
      <w:rFonts w:ascii="Times New Roman" w:hAnsi="Times New Roman" w:eastAsia="宋体" w:cs="Times New Roman"/>
      <w:sz w:val="21"/>
      <w:lang w:val="en-US" w:eastAsia="zh-CN" w:bidi="ar-SA"/>
    </w:rPr>
  </w:style>
  <w:style w:type="paragraph" w:customStyle="1" w:styleId="78">
    <w:name w:val="正文-公11"/>
    <w:basedOn w:val="1"/>
    <w:qFormat/>
    <w:uiPriority w:val="0"/>
    <w:pPr>
      <w:ind w:firstLine="200" w:firstLineChars="200"/>
      <w:jc w:val="left"/>
    </w:pPr>
    <w:rPr>
      <w:rFonts w:eastAsia="仿宋_GB2312"/>
    </w:rPr>
  </w:style>
  <w:style w:type="paragraph" w:customStyle="1" w:styleId="79">
    <w:name w:val="_Style 3"/>
    <w:basedOn w:val="1"/>
    <w:qFormat/>
    <w:uiPriority w:val="0"/>
  </w:style>
  <w:style w:type="paragraph" w:customStyle="1" w:styleId="80">
    <w:name w:val="表 靠左"/>
    <w:basedOn w:val="81"/>
    <w:qFormat/>
    <w:uiPriority w:val="0"/>
    <w:pPr>
      <w:jc w:val="left"/>
    </w:pPr>
    <w:rPr>
      <w:rFonts w:ascii="宋体" w:hAnsi="宋体"/>
    </w:rPr>
  </w:style>
  <w:style w:type="paragraph" w:customStyle="1" w:styleId="81">
    <w:name w:val="表"/>
    <w:basedOn w:val="1"/>
    <w:next w:val="1"/>
    <w:qFormat/>
    <w:uiPriority w:val="0"/>
    <w:pPr>
      <w:jc w:val="center"/>
    </w:pPr>
  </w:style>
  <w:style w:type="paragraph" w:customStyle="1" w:styleId="8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3">
    <w:name w:val="表格内容"/>
    <w:basedOn w:val="1"/>
    <w:qFormat/>
    <w:uiPriority w:val="0"/>
    <w:pPr>
      <w:spacing w:line="300" w:lineRule="exact"/>
      <w:jc w:val="center"/>
    </w:pPr>
  </w:style>
  <w:style w:type="paragraph" w:customStyle="1" w:styleId="84">
    <w:name w:val="纯文本1"/>
    <w:basedOn w:val="1"/>
    <w:qFormat/>
    <w:uiPriority w:val="0"/>
    <w:rPr>
      <w:rFonts w:ascii="宋体" w:hAnsi="Courier New"/>
      <w:kern w:val="0"/>
      <w:sz w:val="20"/>
      <w:szCs w:val="21"/>
    </w:rPr>
  </w:style>
  <w:style w:type="paragraph" w:customStyle="1" w:styleId="85">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table" w:customStyle="1" w:styleId="86">
    <w:name w:val="Table Normal"/>
    <w:unhideWhenUsed/>
    <w:qFormat/>
    <w:uiPriority w:val="0"/>
    <w:tblPr>
      <w:tblCellMar>
        <w:top w:w="0" w:type="dxa"/>
        <w:left w:w="0" w:type="dxa"/>
        <w:bottom w:w="0" w:type="dxa"/>
        <w:right w:w="0" w:type="dxa"/>
      </w:tblCellMar>
    </w:tblPr>
  </w:style>
  <w:style w:type="paragraph" w:customStyle="1" w:styleId="87">
    <w:name w:val="页脚1"/>
    <w:basedOn w:val="1"/>
    <w:unhideWhenUsed/>
    <w:qFormat/>
    <w:uiPriority w:val="99"/>
    <w:pPr>
      <w:tabs>
        <w:tab w:val="center" w:pos="4153"/>
        <w:tab w:val="right" w:pos="8306"/>
      </w:tabs>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https://www.gov.cn/zhengce/content/202509/W020250930645245947614.png"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1da3a23e-aff9-4df7-a771-89bc88fbb614</errorID>
      <errorWord>：</errorWord>
      <group>L1_AI</group>
      <groupName>深度校对</groupName>
      <ability>L2_AI_Punc</ability>
      <abilityName>标点纠错</abilityName>
      <candidateList>
        <item>:</item>
      </candidateList>
      <explain/>
      <paraID>2DE8E858</paraID>
      <start>46</start>
      <end>47</end>
      <status>unmodified</status>
      <modifiedWord/>
      <trackRevisions>false</trackRevisions>
    </reviewItem>
    <reviewItem>
      <errorID>39db8f30-b691-48fa-8316-9f7e7337b21d</errorID>
      <errorWord>，</errorWord>
      <group>L1_AI</group>
      <groupName>深度校对</groupName>
      <ability>L2_AI_Punc</ability>
      <abilityName>标点纠错</abilityName>
      <candidateList>
        <item>；</item>
      </candidateList>
      <explain/>
      <paraID>7DF14FA4</paraID>
      <start>116</start>
      <end>117</end>
      <status>unmodified</status>
      <modifiedWord/>
      <trackRevisions>false</trackRevisions>
    </reviewItem>
    <reviewItem>
      <errorID>f6a6b02a-1527-4b7f-8974-fc08cb9f0b16</errorID>
      <errorWord>提供</errorWord>
      <group>L1_AI</group>
      <groupName>深度校对</groupName>
      <ability>L2_AI_Punc</ability>
      <abilityName>标点纠错</abilityName>
      <candidateList>
        <item>，提供</item>
      </candidateList>
      <explain/>
      <paraID>7DF14FA4</paraID>
      <start>124</start>
      <end>126</end>
      <status>unmodified</status>
      <modifiedWord/>
      <trackRevisions>false</trackRevisions>
    </reviewItem>
    <reviewItem>
      <errorID>022374a4-ccee-451c-bb0b-8a639bf3e0c8</errorID>
      <errorWord>】；</errorWord>
      <group>L1_AI</group>
      <groupName>深度校对</groupName>
      <ability>L2_AI_Word</ability>
      <abilityName>字词纠错</abilityName>
      <candidateList>
        <item>）。</item>
      </candidateList>
      <explain/>
      <paraID>7DF14FA4</paraID>
      <start>167</start>
      <end>169</end>
      <status>unmodified</status>
      <modifiedWord/>
      <trackRevisions>false</trackRevisions>
    </reviewItem>
    <reviewItem>
      <errorID>499eeae8-b6fa-4cdf-96bb-536f60ce0906</errorID>
      <errorWord>：</errorWord>
      <group>L1_Format</group>
      <groupName>格式问题</groupName>
      <ability>L2_HalfPunc</ability>
      <abilityName>全半角检查</abilityName>
      <candidateList>
        <item>:</item>
      </candidateList>
      <explain>文本全半角错误。</explain>
      <paraID> 7D47AE1</paraID>
      <start>34</start>
      <end>35</end>
      <status>unmodified</status>
      <modifiedWord/>
      <trackRevisions>false</trackRevisions>
    </reviewItem>
    <reviewItem>
      <errorID>f7964eb4-ae17-4df9-a868-b5194a886d49</errorID>
      <errorWord>：</errorWord>
      <group>L1_Format</group>
      <groupName>格式问题</groupName>
      <ability>L2_HalfPunc</ability>
      <abilityName>全半角检查</abilityName>
      <candidateList>
        <item>:</item>
      </candidateList>
      <explain>文本全半角错误。</explain>
      <paraID> 7D47AE1</paraID>
      <start>40</start>
      <end>41</end>
      <status>unmodified</status>
      <modifiedWord/>
      <trackRevisions>false</trackRevisions>
    </reviewItem>
    <reviewItem>
      <errorID>f43eb204-4eae-4dc4-bd07-8563d9b658ca</errorID>
      <errorWord>：</errorWord>
      <group>L1_Format</group>
      <groupName>格式问题</groupName>
      <ability>L2_HalfPunc</ability>
      <abilityName>全半角检查</abilityName>
      <candidateList>
        <item>:</item>
      </candidateList>
      <explain>文本全半角错误。</explain>
      <paraID> 7D47AE1</paraID>
      <start>47</start>
      <end>48</end>
      <status>unmodified</status>
      <modifiedWord/>
      <trackRevisions>false</trackRevisions>
    </reviewItem>
    <reviewItem>
      <errorID>10bfe333-5749-4c02-a852-39d38e71f785</errorID>
      <errorWord>：</errorWord>
      <group>L1_Format</group>
      <groupName>格式问题</groupName>
      <ability>L2_HalfPunc</ability>
      <abilityName>全半角检查</abilityName>
      <candidateList>
        <item>:</item>
      </candidateList>
      <explain>文本全半角错误。</explain>
      <paraID> 7D47AE1</paraID>
      <start>52</start>
      <end>53</end>
      <status>unmodified</status>
      <modifiedWord/>
      <trackRevisions>false</trackRevisions>
    </reviewItem>
    <reviewItem>
      <errorID>75dfc2bf-570b-49e1-bd34-c37be709cba8</errorID>
      <errorWord>：</errorWord>
      <group>L1_AI</group>
      <groupName>深度校对</groupName>
      <ability>L2_AI_Punc</ability>
      <abilityName>标点纠错</abilityName>
      <candidateList>
        <item>:</item>
      </candidateList>
      <explain/>
      <paraID>6A7464BC</paraID>
      <start>54</start>
      <end>55</end>
      <status>unmodified</status>
      <modifiedWord/>
      <trackRevisions>false</trackRevisions>
    </reviewItem>
    <reviewItem>
      <errorID>fe5aef16-7f64-4b3a-abc2-b31345481826</errorID>
      <errorWord>-</errorWord>
      <group>L1_AI</group>
      <groupName>深度校对</groupName>
      <ability>L2_AI_Punc</ability>
      <abilityName>标点纠错</abilityName>
      <candidateList>
        <item>，</item>
      </candidateList>
      <explain/>
      <paraID>6A7464BC</paraID>
      <start>83</start>
      <end>84</end>
      <status>unmodified</status>
      <modifiedWord/>
      <trackRevisions>false</trackRevisions>
    </reviewItem>
    <reviewItem>
      <errorID>568f2974-ce84-4992-b33d-16bd30e0392b</errorID>
      <errorWord>在</errorWord>
      <group>L1_AI</group>
      <groupName>深度校对</groupName>
      <ability>L2_AI_Punc</ability>
      <abilityName>标点纠错</abilityName>
      <candidateList>
        <item>，在</item>
      </candidateList>
      <explain/>
      <paraID>32133BB5</paraID>
      <start>108</start>
      <end>109</end>
      <status>unmodified</status>
      <modifiedWord/>
      <trackRevisions>false</trackRevisions>
    </reviewItem>
    <reviewItem>
      <errorID>7d27307e-4f91-476f-b78f-ada4fb232e09</errorID>
      <errorWord>，</errorWord>
      <group>L1_AI</group>
      <groupName>深度校对</groupName>
      <ability>L2_AI_Punc</ability>
      <abilityName>标点纠错</abilityName>
      <candidateList>
        <item>。</item>
      </candidateList>
      <explain/>
      <paraID>32133BB5</paraID>
      <start>162</start>
      <end>163</end>
      <status>unmodified</status>
      <modifiedWord/>
      <trackRevisions>false</trackRevisions>
    </reviewItem>
    <reviewItem>
      <errorID>38d3f007-2e4d-4660-ae40-132a4d7484bb</errorID>
      <errorWord>-</errorWord>
      <group>L1_Format</group>
      <groupName>格式问题</groupName>
      <ability>L2_HalfPunc</ability>
      <abilityName>全半角检查</abilityName>
      <candidateList>
        <item>－</item>
      </candidateList>
      <explain>文本全半角错误。</explain>
      <paraID>32133BB5</paraID>
      <start>229</start>
      <end>230</end>
      <status>unmodified</status>
      <modifiedWord/>
      <trackRevisions>false</trackRevisions>
    </reviewItem>
    <reviewItem>
      <errorID>c53493c8-801e-4f13-90b4-ecc28648801a</errorID>
      <errorWord>-</errorWord>
      <group>L1_Format</group>
      <groupName>格式问题</groupName>
      <ability>L2_HalfPunc</ability>
      <abilityName>全半角检查</abilityName>
      <candidateList>
        <item>－</item>
      </candidateList>
      <explain>文本全半角错误。</explain>
      <paraID>32133BB5</paraID>
      <start>234</start>
      <end>235</end>
      <status>unmodified</status>
      <modifiedWord/>
      <trackRevisions>false</trackRevisions>
    </reviewItem>
    <reviewItem>
      <errorID>572c2a8b-ed00-4cf7-b500-21207a221271</errorID>
      <errorWord>-</errorWord>
      <group>L1_Format</group>
      <groupName>格式问题</groupName>
      <ability>L2_HalfPunc</ability>
      <abilityName>全半角检查</abilityName>
      <candidateList>
        <item>－</item>
      </candidateList>
      <explain>文本全半角错误。</explain>
      <paraID>32133BB5</paraID>
      <start>239</start>
      <end>240</end>
      <status>unmodified</status>
      <modifiedWord/>
      <trackRevisions>false</trackRevisions>
    </reviewItem>
    <reviewItem>
      <errorID>bd9ed7ca-120e-4af7-8db1-eeebf81d5521</errorID>
      <errorWord>-</errorWord>
      <group>L1_Format</group>
      <groupName>格式问题</groupName>
      <ability>L2_HalfPunc</ability>
      <abilityName>全半角检查</abilityName>
      <candidateList>
        <item>－</item>
      </candidateList>
      <explain>文本全半角错误。</explain>
      <paraID>32133BB5</paraID>
      <start>245</start>
      <end>246</end>
      <status>unmodified</status>
      <modifiedWord/>
      <trackRevisions>false</trackRevisions>
    </reviewItem>
    <reviewItem>
      <errorID>0c5e6dac-1c16-49fc-b6ee-57670d789d27</errorID>
      <errorWord>-</errorWord>
      <group>L1_Format</group>
      <groupName>格式问题</groupName>
      <ability>L2_HalfPunc</ability>
      <abilityName>全半角检查</abilityName>
      <candidateList>
        <item>－</item>
      </candidateList>
      <explain>文本全半角错误。</explain>
      <paraID>32133BB5</paraID>
      <start>262</start>
      <end>263</end>
      <status>unmodified</status>
      <modifiedWord/>
      <trackRevisions>false</trackRevisions>
    </reviewItem>
    <reviewItem>
      <errorID>8f5149ba-335b-413b-b321-0a33c2b5c9e0</errorID>
      <errorWord>-</errorWord>
      <group>L1_Format</group>
      <groupName>格式问题</groupName>
      <ability>L2_HalfPunc</ability>
      <abilityName>全半角检查</abilityName>
      <candidateList>
        <item>－</item>
      </candidateList>
      <explain>文本全半角错误。</explain>
      <paraID>26E653EA</paraID>
      <start>112</start>
      <end>113</end>
      <status>unmodified</status>
      <modifiedWord/>
      <trackRevisions>false</trackRevisions>
    </reviewItem>
    <reviewItem>
      <errorID>3db01086-62c6-42f4-a43e-344868d66ac2</errorID>
      <errorWord>-</errorWord>
      <group>L1_Format</group>
      <groupName>格式问题</groupName>
      <ability>L2_HalfPunc</ability>
      <abilityName>全半角检查</abilityName>
      <candidateList>
        <item>－</item>
      </candidateList>
      <explain>文本全半角错误。</explain>
      <paraID>26E653EA</paraID>
      <start>141</start>
      <end>142</end>
      <status>unmodified</status>
      <modifiedWord/>
      <trackRevisions>false</trackRevisions>
    </reviewItem>
    <reviewItem>
      <errorID>e33986c3-d2fc-4b32-ae64-a063d7a53d09</errorID>
      <errorWord>操作合</errorWord>
      <group>L1_Word</group>
      <groupName>字词问题</groupName>
      <ability>L2_Typo</ability>
      <abilityName>字词错误</abilityName>
      <candidateList>
        <item>操作台</item>
      </candidateList>
      <explain/>
      <paraID>1972BA66</paraID>
      <start>9</start>
      <end>12</end>
      <status>unmodified</status>
      <modifiedWord/>
      <trackRevisions>false</trackRevisions>
    </reviewItem>
    <reviewItem>
      <errorID>0a63acca-cc90-4244-9af9-e81faa836ae8</errorID>
      <errorWord>，</errorWord>
      <group>L1_Word</group>
      <groupName>字词问题</groupName>
      <ability>L2_Typo</ability>
      <abilityName>字词错误</abilityName>
      <candidateList>
        <item>，在</item>
      </candidateList>
      <explain/>
      <paraID>1972BA66</paraID>
      <start>120</start>
      <end>121</end>
      <status>unmodified</status>
      <modifiedWord/>
      <trackRevisions>false</trackRevisions>
    </reviewItem>
    <reviewItem>
      <errorID>35205568-1763-4bac-89e1-3f00dea31696</errorID>
      <errorWord>具备有</errorWord>
      <group>L1_Word</group>
      <groupName>字词问题</groupName>
      <ability>L2_Typo</ability>
      <abilityName>字词错误</abilityName>
      <candidateList>
        <item>具备</item>
      </candidateList>
      <explain/>
      <paraID>61658EAE</paraID>
      <start>9</start>
      <end>12</end>
      <status>unmodified</status>
      <modifiedWord/>
      <trackRevisions>false</trackRevisions>
    </reviewItem>
    <reviewItem>
      <errorID>c057cad9-9621-421c-90d6-fb1c3c75a97e</errorID>
      <errorWord>  ，</errorWord>
      <group>L1_AI</group>
      <groupName>深度校对</groupName>
      <ability>L2_AI_Punc</ability>
      <abilityName>标点纠错</abilityName>
      <candidateList>
        <item/>
      </candidateList>
      <explain/>
      <paraID>5D408170</paraID>
      <start>5</start>
      <end>8</end>
      <status>unmodified</status>
      <modifiedWord/>
      <trackRevisions>false</trackRevisions>
    </reviewItem>
    <reviewItem>
      <errorID>1d3445ca-0331-41ec-a62f-dfbcbd16fbf0</errorID>
      <errorWord>（</errorWord>
      <group>L1_Punc</group>
      <groupName>标点问题</groupName>
      <ability>L2_Punc</ability>
      <abilityName>标点符号检查</abilityName>
      <candidateList/>
      <explain>同一形式括号套用。</explain>
      <paraID> 4181CDC</paraID>
      <start>64</start>
      <end>65</end>
      <status>unmodified</status>
      <modifiedWord/>
      <trackRevisions>false</trackRevisions>
    </reviewItem>
    <reviewItem>
      <errorID>5b8a9092-fead-4bfd-9190-f4be83330159</errorID>
      <errorWord>）</errorWord>
      <group>L1_Punc</group>
      <groupName>标点问题</groupName>
      <ability>L2_Punc</ability>
      <abilityName>标点符号检查</abilityName>
      <candidateList/>
      <explain>同一形式括号套用。</explain>
      <paraID> 4181CDC</paraID>
      <start>93</start>
      <end>94</end>
      <status>unmodified</status>
      <modifiedWord/>
      <trackRevisions>false</trackRevisions>
    </reviewItem>
    <reviewItem>
      <errorID>1af71c06-0c6c-4fb2-8247-997096e814af</errorID>
      <errorWord>（</errorWord>
      <group>L1_Punc</group>
      <groupName>标点问题</groupName>
      <ability>L2_Punc</ability>
      <abilityName>标点符号检查</abilityName>
      <candidateList/>
      <explain>同一形式括号套用。</explain>
      <paraID>599AF24F</paraID>
      <start>102</start>
      <end>103</end>
      <status>unmodified</status>
      <modifiedWord/>
      <trackRevisions>false</trackRevisions>
    </reviewItem>
    <reviewItem>
      <errorID>49866375-0887-4231-bc31-8f0977302753</errorID>
      <errorWord>）</errorWord>
      <group>L1_Punc</group>
      <groupName>标点问题</groupName>
      <ability>L2_Punc</ability>
      <abilityName>标点符号检查</abilityName>
      <candidateList/>
      <explain>同一形式括号套用。</explain>
      <paraID>599AF24F</paraID>
      <start>116</start>
      <end>117</end>
      <status>unmodified</status>
      <modifiedWord/>
      <trackRevisions>false</trackRevisions>
    </reviewItem>
    <reviewItem>
      <errorID>925c5a11-a160-42c7-8652-f0b8c6bd26c9</errorID>
      <errorWord>..</errorWord>
      <group>L1_Punc</group>
      <groupName>标点问题</groupName>
      <ability>L2_Punc</ability>
      <abilityName>标点符号检查</abilityName>
      <candidateList>
        <item>.</item>
      </candidateList>
      <explain/>
      <paraID>3A000EE4</paraID>
      <start>1</start>
      <end>3</end>
      <status>unmodified</status>
      <modifiedWord/>
      <trackRevisions>false</trackRevisions>
    </reviewItem>
    <reviewItem>
      <errorID>0a2cdf13-6083-4c32-9c79-760b763cc389</errorID>
      <errorWord>：/</errorWord>
      <group>L1_Punc</group>
      <groupName>标点问题</groupName>
      <ability>L2_Punc</ability>
      <abilityName>标点符号检查</abilityName>
      <candidateList>
        <item>：</item>
      </candidateList>
      <explain/>
      <paraID>57DE1A5E</paraID>
      <start>4</start>
      <end>6</end>
      <status>unmodified</status>
      <modifiedWord/>
      <trackRevisions>false</trackRevisions>
    </reviewItem>
    <reviewItem>
      <errorID>8ce4eeab-02a0-46e9-8185-51ee54542dee</errorID>
      <errorWord>：/</errorWord>
      <group>L1_Punc</group>
      <groupName>标点问题</groupName>
      <ability>L2_Punc</ability>
      <abilityName>标点符号检查</abilityName>
      <candidateList>
        <item>：</item>
      </candidateList>
      <explain/>
      <paraID>7CED29F9</paraID>
      <start>4</start>
      <end>6</end>
      <status>unmodified</status>
      <modifiedWord/>
      <trackRevisions>false</trackRevisions>
    </reviewItem>
    <reviewItem>
      <errorID>28009f35-dc8f-4409-8cce-faa390fb86eb</errorID>
      <errorWord>，</errorWord>
      <group>L1_Word</group>
      <groupName>字词问题</groupName>
      <ability>L2_Typo</ability>
      <abilityName>字词错误</abilityName>
      <candidateList>
        <item>，使</item>
      </candidateList>
      <explain/>
      <paraID>71D8A7A9</paraID>
      <start>32</start>
      <end>33</end>
      <status>unmodified</status>
      <modifiedWord/>
      <trackRevisions>false</trackRevisions>
    </reviewItem>
    <reviewItem>
      <errorID>4e703b2b-2301-4d77-ad21-6435bcb2f7ec</errorID>
      <errorWord>操作合</errorWord>
      <group>L1_Word</group>
      <groupName>字词问题</groupName>
      <ability>L2_Typo</ability>
      <abilityName>字词错误</abilityName>
      <candidateList>
        <item>操作台</item>
      </candidateList>
      <explain/>
      <paraID>3C579480</paraID>
      <start>9</start>
      <end>12</end>
      <status>unmodified</status>
      <modifiedWord/>
      <trackRevisions>false</trackRevisions>
    </reviewItem>
    <reviewItem>
      <errorID>8933b378-7529-426c-8d2f-4bf30c040cd8</errorID>
      <errorWord>接受</errorWord>
      <group>L1_Word</group>
      <groupName>字词问题</groupName>
      <ability>L2_Typo</ability>
      <abilityName>字词错误</abilityName>
      <candidateList>
        <item>接收</item>
      </candidateList>
      <explain>存在发音相同字词的误用。</explain>
      <paraID>2F145F0E</paraID>
      <start>35</start>
      <end>37</end>
      <status>unmodified</status>
      <modifiedWord/>
      <trackRevisions>false</trackRevisions>
    </reviewItem>
    <reviewItem>
      <errorID>418f1e4e-6a92-445a-a07f-fcfe4061809b</errorID>
      <errorWord>详见在</errorWord>
      <group>L1_Word</group>
      <groupName>字词问题</groupName>
      <ability>L2_Typo</ability>
      <abilityName>字词错误</abilityName>
      <candidateList>
        <item>详见</item>
      </candidateList>
      <explain/>
      <paraID>2F145F0E</paraID>
      <start>45</start>
      <end>48</end>
      <status>unmodified</status>
      <modifiedWord/>
      <trackRevisions>false</trackRevisions>
    </reviewItem>
    <reviewItem>
      <errorID>df312527-7445-459f-85e6-92ee25d9c2a8</errorID>
      <errorWord>，</errorWord>
      <group>L1_Word</group>
      <groupName>字词问题</groupName>
      <ability>L2_Typo</ability>
      <abilityName>字词错误</abilityName>
      <candidateList>
        <item>，在</item>
      </candidateList>
      <explain/>
      <paraID>6996C390</paraID>
      <start>36</start>
      <end>37</end>
      <status>unmodified</status>
      <modifiedWord/>
      <trackRevisions>false</trackRevisions>
    </reviewItem>
    <reviewItem>
      <errorID>cee40538-fa4e-4139-b7e4-4a052213a3a6</errorID>
      <errorWord>间</errorWord>
      <group>L1_Word</group>
      <groupName>字词问题</groupName>
      <ability>L2_Typo</ability>
      <abilityName>字词错误</abilityName>
      <candidateList>
        <item>间之</item>
      </candidateList>
      <explain/>
      <paraID>57D9678B</paraID>
      <start>14</start>
      <end>15</end>
      <status>unmodified</status>
      <modifiedWord/>
      <trackRevisions>false</trackRevisions>
    </reviewItem>
    <reviewItem>
      <errorID>afcbc678-4f40-4d77-b587-3e44086e746d</errorID>
      <errorWord>(</errorWord>
      <group>L1_Format</group>
      <groupName>格式问题</groupName>
      <ability>L2_HalfPunc</ability>
      <abilityName>全半角检查</abilityName>
      <candidateList>
        <item>（</item>
      </candidateList>
      <explain>文本全半角错误。</explain>
      <paraID>7EF2CE64</paraID>
      <start>70</start>
      <end>71</end>
      <status>unmodified</status>
      <modifiedWord/>
      <trackRevisions>false</trackRevisions>
    </reviewItem>
    <reviewItem>
      <errorID>872d5d64-782b-45be-9f61-88c814f10a68</errorID>
      <errorWord>)</errorWord>
      <group>L1_Format</group>
      <groupName>格式问题</groupName>
      <ability>L2_HalfPunc</ability>
      <abilityName>全半角检查</abilityName>
      <candidateList>
        <item>）</item>
      </candidateList>
      <explain>文本全半角错误。</explain>
      <paraID>7EF2CE64</paraID>
      <start>79</start>
      <end>80</end>
      <status>unmodified</status>
      <modifiedWord/>
      <trackRevisions>false</trackRevisions>
    </reviewItem>
    <reviewItem>
      <errorID>c011ad60-a37a-4d17-8a86-5d764aa494cd</errorID>
      <errorWord>:</errorWord>
      <group>L1_Format</group>
      <groupName>格式问题</groupName>
      <ability>L2_HalfPunc</ability>
      <abilityName>全半角检查</abilityName>
      <candidateList>
        <item>：</item>
      </candidateList>
      <explain>文本全半角错误。</explain>
      <paraID>2E11E978</paraID>
      <start>10</start>
      <end>11</end>
      <status>unmodified</status>
      <modifiedWord/>
      <trackRevisions>false</trackRevisions>
    </reviewItem>
    <reviewItem>
      <errorID>5c6e4988-02a4-46f4-a82b-e1bafcf28f70</errorID>
      <errorWord>(</errorWord>
      <group>L1_Format</group>
      <groupName>格式问题</groupName>
      <ability>L2_HalfPunc</ability>
      <abilityName>全半角检查</abilityName>
      <candidateList>
        <item>（</item>
      </candidateList>
      <explain>文本全半角错误。</explain>
      <paraID>4A206798</paraID>
      <start>11</start>
      <end>12</end>
      <status>unmodified</status>
      <modifiedWord/>
      <trackRevisions>false</trackRevisions>
    </reviewItem>
    <reviewItem>
      <errorID>0374d7bc-926f-411d-bcc6-d6cafc60a39f</errorID>
      <errorWord>)</errorWord>
      <group>L1_Format</group>
      <groupName>格式问题</groupName>
      <ability>L2_HalfPunc</ability>
      <abilityName>全半角检查</abilityName>
      <candidateList>
        <item>）</item>
      </candidateList>
      <explain>文本全半角错误。</explain>
      <paraID>4A206798</paraID>
      <start>15</start>
      <end>16</end>
      <status>unmodified</status>
      <modifiedWord/>
      <trackRevisions>false</trackRevisions>
    </reviewItem>
    <reviewItem>
      <errorID>133d14ee-dd27-439b-bffe-cb0e5589b804</errorID>
      <errorWord>(</errorWord>
      <group>L1_Format</group>
      <groupName>格式问题</groupName>
      <ability>L2_HalfPunc</ability>
      <abilityName>全半角检查</abilityName>
      <candidateList>
        <item>（</item>
      </candidateList>
      <explain>文本全半角错误。</explain>
      <paraID>52611E57</paraID>
      <start>42</start>
      <end>43</end>
      <status>unmodified</status>
      <modifiedWord/>
      <trackRevisions>false</trackRevisions>
    </reviewItem>
    <reviewItem>
      <errorID>7cc70d06-d027-4009-bf01-ad50bb51d60c</errorID>
      <errorWord>)</errorWord>
      <group>L1_Format</group>
      <groupName>格式问题</groupName>
      <ability>L2_HalfPunc</ability>
      <abilityName>全半角检查</abilityName>
      <candidateList>
        <item>）</item>
      </candidateList>
      <explain>文本全半角错误。</explain>
      <paraID>52611E57</paraID>
      <start>61</start>
      <end>62</end>
      <status>unmodified</status>
      <modifiedWord/>
      <trackRevisions>false</trackRevisions>
    </reviewItem>
    <reviewItem>
      <errorID>cbdf5ba0-82a5-4a44-856b-b4c4f4ebeee9</errorID>
      <errorWord>(</errorWord>
      <group>L1_Format</group>
      <groupName>格式问题</groupName>
      <ability>L2_HalfPunc</ability>
      <abilityName>全半角检查</abilityName>
      <candidateList>
        <item>（</item>
      </candidateList>
      <explain>文本全半角错误。</explain>
      <paraID>7AA7EC90</paraID>
      <start>16</start>
      <end>17</end>
      <status>unmodified</status>
      <modifiedWord/>
      <trackRevisions>false</trackRevisions>
    </reviewItem>
    <reviewItem>
      <errorID>3365b3e8-90a7-436a-b02f-3341d101c367</errorID>
      <errorWord>)</errorWord>
      <group>L1_Format</group>
      <groupName>格式问题</groupName>
      <ability>L2_HalfPunc</ability>
      <abilityName>全半角检查</abilityName>
      <candidateList>
        <item>）</item>
      </candidateList>
      <explain>文本全半角错误。</explain>
      <paraID>7AA7EC90</paraID>
      <start>19</start>
      <end>20</end>
      <status>unmodified</status>
      <modifiedWord/>
      <trackRevisions>false</trackRevisions>
    </reviewItem>
    <reviewItem>
      <errorID>bd79a4ae-e11e-431a-aeeb-2b3dfb1ddef2</errorID>
      <errorWord>扣完</errorWord>
      <group>L1_Word</group>
      <groupName>字词问题</groupName>
      <ability>L2_Typo</ability>
      <abilityName>字词错误</abilityName>
      <candidateList>
        <item>扣</item>
      </candidateList>
      <explain/>
      <paraID>59E317BA</paraID>
      <start>18</start>
      <end>20</end>
      <status>unmodified</status>
      <modifiedWord/>
      <trackRevisions>false</trackRevisions>
    </reviewItem>
    <reviewItem>
      <errorID>1861fa94-a76a-4184-abe5-798a1bea82b3</errorID>
      <errorWord>(</errorWord>
      <group>L1_Format</group>
      <groupName>格式问题</groupName>
      <ability>L2_HalfPunc</ability>
      <abilityName>全半角检查</abilityName>
      <candidateList>
        <item>（</item>
      </candidateList>
      <explain>文本全半角错误。</explain>
      <paraID>36961FF0</paraID>
      <start>7</start>
      <end>8</end>
      <status>unmodified</status>
      <modifiedWord/>
      <trackRevisions>false</trackRevisions>
    </reviewItem>
    <reviewItem>
      <errorID>1294bb65-3774-420b-b060-6ef44c3f531b</errorID>
      <errorWord>)</errorWord>
      <group>L1_Format</group>
      <groupName>格式问题</groupName>
      <ability>L2_HalfPunc</ability>
      <abilityName>全半角检查</abilityName>
      <candidateList>
        <item>）</item>
      </candidateList>
      <explain>文本全半角错误。</explain>
      <paraID>36961FF0</paraID>
      <start>10</start>
      <end>11</end>
      <status>unmodified</status>
      <modifiedWord/>
      <trackRevisions>false</trackRevisions>
    </reviewItem>
    <reviewItem>
      <errorID>89166f87-1c4e-45f6-98af-337125c724c2</errorID>
      <errorWord>扣完</errorWord>
      <group>L1_Word</group>
      <groupName>字词问题</groupName>
      <ability>L2_Typo</ability>
      <abilityName>字词错误</abilityName>
      <candidateList>
        <item>扣</item>
      </candidateList>
      <explain/>
      <paraID>4797244D</paraID>
      <start>14</start>
      <end>16</end>
      <status>unmodified</status>
      <modifiedWord/>
      <trackRevisions>false</trackRevisions>
    </reviewItem>
    <reviewItem>
      <errorID>b767e233-233e-4e88-bef1-e80fa8b9a24b</errorID>
      <errorWord>噪音</errorWord>
      <group>L1_Word</group>
      <groupName>字词问题</groupName>
      <ability>L2_Alias</ability>
      <abilityName>也作/曾用词</abilityName>
      <candidateList>
        <item>噪声</item>
      </candidateList>
      <explain>词汇[噪音]为不规范表述或旧称，其规范书面表述为[噪声]。</explain>
      <paraID>408000C6</paraID>
      <start>0</start>
      <end>2</end>
      <status>unmodified</status>
      <modifiedWord/>
      <trackRevisions>false</trackRevisions>
    </reviewItem>
    <reviewItem>
      <errorID>c6204ccc-ec5d-4901-8c2d-bc684697afe1</errorID>
      <errorWord>(</errorWord>
      <group>L1_Format</group>
      <groupName>格式问题</groupName>
      <ability>L2_HalfPunc</ability>
      <abilityName>全半角检查</abilityName>
      <candidateList>
        <item>（</item>
      </candidateList>
      <explain>文本全半角错误。</explain>
      <paraID>408000C6</paraID>
      <start>10</start>
      <end>11</end>
      <status>unmodified</status>
      <modifiedWord/>
      <trackRevisions>false</trackRevisions>
    </reviewItem>
    <reviewItem>
      <errorID>c754b119-9e55-4cc6-ac9f-5ac951347799</errorID>
      <errorWord>)</errorWord>
      <group>L1_Format</group>
      <groupName>格式问题</groupName>
      <ability>L2_HalfPunc</ability>
      <abilityName>全半角检查</abilityName>
      <candidateList>
        <item>）</item>
      </candidateList>
      <explain>文本全半角错误。</explain>
      <paraID>408000C6</paraID>
      <start>13</start>
      <end>14</end>
      <status>unmodified</status>
      <modifiedWord/>
      <trackRevisions>false</trackRevisions>
    </reviewItem>
    <reviewItem>
      <errorID>7d0337bd-fa5d-438f-b51f-cfeabdd04fe5</errorID>
      <errorWord>噪音</errorWord>
      <group>L1_Word</group>
      <groupName>字词问题</groupName>
      <ability>L2_Alias</ability>
      <abilityName>也作/曾用词</abilityName>
      <candidateList>
        <item>噪声</item>
      </candidateList>
      <explain>词汇[噪音]为不规范表述或旧称，其规范书面表述为[噪声]。</explain>
      <paraID>6A0A1188</paraID>
      <start>9</start>
      <end>11</end>
      <status>unmodified</status>
      <modifiedWord/>
      <trackRevisions>false</trackRevisions>
    </reviewItem>
    <reviewItem>
      <errorID>e8c29acc-f9b0-4e5b-a85d-c25fd5ae60eb</errorID>
      <errorWord>(</errorWord>
      <group>L1_Format</group>
      <groupName>格式问题</groupName>
      <ability>L2_HalfPunc</ability>
      <abilityName>全半角检查</abilityName>
      <candidateList>
        <item>（</item>
      </candidateList>
      <explain>文本全半角错误。</explain>
      <paraID>1B32D1D2</paraID>
      <start>0</start>
      <end>1</end>
      <status>unmodified</status>
      <modifiedWord/>
      <trackRevisions>false</trackRevisions>
    </reviewItem>
    <reviewItem>
      <errorID>3c807aa2-326c-4cb0-a1f7-1233c0f49efd</errorID>
      <errorWord>)</errorWord>
      <group>L1_Format</group>
      <groupName>格式问题</groupName>
      <ability>L2_HalfPunc</ability>
      <abilityName>全半角检查</abilityName>
      <candidateList>
        <item>）</item>
      </candidateList>
      <explain>文本全半角错误。</explain>
      <paraID>1B32D1D2</paraID>
      <start>4</start>
      <end>5</end>
      <status>unmodified</status>
      <modifiedWord/>
      <trackRevisions>false</trackRevisions>
    </reviewItem>
    <reviewItem>
      <errorID>85605a9a-2551-4924-82ab-5311b258a895</errorID>
      <errorWord>比比</errorWord>
      <group>L1_Word</group>
      <groupName>字词问题</groupName>
      <ability>L2_Typo</ability>
      <abilityName>字词错误</abilityName>
      <candidateList>
        <item>比</item>
      </candidateList>
      <explain/>
      <paraID>657D9B9F</paraID>
      <start>11</start>
      <end>13</end>
      <status>unmodified</status>
      <modifiedWord/>
      <trackRevisions>false</trackRevisions>
    </reviewItem>
    <reviewItem>
      <errorID>d2d99cc5-a1b4-4192-920f-c61e6bab8d44</errorID>
      <errorWord>每</errorWord>
      <group>L1_Word</group>
      <groupName>字词问题</groupName>
      <ability>L2_Typo</ability>
      <abilityName>字词错误</abilityName>
      <candidateList>
        <item>每降</item>
      </candidateList>
      <explain/>
      <paraID>657D9B9F</paraID>
      <start>13</start>
      <end>14</end>
      <status>unmodified</status>
      <modifiedWord/>
      <trackRevisions>false</trackRevisions>
    </reviewItem>
    <reviewItem>
      <errorID>71c9216a-cd85-4e5e-8687-c66cc258d27e</errorID>
      <errorWord>比比</errorWord>
      <group>L1_Word</group>
      <groupName>字词问题</groupName>
      <ability>L2_Typo</ability>
      <abilityName>字词错误</abilityName>
      <candidateList>
        <item>比</item>
      </candidateList>
      <explain/>
      <paraID>657D9B9F</paraID>
      <start>42</start>
      <end>44</end>
      <status>unmodified</status>
      <modifiedWord/>
      <trackRevisions>false</trackRevisions>
    </reviewItem>
    <reviewItem>
      <errorID>a969d2b9-5e32-490e-8ce1-268a4eb3e28a</errorID>
      <errorWord>:</errorWord>
      <group>L1_Format</group>
      <groupName>格式问题</groupName>
      <ability>L2_HalfPunc</ability>
      <abilityName>全半角检查</abilityName>
      <candidateList>
        <item>：</item>
      </candidateList>
      <explain>文本全半角错误。</explain>
      <paraID>248EFB72</paraID>
      <start>19</start>
      <end>20</end>
      <status>unmodified</status>
      <modifiedWord/>
      <trackRevisions>false</trackRevisions>
    </reviewItem>
    <reviewItem>
      <errorID>6bf46b13-6375-4801-9e1e-f52877d5e1b2</errorID>
      <errorWord>(</errorWord>
      <group>L1_Format</group>
      <groupName>格式问题</groupName>
      <ability>L2_HalfPunc</ability>
      <abilityName>全半角检查</abilityName>
      <candidateList>
        <item>（</item>
      </candidateList>
      <explain>文本全半角错误。</explain>
      <paraID>103008F3</paraID>
      <start>10</start>
      <end>11</end>
      <status>unmodified</status>
      <modifiedWord/>
      <trackRevisions>false</trackRevisions>
    </reviewItem>
    <reviewItem>
      <errorID>021b535a-c325-4cfb-91ea-3509c2a726a5</errorID>
      <errorWord>:</errorWord>
      <group>L1_Format</group>
      <groupName>格式问题</groupName>
      <ability>L2_HalfPunc</ability>
      <abilityName>全半角检查</abilityName>
      <candidateList>
        <item>：</item>
      </candidateList>
      <explain>文本全半角错误。</explain>
      <paraID>103008F3</paraID>
      <start>27</start>
      <end>28</end>
      <status>unmodified</status>
      <modifiedWord/>
      <trackRevisions>false</trackRevisions>
    </reviewItem>
    <reviewItem>
      <errorID>39ce056c-dee3-45d8-9a76-c3133fd27007</errorID>
      <errorWord>60-70%</errorWord>
      <group>L1_Knowledge</group>
      <groupName>知识性问题</groupName>
      <ability>L2_Knowledge</ability>
      <abilityName>其他知识</abilityName>
      <candidateList>
        <item>60%—70%</item>
      </candidateList>
      <explain>1. “60-70%”中的单位“%”仅出现在后一个数字上，容易引起歧义；根据《现代汉语标点符号数字用法规范手册》，数字表示范围两边需要使用统一的格式。2. 根据标点国标 4.13 中的规则，数字、时间或地域连接符应使用（视觉上更长的）“—”或“～”。</explain>
      <paraID>103008F3</paraID>
      <start>39</start>
      <end>45</end>
      <status>unmodified</status>
      <modifiedWord/>
      <trackRevisions>false</trackRevisions>
    </reviewItem>
    <reviewItem>
      <errorID>0adddf4f-d3c9-4999-bb9e-dc7f8538b857</errorID>
      <errorWord>50-60%</errorWord>
      <group>L1_Knowledge</group>
      <groupName>知识性问题</groupName>
      <ability>L2_Knowledge</ability>
      <abilityName>其他知识</abilityName>
      <candidateList>
        <item>50%—60%</item>
      </candidateList>
      <explain>1. “50-60%”中的单位“%”仅出现在后一个数字上，容易引起歧义；根据《现代汉语标点符号数字用法规范手册》，数字表示范围两边需要使用统一的格式。2. 根据标点国标 4.13 中的规则，数字、时间或地域连接符应使用（视觉上更长的）“—”或“～”。</explain>
      <paraID>103008F3</paraID>
      <start>49</start>
      <end>55</end>
      <status>unmodified</status>
      <modifiedWord/>
      <trackRevisions>false</trackRevisions>
    </reviewItem>
    <reviewItem>
      <errorID>8e8738f5-43e2-4e11-9464-6994dc5aca99</errorID>
      <errorWord>(</errorWord>
      <group>L1_Format</group>
      <groupName>格式问题</groupName>
      <ability>L2_HalfPunc</ability>
      <abilityName>全半角检查</abilityName>
      <candidateList>
        <item>（</item>
      </candidateList>
      <explain>文本全半角错误。</explain>
      <paraID>73C780F9</paraID>
      <start>10</start>
      <end>11</end>
      <status>unmodified</status>
      <modifiedWord/>
      <trackRevisions>false</trackRevisions>
    </reviewItem>
    <reviewItem>
      <errorID>2cfe9199-f340-4ce2-bb24-a234934c21f8</errorID>
      <errorWord>:</errorWord>
      <group>L1_Format</group>
      <groupName>格式问题</groupName>
      <ability>L2_HalfPunc</ability>
      <abilityName>全半角检查</abilityName>
      <candidateList>
        <item>：</item>
      </candidateList>
      <explain>文本全半角错误。</explain>
      <paraID>73C780F9</paraID>
      <start>29</start>
      <end>30</end>
      <status>unmodified</status>
      <modifiedWord/>
      <trackRevisions>false</trackRevisions>
    </reviewItem>
    <reviewItem>
      <errorID>7b8c042c-b501-417f-92c1-3dea89b9b897</errorID>
      <errorWord>60-70%</errorWord>
      <group>L1_Knowledge</group>
      <groupName>知识性问题</groupName>
      <ability>L2_Knowledge</ability>
      <abilityName>其他知识</abilityName>
      <candidateList>
        <item>60%—70%</item>
      </candidateList>
      <explain>1. “60-70%”中的单位“%”仅出现在后一个数字上，容易引起歧义；根据《现代汉语标点符号数字用法规范手册》，数字表示范围两边需要使用统一的格式。2. 根据标点国标 4.13 中的规则，数字、时间或地域连接符应使用（视觉上更长的）“—”或“～”。</explain>
      <paraID>73C780F9</paraID>
      <start>41</start>
      <end>47</end>
      <status>unmodified</status>
      <modifiedWord/>
      <trackRevisions>false</trackRevisions>
    </reviewItem>
    <reviewItem>
      <errorID>8ab07fcf-ef62-4f5f-9bdb-cd9151f5574b</errorID>
      <errorWord>50-60%</errorWord>
      <group>L1_Knowledge</group>
      <groupName>知识性问题</groupName>
      <ability>L2_Knowledge</ability>
      <abilityName>其他知识</abilityName>
      <candidateList>
        <item>50%—60%</item>
      </candidateList>
      <explain>1. “50-60%”中的单位“%”仅出现在后一个数字上，容易引起歧义；根据《现代汉语标点符号数字用法规范手册》，数字表示范围两边需要使用统一的格式。2. 根据标点国标 4.13 中的规则，数字、时间或地域连接符应使用（视觉上更长的）“—”或“～”。</explain>
      <paraID>73C780F9</paraID>
      <start>51</start>
      <end>57</end>
      <status>unmodified</status>
      <modifiedWord/>
      <trackRevisions>false</trackRevisions>
    </reviewItem>
    <reviewItem>
      <errorID>475207bc-b9c0-48cf-87f4-70f5f0fd0527</errorID>
      <errorWord>(</errorWord>
      <group>L1_Format</group>
      <groupName>格式问题</groupName>
      <ability>L2_HalfPunc</ability>
      <abilityName>全半角检查</abilityName>
      <candidateList>
        <item>（</item>
      </candidateList>
      <explain>文本全半角错误。</explain>
      <paraID>366EDFE6</paraID>
      <start>0</start>
      <end>1</end>
      <status>unmodified</status>
      <modifiedWord/>
      <trackRevisions>false</trackRevisions>
    </reviewItem>
    <reviewItem>
      <errorID>e34de243-d513-4f38-823b-c5bcb994651e</errorID>
      <errorWord>)</errorWord>
      <group>L1_Format</group>
      <groupName>格式问题</groupName>
      <ability>L2_HalfPunc</ability>
      <abilityName>全半角检查</abilityName>
      <candidateList>
        <item>）</item>
      </candidateList>
      <explain>文本全半角错误。</explain>
      <paraID>366EDFE6</paraID>
      <start>3</start>
      <end>4</end>
      <status>unmodified</status>
      <modifiedWord/>
      <trackRevisions>false</trackRevisions>
    </reviewItem>
    <reviewItem>
      <errorID>4eaf040d-0a8b-4ca9-885e-6875d2fe2ddf</errorID>
      <errorWord>(</errorWord>
      <group>L1_Format</group>
      <groupName>格式问题</groupName>
      <ability>L2_HalfPunc</ability>
      <abilityName>全半角检查</abilityName>
      <candidateList>
        <item>（</item>
      </candidateList>
      <explain>文本全半角错误。</explain>
      <paraID>32281F2D</paraID>
      <start>0</start>
      <end>1</end>
      <status>unmodified</status>
      <modifiedWord/>
      <trackRevisions>false</trackRevisions>
    </reviewItem>
    <reviewItem>
      <errorID>64294a18-3bed-4abf-87ff-93a9009dde48</errorID>
      <errorWord>)</errorWord>
      <group>L1_Format</group>
      <groupName>格式问题</groupName>
      <ability>L2_HalfPunc</ability>
      <abilityName>全半角检查</abilityName>
      <candidateList>
        <item>）</item>
      </candidateList>
      <explain>文本全半角错误。</explain>
      <paraID>32281F2D</paraID>
      <start>3</start>
      <end>4</end>
      <status>unmodified</status>
      <modifiedWord/>
      <trackRevisions>false</trackRevisions>
    </reviewItem>
    <reviewItem>
      <errorID>4c5cb85e-6646-4609-b6c9-2d3d7629c8a2</errorID>
      <errorWord>(</errorWord>
      <group>L1_Format</group>
      <groupName>格式问题</groupName>
      <ability>L2_HalfPunc</ability>
      <abilityName>全半角检查</abilityName>
      <candidateList>
        <item>（</item>
      </candidateList>
      <explain>文本全半角错误。</explain>
      <paraID>352FEA53</paraID>
      <start>8</start>
      <end>9</end>
      <status>unmodified</status>
      <modifiedWord/>
      <trackRevisions>false</trackRevisions>
    </reviewItem>
    <reviewItem>
      <errorID>3f83f76a-6415-4b97-91a6-2db4bda2cdd7</errorID>
      <errorWord>)</errorWord>
      <group>L1_Format</group>
      <groupName>格式问题</groupName>
      <ability>L2_HalfPunc</ability>
      <abilityName>全半角检查</abilityName>
      <candidateList>
        <item>）</item>
      </candidateList>
      <explain>文本全半角错误。</explain>
      <paraID>352FEA53</paraID>
      <start>12</start>
      <end>13</end>
      <status>unmodified</status>
      <modifiedWord/>
      <trackRevisions>false</trackRevisions>
    </reviewItem>
    <reviewItem>
      <errorID>773362ab-12dd-47f2-b8c0-34fc5be0a963</errorID>
      <errorWord>(</errorWord>
      <group>L1_Format</group>
      <groupName>格式问题</groupName>
      <ability>L2_HalfPunc</ability>
      <abilityName>全半角检查</abilityName>
      <candidateList>
        <item>（</item>
      </candidateList>
      <explain>文本全半角错误。</explain>
      <paraID>3451691D</paraID>
      <start>20</start>
      <end>21</end>
      <status>unmodified</status>
      <modifiedWord/>
      <trackRevisions>false</trackRevisions>
    </reviewItem>
    <reviewItem>
      <errorID>347de581-0429-4ed6-bd1b-a1d59a78dc2b</errorID>
      <errorWord>)</errorWord>
      <group>L1_Format</group>
      <groupName>格式问题</groupName>
      <ability>L2_HalfPunc</ability>
      <abilityName>全半角检查</abilityName>
      <candidateList>
        <item>）</item>
      </candidateList>
      <explain>文本全半角错误。</explain>
      <paraID>3451691D</paraID>
      <start>24</start>
      <end>25</end>
      <status>unmodified</status>
      <modifiedWord/>
      <trackRevisions>false</trackRevisions>
    </reviewItem>
    <reviewItem>
      <errorID>081d4efc-5072-411b-894b-942b555fed66</errorID>
      <errorWord>(</errorWord>
      <group>L1_Format</group>
      <groupName>格式问题</groupName>
      <ability>L2_HalfPunc</ability>
      <abilityName>全半角检查</abilityName>
      <candidateList>
        <item>（</item>
      </candidateList>
      <explain>文本全半角错误。</explain>
      <paraID>515C9ADC</paraID>
      <start>8</start>
      <end>9</end>
      <status>unmodified</status>
      <modifiedWord/>
      <trackRevisions>false</trackRevisions>
    </reviewItem>
    <reviewItem>
      <errorID>286d5373-5752-4b0f-bd60-bef688c28687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578D38E2</paraID>
      <start>45</start>
      <end>46</end>
      <status>unmodified</status>
      <modifiedWord/>
      <trackRevisions>false</trackRevisions>
    </reviewItem>
    <reviewItem>
      <errorID>75a782a4-225f-481c-a6b1-bf172fff4eb1</errorID>
      <errorWord>1万-10万</errorWord>
      <group>L1_Knowledge</group>
      <groupName>知识性问题</groupName>
      <ability>L2_Knowledge</ability>
      <abilityName>其他知识</abilityName>
      <candidateList>
        <item>1万—10万</item>
      </candidateList>
      <explain>1. “1万-10万”中的单位“万”仅出现在后一个数字上，容易引起歧义；根据《现代汉语标点符号数字用法规范手册》，数字表示范围两边需要使用统一的格式。2.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578D38E2</paraID>
      <start>53</start>
      <end>59</end>
      <status>unmodified</status>
      <modifiedWord/>
      <trackRevisions>false</trackRevisions>
    </reviewItem>
    <reviewItem>
      <errorID>d8206d08-8877-45ca-8d43-3b9c74b9c784</errorID>
      <errorWord>(</errorWord>
      <group>L1_Format</group>
      <groupName>格式问题</groupName>
      <ability>L2_HalfPunc</ability>
      <abilityName>全半角检查</abilityName>
      <candidateList>
        <item>（</item>
      </candidateList>
      <explain>文本全半角错误。</explain>
      <paraID>130F164D</paraID>
      <start>0</start>
      <end>1</end>
      <status>unmodified</status>
      <modifiedWord/>
      <trackRevisions>false</trackRevisions>
    </reviewItem>
    <reviewItem>
      <errorID>b52ea1e0-1749-42be-a68f-f72ac8725c1a</errorID>
      <errorWord>)</errorWord>
      <group>L1_Format</group>
      <groupName>格式问题</groupName>
      <ability>L2_HalfPunc</ability>
      <abilityName>全半角检查</abilityName>
      <candidateList>
        <item>）</item>
      </candidateList>
      <explain>文本全半角错误。</explain>
      <paraID>130F164D</paraID>
      <start>33</start>
      <end>34</end>
      <status>unmodified</status>
      <modifiedWord/>
      <trackRevisions>false</trackRevisions>
    </reviewItem>
    <reviewItem>
      <errorID>8f1c5af5-6fa1-4d2c-b6e4-89556ffbe370</errorID>
      <errorWord>(</errorWord>
      <group>L1_Format</group>
      <groupName>格式问题</groupName>
      <ability>L2_HalfPunc</ability>
      <abilityName>全半角检查</abilityName>
      <candidateList>
        <item>（</item>
      </candidateList>
      <explain>文本全半角错误。</explain>
      <paraID>22CFA152</paraID>
      <start>8</start>
      <end>9</end>
      <status>unmodified</status>
      <modifiedWord/>
      <trackRevisions>false</trackRevisions>
    </reviewItem>
    <reviewItem>
      <errorID>b76a92fb-cb46-4551-a49f-a8987a1628b7</errorID>
      <errorWord>)</errorWord>
      <group>L1_Format</group>
      <groupName>格式问题</groupName>
      <ability>L2_HalfPunc</ability>
      <abilityName>全半角检查</abilityName>
      <candidateList>
        <item>）</item>
      </candidateList>
      <explain>文本全半角错误。</explain>
      <paraID>22CFA152</paraID>
      <start>12</start>
      <end>13</end>
      <status>unmodified</status>
      <modifiedWord/>
      <trackRevisions>false</trackRevisions>
    </reviewItem>
    <reviewItem>
      <errorID>39749411-b565-4efb-a343-25371b9f6b04</errorID>
      <errorWord>(</errorWord>
      <group>L1_Format</group>
      <groupName>格式问题</groupName>
      <ability>L2_HalfPunc</ability>
      <abilityName>全半角检查</abilityName>
      <candidateList>
        <item>（</item>
      </candidateList>
      <explain>文本全半角错误。</explain>
      <paraID>48C0A83A</paraID>
      <start>0</start>
      <end>1</end>
      <status>unmodified</status>
      <modifiedWord/>
      <trackRevisions>false</trackRevisions>
    </reviewItem>
    <reviewItem>
      <errorID>d655b162-f680-48ef-9bd2-9cef12345618</errorID>
      <errorWord>)</errorWord>
      <group>L1_Format</group>
      <groupName>格式问题</groupName>
      <ability>L2_HalfPunc</ability>
      <abilityName>全半角检查</abilityName>
      <candidateList>
        <item>）</item>
      </candidateList>
      <explain>文本全半角错误。</explain>
      <paraID>48C0A83A</paraID>
      <start>3</start>
      <end>4</end>
      <status>unmodified</status>
      <modifiedWord/>
      <trackRevisions>false</trackRevisions>
    </reviewItem>
    <reviewItem>
      <errorID>fb077e6e-a5e8-4956-9f57-b35fd9ce30a7</errorID>
      <errorWord>；</errorWord>
      <group>L1_Word</group>
      <groupName>字词问题</groupName>
      <ability>L2_Typo</ability>
      <abilityName>字词错误</abilityName>
      <candidateList>
        <item>；设</item>
      </candidateList>
      <explain/>
      <paraID> 4F9CCDB</paraID>
      <start>133</start>
      <end>134</end>
      <status>unmodified</status>
      <modifiedWord/>
      <trackRevisions>false</trackRevisions>
    </reviewItem>
    <reviewItem>
      <errorID>2b440206-5048-42f5-b396-ee0460334f36</errorID>
      <errorWord>(</errorWord>
      <group>L1_Format</group>
      <groupName>格式问题</groupName>
      <ability>L2_HalfPunc</ability>
      <abilityName>全半角检查</abilityName>
      <candidateList>
        <item>（</item>
      </candidateList>
      <explain>文本全半角错误。</explain>
      <paraID>42B304B8</paraID>
      <start>0</start>
      <end>1</end>
      <status>unmodified</status>
      <modifiedWord/>
      <trackRevisions>false</trackRevisions>
    </reviewItem>
    <reviewItem>
      <errorID>d7f15daa-a17b-4868-b784-0df5b1d5b0f6</errorID>
      <errorWord>)</errorWord>
      <group>L1_Format</group>
      <groupName>格式问题</groupName>
      <ability>L2_HalfPunc</ability>
      <abilityName>全半角检查</abilityName>
      <candidateList>
        <item>）</item>
      </candidateList>
      <explain>文本全半角错误。</explain>
      <paraID>42B304B8</paraID>
      <start>4</start>
      <end>5</end>
      <status>unmodified</status>
      <modifiedWord/>
      <trackRevisions>false</trackRevisions>
    </reviewItem>
    <reviewItem>
      <errorID>f8c61eff-1d11-4258-8a59-1d4c973eaf23</errorID>
      <errorWord>(</errorWord>
      <group>L1_Format</group>
      <groupName>格式问题</groupName>
      <ability>L2_HalfPunc</ability>
      <abilityName>全半角检查</abilityName>
      <candidateList>
        <item>（</item>
      </candidateList>
      <explain>文本全半角错误。</explain>
      <paraID> A84DCA1</paraID>
      <start>8</start>
      <end>9</end>
      <status>unmodified</status>
      <modifiedWord/>
      <trackRevisions>false</trackRevisions>
    </reviewItem>
    <reviewItem>
      <errorID>ff9e7958-4364-40ab-a5f6-9e952114ff4d</errorID>
      <errorWord>)</errorWord>
      <group>L1_Format</group>
      <groupName>格式问题</groupName>
      <ability>L2_HalfPunc</ability>
      <abilityName>全半角检查</abilityName>
      <candidateList>
        <item>）</item>
      </candidateList>
      <explain>文本全半角错误。</explain>
      <paraID> A84DCA1</paraID>
      <start>11</start>
      <end>12</end>
      <status>unmodified</status>
      <modifiedWord/>
      <trackRevisions>false</trackRevisions>
    </reviewItem>
    <reviewItem>
      <errorID>d7707dac-7bac-40e6-b552-27cfe63a0f08</errorID>
      <errorWord>(</errorWord>
      <group>L1_Format</group>
      <groupName>格式问题</groupName>
      <ability>L2_HalfPunc</ability>
      <abilityName>全半角检查</abilityName>
      <candidateList>
        <item>（</item>
      </candidateList>
      <explain>文本全半角错误。</explain>
      <paraID>78B65A3B</paraID>
      <start>0</start>
      <end>1</end>
      <status>unmodified</status>
      <modifiedWord/>
      <trackRevisions>false</trackRevisions>
    </reviewItem>
    <reviewItem>
      <errorID>674ae348-32f9-4000-9f4e-9262415557ea</errorID>
      <errorWord>)</errorWord>
      <group>L1_Format</group>
      <groupName>格式问题</groupName>
      <ability>L2_HalfPunc</ability>
      <abilityName>全半角检查</abilityName>
      <candidateList>
        <item>）</item>
      </candidateList>
      <explain>文本全半角错误。</explain>
      <paraID>78B65A3B</paraID>
      <start>3</start>
      <end>4</end>
      <status>unmodified</status>
      <modifiedWord/>
      <trackRevisions>false</trackRevisions>
    </reviewItem>
    <reviewItem>
      <errorID>bd3dce38-94b6-4b23-9837-174de31e947b</errorID>
      <errorWord>(</errorWord>
      <group>L1_Format</group>
      <groupName>格式问题</groupName>
      <ability>L2_HalfPunc</ability>
      <abilityName>全半角检查</abilityName>
      <candidateList>
        <item>（</item>
      </candidateList>
      <explain>文本全半角错误。</explain>
      <paraID>24FE6BE2</paraID>
      <start>0</start>
      <end>1</end>
      <status>unmodified</status>
      <modifiedWord/>
      <trackRevisions>false</trackRevisions>
    </reviewItem>
    <reviewItem>
      <errorID>119cc3e4-f783-453e-ba97-cfcc08371003</errorID>
      <errorWord>)</errorWord>
      <group>L1_Format</group>
      <groupName>格式问题</groupName>
      <ability>L2_HalfPunc</ability>
      <abilityName>全半角检查</abilityName>
      <candidateList>
        <item>）</item>
      </candidateList>
      <explain>文本全半角错误。</explain>
      <paraID>24FE6BE2</paraID>
      <start>3</start>
      <end>4</end>
      <status>unmodified</status>
      <modifiedWord/>
      <trackRevisions>false</trackRevisions>
    </reviewItem>
    <reviewItem>
      <errorID>d15a8f40-af65-4068-b7d1-e64ae5874b37</errorID>
      <errorWord>(</errorWord>
      <group>L1_Format</group>
      <groupName>格式问题</groupName>
      <ability>L2_HalfPunc</ability>
      <abilityName>全半角检查</abilityName>
      <candidateList>
        <item>（</item>
      </candidateList>
      <explain>文本全半角错误。</explain>
      <paraID>32745C10</paraID>
      <start>46</start>
      <end>47</end>
      <status>unmodified</status>
      <modifiedWord/>
      <trackRevisions>false</trackRevisions>
    </reviewItem>
    <reviewItem>
      <errorID>7c86f25b-18ab-41b4-8ef1-e2149a20cb4e</errorID>
      <errorWord>)</errorWord>
      <group>L1_Format</group>
      <groupName>格式问题</groupName>
      <ability>L2_HalfPunc</ability>
      <abilityName>全半角检查</abilityName>
      <candidateList>
        <item>）</item>
      </candidateList>
      <explain>文本全半角错误。</explain>
      <paraID>32745C10</paraID>
      <start>58</start>
      <end>59</end>
      <status>unmodified</status>
      <modifiedWord/>
      <trackRevisions>false</trackRevisions>
    </reviewItem>
    <reviewItem>
      <errorID>b7a38350-c60f-4473-82c7-b26147d609eb</errorID>
      <errorWord>(</errorWord>
      <group>L1_Format</group>
      <groupName>格式问题</groupName>
      <ability>L2_HalfPunc</ability>
      <abilityName>全半角检查</abilityName>
      <candidateList>
        <item>（</item>
      </candidateList>
      <explain>文本全半角错误。</explain>
      <paraID>18AE293A</paraID>
      <start>16</start>
      <end>17</end>
      <status>unmodified</status>
      <modifiedWord/>
      <trackRevisions>false</trackRevisions>
    </reviewItem>
    <reviewItem>
      <errorID>ee371080-0ed4-494b-8c06-e5dadba7c869</errorID>
      <errorWord>)</errorWord>
      <group>L1_Format</group>
      <groupName>格式问题</groupName>
      <ability>L2_HalfPunc</ability>
      <abilityName>全半角检查</abilityName>
      <candidateList>
        <item>）</item>
      </candidateList>
      <explain>文本全半角错误。</explain>
      <paraID>18AE293A</paraID>
      <start>39</start>
      <end>40</end>
      <status>unmodified</status>
      <modifiedWord/>
      <trackRevisions>false</trackRevisions>
    </reviewItem>
    <reviewItem>
      <errorID>9ab487d3-3100-447a-81cc-b9e002b4bf6f</errorID>
      <errorWord>(</errorWord>
      <group>L1_Format</group>
      <groupName>格式问题</groupName>
      <ability>L2_HalfPunc</ability>
      <abilityName>全半角检查</abilityName>
      <candidateList>
        <item>（</item>
      </candidateList>
      <explain>文本全半角错误。</explain>
      <paraID>18AE293A</paraID>
      <start>48</start>
      <end>49</end>
      <status>unmodified</status>
      <modifiedWord/>
      <trackRevisions>false</trackRevisions>
    </reviewItem>
    <reviewItem>
      <errorID>ca1d75fb-b4f0-42fd-90da-48ac4f3e6519</errorID>
      <errorWord>)</errorWord>
      <group>L1_Format</group>
      <groupName>格式问题</groupName>
      <ability>L2_HalfPunc</ability>
      <abilityName>全半角检查</abilityName>
      <candidateList>
        <item>）</item>
      </candidateList>
      <explain>文本全半角错误。</explain>
      <paraID>18AE293A</paraID>
      <start>64</start>
      <end>65</end>
      <status>unmodified</status>
      <modifiedWord/>
      <trackRevisions>false</trackRevisions>
    </reviewItem>
    <reviewItem>
      <errorID>40bad396-0c3a-41d5-9952-c12a16583dd4</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71101D95</paraID>
      <start>19</start>
      <end>21</end>
      <status>unmodified</status>
      <modifiedWord/>
      <trackRevisions>false</trackRevisions>
    </reviewItem>
    <reviewItem>
      <errorID>efb49067-95d4-4163-9357-4d0ad91c56fc</errorID>
      <errorWord>-</errorWord>
      <group>L1_Format</group>
      <groupName>格式问题</groupName>
      <ability>L2_HalfPunc</ability>
      <abilityName>全半角检查</abilityName>
      <candidateList>
        <item>－</item>
      </candidateList>
      <explain>文本全半角错误。</explain>
      <paraID>16CDB5F1</paraID>
      <start>20</start>
      <end>21</end>
      <status>unmodified</status>
      <modifiedWord/>
      <trackRevisions>false</trackRevisions>
    </reviewItem>
    <reviewItem>
      <errorID>5f7f3dab-f41c-4411-a915-7197ecc83179</errorID>
      <errorWord>(</errorWord>
      <group>L1_Format</group>
      <groupName>格式问题</groupName>
      <ability>L2_HalfPunc</ability>
      <abilityName>全半角检查</abilityName>
      <candidateList>
        <item>（</item>
      </candidateList>
      <explain>文本全半角错误。</explain>
      <paraID>657B041F</paraID>
      <start>4</start>
      <end>5</end>
      <status>unmodified</status>
      <modifiedWord/>
      <trackRevisions>false</trackRevisions>
    </reviewItem>
    <reviewItem>
      <errorID>454644ff-b3c4-4bfb-b2bb-2b7e9a266c01</errorID>
      <errorWord>)</errorWord>
      <group>L1_Format</group>
      <groupName>格式问题</groupName>
      <ability>L2_HalfPunc</ability>
      <abilityName>全半角检查</abilityName>
      <candidateList>
        <item>）</item>
      </candidateList>
      <explain>文本全半角错误。</explain>
      <paraID>657B041F</paraID>
      <start>6</start>
      <end>7</end>
      <status>unmodified</status>
      <modifiedWord/>
      <trackRevisions>false</trackRevisions>
    </reviewItem>
    <reviewItem>
      <errorID>9580f9bf-b103-4a34-b0ce-a34fc608819e</errorID>
      <errorWord>股东大会</errorWord>
      <group>L1_Word</group>
      <groupName>字词问题</groupName>
      <ability>L2_Typo</ability>
      <abilityName>字词错误</abilityName>
      <candidateList>
        <item>股东会</item>
      </candidateList>
      <explain/>
      <paraID>13C68FC1</paraID>
      <start>113</start>
      <end>117</end>
      <status>unmodified</status>
      <modifiedWord/>
      <trackRevisions>false</trackRevisions>
    </reviewItem>
    <reviewItem>
      <errorID>74292424-6109-4cbe-8c9d-2afcacaea08e</errorID>
      <errorWord>》</errorWord>
      <group>L1_Word</group>
      <groupName>字词问题</groupName>
      <ability>L2_Typo</ability>
      <abilityName>字词错误</abilityName>
      <candidateList>
        <item>》和</item>
      </candidateList>
      <explain/>
      <paraID> B6F7445</paraID>
      <start>15</start>
      <end>16</end>
      <status>unmodified</status>
      <modifiedWord/>
      <trackRevisions>false</trackRevisions>
    </reviewItem>
    <reviewItem>
      <errorID>ef4d3994-aa62-434a-8731-2fbaf112565a</errorID>
      <errorWord>进行实施</errorWord>
      <group>L1_Word</group>
      <groupName>字词问题</groupName>
      <ability>L2_Typo</ability>
      <abilityName>字词错误</abilityName>
      <candidateList>
        <item>实施</item>
      </candidateList>
      <explain>〈动〉实行（法令、政策等）：付诸～｜～细则｜～新的办法。</explain>
      <paraID>7D01DF37</paraID>
      <start>27</start>
      <end>29</end>
      <status>modified</status>
      <modifiedWord>实施</modifiedWord>
      <trackRevisions>false</trackRevisions>
    </reviewItem>
    <reviewItem>
      <errorID>c631033e-a696-46fa-af59-2d1c5d991e51</errorID>
      <errorWord>:</errorWord>
      <group>L1_Format</group>
      <groupName>格式问题</groupName>
      <ability>L2_HalfPunc</ability>
      <abilityName>全半角检查</abilityName>
      <candidateList>
        <item>：</item>
      </candidateList>
      <explain>文本全半角错误。</explain>
      <paraID>5B4209E0</paraID>
      <start>13</start>
      <end>14</end>
      <status>unmodified</status>
      <modifiedWord/>
      <trackRevisions>false</trackRevisions>
    </reviewItem>
    <reviewItem>
      <errorID>b9eea940-c0ff-4b7c-ac82-4ffa6694b2ea</errorID>
      <errorWord>其它</errorWord>
      <group>L1_Word</group>
      <groupName>字词问题</groupName>
      <ability>L2_Alias</ability>
      <abilityName>也作/曾用词</abilityName>
      <candidateList>
        <item>其他</item>
      </candidateList>
      <explain>词汇[其它]为不规范表述或旧称，其规范书面表述为[其他]。</explain>
      <paraID>4CA8FACE</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BAFB6D-E5D7-4ECF-8D9C-3036E4158430}">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86</Pages>
  <Words>7641</Words>
  <Characters>8395</Characters>
  <Lines>402</Lines>
  <Paragraphs>113</Paragraphs>
  <TotalTime>22</TotalTime>
  <ScaleCrop>false</ScaleCrop>
  <LinksUpToDate>false</LinksUpToDate>
  <CharactersWithSpaces>8466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2024-05-20T07:55:00Z</dcterms:created>
  <dc:creator>唐冰</dc:creator>
  <cp:lastModifiedBy>everyone</cp:lastModifiedBy>
  <cp:lastPrinted>2023-03-27T08:54:00Z</cp:lastPrinted>
  <dcterms:modified xsi:type="dcterms:W3CDTF">2026-03-30T10:49:34Z</dcterms:modified>
  <dc:title>竞争性谈判文件规范</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F71ED932500E4993B31CD56105AB0FAE_13</vt:lpwstr>
  </property>
  <property fmtid="{D5CDD505-2E9C-101B-9397-08002B2CF9AE}" pid="4" name="KSOTemplateDocerSaveRecord">
    <vt:lpwstr>eyJoZGlkIjoiMTkwN2Y1MWIyMzdlMTU0MmMwMWMxMDY4MDY1Njg3NGIiLCJ1c2VySWQiOiI2MTI4OTUwMDYifQ==</vt:lpwstr>
  </property>
</Properties>
</file>