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0EA25">
      <w:pPr>
        <w:spacing w:line="360" w:lineRule="auto"/>
        <w:jc w:val="center"/>
        <w:rPr>
          <w:rFonts w:hint="eastAsia" w:ascii="方正小标宋简体" w:hAnsi="宋体" w:eastAsia="方正小标宋简体"/>
          <w:color w:val="auto"/>
          <w:sz w:val="52"/>
          <w:szCs w:val="52"/>
          <w:highlight w:val="none"/>
        </w:rPr>
      </w:pPr>
    </w:p>
    <w:p w14:paraId="065F24F2">
      <w:pPr>
        <w:spacing w:line="360" w:lineRule="auto"/>
        <w:jc w:val="center"/>
        <w:rPr>
          <w:rFonts w:hint="eastAsia" w:ascii="方正小标宋简体" w:hAnsi="宋体" w:eastAsia="方正小标宋简体"/>
          <w:color w:val="auto"/>
          <w:sz w:val="52"/>
          <w:szCs w:val="52"/>
          <w:highlight w:val="none"/>
        </w:rPr>
      </w:pPr>
      <w:r>
        <w:rPr>
          <w:rFonts w:hint="eastAsia" w:ascii="方正小标宋简体" w:hAnsi="宋体" w:eastAsia="方正小标宋简体"/>
          <w:color w:val="auto"/>
          <w:sz w:val="52"/>
          <w:szCs w:val="52"/>
          <w:highlight w:val="none"/>
        </w:rPr>
        <w:t>云之龙咨询集团有限公司</w:t>
      </w:r>
    </w:p>
    <w:p w14:paraId="040117EF">
      <w:pPr>
        <w:spacing w:before="120" w:beforeLines="50" w:line="360" w:lineRule="auto"/>
        <w:jc w:val="center"/>
        <w:rPr>
          <w:rFonts w:hint="eastAsia" w:ascii="宋体" w:hAnsi="宋体"/>
          <w:color w:val="auto"/>
          <w:sz w:val="52"/>
          <w:szCs w:val="52"/>
          <w:highlight w:val="none"/>
        </w:rPr>
      </w:pPr>
    </w:p>
    <w:p w14:paraId="21421E9A">
      <w:pPr>
        <w:snapToGrid w:val="0"/>
        <w:spacing w:before="120" w:beforeLines="50" w:line="360" w:lineRule="auto"/>
        <w:jc w:val="center"/>
        <w:rPr>
          <w:rFonts w:hint="eastAsia" w:ascii="华文新魏" w:hAnsi="宋体" w:eastAsia="华文新魏"/>
          <w:color w:val="auto"/>
          <w:sz w:val="96"/>
          <w:szCs w:val="96"/>
          <w:highlight w:val="none"/>
        </w:rPr>
      </w:pPr>
      <w:r>
        <w:rPr>
          <w:rFonts w:hint="eastAsia" w:ascii="华文新魏" w:hAnsi="宋体" w:eastAsia="华文新魏"/>
          <w:color w:val="auto"/>
          <w:sz w:val="96"/>
          <w:szCs w:val="96"/>
          <w:highlight w:val="none"/>
        </w:rPr>
        <w:t>公 开 招 标 文 件</w:t>
      </w:r>
    </w:p>
    <w:p w14:paraId="340C238E">
      <w:pPr>
        <w:snapToGrid w:val="0"/>
        <w:spacing w:before="120" w:beforeLines="50" w:line="360" w:lineRule="auto"/>
        <w:jc w:val="center"/>
        <w:rPr>
          <w:rFonts w:hint="eastAsia" w:ascii="仿宋_GB2312" w:hAnsi="宋体" w:eastAsia="仿宋_GB2312"/>
          <w:b/>
          <w:color w:val="auto"/>
          <w:sz w:val="48"/>
          <w:szCs w:val="48"/>
          <w:highlight w:val="none"/>
        </w:rPr>
      </w:pPr>
      <w:r>
        <w:rPr>
          <w:rFonts w:hint="eastAsia" w:ascii="仿宋_GB2312" w:hAnsi="宋体" w:eastAsia="仿宋_GB2312"/>
          <w:b/>
          <w:color w:val="auto"/>
          <w:sz w:val="48"/>
          <w:szCs w:val="48"/>
          <w:highlight w:val="none"/>
        </w:rPr>
        <w:t>（全流程电子化采购</w:t>
      </w:r>
      <w:r>
        <w:rPr>
          <w:rFonts w:hint="eastAsia" w:ascii="仿宋_GB2312" w:hAnsi="宋体" w:eastAsia="仿宋_GB2312"/>
          <w:b/>
          <w:color w:val="auto"/>
          <w:sz w:val="48"/>
          <w:szCs w:val="48"/>
          <w:highlight w:val="none"/>
          <w:lang w:eastAsia="zh-CN"/>
        </w:rPr>
        <w:t>－</w:t>
      </w:r>
      <w:r>
        <w:rPr>
          <w:rFonts w:hint="eastAsia" w:ascii="仿宋_GB2312" w:hAnsi="宋体" w:eastAsia="仿宋_GB2312"/>
          <w:b/>
          <w:color w:val="auto"/>
          <w:sz w:val="48"/>
          <w:szCs w:val="48"/>
          <w:highlight w:val="none"/>
        </w:rPr>
        <w:t>远程异地评标）</w:t>
      </w:r>
    </w:p>
    <w:p w14:paraId="5000AA7E">
      <w:pPr>
        <w:snapToGrid w:val="0"/>
        <w:spacing w:line="360" w:lineRule="auto"/>
        <w:rPr>
          <w:rFonts w:hint="eastAsia" w:ascii="仿宋_GB2312" w:hAnsi="宋体" w:eastAsia="仿宋_GB2312"/>
          <w:color w:val="auto"/>
          <w:sz w:val="30"/>
          <w:szCs w:val="72"/>
          <w:highlight w:val="none"/>
        </w:rPr>
      </w:pPr>
    </w:p>
    <w:p w14:paraId="27FCAC95">
      <w:pPr>
        <w:snapToGrid w:val="0"/>
        <w:spacing w:line="360" w:lineRule="auto"/>
        <w:ind w:firstLine="1145" w:firstLineChars="400"/>
        <w:rPr>
          <w:rFonts w:hint="eastAsia" w:ascii="仿宋_GB2312" w:hAnsi="宋体" w:eastAsia="仿宋_GB2312" w:cs="Courier New"/>
          <w:b/>
          <w:bCs/>
          <w:color w:val="auto"/>
          <w:w w:val="95"/>
          <w:sz w:val="30"/>
          <w:szCs w:val="30"/>
          <w:highlight w:val="none"/>
          <w:lang w:eastAsia="zh-CN"/>
        </w:rPr>
      </w:pPr>
      <w:r>
        <w:rPr>
          <w:rFonts w:hint="eastAsia" w:ascii="仿宋_GB2312" w:hAnsi="宋体" w:eastAsia="仿宋_GB2312" w:cs="Courier New"/>
          <w:b/>
          <w:bCs/>
          <w:color w:val="auto"/>
          <w:w w:val="95"/>
          <w:sz w:val="30"/>
          <w:szCs w:val="30"/>
          <w:highlight w:val="none"/>
        </w:rPr>
        <w:t>项目名称：</w:t>
      </w:r>
      <w:r>
        <w:rPr>
          <w:rFonts w:hint="eastAsia" w:ascii="仿宋_GB2312" w:hAnsi="宋体" w:eastAsia="仿宋_GB2312" w:cs="Courier New"/>
          <w:b/>
          <w:bCs/>
          <w:color w:val="auto"/>
          <w:w w:val="95"/>
          <w:sz w:val="30"/>
          <w:szCs w:val="30"/>
          <w:highlight w:val="none"/>
          <w:lang w:eastAsia="zh-CN"/>
        </w:rPr>
        <w:t>苍梧县中医医院整体提升项目妇产科、儿科、</w:t>
      </w:r>
    </w:p>
    <w:p w14:paraId="59FFC664">
      <w:pPr>
        <w:snapToGrid w:val="0"/>
        <w:spacing w:line="360" w:lineRule="auto"/>
        <w:ind w:firstLine="1145" w:firstLineChars="400"/>
        <w:rPr>
          <w:rFonts w:hint="eastAsia" w:ascii="仿宋_GB2312" w:hAnsi="宋体" w:eastAsia="仿宋_GB2312" w:cs="Courier New"/>
          <w:b/>
          <w:bCs/>
          <w:color w:val="auto"/>
          <w:w w:val="95"/>
          <w:sz w:val="30"/>
          <w:szCs w:val="30"/>
          <w:highlight w:val="none"/>
          <w:lang w:eastAsia="zh-CN"/>
        </w:rPr>
      </w:pPr>
      <w:r>
        <w:rPr>
          <w:rFonts w:hint="eastAsia" w:ascii="仿宋_GB2312" w:hAnsi="宋体" w:eastAsia="仿宋_GB2312" w:cs="Courier New"/>
          <w:b/>
          <w:bCs/>
          <w:color w:val="auto"/>
          <w:w w:val="95"/>
          <w:sz w:val="30"/>
          <w:szCs w:val="30"/>
          <w:highlight w:val="none"/>
          <w:lang w:eastAsia="zh-CN"/>
        </w:rPr>
        <w:t>预防保健科、皮肤病科等</w:t>
      </w:r>
      <w:r>
        <w:rPr>
          <w:rFonts w:hint="eastAsia" w:ascii="仿宋_GB2312" w:hAnsi="宋体" w:eastAsia="仿宋_GB2312" w:cs="Courier New"/>
          <w:b/>
          <w:bCs/>
          <w:color w:val="auto"/>
          <w:w w:val="95"/>
          <w:sz w:val="30"/>
          <w:szCs w:val="30"/>
          <w:highlight w:val="none"/>
          <w:lang w:val="en-US" w:eastAsia="zh-CN"/>
        </w:rPr>
        <w:t>科室</w:t>
      </w:r>
      <w:r>
        <w:rPr>
          <w:rFonts w:hint="eastAsia" w:ascii="仿宋_GB2312" w:hAnsi="宋体" w:eastAsia="仿宋_GB2312" w:cs="Courier New"/>
          <w:b/>
          <w:bCs/>
          <w:color w:val="auto"/>
          <w:w w:val="95"/>
          <w:sz w:val="30"/>
          <w:szCs w:val="30"/>
          <w:highlight w:val="none"/>
          <w:lang w:eastAsia="zh-CN"/>
        </w:rPr>
        <w:t>设备采购</w:t>
      </w:r>
    </w:p>
    <w:p w14:paraId="7D10362E">
      <w:pPr>
        <w:snapToGrid w:val="0"/>
        <w:spacing w:line="360" w:lineRule="auto"/>
        <w:ind w:firstLine="1145" w:firstLineChars="400"/>
        <w:rPr>
          <w:rFonts w:hint="eastAsia" w:ascii="仿宋_GB2312" w:hAnsi="宋体" w:eastAsia="仿宋_GB2312"/>
          <w:color w:val="auto"/>
          <w:sz w:val="30"/>
          <w:szCs w:val="72"/>
          <w:highlight w:val="none"/>
        </w:rPr>
      </w:pPr>
      <w:r>
        <w:rPr>
          <w:rFonts w:hint="eastAsia" w:ascii="仿宋_GB2312" w:hAnsi="宋体" w:eastAsia="仿宋_GB2312" w:cs="Courier New"/>
          <w:b/>
          <w:bCs/>
          <w:color w:val="auto"/>
          <w:w w:val="95"/>
          <w:sz w:val="30"/>
          <w:szCs w:val="30"/>
          <w:highlight w:val="none"/>
        </w:rPr>
        <w:t>项目编号：</w:t>
      </w:r>
      <w:r>
        <w:rPr>
          <w:rFonts w:hint="eastAsia" w:ascii="仿宋_GB2312" w:hAnsi="宋体" w:eastAsia="仿宋_GB2312" w:cs="Courier New"/>
          <w:b/>
          <w:bCs/>
          <w:color w:val="auto"/>
          <w:w w:val="95"/>
          <w:sz w:val="30"/>
          <w:szCs w:val="30"/>
          <w:highlight w:val="none"/>
          <w:lang w:eastAsia="zh-CN"/>
        </w:rPr>
        <w:t xml:space="preserve"> WZZC2025-G1-210170-YZLZ</w:t>
      </w:r>
      <w:r>
        <w:rPr>
          <w:rFonts w:hint="eastAsia" w:ascii="仿宋_GB2312" w:hAnsi="宋体" w:eastAsia="仿宋_GB2312"/>
          <w:b/>
          <w:color w:val="auto"/>
          <w:sz w:val="30"/>
          <w:szCs w:val="48"/>
          <w:highlight w:val="none"/>
        </w:rPr>
        <w:t xml:space="preserve"> </w:t>
      </w:r>
    </w:p>
    <w:p w14:paraId="4309B658">
      <w:pPr>
        <w:pStyle w:val="24"/>
        <w:snapToGrid w:val="0"/>
        <w:spacing w:line="360" w:lineRule="auto"/>
        <w:ind w:firstLine="1125" w:firstLineChars="393"/>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采 购 人：</w:t>
      </w:r>
      <w:r>
        <w:rPr>
          <w:rFonts w:hint="eastAsia" w:ascii="仿宋_GB2312" w:hAnsi="宋体" w:eastAsia="仿宋_GB2312"/>
          <w:b/>
          <w:bCs/>
          <w:color w:val="auto"/>
          <w:w w:val="95"/>
          <w:sz w:val="30"/>
          <w:szCs w:val="30"/>
          <w:highlight w:val="none"/>
          <w:lang w:eastAsia="zh-CN"/>
        </w:rPr>
        <w:t>苍梧县中医医院</w:t>
      </w:r>
    </w:p>
    <w:p w14:paraId="11DB3367">
      <w:pPr>
        <w:pStyle w:val="24"/>
        <w:snapToGrid w:val="0"/>
        <w:spacing w:line="360" w:lineRule="auto"/>
        <w:ind w:firstLine="1125" w:firstLineChars="393"/>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采购代理机构：云之龙咨询集团有限公司</w:t>
      </w:r>
    </w:p>
    <w:p w14:paraId="4765091D">
      <w:pPr>
        <w:pStyle w:val="24"/>
        <w:snapToGrid w:val="0"/>
        <w:spacing w:line="360" w:lineRule="auto"/>
        <w:ind w:firstLine="1125" w:firstLineChars="393"/>
        <w:rPr>
          <w:rFonts w:hint="eastAsia" w:ascii="仿宋_GB2312" w:hAnsi="宋体" w:eastAsia="仿宋_GB2312"/>
          <w:b/>
          <w:bCs/>
          <w:color w:val="auto"/>
          <w:w w:val="95"/>
          <w:sz w:val="30"/>
          <w:szCs w:val="30"/>
          <w:highlight w:val="none"/>
        </w:rPr>
      </w:pPr>
    </w:p>
    <w:p w14:paraId="4BE9CCC2">
      <w:pPr>
        <w:pStyle w:val="24"/>
        <w:snapToGrid w:val="0"/>
        <w:spacing w:line="360" w:lineRule="auto"/>
        <w:ind w:firstLine="841" w:firstLineChars="294"/>
        <w:rPr>
          <w:rFonts w:ascii="仿宋_GB2312" w:eastAsia="仿宋_GB2312"/>
          <w:color w:val="auto"/>
          <w:szCs w:val="20"/>
          <w:highlight w:val="none"/>
        </w:rPr>
      </w:pPr>
      <w:r>
        <w:rPr>
          <w:rFonts w:hint="eastAsia" w:ascii="仿宋_GB2312" w:hAnsi="宋体" w:eastAsia="仿宋_GB2312"/>
          <w:b/>
          <w:bCs/>
          <w:color w:val="auto"/>
          <w:w w:val="95"/>
          <w:sz w:val="30"/>
          <w:szCs w:val="30"/>
          <w:highlight w:val="none"/>
        </w:rPr>
        <w:t xml:space="preserve">               2025年</w:t>
      </w:r>
      <w:r>
        <w:rPr>
          <w:rFonts w:hint="eastAsia" w:ascii="仿宋_GB2312" w:hAnsi="宋体" w:eastAsia="仿宋_GB2312"/>
          <w:b/>
          <w:bCs/>
          <w:color w:val="auto"/>
          <w:w w:val="95"/>
          <w:sz w:val="30"/>
          <w:szCs w:val="30"/>
          <w:highlight w:val="none"/>
          <w:lang w:val="en-US" w:eastAsia="zh-CN"/>
        </w:rPr>
        <w:t>12</w:t>
      </w:r>
      <w:r>
        <w:rPr>
          <w:rFonts w:hint="eastAsia" w:ascii="仿宋_GB2312" w:hAnsi="宋体" w:eastAsia="仿宋_GB2312"/>
          <w:b/>
          <w:bCs/>
          <w:color w:val="auto"/>
          <w:w w:val="95"/>
          <w:sz w:val="30"/>
          <w:szCs w:val="30"/>
          <w:highlight w:val="none"/>
        </w:rPr>
        <w:t>月</w:t>
      </w:r>
      <w:r>
        <w:rPr>
          <w:rFonts w:hint="eastAsia" w:ascii="仿宋_GB2312" w:hAnsi="宋体" w:eastAsia="仿宋_GB2312"/>
          <w:b/>
          <w:bCs/>
          <w:color w:val="auto"/>
          <w:w w:val="95"/>
          <w:sz w:val="30"/>
          <w:szCs w:val="30"/>
          <w:highlight w:val="none"/>
          <w:lang w:val="en-US" w:eastAsia="zh-CN"/>
        </w:rPr>
        <w:t>5</w:t>
      </w:r>
      <w:r>
        <w:rPr>
          <w:rFonts w:hint="eastAsia" w:ascii="仿宋_GB2312" w:hAnsi="宋体" w:eastAsia="仿宋_GB2312"/>
          <w:b/>
          <w:bCs/>
          <w:color w:val="auto"/>
          <w:w w:val="95"/>
          <w:sz w:val="30"/>
          <w:szCs w:val="30"/>
          <w:highlight w:val="none"/>
        </w:rPr>
        <w:t>日</w:t>
      </w:r>
    </w:p>
    <w:p w14:paraId="233678AB">
      <w:pPr>
        <w:pStyle w:val="15"/>
        <w:ind w:firstLine="803"/>
        <w:jc w:val="center"/>
        <w:rPr>
          <w:rFonts w:hint="eastAsia" w:ascii="仿宋_GB2312" w:hAnsi="宋体" w:eastAsia="仿宋_GB2312"/>
          <w:color w:val="auto"/>
          <w:highlight w:val="none"/>
        </w:rPr>
      </w:pPr>
      <w:r>
        <w:rPr>
          <w:rFonts w:ascii="Arial" w:hAnsi="Arial" w:eastAsia="黑体"/>
          <w:bCs/>
          <w:color w:val="auto"/>
          <w:kern w:val="0"/>
          <w:sz w:val="32"/>
          <w:szCs w:val="32"/>
          <w:highlight w:val="none"/>
        </w:rPr>
        <w:br w:type="page"/>
      </w:r>
    </w:p>
    <w:p w14:paraId="3F6DEDE6">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570429F9">
      <w:pPr>
        <w:pStyle w:val="32"/>
        <w:rPr>
          <w:rFonts w:ascii="Calibri" w:hAnsi="Calibri"/>
          <w:b w:val="0"/>
          <w:bCs w:val="0"/>
          <w:caps w:val="0"/>
          <w:color w:val="auto"/>
          <w:sz w:val="21"/>
          <w:szCs w:val="22"/>
          <w:highlight w:val="none"/>
        </w:rPr>
      </w:pPr>
      <w:r>
        <w:rPr>
          <w:rFonts w:ascii="仿宋_GB2312" w:eastAsia="仿宋_GB2312"/>
          <w:b w:val="0"/>
          <w:color w:val="auto"/>
          <w:highlight w:val="none"/>
        </w:rPr>
        <w:fldChar w:fldCharType="begin"/>
      </w:r>
      <w:r>
        <w:rPr>
          <w:rFonts w:ascii="仿宋_GB2312" w:eastAsia="仿宋_GB2312"/>
          <w:b w:val="0"/>
          <w:color w:val="auto"/>
          <w:highlight w:val="none"/>
        </w:rPr>
        <w:instrText xml:space="preserve"> </w:instrText>
      </w:r>
      <w:r>
        <w:rPr>
          <w:rFonts w:hint="eastAsia" w:ascii="仿宋_GB2312" w:eastAsia="仿宋_GB2312"/>
          <w:b w:val="0"/>
          <w:color w:val="auto"/>
          <w:highlight w:val="none"/>
        </w:rPr>
        <w:instrText xml:space="preserve">TOC \o "1-2" \h \z \u</w:instrText>
      </w:r>
      <w:r>
        <w:rPr>
          <w:rFonts w:ascii="仿宋_GB2312" w:eastAsia="仿宋_GB2312"/>
          <w:b w:val="0"/>
          <w:color w:val="auto"/>
          <w:highlight w:val="none"/>
        </w:rPr>
        <w:instrText xml:space="preserve"> </w:instrText>
      </w:r>
      <w:r>
        <w:rPr>
          <w:rFonts w:ascii="仿宋_GB2312" w:eastAsia="仿宋_GB2312"/>
          <w:b w:val="0"/>
          <w:color w:val="auto"/>
          <w:highlight w:val="none"/>
        </w:rPr>
        <w:fldChar w:fldCharType="separate"/>
      </w:r>
      <w:r>
        <w:rPr>
          <w:color w:val="auto"/>
          <w:highlight w:val="none"/>
        </w:rPr>
        <w:fldChar w:fldCharType="begin"/>
      </w:r>
      <w:r>
        <w:rPr>
          <w:color w:val="auto"/>
          <w:highlight w:val="none"/>
        </w:rPr>
        <w:instrText xml:space="preserve"> HYPERLINK \l "_Toc74320800" </w:instrText>
      </w:r>
      <w:r>
        <w:rPr>
          <w:color w:val="auto"/>
          <w:highlight w:val="none"/>
        </w:rPr>
        <w:fldChar w:fldCharType="separate"/>
      </w:r>
      <w:r>
        <w:rPr>
          <w:rStyle w:val="53"/>
          <w:rFonts w:hint="eastAsia"/>
          <w:color w:val="auto"/>
          <w:highlight w:val="none"/>
        </w:rPr>
        <w:t>第一章</w:t>
      </w:r>
      <w:r>
        <w:rPr>
          <w:rStyle w:val="53"/>
          <w:color w:val="auto"/>
          <w:highlight w:val="none"/>
        </w:rPr>
        <w:t xml:space="preserve"> </w:t>
      </w:r>
      <w:r>
        <w:rPr>
          <w:rStyle w:val="53"/>
          <w:rFonts w:hint="eastAsia"/>
          <w:color w:val="auto"/>
          <w:highlight w:val="none"/>
        </w:rPr>
        <w:t xml:space="preserve"> 招标公告</w:t>
      </w:r>
      <w:r>
        <w:rPr>
          <w:color w:val="auto"/>
          <w:highlight w:val="none"/>
        </w:rPr>
        <w:tab/>
      </w:r>
      <w:r>
        <w:rPr>
          <w:color w:val="auto"/>
          <w:highlight w:val="none"/>
        </w:rPr>
        <w:fldChar w:fldCharType="begin"/>
      </w:r>
      <w:r>
        <w:rPr>
          <w:color w:val="auto"/>
          <w:highlight w:val="none"/>
        </w:rPr>
        <w:instrText xml:space="preserve"> PAGEREF _Toc74320800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29FAA06B">
      <w:pPr>
        <w:pStyle w:val="32"/>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"_Toc74320801" </w:instrText>
      </w:r>
      <w:r>
        <w:rPr>
          <w:color w:val="auto"/>
          <w:highlight w:val="none"/>
        </w:rPr>
        <w:fldChar w:fldCharType="separate"/>
      </w:r>
      <w:r>
        <w:rPr>
          <w:rStyle w:val="53"/>
          <w:rFonts w:hint="eastAsia"/>
          <w:color w:val="auto"/>
          <w:highlight w:val="none"/>
        </w:rPr>
        <w:t>第二章</w:t>
      </w:r>
      <w:r>
        <w:rPr>
          <w:rStyle w:val="53"/>
          <w:color w:val="auto"/>
          <w:highlight w:val="none"/>
        </w:rPr>
        <w:t xml:space="preserve">  </w:t>
      </w:r>
      <w:r>
        <w:rPr>
          <w:rStyle w:val="53"/>
          <w:rFonts w:hint="eastAsia"/>
          <w:color w:val="auto"/>
          <w:highlight w:val="none"/>
        </w:rPr>
        <w:t>采购需求</w:t>
      </w:r>
      <w:bookmarkStart w:id="0" w:name="_Hlt167096761"/>
      <w:r>
        <w:rPr>
          <w:color w:val="auto"/>
          <w:highlight w:val="none"/>
        </w:rPr>
        <w:tab/>
      </w:r>
      <w:bookmarkEnd w:id="0"/>
      <w:r>
        <w:rPr>
          <w:color w:val="auto"/>
          <w:highlight w:val="none"/>
        </w:rPr>
        <w:fldChar w:fldCharType="begin"/>
      </w:r>
      <w:r>
        <w:rPr>
          <w:color w:val="auto"/>
          <w:highlight w:val="none"/>
        </w:rPr>
        <w:instrText xml:space="preserve"> PAGEREF _Toc74320801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65905EEE">
      <w:pPr>
        <w:pStyle w:val="32"/>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"_Toc74320802" </w:instrText>
      </w:r>
      <w:r>
        <w:rPr>
          <w:color w:val="auto"/>
          <w:highlight w:val="none"/>
        </w:rPr>
        <w:fldChar w:fldCharType="separate"/>
      </w:r>
      <w:r>
        <w:rPr>
          <w:rStyle w:val="53"/>
          <w:rFonts w:hint="eastAsia"/>
          <w:color w:val="auto"/>
          <w:highlight w:val="none"/>
        </w:rPr>
        <w:t>第三章</w:t>
      </w:r>
      <w:r>
        <w:rPr>
          <w:rStyle w:val="53"/>
          <w:color w:val="auto"/>
          <w:highlight w:val="none"/>
        </w:rPr>
        <w:t xml:space="preserve">  </w:t>
      </w:r>
      <w:r>
        <w:rPr>
          <w:rStyle w:val="53"/>
          <w:rFonts w:hint="eastAsia"/>
          <w:color w:val="auto"/>
          <w:highlight w:val="none"/>
        </w:rPr>
        <w:t>投标人须</w:t>
      </w:r>
      <w:bookmarkStart w:id="1" w:name="_Hlt79572745"/>
      <w:bookmarkStart w:id="2" w:name="_Hlt79572744"/>
      <w:r>
        <w:rPr>
          <w:rStyle w:val="53"/>
          <w:rFonts w:hint="eastAsia"/>
          <w:color w:val="auto"/>
          <w:highlight w:val="none"/>
        </w:rPr>
        <w:t>知</w:t>
      </w:r>
      <w:bookmarkEnd w:id="1"/>
      <w:bookmarkEnd w:id="2"/>
      <w:r>
        <w:rPr>
          <w:color w:val="auto"/>
          <w:highlight w:val="none"/>
        </w:rPr>
        <w:tab/>
      </w:r>
      <w:r>
        <w:rPr>
          <w:color w:val="auto"/>
          <w:highlight w:val="none"/>
        </w:rPr>
        <w:fldChar w:fldCharType="begin"/>
      </w:r>
      <w:r>
        <w:rPr>
          <w:color w:val="auto"/>
          <w:highlight w:val="none"/>
        </w:rPr>
        <w:instrText xml:space="preserve"> PAGEREF _Toc74320802 \h </w:instrText>
      </w:r>
      <w:r>
        <w:rPr>
          <w:color w:val="auto"/>
          <w:highlight w:val="none"/>
        </w:rPr>
        <w:fldChar w:fldCharType="separate"/>
      </w:r>
      <w:r>
        <w:rPr>
          <w:color w:val="auto"/>
          <w:highlight w:val="none"/>
        </w:rPr>
        <w:t>174</w:t>
      </w:r>
      <w:r>
        <w:rPr>
          <w:color w:val="auto"/>
          <w:highlight w:val="none"/>
        </w:rPr>
        <w:fldChar w:fldCharType="end"/>
      </w:r>
      <w:r>
        <w:rPr>
          <w:color w:val="auto"/>
          <w:highlight w:val="none"/>
        </w:rPr>
        <w:fldChar w:fldCharType="end"/>
      </w:r>
    </w:p>
    <w:p w14:paraId="2570891A">
      <w:pPr>
        <w:pStyle w:val="32"/>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"_Toc74320803" </w:instrText>
      </w:r>
      <w:r>
        <w:rPr>
          <w:color w:val="auto"/>
          <w:highlight w:val="none"/>
        </w:rPr>
        <w:fldChar w:fldCharType="separate"/>
      </w:r>
      <w:r>
        <w:rPr>
          <w:rStyle w:val="53"/>
          <w:rFonts w:hint="eastAsia"/>
          <w:color w:val="auto"/>
          <w:highlight w:val="none"/>
        </w:rPr>
        <w:t>第四章</w:t>
      </w:r>
      <w:r>
        <w:rPr>
          <w:rStyle w:val="53"/>
          <w:color w:val="auto"/>
          <w:highlight w:val="none"/>
        </w:rPr>
        <w:t xml:space="preserve">  </w:t>
      </w:r>
      <w:r>
        <w:rPr>
          <w:rStyle w:val="53"/>
          <w:rFonts w:hint="eastAsia"/>
          <w:color w:val="auto"/>
          <w:highlight w:val="none"/>
        </w:rPr>
        <w:t>评标方</w:t>
      </w:r>
      <w:bookmarkStart w:id="3" w:name="_Hlt82186274"/>
      <w:bookmarkStart w:id="4" w:name="_Hlt82186273"/>
      <w:r>
        <w:rPr>
          <w:rStyle w:val="53"/>
          <w:rFonts w:hint="eastAsia"/>
          <w:color w:val="auto"/>
          <w:highlight w:val="none"/>
        </w:rPr>
        <w:t>法</w:t>
      </w:r>
      <w:bookmarkEnd w:id="3"/>
      <w:bookmarkEnd w:id="4"/>
      <w:r>
        <w:rPr>
          <w:rStyle w:val="53"/>
          <w:rFonts w:hint="eastAsia"/>
          <w:color w:val="auto"/>
          <w:highlight w:val="none"/>
        </w:rPr>
        <w:t>及</w:t>
      </w:r>
      <w:bookmarkStart w:id="5" w:name="_Hlt167097159"/>
      <w:bookmarkStart w:id="6" w:name="_Hlt167097184"/>
      <w:r>
        <w:rPr>
          <w:rStyle w:val="53"/>
          <w:rFonts w:hint="eastAsia"/>
          <w:color w:val="auto"/>
          <w:highlight w:val="none"/>
        </w:rPr>
        <w:t>评</w:t>
      </w:r>
      <w:bookmarkEnd w:id="5"/>
      <w:bookmarkEnd w:id="6"/>
      <w:bookmarkStart w:id="7" w:name="_Hlt167096376"/>
      <w:bookmarkStart w:id="8" w:name="_Hlt167096377"/>
      <w:r>
        <w:rPr>
          <w:rStyle w:val="53"/>
          <w:rFonts w:hint="eastAsia"/>
          <w:color w:val="auto"/>
          <w:highlight w:val="none"/>
        </w:rPr>
        <w:t>标</w:t>
      </w:r>
      <w:bookmarkEnd w:id="7"/>
      <w:bookmarkEnd w:id="8"/>
      <w:r>
        <w:rPr>
          <w:rStyle w:val="53"/>
          <w:rFonts w:hint="eastAsia"/>
          <w:color w:val="auto"/>
          <w:highlight w:val="none"/>
        </w:rPr>
        <w:t>标准</w:t>
      </w:r>
      <w:r>
        <w:rPr>
          <w:color w:val="auto"/>
          <w:highlight w:val="none"/>
        </w:rPr>
        <w:tab/>
      </w:r>
      <w:r>
        <w:rPr>
          <w:color w:val="auto"/>
          <w:highlight w:val="none"/>
        </w:rPr>
        <w:fldChar w:fldCharType="begin"/>
      </w:r>
      <w:r>
        <w:rPr>
          <w:color w:val="auto"/>
          <w:highlight w:val="none"/>
        </w:rPr>
        <w:instrText xml:space="preserve"> PAGEREF _Toc74320803 \h </w:instrText>
      </w:r>
      <w:r>
        <w:rPr>
          <w:color w:val="auto"/>
          <w:highlight w:val="none"/>
        </w:rPr>
        <w:fldChar w:fldCharType="separate"/>
      </w:r>
      <w:r>
        <w:rPr>
          <w:color w:val="auto"/>
          <w:highlight w:val="none"/>
        </w:rPr>
        <w:t>197</w:t>
      </w:r>
      <w:r>
        <w:rPr>
          <w:color w:val="auto"/>
          <w:highlight w:val="none"/>
        </w:rPr>
        <w:fldChar w:fldCharType="end"/>
      </w:r>
      <w:r>
        <w:rPr>
          <w:color w:val="auto"/>
          <w:highlight w:val="none"/>
        </w:rPr>
        <w:fldChar w:fldCharType="end"/>
      </w:r>
    </w:p>
    <w:p w14:paraId="0616D36E">
      <w:pPr>
        <w:pStyle w:val="32"/>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"_Toc74320804" </w:instrText>
      </w:r>
      <w:r>
        <w:rPr>
          <w:color w:val="auto"/>
          <w:highlight w:val="none"/>
        </w:rPr>
        <w:fldChar w:fldCharType="separate"/>
      </w:r>
      <w:r>
        <w:rPr>
          <w:rStyle w:val="53"/>
          <w:rFonts w:hint="eastAsia"/>
          <w:color w:val="auto"/>
          <w:highlight w:val="none"/>
        </w:rPr>
        <w:t>第五章</w:t>
      </w:r>
      <w:r>
        <w:rPr>
          <w:rStyle w:val="53"/>
          <w:color w:val="auto"/>
          <w:highlight w:val="none"/>
        </w:rPr>
        <w:t xml:space="preserve">  </w:t>
      </w:r>
      <w:r>
        <w:rPr>
          <w:rStyle w:val="53"/>
          <w:rFonts w:hint="eastAsia"/>
          <w:color w:val="auto"/>
          <w:highlight w:val="none"/>
        </w:rPr>
        <w:t>拟签订的合同文本</w:t>
      </w:r>
      <w:r>
        <w:rPr>
          <w:color w:val="auto"/>
          <w:highlight w:val="none"/>
        </w:rPr>
        <w:tab/>
      </w:r>
      <w:r>
        <w:rPr>
          <w:color w:val="auto"/>
          <w:highlight w:val="none"/>
        </w:rPr>
        <w:fldChar w:fldCharType="begin"/>
      </w:r>
      <w:r>
        <w:rPr>
          <w:color w:val="auto"/>
          <w:highlight w:val="none"/>
        </w:rPr>
        <w:instrText xml:space="preserve"> PAGEREF _Toc74320804 \h </w:instrText>
      </w:r>
      <w:r>
        <w:rPr>
          <w:color w:val="auto"/>
          <w:highlight w:val="none"/>
        </w:rPr>
        <w:fldChar w:fldCharType="separate"/>
      </w:r>
      <w:r>
        <w:rPr>
          <w:color w:val="auto"/>
          <w:highlight w:val="none"/>
        </w:rPr>
        <w:t>208</w:t>
      </w:r>
      <w:r>
        <w:rPr>
          <w:color w:val="auto"/>
          <w:highlight w:val="none"/>
        </w:rPr>
        <w:fldChar w:fldCharType="end"/>
      </w:r>
      <w:r>
        <w:rPr>
          <w:color w:val="auto"/>
          <w:highlight w:val="none"/>
        </w:rPr>
        <w:fldChar w:fldCharType="end"/>
      </w:r>
    </w:p>
    <w:p w14:paraId="2138E899">
      <w:pPr>
        <w:pStyle w:val="32"/>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"_Toc74320805" </w:instrText>
      </w:r>
      <w:r>
        <w:rPr>
          <w:color w:val="auto"/>
          <w:highlight w:val="none"/>
        </w:rPr>
        <w:fldChar w:fldCharType="separate"/>
      </w:r>
      <w:r>
        <w:rPr>
          <w:rStyle w:val="53"/>
          <w:rFonts w:hint="eastAsia"/>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_Toc74320805 \h </w:instrText>
      </w:r>
      <w:r>
        <w:rPr>
          <w:color w:val="auto"/>
          <w:highlight w:val="none"/>
        </w:rPr>
        <w:fldChar w:fldCharType="separate"/>
      </w:r>
      <w:r>
        <w:rPr>
          <w:color w:val="auto"/>
          <w:highlight w:val="none"/>
        </w:rPr>
        <w:t>216</w:t>
      </w:r>
      <w:r>
        <w:rPr>
          <w:color w:val="auto"/>
          <w:highlight w:val="none"/>
        </w:rPr>
        <w:fldChar w:fldCharType="end"/>
      </w:r>
      <w:r>
        <w:rPr>
          <w:color w:val="auto"/>
          <w:highlight w:val="none"/>
        </w:rPr>
        <w:fldChar w:fldCharType="end"/>
      </w:r>
    </w:p>
    <w:p w14:paraId="176FCE02">
      <w:pPr>
        <w:spacing w:before="120" w:beforeLines="50" w:line="480" w:lineRule="exact"/>
        <w:rPr>
          <w:rFonts w:hint="eastAsia" w:ascii="仿宋_GB2312" w:hAnsi="宋体" w:eastAsia="仿宋_GB2312"/>
          <w:color w:val="auto"/>
          <w:sz w:val="24"/>
          <w:highlight w:val="none"/>
        </w:rPr>
      </w:pPr>
      <w:r>
        <w:rPr>
          <w:rFonts w:ascii="仿宋_GB2312" w:hAnsi="宋体" w:eastAsia="仿宋_GB2312"/>
          <w:b/>
          <w:color w:val="auto"/>
          <w:sz w:val="24"/>
          <w:highlight w:val="none"/>
        </w:rPr>
        <w:fldChar w:fldCharType="end"/>
      </w:r>
    </w:p>
    <w:p w14:paraId="344C6B74">
      <w:pPr>
        <w:spacing w:before="120" w:beforeLines="50" w:line="480" w:lineRule="exact"/>
        <w:rPr>
          <w:rFonts w:hint="eastAsia" w:ascii="仿宋_GB2312" w:hAnsi="宋体" w:eastAsia="仿宋_GB2312"/>
          <w:color w:val="auto"/>
          <w:sz w:val="30"/>
          <w:highlight w:val="none"/>
        </w:rPr>
      </w:pPr>
    </w:p>
    <w:p w14:paraId="4560DF0B">
      <w:pPr>
        <w:rPr>
          <w:color w:val="auto"/>
          <w:highlight w:val="none"/>
        </w:rPr>
      </w:pPr>
    </w:p>
    <w:p w14:paraId="3F6A6883">
      <w:pPr>
        <w:spacing w:before="120" w:beforeLines="50" w:line="480" w:lineRule="exact"/>
        <w:rPr>
          <w:rFonts w:hint="eastAsia" w:ascii="仿宋_GB2312" w:hAnsi="宋体" w:eastAsia="仿宋_GB2312"/>
          <w:color w:val="auto"/>
          <w:sz w:val="30"/>
          <w:highlight w:val="none"/>
        </w:rPr>
      </w:pPr>
    </w:p>
    <w:p w14:paraId="1C6BCC15">
      <w:pPr>
        <w:spacing w:before="120" w:beforeLines="50" w:line="480" w:lineRule="exact"/>
        <w:rPr>
          <w:rFonts w:hint="eastAsia" w:ascii="仿宋_GB2312" w:hAnsi="宋体" w:eastAsia="仿宋_GB2312"/>
          <w:color w:val="auto"/>
          <w:sz w:val="30"/>
          <w:highlight w:val="none"/>
        </w:rPr>
      </w:pPr>
    </w:p>
    <w:p w14:paraId="26881FAD">
      <w:pPr>
        <w:pStyle w:val="15"/>
        <w:rPr>
          <w:rFonts w:hint="eastAsia" w:ascii="宋体" w:hAnsi="宋体" w:cs="宋体"/>
          <w:b/>
          <w:bCs/>
          <w:color w:val="auto"/>
          <w:highlight w:val="none"/>
        </w:rPr>
      </w:pPr>
      <w:bookmarkStart w:id="9" w:name="_Toc254970630"/>
      <w:bookmarkStart w:id="10" w:name="_Toc254970489"/>
    </w:p>
    <w:p w14:paraId="4D0F80C3">
      <w:pPr>
        <w:pStyle w:val="2"/>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pPr>
      <w:r>
        <w:rPr>
          <w:rFonts w:ascii="宋体" w:hAnsi="宋体" w:cs="宋体"/>
          <w:b w:val="0"/>
          <w:bCs w:val="0"/>
          <w:color w:val="auto"/>
          <w:highlight w:val="none"/>
        </w:rPr>
        <w:br w:type="page"/>
      </w:r>
      <w:bookmarkStart w:id="11" w:name="_Toc74320800"/>
      <w:r>
        <w:rPr>
          <w:rFonts w:hint="eastAsia"/>
          <w:color w:val="auto"/>
          <w:highlight w:val="none"/>
        </w:rPr>
        <w:t>第一章</w:t>
      </w:r>
      <w:bookmarkEnd w:id="9"/>
      <w:bookmarkEnd w:id="10"/>
      <w:bookmarkStart w:id="12" w:name="_Toc28359001"/>
      <w:bookmarkStart w:id="13" w:name="_Toc35393789"/>
      <w:r>
        <w:rPr>
          <w:rFonts w:hint="eastAsia"/>
          <w:color w:val="auto"/>
          <w:highlight w:val="none"/>
        </w:rPr>
        <w:t xml:space="preserve"> 招标公告</w:t>
      </w:r>
      <w:bookmarkEnd w:id="11"/>
      <w:bookmarkEnd w:id="12"/>
      <w:bookmarkEnd w:id="13"/>
      <w:r>
        <w:rPr>
          <w:rFonts w:hint="eastAsia"/>
          <w:color w:val="auto"/>
          <w:highlight w:val="none"/>
        </w:rPr>
        <w:t>（远程异地评标）</w:t>
      </w:r>
    </w:p>
    <w:p w14:paraId="3C687C72">
      <w:pPr>
        <w:spacing w:line="360" w:lineRule="auto"/>
        <w:rPr>
          <w:rFonts w:hint="eastAsia" w:ascii="宋体" w:hAnsi="宋体"/>
          <w:color w:val="auto"/>
          <w:szCs w:val="21"/>
          <w:highlight w:val="none"/>
        </w:rPr>
      </w:pPr>
    </w:p>
    <w:p w14:paraId="16DF4FE5">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项目概况</w:t>
      </w:r>
    </w:p>
    <w:p w14:paraId="5546FCE1">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lang w:eastAsia="zh-CN"/>
        </w:rPr>
        <w:t>苍梧县中医医院整体提升项目妇产科、儿科、预防保健科、皮肤病科等科室设备采购</w:t>
      </w:r>
      <w:r>
        <w:rPr>
          <w:rFonts w:hint="eastAsia" w:ascii="宋体" w:hAnsi="宋体"/>
          <w:color w:val="auto"/>
          <w:szCs w:val="21"/>
          <w:highlight w:val="none"/>
        </w:rPr>
        <w:t>招标项目的潜在投标人应在广西政府采购云平台（</w:t>
      </w:r>
      <w:r>
        <w:rPr>
          <w:rFonts w:hint="eastAsia" w:ascii="宋体" w:hAnsi="宋体"/>
          <w:bCs/>
          <w:color w:val="auto"/>
          <w:szCs w:val="21"/>
          <w:highlight w:val="none"/>
        </w:rPr>
        <w:t>https</w:t>
      </w:r>
      <w:r>
        <w:rPr>
          <w:rFonts w:hint="eastAsia" w:ascii="宋体" w:hAnsi="宋体"/>
          <w:bCs/>
          <w:color w:val="auto"/>
          <w:szCs w:val="21"/>
          <w:highlight w:val="none"/>
          <w:lang w:eastAsia="zh-CN"/>
        </w:rPr>
        <w:t>:</w:t>
      </w:r>
      <w:r>
        <w:rPr>
          <w:rFonts w:hint="eastAsia" w:ascii="宋体" w:hAnsi="宋体"/>
          <w:bCs/>
          <w:color w:val="auto"/>
          <w:szCs w:val="21"/>
          <w:highlight w:val="none"/>
        </w:rPr>
        <w:t>//www.gcy.zfcg.gxzf.gov.cn/</w:t>
      </w:r>
      <w:r>
        <w:rPr>
          <w:rFonts w:hint="eastAsia" w:ascii="宋体" w:hAnsi="宋体"/>
          <w:color w:val="auto"/>
          <w:szCs w:val="21"/>
          <w:highlight w:val="none"/>
        </w:rPr>
        <w:t>）获取（下载）招标文件，并于</w:t>
      </w:r>
      <w:r>
        <w:rPr>
          <w:rFonts w:hint="eastAsia" w:ascii="宋体" w:hAnsi="宋体"/>
          <w:color w:val="auto"/>
          <w:szCs w:val="21"/>
          <w:highlight w:val="none"/>
          <w:u w:val="single"/>
        </w:rPr>
        <w:t>2025年</w:t>
      </w:r>
      <w:r>
        <w:rPr>
          <w:rFonts w:hint="eastAsia" w:ascii="宋体" w:hAnsi="宋体"/>
          <w:color w:val="auto"/>
          <w:szCs w:val="21"/>
          <w:highlight w:val="none"/>
          <w:u w:val="single"/>
          <w:lang w:val="en-US" w:eastAsia="zh-CN"/>
        </w:rPr>
        <w:t>12</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26</w:t>
      </w:r>
      <w:r>
        <w:rPr>
          <w:rFonts w:hint="eastAsia" w:ascii="宋体" w:hAnsi="宋体"/>
          <w:color w:val="auto"/>
          <w:szCs w:val="21"/>
          <w:highlight w:val="none"/>
          <w:u w:val="single"/>
        </w:rPr>
        <w:t>日</w:t>
      </w:r>
      <w:r>
        <w:rPr>
          <w:rFonts w:hint="eastAsia" w:ascii="宋体" w:hAnsi="宋体"/>
          <w:bCs/>
          <w:color w:val="auto"/>
          <w:szCs w:val="21"/>
          <w:highlight w:val="none"/>
          <w:u w:val="single"/>
        </w:rPr>
        <w:t>09时30分（</w:t>
      </w:r>
      <w:r>
        <w:rPr>
          <w:rFonts w:hint="eastAsia" w:ascii="宋体" w:hAnsi="宋体"/>
          <w:bCs/>
          <w:color w:val="auto"/>
          <w:szCs w:val="21"/>
          <w:highlight w:val="none"/>
        </w:rPr>
        <w:t>北京时间）前按要求递交（上传）投标</w:t>
      </w:r>
      <w:r>
        <w:rPr>
          <w:rFonts w:ascii="宋体" w:hAnsi="宋体"/>
          <w:bCs/>
          <w:color w:val="auto"/>
          <w:szCs w:val="21"/>
          <w:highlight w:val="none"/>
        </w:rPr>
        <w:t>文件</w:t>
      </w:r>
      <w:r>
        <w:rPr>
          <w:rFonts w:hint="eastAsia" w:ascii="宋体" w:hAnsi="宋体"/>
          <w:color w:val="auto"/>
          <w:szCs w:val="21"/>
          <w:highlight w:val="none"/>
        </w:rPr>
        <w:t>。</w:t>
      </w:r>
    </w:p>
    <w:p w14:paraId="1C5E1A5B">
      <w:pPr>
        <w:spacing w:line="360" w:lineRule="auto"/>
        <w:rPr>
          <w:rFonts w:hint="eastAsia" w:ascii="宋体" w:hAnsi="宋体"/>
          <w:color w:val="auto"/>
          <w:szCs w:val="21"/>
          <w:highlight w:val="none"/>
        </w:rPr>
      </w:pPr>
    </w:p>
    <w:p w14:paraId="7661DA61">
      <w:pPr>
        <w:spacing w:line="360" w:lineRule="auto"/>
        <w:rPr>
          <w:rFonts w:hint="eastAsia" w:ascii="黑体" w:hAnsi="黑体" w:eastAsia="黑体"/>
          <w:b/>
          <w:bCs/>
          <w:color w:val="auto"/>
          <w:sz w:val="24"/>
          <w:highlight w:val="none"/>
        </w:rPr>
      </w:pPr>
      <w:bookmarkStart w:id="14" w:name="_Toc28359079"/>
      <w:bookmarkStart w:id="15" w:name="_Toc28359002"/>
      <w:bookmarkStart w:id="16" w:name="_Toc35393621"/>
      <w:bookmarkStart w:id="17" w:name="_Toc35393790"/>
      <w:bookmarkStart w:id="18" w:name="_Hlk24379207"/>
      <w:r>
        <w:rPr>
          <w:rFonts w:hint="eastAsia" w:ascii="黑体" w:hAnsi="黑体" w:eastAsia="黑体"/>
          <w:b/>
          <w:bCs/>
          <w:color w:val="auto"/>
          <w:sz w:val="24"/>
          <w:highlight w:val="none"/>
        </w:rPr>
        <w:t>一、项目基本情况</w:t>
      </w:r>
      <w:bookmarkEnd w:id="14"/>
      <w:bookmarkEnd w:id="15"/>
      <w:bookmarkEnd w:id="16"/>
      <w:bookmarkEnd w:id="17"/>
    </w:p>
    <w:p w14:paraId="62FC7B39">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 xml:space="preserve"> WZZC2025-G1-210170-YZLZ</w:t>
      </w:r>
    </w:p>
    <w:p w14:paraId="1D7F527B">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苍梧县中医医院整体提升项目妇产科、儿科、预防保健科、皮肤病科等科室设备采购</w:t>
      </w:r>
    </w:p>
    <w:bookmarkEnd w:id="18"/>
    <w:p w14:paraId="248D7A0F">
      <w:pPr>
        <w:spacing w:line="360" w:lineRule="auto"/>
        <w:ind w:firstLine="420" w:firstLineChars="200"/>
        <w:rPr>
          <w:rFonts w:hint="eastAsia" w:ascii="宋体" w:hAnsi="宋体" w:eastAsia="宋体"/>
          <w:color w:val="auto"/>
          <w:szCs w:val="21"/>
          <w:highlight w:val="none"/>
          <w:u w:val="single"/>
          <w:lang w:eastAsia="zh-CN"/>
        </w:rPr>
      </w:pPr>
      <w:r>
        <w:rPr>
          <w:rFonts w:hint="eastAsia"/>
          <w:color w:val="auto"/>
          <w:highlight w:val="none"/>
        </w:rPr>
        <w:t>预算总金额（元）</w:t>
      </w:r>
      <w:r>
        <w:rPr>
          <w:rFonts w:hint="eastAsia" w:ascii="宋体" w:hAnsi="宋体"/>
          <w:color w:val="auto"/>
          <w:szCs w:val="21"/>
          <w:highlight w:val="none"/>
        </w:rPr>
        <w:t>：</w:t>
      </w:r>
      <w:r>
        <w:rPr>
          <w:rFonts w:hint="eastAsia" w:ascii="宋体" w:hAnsi="宋体"/>
          <w:color w:val="auto"/>
          <w:szCs w:val="21"/>
          <w:highlight w:val="none"/>
          <w:lang w:eastAsia="zh-CN"/>
        </w:rPr>
        <w:t>11743340.00</w:t>
      </w:r>
    </w:p>
    <w:p w14:paraId="435516AB">
      <w:pPr>
        <w:spacing w:line="360" w:lineRule="auto"/>
        <w:ind w:firstLine="420" w:firstLineChars="200"/>
        <w:rPr>
          <w:rFonts w:hint="default" w:ascii="宋体" w:hAnsi="宋体"/>
          <w:color w:val="auto"/>
          <w:szCs w:val="21"/>
          <w:highlight w:val="none"/>
          <w:lang w:val="en-US"/>
        </w:rPr>
      </w:pPr>
      <w:r>
        <w:rPr>
          <w:rFonts w:hint="eastAsia" w:ascii="宋体" w:hAnsi="宋体"/>
          <w:color w:val="auto"/>
          <w:szCs w:val="21"/>
          <w:highlight w:val="none"/>
        </w:rPr>
        <w:t>最高限价（如有）：</w:t>
      </w:r>
      <w:r>
        <w:rPr>
          <w:rFonts w:hint="eastAsia" w:ascii="宋体" w:hAnsi="宋体"/>
          <w:color w:val="auto"/>
          <w:szCs w:val="21"/>
          <w:highlight w:val="none"/>
          <w:lang w:eastAsia="zh-CN"/>
        </w:rPr>
        <w:t>11743340.00</w:t>
      </w:r>
      <w:r>
        <w:rPr>
          <w:rFonts w:hint="eastAsia" w:ascii="宋体" w:hAnsi="宋体"/>
          <w:color w:val="auto"/>
          <w:szCs w:val="21"/>
          <w:highlight w:val="none"/>
          <w:lang w:val="en-US" w:eastAsia="zh-CN"/>
        </w:rPr>
        <w:t>元</w:t>
      </w:r>
    </w:p>
    <w:p w14:paraId="4440BF7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采购需求：</w:t>
      </w:r>
      <w:r>
        <w:rPr>
          <w:rFonts w:ascii="宋体" w:hAnsi="宋体"/>
          <w:color w:val="auto"/>
          <w:szCs w:val="21"/>
          <w:highlight w:val="none"/>
        </w:rPr>
        <w:t xml:space="preserve"> </w:t>
      </w:r>
    </w:p>
    <w:tbl>
      <w:tblPr>
        <w:tblStyle w:val="46"/>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052"/>
        <w:gridCol w:w="1342"/>
        <w:gridCol w:w="4686"/>
      </w:tblGrid>
      <w:tr w14:paraId="6D5D53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vAlign w:val="center"/>
          </w:tcPr>
          <w:p w14:paraId="23652D14">
            <w:pPr>
              <w:spacing w:line="360" w:lineRule="auto"/>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u w:val="single"/>
              </w:rPr>
              <w:t xml:space="preserve">1 </w:t>
            </w:r>
            <w:r>
              <w:rPr>
                <w:rFonts w:hint="eastAsia" w:asciiTheme="minorEastAsia" w:hAnsiTheme="minorEastAsia" w:eastAsiaTheme="minorEastAsia" w:cstheme="minorEastAsia"/>
                <w:color w:val="auto"/>
                <w:szCs w:val="21"/>
                <w:highlight w:val="none"/>
              </w:rPr>
              <w:t>分标；预算金额（元）：</w:t>
            </w:r>
            <w:r>
              <w:rPr>
                <w:rFonts w:hint="eastAsia" w:asciiTheme="minorEastAsia" w:hAnsiTheme="minorEastAsia" w:eastAsiaTheme="minorEastAsia" w:cstheme="minorEastAsia"/>
                <w:color w:val="auto"/>
                <w:szCs w:val="21"/>
                <w:highlight w:val="none"/>
                <w:lang w:val="en-US" w:eastAsia="zh-CN"/>
              </w:rPr>
              <w:t>4314200.00，最高限价：同预算金额</w:t>
            </w:r>
          </w:p>
        </w:tc>
      </w:tr>
      <w:tr w14:paraId="7357D8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C37B39C">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2052" w:type="dxa"/>
            <w:tcBorders>
              <w:top w:val="single" w:color="auto" w:sz="4" w:space="0"/>
              <w:left w:val="single" w:color="auto" w:sz="4" w:space="0"/>
              <w:bottom w:val="single" w:color="auto" w:sz="4" w:space="0"/>
              <w:right w:val="single" w:color="auto" w:sz="4" w:space="0"/>
            </w:tcBorders>
            <w:vAlign w:val="center"/>
          </w:tcPr>
          <w:p w14:paraId="1391D172">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标的的名称</w:t>
            </w:r>
          </w:p>
        </w:tc>
        <w:tc>
          <w:tcPr>
            <w:tcW w:w="1342" w:type="dxa"/>
            <w:tcBorders>
              <w:top w:val="single" w:color="auto" w:sz="4" w:space="0"/>
              <w:left w:val="single" w:color="auto" w:sz="4" w:space="0"/>
              <w:bottom w:val="single" w:color="auto" w:sz="4" w:space="0"/>
              <w:right w:val="single" w:color="auto" w:sz="4" w:space="0"/>
            </w:tcBorders>
            <w:vAlign w:val="center"/>
          </w:tcPr>
          <w:p w14:paraId="4FAE168D">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数量及单位</w:t>
            </w:r>
          </w:p>
        </w:tc>
        <w:tc>
          <w:tcPr>
            <w:tcW w:w="4686" w:type="dxa"/>
            <w:tcBorders>
              <w:top w:val="single" w:color="auto" w:sz="4" w:space="0"/>
              <w:left w:val="single" w:color="auto" w:sz="4" w:space="0"/>
              <w:bottom w:val="single" w:color="auto" w:sz="4" w:space="0"/>
              <w:right w:val="single" w:color="auto" w:sz="4" w:space="0"/>
            </w:tcBorders>
            <w:vAlign w:val="center"/>
          </w:tcPr>
          <w:p w14:paraId="450B1838">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简要技术需求或者服务要求</w:t>
            </w:r>
          </w:p>
        </w:tc>
      </w:tr>
      <w:tr w14:paraId="111A8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950110C">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052" w:type="dxa"/>
            <w:tcBorders>
              <w:top w:val="single" w:color="auto" w:sz="4" w:space="0"/>
              <w:left w:val="single" w:color="auto" w:sz="4" w:space="0"/>
              <w:bottom w:val="single" w:color="auto" w:sz="4" w:space="0"/>
              <w:right w:val="single" w:color="auto" w:sz="4" w:space="0"/>
            </w:tcBorders>
            <w:vAlign w:val="center"/>
          </w:tcPr>
          <w:p w14:paraId="7B706D8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妇科检查床（电动手术台）</w:t>
            </w:r>
          </w:p>
        </w:tc>
        <w:tc>
          <w:tcPr>
            <w:tcW w:w="1342" w:type="dxa"/>
            <w:tcBorders>
              <w:top w:val="single" w:color="auto" w:sz="4" w:space="0"/>
              <w:left w:val="single" w:color="auto" w:sz="4" w:space="0"/>
              <w:bottom w:val="single" w:color="auto" w:sz="4" w:space="0"/>
              <w:right w:val="single" w:color="auto" w:sz="4" w:space="0"/>
            </w:tcBorders>
            <w:vAlign w:val="center"/>
          </w:tcPr>
          <w:p w14:paraId="4128D563">
            <w:pPr>
              <w:spacing w:line="360" w:lineRule="auto"/>
              <w:jc w:val="center"/>
              <w:rPr>
                <w:rFonts w:hint="default" w:eastAsia="宋体" w:asciiTheme="minorEastAsia" w:hAnsi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3张</w:t>
            </w:r>
          </w:p>
        </w:tc>
        <w:tc>
          <w:tcPr>
            <w:tcW w:w="4686" w:type="dxa"/>
            <w:tcBorders>
              <w:top w:val="single" w:color="auto" w:sz="4" w:space="0"/>
              <w:left w:val="single" w:color="auto" w:sz="4" w:space="0"/>
              <w:bottom w:val="single" w:color="auto" w:sz="4" w:space="0"/>
              <w:right w:val="single" w:color="auto" w:sz="4" w:space="0"/>
            </w:tcBorders>
            <w:vAlign w:val="center"/>
          </w:tcPr>
          <w:p w14:paraId="7FDD2D56">
            <w:pPr>
              <w:spacing w:line="360" w:lineRule="auto"/>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具体详见采购需求附件。</w:t>
            </w:r>
          </w:p>
        </w:tc>
      </w:tr>
      <w:tr w14:paraId="7CB2E7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D3A48E3">
            <w:pPr>
              <w:snapToGrid w:val="0"/>
              <w:spacing w:line="360" w:lineRule="auto"/>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w:t>
            </w:r>
          </w:p>
        </w:tc>
        <w:tc>
          <w:tcPr>
            <w:tcW w:w="2052" w:type="dxa"/>
            <w:tcBorders>
              <w:top w:val="single" w:color="auto" w:sz="4" w:space="0"/>
              <w:left w:val="single" w:color="auto" w:sz="4" w:space="0"/>
              <w:bottom w:val="single" w:color="auto" w:sz="4" w:space="0"/>
              <w:right w:val="single" w:color="auto" w:sz="4" w:space="0"/>
            </w:tcBorders>
            <w:vAlign w:val="center"/>
          </w:tcPr>
          <w:p w14:paraId="32905842">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电子阴道镜</w:t>
            </w:r>
          </w:p>
        </w:tc>
        <w:tc>
          <w:tcPr>
            <w:tcW w:w="1342" w:type="dxa"/>
            <w:tcBorders>
              <w:top w:val="single" w:color="auto" w:sz="4" w:space="0"/>
              <w:left w:val="single" w:color="auto" w:sz="4" w:space="0"/>
              <w:bottom w:val="single" w:color="auto" w:sz="4" w:space="0"/>
              <w:right w:val="single" w:color="auto" w:sz="4" w:space="0"/>
            </w:tcBorders>
            <w:vAlign w:val="center"/>
          </w:tcPr>
          <w:p w14:paraId="039CFB9F">
            <w:pPr>
              <w:spacing w:line="360" w:lineRule="auto"/>
              <w:jc w:val="center"/>
              <w:rPr>
                <w:rFonts w:hint="default" w:asciiTheme="minorEastAsia" w:hAnsi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1套</w:t>
            </w:r>
          </w:p>
        </w:tc>
        <w:tc>
          <w:tcPr>
            <w:tcW w:w="4686" w:type="dxa"/>
            <w:tcBorders>
              <w:top w:val="single" w:color="auto" w:sz="4" w:space="0"/>
              <w:left w:val="single" w:color="auto" w:sz="4" w:space="0"/>
              <w:bottom w:val="single" w:color="auto" w:sz="4" w:space="0"/>
              <w:right w:val="single" w:color="auto" w:sz="4" w:space="0"/>
            </w:tcBorders>
            <w:vAlign w:val="center"/>
          </w:tcPr>
          <w:p w14:paraId="3349FBDF">
            <w:pPr>
              <w:spacing w:line="360" w:lineRule="auto"/>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具体详见采购需求附件。</w:t>
            </w:r>
          </w:p>
        </w:tc>
      </w:tr>
      <w:tr w14:paraId="42038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vAlign w:val="center"/>
          </w:tcPr>
          <w:p w14:paraId="1C87F53D">
            <w:pPr>
              <w:spacing w:line="360" w:lineRule="auto"/>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val="en-US" w:eastAsia="zh-CN"/>
              </w:rPr>
              <w:t>更多标的内容</w:t>
            </w:r>
            <w:r>
              <w:rPr>
                <w:rFonts w:hint="eastAsia" w:asciiTheme="minorEastAsia" w:hAnsiTheme="minorEastAsia" w:cstheme="minorEastAsia"/>
                <w:color w:val="auto"/>
                <w:szCs w:val="21"/>
                <w:highlight w:val="none"/>
              </w:rPr>
              <w:t>详见采购需求附件。</w:t>
            </w:r>
          </w:p>
        </w:tc>
      </w:tr>
    </w:tbl>
    <w:p w14:paraId="2CA9C630">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合同履行期限：</w:t>
      </w:r>
      <w:r>
        <w:rPr>
          <w:rFonts w:hint="eastAsia" w:ascii="宋体" w:hAnsi="宋体"/>
          <w:color w:val="auto"/>
          <w:szCs w:val="21"/>
          <w:highlight w:val="none"/>
          <w:lang w:eastAsia="zh-CN"/>
        </w:rPr>
        <w:t>收到采购人供货通知之日起60天内完成安装、调试、培训等全部工作，并交付使用（因采购人部分科室处于特殊装修阶段，具体进场时间以采购人通知为准，交付时间可根据采购人装修进度适当调整）。</w:t>
      </w:r>
    </w:p>
    <w:tbl>
      <w:tblPr>
        <w:tblStyle w:val="46"/>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1387"/>
        <w:gridCol w:w="4850"/>
      </w:tblGrid>
      <w:tr w14:paraId="020F5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vAlign w:val="center"/>
          </w:tcPr>
          <w:p w14:paraId="35C9A39F">
            <w:pPr>
              <w:spacing w:line="360" w:lineRule="auto"/>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u w:val="single"/>
              </w:rPr>
              <w:t xml:space="preserve">2 </w:t>
            </w:r>
            <w:r>
              <w:rPr>
                <w:rFonts w:hint="eastAsia" w:asciiTheme="minorEastAsia" w:hAnsiTheme="minorEastAsia" w:eastAsiaTheme="minorEastAsia" w:cstheme="minorEastAsia"/>
                <w:color w:val="auto"/>
                <w:szCs w:val="21"/>
                <w:highlight w:val="none"/>
              </w:rPr>
              <w:t>分标；预算金额（元）：</w:t>
            </w:r>
            <w:r>
              <w:rPr>
                <w:rFonts w:hint="eastAsia" w:asciiTheme="minorEastAsia" w:hAnsiTheme="minorEastAsia" w:eastAsiaTheme="minorEastAsia" w:cstheme="minorEastAsia"/>
                <w:color w:val="auto"/>
                <w:szCs w:val="21"/>
                <w:highlight w:val="none"/>
                <w:lang w:eastAsia="zh-CN"/>
              </w:rPr>
              <w:t>4221040.00</w:t>
            </w:r>
            <w:r>
              <w:rPr>
                <w:rFonts w:hint="eastAsia" w:asciiTheme="minorEastAsia" w:hAnsiTheme="minorEastAsia" w:eastAsiaTheme="minorEastAsia" w:cstheme="minorEastAsia"/>
                <w:color w:val="auto"/>
                <w:szCs w:val="21"/>
                <w:highlight w:val="none"/>
                <w:lang w:val="en-US" w:eastAsia="zh-CN"/>
              </w:rPr>
              <w:t>，最高限价：同预算金额</w:t>
            </w:r>
          </w:p>
        </w:tc>
      </w:tr>
      <w:tr w14:paraId="5C1933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267BB93">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25FA4571">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标的的名称</w:t>
            </w:r>
          </w:p>
        </w:tc>
        <w:tc>
          <w:tcPr>
            <w:tcW w:w="1387" w:type="dxa"/>
            <w:tcBorders>
              <w:top w:val="single" w:color="auto" w:sz="4" w:space="0"/>
              <w:left w:val="single" w:color="auto" w:sz="4" w:space="0"/>
              <w:bottom w:val="single" w:color="auto" w:sz="4" w:space="0"/>
              <w:right w:val="single" w:color="auto" w:sz="4" w:space="0"/>
            </w:tcBorders>
            <w:vAlign w:val="center"/>
          </w:tcPr>
          <w:p w14:paraId="1A277ACE">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数量及单位</w:t>
            </w:r>
          </w:p>
        </w:tc>
        <w:tc>
          <w:tcPr>
            <w:tcW w:w="4850" w:type="dxa"/>
            <w:tcBorders>
              <w:top w:val="single" w:color="auto" w:sz="4" w:space="0"/>
              <w:left w:val="single" w:color="auto" w:sz="4" w:space="0"/>
              <w:bottom w:val="single" w:color="auto" w:sz="4" w:space="0"/>
              <w:right w:val="single" w:color="auto" w:sz="4" w:space="0"/>
            </w:tcBorders>
            <w:vAlign w:val="center"/>
          </w:tcPr>
          <w:p w14:paraId="117B89C9">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简要技术需求或者服务要求</w:t>
            </w:r>
          </w:p>
        </w:tc>
      </w:tr>
      <w:tr w14:paraId="7D92F6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2E7F9C3">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9AE40B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裂隙灯（数码裂隙灯显微镜）</w:t>
            </w:r>
          </w:p>
        </w:tc>
        <w:tc>
          <w:tcPr>
            <w:tcW w:w="1387" w:type="dxa"/>
            <w:tcBorders>
              <w:top w:val="single" w:color="auto" w:sz="4" w:space="0"/>
              <w:left w:val="single" w:color="auto" w:sz="4" w:space="0"/>
              <w:bottom w:val="single" w:color="auto" w:sz="4" w:space="0"/>
              <w:right w:val="single" w:color="auto" w:sz="4" w:space="0"/>
            </w:tcBorders>
            <w:vAlign w:val="center"/>
          </w:tcPr>
          <w:p w14:paraId="10AD3B17">
            <w:pPr>
              <w:spacing w:line="360" w:lineRule="auto"/>
              <w:jc w:val="center"/>
              <w:rPr>
                <w:rFonts w:hint="default" w:eastAsia="宋体" w:asciiTheme="minorEastAsia" w:hAnsi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1台</w:t>
            </w:r>
          </w:p>
        </w:tc>
        <w:tc>
          <w:tcPr>
            <w:tcW w:w="4850" w:type="dxa"/>
            <w:tcBorders>
              <w:top w:val="single" w:color="auto" w:sz="4" w:space="0"/>
              <w:left w:val="single" w:color="auto" w:sz="4" w:space="0"/>
              <w:bottom w:val="single" w:color="auto" w:sz="4" w:space="0"/>
              <w:right w:val="single" w:color="auto" w:sz="4" w:space="0"/>
            </w:tcBorders>
            <w:vAlign w:val="center"/>
          </w:tcPr>
          <w:p w14:paraId="465AF540">
            <w:pPr>
              <w:spacing w:line="360" w:lineRule="auto"/>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具体详见采购需求附件。</w:t>
            </w:r>
          </w:p>
        </w:tc>
      </w:tr>
      <w:tr w14:paraId="45B38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2396E43">
            <w:pPr>
              <w:snapToGrid w:val="0"/>
              <w:spacing w:line="360" w:lineRule="auto"/>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A3BC3A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眼压计（非接触眼压计）</w:t>
            </w:r>
          </w:p>
        </w:tc>
        <w:tc>
          <w:tcPr>
            <w:tcW w:w="1387" w:type="dxa"/>
            <w:tcBorders>
              <w:top w:val="single" w:color="auto" w:sz="4" w:space="0"/>
              <w:left w:val="single" w:color="auto" w:sz="4" w:space="0"/>
              <w:bottom w:val="single" w:color="auto" w:sz="4" w:space="0"/>
              <w:right w:val="single" w:color="auto" w:sz="4" w:space="0"/>
            </w:tcBorders>
            <w:vAlign w:val="center"/>
          </w:tcPr>
          <w:p w14:paraId="25829A9F">
            <w:pPr>
              <w:spacing w:line="360" w:lineRule="auto"/>
              <w:jc w:val="center"/>
              <w:rPr>
                <w:rFonts w:hint="default" w:eastAsia="宋体" w:asciiTheme="minorEastAsia" w:hAnsi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1台</w:t>
            </w:r>
          </w:p>
        </w:tc>
        <w:tc>
          <w:tcPr>
            <w:tcW w:w="4850" w:type="dxa"/>
            <w:tcBorders>
              <w:top w:val="single" w:color="auto" w:sz="4" w:space="0"/>
              <w:left w:val="single" w:color="auto" w:sz="4" w:space="0"/>
              <w:bottom w:val="single" w:color="auto" w:sz="4" w:space="0"/>
              <w:right w:val="single" w:color="auto" w:sz="4" w:space="0"/>
            </w:tcBorders>
            <w:vAlign w:val="center"/>
          </w:tcPr>
          <w:p w14:paraId="3BB7685C">
            <w:pPr>
              <w:spacing w:line="360" w:lineRule="auto"/>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具体详见采购需求附件。</w:t>
            </w:r>
          </w:p>
        </w:tc>
      </w:tr>
      <w:tr w14:paraId="0E706E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vAlign w:val="center"/>
          </w:tcPr>
          <w:p w14:paraId="6CA44D4E">
            <w:pPr>
              <w:spacing w:line="360" w:lineRule="auto"/>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val="en-US" w:eastAsia="zh-CN"/>
              </w:rPr>
              <w:t>更多标的内容</w:t>
            </w:r>
            <w:r>
              <w:rPr>
                <w:rFonts w:hint="eastAsia" w:asciiTheme="minorEastAsia" w:hAnsiTheme="minorEastAsia" w:cstheme="minorEastAsia"/>
                <w:color w:val="auto"/>
                <w:szCs w:val="21"/>
                <w:highlight w:val="none"/>
              </w:rPr>
              <w:t>详见采购需求附件。</w:t>
            </w:r>
          </w:p>
        </w:tc>
      </w:tr>
    </w:tbl>
    <w:p w14:paraId="45AA68AE">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合同履行期限：</w:t>
      </w:r>
      <w:r>
        <w:rPr>
          <w:rFonts w:hint="eastAsia" w:ascii="宋体" w:hAnsi="宋体"/>
          <w:color w:val="auto"/>
          <w:szCs w:val="21"/>
          <w:highlight w:val="none"/>
          <w:lang w:eastAsia="zh-CN"/>
        </w:rPr>
        <w:t>收到采购人供货通知之日起60天内完成安装、调试、培训等全部工作，并交付使用（因采购人部分科室处于特殊装修阶段，具体进场时间以采购人通知为准，交付时间可根据采购人装修进度适当调整）。</w:t>
      </w:r>
    </w:p>
    <w:tbl>
      <w:tblPr>
        <w:tblStyle w:val="46"/>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1387"/>
        <w:gridCol w:w="4850"/>
      </w:tblGrid>
      <w:tr w14:paraId="5D4ABC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755" w:type="dxa"/>
            <w:gridSpan w:val="4"/>
            <w:tcBorders>
              <w:top w:val="single" w:color="auto" w:sz="4" w:space="0"/>
              <w:left w:val="single" w:color="auto" w:sz="4" w:space="0"/>
              <w:bottom w:val="single" w:color="auto" w:sz="4" w:space="0"/>
              <w:right w:val="single" w:color="auto" w:sz="4" w:space="0"/>
            </w:tcBorders>
            <w:vAlign w:val="center"/>
          </w:tcPr>
          <w:p w14:paraId="7905BDAB">
            <w:pPr>
              <w:spacing w:line="360" w:lineRule="auto"/>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u w:val="single"/>
                <w:lang w:val="en-US" w:eastAsia="zh-CN"/>
              </w:rPr>
              <w:t>3</w:t>
            </w:r>
            <w:r>
              <w:rPr>
                <w:rFonts w:hint="eastAsia" w:asciiTheme="minorEastAsia" w:hAnsiTheme="minorEastAsia" w:eastAsiaTheme="minorEastAsia" w:cstheme="minorEastAsia"/>
                <w:color w:val="auto"/>
                <w:szCs w:val="21"/>
                <w:highlight w:val="none"/>
              </w:rPr>
              <w:t>分标；预算金额（元）：</w:t>
            </w:r>
            <w:r>
              <w:rPr>
                <w:rFonts w:hint="eastAsia" w:asciiTheme="minorEastAsia" w:hAnsiTheme="minorEastAsia" w:eastAsiaTheme="minorEastAsia" w:cstheme="minorEastAsia"/>
                <w:color w:val="auto"/>
                <w:szCs w:val="21"/>
                <w:highlight w:val="none"/>
                <w:lang w:val="en-US" w:eastAsia="zh-CN"/>
              </w:rPr>
              <w:t>2858100.00，最高限价：同预算金额</w:t>
            </w:r>
          </w:p>
        </w:tc>
      </w:tr>
      <w:tr w14:paraId="6AE19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AFB8D37">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01239581">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标的的名称</w:t>
            </w:r>
          </w:p>
        </w:tc>
        <w:tc>
          <w:tcPr>
            <w:tcW w:w="1387" w:type="dxa"/>
            <w:tcBorders>
              <w:top w:val="single" w:color="auto" w:sz="4" w:space="0"/>
              <w:left w:val="single" w:color="auto" w:sz="4" w:space="0"/>
              <w:bottom w:val="single" w:color="auto" w:sz="4" w:space="0"/>
              <w:right w:val="single" w:color="auto" w:sz="4" w:space="0"/>
            </w:tcBorders>
            <w:vAlign w:val="center"/>
          </w:tcPr>
          <w:p w14:paraId="726CF762">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数量及单位</w:t>
            </w:r>
          </w:p>
        </w:tc>
        <w:tc>
          <w:tcPr>
            <w:tcW w:w="4850" w:type="dxa"/>
            <w:tcBorders>
              <w:top w:val="single" w:color="auto" w:sz="4" w:space="0"/>
              <w:left w:val="single" w:color="auto" w:sz="4" w:space="0"/>
              <w:bottom w:val="single" w:color="auto" w:sz="4" w:space="0"/>
              <w:right w:val="single" w:color="auto" w:sz="4" w:space="0"/>
            </w:tcBorders>
            <w:vAlign w:val="center"/>
          </w:tcPr>
          <w:p w14:paraId="737147C9">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简要技术需求或者服务要求</w:t>
            </w:r>
          </w:p>
        </w:tc>
      </w:tr>
      <w:tr w14:paraId="2CCFD8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1327E65">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6D0632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艾灸仪（红外光灸疗机）</w:t>
            </w:r>
          </w:p>
        </w:tc>
        <w:tc>
          <w:tcPr>
            <w:tcW w:w="1387" w:type="dxa"/>
            <w:tcBorders>
              <w:top w:val="single" w:color="auto" w:sz="4" w:space="0"/>
              <w:left w:val="single" w:color="auto" w:sz="4" w:space="0"/>
              <w:bottom w:val="single" w:color="auto" w:sz="4" w:space="0"/>
              <w:right w:val="single" w:color="auto" w:sz="4" w:space="0"/>
            </w:tcBorders>
            <w:vAlign w:val="center"/>
          </w:tcPr>
          <w:p w14:paraId="72A59272">
            <w:pPr>
              <w:keepNext w:val="0"/>
              <w:keepLines w:val="0"/>
              <w:widowControl/>
              <w:suppressLineNumbers w:val="0"/>
              <w:jc w:val="center"/>
              <w:textAlignment w:val="center"/>
              <w:rPr>
                <w:rFonts w:hint="default" w:eastAsia="宋体" w:asciiTheme="minorEastAsia" w:hAnsiTheme="minorEastAsia" w:cstheme="minorEastAsia"/>
                <w:color w:val="auto"/>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2台</w:t>
            </w:r>
          </w:p>
        </w:tc>
        <w:tc>
          <w:tcPr>
            <w:tcW w:w="4850" w:type="dxa"/>
            <w:tcBorders>
              <w:top w:val="single" w:color="auto" w:sz="4" w:space="0"/>
              <w:left w:val="single" w:color="auto" w:sz="4" w:space="0"/>
              <w:bottom w:val="single" w:color="auto" w:sz="4" w:space="0"/>
              <w:right w:val="single" w:color="auto" w:sz="4" w:space="0"/>
            </w:tcBorders>
            <w:vAlign w:val="center"/>
          </w:tcPr>
          <w:p w14:paraId="746BAEA7">
            <w:pPr>
              <w:spacing w:line="360" w:lineRule="auto"/>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具体详见采购需求附件。</w:t>
            </w:r>
          </w:p>
        </w:tc>
      </w:tr>
      <w:tr w14:paraId="6793E0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31C250B">
            <w:pPr>
              <w:snapToGrid w:val="0"/>
              <w:spacing w:line="360" w:lineRule="auto"/>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F2FE2CE">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低频经络治疗仪（高压低频脉冲治疗仪）</w:t>
            </w:r>
          </w:p>
        </w:tc>
        <w:tc>
          <w:tcPr>
            <w:tcW w:w="1387" w:type="dxa"/>
            <w:tcBorders>
              <w:top w:val="single" w:color="auto" w:sz="4" w:space="0"/>
              <w:left w:val="single" w:color="auto" w:sz="4" w:space="0"/>
              <w:bottom w:val="single" w:color="auto" w:sz="4" w:space="0"/>
              <w:right w:val="single" w:color="auto" w:sz="4" w:space="0"/>
            </w:tcBorders>
            <w:vAlign w:val="center"/>
          </w:tcPr>
          <w:p w14:paraId="52B3726A">
            <w:pPr>
              <w:keepNext w:val="0"/>
              <w:keepLines w:val="0"/>
              <w:widowControl/>
              <w:suppressLineNumbers w:val="0"/>
              <w:jc w:val="center"/>
              <w:textAlignment w:val="center"/>
              <w:rPr>
                <w:rFonts w:hint="default" w:eastAsia="宋体" w:asciiTheme="minorEastAsia" w:hAnsiTheme="minorEastAsia" w:cstheme="minorEastAsia"/>
                <w:color w:val="auto"/>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1台</w:t>
            </w:r>
          </w:p>
        </w:tc>
        <w:tc>
          <w:tcPr>
            <w:tcW w:w="4850" w:type="dxa"/>
            <w:tcBorders>
              <w:top w:val="single" w:color="auto" w:sz="4" w:space="0"/>
              <w:left w:val="single" w:color="auto" w:sz="4" w:space="0"/>
              <w:bottom w:val="single" w:color="auto" w:sz="4" w:space="0"/>
              <w:right w:val="single" w:color="auto" w:sz="4" w:space="0"/>
            </w:tcBorders>
            <w:vAlign w:val="center"/>
          </w:tcPr>
          <w:p w14:paraId="1282E899">
            <w:pPr>
              <w:spacing w:line="360" w:lineRule="auto"/>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具体详见采购需求附件。</w:t>
            </w:r>
          </w:p>
        </w:tc>
      </w:tr>
      <w:tr w14:paraId="29DCC1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vAlign w:val="center"/>
          </w:tcPr>
          <w:p w14:paraId="340A5B0C">
            <w:pPr>
              <w:spacing w:line="360" w:lineRule="auto"/>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val="en-US" w:eastAsia="zh-CN"/>
              </w:rPr>
              <w:t>更多标的内容</w:t>
            </w:r>
            <w:r>
              <w:rPr>
                <w:rFonts w:hint="eastAsia" w:asciiTheme="minorEastAsia" w:hAnsiTheme="minorEastAsia" w:cstheme="minorEastAsia"/>
                <w:color w:val="auto"/>
                <w:szCs w:val="21"/>
                <w:highlight w:val="none"/>
              </w:rPr>
              <w:t>详见采购需求附件。</w:t>
            </w:r>
          </w:p>
        </w:tc>
      </w:tr>
    </w:tbl>
    <w:p w14:paraId="6F057CCF">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合同履行期限：</w:t>
      </w:r>
      <w:r>
        <w:rPr>
          <w:rFonts w:hint="eastAsia" w:ascii="宋体" w:hAnsi="宋体"/>
          <w:color w:val="auto"/>
          <w:szCs w:val="21"/>
          <w:highlight w:val="none"/>
          <w:lang w:eastAsia="zh-CN"/>
        </w:rPr>
        <w:t>收到采购人供货通知之日起60天内完成安装、调试、培训等全部工作，并交付使用（因采购人部分科室处于特殊装修阶段，具体进场时间以采购人通知为准，交付时间可根据采购人装修进度适当调整）。</w:t>
      </w:r>
    </w:p>
    <w:tbl>
      <w:tblPr>
        <w:tblStyle w:val="46"/>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1387"/>
        <w:gridCol w:w="4850"/>
      </w:tblGrid>
      <w:tr w14:paraId="0332FF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vAlign w:val="center"/>
          </w:tcPr>
          <w:p w14:paraId="46E4C190">
            <w:pPr>
              <w:spacing w:line="360" w:lineRule="auto"/>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u w:val="single"/>
                <w:lang w:val="en-US" w:eastAsia="zh-CN"/>
              </w:rPr>
              <w:t>4</w:t>
            </w:r>
            <w:r>
              <w:rPr>
                <w:rFonts w:hint="eastAsia" w:asciiTheme="minorEastAsia" w:hAnsiTheme="minorEastAsia" w:eastAsiaTheme="minorEastAsia" w:cstheme="minorEastAsia"/>
                <w:color w:val="auto"/>
                <w:szCs w:val="21"/>
                <w:highlight w:val="none"/>
              </w:rPr>
              <w:t>分标；预算金额（元）：</w:t>
            </w:r>
            <w:r>
              <w:rPr>
                <w:rFonts w:hint="eastAsia" w:asciiTheme="minorEastAsia" w:hAnsiTheme="minorEastAsia" w:eastAsiaTheme="minorEastAsia" w:cstheme="minorEastAsia"/>
                <w:color w:val="auto"/>
                <w:szCs w:val="21"/>
                <w:highlight w:val="none"/>
                <w:lang w:val="en-US" w:eastAsia="zh-CN"/>
              </w:rPr>
              <w:t>350</w:t>
            </w:r>
            <w:r>
              <w:rPr>
                <w:rFonts w:hint="eastAsia" w:asciiTheme="minorEastAsia" w:hAnsiTheme="minorEastAsia" w:eastAsiaTheme="minorEastAsia" w:cstheme="minorEastAsia"/>
                <w:color w:val="auto"/>
                <w:szCs w:val="21"/>
                <w:highlight w:val="none"/>
                <w:lang w:eastAsia="zh-CN"/>
              </w:rPr>
              <w:t>000.00</w:t>
            </w:r>
            <w:r>
              <w:rPr>
                <w:rFonts w:hint="eastAsia" w:asciiTheme="minorEastAsia" w:hAnsiTheme="minorEastAsia" w:eastAsiaTheme="minorEastAsia" w:cstheme="minorEastAsia"/>
                <w:color w:val="auto"/>
                <w:szCs w:val="21"/>
                <w:highlight w:val="none"/>
                <w:lang w:val="en-US" w:eastAsia="zh-CN"/>
              </w:rPr>
              <w:t>，最高限价：同预算金额</w:t>
            </w:r>
          </w:p>
        </w:tc>
      </w:tr>
      <w:tr w14:paraId="7B704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76444ED">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2CA79CF4">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标的的名称</w:t>
            </w:r>
          </w:p>
        </w:tc>
        <w:tc>
          <w:tcPr>
            <w:tcW w:w="1387" w:type="dxa"/>
            <w:tcBorders>
              <w:top w:val="single" w:color="auto" w:sz="4" w:space="0"/>
              <w:left w:val="single" w:color="auto" w:sz="4" w:space="0"/>
              <w:bottom w:val="single" w:color="auto" w:sz="4" w:space="0"/>
              <w:right w:val="single" w:color="auto" w:sz="4" w:space="0"/>
            </w:tcBorders>
            <w:vAlign w:val="center"/>
          </w:tcPr>
          <w:p w14:paraId="0E383623">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数量及单位</w:t>
            </w:r>
          </w:p>
        </w:tc>
        <w:tc>
          <w:tcPr>
            <w:tcW w:w="4850" w:type="dxa"/>
            <w:tcBorders>
              <w:top w:val="single" w:color="auto" w:sz="4" w:space="0"/>
              <w:left w:val="single" w:color="auto" w:sz="4" w:space="0"/>
              <w:bottom w:val="single" w:color="auto" w:sz="4" w:space="0"/>
              <w:right w:val="single" w:color="auto" w:sz="4" w:space="0"/>
            </w:tcBorders>
            <w:vAlign w:val="center"/>
          </w:tcPr>
          <w:p w14:paraId="20E74C92">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简要技术需求或者服务要求</w:t>
            </w:r>
          </w:p>
        </w:tc>
      </w:tr>
      <w:tr w14:paraId="7152D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9A0FE8E">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3D9AFD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救护车</w:t>
            </w:r>
          </w:p>
        </w:tc>
        <w:tc>
          <w:tcPr>
            <w:tcW w:w="1387" w:type="dxa"/>
            <w:tcBorders>
              <w:top w:val="single" w:color="auto" w:sz="4" w:space="0"/>
              <w:left w:val="single" w:color="auto" w:sz="4" w:space="0"/>
              <w:bottom w:val="single" w:color="auto" w:sz="4" w:space="0"/>
              <w:right w:val="single" w:color="auto" w:sz="4" w:space="0"/>
            </w:tcBorders>
            <w:vAlign w:val="center"/>
          </w:tcPr>
          <w:p w14:paraId="019BB601">
            <w:pPr>
              <w:spacing w:line="360" w:lineRule="auto"/>
              <w:jc w:val="center"/>
              <w:rPr>
                <w:rFonts w:hint="default" w:eastAsia="宋体" w:asciiTheme="minorEastAsia" w:hAnsi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1辆</w:t>
            </w:r>
          </w:p>
        </w:tc>
        <w:tc>
          <w:tcPr>
            <w:tcW w:w="4850" w:type="dxa"/>
            <w:tcBorders>
              <w:top w:val="single" w:color="auto" w:sz="4" w:space="0"/>
              <w:left w:val="single" w:color="auto" w:sz="4" w:space="0"/>
              <w:bottom w:val="single" w:color="auto" w:sz="4" w:space="0"/>
              <w:right w:val="single" w:color="auto" w:sz="4" w:space="0"/>
            </w:tcBorders>
            <w:vAlign w:val="center"/>
          </w:tcPr>
          <w:p w14:paraId="56CDFAED">
            <w:pPr>
              <w:spacing w:line="360" w:lineRule="auto"/>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具体详见采购需求附件。</w:t>
            </w:r>
          </w:p>
        </w:tc>
      </w:tr>
    </w:tbl>
    <w:p w14:paraId="0CDF5B4A">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合同履行期限：</w:t>
      </w:r>
      <w:r>
        <w:rPr>
          <w:rFonts w:hint="eastAsia" w:ascii="宋体" w:hAnsi="宋体"/>
          <w:color w:val="auto"/>
          <w:szCs w:val="21"/>
          <w:highlight w:val="none"/>
          <w:lang w:val="en-US" w:eastAsia="zh-CN"/>
        </w:rPr>
        <w:t>自签订合同之日起30日内车辆验收合格且完成车辆上牌入户。</w:t>
      </w:r>
    </w:p>
    <w:p w14:paraId="3441D4A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本项目否接受联合体投标。</w:t>
      </w:r>
    </w:p>
    <w:p w14:paraId="44531318">
      <w:pPr>
        <w:spacing w:line="360" w:lineRule="auto"/>
        <w:rPr>
          <w:rFonts w:hint="eastAsia" w:ascii="黑体" w:hAnsi="黑体" w:eastAsia="黑体"/>
          <w:b/>
          <w:bCs/>
          <w:color w:val="auto"/>
          <w:sz w:val="24"/>
          <w:highlight w:val="none"/>
        </w:rPr>
      </w:pPr>
      <w:bookmarkStart w:id="19" w:name="_Toc35393791"/>
      <w:bookmarkStart w:id="20" w:name="_Toc28359003"/>
      <w:bookmarkStart w:id="21" w:name="_Toc28359080"/>
      <w:bookmarkStart w:id="22" w:name="_Toc35393622"/>
      <w:r>
        <w:rPr>
          <w:rFonts w:hint="eastAsia" w:ascii="黑体" w:hAnsi="黑体" w:eastAsia="黑体"/>
          <w:b/>
          <w:bCs/>
          <w:color w:val="auto"/>
          <w:sz w:val="24"/>
          <w:highlight w:val="none"/>
        </w:rPr>
        <w:t>二、申请人的资格要求：</w:t>
      </w:r>
      <w:bookmarkEnd w:id="19"/>
      <w:bookmarkEnd w:id="20"/>
      <w:bookmarkEnd w:id="21"/>
      <w:bookmarkEnd w:id="22"/>
    </w:p>
    <w:p w14:paraId="6B5D8895">
      <w:pPr>
        <w:spacing w:line="360" w:lineRule="auto"/>
        <w:ind w:firstLine="420" w:firstLineChars="200"/>
        <w:rPr>
          <w:rFonts w:hint="eastAsia" w:ascii="宋体" w:hAnsi="宋体"/>
          <w:color w:val="auto"/>
          <w:szCs w:val="21"/>
          <w:highlight w:val="none"/>
        </w:rPr>
      </w:pPr>
      <w:bookmarkStart w:id="23" w:name="_Hlk51746371"/>
      <w:r>
        <w:rPr>
          <w:rFonts w:hint="eastAsia" w:ascii="宋体" w:hAnsi="宋体"/>
          <w:color w:val="auto"/>
          <w:szCs w:val="21"/>
          <w:highlight w:val="none"/>
        </w:rPr>
        <w:t>1.满足《中华人民共和国政府采购法》第二十二条规定；</w:t>
      </w:r>
    </w:p>
    <w:p w14:paraId="6AD3783D">
      <w:pPr>
        <w:spacing w:line="360" w:lineRule="auto"/>
        <w:ind w:firstLine="420" w:firstLineChars="200"/>
        <w:rPr>
          <w:rFonts w:hint="eastAsia" w:ascii="宋体" w:hAnsi="宋体"/>
          <w:color w:val="auto"/>
          <w:szCs w:val="21"/>
          <w:highlight w:val="none"/>
        </w:rPr>
      </w:pPr>
      <w:bookmarkStart w:id="24" w:name="_Toc28359081"/>
      <w:bookmarkStart w:id="25" w:name="_Toc28359004"/>
      <w:r>
        <w:rPr>
          <w:rFonts w:ascii="宋体" w:hAnsi="宋体"/>
          <w:color w:val="auto"/>
          <w:szCs w:val="21"/>
          <w:highlight w:val="none"/>
        </w:rPr>
        <w:t>2</w:t>
      </w:r>
      <w:r>
        <w:rPr>
          <w:rFonts w:hint="eastAsia" w:ascii="宋体" w:hAnsi="宋体"/>
          <w:color w:val="auto"/>
          <w:szCs w:val="21"/>
          <w:highlight w:val="none"/>
        </w:rPr>
        <w:t>.落实政府采购政策需满足的资格要求：无；</w:t>
      </w:r>
    </w:p>
    <w:p w14:paraId="3494709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3.本项目的特定资格要求：</w:t>
      </w:r>
      <w:bookmarkEnd w:id="23"/>
      <w:bookmarkStart w:id="26" w:name="_Toc35393792"/>
      <w:bookmarkStart w:id="27" w:name="_Toc35393623"/>
    </w:p>
    <w:p w14:paraId="423D12B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1、2、3</w:t>
      </w:r>
      <w:r>
        <w:rPr>
          <w:rFonts w:hint="eastAsia" w:ascii="宋体" w:hAnsi="宋体"/>
          <w:color w:val="auto"/>
          <w:szCs w:val="21"/>
          <w:highlight w:val="none"/>
        </w:rPr>
        <w:t>分标</w:t>
      </w:r>
      <w:r>
        <w:rPr>
          <w:rFonts w:hint="eastAsia" w:ascii="宋体" w:hAnsi="宋体"/>
          <w:color w:val="auto"/>
          <w:szCs w:val="21"/>
          <w:highlight w:val="none"/>
          <w:lang w:val="en-US" w:eastAsia="zh-CN"/>
        </w:rPr>
        <w:t>：</w:t>
      </w:r>
      <w:r>
        <w:rPr>
          <w:rFonts w:hint="eastAsia" w:ascii="宋体" w:hAnsi="宋体"/>
          <w:color w:val="auto"/>
          <w:szCs w:val="21"/>
          <w:highlight w:val="none"/>
        </w:rPr>
        <w:t>投标人按《医疗器械监督管理条例》（国务院令第739号）医疗器械分类管理要求具备有效的医疗器械经营备案凭证或者经营许可证，且经营范围必须包含招标标的[符合《医疗器械监督管理条例》第四十一条第二款规定的除外]；或者投标人具有《医疗器械监督管理条例》第四十三条规定的注册凭证。</w:t>
      </w:r>
    </w:p>
    <w:p w14:paraId="14DB16C4">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4分标：无。</w:t>
      </w:r>
    </w:p>
    <w:p w14:paraId="34468608">
      <w:pPr>
        <w:spacing w:line="360" w:lineRule="auto"/>
        <w:rPr>
          <w:rFonts w:hint="eastAsia"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24"/>
      <w:bookmarkEnd w:id="25"/>
      <w:bookmarkEnd w:id="26"/>
      <w:bookmarkEnd w:id="27"/>
    </w:p>
    <w:p w14:paraId="1876C869">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hint="eastAsia" w:ascii="宋体" w:hAnsi="宋体" w:cs="宋体"/>
          <w:bCs/>
          <w:color w:val="auto"/>
          <w:kern w:val="0"/>
          <w:szCs w:val="21"/>
          <w:highlight w:val="none"/>
          <w:u w:val="single"/>
        </w:rPr>
        <w:t>2025年</w:t>
      </w:r>
      <w:r>
        <w:rPr>
          <w:rFonts w:hint="eastAsia" w:ascii="宋体" w:hAnsi="宋体" w:cs="宋体"/>
          <w:bCs/>
          <w:color w:val="auto"/>
          <w:kern w:val="0"/>
          <w:szCs w:val="21"/>
          <w:highlight w:val="none"/>
          <w:u w:val="single"/>
          <w:lang w:val="en-US" w:eastAsia="zh-CN"/>
        </w:rPr>
        <w:t>12</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5</w:t>
      </w:r>
      <w:r>
        <w:rPr>
          <w:rFonts w:hint="eastAsia" w:ascii="宋体" w:hAnsi="宋体" w:cs="宋体"/>
          <w:bCs/>
          <w:color w:val="auto"/>
          <w:kern w:val="0"/>
          <w:szCs w:val="21"/>
          <w:highlight w:val="none"/>
          <w:u w:val="single"/>
        </w:rPr>
        <w:t>日至2025年</w:t>
      </w:r>
      <w:r>
        <w:rPr>
          <w:rFonts w:hint="eastAsia" w:ascii="宋体" w:hAnsi="宋体" w:cs="宋体"/>
          <w:bCs/>
          <w:color w:val="auto"/>
          <w:kern w:val="0"/>
          <w:szCs w:val="21"/>
          <w:highlight w:val="none"/>
          <w:u w:val="single"/>
          <w:lang w:val="en-US" w:eastAsia="zh-CN"/>
        </w:rPr>
        <w:t>12</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12</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，每天上午</w:t>
      </w:r>
      <w:r>
        <w:rPr>
          <w:rFonts w:hint="eastAsia" w:ascii="宋体" w:hAnsi="宋体" w:cs="宋体"/>
          <w:bCs/>
          <w:color w:val="auto"/>
          <w:kern w:val="0"/>
          <w:szCs w:val="21"/>
          <w:highlight w:val="none"/>
          <w:u w:val="single"/>
        </w:rPr>
        <w:t>8</w:t>
      </w:r>
      <w:r>
        <w:rPr>
          <w:rFonts w:hint="eastAsia" w:ascii="宋体" w:hAnsi="宋体" w:cs="宋体"/>
          <w:bCs/>
          <w:color w:val="auto"/>
          <w:kern w:val="0"/>
          <w:szCs w:val="21"/>
          <w:highlight w:val="none"/>
          <w:u w:val="single"/>
          <w:lang w:eastAsia="zh-CN"/>
        </w:rPr>
        <w:t>:</w:t>
      </w:r>
      <w:r>
        <w:rPr>
          <w:rFonts w:hint="eastAsia" w:ascii="宋体" w:hAnsi="宋体" w:cs="宋体"/>
          <w:bCs/>
          <w:color w:val="auto"/>
          <w:kern w:val="0"/>
          <w:szCs w:val="21"/>
          <w:highlight w:val="none"/>
          <w:u w:val="single"/>
        </w:rPr>
        <w:t>00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12</w:t>
      </w:r>
      <w:r>
        <w:rPr>
          <w:rFonts w:hint="eastAsia" w:ascii="宋体" w:hAnsi="宋体" w:cs="宋体"/>
          <w:bCs/>
          <w:color w:val="auto"/>
          <w:kern w:val="0"/>
          <w:szCs w:val="21"/>
          <w:highlight w:val="none"/>
          <w:u w:val="single"/>
          <w:lang w:eastAsia="zh-CN"/>
        </w:rPr>
        <w:t>:</w:t>
      </w:r>
      <w:r>
        <w:rPr>
          <w:rFonts w:hint="eastAsia" w:ascii="宋体" w:hAnsi="宋体" w:cs="宋体"/>
          <w:bCs/>
          <w:color w:val="auto"/>
          <w:kern w:val="0"/>
          <w:szCs w:val="21"/>
          <w:highlight w:val="none"/>
          <w:u w:val="single"/>
        </w:rPr>
        <w:t>00</w:t>
      </w:r>
      <w:r>
        <w:rPr>
          <w:rFonts w:hint="eastAsia" w:ascii="宋体" w:hAnsi="宋体" w:cs="宋体"/>
          <w:bCs/>
          <w:color w:val="auto"/>
          <w:kern w:val="0"/>
          <w:szCs w:val="21"/>
          <w:highlight w:val="none"/>
        </w:rPr>
        <w:t>，下午</w:t>
      </w:r>
      <w:r>
        <w:rPr>
          <w:rFonts w:hint="eastAsia" w:ascii="宋体" w:hAnsi="宋体" w:cs="宋体"/>
          <w:bCs/>
          <w:color w:val="auto"/>
          <w:kern w:val="0"/>
          <w:szCs w:val="21"/>
          <w:highlight w:val="none"/>
          <w:u w:val="single"/>
        </w:rPr>
        <w:t>15</w:t>
      </w:r>
      <w:r>
        <w:rPr>
          <w:rFonts w:hint="eastAsia" w:ascii="宋体" w:hAnsi="宋体" w:cs="宋体"/>
          <w:bCs/>
          <w:color w:val="auto"/>
          <w:kern w:val="0"/>
          <w:szCs w:val="21"/>
          <w:highlight w:val="none"/>
          <w:u w:val="single"/>
          <w:lang w:eastAsia="zh-CN"/>
        </w:rPr>
        <w:t>:</w:t>
      </w:r>
      <w:r>
        <w:rPr>
          <w:rFonts w:hint="eastAsia" w:ascii="宋体" w:hAnsi="宋体" w:cs="宋体"/>
          <w:bCs/>
          <w:color w:val="auto"/>
          <w:kern w:val="0"/>
          <w:szCs w:val="21"/>
          <w:highlight w:val="none"/>
          <w:u w:val="single"/>
        </w:rPr>
        <w:t>00至18</w:t>
      </w:r>
      <w:r>
        <w:rPr>
          <w:rFonts w:hint="eastAsia" w:ascii="宋体" w:hAnsi="宋体" w:cs="宋体"/>
          <w:bCs/>
          <w:color w:val="auto"/>
          <w:kern w:val="0"/>
          <w:szCs w:val="21"/>
          <w:highlight w:val="none"/>
          <w:u w:val="single"/>
          <w:lang w:eastAsia="zh-CN"/>
        </w:rPr>
        <w:t>:</w:t>
      </w:r>
      <w:r>
        <w:rPr>
          <w:rFonts w:hint="eastAsia" w:ascii="宋体" w:hAnsi="宋体" w:cs="宋体"/>
          <w:bCs/>
          <w:color w:val="auto"/>
          <w:kern w:val="0"/>
          <w:szCs w:val="21"/>
          <w:highlight w:val="none"/>
          <w:u w:val="single"/>
        </w:rPr>
        <w:t>00</w:t>
      </w:r>
      <w:r>
        <w:rPr>
          <w:rFonts w:hint="eastAsia" w:ascii="宋体" w:hAnsi="宋体" w:cs="宋体"/>
          <w:bCs/>
          <w:color w:val="auto"/>
          <w:kern w:val="0"/>
          <w:szCs w:val="21"/>
          <w:highlight w:val="none"/>
        </w:rPr>
        <w:t>（北京时间，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2590F098">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olor w:val="auto"/>
          <w:szCs w:val="21"/>
          <w:highlight w:val="none"/>
        </w:rPr>
        <w:t>广西政府采购云平台（</w:t>
      </w:r>
      <w:r>
        <w:rPr>
          <w:rFonts w:hint="eastAsia" w:ascii="宋体" w:hAnsi="宋体"/>
          <w:bCs/>
          <w:color w:val="auto"/>
          <w:szCs w:val="21"/>
          <w:highlight w:val="none"/>
        </w:rPr>
        <w:t>https</w:t>
      </w:r>
      <w:r>
        <w:rPr>
          <w:rFonts w:hint="eastAsia" w:ascii="宋体" w:hAnsi="宋体"/>
          <w:bCs/>
          <w:color w:val="auto"/>
          <w:szCs w:val="21"/>
          <w:highlight w:val="none"/>
          <w:lang w:eastAsia="zh-CN"/>
        </w:rPr>
        <w:t>:</w:t>
      </w:r>
      <w:r>
        <w:rPr>
          <w:rFonts w:hint="eastAsia" w:ascii="宋体" w:hAnsi="宋体"/>
          <w:bCs/>
          <w:color w:val="auto"/>
          <w:szCs w:val="21"/>
          <w:highlight w:val="none"/>
        </w:rPr>
        <w:t>//www.gcy.zfcg.gxzf.gov.cn/</w:t>
      </w:r>
      <w:r>
        <w:rPr>
          <w:rFonts w:hint="eastAsia" w:ascii="宋体" w:hAnsi="宋体"/>
          <w:color w:val="auto"/>
          <w:szCs w:val="21"/>
          <w:highlight w:val="none"/>
        </w:rPr>
        <w:t>）</w:t>
      </w:r>
    </w:p>
    <w:p w14:paraId="4608539A">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方式：网上下载。本项目不提供纸质文件，潜在供应商需在</w:t>
      </w:r>
      <w:r>
        <w:rPr>
          <w:rFonts w:hint="eastAsia" w:ascii="宋体" w:hAnsi="宋体"/>
          <w:color w:val="auto"/>
          <w:szCs w:val="21"/>
          <w:highlight w:val="none"/>
        </w:rPr>
        <w:t>广西政府采购云平台（</w:t>
      </w:r>
      <w:r>
        <w:rPr>
          <w:rFonts w:hint="eastAsia" w:ascii="宋体" w:hAnsi="宋体"/>
          <w:bCs/>
          <w:color w:val="auto"/>
          <w:szCs w:val="21"/>
          <w:highlight w:val="none"/>
        </w:rPr>
        <w:t>https</w:t>
      </w:r>
      <w:r>
        <w:rPr>
          <w:rFonts w:hint="eastAsia" w:ascii="宋体" w:hAnsi="宋体"/>
          <w:bCs/>
          <w:color w:val="auto"/>
          <w:szCs w:val="21"/>
          <w:highlight w:val="none"/>
          <w:lang w:eastAsia="zh-CN"/>
        </w:rPr>
        <w:t>:</w:t>
      </w:r>
      <w:r>
        <w:rPr>
          <w:rFonts w:hint="eastAsia" w:ascii="宋体" w:hAnsi="宋体"/>
          <w:bCs/>
          <w:color w:val="auto"/>
          <w:szCs w:val="21"/>
          <w:highlight w:val="none"/>
        </w:rPr>
        <w:t>//www.gcy.zfcg.gxzf.gov.cn/</w:t>
      </w:r>
      <w:r>
        <w:rPr>
          <w:rFonts w:hint="eastAsia" w:ascii="宋体" w:hAnsi="宋体"/>
          <w:color w:val="auto"/>
          <w:szCs w:val="21"/>
          <w:highlight w:val="none"/>
        </w:rPr>
        <w:t>）</w:t>
      </w:r>
      <w:r>
        <w:rPr>
          <w:rFonts w:hint="eastAsia" w:ascii="宋体" w:hAnsi="宋体"/>
          <w:color w:val="auto"/>
          <w:szCs w:val="21"/>
          <w:highlight w:val="none"/>
          <w:lang w:eastAsia="zh-CN"/>
        </w:rPr>
        <w:t>－</w:t>
      </w:r>
      <w:r>
        <w:rPr>
          <w:rFonts w:hint="eastAsia" w:ascii="宋体" w:hAnsi="宋体" w:cs="宋体"/>
          <w:bCs/>
          <w:color w:val="auto"/>
          <w:kern w:val="0"/>
          <w:szCs w:val="21"/>
          <w:highlight w:val="none"/>
        </w:rPr>
        <w:t>进入“项目采购”应用，在获取采购文件菜单中选择项目，获取招标文件。</w:t>
      </w:r>
      <w:r>
        <w:rPr>
          <w:rFonts w:hint="eastAsia" w:ascii="宋体" w:hAnsi="宋体"/>
          <w:color w:val="auto"/>
          <w:szCs w:val="21"/>
          <w:highlight w:val="none"/>
        </w:rPr>
        <w:t>电子投标文件制作需要基于广西政府采购云平台获取的招标文件编制，</w:t>
      </w:r>
      <w:r>
        <w:rPr>
          <w:rFonts w:hint="eastAsia" w:ascii="宋体" w:hAnsi="宋体" w:cs="宋体"/>
          <w:bCs/>
          <w:color w:val="auto"/>
          <w:kern w:val="0"/>
          <w:szCs w:val="21"/>
          <w:highlight w:val="none"/>
        </w:rPr>
        <w:t>通过其他方式获取招标文件的，将有可能导致供应商无法在</w:t>
      </w:r>
      <w:r>
        <w:rPr>
          <w:rFonts w:hint="eastAsia" w:ascii="宋体" w:hAnsi="宋体"/>
          <w:color w:val="auto"/>
          <w:szCs w:val="21"/>
          <w:highlight w:val="none"/>
        </w:rPr>
        <w:t>广西政府采购云平台</w:t>
      </w:r>
      <w:r>
        <w:rPr>
          <w:rFonts w:hint="eastAsia" w:ascii="宋体" w:hAnsi="宋体" w:cs="宋体"/>
          <w:bCs/>
          <w:color w:val="auto"/>
          <w:kern w:val="0"/>
          <w:szCs w:val="21"/>
          <w:highlight w:val="none"/>
        </w:rPr>
        <w:t>编制及上传投标文件。</w:t>
      </w:r>
    </w:p>
    <w:p w14:paraId="3B057973">
      <w:pPr>
        <w:spacing w:line="360" w:lineRule="auto"/>
        <w:ind w:firstLine="540"/>
        <w:rPr>
          <w:rFonts w:hint="eastAsia"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szCs w:val="21"/>
          <w:highlight w:val="none"/>
          <w:u w:val="single"/>
        </w:rPr>
        <w:t>0</w:t>
      </w:r>
      <w:r>
        <w:rPr>
          <w:rFonts w:hint="eastAsia" w:ascii="宋体" w:hAnsi="宋体" w:cs="宋体"/>
          <w:color w:val="auto"/>
          <w:szCs w:val="21"/>
          <w:highlight w:val="none"/>
        </w:rPr>
        <w:t>元</w:t>
      </w:r>
    </w:p>
    <w:p w14:paraId="34666A97">
      <w:pPr>
        <w:spacing w:line="360" w:lineRule="auto"/>
        <w:rPr>
          <w:rFonts w:hint="eastAsia" w:ascii="黑体" w:hAnsi="黑体" w:eastAsia="黑体"/>
          <w:b/>
          <w:bCs/>
          <w:color w:val="auto"/>
          <w:sz w:val="24"/>
          <w:highlight w:val="none"/>
        </w:rPr>
      </w:pPr>
      <w:bookmarkStart w:id="28" w:name="_Toc28359005"/>
      <w:bookmarkStart w:id="29" w:name="_Toc28359082"/>
      <w:bookmarkStart w:id="30" w:name="_Toc35393624"/>
      <w:bookmarkStart w:id="31" w:name="_Toc35393793"/>
      <w:r>
        <w:rPr>
          <w:rFonts w:hint="eastAsia" w:ascii="黑体" w:hAnsi="黑体" w:eastAsia="黑体"/>
          <w:b/>
          <w:bCs/>
          <w:color w:val="auto"/>
          <w:sz w:val="24"/>
          <w:highlight w:val="none"/>
        </w:rPr>
        <w:t>四、提交投标文件</w:t>
      </w:r>
      <w:bookmarkEnd w:id="28"/>
      <w:bookmarkEnd w:id="29"/>
      <w:r>
        <w:rPr>
          <w:rFonts w:hint="eastAsia" w:ascii="黑体" w:hAnsi="黑体" w:eastAsia="黑体"/>
          <w:b/>
          <w:bCs/>
          <w:color w:val="auto"/>
          <w:sz w:val="24"/>
          <w:highlight w:val="none"/>
        </w:rPr>
        <w:t>截止时间、开标时间和地点</w:t>
      </w:r>
      <w:bookmarkEnd w:id="30"/>
      <w:bookmarkEnd w:id="31"/>
    </w:p>
    <w:p w14:paraId="49E63C5E">
      <w:pPr>
        <w:spacing w:line="360" w:lineRule="auto"/>
        <w:ind w:firstLine="420" w:firstLineChars="200"/>
        <w:rPr>
          <w:rFonts w:hint="eastAsia" w:ascii="宋体" w:hAnsi="宋体"/>
          <w:bCs/>
          <w:color w:val="auto"/>
          <w:szCs w:val="21"/>
          <w:highlight w:val="none"/>
        </w:rPr>
      </w:pPr>
      <w:bookmarkStart w:id="32" w:name="_Toc28359084"/>
      <w:bookmarkStart w:id="33" w:name="_Toc35393625"/>
      <w:bookmarkStart w:id="34" w:name="_Toc35393794"/>
      <w:bookmarkStart w:id="35" w:name="_Toc28359007"/>
      <w:r>
        <w:rPr>
          <w:rFonts w:hint="eastAsia" w:ascii="宋体" w:hAnsi="宋体"/>
          <w:bCs/>
          <w:color w:val="auto"/>
          <w:szCs w:val="21"/>
          <w:highlight w:val="none"/>
          <w:u w:val="single"/>
        </w:rPr>
        <w:t>2025年</w:t>
      </w:r>
      <w:r>
        <w:rPr>
          <w:rFonts w:hint="eastAsia" w:ascii="宋体" w:hAnsi="宋体"/>
          <w:bCs/>
          <w:color w:val="auto"/>
          <w:szCs w:val="21"/>
          <w:highlight w:val="none"/>
          <w:u w:val="single"/>
          <w:lang w:val="en-US" w:eastAsia="zh-CN"/>
        </w:rPr>
        <w:t>12</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26</w:t>
      </w:r>
      <w:r>
        <w:rPr>
          <w:rFonts w:hint="eastAsia" w:ascii="宋体" w:hAnsi="宋体"/>
          <w:bCs/>
          <w:color w:val="auto"/>
          <w:szCs w:val="21"/>
          <w:highlight w:val="none"/>
          <w:u w:val="single"/>
        </w:rPr>
        <w:t>日09时30分</w:t>
      </w:r>
      <w:r>
        <w:rPr>
          <w:rFonts w:hint="eastAsia" w:ascii="宋体" w:hAnsi="宋体"/>
          <w:bCs/>
          <w:color w:val="auto"/>
          <w:szCs w:val="21"/>
          <w:highlight w:val="none"/>
        </w:rPr>
        <w:t>（北京时间）</w:t>
      </w:r>
    </w:p>
    <w:p w14:paraId="4FE4EBA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地点：</w:t>
      </w:r>
    </w:p>
    <w:p w14:paraId="04592DD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投标地点：广西政府采购云平台（</w:t>
      </w:r>
      <w:r>
        <w:rPr>
          <w:rFonts w:hint="eastAsia" w:ascii="宋体" w:hAnsi="宋体"/>
          <w:bCs/>
          <w:color w:val="auto"/>
          <w:szCs w:val="21"/>
          <w:highlight w:val="none"/>
        </w:rPr>
        <w:t>https</w:t>
      </w:r>
      <w:r>
        <w:rPr>
          <w:rFonts w:hint="eastAsia" w:ascii="宋体" w:hAnsi="宋体"/>
          <w:bCs/>
          <w:color w:val="auto"/>
          <w:szCs w:val="21"/>
          <w:highlight w:val="none"/>
          <w:lang w:eastAsia="zh-CN"/>
        </w:rPr>
        <w:t>:</w:t>
      </w:r>
      <w:r>
        <w:rPr>
          <w:rFonts w:hint="eastAsia" w:ascii="宋体" w:hAnsi="宋体"/>
          <w:bCs/>
          <w:color w:val="auto"/>
          <w:szCs w:val="21"/>
          <w:highlight w:val="none"/>
        </w:rPr>
        <w:t>//www.gcy.zfcg.gxzf.gov.cn/</w:t>
      </w:r>
      <w:r>
        <w:rPr>
          <w:rFonts w:hint="eastAsia" w:ascii="宋体" w:hAnsi="宋体"/>
          <w:color w:val="auto"/>
          <w:szCs w:val="21"/>
          <w:highlight w:val="none"/>
        </w:rPr>
        <w:t>）</w:t>
      </w:r>
    </w:p>
    <w:p w14:paraId="4DECC14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开标地点：</w:t>
      </w:r>
      <w:r>
        <w:rPr>
          <w:rFonts w:hint="eastAsia"/>
          <w:color w:val="auto"/>
          <w:highlight w:val="none"/>
        </w:rPr>
        <w:t>广西壮族自治区梧州市长洲区三龙大道72号红岭大厦8楼政采类</w:t>
      </w:r>
      <w:r>
        <w:rPr>
          <w:rFonts w:hint="eastAsia"/>
          <w:color w:val="auto"/>
          <w:highlight w:val="none"/>
          <w:lang w:eastAsia="zh-CN"/>
        </w:rPr>
        <w:t>（</w:t>
      </w:r>
      <w:r>
        <w:rPr>
          <w:rFonts w:hint="eastAsia"/>
          <w:color w:val="auto"/>
          <w:highlight w:val="none"/>
        </w:rPr>
        <w:t>开标室</w:t>
      </w:r>
      <w:r>
        <w:rPr>
          <w:rFonts w:hint="eastAsia"/>
          <w:color w:val="auto"/>
          <w:highlight w:val="none"/>
          <w:lang w:eastAsia="zh-CN"/>
        </w:rPr>
        <w:t>）</w:t>
      </w:r>
    </w:p>
    <w:p w14:paraId="7F45FCA6">
      <w:pPr>
        <w:spacing w:line="360" w:lineRule="auto"/>
        <w:rPr>
          <w:rFonts w:hint="eastAsia" w:ascii="黑体" w:hAnsi="黑体" w:eastAsia="黑体"/>
          <w:b/>
          <w:bCs/>
          <w:color w:val="auto"/>
          <w:sz w:val="24"/>
          <w:highlight w:val="none"/>
        </w:rPr>
      </w:pPr>
      <w:r>
        <w:rPr>
          <w:rFonts w:hint="eastAsia" w:ascii="黑体" w:hAnsi="黑体" w:eastAsia="黑体"/>
          <w:b/>
          <w:bCs/>
          <w:color w:val="auto"/>
          <w:sz w:val="24"/>
          <w:highlight w:val="none"/>
        </w:rPr>
        <w:t>五、公告期限</w:t>
      </w:r>
      <w:bookmarkEnd w:id="32"/>
      <w:bookmarkEnd w:id="33"/>
      <w:bookmarkEnd w:id="34"/>
      <w:bookmarkEnd w:id="35"/>
    </w:p>
    <w:p w14:paraId="55071EDF">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1FE0F488">
      <w:pPr>
        <w:spacing w:line="360" w:lineRule="auto"/>
        <w:rPr>
          <w:rFonts w:hint="eastAsia" w:ascii="黑体" w:hAnsi="黑体" w:eastAsia="黑体"/>
          <w:b/>
          <w:bCs/>
          <w:color w:val="auto"/>
          <w:sz w:val="24"/>
          <w:highlight w:val="none"/>
        </w:rPr>
      </w:pPr>
      <w:bookmarkStart w:id="36" w:name="_Toc35393795"/>
      <w:bookmarkStart w:id="37" w:name="_Toc35393626"/>
      <w:r>
        <w:rPr>
          <w:rFonts w:hint="eastAsia" w:ascii="黑体" w:hAnsi="黑体" w:eastAsia="黑体"/>
          <w:b/>
          <w:bCs/>
          <w:color w:val="auto"/>
          <w:sz w:val="24"/>
          <w:highlight w:val="none"/>
        </w:rPr>
        <w:t>六、其他补充事宜</w:t>
      </w:r>
      <w:bookmarkEnd w:id="36"/>
      <w:bookmarkEnd w:id="37"/>
    </w:p>
    <w:p w14:paraId="2492E0DC">
      <w:pPr>
        <w:spacing w:line="360" w:lineRule="auto"/>
        <w:ind w:firstLine="420" w:firstLineChars="200"/>
        <w:rPr>
          <w:rFonts w:hint="eastAsia" w:ascii="宋体" w:hAnsi="宋体" w:cs="宋体"/>
          <w:color w:val="auto"/>
          <w:kern w:val="0"/>
          <w:szCs w:val="21"/>
          <w:highlight w:val="none"/>
        </w:rPr>
      </w:pPr>
      <w:bookmarkStart w:id="38" w:name="_Hlk37429595"/>
      <w:bookmarkStart w:id="39" w:name="_Hlk37429585"/>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.网上查询地址</w:t>
      </w:r>
    </w:p>
    <w:bookmarkEnd w:id="38"/>
    <w:bookmarkEnd w:id="39"/>
    <w:p w14:paraId="2746E3C2">
      <w:pPr>
        <w:spacing w:line="360" w:lineRule="auto"/>
        <w:ind w:left="210" w:leftChars="100" w:firstLine="424" w:firstLineChars="202"/>
        <w:rPr>
          <w:rFonts w:hint="eastAsia" w:ascii="宋体" w:hAnsi="宋体" w:cs="宋体"/>
          <w:iCs/>
          <w:color w:val="auto"/>
          <w:kern w:val="0"/>
          <w:szCs w:val="21"/>
          <w:highlight w:val="none"/>
        </w:rPr>
      </w:pPr>
      <w:bookmarkStart w:id="40" w:name="_Hlk37429674"/>
      <w:r>
        <w:rPr>
          <w:rFonts w:ascii="宋体" w:hAnsi="宋体" w:cs="宋体"/>
          <w:iCs/>
          <w:color w:val="auto"/>
          <w:kern w:val="0"/>
          <w:szCs w:val="21"/>
          <w:highlight w:val="none"/>
        </w:rPr>
        <w:t>http</w:t>
      </w:r>
      <w:r>
        <w:rPr>
          <w:rFonts w:hint="eastAsia" w:ascii="宋体" w:hAnsi="宋体" w:cs="宋体"/>
          <w:iCs/>
          <w:color w:val="auto"/>
          <w:kern w:val="0"/>
          <w:szCs w:val="21"/>
          <w:highlight w:val="none"/>
          <w:lang w:eastAsia="zh-CN"/>
        </w:rPr>
        <w:t>:</w:t>
      </w:r>
      <w:r>
        <w:rPr>
          <w:rFonts w:hint="eastAsia" w:ascii="宋体" w:hAnsi="宋体" w:cs="宋体"/>
          <w:iCs/>
          <w:color w:val="auto"/>
          <w:kern w:val="0"/>
          <w:szCs w:val="21"/>
          <w:highlight w:val="none"/>
        </w:rPr>
        <w:t>//www.ccgp.gov.cn（中国政府采购网）、</w:t>
      </w:r>
      <w:r>
        <w:rPr>
          <w:rFonts w:ascii="宋体" w:hAnsi="宋体" w:cs="宋体"/>
          <w:iCs/>
          <w:color w:val="auto"/>
          <w:kern w:val="0"/>
          <w:szCs w:val="21"/>
          <w:highlight w:val="none"/>
        </w:rPr>
        <w:t>http</w:t>
      </w:r>
      <w:r>
        <w:rPr>
          <w:rFonts w:hint="eastAsia" w:ascii="宋体" w:hAnsi="宋体" w:cs="宋体"/>
          <w:iCs/>
          <w:color w:val="auto"/>
          <w:kern w:val="0"/>
          <w:szCs w:val="21"/>
          <w:highlight w:val="none"/>
          <w:lang w:eastAsia="zh-CN"/>
        </w:rPr>
        <w:t>:</w:t>
      </w:r>
      <w:r>
        <w:rPr>
          <w:rFonts w:hint="eastAsia" w:ascii="宋体" w:hAnsi="宋体" w:cs="宋体"/>
          <w:iCs/>
          <w:color w:val="auto"/>
          <w:kern w:val="0"/>
          <w:szCs w:val="21"/>
          <w:highlight w:val="none"/>
        </w:rPr>
        <w:t>//zfcg.gxzf.gov.cn（广西壮族自治区政府采购网）、http</w:t>
      </w:r>
      <w:r>
        <w:rPr>
          <w:rFonts w:hint="eastAsia" w:ascii="宋体" w:hAnsi="宋体" w:cs="宋体"/>
          <w:iCs/>
          <w:color w:val="auto"/>
          <w:kern w:val="0"/>
          <w:szCs w:val="21"/>
          <w:highlight w:val="none"/>
          <w:lang w:eastAsia="zh-CN"/>
        </w:rPr>
        <w:t>:</w:t>
      </w:r>
      <w:r>
        <w:rPr>
          <w:rFonts w:hint="eastAsia" w:ascii="宋体" w:hAnsi="宋体" w:cs="宋体"/>
          <w:iCs/>
          <w:color w:val="auto"/>
          <w:kern w:val="0"/>
          <w:szCs w:val="21"/>
          <w:highlight w:val="none"/>
        </w:rPr>
        <w:t>//117.141.250.58</w:t>
      </w:r>
      <w:r>
        <w:rPr>
          <w:rFonts w:hint="eastAsia" w:ascii="宋体" w:hAnsi="宋体" w:cs="宋体"/>
          <w:iCs/>
          <w:color w:val="auto"/>
          <w:kern w:val="0"/>
          <w:szCs w:val="21"/>
          <w:highlight w:val="none"/>
          <w:lang w:eastAsia="zh-CN"/>
        </w:rPr>
        <w:t>:</w:t>
      </w:r>
      <w:r>
        <w:rPr>
          <w:rFonts w:hint="eastAsia" w:ascii="宋体" w:hAnsi="宋体" w:cs="宋体"/>
          <w:iCs/>
          <w:color w:val="auto"/>
          <w:kern w:val="0"/>
          <w:szCs w:val="21"/>
          <w:highlight w:val="none"/>
        </w:rPr>
        <w:t>10030/web/cgw/index.ptl（梧州市政府采购网）、http</w:t>
      </w:r>
      <w:r>
        <w:rPr>
          <w:rFonts w:hint="eastAsia" w:ascii="宋体" w:hAnsi="宋体" w:cs="宋体"/>
          <w:iCs/>
          <w:color w:val="auto"/>
          <w:kern w:val="0"/>
          <w:szCs w:val="21"/>
          <w:highlight w:val="none"/>
          <w:lang w:eastAsia="zh-CN"/>
        </w:rPr>
        <w:t>:</w:t>
      </w:r>
      <w:r>
        <w:rPr>
          <w:rFonts w:hint="eastAsia" w:ascii="宋体" w:hAnsi="宋体" w:cs="宋体"/>
          <w:iCs/>
          <w:color w:val="auto"/>
          <w:kern w:val="0"/>
          <w:szCs w:val="21"/>
          <w:highlight w:val="none"/>
        </w:rPr>
        <w:t>//www.cangwu.gov.cn/（广西梧州苍梧县人民政府门户网）、http</w:t>
      </w:r>
      <w:r>
        <w:rPr>
          <w:rFonts w:hint="eastAsia" w:ascii="宋体" w:hAnsi="宋体" w:cs="宋体"/>
          <w:iCs/>
          <w:color w:val="auto"/>
          <w:kern w:val="0"/>
          <w:szCs w:val="21"/>
          <w:highlight w:val="none"/>
          <w:lang w:eastAsia="zh-CN"/>
        </w:rPr>
        <w:t>:</w:t>
      </w:r>
      <w:r>
        <w:rPr>
          <w:rFonts w:hint="eastAsia" w:ascii="宋体" w:hAnsi="宋体" w:cs="宋体"/>
          <w:iCs/>
          <w:color w:val="auto"/>
          <w:kern w:val="0"/>
          <w:szCs w:val="21"/>
          <w:highlight w:val="none"/>
        </w:rPr>
        <w:t>//ggzy.jgswj.gxzf.gov.cn/wzggzy/（全国公共资源交易平台·梧州）</w:t>
      </w:r>
    </w:p>
    <w:p w14:paraId="32A7B4D0">
      <w:pPr>
        <w:spacing w:line="360" w:lineRule="auto"/>
        <w:ind w:firstLine="424" w:firstLineChars="202"/>
        <w:rPr>
          <w:rFonts w:hint="eastAsia" w:ascii="宋体" w:hAnsi="宋体" w:cs="宋体"/>
          <w:color w:val="auto"/>
          <w:kern w:val="0"/>
          <w:szCs w:val="21"/>
          <w:highlight w:val="none"/>
        </w:rPr>
      </w:pP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p w14:paraId="50A563F5">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12CBF5F5">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08D41D1D">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1027373F">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382A1EA6">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498EB88E">
      <w:pPr>
        <w:widowControl/>
        <w:spacing w:line="360" w:lineRule="auto"/>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w:t>
      </w:r>
      <w:bookmarkEnd w:id="40"/>
      <w:bookmarkStart w:id="41" w:name="_Toc28359085"/>
      <w:bookmarkStart w:id="42" w:name="_Toc35393796"/>
      <w:bookmarkStart w:id="43" w:name="_Toc28359008"/>
      <w:bookmarkStart w:id="44" w:name="_Toc35393627"/>
      <w:r>
        <w:rPr>
          <w:rFonts w:hint="eastAsia" w:ascii="宋体" w:hAnsi="宋体" w:cs="宋体"/>
          <w:color w:val="auto"/>
          <w:kern w:val="0"/>
          <w:szCs w:val="21"/>
          <w:highlight w:val="none"/>
        </w:rPr>
        <w:t>投标人</w:t>
      </w:r>
      <w:r>
        <w:rPr>
          <w:rFonts w:hint="eastAsia" w:ascii="宋体" w:hAnsi="宋体"/>
          <w:color w:val="auto"/>
          <w:szCs w:val="21"/>
          <w:highlight w:val="none"/>
        </w:rPr>
        <w:t>投标注意事项</w:t>
      </w:r>
    </w:p>
    <w:p w14:paraId="3B0CD727">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https</w:t>
      </w:r>
      <w:r>
        <w:rPr>
          <w:rFonts w:hint="eastAsia" w:ascii="宋体" w:hAnsi="宋体"/>
          <w:bCs/>
          <w:color w:val="auto"/>
          <w:szCs w:val="21"/>
          <w:highlight w:val="none"/>
          <w:lang w:eastAsia="zh-CN"/>
        </w:rPr>
        <w:t>:</w:t>
      </w:r>
      <w:r>
        <w:rPr>
          <w:rFonts w:hint="eastAsia" w:ascii="宋体" w:hAnsi="宋体"/>
          <w:bCs/>
          <w:color w:val="auto"/>
          <w:szCs w:val="21"/>
          <w:highlight w:val="none"/>
        </w:rPr>
        <w:t>//www.gcy.zfcg.gxzf.gov.cn/</w:t>
      </w:r>
      <w:r>
        <w:rPr>
          <w:rFonts w:hint="eastAsia" w:ascii="宋体" w:hAnsi="宋体"/>
          <w:color w:val="auto"/>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color w:val="auto"/>
          <w:highlight w:val="none"/>
        </w:rPr>
        <w:t>后缀名为“</w:t>
      </w:r>
      <w:r>
        <w:rPr>
          <w:color w:val="auto"/>
          <w:highlight w:val="none"/>
        </w:rPr>
        <w:t>jmbs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投标人在广西政府采购云平台提交电子投标文件时，请填写参加远程开标活动经办人联系方式。</w:t>
      </w:r>
      <w:r>
        <w:rPr>
          <w:rFonts w:hint="eastAsia" w:ascii="宋体" w:hAnsi="宋体"/>
          <w:color w:val="auto"/>
          <w:szCs w:val="21"/>
          <w:highlight w:val="none"/>
        </w:rPr>
        <w:t>投标人登录广西政府采购云平台，依次进入“服务中心</w:t>
      </w:r>
      <w:r>
        <w:rPr>
          <w:rFonts w:hint="eastAsia" w:ascii="宋体" w:hAnsi="宋体"/>
          <w:color w:val="auto"/>
          <w:szCs w:val="21"/>
          <w:highlight w:val="none"/>
          <w:lang w:eastAsia="zh-CN"/>
        </w:rPr>
        <w:t>－</w:t>
      </w:r>
      <w:r>
        <w:rPr>
          <w:rFonts w:hint="eastAsia" w:ascii="宋体" w:hAnsi="宋体"/>
          <w:color w:val="auto"/>
          <w:szCs w:val="21"/>
          <w:highlight w:val="none"/>
        </w:rPr>
        <w:t>项目采购</w:t>
      </w:r>
      <w:r>
        <w:rPr>
          <w:rFonts w:hint="eastAsia" w:ascii="宋体" w:hAnsi="宋体"/>
          <w:color w:val="auto"/>
          <w:szCs w:val="21"/>
          <w:highlight w:val="none"/>
          <w:lang w:eastAsia="zh-CN"/>
        </w:rPr>
        <w:t>－</w:t>
      </w:r>
      <w:r>
        <w:rPr>
          <w:rFonts w:hint="eastAsia" w:ascii="宋体" w:hAnsi="宋体"/>
          <w:color w:val="auto"/>
          <w:szCs w:val="21"/>
          <w:highlight w:val="none"/>
        </w:rPr>
        <w:t>操作流程</w:t>
      </w:r>
      <w:r>
        <w:rPr>
          <w:rFonts w:hint="eastAsia" w:ascii="宋体" w:hAnsi="宋体"/>
          <w:color w:val="auto"/>
          <w:szCs w:val="21"/>
          <w:highlight w:val="none"/>
          <w:lang w:eastAsia="zh-CN"/>
        </w:rPr>
        <w:t>－</w:t>
      </w:r>
      <w:r>
        <w:rPr>
          <w:rFonts w:hint="eastAsia" w:ascii="宋体" w:hAnsi="宋体"/>
          <w:color w:val="auto"/>
          <w:szCs w:val="21"/>
          <w:highlight w:val="none"/>
        </w:rPr>
        <w:t>电子招投标</w:t>
      </w:r>
      <w:r>
        <w:rPr>
          <w:rFonts w:hint="eastAsia" w:ascii="宋体" w:hAnsi="宋体"/>
          <w:color w:val="auto"/>
          <w:szCs w:val="21"/>
          <w:highlight w:val="none"/>
          <w:lang w:eastAsia="zh-CN"/>
        </w:rPr>
        <w:t>－</w:t>
      </w:r>
      <w:r>
        <w:rPr>
          <w:rFonts w:hint="eastAsia"/>
          <w:color w:val="auto"/>
          <w:highlight w:val="none"/>
        </w:rPr>
        <w:t>政府采购项目电子交易管理操作指南</w:t>
      </w:r>
      <w:r>
        <w:rPr>
          <w:rFonts w:hint="eastAsia"/>
          <w:color w:val="auto"/>
          <w:highlight w:val="none"/>
          <w:lang w:eastAsia="zh-CN"/>
        </w:rPr>
        <w:t>－</w:t>
      </w:r>
      <w:r>
        <w:rPr>
          <w:rFonts w:hint="eastAsia"/>
          <w:color w:val="auto"/>
          <w:highlight w:val="none"/>
        </w:rPr>
        <w:t>供应商</w:t>
      </w:r>
      <w:r>
        <w:rPr>
          <w:rFonts w:hint="eastAsia" w:ascii="宋体" w:hAnsi="宋体"/>
          <w:color w:val="auto"/>
          <w:szCs w:val="21"/>
          <w:highlight w:val="none"/>
        </w:rPr>
        <w:t>”查看电子投标具体操作流程。</w:t>
      </w:r>
    </w:p>
    <w:p w14:paraId="77938A35">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w:t>
      </w:r>
      <w:r>
        <w:rPr>
          <w:rFonts w:hint="eastAsia" w:ascii="宋体" w:hAnsi="宋体"/>
          <w:color w:val="auto"/>
          <w:szCs w:val="21"/>
          <w:highlight w:val="none"/>
          <w:lang w:eastAsia="zh-CN"/>
        </w:rPr>
        <w:t>－</w:t>
      </w:r>
      <w:r>
        <w:rPr>
          <w:rFonts w:hint="eastAsia" w:ascii="宋体" w:hAnsi="宋体"/>
          <w:color w:val="auto"/>
          <w:szCs w:val="21"/>
          <w:highlight w:val="none"/>
        </w:rPr>
        <w:t>下载专区”或者登录广西政府采购云平台</w:t>
      </w:r>
      <w:r>
        <w:rPr>
          <w:rFonts w:hint="eastAsia" w:ascii="宋体" w:hAnsi="宋体" w:cs="宋体"/>
          <w:color w:val="auto"/>
          <w:kern w:val="0"/>
          <w:szCs w:val="21"/>
          <w:highlight w:val="none"/>
        </w:rPr>
        <w:t>，</w:t>
      </w:r>
      <w:r>
        <w:rPr>
          <w:rFonts w:hint="eastAsia" w:ascii="宋体" w:hAnsi="宋体"/>
          <w:color w:val="auto"/>
          <w:szCs w:val="21"/>
          <w:highlight w:val="none"/>
        </w:rPr>
        <w:t>依次进入“服务中心</w:t>
      </w:r>
      <w:r>
        <w:rPr>
          <w:rFonts w:hint="eastAsia" w:ascii="宋体" w:hAnsi="宋体"/>
          <w:color w:val="auto"/>
          <w:szCs w:val="21"/>
          <w:highlight w:val="none"/>
          <w:lang w:eastAsia="zh-CN"/>
        </w:rPr>
        <w:t>－</w:t>
      </w:r>
      <w:r>
        <w:rPr>
          <w:rFonts w:hint="eastAsia" w:ascii="宋体" w:hAnsi="宋体"/>
          <w:color w:val="auto"/>
          <w:szCs w:val="21"/>
          <w:highlight w:val="none"/>
        </w:rPr>
        <w:t>入驻与配置”中查看CA数字证书办理操作流程。</w:t>
      </w:r>
      <w:r>
        <w:rPr>
          <w:rFonts w:hint="eastAsia" w:ascii="宋体" w:hAnsi="宋体" w:cs="宋体"/>
          <w:b/>
          <w:color w:val="auto"/>
          <w:kern w:val="0"/>
          <w:szCs w:val="21"/>
          <w:highlight w:val="none"/>
        </w:rPr>
        <w:t>如在操作过程中遇到问题或者需要技术支持，请致电客服热线：95763或0771-3381253</w:t>
      </w:r>
      <w:r>
        <w:rPr>
          <w:rFonts w:hint="eastAsia" w:ascii="宋体" w:hAnsi="宋体"/>
          <w:b/>
          <w:color w:val="auto"/>
          <w:szCs w:val="21"/>
          <w:highlight w:val="none"/>
        </w:rPr>
        <w:t>）</w:t>
      </w:r>
      <w:r>
        <w:rPr>
          <w:rFonts w:hint="eastAsia" w:ascii="宋体" w:hAnsi="宋体"/>
          <w:color w:val="auto"/>
          <w:szCs w:val="21"/>
          <w:highlight w:val="none"/>
        </w:rPr>
        <w:t>。</w:t>
      </w:r>
    </w:p>
    <w:p w14:paraId="6FE06A8F">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电子开标大厅现场按规定时间对加密的投标文件进行解密，否则后果自负。</w:t>
      </w:r>
    </w:p>
    <w:p w14:paraId="6EC183A1">
      <w:pPr>
        <w:spacing w:line="360" w:lineRule="auto"/>
        <w:ind w:firstLine="424" w:firstLineChars="202"/>
        <w:rPr>
          <w:rFonts w:hint="eastAsia" w:ascii="宋体" w:hAnsi="宋体"/>
          <w:bCs/>
          <w:color w:val="auto"/>
          <w:szCs w:val="21"/>
          <w:highlight w:val="none"/>
        </w:rPr>
      </w:pPr>
      <w:r>
        <w:rPr>
          <w:rFonts w:hint="eastAsia" w:ascii="宋体" w:hAnsi="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p w14:paraId="68FBF6C3">
      <w:pPr>
        <w:spacing w:line="360" w:lineRule="auto"/>
        <w:ind w:firstLine="426" w:firstLineChars="202"/>
        <w:rPr>
          <w:rFonts w:hint="eastAsia" w:ascii="宋体" w:hAnsi="宋体" w:cs="宋体"/>
          <w:b/>
          <w:bCs/>
          <w:iCs/>
          <w:color w:val="auto"/>
          <w:kern w:val="0"/>
          <w:szCs w:val="21"/>
          <w:highlight w:val="none"/>
        </w:rPr>
      </w:pPr>
      <w:r>
        <w:rPr>
          <w:rFonts w:hint="eastAsia" w:ascii="宋体" w:hAnsi="宋体" w:cs="宋体"/>
          <w:b/>
          <w:bCs/>
          <w:iCs/>
          <w:color w:val="auto"/>
          <w:kern w:val="0"/>
          <w:szCs w:val="21"/>
          <w:highlight w:val="none"/>
          <w:lang w:val="en-US" w:eastAsia="zh-CN"/>
        </w:rPr>
        <w:t>4</w:t>
      </w:r>
      <w:r>
        <w:rPr>
          <w:rFonts w:hint="eastAsia" w:ascii="宋体" w:hAnsi="宋体" w:cs="宋体"/>
          <w:b/>
          <w:bCs/>
          <w:iCs/>
          <w:color w:val="auto"/>
          <w:kern w:val="0"/>
          <w:szCs w:val="21"/>
          <w:highlight w:val="none"/>
        </w:rPr>
        <w:t>.本项目为远程异地全流程电子评标。</w:t>
      </w:r>
    </w:p>
    <w:p w14:paraId="77E08D32">
      <w:pPr>
        <w:spacing w:line="360" w:lineRule="auto"/>
        <w:ind w:firstLine="482" w:firstLineChars="200"/>
        <w:rPr>
          <w:rFonts w:hint="eastAsia"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41"/>
      <w:bookmarkEnd w:id="42"/>
      <w:bookmarkEnd w:id="43"/>
      <w:bookmarkEnd w:id="44"/>
    </w:p>
    <w:p w14:paraId="3955AC0B">
      <w:pPr>
        <w:spacing w:line="360" w:lineRule="auto"/>
        <w:ind w:firstLine="420" w:firstLineChars="200"/>
        <w:rPr>
          <w:rFonts w:hint="eastAsia" w:ascii="宋体" w:hAnsi="宋体" w:cs="宋体"/>
          <w:color w:val="auto"/>
          <w:kern w:val="0"/>
          <w:szCs w:val="21"/>
          <w:highlight w:val="none"/>
        </w:rPr>
      </w:pPr>
      <w:bookmarkStart w:id="45" w:name="_Toc35393637"/>
      <w:bookmarkStart w:id="46" w:name="_Toc28359019"/>
      <w:bookmarkStart w:id="47" w:name="_Toc28359096"/>
      <w:bookmarkStart w:id="48" w:name="_Toc35393806"/>
      <w:r>
        <w:rPr>
          <w:rFonts w:hint="eastAsia" w:ascii="宋体" w:hAnsi="宋体" w:cs="宋体"/>
          <w:color w:val="auto"/>
          <w:kern w:val="0"/>
          <w:szCs w:val="21"/>
          <w:highlight w:val="none"/>
        </w:rPr>
        <w:t>1.采购人信息</w:t>
      </w:r>
      <w:bookmarkEnd w:id="45"/>
      <w:bookmarkEnd w:id="46"/>
      <w:bookmarkEnd w:id="47"/>
      <w:bookmarkEnd w:id="48"/>
    </w:p>
    <w:p w14:paraId="710B8521">
      <w:pPr>
        <w:spacing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名    称：</w:t>
      </w:r>
      <w:r>
        <w:rPr>
          <w:rFonts w:hint="eastAsia" w:ascii="宋体" w:hAnsi="宋体"/>
          <w:color w:val="auto"/>
          <w:szCs w:val="21"/>
          <w:highlight w:val="none"/>
          <w:lang w:eastAsia="zh-CN"/>
        </w:rPr>
        <w:t>苍梧县中医医院</w:t>
      </w:r>
    </w:p>
    <w:p w14:paraId="0DCAE37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地    址：苍梧县石桥镇新城区迎宾大道东段路北侧苍梧县中医医院</w:t>
      </w:r>
    </w:p>
    <w:p w14:paraId="3BF07C4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联系方式：</w:t>
      </w:r>
      <w:r>
        <w:rPr>
          <w:rFonts w:hint="eastAsia" w:ascii="宋体" w:hAnsi="宋体"/>
          <w:color w:val="auto"/>
          <w:szCs w:val="21"/>
          <w:highlight w:val="none"/>
          <w:lang w:val="en-US" w:eastAsia="zh-CN"/>
        </w:rPr>
        <w:t>车妙欣</w:t>
      </w:r>
      <w:r>
        <w:rPr>
          <w:rFonts w:hint="eastAsia" w:ascii="宋体" w:hAnsi="宋体"/>
          <w:color w:val="auto"/>
          <w:szCs w:val="21"/>
          <w:highlight w:val="none"/>
          <w:lang w:eastAsia="zh-CN"/>
        </w:rPr>
        <w:t>，</w:t>
      </w:r>
      <w:r>
        <w:rPr>
          <w:rFonts w:hint="eastAsia" w:ascii="宋体" w:hAnsi="宋体"/>
          <w:color w:val="auto"/>
          <w:szCs w:val="21"/>
          <w:highlight w:val="none"/>
        </w:rPr>
        <w:t xml:space="preserve">0774-2933690 </w:t>
      </w:r>
    </w:p>
    <w:p w14:paraId="76D81731">
      <w:pPr>
        <w:spacing w:line="360" w:lineRule="auto"/>
        <w:ind w:firstLine="420" w:firstLineChars="200"/>
        <w:rPr>
          <w:rFonts w:hint="eastAsia" w:ascii="宋体" w:hAnsi="宋体" w:cs="宋体"/>
          <w:color w:val="auto"/>
          <w:kern w:val="0"/>
          <w:szCs w:val="21"/>
          <w:highlight w:val="none"/>
        </w:rPr>
      </w:pPr>
      <w:bookmarkStart w:id="49" w:name="_Toc35393638"/>
      <w:bookmarkStart w:id="50" w:name="_Toc28359020"/>
      <w:bookmarkStart w:id="51" w:name="_Toc28359097"/>
      <w:bookmarkStart w:id="52" w:name="_Toc35393807"/>
      <w:r>
        <w:rPr>
          <w:rFonts w:hint="eastAsia" w:ascii="宋体" w:hAnsi="宋体" w:cs="宋体"/>
          <w:color w:val="auto"/>
          <w:kern w:val="0"/>
          <w:szCs w:val="21"/>
          <w:highlight w:val="none"/>
        </w:rPr>
        <w:t>2.采购代理机构信息</w:t>
      </w:r>
      <w:bookmarkEnd w:id="49"/>
      <w:bookmarkEnd w:id="50"/>
      <w:bookmarkEnd w:id="51"/>
      <w:bookmarkEnd w:id="52"/>
    </w:p>
    <w:p w14:paraId="0CA45C4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名    称：云之龙咨询集团有限公司</w:t>
      </w:r>
    </w:p>
    <w:p w14:paraId="7CB71F73">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地　　址：苍梧县石桥镇龙圣新城开发区A01号</w:t>
      </w:r>
    </w:p>
    <w:p w14:paraId="1453B96E">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联系方式：</w:t>
      </w:r>
      <w:r>
        <w:rPr>
          <w:rFonts w:hint="eastAsia" w:ascii="宋体" w:hAnsi="宋体" w:cs="宋体"/>
          <w:color w:val="auto"/>
          <w:kern w:val="0"/>
          <w:szCs w:val="21"/>
          <w:highlight w:val="none"/>
          <w:lang w:eastAsia="zh-CN"/>
        </w:rPr>
        <w:t>朱梓烨、</w:t>
      </w:r>
      <w:r>
        <w:rPr>
          <w:rFonts w:hint="eastAsia" w:ascii="宋体" w:hAnsi="宋体" w:cs="宋体"/>
          <w:color w:val="auto"/>
          <w:kern w:val="0"/>
          <w:szCs w:val="21"/>
          <w:highlight w:val="none"/>
          <w:lang w:val="en-US" w:eastAsia="zh-CN"/>
        </w:rPr>
        <w:t>陈丽莹</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0774-3859935</w:t>
      </w:r>
    </w:p>
    <w:p w14:paraId="6AD71D61">
      <w:pPr>
        <w:spacing w:line="360" w:lineRule="auto"/>
        <w:ind w:firstLine="420" w:firstLineChars="200"/>
        <w:rPr>
          <w:rFonts w:hint="eastAsia" w:ascii="宋体" w:hAnsi="宋体" w:cs="宋体"/>
          <w:color w:val="auto"/>
          <w:kern w:val="0"/>
          <w:szCs w:val="21"/>
          <w:highlight w:val="none"/>
        </w:rPr>
      </w:pPr>
      <w:bookmarkStart w:id="53" w:name="_Toc28359021"/>
      <w:bookmarkStart w:id="54" w:name="_Toc35393639"/>
      <w:bookmarkStart w:id="55" w:name="_Toc28359098"/>
      <w:bookmarkStart w:id="56" w:name="_Toc35393808"/>
      <w:r>
        <w:rPr>
          <w:rFonts w:hint="eastAsia" w:ascii="宋体" w:hAnsi="宋体" w:cs="宋体"/>
          <w:color w:val="auto"/>
          <w:kern w:val="0"/>
          <w:szCs w:val="21"/>
          <w:highlight w:val="none"/>
        </w:rPr>
        <w:t>3.项目联系方式</w:t>
      </w:r>
      <w:bookmarkEnd w:id="53"/>
      <w:bookmarkEnd w:id="54"/>
      <w:bookmarkEnd w:id="55"/>
      <w:bookmarkEnd w:id="56"/>
    </w:p>
    <w:p w14:paraId="6937D7E9">
      <w:pPr>
        <w:spacing w:line="360" w:lineRule="auto"/>
        <w:ind w:firstLine="420" w:firstLineChars="200"/>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eastAsia="zh-CN"/>
        </w:rPr>
        <w:t>朱梓烨、</w:t>
      </w:r>
      <w:r>
        <w:rPr>
          <w:rFonts w:hint="eastAsia" w:ascii="宋体" w:hAnsi="宋体" w:cs="宋体"/>
          <w:color w:val="auto"/>
          <w:kern w:val="0"/>
          <w:szCs w:val="21"/>
          <w:highlight w:val="none"/>
          <w:lang w:val="en-US" w:eastAsia="zh-CN"/>
        </w:rPr>
        <w:t>陈丽莹</w:t>
      </w:r>
    </w:p>
    <w:p w14:paraId="7D54F8C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电　　话：0774-3859935</w:t>
      </w:r>
    </w:p>
    <w:p w14:paraId="0D054471">
      <w:pPr>
        <w:spacing w:line="360" w:lineRule="auto"/>
        <w:ind w:firstLine="420" w:firstLineChars="200"/>
        <w:rPr>
          <w:rFonts w:hint="eastAsia" w:ascii="宋体" w:hAnsi="宋体"/>
          <w:color w:val="auto"/>
          <w:szCs w:val="21"/>
          <w:highlight w:val="none"/>
        </w:rPr>
      </w:pPr>
    </w:p>
    <w:p w14:paraId="7DD914B7">
      <w:pPr>
        <w:spacing w:line="360" w:lineRule="auto"/>
        <w:ind w:firstLine="420" w:firstLineChars="200"/>
        <w:rPr>
          <w:color w:val="auto"/>
          <w:highlight w:val="none"/>
        </w:rPr>
      </w:pPr>
      <w:r>
        <w:rPr>
          <w:rFonts w:hint="eastAsia" w:ascii="宋体" w:hAnsi="宋体"/>
          <w:color w:val="auto"/>
          <w:szCs w:val="21"/>
          <w:highlight w:val="none"/>
        </w:rPr>
        <w:t>附件：采购需求</w:t>
      </w:r>
    </w:p>
    <w:p w14:paraId="0EF170FB">
      <w:pPr>
        <w:snapToGrid w:val="0"/>
        <w:spacing w:line="320" w:lineRule="exact"/>
        <w:rPr>
          <w:rFonts w:hint="eastAsia" w:ascii="仿宋_GB2312" w:hAnsi="宋体" w:eastAsia="仿宋_GB2312"/>
          <w:color w:val="auto"/>
          <w:sz w:val="24"/>
          <w:szCs w:val="20"/>
          <w:highlight w:val="none"/>
        </w:rPr>
      </w:pPr>
    </w:p>
    <w:p w14:paraId="6E9B1FEE">
      <w:pPr>
        <w:rPr>
          <w:color w:val="auto"/>
          <w:highlight w:val="none"/>
        </w:rPr>
      </w:pPr>
      <w:bookmarkStart w:id="57" w:name="_Toc74320801"/>
      <w:r>
        <w:rPr>
          <w:rFonts w:hint="eastAsia"/>
          <w:color w:val="auto"/>
          <w:highlight w:val="none"/>
        </w:rPr>
        <w:br w:type="page"/>
      </w:r>
    </w:p>
    <w:p w14:paraId="04C57B04">
      <w:pPr>
        <w:pStyle w:val="2"/>
        <w:jc w:val="center"/>
        <w:rPr>
          <w:color w:val="auto"/>
          <w:highlight w:val="none"/>
        </w:rPr>
      </w:pPr>
      <w:r>
        <w:rPr>
          <w:rFonts w:hint="eastAsia"/>
          <w:color w:val="auto"/>
          <w:highlight w:val="none"/>
        </w:rPr>
        <w:t>第二章  采购需求</w:t>
      </w:r>
      <w:bookmarkEnd w:id="57"/>
    </w:p>
    <w:p w14:paraId="740F2261">
      <w:pPr>
        <w:spacing w:line="360" w:lineRule="auto"/>
        <w:jc w:val="left"/>
        <w:rPr>
          <w:rFonts w:hint="eastAsia" w:ascii="宋体" w:hAnsi="宋体" w:cs="宋体"/>
          <w:color w:val="auto"/>
          <w:szCs w:val="21"/>
          <w:highlight w:val="none"/>
        </w:rPr>
      </w:pPr>
      <w:bookmarkStart w:id="58" w:name="_Hlk65055179"/>
      <w:bookmarkStart w:id="59" w:name="_Toc254970490"/>
      <w:bookmarkStart w:id="60" w:name="_Toc254970631"/>
      <w:r>
        <w:rPr>
          <w:rFonts w:hint="eastAsia" w:ascii="宋体" w:hAnsi="宋体" w:cs="宋体"/>
          <w:color w:val="auto"/>
          <w:szCs w:val="21"/>
          <w:highlight w:val="none"/>
        </w:rPr>
        <w:t>说明：</w:t>
      </w:r>
    </w:p>
    <w:p w14:paraId="203D8199">
      <w:pPr>
        <w:numPr>
          <w:ilvl w:val="0"/>
          <w:numId w:val="0"/>
        </w:numPr>
        <w:spacing w:line="360" w:lineRule="auto"/>
        <w:ind w:firstLine="420" w:firstLineChars="200"/>
        <w:jc w:val="left"/>
        <w:rPr>
          <w:color w:val="auto"/>
          <w:highlight w:val="none"/>
        </w:rPr>
      </w:pPr>
      <w:r>
        <w:rPr>
          <w:rFonts w:ascii="Times New Roman" w:hAnsi="Times New Roman" w:eastAsia="宋体" w:cs="Times New Roman"/>
          <w:color w:val="auto"/>
          <w:kern w:val="2"/>
          <w:sz w:val="21"/>
          <w:szCs w:val="24"/>
          <w:highlight w:val="none"/>
          <w:lang w:val="en-US" w:eastAsia="zh-CN" w:bidi="ar-SA"/>
        </w:rPr>
        <w:t>1.</w:t>
      </w:r>
      <w:r>
        <w:rPr>
          <w:rFonts w:hint="eastAsia"/>
          <w:color w:val="auto"/>
          <w:highlight w:val="none"/>
        </w:rPr>
        <w:t>为落实政府采购政策需满足的要求</w:t>
      </w:r>
    </w:p>
    <w:p w14:paraId="33C84A8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3AACD014">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宋体" w:hAnsi="宋体" w:cs="宋体"/>
          <w:b/>
          <w:bCs/>
          <w:color w:val="auto"/>
          <w:szCs w:val="21"/>
          <w:highlight w:val="none"/>
          <w:lang w:eastAsia="zh-CN"/>
        </w:rPr>
        <w:t>否则投标文件按无效处理</w:t>
      </w:r>
      <w:r>
        <w:rPr>
          <w:rFonts w:hint="eastAsia" w:ascii="宋体" w:hAnsi="宋体" w:cs="宋体"/>
          <w:color w:val="auto"/>
          <w:szCs w:val="21"/>
          <w:highlight w:val="none"/>
        </w:rPr>
        <w:t>。如本项目包含的货物属于品目清单内非标注“★”的产品时，应优先采购，具体详见“第四章 评标方法及评标标准”。</w:t>
      </w:r>
    </w:p>
    <w:p w14:paraId="210CC520">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w:t>
      </w:r>
      <w:r>
        <w:rPr>
          <w:color w:val="auto"/>
          <w:highlight w:val="none"/>
        </w:rPr>
        <w:t>根据《关于调整网络安全专用产品安全管理有关事项的公告》（2023年</w:t>
      </w:r>
      <w:r>
        <w:rPr>
          <w:rFonts w:hint="eastAsia"/>
          <w:color w:val="auto"/>
          <w:highlight w:val="none"/>
          <w:lang w:val="en-US" w:eastAsia="zh-CN"/>
        </w:rPr>
        <w:t>第</w:t>
      </w:r>
      <w:r>
        <w:rPr>
          <w:color w:val="auto"/>
          <w:highlight w:val="none"/>
        </w:rPr>
        <w:t>1号）规定，本项目采购需求中的产品如果包括《网络关键设备和网络安全专用产品目录</w:t>
      </w:r>
      <w:r>
        <w:rPr>
          <w:rFonts w:hint="eastAsia"/>
          <w:color w:val="auto"/>
          <w:highlight w:val="none"/>
          <w:lang w:eastAsia="zh-CN"/>
        </w:rPr>
        <w:t>》中</w:t>
      </w:r>
      <w:r>
        <w:rPr>
          <w:color w:val="auto"/>
          <w:highlight w:val="none"/>
        </w:rPr>
        <w:t>的网络安全专用产品，供应商在投标文件中应主动列明供货范围中属于网络安全专用产品的投标产品，并在投标文件（商务及技术文件）中提供由中国网信网（http</w:t>
      </w:r>
      <w:r>
        <w:rPr>
          <w:rFonts w:hint="eastAsia"/>
          <w:color w:val="auto"/>
          <w:highlight w:val="none"/>
          <w:lang w:eastAsia="zh-CN"/>
        </w:rPr>
        <w:t>:</w:t>
      </w:r>
      <w:r>
        <w:rPr>
          <w:color w:val="auto"/>
          <w:highlight w:val="none"/>
        </w:rPr>
        <w:t>//www.cac.gov.cn/index.htm）最新发布的《网络关键设备和网络安全专用产品安全认证和安全检测结果》截图证明材料，</w:t>
      </w:r>
      <w:r>
        <w:rPr>
          <w:b/>
          <w:color w:val="auto"/>
          <w:highlight w:val="none"/>
        </w:rPr>
        <w:t>不在《网络关键设备和网络安全专用产品安全认证和安全检测结果》中或不在有效期内的，</w:t>
      </w:r>
      <w:r>
        <w:rPr>
          <w:rFonts w:hint="eastAsia"/>
          <w:b/>
          <w:color w:val="auto"/>
          <w:highlight w:val="none"/>
        </w:rPr>
        <w:t>按无效投标处理</w:t>
      </w:r>
      <w:r>
        <w:rPr>
          <w:color w:val="auto"/>
          <w:highlight w:val="none"/>
        </w:rPr>
        <w:t>。如属于《网络关键设备和网络安全专用产品目录》中“二、网络安全专用产品”内“产品类别”中的所描述的产品，但不属于所列“产品描述”情形的，应提供相应的说明及证明材料。</w:t>
      </w:r>
    </w:p>
    <w:p w14:paraId="63940CE1">
      <w:pPr>
        <w:spacing w:line="360" w:lineRule="auto"/>
        <w:ind w:firstLine="426" w:firstLineChars="202"/>
        <w:jc w:val="left"/>
        <w:rPr>
          <w:rFonts w:hint="eastAsia" w:ascii="宋体" w:hAnsi="宋体" w:cs="宋体"/>
          <w:b/>
          <w:bCs/>
          <w:color w:val="auto"/>
          <w:szCs w:val="21"/>
          <w:highlight w:val="none"/>
        </w:rPr>
      </w:pPr>
      <w:r>
        <w:rPr>
          <w:rFonts w:hint="eastAsia" w:ascii="宋体" w:hAnsi="宋体" w:cs="宋体"/>
          <w:b/>
          <w:bCs/>
          <w:color w:val="auto"/>
          <w:szCs w:val="21"/>
          <w:highlight w:val="none"/>
        </w:rPr>
        <w:t>2.“实质性要求”是指招标文件中已经指明不满足则投标无效的条款，或者不能负偏离的条款，或者采购需求中带“▲”的条款。</w:t>
      </w:r>
    </w:p>
    <w:p w14:paraId="3DAC7213">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3.标记“●”的条款（如有）是指采购需求中的重要指标，作为评分标准依据。</w:t>
      </w:r>
    </w:p>
    <w:p w14:paraId="49A55706">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4.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6CB4D467">
      <w:pPr>
        <w:spacing w:line="360" w:lineRule="auto"/>
        <w:ind w:firstLine="424" w:firstLineChars="202"/>
        <w:jc w:val="left"/>
        <w:rPr>
          <w:color w:val="auto"/>
          <w:highlight w:val="none"/>
        </w:rPr>
      </w:pPr>
      <w:r>
        <w:rPr>
          <w:rFonts w:hint="eastAsia" w:ascii="宋体" w:hAnsi="宋体" w:cs="宋体"/>
          <w:color w:val="auto"/>
          <w:szCs w:val="21"/>
          <w:highlight w:val="none"/>
        </w:rPr>
        <w:t>5.  投标人应根据自身实际情况如实响应招标文件</w:t>
      </w:r>
      <w:r>
        <w:rPr>
          <w:rFonts w:hint="eastAsia" w:ascii="宋体" w:hAnsi="宋体"/>
          <w:color w:val="auto"/>
          <w:szCs w:val="21"/>
          <w:highlight w:val="none"/>
        </w:rPr>
        <w:t>，</w:t>
      </w:r>
      <w:r>
        <w:rPr>
          <w:rFonts w:hint="eastAsia" w:ascii="宋体" w:hAnsi="宋体"/>
          <w:color w:val="auto"/>
          <w:sz w:val="22"/>
          <w:szCs w:val="22"/>
          <w:highlight w:val="none"/>
        </w:rPr>
        <w:t>对招标文件提出的要求和条件作出明确响应</w:t>
      </w:r>
      <w:r>
        <w:rPr>
          <w:rFonts w:hint="eastAsia" w:ascii="宋体" w:hAnsi="宋体"/>
          <w:color w:val="auto"/>
          <w:szCs w:val="21"/>
          <w:highlight w:val="none"/>
        </w:rPr>
        <w:t>，</w:t>
      </w:r>
      <w:r>
        <w:rPr>
          <w:rFonts w:hint="eastAsia" w:ascii="宋体" w:hAnsi="宋体"/>
          <w:b/>
          <w:bCs/>
          <w:color w:val="auto"/>
          <w:szCs w:val="21"/>
          <w:highlight w:val="none"/>
        </w:rPr>
        <w:t>否则该技术参数视为负偏离</w:t>
      </w:r>
      <w:r>
        <w:rPr>
          <w:rFonts w:hint="eastAsia" w:ascii="宋体" w:hAnsi="宋体"/>
          <w:color w:val="auto"/>
          <w:szCs w:val="21"/>
          <w:highlight w:val="none"/>
        </w:rPr>
        <w:t>。</w:t>
      </w:r>
      <w:r>
        <w:rPr>
          <w:rFonts w:hint="eastAsia"/>
          <w:color w:val="auto"/>
          <w:highlight w:val="none"/>
        </w:rPr>
        <w:t>对于重要技术条款或技术参数</w:t>
      </w:r>
      <w:r>
        <w:rPr>
          <w:rFonts w:hint="eastAsia"/>
          <w:color w:val="auto"/>
          <w:highlight w:val="none"/>
          <w:lang w:val="en-US" w:eastAsia="zh-CN"/>
        </w:rPr>
        <w:t>如要求</w:t>
      </w:r>
      <w:r>
        <w:rPr>
          <w:rFonts w:hint="eastAsia"/>
          <w:color w:val="auto"/>
          <w:highlight w:val="none"/>
        </w:rPr>
        <w:t>在投标文件中提供技术支持资料</w:t>
      </w:r>
      <w:r>
        <w:rPr>
          <w:rFonts w:hint="eastAsia"/>
          <w:color w:val="auto"/>
          <w:highlight w:val="none"/>
          <w:lang w:val="en-US" w:eastAsia="zh-CN"/>
        </w:rPr>
        <w:t>的</w:t>
      </w:r>
      <w:r>
        <w:rPr>
          <w:rFonts w:hint="eastAsia"/>
          <w:color w:val="auto"/>
          <w:highlight w:val="none"/>
        </w:rPr>
        <w:t>，技术支持资料以招标文件中规定的形式为准，</w:t>
      </w:r>
      <w:r>
        <w:rPr>
          <w:rFonts w:hint="eastAsia"/>
          <w:b/>
          <w:bCs/>
          <w:color w:val="auto"/>
          <w:highlight w:val="none"/>
        </w:rPr>
        <w:t>否则将视为无效技术支持资料</w:t>
      </w:r>
      <w:r>
        <w:rPr>
          <w:rFonts w:hint="eastAsia"/>
          <w:color w:val="auto"/>
          <w:highlight w:val="none"/>
        </w:rPr>
        <w:t>。</w:t>
      </w:r>
    </w:p>
    <w:p w14:paraId="153264AF">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6.投标人必须自行为其投标产品侵犯他人的知识产权或者专利成果的行为承担相应法律责任。</w:t>
      </w:r>
    </w:p>
    <w:p w14:paraId="1C17D0DA">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7.所属行业依照《中小企业划型标准规定》（工信部联企业〔2011〕300号）及《国民经济行业分类》（</w:t>
      </w:r>
      <w:r>
        <w:rPr>
          <w:color w:val="auto"/>
          <w:highlight w:val="none"/>
        </w:rPr>
        <w:t xml:space="preserve"> </w:t>
      </w:r>
      <w:r>
        <w:rPr>
          <w:rFonts w:ascii="宋体" w:hAnsi="宋体" w:cs="宋体"/>
          <w:color w:val="auto"/>
          <w:szCs w:val="21"/>
          <w:highlight w:val="none"/>
        </w:rPr>
        <w:t>GB/T 4754—2017</w:t>
      </w:r>
      <w:r>
        <w:rPr>
          <w:rFonts w:hint="eastAsia" w:ascii="宋体" w:hAnsi="宋体" w:cs="宋体"/>
          <w:color w:val="auto"/>
          <w:szCs w:val="21"/>
          <w:highlight w:val="none"/>
        </w:rPr>
        <w:t>）的有关规定执行，</w:t>
      </w:r>
      <w:r>
        <w:rPr>
          <w:rFonts w:hint="eastAsia" w:ascii="宋体" w:hAnsi="宋体" w:cs="宋体"/>
          <w:b/>
          <w:bCs/>
          <w:color w:val="auto"/>
          <w:szCs w:val="21"/>
          <w:highlight w:val="none"/>
        </w:rPr>
        <w:t>本项目</w:t>
      </w:r>
      <w:r>
        <w:rPr>
          <w:rFonts w:hint="eastAsia"/>
          <w:b/>
          <w:bCs/>
          <w:color w:val="auto"/>
          <w:highlight w:val="none"/>
        </w:rPr>
        <w:t>所有分标的</w:t>
      </w:r>
      <w:r>
        <w:rPr>
          <w:rFonts w:hint="eastAsia" w:ascii="宋体" w:hAnsi="宋体" w:cs="宋体"/>
          <w:b/>
          <w:bCs/>
          <w:color w:val="auto"/>
          <w:szCs w:val="21"/>
          <w:highlight w:val="none"/>
        </w:rPr>
        <w:t>采购标的所属行业为“</w:t>
      </w:r>
      <w:r>
        <w:rPr>
          <w:rFonts w:hint="eastAsia" w:ascii="Helvetica" w:hAnsi="Helvetica" w:cs="Helvetica"/>
          <w:b/>
          <w:bCs/>
          <w:color w:val="auto"/>
          <w:szCs w:val="21"/>
          <w:highlight w:val="none"/>
          <w:shd w:val="clear" w:color="auto" w:fill="FFFFFF"/>
        </w:rPr>
        <w:t>工</w:t>
      </w:r>
      <w:r>
        <w:rPr>
          <w:rFonts w:ascii="Helvetica" w:hAnsi="Helvetica" w:eastAsia="Helvetica" w:cs="Helvetica"/>
          <w:b/>
          <w:bCs/>
          <w:color w:val="auto"/>
          <w:szCs w:val="21"/>
          <w:highlight w:val="none"/>
          <w:shd w:val="clear" w:color="auto" w:fill="FFFFFF"/>
        </w:rPr>
        <w:t>业</w:t>
      </w:r>
      <w:r>
        <w:rPr>
          <w:rFonts w:hint="eastAsia" w:ascii="宋体" w:hAnsi="宋体" w:cs="宋体"/>
          <w:b/>
          <w:bCs/>
          <w:color w:val="auto"/>
          <w:szCs w:val="21"/>
          <w:highlight w:val="none"/>
        </w:rPr>
        <w:t>”</w:t>
      </w:r>
      <w:r>
        <w:rPr>
          <w:rFonts w:hint="eastAsia" w:ascii="宋体" w:hAnsi="宋体" w:cs="宋体"/>
          <w:color w:val="auto"/>
          <w:szCs w:val="21"/>
          <w:highlight w:val="none"/>
        </w:rPr>
        <w:t>。</w:t>
      </w:r>
    </w:p>
    <w:p w14:paraId="6D801E90">
      <w:pPr>
        <w:spacing w:line="360" w:lineRule="auto"/>
        <w:ind w:firstLine="424" w:firstLineChars="202"/>
        <w:jc w:val="left"/>
        <w:rPr>
          <w:rFonts w:hint="eastAsia" w:ascii="宋体" w:hAnsi="宋体"/>
          <w:color w:val="auto"/>
          <w:szCs w:val="21"/>
          <w:highlight w:val="none"/>
        </w:rPr>
      </w:pPr>
    </w:p>
    <w:bookmarkEnd w:id="58"/>
    <w:p w14:paraId="12CCCB89">
      <w:pPr>
        <w:spacing w:line="360" w:lineRule="auto"/>
        <w:ind w:firstLine="308" w:firstLineChars="147"/>
        <w:jc w:val="left"/>
        <w:rPr>
          <w:rFonts w:hint="eastAsia" w:ascii="宋体" w:hAnsi="宋体"/>
          <w:b/>
          <w:color w:val="auto"/>
          <w:szCs w:val="21"/>
          <w:highlight w:val="none"/>
        </w:rPr>
      </w:pPr>
      <w:r>
        <w:rPr>
          <w:rFonts w:hint="eastAsia" w:ascii="宋体" w:hAnsi="宋体" w:cs="Arial"/>
          <w:bCs/>
          <w:color w:val="auto"/>
          <w:szCs w:val="21"/>
          <w:highlight w:val="none"/>
          <w:u w:val="single"/>
        </w:rPr>
        <w:t xml:space="preserve"> 1 </w:t>
      </w:r>
      <w:r>
        <w:rPr>
          <w:rFonts w:hint="eastAsia" w:ascii="宋体" w:hAnsi="宋体"/>
          <w:b/>
          <w:color w:val="auto"/>
          <w:szCs w:val="21"/>
          <w:highlight w:val="none"/>
        </w:rPr>
        <w:t>分标</w:t>
      </w:r>
      <w:r>
        <w:rPr>
          <w:rFonts w:hint="eastAsia" w:ascii="宋体" w:hAnsi="宋体"/>
          <w:b/>
          <w:color w:val="auto"/>
          <w:szCs w:val="21"/>
          <w:highlight w:val="none"/>
          <w:lang w:eastAsia="zh-CN"/>
        </w:rPr>
        <w:t>（</w:t>
      </w:r>
      <w:r>
        <w:rPr>
          <w:rFonts w:hint="eastAsia" w:ascii="宋体" w:hAnsi="宋体"/>
          <w:b/>
          <w:color w:val="auto"/>
          <w:szCs w:val="21"/>
          <w:highlight w:val="none"/>
        </w:rPr>
        <w:t>妇产科、儿科、预防保健科、皮肤病科</w:t>
      </w:r>
      <w:r>
        <w:rPr>
          <w:rFonts w:hint="eastAsia" w:ascii="宋体" w:hAnsi="宋体"/>
          <w:b/>
          <w:color w:val="auto"/>
          <w:szCs w:val="21"/>
          <w:highlight w:val="none"/>
          <w:lang w:val="en-US" w:eastAsia="zh-CN"/>
        </w:rPr>
        <w:t>设备</w:t>
      </w:r>
      <w:r>
        <w:rPr>
          <w:rFonts w:hint="eastAsia" w:ascii="宋体" w:hAnsi="宋体"/>
          <w:b/>
          <w:color w:val="auto"/>
          <w:szCs w:val="21"/>
          <w:highlight w:val="none"/>
          <w:lang w:eastAsia="zh-CN"/>
        </w:rPr>
        <w:t>）</w:t>
      </w:r>
      <w:r>
        <w:rPr>
          <w:rFonts w:hint="eastAsia" w:ascii="宋体" w:hAnsi="宋体"/>
          <w:b/>
          <w:color w:val="auto"/>
          <w:szCs w:val="21"/>
          <w:highlight w:val="none"/>
        </w:rPr>
        <w:t xml:space="preserve">      </w:t>
      </w:r>
    </w:p>
    <w:p w14:paraId="2DBA4BB8">
      <w:pPr>
        <w:spacing w:line="360" w:lineRule="auto"/>
        <w:ind w:firstLine="310" w:firstLineChars="147"/>
        <w:jc w:val="left"/>
        <w:rPr>
          <w:rFonts w:hint="eastAsia" w:ascii="宋体" w:hAnsi="宋体" w:cs="Arial"/>
          <w:bCs/>
          <w:color w:val="auto"/>
          <w:szCs w:val="21"/>
          <w:highlight w:val="none"/>
          <w:u w:val="single"/>
        </w:rPr>
      </w:pPr>
      <w:r>
        <w:rPr>
          <w:rFonts w:hint="eastAsia" w:ascii="宋体" w:hAnsi="宋体"/>
          <w:b/>
          <w:color w:val="auto"/>
          <w:szCs w:val="21"/>
          <w:highlight w:val="none"/>
        </w:rPr>
        <w:t>采购预算：</w:t>
      </w:r>
      <w:r>
        <w:rPr>
          <w:rFonts w:hint="eastAsia" w:ascii="宋体" w:hAnsi="宋体"/>
          <w:b/>
          <w:color w:val="auto"/>
          <w:szCs w:val="21"/>
          <w:highlight w:val="none"/>
          <w:u w:val="single"/>
          <w:lang w:val="en-US" w:eastAsia="zh-CN"/>
        </w:rPr>
        <w:t>4314200.00</w:t>
      </w:r>
      <w:r>
        <w:rPr>
          <w:rFonts w:hint="eastAsia" w:ascii="宋体" w:hAnsi="宋体" w:cs="Arial"/>
          <w:bCs/>
          <w:color w:val="auto"/>
          <w:szCs w:val="21"/>
          <w:highlight w:val="none"/>
          <w:u w:val="single"/>
        </w:rPr>
        <w:t>元</w:t>
      </w:r>
    </w:p>
    <w:p w14:paraId="5E3C54AD">
      <w:pPr>
        <w:spacing w:line="380" w:lineRule="exact"/>
        <w:rPr>
          <w:color w:val="auto"/>
          <w:kern w:val="0"/>
          <w:sz w:val="24"/>
          <w:highlight w:val="none"/>
        </w:rPr>
      </w:pPr>
      <w:r>
        <w:rPr>
          <w:rFonts w:hint="eastAsia" w:ascii="宋体" w:hAnsi="宋体"/>
          <w:b/>
          <w:color w:val="auto"/>
          <w:szCs w:val="21"/>
          <w:highlight w:val="none"/>
        </w:rPr>
        <w:t>本分标的核心产品为下表的</w:t>
      </w:r>
      <w:r>
        <w:rPr>
          <w:rFonts w:hint="eastAsia" w:ascii="宋体" w:hAnsi="宋体"/>
          <w:b/>
          <w:color w:val="auto"/>
          <w:szCs w:val="21"/>
          <w:highlight w:val="none"/>
          <w:u w:val="single"/>
        </w:rPr>
        <w:t xml:space="preserve"> </w:t>
      </w:r>
      <w:r>
        <w:rPr>
          <w:rFonts w:hint="eastAsia" w:ascii="宋体" w:hAnsi="宋体"/>
          <w:b/>
          <w:color w:val="auto"/>
          <w:szCs w:val="21"/>
          <w:highlight w:val="none"/>
          <w:u w:val="single"/>
          <w:lang w:val="en-US" w:eastAsia="zh-CN"/>
        </w:rPr>
        <w:t>激光治疗系统</w:t>
      </w:r>
      <w:r>
        <w:rPr>
          <w:rFonts w:hint="eastAsia" w:ascii="宋体" w:hAnsi="宋体"/>
          <w:b/>
          <w:color w:val="auto"/>
          <w:szCs w:val="21"/>
          <w:highlight w:val="none"/>
          <w:u w:val="single"/>
        </w:rPr>
        <w:t xml:space="preserve"> </w:t>
      </w:r>
      <w:r>
        <w:rPr>
          <w:rFonts w:hint="eastAsia" w:ascii="宋体" w:hAnsi="宋体"/>
          <w:b/>
          <w:color w:val="auto"/>
          <w:szCs w:val="21"/>
          <w:highlight w:val="none"/>
        </w:rPr>
        <w:t>产品。</w:t>
      </w:r>
      <w:bookmarkEnd w:id="59"/>
      <w:bookmarkEnd w:id="60"/>
    </w:p>
    <w:tbl>
      <w:tblPr>
        <w:tblStyle w:val="46"/>
        <w:tblpPr w:leftFromText="180" w:rightFromText="180" w:vertAnchor="text" w:horzAnchor="page" w:tblpX="1290" w:tblpY="408"/>
        <w:tblOverlap w:val="never"/>
        <w:tblW w:w="92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900"/>
        <w:gridCol w:w="453"/>
        <w:gridCol w:w="32"/>
        <w:gridCol w:w="493"/>
        <w:gridCol w:w="5672"/>
        <w:gridCol w:w="1100"/>
      </w:tblGrid>
      <w:tr w14:paraId="5AC27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5F415797">
            <w:pPr>
              <w:tabs>
                <w:tab w:val="left" w:pos="180"/>
                <w:tab w:val="left" w:pos="1620"/>
              </w:tabs>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900" w:type="dxa"/>
            <w:vAlign w:val="center"/>
          </w:tcPr>
          <w:p w14:paraId="6E19CCC8">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标的的名称</w:t>
            </w:r>
          </w:p>
        </w:tc>
        <w:tc>
          <w:tcPr>
            <w:tcW w:w="485" w:type="dxa"/>
            <w:gridSpan w:val="2"/>
            <w:tcBorders>
              <w:right w:val="single" w:color="auto" w:sz="4" w:space="0"/>
            </w:tcBorders>
            <w:vAlign w:val="center"/>
          </w:tcPr>
          <w:p w14:paraId="4C5E925A">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数量</w:t>
            </w:r>
          </w:p>
        </w:tc>
        <w:tc>
          <w:tcPr>
            <w:tcW w:w="493" w:type="dxa"/>
            <w:tcBorders>
              <w:left w:val="single" w:color="auto" w:sz="4" w:space="0"/>
              <w:right w:val="single" w:color="auto" w:sz="4" w:space="0"/>
            </w:tcBorders>
            <w:vAlign w:val="center"/>
          </w:tcPr>
          <w:p w14:paraId="22C9A366">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单位</w:t>
            </w:r>
          </w:p>
        </w:tc>
        <w:tc>
          <w:tcPr>
            <w:tcW w:w="5672" w:type="dxa"/>
            <w:tcBorders>
              <w:left w:val="single" w:color="auto" w:sz="4" w:space="0"/>
              <w:right w:val="single" w:color="auto" w:sz="4" w:space="0"/>
            </w:tcBorders>
            <w:vAlign w:val="center"/>
          </w:tcPr>
          <w:p w14:paraId="7B3602E9">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技术要求</w:t>
            </w:r>
          </w:p>
        </w:tc>
        <w:tc>
          <w:tcPr>
            <w:tcW w:w="1100" w:type="dxa"/>
            <w:tcBorders>
              <w:left w:val="single" w:color="auto" w:sz="4" w:space="0"/>
            </w:tcBorders>
            <w:vAlign w:val="center"/>
          </w:tcPr>
          <w:p w14:paraId="2B7F8B72">
            <w:pPr>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控制单价（万元）</w:t>
            </w:r>
          </w:p>
        </w:tc>
      </w:tr>
      <w:tr w14:paraId="2CB3E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9217" w:type="dxa"/>
            <w:gridSpan w:val="7"/>
            <w:vAlign w:val="center"/>
          </w:tcPr>
          <w:p w14:paraId="59EDE103">
            <w:pPr>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妇产科</w:t>
            </w:r>
          </w:p>
        </w:tc>
      </w:tr>
      <w:tr w14:paraId="30A2A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5D57EE3B">
            <w:pPr>
              <w:numPr>
                <w:ilvl w:val="0"/>
                <w:numId w:val="3"/>
              </w:numPr>
              <w:snapToGrid w:val="0"/>
              <w:spacing w:line="360" w:lineRule="auto"/>
              <w:jc w:val="center"/>
              <w:rPr>
                <w:rFonts w:hint="eastAsia" w:ascii="宋体" w:hAnsi="宋体" w:eastAsia="宋体" w:cs="宋体"/>
                <w:color w:val="auto"/>
                <w:sz w:val="21"/>
                <w:szCs w:val="21"/>
                <w:highlight w:val="none"/>
              </w:rPr>
            </w:pPr>
          </w:p>
        </w:tc>
        <w:tc>
          <w:tcPr>
            <w:tcW w:w="900" w:type="dxa"/>
            <w:vAlign w:val="center"/>
          </w:tcPr>
          <w:p w14:paraId="0FC9E8C7">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妇科检查床（电动手术台）</w:t>
            </w:r>
          </w:p>
        </w:tc>
        <w:tc>
          <w:tcPr>
            <w:tcW w:w="485" w:type="dxa"/>
            <w:gridSpan w:val="2"/>
            <w:tcBorders>
              <w:right w:val="single" w:color="auto" w:sz="4" w:space="0"/>
            </w:tcBorders>
            <w:shd w:val="clear" w:color="auto" w:fill="auto"/>
            <w:vAlign w:val="center"/>
          </w:tcPr>
          <w:p w14:paraId="1DF14C2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493" w:type="dxa"/>
            <w:tcBorders>
              <w:left w:val="single" w:color="auto" w:sz="4" w:space="0"/>
              <w:right w:val="single" w:color="auto" w:sz="4" w:space="0"/>
            </w:tcBorders>
            <w:vAlign w:val="center"/>
          </w:tcPr>
          <w:p w14:paraId="4DA0837C">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张</w:t>
            </w:r>
          </w:p>
        </w:tc>
        <w:tc>
          <w:tcPr>
            <w:tcW w:w="5672" w:type="dxa"/>
            <w:tcBorders>
              <w:left w:val="single" w:color="auto" w:sz="4" w:space="0"/>
              <w:right w:val="single" w:color="auto" w:sz="4" w:space="0"/>
            </w:tcBorders>
            <w:vAlign w:val="center"/>
          </w:tcPr>
          <w:p w14:paraId="21AE3247">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1.用途特点：</w:t>
            </w:r>
          </w:p>
          <w:p w14:paraId="6CCF044F">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供妇科手术、诊断及检查等使用。床的升降、前后倾、背板的上下折由微型触摸控制器来进行控制；</w:t>
            </w:r>
          </w:p>
          <w:p w14:paraId="03452EB6">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动力系统采用线性电机。</w:t>
            </w:r>
          </w:p>
          <w:p w14:paraId="1FC566F3">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手术台采用可拆卸的辅助台面；</w:t>
            </w:r>
          </w:p>
          <w:p w14:paraId="1BB118A6">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电动推杆控制，能实现角度的调节，满足特殊体位的手术要求；</w:t>
            </w:r>
          </w:p>
          <w:p w14:paraId="0EFEF9B6">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床垫为一次发泡成型，床垫光滑，防潮、防渗防漏，易于清洁，粉红色；</w:t>
            </w:r>
          </w:p>
          <w:p w14:paraId="4328CFA0">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各种附件配置不锈钢自结皮材质，整机设计符合国家医用电器安全标准；</w:t>
            </w:r>
          </w:p>
          <w:p w14:paraId="1FBD5A4C">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2.参数：</w:t>
            </w:r>
          </w:p>
          <w:p w14:paraId="39709CD0">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背板 上折≥75° 下折≥10°电动</w:t>
            </w:r>
          </w:p>
          <w:p w14:paraId="30EBCFD6">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前后倾 ≥25° ≥25°电动</w:t>
            </w:r>
          </w:p>
          <w:p w14:paraId="358F63D8">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腿板外展≥180° 可拆卸手动</w:t>
            </w:r>
          </w:p>
          <w:p w14:paraId="06948EFE">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台面1850mm×600mm±20mm</w:t>
            </w:r>
          </w:p>
          <w:p w14:paraId="5D2DFCF9">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台面升降740mm--950mm±20mm  电动</w:t>
            </w:r>
          </w:p>
          <w:p w14:paraId="5FE93683">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电源、功率 220V/50Hz、150VA 携带蓄电池 连续工作50-80次手术</w:t>
            </w:r>
          </w:p>
          <w:p w14:paraId="2FD282A4">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3.每张床配置需求</w:t>
            </w:r>
          </w:p>
          <w:p w14:paraId="5AA8C492">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床体 1台</w:t>
            </w:r>
          </w:p>
          <w:p w14:paraId="1AD188A9">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腿托+脚蹬 1副</w:t>
            </w:r>
          </w:p>
          <w:p w14:paraId="21840230">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臂托 1副</w:t>
            </w:r>
          </w:p>
          <w:p w14:paraId="3C5E06C4">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污物盆 1个</w:t>
            </w:r>
          </w:p>
          <w:p w14:paraId="6BEE4FF4">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握力手柄 1副</w:t>
            </w:r>
          </w:p>
          <w:p w14:paraId="689570B0">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麻醉屏架 1副</w:t>
            </w:r>
          </w:p>
          <w:p w14:paraId="7B7042C7">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手控制器 1个</w:t>
            </w:r>
          </w:p>
          <w:p w14:paraId="4E8BB8A0">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电源线 一根</w:t>
            </w:r>
          </w:p>
          <w:p w14:paraId="3E7B9142">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3.9</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蓄电池 1套</w:t>
            </w:r>
          </w:p>
          <w:p w14:paraId="3555E1D5">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3.10合格证/保修卡 1张</w:t>
            </w:r>
          </w:p>
          <w:p w14:paraId="27C9DC5A">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使用说明书 1本</w:t>
            </w:r>
          </w:p>
          <w:p w14:paraId="59B99552">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 方滑块 2个</w:t>
            </w:r>
          </w:p>
          <w:p w14:paraId="547E832B">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 圆滑块 3个</w:t>
            </w:r>
          </w:p>
        </w:tc>
        <w:tc>
          <w:tcPr>
            <w:tcW w:w="1100" w:type="dxa"/>
            <w:tcBorders>
              <w:left w:val="single" w:color="auto" w:sz="4" w:space="0"/>
            </w:tcBorders>
            <w:shd w:val="clear" w:color="auto" w:fill="auto"/>
            <w:vAlign w:val="center"/>
          </w:tcPr>
          <w:p w14:paraId="649711D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w:t>
            </w:r>
          </w:p>
        </w:tc>
      </w:tr>
      <w:tr w14:paraId="026D0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71D65196">
            <w:pPr>
              <w:numPr>
                <w:ilvl w:val="0"/>
                <w:numId w:val="3"/>
              </w:numPr>
              <w:snapToGrid w:val="0"/>
              <w:spacing w:line="360" w:lineRule="auto"/>
              <w:jc w:val="center"/>
              <w:rPr>
                <w:rFonts w:hint="eastAsia" w:ascii="宋体" w:hAnsi="宋体" w:eastAsia="宋体" w:cs="宋体"/>
                <w:color w:val="auto"/>
                <w:sz w:val="21"/>
                <w:szCs w:val="21"/>
                <w:highlight w:val="none"/>
              </w:rPr>
            </w:pPr>
          </w:p>
        </w:tc>
        <w:tc>
          <w:tcPr>
            <w:tcW w:w="900" w:type="dxa"/>
            <w:vAlign w:val="center"/>
          </w:tcPr>
          <w:p w14:paraId="1DDD5CE2">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电子阴道镜</w:t>
            </w:r>
          </w:p>
        </w:tc>
        <w:tc>
          <w:tcPr>
            <w:tcW w:w="485" w:type="dxa"/>
            <w:gridSpan w:val="2"/>
            <w:tcBorders>
              <w:right w:val="single" w:color="auto" w:sz="4" w:space="0"/>
            </w:tcBorders>
            <w:shd w:val="clear" w:color="auto" w:fill="auto"/>
            <w:vAlign w:val="center"/>
          </w:tcPr>
          <w:p w14:paraId="0771144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93" w:type="dxa"/>
            <w:tcBorders>
              <w:left w:val="single" w:color="auto" w:sz="4" w:space="0"/>
              <w:right w:val="single" w:color="auto" w:sz="4" w:space="0"/>
            </w:tcBorders>
            <w:vAlign w:val="center"/>
          </w:tcPr>
          <w:p w14:paraId="0F8CEB3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5672" w:type="dxa"/>
            <w:tcBorders>
              <w:left w:val="single" w:color="auto" w:sz="4" w:space="0"/>
              <w:right w:val="single" w:color="auto" w:sz="4" w:space="0"/>
            </w:tcBorders>
            <w:vAlign w:val="center"/>
          </w:tcPr>
          <w:p w14:paraId="08044726">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一、整机要求</w:t>
            </w:r>
          </w:p>
          <w:p w14:paraId="0700EADE">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1.投标产品镜头和工作站同时在国内组合注册，且必须是同一个产品名称通过国家药品监督管理局注册，不接受镜头或工作站单独注册产品或组合投标；</w:t>
            </w:r>
          </w:p>
          <w:p w14:paraId="16577595">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2.设备使用年限：≥10年</w:t>
            </w:r>
          </w:p>
          <w:p w14:paraId="61413F3D">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3.配置彩超可视人流诊疗系统1套</w:t>
            </w:r>
          </w:p>
          <w:p w14:paraId="478EB7C9">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二、具体参数</w:t>
            </w:r>
          </w:p>
          <w:p w14:paraId="0DEFE38E">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阴道镜镜头性能</w:t>
            </w:r>
          </w:p>
          <w:p w14:paraId="4DF15185">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镜头具有4KCMOS视频成像，输出2160P信</w:t>
            </w:r>
            <w:r>
              <w:rPr>
                <w:rFonts w:hint="eastAsia" w:ascii="宋体" w:hAnsi="宋体" w:cs="宋体"/>
                <w:color w:val="auto"/>
                <w:sz w:val="21"/>
                <w:szCs w:val="21"/>
                <w:highlight w:val="none"/>
                <w:lang w:val="en-US" w:eastAsia="zh-CN"/>
              </w:rPr>
              <w:t>号</w:t>
            </w:r>
          </w:p>
          <w:p w14:paraId="6021B545">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镜头像素≥800万，成像系统水平分辨率≥1600TVL</w:t>
            </w:r>
          </w:p>
          <w:p w14:paraId="1280229B">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放大倍数支持：1-80倍。</w:t>
            </w:r>
          </w:p>
          <w:p w14:paraId="77F9D57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▲1.4工作距离：170mm-400mm（3X）</w:t>
            </w:r>
          </w:p>
          <w:p w14:paraId="6491294E">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视场范围：≥Ø120mm(3X)，≥Ø15mm(18X)</w:t>
            </w:r>
          </w:p>
          <w:p w14:paraId="20F0A9FF">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景深：≥200mm(3X)，≥100mm(18X)</w:t>
            </w:r>
          </w:p>
          <w:p w14:paraId="37861130">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▲1.7空间分辨率≥18lp/mm；图像几何失真度≤1%。</w:t>
            </w:r>
          </w:p>
          <w:p w14:paraId="4CC4A611">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亮度可调的高显色性贴片LED光源，与镜头集成一体，工作距离20cm处光源照度≥35000Lx，工作距离30cm处光源照度≥20000Lx，工作距离为20cm处光源中心温升≤1℃。</w:t>
            </w:r>
          </w:p>
          <w:p w14:paraId="2CD08494">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1.9按键扇形布局，</w:t>
            </w:r>
            <w:r>
              <w:rPr>
                <w:rFonts w:hint="eastAsia" w:ascii="宋体" w:hAnsi="宋体" w:eastAsia="宋体" w:cs="宋体"/>
                <w:color w:val="auto"/>
                <w:sz w:val="21"/>
                <w:szCs w:val="21"/>
                <w:highlight w:val="none"/>
                <w:lang w:val="en-US" w:eastAsia="zh-CN"/>
              </w:rPr>
              <w:t>支持</w:t>
            </w:r>
            <w:r>
              <w:rPr>
                <w:rFonts w:hint="eastAsia" w:ascii="宋体" w:hAnsi="宋体" w:eastAsia="宋体" w:cs="宋体"/>
                <w:color w:val="auto"/>
                <w:sz w:val="21"/>
                <w:szCs w:val="21"/>
                <w:highlight w:val="none"/>
              </w:rPr>
              <w:t>通过镜头按键操作实现：对图像观察的视野变换（放大/缩小）、手动焦距调节(F+/F-）、白光变色温成像（三级）、电子滤镜成像（三级）、计时显示、自动图像采集、图像冻结、白平衡调节、控制进入软件界面及图像对比等功能，并支持镜头扣手按键控制图像采集。</w:t>
            </w:r>
          </w:p>
          <w:p w14:paraId="4C184583">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w:t>
            </w:r>
            <w:r>
              <w:rPr>
                <w:rFonts w:hint="eastAsia" w:ascii="宋体" w:hAnsi="宋体" w:eastAsia="宋体" w:cs="宋体"/>
                <w:color w:val="auto"/>
                <w:sz w:val="21"/>
                <w:szCs w:val="21"/>
                <w:highlight w:val="none"/>
                <w:lang w:val="en-US" w:eastAsia="zh-CN"/>
              </w:rPr>
              <w:t>支持</w:t>
            </w:r>
            <w:r>
              <w:rPr>
                <w:rFonts w:hint="eastAsia" w:ascii="宋体" w:hAnsi="宋体" w:eastAsia="宋体" w:cs="宋体"/>
                <w:color w:val="auto"/>
                <w:sz w:val="21"/>
                <w:szCs w:val="21"/>
                <w:highlight w:val="none"/>
              </w:rPr>
              <w:t>通过镜头按键控制进入病人信息、观察检查、检查分析、打印报告、编辑报告等界面，</w:t>
            </w:r>
            <w:r>
              <w:rPr>
                <w:rFonts w:hint="eastAsia" w:ascii="宋体" w:hAnsi="宋体" w:eastAsia="宋体" w:cs="宋体"/>
                <w:color w:val="auto"/>
                <w:sz w:val="21"/>
                <w:szCs w:val="21"/>
                <w:highlight w:val="none"/>
                <w:lang w:val="en-US" w:eastAsia="zh-CN"/>
              </w:rPr>
              <w:t>支持</w:t>
            </w:r>
            <w:r>
              <w:rPr>
                <w:rFonts w:hint="eastAsia" w:ascii="宋体" w:hAnsi="宋体" w:eastAsia="宋体" w:cs="宋体"/>
                <w:color w:val="auto"/>
                <w:sz w:val="21"/>
                <w:szCs w:val="21"/>
                <w:highlight w:val="none"/>
              </w:rPr>
              <w:t>轮流切换操作界面；能按质控要求时序显示图像对比。</w:t>
            </w:r>
          </w:p>
          <w:p w14:paraId="055998A8">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1.11具有五合一方向按键，按键集放大/缩小图像、手动焦距调节、放大倍数长显、开启/关闭测距功能、选中病人信息等多种功能于一体。</w:t>
            </w:r>
          </w:p>
          <w:p w14:paraId="46FB8BC7">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1.12镜头扣手按键具有采集图像/定位宫颈口/图像按时序对比等功能，</w:t>
            </w:r>
            <w:r>
              <w:rPr>
                <w:rFonts w:hint="eastAsia" w:ascii="宋体" w:hAnsi="宋体" w:eastAsia="宋体" w:cs="宋体"/>
                <w:color w:val="auto"/>
                <w:sz w:val="21"/>
                <w:szCs w:val="21"/>
                <w:highlight w:val="none"/>
                <w:lang w:val="en-US" w:eastAsia="zh-CN"/>
              </w:rPr>
              <w:t>支持</w:t>
            </w:r>
            <w:r>
              <w:rPr>
                <w:rFonts w:hint="eastAsia" w:ascii="宋体" w:hAnsi="宋体" w:eastAsia="宋体" w:cs="宋体"/>
                <w:color w:val="auto"/>
                <w:sz w:val="21"/>
                <w:szCs w:val="21"/>
                <w:highlight w:val="none"/>
              </w:rPr>
              <w:t>用户自定义设置。</w:t>
            </w:r>
          </w:p>
          <w:p w14:paraId="05B9A0A7">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1.13具备激光测距功能，能够一键测量镜头到目标物的距离，智能提醒调整方向，快速定位工作距离；其安全符合GB7247.1-2012的标准要求</w:t>
            </w:r>
          </w:p>
          <w:p w14:paraId="3369B5E2">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1.14镜头集成多光谱滤光光源，配置蓝光光源和绿光光源，可增强宫颈上皮血管的对比度，有助于观察血管微细结构变化及病灶边界</w:t>
            </w:r>
          </w:p>
          <w:p w14:paraId="4DBBFCA4">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▲1.15具备两种滤镜技术：多光谱光源滤镜及电子滤镜技术，</w:t>
            </w:r>
            <w:r>
              <w:rPr>
                <w:rFonts w:hint="eastAsia" w:ascii="宋体" w:hAnsi="宋体" w:eastAsia="宋体" w:cs="宋体"/>
                <w:color w:val="auto"/>
                <w:sz w:val="21"/>
                <w:szCs w:val="21"/>
                <w:highlight w:val="none"/>
                <w:lang w:val="en-US" w:eastAsia="zh-CN"/>
              </w:rPr>
              <w:t>支持</w:t>
            </w:r>
            <w:r>
              <w:rPr>
                <w:rFonts w:hint="eastAsia" w:ascii="宋体" w:hAnsi="宋体" w:eastAsia="宋体" w:cs="宋体"/>
                <w:color w:val="auto"/>
                <w:sz w:val="21"/>
                <w:szCs w:val="21"/>
                <w:highlight w:val="none"/>
              </w:rPr>
              <w:t>自定义组合成3级绿光滤镜</w:t>
            </w:r>
          </w:p>
          <w:p w14:paraId="1AD1AE03">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1.16具备手势识别功能，支持手势控制图像采集、设备关机等功能，支持自定义其他功能。</w:t>
            </w:r>
          </w:p>
          <w:p w14:paraId="57B66C62">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1.17设备集成双HDMI高清视频输出接口，</w:t>
            </w:r>
            <w:r>
              <w:rPr>
                <w:rFonts w:hint="eastAsia" w:ascii="宋体" w:hAnsi="宋体" w:eastAsia="宋体" w:cs="宋体"/>
                <w:color w:val="auto"/>
                <w:sz w:val="21"/>
                <w:szCs w:val="21"/>
                <w:highlight w:val="none"/>
                <w:lang w:val="en-US" w:eastAsia="zh-CN"/>
              </w:rPr>
              <w:t>支持</w:t>
            </w:r>
            <w:r>
              <w:rPr>
                <w:rFonts w:hint="eastAsia" w:ascii="宋体" w:hAnsi="宋体" w:eastAsia="宋体" w:cs="宋体"/>
                <w:color w:val="auto"/>
                <w:sz w:val="21"/>
                <w:szCs w:val="21"/>
                <w:highlight w:val="none"/>
              </w:rPr>
              <w:t>直接拓展显示镜头原始图像，方便临床搭建示教中心，同步显示阴道镜检查情况。</w:t>
            </w:r>
          </w:p>
          <w:p w14:paraId="2C58DEE4">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1.18采用气控式摇臂式支架，与台车集成一体，工作高度可调范围不窄于750mm～1000mm，镜头横臂水平旋转角度不窄于180°～360°，镜头升降摇臂水平旋转角度不窄于180°～360°</w:t>
            </w:r>
          </w:p>
          <w:p w14:paraId="47B7B9A9">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2.阴道镜工作站性能参数</w:t>
            </w:r>
          </w:p>
          <w:p w14:paraId="4F79FBDC">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▲2.1配置23.8</w:t>
            </w:r>
            <w:r>
              <w:rPr>
                <w:rFonts w:hint="eastAsia" w:ascii="宋体" w:hAnsi="宋体" w:cs="宋体"/>
                <w:color w:val="auto"/>
                <w:sz w:val="21"/>
                <w:szCs w:val="21"/>
                <w:highlight w:val="none"/>
                <w:lang w:val="en-US" w:eastAsia="zh-CN"/>
              </w:rPr>
              <w:t>英寸</w:t>
            </w:r>
            <w:r>
              <w:rPr>
                <w:rFonts w:hint="eastAsia" w:ascii="宋体" w:hAnsi="宋体" w:eastAsia="宋体" w:cs="宋体"/>
                <w:color w:val="auto"/>
                <w:sz w:val="21"/>
                <w:szCs w:val="21"/>
                <w:highlight w:val="none"/>
              </w:rPr>
              <w:t>医用显示器，系统分辨率：3840*2160</w:t>
            </w:r>
          </w:p>
          <w:p w14:paraId="1181D751">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台车集成实用储物篮，供临床放置检查试剂和手术操作器械；配置可旋转的键盘托盘和无线键盘鼠标。</w:t>
            </w:r>
          </w:p>
          <w:p w14:paraId="5ADDA9E3">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新建病人档案能够自动加载历史检查记录，方便医生浏览和查阅患者历史检查。</w:t>
            </w:r>
          </w:p>
          <w:p w14:paraId="1C283B3F">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提供不少于4种病人信息获取方式（直接录入、扫描枪、身份证读卡器、调取病人预约数据库）。</w:t>
            </w:r>
          </w:p>
          <w:p w14:paraId="6AD678AC">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支持不少于7种采图方式，包括：镜头扣手采图、自动计时采图、脚踏开关控制、软件按键采图、手势控制采图、视频采集过程中采图、视频回放过程中采图的功能。</w:t>
            </w:r>
          </w:p>
          <w:p w14:paraId="05B802D5">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▲2.6能将采集的图像按时间顺序同屏显示，并且可以通过镜头按键一键控制，</w:t>
            </w:r>
            <w:r>
              <w:rPr>
                <w:rFonts w:hint="eastAsia" w:ascii="宋体" w:hAnsi="宋体" w:eastAsia="宋体" w:cs="宋体"/>
                <w:color w:val="auto"/>
                <w:sz w:val="21"/>
                <w:szCs w:val="21"/>
                <w:highlight w:val="none"/>
                <w:lang w:val="en-US" w:eastAsia="zh-CN"/>
              </w:rPr>
              <w:t>支持</w:t>
            </w:r>
            <w:r>
              <w:rPr>
                <w:rFonts w:hint="eastAsia" w:ascii="宋体" w:hAnsi="宋体" w:eastAsia="宋体" w:cs="宋体"/>
                <w:color w:val="auto"/>
                <w:sz w:val="21"/>
                <w:szCs w:val="21"/>
                <w:highlight w:val="none"/>
              </w:rPr>
              <w:t>医生对比分析患者病变部位醋白变化和碘染色的关联</w:t>
            </w:r>
          </w:p>
          <w:p w14:paraId="107D1C58">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▲2.7具有语音播报操作提示功能，按照质控要求自动给出临床检查</w:t>
            </w:r>
            <w:r>
              <w:rPr>
                <w:rFonts w:hint="eastAsia" w:ascii="宋体" w:hAnsi="宋体" w:cs="宋体"/>
                <w:color w:val="auto"/>
                <w:sz w:val="21"/>
                <w:szCs w:val="21"/>
                <w:highlight w:val="none"/>
                <w:lang w:eastAsia="zh-CN"/>
              </w:rPr>
              <w:t>流程</w:t>
            </w:r>
            <w:r>
              <w:rPr>
                <w:rFonts w:hint="eastAsia" w:ascii="宋体" w:hAnsi="宋体" w:eastAsia="宋体" w:cs="宋体"/>
                <w:color w:val="auto"/>
                <w:sz w:val="21"/>
                <w:szCs w:val="21"/>
                <w:highlight w:val="none"/>
              </w:rPr>
              <w:t>的操作提示信息，便于临床规范阴道镜检查操作。</w:t>
            </w:r>
          </w:p>
          <w:p w14:paraId="2E621894">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提供IFCPC2011/ASCCP2017阴道镜专业术语以及临床参考图谱，具有RCI评估和Swede评估。</w:t>
            </w:r>
          </w:p>
          <w:p w14:paraId="2981B5E0">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提供阴道镜智能诊断评估方法，具有阴道镜操作提醒及自动采图功能，量化检查流程，提供基于三种不同溶液实验结果关联“特征”的智能评估和报告系统，根据HPV/TCT阴道镜图像特征进行自动关联，智能提示病变级别和活检点位置，自动给出处理建议。</w:t>
            </w:r>
          </w:p>
          <w:p w14:paraId="5DF172B6">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3.工作站拓展功能及网络应用</w:t>
            </w:r>
          </w:p>
          <w:p w14:paraId="241B374C">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支持</w:t>
            </w:r>
            <w:r>
              <w:rPr>
                <w:rFonts w:hint="eastAsia" w:ascii="宋体" w:hAnsi="宋体" w:eastAsia="宋体" w:cs="宋体"/>
                <w:color w:val="auto"/>
                <w:sz w:val="21"/>
                <w:szCs w:val="21"/>
                <w:highlight w:val="none"/>
              </w:rPr>
              <w:t>配置身份证读取功能，刷病人身份证直接读取姓名及身份证号码。</w:t>
            </w:r>
          </w:p>
          <w:p w14:paraId="43542635">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支持局域网连接功能，护士工作站、医生工作站和阴道镜工作站互联构成门诊应用网络，提供四级用户权限管理。</w:t>
            </w:r>
          </w:p>
          <w:p w14:paraId="548B6EDB">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支持广域网连接功能，能够与电子阴道镜数据管理系统联网，便于宫颈门诊中心或区域性子宫颈癌早诊早治质控中心开展网络化应用和质控管理。</w:t>
            </w:r>
          </w:p>
          <w:p w14:paraId="4680F213">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支持阴道镜报告多级质控管理功能。提供自动形式审核和上级复核功能，对阴道镜图像、报告等进行评估以及针对性指导，同时支持自动生成质控报表，可供医院开展本院内、跨院区阴道镜质控管理工作。</w:t>
            </w:r>
          </w:p>
          <w:p w14:paraId="7C30E3D9">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支持联网叫号系统，便于对阴道镜检查患者的分流处理。</w:t>
            </w:r>
          </w:p>
          <w:p w14:paraId="08E6942B">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支持示教系统，支持阴道镜检查室/LEEP手术治疗室观察和检查视频在示教室同步输出；并提供多向语音交流。</w:t>
            </w:r>
          </w:p>
          <w:p w14:paraId="377F8954">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4.彩超可视人流诊疗系统功能参数</w:t>
            </w:r>
          </w:p>
          <w:p w14:paraId="7DCB20B7">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4.1.结构</w:t>
            </w:r>
            <w:r>
              <w:rPr>
                <w:rFonts w:hint="eastAsia" w:ascii="宋体" w:hAnsi="宋体" w:cs="宋体"/>
                <w:color w:val="auto"/>
                <w:sz w:val="21"/>
                <w:szCs w:val="21"/>
                <w:highlight w:val="none"/>
                <w:lang w:val="en-US" w:eastAsia="zh-CN"/>
              </w:rPr>
              <w:t>形式</w:t>
            </w:r>
            <w:r>
              <w:rPr>
                <w:rFonts w:hint="default" w:ascii="宋体" w:hAnsi="宋体" w:cs="宋体"/>
                <w:color w:val="auto"/>
                <w:sz w:val="21"/>
                <w:szCs w:val="21"/>
                <w:highlight w:val="none"/>
                <w:lang w:val="en-US" w:eastAsia="zh-CN"/>
              </w:rPr>
              <w:t>：推车式。</w:t>
            </w:r>
          </w:p>
          <w:p w14:paraId="2122C7CE">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4.2.用途：适用于超声实时监控下施行人工流产、取放宫内节育器</w:t>
            </w:r>
            <w:r>
              <w:rPr>
                <w:rFonts w:hint="eastAsia" w:ascii="宋体" w:hAnsi="宋体" w:cs="宋体"/>
                <w:color w:val="auto"/>
                <w:sz w:val="21"/>
                <w:szCs w:val="21"/>
                <w:highlight w:val="none"/>
                <w:lang w:val="en-US" w:eastAsia="zh-CN"/>
              </w:rPr>
              <w:t>等</w:t>
            </w:r>
            <w:r>
              <w:rPr>
                <w:rFonts w:hint="default" w:ascii="宋体" w:hAnsi="宋体" w:cs="宋体"/>
                <w:color w:val="auto"/>
                <w:sz w:val="21"/>
                <w:szCs w:val="21"/>
                <w:highlight w:val="none"/>
                <w:lang w:val="en-US" w:eastAsia="zh-CN"/>
              </w:rPr>
              <w:t>妇产科手术。</w:t>
            </w:r>
          </w:p>
          <w:p w14:paraId="78A69D9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▲4.3.在经阴道妇科手术术中引导时仅需使用下页固定专用扩阴器。</w:t>
            </w:r>
          </w:p>
          <w:p w14:paraId="1ED78745">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▲4.4.探头窥器采用铰链旋紧式固定。</w:t>
            </w:r>
          </w:p>
          <w:p w14:paraId="1984B585">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▲4.5.部分窥器下页由探头代替，探头既有代替扩阴器下页扩张阴道的作用也有超声探头扫查子宫的作用。</w:t>
            </w:r>
          </w:p>
          <w:p w14:paraId="7C964103">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▲4.6.主机操作系统：</w:t>
            </w:r>
            <w:r>
              <w:rPr>
                <w:rFonts w:hint="eastAsia" w:ascii="宋体" w:hAnsi="宋体" w:cs="宋体"/>
                <w:color w:val="auto"/>
                <w:sz w:val="21"/>
                <w:szCs w:val="21"/>
                <w:highlight w:val="none"/>
                <w:lang w:val="en-US" w:eastAsia="zh-CN"/>
              </w:rPr>
              <w:t>参照或相当于</w:t>
            </w:r>
            <w:r>
              <w:rPr>
                <w:rFonts w:hint="default" w:ascii="宋体" w:hAnsi="宋体" w:cs="宋体"/>
                <w:color w:val="auto"/>
                <w:sz w:val="21"/>
                <w:szCs w:val="21"/>
                <w:highlight w:val="none"/>
                <w:lang w:val="en-US" w:eastAsia="zh-CN"/>
              </w:rPr>
              <w:t>Windows10操作系统。</w:t>
            </w:r>
          </w:p>
          <w:p w14:paraId="65B827D7">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▲4.7.显示器≥21.5英寸高清晰度彩色液晶显示器，逐行扫描，无闪烁、可旋转。</w:t>
            </w:r>
          </w:p>
          <w:p w14:paraId="4F3EC681">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4.8.主机内置探头接口≥3个，探头接口外形完全一致，所配探头可自由连接至任意接口。</w:t>
            </w:r>
          </w:p>
          <w:p w14:paraId="5E2D802E">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4.9.具备组织谐波成像技术（支持所有探头）。</w:t>
            </w:r>
          </w:p>
          <w:p w14:paraId="031D6CC1">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4.10.具备梯形成像功能。</w:t>
            </w:r>
          </w:p>
          <w:p w14:paraId="03DE6DBB">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4.11.具备一键智能优化（支持二维、彩色、频谱模式）。</w:t>
            </w:r>
          </w:p>
          <w:p w14:paraId="17741A38">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4.12.预设条件：针对不同的检查，预置最佳化图像的检查条件，减少操作时的调节</w:t>
            </w:r>
            <w:r>
              <w:rPr>
                <w:rFonts w:hint="eastAsia" w:ascii="宋体" w:hAnsi="宋体" w:cs="宋体"/>
                <w:color w:val="auto"/>
                <w:sz w:val="21"/>
                <w:szCs w:val="21"/>
                <w:highlight w:val="none"/>
                <w:lang w:val="en-US" w:eastAsia="zh-CN"/>
              </w:rPr>
              <w:t>，以</w:t>
            </w:r>
            <w:r>
              <w:rPr>
                <w:rFonts w:hint="default" w:ascii="宋体" w:hAnsi="宋体" w:cs="宋体"/>
                <w:color w:val="auto"/>
                <w:sz w:val="21"/>
                <w:szCs w:val="21"/>
                <w:highlight w:val="none"/>
                <w:lang w:val="en-US" w:eastAsia="zh-CN"/>
              </w:rPr>
              <w:t>及常用所需的外部调节及组合调节。</w:t>
            </w:r>
          </w:p>
          <w:p w14:paraId="420CF36C">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4.13.探头（超宽带变频，彩色、二维均可变频）</w:t>
            </w:r>
            <w:r>
              <w:rPr>
                <w:rFonts w:hint="eastAsia" w:ascii="宋体" w:hAnsi="宋体" w:cs="宋体"/>
                <w:color w:val="auto"/>
                <w:sz w:val="21"/>
                <w:szCs w:val="21"/>
                <w:highlight w:val="none"/>
                <w:lang w:val="en-US" w:eastAsia="zh-CN"/>
              </w:rPr>
              <w:t>；</w:t>
            </w:r>
          </w:p>
          <w:p w14:paraId="6EA147AF">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▲4.14.宽频凸阵妇科术中探头：4.5-9.0MHz，四段变频，扫查角度：≥150°。</w:t>
            </w:r>
          </w:p>
          <w:p w14:paraId="65941F10">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4.15.凸阵探头：2.5-5.0MHz，</w:t>
            </w:r>
            <w:r>
              <w:rPr>
                <w:rFonts w:hint="eastAsia" w:ascii="宋体" w:hAnsi="宋体" w:cs="宋体"/>
                <w:color w:val="auto"/>
                <w:sz w:val="21"/>
                <w:szCs w:val="21"/>
                <w:highlight w:val="none"/>
                <w:lang w:val="en-US" w:eastAsia="zh-CN"/>
              </w:rPr>
              <w:t>至少</w:t>
            </w:r>
            <w:r>
              <w:rPr>
                <w:rFonts w:hint="default" w:ascii="宋体" w:hAnsi="宋体" w:cs="宋体"/>
                <w:color w:val="auto"/>
                <w:sz w:val="21"/>
                <w:szCs w:val="21"/>
                <w:highlight w:val="none"/>
                <w:lang w:val="en-US" w:eastAsia="zh-CN"/>
              </w:rPr>
              <w:t>六段变频。</w:t>
            </w:r>
          </w:p>
          <w:p w14:paraId="29DF37EB">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4.16.动态范围：20-280dB ，</w:t>
            </w:r>
            <w:r>
              <w:rPr>
                <w:rFonts w:hint="eastAsia" w:ascii="宋体" w:hAnsi="宋体" w:cs="宋体"/>
                <w:color w:val="auto"/>
                <w:sz w:val="21"/>
                <w:szCs w:val="21"/>
                <w:highlight w:val="none"/>
                <w:lang w:val="en-US" w:eastAsia="zh-CN"/>
              </w:rPr>
              <w:t>至少</w:t>
            </w:r>
            <w:r>
              <w:rPr>
                <w:rFonts w:hint="default" w:ascii="宋体" w:hAnsi="宋体" w:cs="宋体"/>
                <w:color w:val="auto"/>
                <w:sz w:val="21"/>
                <w:szCs w:val="21"/>
                <w:highlight w:val="none"/>
                <w:lang w:val="en-US" w:eastAsia="zh-CN"/>
              </w:rPr>
              <w:t>14级可视可调。</w:t>
            </w:r>
          </w:p>
          <w:p w14:paraId="0C538069">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4.17.最大焦点数：6 个焦点，可全程移动。</w:t>
            </w:r>
          </w:p>
          <w:p w14:paraId="1AAF485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4.18.彩色偏转：具备</w:t>
            </w:r>
          </w:p>
          <w:p w14:paraId="141E802E">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4.19.彩色多普勒频率≥4段变频，可视可调。</w:t>
            </w:r>
          </w:p>
          <w:p w14:paraId="0D23630F">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4.20.采样容积角度校正：-80°～80°可调。</w:t>
            </w:r>
          </w:p>
          <w:p w14:paraId="204164FD">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4.21.频谱包络功能：实时自动频谱包络、手动频谱包络等多种模式可选，系统自动分析显示：PSV、EDV、RI、PI、S/D、ACC、HR 等各种数据。</w:t>
            </w:r>
          </w:p>
          <w:p w14:paraId="6690EAC6">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4.22.测量及分析功能（B模式、C模式、PW模式、M模式）：</w:t>
            </w:r>
          </w:p>
          <w:p w14:paraId="2F5BBA9E">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4.23.一般测量距离、面积、角度、时间、斜率、心率、速度、加速度、颈部透明层、频谱描迹、阻力指数/搏动指数等。</w:t>
            </w:r>
          </w:p>
          <w:p w14:paraId="385BBA9B">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4.24.妇科测量：子宫、宫颈、卵巢、卵泡等的测量和记录。</w:t>
            </w:r>
          </w:p>
          <w:p w14:paraId="07553AF4">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4.25.专业软件包：腹部、产科、泌尿科、甲状腺、外周血管等。</w:t>
            </w:r>
          </w:p>
          <w:p w14:paraId="594EBFA0">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4.26.图片保存格式：BMP、 DICOM 、JPEG、DEFAUIT，支持静态图像后处理、测量。</w:t>
            </w:r>
          </w:p>
          <w:p w14:paraId="1CC746EB">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4.27.主机内置≥128G 固态硬盘，启动快速、稳定。</w:t>
            </w:r>
          </w:p>
          <w:p w14:paraId="6B791A47">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4.28.电影回放：≥600 帧</w:t>
            </w:r>
          </w:p>
          <w:p w14:paraId="20067145">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▲4.29.报告类型≥16 种</w:t>
            </w:r>
          </w:p>
          <w:p w14:paraId="409E3BAC">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4.30.2个USB接口、1个Video、1个S-Video、1个DVI、1个HDMI、1个DICOM。</w:t>
            </w:r>
          </w:p>
          <w:p w14:paraId="5F0A9B93">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三、配置需求</w:t>
            </w:r>
          </w:p>
          <w:p w14:paraId="71657BFE">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1.4K电子阴道镜镜头（含多光谱滤光光源、激光测距模块、手势模块），1个</w:t>
            </w:r>
          </w:p>
          <w:p w14:paraId="48E42B72">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2.一体式摇臂支架，1套</w:t>
            </w:r>
          </w:p>
          <w:p w14:paraId="42A004E2">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3.阴道镜工作站（含台车、主机、阴道镜专业软件等），1套</w:t>
            </w:r>
          </w:p>
          <w:p w14:paraId="6FE64CF1">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4.4K医用显示器，1个</w:t>
            </w:r>
          </w:p>
          <w:p w14:paraId="3404D92F">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5.无线鼠标、键盘，1套</w:t>
            </w:r>
          </w:p>
          <w:p w14:paraId="71575EB5">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6.双脚踏开关，1个</w:t>
            </w:r>
          </w:p>
          <w:p w14:paraId="66320113">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7.扫码枪，1个</w:t>
            </w:r>
          </w:p>
          <w:p w14:paraId="7D88F98C">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8.彩色喷墨打印机，1台</w:t>
            </w:r>
          </w:p>
          <w:p w14:paraId="416459AE">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9.打印纸，1包</w:t>
            </w:r>
          </w:p>
          <w:p w14:paraId="15E7AF56">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10.电源线，1根</w:t>
            </w:r>
          </w:p>
          <w:p w14:paraId="688DB17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11.中文用户文件组件包（合格证，保修卡，装箱单，说明书，速查卡各1），1套</w:t>
            </w:r>
          </w:p>
          <w:p w14:paraId="1E411016">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r>
              <w:rPr>
                <w:rFonts w:hint="default" w:ascii="宋体" w:hAnsi="宋体" w:eastAsia="宋体" w:cs="宋体"/>
                <w:color w:val="auto"/>
                <w:sz w:val="21"/>
                <w:szCs w:val="21"/>
                <w:highlight w:val="none"/>
                <w:lang w:val="en-US" w:eastAsia="zh-CN"/>
              </w:rPr>
              <w:t>宽频凸阵妇科术中探头1支</w:t>
            </w:r>
          </w:p>
          <w:p w14:paraId="31F6981D">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w:t>
            </w:r>
            <w:r>
              <w:rPr>
                <w:rFonts w:hint="default" w:ascii="宋体" w:hAnsi="宋体" w:eastAsia="宋体" w:cs="宋体"/>
                <w:color w:val="auto"/>
                <w:sz w:val="21"/>
                <w:szCs w:val="21"/>
                <w:highlight w:val="none"/>
                <w:lang w:val="en-US" w:eastAsia="zh-CN"/>
              </w:rPr>
              <w:t>凸阵探头1支</w:t>
            </w:r>
          </w:p>
          <w:p w14:paraId="16A22686">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r>
              <w:rPr>
                <w:rFonts w:hint="default" w:ascii="宋体" w:hAnsi="宋体" w:eastAsia="宋体" w:cs="宋体"/>
                <w:color w:val="auto"/>
                <w:sz w:val="21"/>
                <w:szCs w:val="21"/>
                <w:highlight w:val="none"/>
                <w:lang w:val="en-US" w:eastAsia="zh-CN"/>
              </w:rPr>
              <w:t>配套专用扩阴器 10个</w:t>
            </w:r>
          </w:p>
          <w:p w14:paraId="2EF80E6D">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r>
              <w:rPr>
                <w:rFonts w:hint="default" w:ascii="宋体" w:hAnsi="宋体" w:eastAsia="宋体" w:cs="宋体"/>
                <w:color w:val="auto"/>
                <w:sz w:val="21"/>
                <w:szCs w:val="21"/>
                <w:highlight w:val="none"/>
                <w:lang w:val="en-US" w:eastAsia="zh-CN"/>
              </w:rPr>
              <w:t>分立式电动流产吸引器1台。</w:t>
            </w:r>
          </w:p>
          <w:p w14:paraId="05435332">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w:t>
            </w:r>
            <w:r>
              <w:rPr>
                <w:rFonts w:hint="default" w:ascii="宋体" w:hAnsi="宋体" w:eastAsia="宋体" w:cs="宋体"/>
                <w:color w:val="auto"/>
                <w:sz w:val="21"/>
                <w:szCs w:val="21"/>
                <w:highlight w:val="none"/>
                <w:lang w:val="en-US" w:eastAsia="zh-CN"/>
              </w:rPr>
              <w:t>术中操作动画文件一套。</w:t>
            </w:r>
          </w:p>
        </w:tc>
        <w:tc>
          <w:tcPr>
            <w:tcW w:w="1100" w:type="dxa"/>
            <w:tcBorders>
              <w:left w:val="single" w:color="auto" w:sz="4" w:space="0"/>
            </w:tcBorders>
            <w:shd w:val="clear" w:color="auto" w:fill="auto"/>
            <w:vAlign w:val="center"/>
          </w:tcPr>
          <w:p w14:paraId="2582E39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39</w:t>
            </w:r>
          </w:p>
        </w:tc>
      </w:tr>
      <w:tr w14:paraId="776E5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642EA8D6">
            <w:pPr>
              <w:numPr>
                <w:ilvl w:val="0"/>
                <w:numId w:val="3"/>
              </w:numPr>
              <w:snapToGrid w:val="0"/>
              <w:spacing w:line="360" w:lineRule="auto"/>
              <w:jc w:val="center"/>
              <w:rPr>
                <w:rFonts w:hint="eastAsia" w:ascii="宋体" w:hAnsi="宋体" w:eastAsia="宋体" w:cs="宋体"/>
                <w:color w:val="auto"/>
                <w:sz w:val="21"/>
                <w:szCs w:val="21"/>
                <w:highlight w:val="none"/>
              </w:rPr>
            </w:pPr>
          </w:p>
        </w:tc>
        <w:tc>
          <w:tcPr>
            <w:tcW w:w="900" w:type="dxa"/>
            <w:vAlign w:val="center"/>
          </w:tcPr>
          <w:p w14:paraId="4624451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消毒隔离器械柜（内镜存储柜）</w:t>
            </w:r>
          </w:p>
        </w:tc>
        <w:tc>
          <w:tcPr>
            <w:tcW w:w="485" w:type="dxa"/>
            <w:gridSpan w:val="2"/>
            <w:tcBorders>
              <w:right w:val="single" w:color="auto" w:sz="4" w:space="0"/>
            </w:tcBorders>
            <w:shd w:val="clear" w:color="auto" w:fill="auto"/>
            <w:vAlign w:val="center"/>
          </w:tcPr>
          <w:p w14:paraId="3F4A20B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93" w:type="dxa"/>
            <w:tcBorders>
              <w:left w:val="single" w:color="auto" w:sz="4" w:space="0"/>
              <w:right w:val="single" w:color="auto" w:sz="4" w:space="0"/>
            </w:tcBorders>
            <w:vAlign w:val="center"/>
          </w:tcPr>
          <w:p w14:paraId="1F2C49D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5672" w:type="dxa"/>
            <w:tcBorders>
              <w:left w:val="single" w:color="auto" w:sz="4" w:space="0"/>
              <w:right w:val="single" w:color="auto" w:sz="4" w:space="0"/>
            </w:tcBorders>
            <w:vAlign w:val="center"/>
          </w:tcPr>
          <w:p w14:paraId="767C842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2F7902A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1.盘式储存，适用于所有软镜、硬镜、常规器械</w:t>
            </w:r>
          </w:p>
          <w:p w14:paraId="542F0A4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2.智能消毒模式：多种智能消毒模式</w:t>
            </w:r>
          </w:p>
          <w:p w14:paraId="2F3B12A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3.≥5寸彩色触摸屏</w:t>
            </w:r>
          </w:p>
          <w:p w14:paraId="08025A5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4.开门类型：单门，可储存多层托盘</w:t>
            </w:r>
          </w:p>
          <w:p w14:paraId="77BFC1A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5.开门自动亮灯，方便工作人员操作。</w:t>
            </w:r>
          </w:p>
          <w:p w14:paraId="2F501FA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6.磁性门胶条密封，无间隙，隔绝外部空气密闭储存</w:t>
            </w:r>
          </w:p>
          <w:p w14:paraId="13155DA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7.紫外线杀菌和循环通风功能，保证器械储存安全</w:t>
            </w:r>
          </w:p>
          <w:p w14:paraId="4BF1FDB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8.带有门位置检测功能，开门即亮灯，辅助工作人员工作</w:t>
            </w:r>
          </w:p>
          <w:p w14:paraId="369252A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9.紫外线杀菌和循环通风功能</w:t>
            </w:r>
          </w:p>
          <w:p w14:paraId="158961D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10.智能消毒模式：多种智能消毒模式</w:t>
            </w:r>
          </w:p>
          <w:p w14:paraId="316F250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11.磁性门胶条密封</w:t>
            </w:r>
          </w:p>
          <w:p w14:paraId="61C259C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12.LED冷光照明灯，不产生热量</w:t>
            </w:r>
          </w:p>
          <w:p w14:paraId="29E902A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13.消毒时间自动计时</w:t>
            </w:r>
          </w:p>
          <w:p w14:paraId="7DA28A1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二、配置需求：</w:t>
            </w:r>
          </w:p>
          <w:p w14:paraId="3DA2AB5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1.产品合格证 1份</w:t>
            </w:r>
          </w:p>
          <w:p w14:paraId="416399F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2.使用说明书 1份</w:t>
            </w:r>
          </w:p>
          <w:p w14:paraId="4D24E2A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3.操作规程 1份</w:t>
            </w:r>
          </w:p>
          <w:p w14:paraId="0818F93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4.塑料篮筐 9个</w:t>
            </w:r>
          </w:p>
          <w:p w14:paraId="625E6C1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5.塑料附件 9个</w:t>
            </w:r>
          </w:p>
        </w:tc>
        <w:tc>
          <w:tcPr>
            <w:tcW w:w="1100" w:type="dxa"/>
            <w:tcBorders>
              <w:left w:val="single" w:color="auto" w:sz="4" w:space="0"/>
            </w:tcBorders>
            <w:shd w:val="clear" w:color="auto" w:fill="auto"/>
            <w:vAlign w:val="center"/>
          </w:tcPr>
          <w:p w14:paraId="256914E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r>
      <w:tr w14:paraId="2B9A9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502AD1FC">
            <w:pPr>
              <w:numPr>
                <w:ilvl w:val="0"/>
                <w:numId w:val="3"/>
              </w:numPr>
              <w:snapToGrid w:val="0"/>
              <w:spacing w:line="360" w:lineRule="auto"/>
              <w:jc w:val="center"/>
              <w:rPr>
                <w:rFonts w:hint="eastAsia" w:ascii="宋体" w:hAnsi="宋体" w:eastAsia="宋体" w:cs="宋体"/>
                <w:color w:val="auto"/>
                <w:sz w:val="21"/>
                <w:szCs w:val="21"/>
                <w:highlight w:val="none"/>
              </w:rPr>
            </w:pPr>
          </w:p>
        </w:tc>
        <w:tc>
          <w:tcPr>
            <w:tcW w:w="900" w:type="dxa"/>
            <w:vAlign w:val="center"/>
          </w:tcPr>
          <w:p w14:paraId="26EB8943">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母婴监护仪（胎儿/母亲监护仪）</w:t>
            </w:r>
          </w:p>
        </w:tc>
        <w:tc>
          <w:tcPr>
            <w:tcW w:w="485" w:type="dxa"/>
            <w:gridSpan w:val="2"/>
            <w:tcBorders>
              <w:right w:val="single" w:color="auto" w:sz="4" w:space="0"/>
            </w:tcBorders>
            <w:shd w:val="clear" w:color="auto" w:fill="auto"/>
            <w:vAlign w:val="center"/>
          </w:tcPr>
          <w:p w14:paraId="6D5E812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493" w:type="dxa"/>
            <w:tcBorders>
              <w:left w:val="single" w:color="auto" w:sz="4" w:space="0"/>
              <w:right w:val="single" w:color="auto" w:sz="4" w:space="0"/>
            </w:tcBorders>
            <w:vAlign w:val="center"/>
          </w:tcPr>
          <w:p w14:paraId="25FB706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5672" w:type="dxa"/>
            <w:tcBorders>
              <w:left w:val="single" w:color="auto" w:sz="4" w:space="0"/>
              <w:right w:val="single" w:color="auto" w:sz="4" w:space="0"/>
            </w:tcBorders>
            <w:vAlign w:val="center"/>
          </w:tcPr>
          <w:p w14:paraId="7BC4706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5F14D88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1.监护参数：胎心率（FHR），宫缩压力（TOCO），胎动（FM），母亲参数（血压、血氧、脉搏、心电、呼吸、体温）；</w:t>
            </w:r>
          </w:p>
          <w:p w14:paraId="3906F0D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2.多晶片1MHz超声胎心探头，超声波束声强：Iob&lt;1 mW/cm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lang w:val="en-US" w:eastAsia="zh-CN"/>
              </w:rPr>
              <w:t>，胎心率范围： 30~240bpm 分辨率</w:t>
            </w:r>
            <w:r>
              <w:rPr>
                <w:rFonts w:ascii="Times New Roman" w:hAnsi="Times New Roman" w:eastAsia="宋体" w:cs="Times New Roman"/>
                <w:color w:val="auto"/>
                <w:highlight w:val="none"/>
              </w:rPr>
              <w:t>：</w:t>
            </w:r>
            <w:r>
              <w:rPr>
                <w:rFonts w:hint="eastAsia" w:ascii="宋体" w:hAnsi="宋体" w:eastAsia="宋体" w:cs="宋体"/>
                <w:color w:val="auto"/>
                <w:sz w:val="21"/>
                <w:szCs w:val="21"/>
                <w:highlight w:val="none"/>
                <w:lang w:val="en-US" w:eastAsia="zh-CN"/>
              </w:rPr>
              <w:t>1bpm，精度：±2bpm；</w:t>
            </w:r>
          </w:p>
          <w:p w14:paraId="3D20060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3.无凸点设计的宫缩探头，0~100相对单位，分辨率1 ，非线性误差≤±10%，归零方式：自动/手动；</w:t>
            </w:r>
          </w:p>
          <w:p w14:paraId="5004E15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4.胎动：手动/自动</w:t>
            </w:r>
            <w:r>
              <w:rPr>
                <w:rFonts w:hint="eastAsia" w:ascii="宋体" w:hAnsi="宋体" w:cs="宋体"/>
                <w:color w:val="auto"/>
                <w:sz w:val="21"/>
                <w:szCs w:val="21"/>
                <w:highlight w:val="none"/>
                <w:lang w:val="en-US" w:eastAsia="zh-CN"/>
              </w:rPr>
              <w:t>胎动监测</w:t>
            </w:r>
            <w:r>
              <w:rPr>
                <w:rFonts w:hint="eastAsia" w:ascii="宋体" w:hAnsi="宋体" w:eastAsia="宋体" w:cs="宋体"/>
                <w:color w:val="auto"/>
                <w:sz w:val="21"/>
                <w:szCs w:val="21"/>
                <w:highlight w:val="none"/>
                <w:lang w:val="en-US" w:eastAsia="zh-CN"/>
              </w:rPr>
              <w:t>，显示并打印胎儿活动图；</w:t>
            </w:r>
          </w:p>
          <w:p w14:paraId="2DD0C71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5.母亲参数指标：</w:t>
            </w:r>
          </w:p>
          <w:p w14:paraId="62ED885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6.心电导联选择：三导，心率范围：30~240 bpm，测量精度：±2bpm；</w:t>
            </w:r>
          </w:p>
          <w:p w14:paraId="38251E1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7.无创血压测量方法：振荡法，计量单位：mmHg/kPa可选，测量方式：手动/自动，袖带压力范围：0～300 mmHg，测量范围：收缩压40~270mmHg； 平均压20~235mmHg；舒张压10~215mmHg，测量精度：最大平均偏差不超过 ± 5 mmHg（ ± 0.8 kPa）；最大标准偏差不超过 8mmHg（ 1.2 kPa）；</w:t>
            </w:r>
          </w:p>
          <w:p w14:paraId="5285497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8.血氧饱和度显示方法：脉搏波形、血氧饱和度值，测量范围：</w:t>
            </w:r>
            <w:r>
              <w:rPr>
                <w:rFonts w:hint="eastAsia" w:ascii="宋体" w:hAnsi="宋体" w:cs="宋体"/>
                <w:color w:val="auto"/>
                <w:sz w:val="21"/>
                <w:szCs w:val="21"/>
                <w:highlight w:val="none"/>
                <w:lang w:val="en-US" w:eastAsia="zh-CN"/>
              </w:rPr>
              <w:t>50%～100%</w:t>
            </w:r>
            <w:r>
              <w:rPr>
                <w:rFonts w:hint="eastAsia" w:ascii="宋体" w:hAnsi="宋体" w:eastAsia="宋体" w:cs="宋体"/>
                <w:color w:val="auto"/>
                <w:sz w:val="21"/>
                <w:szCs w:val="21"/>
                <w:highlight w:val="none"/>
                <w:lang w:val="en-US" w:eastAsia="zh-CN"/>
              </w:rPr>
              <w:t>，分辨率：1%，测量精确度：90% ~ 100%： ±2%；70% ~ 90%： ±4%；＜70%： 未明确；</w:t>
            </w:r>
          </w:p>
          <w:p w14:paraId="4F5BFCA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9.呼吸 阻抗法，测量范围：0~120rpm，测量精度：±3rpm；</w:t>
            </w:r>
          </w:p>
          <w:p w14:paraId="69AF131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10.脉率显示范围：30 bpm ~ 240 bpm，测量精度：±3bpm；</w:t>
            </w:r>
          </w:p>
          <w:p w14:paraId="613B614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11.体温显示范围：0℃~ +50℃，测量精度：±0.3℃（ 不包括探头误差</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±0.1℃； 探头</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 ≤ ±0.2 ℃）</w:t>
            </w:r>
          </w:p>
          <w:p w14:paraId="2903194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12.10.1英寸TFT屏， 0-60°度内多角度翻转；</w:t>
            </w:r>
          </w:p>
          <w:p w14:paraId="59B5D50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13.人机对话界面，具备多种界面选择功能；</w:t>
            </w:r>
          </w:p>
          <w:p w14:paraId="4632CA4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14.监护曲线显示支持30 ~ 240（美标）和50 ~ 210（国际）两种标准；</w:t>
            </w:r>
          </w:p>
          <w:p w14:paraId="0A3604B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▲15.一体化探头架设计，支持挂墙放置探头、移动放置探头；</w:t>
            </w:r>
          </w:p>
          <w:p w14:paraId="15363C7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16.飞梭和硅胶按键操作；</w:t>
            </w:r>
          </w:p>
          <w:p w14:paraId="46654A7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17.易装纸打印结构设计，不用喂纸；</w:t>
            </w:r>
          </w:p>
          <w:p w14:paraId="380C622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18.隐藏式提手，方便移动；</w:t>
            </w:r>
          </w:p>
          <w:p w14:paraId="4C8585A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▲19.内置式152mm（或150mm）宽行打印，符合国际标准，连续准确记录胎心率、宫缩压曲线及胎儿活动曲线；</w:t>
            </w:r>
          </w:p>
          <w:p w14:paraId="42E275F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20.打印机走纸速度1、2、3cm/min可调，支持缺纸缓存打印，选段打印和定时长打印功能，定时时长范围：10-90min；</w:t>
            </w:r>
          </w:p>
          <w:p w14:paraId="11A0F2A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21.打印结束后</w:t>
            </w:r>
            <w:r>
              <w:rPr>
                <w:rFonts w:hint="eastAsia" w:ascii="宋体" w:hAnsi="宋体" w:cs="宋体"/>
                <w:color w:val="auto"/>
                <w:sz w:val="21"/>
                <w:szCs w:val="21"/>
                <w:highlight w:val="none"/>
                <w:lang w:val="en-US" w:eastAsia="zh-CN"/>
              </w:rPr>
              <w:t>给予</w:t>
            </w:r>
            <w:r>
              <w:rPr>
                <w:rFonts w:hint="eastAsia" w:ascii="宋体" w:hAnsi="宋体" w:eastAsia="宋体" w:cs="宋体"/>
                <w:color w:val="auto"/>
                <w:sz w:val="21"/>
                <w:szCs w:val="21"/>
                <w:highlight w:val="none"/>
                <w:lang w:val="en-US" w:eastAsia="zh-CN"/>
              </w:rPr>
              <w:t>声音提示；</w:t>
            </w:r>
          </w:p>
          <w:p w14:paraId="18FD05E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22.每十分钟自动打印时间、日期、母亲参数（心率、血压、血氧、呼吸、体温等参数数值）；</w:t>
            </w:r>
          </w:p>
          <w:p w14:paraId="3302255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23.支持NIBP省纸打印；</w:t>
            </w:r>
          </w:p>
          <w:p w14:paraId="0AB238F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24.胎心率报警范围可调，当胎心率过缓或过速时自动报警，报警内容中文显示，报警持续时间可调；</w:t>
            </w:r>
          </w:p>
          <w:p w14:paraId="3E0271D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25.具有超声传感器信号质量指示功能；</w:t>
            </w:r>
          </w:p>
          <w:p w14:paraId="76718D7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26.双胎心率重合报警(SOV)，母胎心率信号重合验证；</w:t>
            </w:r>
          </w:p>
          <w:p w14:paraId="2245E84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27.探头IPX8防水等级；</w:t>
            </w:r>
          </w:p>
          <w:p w14:paraId="3D7D57B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28.探头可在水下1.1m工作24小时，支持水中分娩；</w:t>
            </w:r>
          </w:p>
          <w:p w14:paraId="3C9CBF1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29.宫缩压探头采用防水透气设计，不受水压和温度变化影响，确保TOCO测量的精准性；</w:t>
            </w:r>
          </w:p>
          <w:p w14:paraId="35A31F6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▲30.打印纸实时记录信号质量和报警，并用图标显示，方便医护人员随时确认曲线异常情况；</w:t>
            </w:r>
          </w:p>
          <w:p w14:paraId="0EB421F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31.在宫缩数值大于50单位的情况下，在界面上弹出禁止测量血压的提示信息；</w:t>
            </w:r>
          </w:p>
          <w:p w14:paraId="715E6B7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32.回顾报警功能，可回顾最近的100条报警信息；</w:t>
            </w:r>
          </w:p>
          <w:p w14:paraId="63D9F4F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33.48小时CTG存储、回放，打印，掉电数据存储；</w:t>
            </w:r>
          </w:p>
          <w:p w14:paraId="08582DF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▲34.支持外接U盘存储监护数据；</w:t>
            </w:r>
          </w:p>
          <w:p w14:paraId="2013770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35.具有查找监护记录功能；</w:t>
            </w:r>
          </w:p>
          <w:p w14:paraId="30AADA9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36.支持外接胎儿刺激器，刺激标识与胎心宫缩曲线同步显示并描记打印；</w:t>
            </w:r>
          </w:p>
          <w:p w14:paraId="59C8AE8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37.内置通讯接口，支持与中央站组成网络系统；</w:t>
            </w:r>
          </w:p>
          <w:p w14:paraId="007FC0E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38.支持拓展无线探头，支持无线双胎心监护，无线探头采用自识别探头基座设计，无线探头工作距离＞100m，内置锂电池≥15小时的续航能力；</w:t>
            </w:r>
          </w:p>
          <w:p w14:paraId="2790911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39.中英文操作界面；</w:t>
            </w:r>
          </w:p>
          <w:p w14:paraId="60A0328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w:t>
            </w:r>
            <w:r>
              <w:rPr>
                <w:rFonts w:hint="eastAsia" w:ascii="宋体" w:hAnsi="宋体" w:cs="宋体"/>
                <w:color w:val="auto"/>
                <w:sz w:val="21"/>
                <w:szCs w:val="21"/>
                <w:highlight w:val="none"/>
                <w:lang w:val="en-US" w:eastAsia="zh-CN"/>
              </w:rPr>
              <w:t>支持选配升级</w:t>
            </w:r>
            <w:r>
              <w:rPr>
                <w:rFonts w:hint="eastAsia" w:ascii="宋体" w:hAnsi="宋体" w:eastAsia="宋体" w:cs="宋体"/>
                <w:color w:val="auto"/>
                <w:sz w:val="21"/>
                <w:szCs w:val="21"/>
                <w:highlight w:val="none"/>
                <w:lang w:val="en-US" w:eastAsia="zh-CN"/>
              </w:rPr>
              <w:t>大容量锂电池供电；</w:t>
            </w:r>
          </w:p>
          <w:p w14:paraId="70C721D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w:t>
            </w:r>
            <w:r>
              <w:rPr>
                <w:rFonts w:hint="eastAsia" w:ascii="宋体" w:hAnsi="宋体" w:cs="宋体"/>
                <w:color w:val="auto"/>
                <w:sz w:val="21"/>
                <w:szCs w:val="21"/>
                <w:highlight w:val="none"/>
                <w:lang w:val="en-US" w:eastAsia="zh-CN"/>
              </w:rPr>
              <w:t>支持选配升级</w:t>
            </w:r>
            <w:r>
              <w:rPr>
                <w:rFonts w:hint="eastAsia" w:ascii="宋体" w:hAnsi="宋体" w:eastAsia="宋体" w:cs="宋体"/>
                <w:color w:val="auto"/>
                <w:sz w:val="21"/>
                <w:szCs w:val="21"/>
                <w:highlight w:val="none"/>
                <w:lang w:val="en-US" w:eastAsia="zh-CN"/>
              </w:rPr>
              <w:t>无线TOCO探头外接心电导联线测量母亲心率</w:t>
            </w:r>
          </w:p>
          <w:p w14:paraId="3F26EDC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42.支持兼容连接医院的胎监中央监护系统</w:t>
            </w:r>
          </w:p>
          <w:p w14:paraId="7A08FDC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二、每台配置需求：</w:t>
            </w:r>
          </w:p>
          <w:p w14:paraId="5159B24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1.主机，1台</w:t>
            </w:r>
          </w:p>
          <w:p w14:paraId="0B2E5F6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2.胎心探头，1个</w:t>
            </w:r>
          </w:p>
          <w:p w14:paraId="70FC812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3.宫缩压力探头，1个</w:t>
            </w:r>
          </w:p>
          <w:p w14:paraId="3B07140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4.打标器，1个</w:t>
            </w:r>
          </w:p>
          <w:p w14:paraId="52A7CD3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5.成人指夹式血氧探头，1个</w:t>
            </w:r>
          </w:p>
          <w:p w14:paraId="2CD37F7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6.血压袖套，1个</w:t>
            </w:r>
          </w:p>
          <w:p w14:paraId="42D3761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7.血压气管延长线，1根</w:t>
            </w:r>
          </w:p>
          <w:p w14:paraId="7D14F77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8.心电导联线，1根</w:t>
            </w:r>
          </w:p>
          <w:p w14:paraId="32E68B7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9.电极片，6个</w:t>
            </w:r>
          </w:p>
          <w:p w14:paraId="0C0AC9F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10.耦合剂，1瓶</w:t>
            </w:r>
          </w:p>
          <w:p w14:paraId="6C6A6A5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11.绑带，2根</w:t>
            </w:r>
          </w:p>
          <w:p w14:paraId="78A96F7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12.内置宽行</w:t>
            </w:r>
            <w:r>
              <w:rPr>
                <w:rFonts w:hint="eastAsia"/>
                <w:color w:val="auto"/>
                <w:highlight w:val="none"/>
                <w:lang w:val="en-US" w:eastAsia="zh-CN"/>
              </w:rPr>
              <w:t>输出装置</w:t>
            </w:r>
            <w:r>
              <w:rPr>
                <w:rFonts w:hint="eastAsia" w:ascii="宋体" w:hAnsi="宋体" w:eastAsia="宋体" w:cs="宋体"/>
                <w:color w:val="auto"/>
                <w:sz w:val="21"/>
                <w:szCs w:val="21"/>
                <w:highlight w:val="none"/>
                <w:lang w:val="en-US" w:eastAsia="zh-CN"/>
              </w:rPr>
              <w:t>，1台</w:t>
            </w:r>
          </w:p>
          <w:p w14:paraId="5F8CB6F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13.打印纸，1盒</w:t>
            </w:r>
          </w:p>
          <w:p w14:paraId="4757C35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14.电源线，1根</w:t>
            </w:r>
          </w:p>
          <w:p w14:paraId="6CAD188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15.保险管，2个</w:t>
            </w:r>
          </w:p>
          <w:p w14:paraId="0086017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16.中文用户文件（合格证，保修卡，装箱单，说明书，胎心监护手册、速查卡，用户验收单、三证文件各1），1套</w:t>
            </w:r>
          </w:p>
          <w:p w14:paraId="17D8CED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17.接地线，1根</w:t>
            </w:r>
          </w:p>
        </w:tc>
        <w:tc>
          <w:tcPr>
            <w:tcW w:w="1100" w:type="dxa"/>
            <w:tcBorders>
              <w:left w:val="single" w:color="auto" w:sz="4" w:space="0"/>
            </w:tcBorders>
            <w:shd w:val="clear" w:color="auto" w:fill="auto"/>
            <w:vAlign w:val="center"/>
          </w:tcPr>
          <w:p w14:paraId="730BA2D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4.5</w:t>
            </w:r>
          </w:p>
        </w:tc>
      </w:tr>
      <w:tr w14:paraId="42A73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580E33D0">
            <w:pPr>
              <w:numPr>
                <w:ilvl w:val="0"/>
                <w:numId w:val="3"/>
              </w:numPr>
              <w:snapToGrid w:val="0"/>
              <w:spacing w:line="360" w:lineRule="auto"/>
              <w:jc w:val="center"/>
              <w:rPr>
                <w:rFonts w:hint="eastAsia" w:ascii="宋体" w:hAnsi="宋体" w:eastAsia="宋体" w:cs="宋体"/>
                <w:color w:val="auto"/>
                <w:sz w:val="21"/>
                <w:szCs w:val="21"/>
                <w:highlight w:val="none"/>
              </w:rPr>
            </w:pPr>
          </w:p>
        </w:tc>
        <w:tc>
          <w:tcPr>
            <w:tcW w:w="900" w:type="dxa"/>
            <w:vAlign w:val="center"/>
          </w:tcPr>
          <w:p w14:paraId="22B1BD81">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胎心监护仪（超声多普勒胎儿监护仪中央监护系统）</w:t>
            </w:r>
          </w:p>
        </w:tc>
        <w:tc>
          <w:tcPr>
            <w:tcW w:w="485" w:type="dxa"/>
            <w:gridSpan w:val="2"/>
            <w:tcBorders>
              <w:right w:val="single" w:color="auto" w:sz="4" w:space="0"/>
            </w:tcBorders>
            <w:shd w:val="clear" w:color="auto" w:fill="auto"/>
            <w:vAlign w:val="center"/>
          </w:tcPr>
          <w:p w14:paraId="1C1B1C3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93" w:type="dxa"/>
            <w:tcBorders>
              <w:left w:val="single" w:color="auto" w:sz="4" w:space="0"/>
              <w:right w:val="single" w:color="auto" w:sz="4" w:space="0"/>
            </w:tcBorders>
            <w:vAlign w:val="center"/>
          </w:tcPr>
          <w:p w14:paraId="68BDEC8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5672" w:type="dxa"/>
            <w:tcBorders>
              <w:left w:val="single" w:color="auto" w:sz="4" w:space="0"/>
              <w:right w:val="single" w:color="auto" w:sz="4" w:space="0"/>
            </w:tcBorders>
            <w:vAlign w:val="center"/>
          </w:tcPr>
          <w:p w14:paraId="4DC92F3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 胎心监护仪参数</w:t>
            </w:r>
          </w:p>
          <w:p w14:paraId="4287E10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 监护参数：胎心率（FHR），宫缩压力（TOCO），胎动（FM）；</w:t>
            </w:r>
          </w:p>
          <w:p w14:paraId="7BC4F4E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 多晶片1MHz超声胎心探头，超声波束声强：Iob&lt;1 mW/cm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lang w:val="en-US" w:eastAsia="zh-CN"/>
              </w:rPr>
              <w:t>，胎心率范围： 30~240bpm 分辨率</w:t>
            </w:r>
            <w:r>
              <w:rPr>
                <w:rFonts w:ascii="Times New Roman" w:hAnsi="Times New Roman" w:eastAsia="宋体" w:cs="Times New Roman"/>
                <w:color w:val="auto"/>
                <w:highlight w:val="none"/>
              </w:rPr>
              <w:t>：</w:t>
            </w:r>
            <w:r>
              <w:rPr>
                <w:rFonts w:hint="eastAsia" w:ascii="宋体" w:hAnsi="宋体" w:eastAsia="宋体" w:cs="宋体"/>
                <w:color w:val="auto"/>
                <w:sz w:val="21"/>
                <w:szCs w:val="21"/>
                <w:highlight w:val="none"/>
                <w:lang w:val="en-US" w:eastAsia="zh-CN"/>
              </w:rPr>
              <w:t>1bpm，精度：±2bpm；</w:t>
            </w:r>
          </w:p>
          <w:p w14:paraId="3FACEE4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 无凸点设计的宫缩探头，0-100相对单位，分辨率1，非线性误差≤±10%，归零方式：自动/手动；</w:t>
            </w:r>
          </w:p>
          <w:p w14:paraId="0BF69D2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 探头IPX8防水等级；</w:t>
            </w:r>
          </w:p>
          <w:p w14:paraId="2EE0B2C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 探头可在水下1.1m工作24小时，支持水中分娩，</w:t>
            </w:r>
          </w:p>
          <w:p w14:paraId="051C3A4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 宫缩压探头采用防水透气设计，不受水压和温度变化影响，确保TOCO测量的精准性</w:t>
            </w:r>
          </w:p>
          <w:p w14:paraId="3C38D35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 胎动：手动/自动</w:t>
            </w:r>
            <w:r>
              <w:rPr>
                <w:rFonts w:hint="eastAsia" w:ascii="宋体" w:hAnsi="宋体" w:cs="宋体"/>
                <w:color w:val="auto"/>
                <w:sz w:val="21"/>
                <w:szCs w:val="21"/>
                <w:highlight w:val="none"/>
                <w:lang w:val="en-US" w:eastAsia="zh-CN"/>
              </w:rPr>
              <w:t>胎动监测</w:t>
            </w:r>
            <w:r>
              <w:rPr>
                <w:rFonts w:hint="eastAsia" w:ascii="宋体" w:hAnsi="宋体" w:eastAsia="宋体" w:cs="宋体"/>
                <w:color w:val="auto"/>
                <w:sz w:val="21"/>
                <w:szCs w:val="21"/>
                <w:highlight w:val="none"/>
                <w:lang w:val="en-US" w:eastAsia="zh-CN"/>
              </w:rPr>
              <w:t>，显示并打印胎儿活动图；</w:t>
            </w:r>
          </w:p>
          <w:p w14:paraId="7233EC7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 ≥5.6英寸高清TFT液晶屏，90°角度内任意翻转；</w:t>
            </w:r>
          </w:p>
          <w:p w14:paraId="69DB111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 多种监护界面，显示胎儿监护曲线及数字，支持大字体显示；</w:t>
            </w:r>
          </w:p>
          <w:p w14:paraId="736237A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 监护曲线显示支持30 ~ 240（美标）和50 ~ 210（国际）两种标准；</w:t>
            </w:r>
          </w:p>
          <w:p w14:paraId="4A1F6A5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 一体化探头架设计，支持挂墙放置探头、移动放置探头；</w:t>
            </w:r>
          </w:p>
          <w:p w14:paraId="72EA773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1.12 隐藏式提手，方便移动；</w:t>
            </w:r>
          </w:p>
          <w:p w14:paraId="509A9B8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▲1.13 内置式152mm（或150mm）宽行打印，符合国际标准，连续准确记录胎心率、宫缩压曲线及胎儿活动曲线；</w:t>
            </w:r>
          </w:p>
          <w:p w14:paraId="2DDBBE2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 打印</w:t>
            </w:r>
            <w:r>
              <w:rPr>
                <w:rFonts w:hint="eastAsia" w:ascii="宋体" w:hAnsi="宋体" w:cs="宋体"/>
                <w:color w:val="auto"/>
                <w:sz w:val="21"/>
                <w:szCs w:val="21"/>
                <w:highlight w:val="none"/>
                <w:lang w:val="en-US" w:eastAsia="zh-CN"/>
              </w:rPr>
              <w:t>输出装置</w:t>
            </w:r>
            <w:r>
              <w:rPr>
                <w:rFonts w:hint="eastAsia" w:ascii="宋体" w:hAnsi="宋体" w:eastAsia="宋体" w:cs="宋体"/>
                <w:color w:val="auto"/>
                <w:sz w:val="21"/>
                <w:szCs w:val="21"/>
                <w:highlight w:val="none"/>
                <w:lang w:val="en-US" w:eastAsia="zh-CN"/>
              </w:rPr>
              <w:t>走纸速度1、2、3cm/min可调，支持缺纸缓存打印，选段打印和定时长打印功能，定时时长范围：10-90min；</w:t>
            </w:r>
          </w:p>
          <w:p w14:paraId="0D79D15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1.15 胎心率报警范围可调，当胎心率过缓或过速时自动报警，报警内容中文显示，报警持续时间可调；</w:t>
            </w:r>
          </w:p>
          <w:p w14:paraId="00715C3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1.16 具有超声传感器信号质量指示功能；</w:t>
            </w:r>
          </w:p>
          <w:p w14:paraId="0922862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1.17 </w:t>
            </w:r>
            <w:r>
              <w:rPr>
                <w:rFonts w:hint="eastAsia" w:ascii="宋体" w:hAnsi="宋体" w:cs="宋体"/>
                <w:color w:val="auto"/>
                <w:sz w:val="21"/>
                <w:szCs w:val="21"/>
                <w:highlight w:val="none"/>
                <w:lang w:val="en-US" w:eastAsia="zh-CN"/>
              </w:rPr>
              <w:t>支持</w:t>
            </w:r>
            <w:r>
              <w:rPr>
                <w:rFonts w:hint="eastAsia" w:ascii="宋体" w:hAnsi="宋体" w:eastAsia="宋体" w:cs="宋体"/>
                <w:color w:val="auto"/>
                <w:sz w:val="21"/>
                <w:szCs w:val="21"/>
                <w:highlight w:val="none"/>
                <w:lang w:val="en-US" w:eastAsia="zh-CN"/>
              </w:rPr>
              <w:t>双胞胎配置</w:t>
            </w:r>
          </w:p>
          <w:p w14:paraId="63E96EE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 中央监护系统参数</w:t>
            </w:r>
          </w:p>
          <w:p w14:paraId="3A48F05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 支持有线/无线接入大于120台床边机和32个客户端；</w:t>
            </w:r>
          </w:p>
          <w:p w14:paraId="4ABC58B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2.2支持KREBS、Fischer、改良Fischer和NST四种评分标准；</w:t>
            </w:r>
          </w:p>
          <w:p w14:paraId="0A61F757">
            <w:pPr>
              <w:widowControl/>
              <w:spacing w:line="360" w:lineRule="auto"/>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 配置产时（NICHD）胎心监护三类图形评估标准和报告系统，系统支持自动分析并提供临床处置建议</w:t>
            </w:r>
            <w:r>
              <w:rPr>
                <w:rFonts w:hint="eastAsia" w:ascii="宋体" w:hAnsi="宋体" w:eastAsia="宋体" w:cs="宋体"/>
                <w:b/>
                <w:bCs/>
                <w:color w:val="auto"/>
                <w:sz w:val="21"/>
                <w:szCs w:val="21"/>
                <w:highlight w:val="none"/>
                <w:lang w:val="en-US" w:eastAsia="zh-CN"/>
              </w:rPr>
              <w:t>。</w:t>
            </w:r>
          </w:p>
          <w:p w14:paraId="6B44223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 全产程、实时、多床位显示和记录床边监护仪的数字和曲线，自动判断有效监护数据进行智能显示和报警，床边工作状态、信号质量、监护信息等；</w:t>
            </w:r>
          </w:p>
          <w:p w14:paraId="3F388B5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 胎监/母胎监护/母亲监护三种监护版面，根据床边机监护数据，自适应界面更改，适合产前监护、产时监护、产后监护不同需要；</w:t>
            </w:r>
          </w:p>
          <w:p w14:paraId="4D22584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 SOV（信号重合）报警功能，母亲和胎儿心率重合报警，双胎信号重合报警；</w:t>
            </w:r>
          </w:p>
          <w:p w14:paraId="2A34FBB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2.7支持根据医院需求在界面中定制化管理操作按键，具备增加、删除快捷操作按键，具备优先常用快捷操作功能；</w:t>
            </w:r>
          </w:p>
          <w:p w14:paraId="7D00449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2.8具有数据库，存储，全程CTG浏览的功能，便于了解整体监护情况，贮存全产程所有数据，提供完整的分娩记录，并可选段分析、打印；</w:t>
            </w:r>
          </w:p>
          <w:p w14:paraId="1FB0809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2.9支持回放CTG和母亲生命体征趋势，无创血压列表；</w:t>
            </w:r>
          </w:p>
          <w:p w14:paraId="61EAF98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2.10 符合国际标准的三级声光处理系统，母亲/胎儿参数报警，报警界限根据需要可调节；</w:t>
            </w:r>
          </w:p>
          <w:p w14:paraId="4228AEC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 能打印多种报告，包括支持KREBS、Fischer、改良Fischer和NST四种评分报告，三类图形评估报告和CTG报告等多种报告系统；</w:t>
            </w:r>
          </w:p>
          <w:p w14:paraId="6098ACD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2.12打印支持国标/美标/欧标格式，支持A4/B5等纸型</w:t>
            </w:r>
          </w:p>
          <w:p w14:paraId="74F4F15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2.13支持升级接入医院信息管理系统（HIS），实现数据的统一管理和共享；</w:t>
            </w:r>
          </w:p>
          <w:p w14:paraId="1A4AB9B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2.14支持同步云服务上的远程监护数据功能，对监护数据进行管理，支持查询、添加分析意见，以及将分析信息上传至云。</w:t>
            </w:r>
          </w:p>
          <w:p w14:paraId="2FCEFA5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2.15支持升级接入新生儿血气分析仪功能，实现孕妇、新生儿脐血气数据的统一管理；</w:t>
            </w:r>
          </w:p>
          <w:p w14:paraId="618BE5F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2.16 支持断点续传，包括FHR、TOCO、MHR、AFM、</w:t>
            </w:r>
            <w:r>
              <w:rPr>
                <w:rFonts w:ascii="Times New Roman" w:hAnsi="Times New Roman" w:eastAsia="宋体" w:cs="Times New Roman"/>
                <w:color w:val="auto"/>
                <w:highlight w:val="none"/>
              </w:rPr>
              <w:t>SpO₂</w:t>
            </w:r>
            <w:r>
              <w:rPr>
                <w:rFonts w:hint="eastAsia" w:ascii="宋体" w:hAnsi="宋体" w:eastAsia="宋体" w:cs="宋体"/>
                <w:color w:val="auto"/>
                <w:sz w:val="21"/>
                <w:szCs w:val="21"/>
                <w:highlight w:val="none"/>
                <w:lang w:val="en-US" w:eastAsia="zh-CN"/>
              </w:rPr>
              <w:t>和事件。</w:t>
            </w:r>
          </w:p>
          <w:p w14:paraId="7B866DB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三、胎心监护仪配置</w:t>
            </w:r>
          </w:p>
          <w:p w14:paraId="65E4184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 主机，5台</w:t>
            </w:r>
          </w:p>
          <w:p w14:paraId="55F7154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 胎心探头，5个</w:t>
            </w:r>
          </w:p>
          <w:p w14:paraId="5C982D6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 宫缩压力探头，5个</w:t>
            </w:r>
          </w:p>
          <w:p w14:paraId="4D0F217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 打标器，5个</w:t>
            </w:r>
          </w:p>
          <w:p w14:paraId="32AEF3F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 绑带，10根</w:t>
            </w:r>
          </w:p>
          <w:p w14:paraId="06D2433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 耦合剂，5瓶</w:t>
            </w:r>
          </w:p>
          <w:p w14:paraId="5EB71CE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 打印纸，5盒</w:t>
            </w:r>
          </w:p>
          <w:p w14:paraId="1F271C4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 内置宽行</w:t>
            </w:r>
            <w:r>
              <w:rPr>
                <w:rFonts w:hint="eastAsia"/>
                <w:color w:val="auto"/>
                <w:highlight w:val="none"/>
                <w:lang w:val="en-US" w:eastAsia="zh-CN"/>
              </w:rPr>
              <w:t>输出装置</w:t>
            </w:r>
            <w:r>
              <w:rPr>
                <w:rFonts w:hint="eastAsia" w:ascii="宋体" w:hAnsi="宋体" w:eastAsia="宋体" w:cs="宋体"/>
                <w:color w:val="auto"/>
                <w:sz w:val="21"/>
                <w:szCs w:val="21"/>
                <w:highlight w:val="none"/>
                <w:lang w:val="en-US" w:eastAsia="zh-CN"/>
              </w:rPr>
              <w:t>，5台</w:t>
            </w:r>
          </w:p>
          <w:p w14:paraId="4FFEADF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3.9 电源线，5根</w:t>
            </w:r>
          </w:p>
          <w:p w14:paraId="2CA0826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3.10 保险管，10个</w:t>
            </w:r>
          </w:p>
          <w:p w14:paraId="3C8FB42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 中文用户文件（合格证，保修卡，装箱单，说明书，胎心监护手册、速查卡，用户验收单、三证文件各1），5套</w:t>
            </w:r>
          </w:p>
          <w:p w14:paraId="4247A45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 接地线，5根</w:t>
            </w:r>
          </w:p>
          <w:p w14:paraId="79370CD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四、中央监护系统配置</w:t>
            </w:r>
          </w:p>
          <w:p w14:paraId="113D8D8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 一体机 1台</w:t>
            </w:r>
          </w:p>
          <w:p w14:paraId="4FF259B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 鼠标 1个</w:t>
            </w:r>
          </w:p>
          <w:p w14:paraId="0F6D97C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 键盘 1个</w:t>
            </w:r>
          </w:p>
          <w:p w14:paraId="1E0CAB3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 激光</w:t>
            </w:r>
            <w:r>
              <w:rPr>
                <w:rFonts w:hint="eastAsia" w:ascii="宋体" w:hAnsi="宋体" w:cs="宋体"/>
                <w:color w:val="auto"/>
                <w:sz w:val="21"/>
                <w:szCs w:val="21"/>
                <w:highlight w:val="none"/>
                <w:lang w:val="en-US" w:eastAsia="zh-CN"/>
              </w:rPr>
              <w:t>输出装置</w:t>
            </w:r>
            <w:r>
              <w:rPr>
                <w:rFonts w:hint="eastAsia" w:ascii="宋体" w:hAnsi="宋体" w:eastAsia="宋体" w:cs="宋体"/>
                <w:color w:val="auto"/>
                <w:sz w:val="21"/>
                <w:szCs w:val="21"/>
                <w:highlight w:val="none"/>
                <w:lang w:val="en-US" w:eastAsia="zh-CN"/>
              </w:rPr>
              <w:t xml:space="preserve"> 1台</w:t>
            </w:r>
          </w:p>
          <w:p w14:paraId="623495B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 电源线 1</w:t>
            </w:r>
            <w:r>
              <w:rPr>
                <w:rFonts w:hint="eastAsia" w:ascii="宋体" w:hAnsi="宋体" w:cs="宋体"/>
                <w:color w:val="auto"/>
                <w:sz w:val="21"/>
                <w:szCs w:val="21"/>
                <w:highlight w:val="none"/>
                <w:lang w:val="en-US" w:eastAsia="zh-CN"/>
              </w:rPr>
              <w:t>根</w:t>
            </w:r>
          </w:p>
          <w:p w14:paraId="064D77E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4.6 软件光盘 1套</w:t>
            </w:r>
          </w:p>
          <w:p w14:paraId="2D4342D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4.7 中文用户文件组件包 1套</w:t>
            </w:r>
          </w:p>
        </w:tc>
        <w:tc>
          <w:tcPr>
            <w:tcW w:w="1100" w:type="dxa"/>
            <w:tcBorders>
              <w:left w:val="single" w:color="auto" w:sz="4" w:space="0"/>
            </w:tcBorders>
            <w:shd w:val="clear" w:color="auto" w:fill="auto"/>
            <w:vAlign w:val="center"/>
          </w:tcPr>
          <w:p w14:paraId="133E61E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w:t>
            </w:r>
          </w:p>
        </w:tc>
      </w:tr>
      <w:tr w14:paraId="1B37B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271CAB33">
            <w:pPr>
              <w:numPr>
                <w:ilvl w:val="0"/>
                <w:numId w:val="3"/>
              </w:numPr>
              <w:snapToGrid w:val="0"/>
              <w:spacing w:line="360" w:lineRule="auto"/>
              <w:jc w:val="center"/>
              <w:rPr>
                <w:rFonts w:hint="eastAsia" w:ascii="宋体" w:hAnsi="宋体" w:eastAsia="宋体" w:cs="宋体"/>
                <w:color w:val="auto"/>
                <w:sz w:val="21"/>
                <w:szCs w:val="21"/>
                <w:highlight w:val="none"/>
              </w:rPr>
            </w:pPr>
          </w:p>
        </w:tc>
        <w:tc>
          <w:tcPr>
            <w:tcW w:w="900" w:type="dxa"/>
            <w:vAlign w:val="center"/>
          </w:tcPr>
          <w:p w14:paraId="166C5BAF">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新生儿辐射抢救台（婴儿辐射保暖台）</w:t>
            </w:r>
          </w:p>
        </w:tc>
        <w:tc>
          <w:tcPr>
            <w:tcW w:w="485" w:type="dxa"/>
            <w:gridSpan w:val="2"/>
            <w:tcBorders>
              <w:right w:val="single" w:color="auto" w:sz="4" w:space="0"/>
            </w:tcBorders>
            <w:shd w:val="clear" w:color="auto" w:fill="auto"/>
            <w:vAlign w:val="center"/>
          </w:tcPr>
          <w:p w14:paraId="5B684DA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493" w:type="dxa"/>
            <w:tcBorders>
              <w:left w:val="single" w:color="auto" w:sz="4" w:space="0"/>
              <w:right w:val="single" w:color="auto" w:sz="4" w:space="0"/>
            </w:tcBorders>
            <w:vAlign w:val="center"/>
          </w:tcPr>
          <w:p w14:paraId="6FF8BE7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张</w:t>
            </w:r>
          </w:p>
        </w:tc>
        <w:tc>
          <w:tcPr>
            <w:tcW w:w="5672" w:type="dxa"/>
            <w:tcBorders>
              <w:left w:val="single" w:color="auto" w:sz="4" w:space="0"/>
              <w:right w:val="single" w:color="auto" w:sz="4" w:space="0"/>
            </w:tcBorders>
            <w:vAlign w:val="center"/>
          </w:tcPr>
          <w:p w14:paraId="7360DCC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6D5D35D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1.基本要求：用于对新生儿进行敞开式的护理或抢救和体温调节，以及动脉血氧饱和度(SpO₂)和脉搏率(PR)的连续无创测量</w:t>
            </w:r>
          </w:p>
          <w:p w14:paraId="40499A8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2.电源要求：AC220V/50Hz</w:t>
            </w:r>
          </w:p>
          <w:p w14:paraId="3034E22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3.输入功率：≥800VA</w:t>
            </w:r>
          </w:p>
          <w:p w14:paraId="5FF9981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4.温控范围</w:t>
            </w:r>
          </w:p>
          <w:p w14:paraId="4F20457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 肤温模式下控制温度范围：32℃～37.5℃</w:t>
            </w:r>
          </w:p>
          <w:p w14:paraId="5CE5301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 肤温模式的温度显示范围：5℃～65℃</w:t>
            </w:r>
          </w:p>
          <w:p w14:paraId="0FE3939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 皮肤温度传感器测得的温度与控制温度之差：≤ 0.5℃</w:t>
            </w:r>
          </w:p>
          <w:p w14:paraId="32F27AC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5.床面温度均匀性：≤ 2℃</w:t>
            </w:r>
          </w:p>
          <w:p w14:paraId="32905CA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6.皮肤温度传感器精度：±0.2℃内</w:t>
            </w:r>
          </w:p>
          <w:p w14:paraId="6822A7AD">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7.显示功能</w:t>
            </w:r>
          </w:p>
          <w:p w14:paraId="5EA9DB0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 SpO₂显示范围：1%～100%</w:t>
            </w:r>
          </w:p>
          <w:p w14:paraId="3D85264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7.2 SpO₂显示分辨度：1%</w:t>
            </w:r>
          </w:p>
          <w:p w14:paraId="5B1DBC4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7.3 SpO₂测量精度：在 70%～100%内，无体动状态下：±3%</w:t>
            </w:r>
          </w:p>
          <w:p w14:paraId="457A253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7.4 SpO₂报警上限设置范围：50%～100%</w:t>
            </w:r>
          </w:p>
          <w:p w14:paraId="3985BB9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7.5 SpO₂报警下限设置范围：45%～95%</w:t>
            </w:r>
          </w:p>
          <w:p w14:paraId="17AC8E7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7.6 PR 显示范围：25bpm～240bpm</w:t>
            </w:r>
          </w:p>
          <w:p w14:paraId="1ED2C2D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7.7 PR显示分辨度：1bpm </w:t>
            </w:r>
          </w:p>
          <w:p w14:paraId="765D669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7.8 PR 测量精度：在30bpm～240bpm内，无体动状态下：±3 bpm</w:t>
            </w:r>
          </w:p>
          <w:p w14:paraId="5FB6C6C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7.9 PR 报警上限设置范围：80bpm～240bpm</w:t>
            </w:r>
          </w:p>
          <w:p w14:paraId="07BFA34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 PR 报警下限设置范围：35bpm～180bpm</w:t>
            </w:r>
          </w:p>
          <w:p w14:paraId="6CBCADC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7.11 PI 显示范围：0.02%～20.00%</w:t>
            </w:r>
          </w:p>
          <w:p w14:paraId="2D97250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7.12 PI 显示分辨率：0.01% </w:t>
            </w:r>
          </w:p>
          <w:p w14:paraId="5FBE3CA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7.13 灵敏度设置：Normal、APOD、Max，预设为 Normal</w:t>
            </w:r>
          </w:p>
          <w:p w14:paraId="75F2C03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7.14  FastSAT</w:t>
            </w:r>
            <w:r>
              <w:rPr>
                <w:rFonts w:ascii="Times New Roman" w:hAnsi="Times New Roman" w:eastAsia="宋体" w:cs="Times New Roman"/>
                <w:color w:val="auto"/>
                <w:highlight w:val="none"/>
              </w:rPr>
              <w:t>：</w:t>
            </w:r>
            <w:r>
              <w:rPr>
                <w:rFonts w:hint="eastAsia" w:ascii="宋体" w:hAnsi="宋体" w:eastAsia="宋体" w:cs="宋体"/>
                <w:color w:val="auto"/>
                <w:sz w:val="21"/>
                <w:szCs w:val="21"/>
                <w:highlight w:val="none"/>
                <w:lang w:val="en-US" w:eastAsia="zh-CN"/>
              </w:rPr>
              <w:t>关闭、启用，预设为关闭</w:t>
            </w:r>
          </w:p>
          <w:p w14:paraId="408902E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7.15  平均化时间：2s～4s、4s～6s、8s、10s、12s、14s、16s，预设为8s</w:t>
            </w:r>
          </w:p>
          <w:p w14:paraId="7111ABE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8.报警项目：断电报警，传感器报警，偏差报警，超温报警，设置报警、检查报警、系统报警，血氧报警，SpO₂上限报警、SpO₂下限报警，脉搏上限报警、脉搏下限报警，系统提示</w:t>
            </w:r>
          </w:p>
          <w:p w14:paraId="3DDB7CA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9.APGAR 评分：运行到 50 秒～1 分钟、 4 分 50 秒～5 分钟、9 分 50 秒～10 分钟时发出声光提示</w:t>
            </w:r>
          </w:p>
          <w:p w14:paraId="465A201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10.≥8</w:t>
            </w:r>
            <w:r>
              <w:rPr>
                <w:rFonts w:hint="eastAsia" w:ascii="宋体" w:hAnsi="宋体" w:cs="宋体"/>
                <w:color w:val="auto"/>
                <w:sz w:val="21"/>
                <w:szCs w:val="21"/>
                <w:highlight w:val="none"/>
                <w:lang w:val="en-US" w:eastAsia="zh-CN"/>
              </w:rPr>
              <w:t>寸</w:t>
            </w:r>
            <w:r>
              <w:rPr>
                <w:rFonts w:hint="eastAsia" w:ascii="宋体" w:hAnsi="宋体" w:eastAsia="宋体" w:cs="宋体"/>
                <w:color w:val="auto"/>
                <w:sz w:val="21"/>
                <w:szCs w:val="21"/>
                <w:highlight w:val="none"/>
                <w:lang w:val="en-US" w:eastAsia="zh-CN"/>
              </w:rPr>
              <w:t>LCD彩色触摸屏</w:t>
            </w:r>
          </w:p>
          <w:p w14:paraId="2A43AC6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11.MasimoSpO₂脉搏血氧监测功能，可进行新生儿危重先天性心脏病（CCHD）早期筛查，在低灌注和体动状态下可有效测量血氧脉搏</w:t>
            </w:r>
          </w:p>
          <w:p w14:paraId="6E90FDC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12.辐射箱水平角度可调，方便临床护理</w:t>
            </w:r>
          </w:p>
          <w:p w14:paraId="32CED0F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13.婴儿床四周的有机玻璃挡板可向下翻转或拆卸</w:t>
            </w:r>
          </w:p>
          <w:p w14:paraId="46911B5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14.双燕尾槽立柱设计，便于安装更多临床医疗器械</w:t>
            </w:r>
          </w:p>
          <w:p w14:paraId="0E2E395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15.可折叠托盘，方便收起，无需拆卸</w:t>
            </w:r>
          </w:p>
          <w:p w14:paraId="6ACE896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16.照明灯亮度可调，减少光亮刺激对新生儿的影响</w:t>
            </w:r>
          </w:p>
          <w:p w14:paraId="4DA7099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17.独立的超温保护系统，</w:t>
            </w:r>
            <w:r>
              <w:rPr>
                <w:rFonts w:hint="eastAsia" w:ascii="宋体" w:hAnsi="宋体" w:cs="宋体"/>
                <w:color w:val="auto"/>
                <w:sz w:val="21"/>
                <w:szCs w:val="21"/>
                <w:highlight w:val="none"/>
                <w:lang w:val="en-US" w:eastAsia="zh-CN"/>
              </w:rPr>
              <w:t>具备</w:t>
            </w:r>
            <w:r>
              <w:rPr>
                <w:rFonts w:hint="eastAsia" w:ascii="宋体" w:hAnsi="宋体" w:eastAsia="宋体" w:cs="宋体"/>
                <w:color w:val="auto"/>
                <w:sz w:val="21"/>
                <w:szCs w:val="21"/>
                <w:highlight w:val="none"/>
                <w:lang w:val="en-US" w:eastAsia="zh-CN"/>
              </w:rPr>
              <w:t>故障报警提示，提供多重安全防护</w:t>
            </w:r>
          </w:p>
          <w:p w14:paraId="16DE31F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18.APGAR评分计时功能</w:t>
            </w:r>
          </w:p>
          <w:p w14:paraId="0D028B7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19.RS-232接口，支持数据传输</w:t>
            </w:r>
          </w:p>
          <w:p w14:paraId="37003DF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20.具有数据储存功能</w:t>
            </w:r>
          </w:p>
          <w:p w14:paraId="3792768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▲21.电动摇床倾斜角度：15°±1°</w:t>
            </w:r>
          </w:p>
          <w:p w14:paraId="37B1699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22.空氧混合功能</w:t>
            </w:r>
          </w:p>
          <w:p w14:paraId="0539411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 氧浓度设置范围：21%～100%；精度：≤±3%</w:t>
            </w:r>
            <w:r>
              <w:rPr>
                <w:rFonts w:ascii="Times New Roman" w:hAnsi="Times New Roman" w:eastAsia="宋体" w:cs="Times New Roman"/>
                <w:color w:val="auto"/>
                <w:highlight w:val="none"/>
              </w:rPr>
              <w:t>O₂</w:t>
            </w:r>
            <w:r>
              <w:rPr>
                <w:rFonts w:hint="eastAsia" w:ascii="宋体" w:hAnsi="宋体" w:eastAsia="宋体" w:cs="宋体"/>
                <w:color w:val="auto"/>
                <w:sz w:val="21"/>
                <w:szCs w:val="21"/>
                <w:highlight w:val="none"/>
                <w:lang w:val="en-US" w:eastAsia="zh-CN"/>
              </w:rPr>
              <w:t>（V/V）</w:t>
            </w:r>
          </w:p>
          <w:p w14:paraId="342A0EF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 流量设置范围：0～15L/min</w:t>
            </w:r>
          </w:p>
          <w:p w14:paraId="4C20656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23.T组合复苏功能</w:t>
            </w:r>
          </w:p>
          <w:p w14:paraId="35A6B2B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23.1 复苏气体流量范围：5-15L/min（要求气源可设置该流量范围）</w:t>
            </w:r>
          </w:p>
          <w:p w14:paraId="0336B1D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23.2 输出压力</w:t>
            </w:r>
          </w:p>
          <w:p w14:paraId="7148414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23.2.1 气源输入流量为5L/min时，正常使用状态下，患者连接口输出压力至少达到45cmH2O；</w:t>
            </w:r>
          </w:p>
          <w:p w14:paraId="6DF6AEB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23.2.2 气源供应流量为 15L/min时，正常使用状态下，患者连接口输出压力不超过60cmH2O。</w:t>
            </w:r>
          </w:p>
          <w:p w14:paraId="29E0710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▲23.2.3 最大安全压力设置范围： 1cmH2O~60cmH2O内，（出厂以及检测默认设置为 40cmH2O）</w:t>
            </w:r>
          </w:p>
          <w:p w14:paraId="3BAEA46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23.2.4 吸气峰压（PIP）设置范围</w:t>
            </w:r>
          </w:p>
          <w:p w14:paraId="2CB9E67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当流量为 5L/min，1～57cmH2O</w:t>
            </w:r>
          </w:p>
          <w:p w14:paraId="35E744F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当流量为 8L/min，2～58cmH2O</w:t>
            </w:r>
          </w:p>
          <w:p w14:paraId="6B3834C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当流量为 10L/min，3～59cmH2O</w:t>
            </w:r>
          </w:p>
          <w:p w14:paraId="1888E67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当流量为 15L/min，5～60cmH2O</w:t>
            </w:r>
          </w:p>
          <w:p w14:paraId="2B01594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23.2.5 出厂以及检测默认设置值：20cmH2O，可调节</w:t>
            </w:r>
          </w:p>
          <w:p w14:paraId="5BC17A1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23.2.6 呼气末正压（PEEP）设置范围</w:t>
            </w:r>
          </w:p>
          <w:p w14:paraId="3001931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当流量为 5L/min，0～8cmH2O</w:t>
            </w:r>
          </w:p>
          <w:p w14:paraId="52A1601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当流量为 8L/min，0.2～17cmH2O</w:t>
            </w:r>
          </w:p>
          <w:p w14:paraId="10E8969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当流量为10L/min，0.5～23cmH2O</w:t>
            </w:r>
          </w:p>
          <w:p w14:paraId="14E904C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当流量为 15L/min，1～28cmH2O</w:t>
            </w:r>
          </w:p>
          <w:p w14:paraId="2BBCB77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23.2.7 工作适用时间：（400L，50%空氧混合气）</w:t>
            </w:r>
          </w:p>
          <w:p w14:paraId="062F201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当流量为 5L/min 时，75min</w:t>
            </w:r>
          </w:p>
          <w:p w14:paraId="5F84686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当流量为 10L/min 时，38min</w:t>
            </w:r>
          </w:p>
          <w:p w14:paraId="7D5D176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当流量为 15L/min 时，26min</w:t>
            </w:r>
          </w:p>
          <w:p w14:paraId="34F3B17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23.2.8 复苏器及其相关附件的</w:t>
            </w:r>
            <w:r>
              <w:rPr>
                <w:rFonts w:hint="eastAsia" w:ascii="宋体" w:hAnsi="宋体" w:cs="宋体"/>
                <w:color w:val="auto"/>
                <w:sz w:val="21"/>
                <w:szCs w:val="21"/>
                <w:highlight w:val="none"/>
                <w:lang w:val="en-US" w:eastAsia="zh-CN"/>
              </w:rPr>
              <w:t>无效腔</w:t>
            </w:r>
            <w:r>
              <w:rPr>
                <w:rFonts w:hint="eastAsia" w:ascii="宋体" w:hAnsi="宋体" w:eastAsia="宋体" w:cs="宋体"/>
                <w:color w:val="auto"/>
                <w:sz w:val="21"/>
                <w:szCs w:val="21"/>
                <w:highlight w:val="none"/>
                <w:lang w:val="en-US" w:eastAsia="zh-CN"/>
              </w:rPr>
              <w:t>体积：≤6ml</w:t>
            </w:r>
          </w:p>
          <w:p w14:paraId="6578CDD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23.2.9 复苏器呼气相的吸气阻抗以及呼气阻抗</w:t>
            </w:r>
          </w:p>
          <w:p w14:paraId="3384214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在呼气相，当吸气流量为 6L/min 时，患者连接口处的压力≥-6cmH2O</w:t>
            </w:r>
          </w:p>
          <w:p w14:paraId="3DC74BA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在吸气相，当呼气流量为 6L/min 时，患者连接口处的压力≤6cmH2O</w:t>
            </w:r>
          </w:p>
          <w:p w14:paraId="02A74FE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24.负压吸引装置</w:t>
            </w:r>
          </w:p>
          <w:p w14:paraId="5515418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24.1 负压调节范围：0kPa～22kPa</w:t>
            </w:r>
          </w:p>
          <w:p w14:paraId="09F9213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24.2 储液瓶容量为 1000ml</w:t>
            </w:r>
          </w:p>
          <w:p w14:paraId="5A8D9C8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24.3 气流流量小于 20L/min</w:t>
            </w:r>
          </w:p>
          <w:p w14:paraId="329B37B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25.挥手止闹功能，非接触式的报警静音功能，保持清洁、安静的护理环境</w:t>
            </w:r>
          </w:p>
          <w:p w14:paraId="23F3D5E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26.配有空气瓶和氧气瓶</w:t>
            </w:r>
          </w:p>
          <w:p w14:paraId="4FECC2E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27.称重系统</w:t>
            </w:r>
          </w:p>
          <w:p w14:paraId="6E3C61E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27.1 重量显示精度：±1%内</w:t>
            </w:r>
          </w:p>
          <w:p w14:paraId="385CCED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27.2 重量显示范围：200g～8000g</w:t>
            </w:r>
          </w:p>
          <w:p w14:paraId="32CB038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27.3 内置称重系统</w:t>
            </w:r>
          </w:p>
          <w:p w14:paraId="70AC58D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28.具有整机升降功能</w:t>
            </w:r>
          </w:p>
          <w:p w14:paraId="1A24F44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29.检查灯功能</w:t>
            </w:r>
          </w:p>
          <w:p w14:paraId="12D81E5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二、每张配置需求</w:t>
            </w:r>
          </w:p>
          <w:p w14:paraId="76858AB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1.辐射箱(包括立柱) 1个</w:t>
            </w:r>
          </w:p>
          <w:p w14:paraId="0AB07F4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2.机脚(包括机脚、婴儿床、床垫、X光拍片板、称重装置) 1套</w:t>
            </w:r>
          </w:p>
          <w:p w14:paraId="558476D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3.有机玻璃挡板 4块</w:t>
            </w:r>
          </w:p>
          <w:p w14:paraId="2DC40D4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4.输液架 1个</w:t>
            </w:r>
          </w:p>
          <w:p w14:paraId="6F2E222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5.折叠托盘 1个</w:t>
            </w:r>
          </w:p>
          <w:p w14:paraId="37C749F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6.电源线 1套</w:t>
            </w:r>
          </w:p>
          <w:p w14:paraId="27097E8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7.F型熔丝管6.3AH/250V熔丝管 2根</w:t>
            </w:r>
          </w:p>
          <w:p w14:paraId="7F43701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8.皮肤温度传感器 2个</w:t>
            </w:r>
          </w:p>
          <w:p w14:paraId="1C33821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9.血氧探头延长线 1根</w:t>
            </w:r>
          </w:p>
          <w:p w14:paraId="55FCB01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10.血氧探头  1个</w:t>
            </w:r>
          </w:p>
          <w:p w14:paraId="71A828E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11.T-组合复苏装置 1套</w:t>
            </w:r>
          </w:p>
          <w:p w14:paraId="786BC1B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12.空氧混合装置 1套</w:t>
            </w:r>
          </w:p>
          <w:p w14:paraId="3BDF34D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13.负压吸引装置 1套</w:t>
            </w:r>
          </w:p>
          <w:p w14:paraId="04DB0C9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15.氧气供给装置  1套</w:t>
            </w:r>
          </w:p>
          <w:p w14:paraId="7031B15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16.硅胶床垫 1套</w:t>
            </w:r>
          </w:p>
        </w:tc>
        <w:tc>
          <w:tcPr>
            <w:tcW w:w="1100" w:type="dxa"/>
            <w:tcBorders>
              <w:left w:val="single" w:color="auto" w:sz="4" w:space="0"/>
            </w:tcBorders>
            <w:shd w:val="clear" w:color="auto" w:fill="auto"/>
            <w:vAlign w:val="center"/>
          </w:tcPr>
          <w:p w14:paraId="0C8B6EA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w:t>
            </w:r>
          </w:p>
        </w:tc>
      </w:tr>
      <w:tr w14:paraId="51A80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640F9E6F">
            <w:pPr>
              <w:numPr>
                <w:ilvl w:val="0"/>
                <w:numId w:val="3"/>
              </w:numPr>
              <w:snapToGrid w:val="0"/>
              <w:spacing w:line="360" w:lineRule="auto"/>
              <w:jc w:val="center"/>
              <w:rPr>
                <w:rFonts w:hint="eastAsia" w:ascii="宋体" w:hAnsi="宋体" w:eastAsia="宋体" w:cs="宋体"/>
                <w:color w:val="auto"/>
                <w:sz w:val="21"/>
                <w:szCs w:val="21"/>
                <w:highlight w:val="none"/>
              </w:rPr>
            </w:pPr>
          </w:p>
        </w:tc>
        <w:tc>
          <w:tcPr>
            <w:tcW w:w="900" w:type="dxa"/>
            <w:vAlign w:val="center"/>
          </w:tcPr>
          <w:p w14:paraId="12486A77">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婴儿辐射保暖台</w:t>
            </w:r>
          </w:p>
        </w:tc>
        <w:tc>
          <w:tcPr>
            <w:tcW w:w="485" w:type="dxa"/>
            <w:gridSpan w:val="2"/>
            <w:tcBorders>
              <w:right w:val="single" w:color="auto" w:sz="4" w:space="0"/>
            </w:tcBorders>
            <w:shd w:val="clear" w:color="auto" w:fill="auto"/>
            <w:vAlign w:val="center"/>
          </w:tcPr>
          <w:p w14:paraId="6697099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493" w:type="dxa"/>
            <w:tcBorders>
              <w:left w:val="single" w:color="auto" w:sz="4" w:space="0"/>
              <w:right w:val="single" w:color="auto" w:sz="4" w:space="0"/>
            </w:tcBorders>
            <w:vAlign w:val="center"/>
          </w:tcPr>
          <w:p w14:paraId="1802D61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5672" w:type="dxa"/>
            <w:tcBorders>
              <w:left w:val="single" w:color="auto" w:sz="4" w:space="0"/>
              <w:right w:val="single" w:color="auto" w:sz="4" w:space="0"/>
            </w:tcBorders>
            <w:vAlign w:val="center"/>
          </w:tcPr>
          <w:p w14:paraId="0942BBB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功能性参数要求：</w:t>
            </w:r>
          </w:p>
          <w:p w14:paraId="23F590C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1.工作电源：AC220V/ 50</w:t>
            </w:r>
            <w:r>
              <w:rPr>
                <w:rFonts w:ascii="Times New Roman" w:hAnsi="Times New Roman" w:eastAsia="宋体" w:cs="Times New Roman"/>
                <w:color w:val="auto"/>
                <w:highlight w:val="none"/>
              </w:rPr>
              <w:t>Hz</w:t>
            </w:r>
          </w:p>
          <w:p w14:paraId="152F756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2.输入功率：≤750VA</w:t>
            </w:r>
          </w:p>
          <w:p w14:paraId="7CE04CB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3.控温方式：预热、手控、肤温三种控制 </w:t>
            </w:r>
          </w:p>
          <w:p w14:paraId="0C09F3B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4.肤温控温范围：32℃～37.5℃</w:t>
            </w:r>
          </w:p>
          <w:p w14:paraId="1BE6CFD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5.肤温显示范围：5℃～65℃</w:t>
            </w:r>
          </w:p>
          <w:p w14:paraId="185AB3F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6.控温精度：≤0.5℃</w:t>
            </w:r>
          </w:p>
          <w:p w14:paraId="4E7183A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7.皮肤温度传感器精度：±0.2℃内</w:t>
            </w:r>
          </w:p>
          <w:p w14:paraId="5A3DC2D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8.床面温度均匀性：≤2℃ </w:t>
            </w:r>
          </w:p>
          <w:p w14:paraId="5419C15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9.辐射箱水平角度：0°、30°、60°、90°双向转动</w:t>
            </w:r>
          </w:p>
          <w:p w14:paraId="561CF67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10.婴儿床倾斜角度：无级可调</w:t>
            </w:r>
          </w:p>
          <w:p w14:paraId="2D18546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 APGAR评分计时：运行至50″～1′、4′50″～5′、9′50″～10′时发出声光提示</w:t>
            </w:r>
          </w:p>
          <w:p w14:paraId="2A5A9C4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12.故障报警：断电、传感器、偏差、超温、设置、检查和系统等</w:t>
            </w:r>
          </w:p>
          <w:p w14:paraId="2296E49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13.床面上有效表面内的总辐照度：≥0.66mW/cm² </w:t>
            </w:r>
          </w:p>
          <w:p w14:paraId="40270E1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14.床面上有效表面内的胆红素总辐照度平均值：≥0.58mW/cm² </w:t>
            </w:r>
          </w:p>
          <w:p w14:paraId="64B2480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15.床面上有效表面内的胆红素总辐照度均匀性：＞0.4</w:t>
            </w:r>
          </w:p>
          <w:p w14:paraId="2742A68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二、每台配置需求：</w:t>
            </w:r>
          </w:p>
          <w:p w14:paraId="7640E48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1.辐射箱（包括上立柱和控制仪） 1个</w:t>
            </w:r>
          </w:p>
          <w:p w14:paraId="32E641E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2.机脚包括脚轮和下立柱 1个</w:t>
            </w:r>
          </w:p>
          <w:p w14:paraId="05E2DE7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3.输液架  1个</w:t>
            </w:r>
          </w:p>
          <w:p w14:paraId="5B93369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4.婴儿床（包括4块挡板和床垫）1个</w:t>
            </w:r>
          </w:p>
          <w:p w14:paraId="07DB98C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5.托盘 2个</w:t>
            </w:r>
          </w:p>
          <w:p w14:paraId="707BB8D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6.皮肤温度传感器 1个</w:t>
            </w:r>
          </w:p>
          <w:p w14:paraId="6390BE4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7.电源线 1套</w:t>
            </w:r>
          </w:p>
          <w:p w14:paraId="23D76B3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8.黄疸治疗装置  2个</w:t>
            </w:r>
          </w:p>
          <w:p w14:paraId="494A6B9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9.低压吸引装置 1套</w:t>
            </w:r>
          </w:p>
          <w:p w14:paraId="4EBD487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10.浮标式氧气吸入器 1个</w:t>
            </w:r>
          </w:p>
          <w:p w14:paraId="07746CF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11.墙式氧气吸入器 1个</w:t>
            </w:r>
          </w:p>
          <w:p w14:paraId="146651E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 6.3升氧气瓶 2个</w:t>
            </w:r>
          </w:p>
          <w:p w14:paraId="1EAFB95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13.F型熔丝管 5AH/250V 2根</w:t>
            </w:r>
          </w:p>
          <w:p w14:paraId="217FB7C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14.F型熔丝管 6.3AH/250V（用于升降式机架） 2根</w:t>
            </w:r>
          </w:p>
          <w:p w14:paraId="751E635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15.T型熔丝管 250mAL/250V  2根</w:t>
            </w:r>
          </w:p>
          <w:p w14:paraId="1CEB4CE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16.O型密封圈 3个</w:t>
            </w:r>
          </w:p>
          <w:p w14:paraId="0C5C913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17.记录显示板 1个</w:t>
            </w:r>
          </w:p>
          <w:p w14:paraId="477F347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18.瓶托组件 1套</w:t>
            </w:r>
          </w:p>
          <w:p w14:paraId="08FE91F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19.使用说明书、合格证、保修卡各一份</w:t>
            </w:r>
          </w:p>
          <w:p w14:paraId="75FAEF1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20.单患者使用皮肤温度传感器 1个</w:t>
            </w:r>
          </w:p>
        </w:tc>
        <w:tc>
          <w:tcPr>
            <w:tcW w:w="1100" w:type="dxa"/>
            <w:tcBorders>
              <w:left w:val="single" w:color="auto" w:sz="4" w:space="0"/>
            </w:tcBorders>
            <w:shd w:val="clear" w:color="auto" w:fill="auto"/>
            <w:vAlign w:val="center"/>
          </w:tcPr>
          <w:p w14:paraId="112D569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r>
      <w:tr w14:paraId="5B263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2927D60E">
            <w:pPr>
              <w:numPr>
                <w:ilvl w:val="0"/>
                <w:numId w:val="3"/>
              </w:numPr>
              <w:snapToGrid w:val="0"/>
              <w:spacing w:line="360" w:lineRule="auto"/>
              <w:jc w:val="center"/>
              <w:rPr>
                <w:rFonts w:hint="eastAsia" w:ascii="宋体" w:hAnsi="宋体" w:eastAsia="宋体" w:cs="宋体"/>
                <w:color w:val="auto"/>
                <w:sz w:val="21"/>
                <w:szCs w:val="21"/>
                <w:highlight w:val="none"/>
              </w:rPr>
            </w:pPr>
          </w:p>
        </w:tc>
        <w:tc>
          <w:tcPr>
            <w:tcW w:w="900" w:type="dxa"/>
            <w:vAlign w:val="center"/>
          </w:tcPr>
          <w:p w14:paraId="193AAC5B">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电动羊水吸引器（医用电动吸引器）</w:t>
            </w:r>
          </w:p>
        </w:tc>
        <w:tc>
          <w:tcPr>
            <w:tcW w:w="485" w:type="dxa"/>
            <w:gridSpan w:val="2"/>
            <w:tcBorders>
              <w:right w:val="single" w:color="auto" w:sz="4" w:space="0"/>
            </w:tcBorders>
            <w:shd w:val="clear" w:color="auto" w:fill="auto"/>
            <w:vAlign w:val="center"/>
          </w:tcPr>
          <w:p w14:paraId="4E0BFBF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493" w:type="dxa"/>
            <w:tcBorders>
              <w:left w:val="single" w:color="auto" w:sz="4" w:space="0"/>
              <w:right w:val="single" w:color="auto" w:sz="4" w:space="0"/>
            </w:tcBorders>
            <w:vAlign w:val="center"/>
          </w:tcPr>
          <w:p w14:paraId="01D842A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5672" w:type="dxa"/>
            <w:tcBorders>
              <w:left w:val="single" w:color="auto" w:sz="4" w:space="0"/>
              <w:right w:val="single" w:color="auto" w:sz="4" w:space="0"/>
            </w:tcBorders>
            <w:vAlign w:val="center"/>
          </w:tcPr>
          <w:p w14:paraId="2D3D8FF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7310F6F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1.工作电源：≥AC220V/ 50</w:t>
            </w:r>
            <w:r>
              <w:rPr>
                <w:rFonts w:ascii="Times New Roman" w:hAnsi="Times New Roman" w:eastAsia="宋体" w:cs="Times New Roman"/>
                <w:color w:val="auto"/>
                <w:highlight w:val="none"/>
              </w:rPr>
              <w:t>Hz</w:t>
            </w:r>
          </w:p>
          <w:p w14:paraId="4EB5518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2.输入功率：≥15VA</w:t>
            </w:r>
          </w:p>
          <w:p w14:paraId="3C233A8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3.负压调节范围：应从2kpa至极限负压范围内任意调节</w:t>
            </w:r>
          </w:p>
          <w:p w14:paraId="2BBBC04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4.可达到的负压值：至少为22kpa</w:t>
            </w:r>
          </w:p>
          <w:p w14:paraId="38854D6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5.瞬时抽气速率：不小于6.0L/min</w:t>
            </w:r>
          </w:p>
          <w:p w14:paraId="58888F1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 工作噪声：≤55dB（A）</w:t>
            </w:r>
          </w:p>
          <w:p w14:paraId="36F2436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 吸引瓶容量：≥1000ml</w:t>
            </w:r>
          </w:p>
          <w:p w14:paraId="0151C3B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 环境温度：5℃～40℃</w:t>
            </w:r>
          </w:p>
          <w:p w14:paraId="77B0BCF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 相对湿度：≤80%</w:t>
            </w:r>
          </w:p>
          <w:p w14:paraId="51D5ABA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 大气压力范围：860hpa～1060hpa</w:t>
            </w:r>
          </w:p>
          <w:p w14:paraId="0CAFCCF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二、每套配置需求：</w:t>
            </w:r>
          </w:p>
          <w:p w14:paraId="15E64A3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1.主机(含储液瓶、手控阀 、引液管、 抽气管)1套</w:t>
            </w:r>
          </w:p>
          <w:p w14:paraId="4458047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2.电源线 1套</w:t>
            </w:r>
          </w:p>
          <w:p w14:paraId="5F59018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3.使用说明书、合格证、保修卡各一份</w:t>
            </w:r>
          </w:p>
        </w:tc>
        <w:tc>
          <w:tcPr>
            <w:tcW w:w="1100" w:type="dxa"/>
            <w:tcBorders>
              <w:left w:val="single" w:color="auto" w:sz="4" w:space="0"/>
            </w:tcBorders>
            <w:shd w:val="clear" w:color="auto" w:fill="auto"/>
            <w:vAlign w:val="center"/>
          </w:tcPr>
          <w:p w14:paraId="493A9D3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0.2</w:t>
            </w:r>
          </w:p>
        </w:tc>
      </w:tr>
      <w:tr w14:paraId="550C3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3976C9F3">
            <w:pPr>
              <w:numPr>
                <w:ilvl w:val="0"/>
                <w:numId w:val="3"/>
              </w:numPr>
              <w:snapToGrid w:val="0"/>
              <w:spacing w:line="360" w:lineRule="auto"/>
              <w:jc w:val="center"/>
              <w:rPr>
                <w:rFonts w:hint="eastAsia" w:ascii="宋体" w:hAnsi="宋体" w:eastAsia="宋体" w:cs="宋体"/>
                <w:color w:val="auto"/>
                <w:sz w:val="21"/>
                <w:szCs w:val="21"/>
                <w:highlight w:val="none"/>
              </w:rPr>
            </w:pPr>
          </w:p>
        </w:tc>
        <w:tc>
          <w:tcPr>
            <w:tcW w:w="900" w:type="dxa"/>
            <w:vAlign w:val="center"/>
          </w:tcPr>
          <w:p w14:paraId="11ABAE4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婴儿洗浴设备</w:t>
            </w:r>
          </w:p>
        </w:tc>
        <w:tc>
          <w:tcPr>
            <w:tcW w:w="485" w:type="dxa"/>
            <w:gridSpan w:val="2"/>
            <w:tcBorders>
              <w:right w:val="single" w:color="auto" w:sz="4" w:space="0"/>
            </w:tcBorders>
            <w:shd w:val="clear" w:color="auto" w:fill="auto"/>
            <w:vAlign w:val="center"/>
          </w:tcPr>
          <w:p w14:paraId="3F9D3F4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93" w:type="dxa"/>
            <w:tcBorders>
              <w:left w:val="single" w:color="auto" w:sz="4" w:space="0"/>
              <w:right w:val="single" w:color="auto" w:sz="4" w:space="0"/>
            </w:tcBorders>
            <w:vAlign w:val="center"/>
          </w:tcPr>
          <w:p w14:paraId="6D6BBFB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5672" w:type="dxa"/>
            <w:tcBorders>
              <w:left w:val="single" w:color="auto" w:sz="4" w:space="0"/>
              <w:right w:val="single" w:color="auto" w:sz="4" w:space="0"/>
            </w:tcBorders>
            <w:vAlign w:val="center"/>
          </w:tcPr>
          <w:p w14:paraId="2953C31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5C787A0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洗礼池</w:t>
            </w:r>
          </w:p>
          <w:p w14:paraId="6CA7A2E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 xml:space="preserve">外尺寸：1000×790×800mm ±10% </w:t>
            </w:r>
          </w:p>
          <w:p w14:paraId="5906DA6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柜体支架选用不锈钢材质，高度设计符合人体工程学要求； 柜体采用两段式功能区倾斜设计，有效防止工作疲劳。柜内封有防腐防潮的专用 PVC 隔断板</w:t>
            </w:r>
            <w:r>
              <w:rPr>
                <w:rFonts w:hint="eastAsia" w:ascii="宋体" w:hAnsi="宋体" w:cs="宋体"/>
                <w:color w:val="auto"/>
                <w:sz w:val="21"/>
                <w:szCs w:val="21"/>
                <w:highlight w:val="none"/>
                <w:lang w:val="en-US" w:eastAsia="zh-CN"/>
              </w:rPr>
              <w:t>作为</w:t>
            </w:r>
            <w:r>
              <w:rPr>
                <w:rFonts w:hint="eastAsia" w:ascii="宋体" w:hAnsi="宋体" w:eastAsia="宋体" w:cs="宋体"/>
                <w:color w:val="auto"/>
                <w:sz w:val="21"/>
                <w:szCs w:val="21"/>
                <w:highlight w:val="none"/>
                <w:lang w:val="en-US" w:eastAsia="zh-CN"/>
              </w:rPr>
              <w:t>储物底板，为学校提供储物的必要空间。柜门采用晶钢门，具有环保、防火、防潮、防划伤、耐腐蚀等特点，颜色可选。分段倾斜式柜门。</w:t>
            </w:r>
          </w:p>
          <w:p w14:paraId="0D10903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台面采用高分子材质 ，裙边防返水设计，池子</w:t>
            </w:r>
            <w:r>
              <w:rPr>
                <w:rFonts w:hint="eastAsia" w:ascii="宋体" w:hAnsi="宋体" w:cs="宋体"/>
                <w:color w:val="auto"/>
                <w:sz w:val="21"/>
                <w:szCs w:val="21"/>
                <w:highlight w:val="none"/>
                <w:lang w:val="en-US" w:eastAsia="zh-CN"/>
              </w:rPr>
              <w:t>底部</w:t>
            </w:r>
            <w:r>
              <w:rPr>
                <w:rFonts w:hint="eastAsia" w:ascii="宋体" w:hAnsi="宋体" w:eastAsia="宋体" w:cs="宋体"/>
                <w:color w:val="auto"/>
                <w:sz w:val="21"/>
                <w:szCs w:val="21"/>
                <w:highlight w:val="none"/>
                <w:lang w:val="en-US" w:eastAsia="zh-CN"/>
              </w:rPr>
              <w:t>圆滑</w:t>
            </w:r>
            <w:r>
              <w:rPr>
                <w:rFonts w:hint="eastAsia" w:ascii="宋体" w:hAnsi="宋体" w:cs="宋体"/>
                <w:color w:val="auto"/>
                <w:sz w:val="21"/>
                <w:szCs w:val="21"/>
                <w:highlight w:val="none"/>
                <w:lang w:val="en-US" w:eastAsia="zh-CN"/>
              </w:rPr>
              <w:t>凸起</w:t>
            </w:r>
            <w:r>
              <w:rPr>
                <w:rFonts w:hint="eastAsia" w:ascii="宋体" w:hAnsi="宋体" w:eastAsia="宋体" w:cs="宋体"/>
                <w:color w:val="auto"/>
                <w:sz w:val="21"/>
                <w:szCs w:val="21"/>
                <w:highlight w:val="none"/>
                <w:lang w:val="en-US" w:eastAsia="zh-CN"/>
              </w:rPr>
              <w:t>设计；给婴儿</w:t>
            </w:r>
            <w:r>
              <w:rPr>
                <w:rFonts w:hint="eastAsia" w:ascii="宋体" w:hAnsi="宋体" w:cs="宋体"/>
                <w:color w:val="auto"/>
                <w:sz w:val="21"/>
                <w:szCs w:val="21"/>
                <w:highlight w:val="none"/>
                <w:lang w:val="en-US" w:eastAsia="zh-CN"/>
              </w:rPr>
              <w:t>一个</w:t>
            </w:r>
            <w:r>
              <w:rPr>
                <w:rFonts w:hint="eastAsia" w:ascii="宋体" w:hAnsi="宋体" w:eastAsia="宋体" w:cs="宋体"/>
                <w:color w:val="auto"/>
                <w:sz w:val="21"/>
                <w:szCs w:val="21"/>
                <w:highlight w:val="none"/>
                <w:lang w:val="en-US" w:eastAsia="zh-CN"/>
              </w:rPr>
              <w:t>防滑支撑点，防止婴儿在池内滑动，造成意外呛水，满足0-12个月宝宝洗澡。</w:t>
            </w:r>
          </w:p>
          <w:p w14:paraId="0731BA3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恒温调节阀：智能恒温38度，带温度显示，采用陶瓷密封技术，恒温出水控制。</w:t>
            </w:r>
          </w:p>
          <w:p w14:paraId="2F8686B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液晶显示器洗婴池采用微电脑控制系统，显示屏幕均为液晶屏幕，符合人体工程学。</w:t>
            </w:r>
          </w:p>
          <w:p w14:paraId="6AD3128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出水口可360度旋转，全平面覆盖，水柱和花洒互相切换。不锈钢材质采用抽拉式出水口，冷热水水流量一体独立控制。</w:t>
            </w:r>
          </w:p>
          <w:p w14:paraId="7B7F64B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护理台</w:t>
            </w:r>
          </w:p>
          <w:p w14:paraId="03902BE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 xml:space="preserve">尺寸：1000×90×800mm  ±10% </w:t>
            </w:r>
          </w:p>
          <w:p w14:paraId="4D1BD0F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柜体支架选用不锈钢材质，高度设计符合人体工程学要求： 柜体采用两段式功能区倾斜设计。柜内封有PVC 隔断板作储物底板，提供储物空间。柜门采用晶钢门，具有环保、防火、防潮、防划伤、耐腐蚀等特点，颜色可选。分段倾斜式柜门。</w:t>
            </w:r>
          </w:p>
          <w:p w14:paraId="44C46BD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护理台台面为面层5-6CM软包，防水防潮，颜色可定制。护理台内部做抽屉，分层处理。</w:t>
            </w:r>
          </w:p>
          <w:p w14:paraId="3F971D6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游泳池</w:t>
            </w:r>
          </w:p>
          <w:p w14:paraId="178D8B1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 xml:space="preserve">外尺寸：900×790×800mm ±10% </w:t>
            </w:r>
          </w:p>
          <w:p w14:paraId="52E9844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柜体支架选用不锈钢材质，高度设计符合人体工程学要求； 柜体采用两段式功能区倾斜设计。柜内封有 PVC 隔断板作储物底板，提供储物空间。柜门采用晶钢门，具有环保、防火、防潮、防划伤、耐腐蚀等特点，颜色可选。分段倾斜式柜门。</w:t>
            </w:r>
          </w:p>
          <w:p w14:paraId="10FFBC9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台面采用高分子材质 ，裙边防返水设计，池子</w:t>
            </w:r>
            <w:r>
              <w:rPr>
                <w:rFonts w:hint="eastAsia" w:ascii="宋体" w:hAnsi="宋体" w:cs="宋体"/>
                <w:color w:val="auto"/>
                <w:sz w:val="21"/>
                <w:szCs w:val="21"/>
                <w:highlight w:val="none"/>
                <w:lang w:val="en-US" w:eastAsia="zh-CN"/>
              </w:rPr>
              <w:t>底部</w:t>
            </w:r>
            <w:r>
              <w:rPr>
                <w:rFonts w:hint="eastAsia" w:ascii="宋体" w:hAnsi="宋体" w:eastAsia="宋体" w:cs="宋体"/>
                <w:color w:val="auto"/>
                <w:sz w:val="21"/>
                <w:szCs w:val="21"/>
                <w:highlight w:val="none"/>
                <w:lang w:val="en-US" w:eastAsia="zh-CN"/>
              </w:rPr>
              <w:t>圆滑</w:t>
            </w:r>
            <w:r>
              <w:rPr>
                <w:rFonts w:hint="eastAsia" w:ascii="宋体" w:hAnsi="宋体" w:cs="宋体"/>
                <w:color w:val="auto"/>
                <w:sz w:val="21"/>
                <w:szCs w:val="21"/>
                <w:highlight w:val="none"/>
                <w:lang w:val="en-US" w:eastAsia="zh-CN"/>
              </w:rPr>
              <w:t>凸起</w:t>
            </w:r>
            <w:r>
              <w:rPr>
                <w:rFonts w:hint="eastAsia" w:ascii="宋体" w:hAnsi="宋体" w:eastAsia="宋体" w:cs="宋体"/>
                <w:color w:val="auto"/>
                <w:sz w:val="21"/>
                <w:szCs w:val="21"/>
                <w:highlight w:val="none"/>
                <w:lang w:val="en-US" w:eastAsia="zh-CN"/>
              </w:rPr>
              <w:t>设计；给婴儿</w:t>
            </w:r>
            <w:r>
              <w:rPr>
                <w:rFonts w:hint="eastAsia" w:ascii="宋体" w:hAnsi="宋体" w:cs="宋体"/>
                <w:color w:val="auto"/>
                <w:sz w:val="21"/>
                <w:szCs w:val="21"/>
                <w:highlight w:val="none"/>
                <w:lang w:val="en-US" w:eastAsia="zh-CN"/>
              </w:rPr>
              <w:t>一个</w:t>
            </w:r>
            <w:r>
              <w:rPr>
                <w:rFonts w:hint="eastAsia" w:ascii="宋体" w:hAnsi="宋体" w:eastAsia="宋体" w:cs="宋体"/>
                <w:color w:val="auto"/>
                <w:sz w:val="21"/>
                <w:szCs w:val="21"/>
                <w:highlight w:val="none"/>
                <w:lang w:val="en-US" w:eastAsia="zh-CN"/>
              </w:rPr>
              <w:t>防滑支撑点，防止婴儿在池内滑动，造成意外呛水，满足0-12个月宝宝游泳。</w:t>
            </w:r>
          </w:p>
          <w:p w14:paraId="7F22840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恒温调节阀：智能恒温38度，带温度显示，采用陶瓷密封技术，恒温出水控制。</w:t>
            </w:r>
          </w:p>
          <w:p w14:paraId="69BBB36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液晶显示器 洗婴池采用微电脑控制系统，操作智能，显示屏幕均为液晶屏幕，符合人体工程学。</w:t>
            </w:r>
          </w:p>
          <w:p w14:paraId="2864480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出水口可360度旋转，全平面覆盖，水柱和花洒互相切换。不锈钢材质采用抽拉式出水口，冷热水水流量一体独立控制。</w:t>
            </w:r>
          </w:p>
          <w:p w14:paraId="5E8A85C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异型转角台</w:t>
            </w:r>
          </w:p>
          <w:p w14:paraId="23BEF34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 xml:space="preserve">尺寸：790×790×800mm ±10% </w:t>
            </w:r>
          </w:p>
          <w:p w14:paraId="77255DC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柜体支架选用不锈钢材质，高度设计符合人体工程学要求； 柜体采用两段式功能区倾斜设计。柜内封有PVC 隔断板作储物底板，提供储物空间。柜门采用晶钢门，具有环保、防火、防潮、防划伤、耐腐蚀等特点，颜色</w:t>
            </w:r>
            <w:r>
              <w:rPr>
                <w:rFonts w:hint="eastAsia" w:ascii="宋体" w:hAnsi="宋体" w:cs="宋体"/>
                <w:color w:val="auto"/>
                <w:sz w:val="21"/>
                <w:szCs w:val="21"/>
                <w:highlight w:val="none"/>
                <w:lang w:val="en-US" w:eastAsia="zh-CN"/>
              </w:rPr>
              <w:t>根据采购人选择</w:t>
            </w:r>
            <w:r>
              <w:rPr>
                <w:rFonts w:hint="eastAsia" w:ascii="宋体" w:hAnsi="宋体" w:eastAsia="宋体" w:cs="宋体"/>
                <w:color w:val="auto"/>
                <w:sz w:val="21"/>
                <w:szCs w:val="21"/>
                <w:highlight w:val="none"/>
                <w:lang w:val="en-US" w:eastAsia="zh-CN"/>
              </w:rPr>
              <w:t xml:space="preserve">。分段倾斜式柜门。 </w:t>
            </w:r>
          </w:p>
          <w:p w14:paraId="5A1DB1C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台面采用高分子材质 ，裙边防返水设计，连接左右两边，转角台台面为面层5-6CM软包，防水防潮，颜色根据采购人选择</w:t>
            </w:r>
            <w:r>
              <w:rPr>
                <w:rFonts w:hint="eastAsia" w:ascii="宋体" w:hAnsi="宋体" w:cs="宋体"/>
                <w:color w:val="auto"/>
                <w:sz w:val="21"/>
                <w:szCs w:val="21"/>
                <w:highlight w:val="none"/>
                <w:lang w:val="en-US" w:eastAsia="zh-CN"/>
              </w:rPr>
              <w:t>定制</w:t>
            </w:r>
            <w:r>
              <w:rPr>
                <w:rFonts w:hint="eastAsia" w:ascii="宋体" w:hAnsi="宋体" w:eastAsia="宋体" w:cs="宋体"/>
                <w:color w:val="auto"/>
                <w:sz w:val="21"/>
                <w:szCs w:val="21"/>
                <w:highlight w:val="none"/>
                <w:lang w:val="en-US" w:eastAsia="zh-CN"/>
              </w:rPr>
              <w:t>。</w:t>
            </w:r>
          </w:p>
          <w:p w14:paraId="0F1C85D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 水质处理器</w:t>
            </w:r>
          </w:p>
          <w:p w14:paraId="381AA0A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除菌型水处理器过滤精度为0.01</w:t>
            </w:r>
            <w:r>
              <w:rPr>
                <w:rFonts w:ascii="Times New Roman" w:hAnsi="Times New Roman" w:eastAsia="宋体" w:cs="Times New Roman"/>
                <w:color w:val="auto"/>
                <w:highlight w:val="none"/>
              </w:rPr>
              <w:t>μm</w:t>
            </w:r>
            <w:r>
              <w:rPr>
                <w:rFonts w:hint="eastAsia" w:ascii="宋体" w:hAnsi="宋体" w:eastAsia="宋体" w:cs="宋体"/>
                <w:color w:val="auto"/>
                <w:sz w:val="21"/>
                <w:szCs w:val="21"/>
                <w:highlight w:val="none"/>
                <w:lang w:val="en-US" w:eastAsia="zh-CN"/>
              </w:rPr>
              <w:t>，不锈钢材质，多层式渗透，净化过滤水质更保证内镜清洗安全，采用反冲式维护清洗，无需更换滤芯。</w:t>
            </w:r>
          </w:p>
          <w:p w14:paraId="2FF063D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二、配置需求：</w:t>
            </w:r>
          </w:p>
          <w:p w14:paraId="2067459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1.洗礼池及台面 5套</w:t>
            </w:r>
          </w:p>
          <w:p w14:paraId="1B40463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2.游泳池 2套</w:t>
            </w:r>
          </w:p>
          <w:p w14:paraId="1129282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3.护理平台 5套</w:t>
            </w:r>
          </w:p>
          <w:p w14:paraId="3C5E698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4.异型转角台 2套</w:t>
            </w:r>
          </w:p>
          <w:p w14:paraId="1D847C4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5.恒温水控制系统（洗礼池/游泳池）7套</w:t>
            </w:r>
          </w:p>
          <w:p w14:paraId="764C61E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6.微电脑控制系统（洗礼池/游泳池）7个</w:t>
            </w:r>
          </w:p>
          <w:p w14:paraId="41A8B94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7.出水口（洗礼池/游泳池）7套</w:t>
            </w:r>
          </w:p>
          <w:p w14:paraId="7B5187D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8.给排水基础管路系统7个</w:t>
            </w:r>
          </w:p>
          <w:p w14:paraId="244E3AD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9.中心电源处理系统 2个</w:t>
            </w:r>
          </w:p>
          <w:p w14:paraId="074DB01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10.水处理器2台</w:t>
            </w:r>
          </w:p>
        </w:tc>
        <w:tc>
          <w:tcPr>
            <w:tcW w:w="1100" w:type="dxa"/>
            <w:tcBorders>
              <w:left w:val="single" w:color="auto" w:sz="4" w:space="0"/>
            </w:tcBorders>
            <w:shd w:val="clear" w:color="auto" w:fill="auto"/>
            <w:vAlign w:val="center"/>
          </w:tcPr>
          <w:p w14:paraId="2AF5B7D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w:t>
            </w:r>
          </w:p>
        </w:tc>
      </w:tr>
      <w:tr w14:paraId="185A0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3D13FEA6">
            <w:pPr>
              <w:numPr>
                <w:ilvl w:val="0"/>
                <w:numId w:val="3"/>
              </w:numPr>
              <w:snapToGrid w:val="0"/>
              <w:spacing w:line="360" w:lineRule="auto"/>
              <w:jc w:val="center"/>
              <w:rPr>
                <w:rFonts w:hint="eastAsia" w:ascii="宋体" w:hAnsi="宋体" w:eastAsia="宋体" w:cs="宋体"/>
                <w:color w:val="auto"/>
                <w:sz w:val="21"/>
                <w:szCs w:val="21"/>
                <w:highlight w:val="none"/>
              </w:rPr>
            </w:pPr>
          </w:p>
        </w:tc>
        <w:tc>
          <w:tcPr>
            <w:tcW w:w="900" w:type="dxa"/>
            <w:vAlign w:val="center"/>
          </w:tcPr>
          <w:p w14:paraId="619D9CF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电动流产吸引器</w:t>
            </w:r>
          </w:p>
        </w:tc>
        <w:tc>
          <w:tcPr>
            <w:tcW w:w="485" w:type="dxa"/>
            <w:gridSpan w:val="2"/>
            <w:tcBorders>
              <w:right w:val="single" w:color="auto" w:sz="4" w:space="0"/>
            </w:tcBorders>
            <w:shd w:val="clear" w:color="auto" w:fill="auto"/>
            <w:vAlign w:val="center"/>
          </w:tcPr>
          <w:p w14:paraId="5BB10E1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493" w:type="dxa"/>
            <w:tcBorders>
              <w:left w:val="single" w:color="auto" w:sz="4" w:space="0"/>
              <w:right w:val="single" w:color="auto" w:sz="4" w:space="0"/>
            </w:tcBorders>
            <w:vAlign w:val="center"/>
          </w:tcPr>
          <w:p w14:paraId="1119E20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5672" w:type="dxa"/>
            <w:tcBorders>
              <w:left w:val="single" w:color="auto" w:sz="4" w:space="0"/>
              <w:right w:val="single" w:color="auto" w:sz="4" w:space="0"/>
            </w:tcBorders>
            <w:vAlign w:val="center"/>
          </w:tcPr>
          <w:p w14:paraId="7188FF0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13619B1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1.性能要求：选用大流量无油润滑真空泵作负压源，负压上升快，无油雾污染，压力系统不会产生正压。</w:t>
            </w:r>
          </w:p>
          <w:p w14:paraId="6D18502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2.二级负压控制，可以在停机时进行操作。</w:t>
            </w:r>
          </w:p>
          <w:p w14:paraId="5BFBDB1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3.通过脚踏开关和泄放阀的调节，控制吸引压力。</w:t>
            </w:r>
          </w:p>
          <w:p w14:paraId="07A414D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4.机箱顶部配置器械盘。</w:t>
            </w:r>
          </w:p>
          <w:p w14:paraId="0799696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5.极限负压值：≥0.09MPa(680mmHg)</w:t>
            </w:r>
          </w:p>
          <w:p w14:paraId="6FBC45E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6.负压调节范围：0.02MPa(150mmHg)～极限负压值</w:t>
            </w:r>
          </w:p>
          <w:p w14:paraId="3CAC010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7.抽气速率：≥20L/min</w:t>
            </w:r>
          </w:p>
          <w:p w14:paraId="014839F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8.贮液瓶：500ml×2（玻璃）</w:t>
            </w:r>
          </w:p>
          <w:p w14:paraId="121AA76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9.贮气瓶：2500ml×2（玻璃）</w:t>
            </w:r>
          </w:p>
          <w:p w14:paraId="3998A2F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10.电源：AC220V 50Hz</w:t>
            </w:r>
          </w:p>
          <w:p w14:paraId="76BE20B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11.输入功率：≥150VA</w:t>
            </w:r>
          </w:p>
          <w:p w14:paraId="0C7E97F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 外形尺寸：≥32cm×36cm×83cm</w:t>
            </w:r>
          </w:p>
          <w:p w14:paraId="078D418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二、每套需求配置：</w:t>
            </w:r>
          </w:p>
          <w:p w14:paraId="423EF9D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1.主机1台</w:t>
            </w:r>
          </w:p>
          <w:p w14:paraId="6C36A1F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2.滤液器1只</w:t>
            </w:r>
          </w:p>
          <w:p w14:paraId="204EA69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3.吸引软导管1根</w:t>
            </w:r>
          </w:p>
          <w:p w14:paraId="64DCA23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4.过渡管1根</w:t>
            </w:r>
          </w:p>
          <w:p w14:paraId="54872DF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5.流产吸引管（#6、#7、#8）1套</w:t>
            </w:r>
          </w:p>
          <w:p w14:paraId="669B557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6.空气过滤器2只</w:t>
            </w:r>
          </w:p>
          <w:p w14:paraId="0540821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7.熔丝管（φ5×20/F0.63AL 250V ）2只</w:t>
            </w:r>
          </w:p>
          <w:p w14:paraId="44E813F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8.熔丝管（φ5×20/F1.5AL 250V ）2只</w:t>
            </w:r>
          </w:p>
          <w:p w14:paraId="24A7B35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9.电源线1根</w:t>
            </w:r>
          </w:p>
          <w:p w14:paraId="1F7522F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10.保修卡、说明书、合格证1套</w:t>
            </w:r>
          </w:p>
        </w:tc>
        <w:tc>
          <w:tcPr>
            <w:tcW w:w="1100" w:type="dxa"/>
            <w:tcBorders>
              <w:left w:val="single" w:color="auto" w:sz="4" w:space="0"/>
            </w:tcBorders>
            <w:shd w:val="clear" w:color="auto" w:fill="auto"/>
            <w:vAlign w:val="center"/>
          </w:tcPr>
          <w:p w14:paraId="1BB9933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0.3</w:t>
            </w:r>
          </w:p>
        </w:tc>
      </w:tr>
      <w:tr w14:paraId="6589D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17CF9454">
            <w:pPr>
              <w:numPr>
                <w:ilvl w:val="0"/>
                <w:numId w:val="3"/>
              </w:numPr>
              <w:snapToGrid w:val="0"/>
              <w:spacing w:line="360" w:lineRule="auto"/>
              <w:jc w:val="center"/>
              <w:rPr>
                <w:rFonts w:hint="eastAsia" w:ascii="宋体" w:hAnsi="宋体" w:eastAsia="宋体" w:cs="宋体"/>
                <w:color w:val="auto"/>
                <w:sz w:val="21"/>
                <w:szCs w:val="21"/>
                <w:highlight w:val="none"/>
              </w:rPr>
            </w:pPr>
          </w:p>
        </w:tc>
        <w:tc>
          <w:tcPr>
            <w:tcW w:w="900" w:type="dxa"/>
            <w:vAlign w:val="center"/>
          </w:tcPr>
          <w:p w14:paraId="2FBD1F3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超高频电波刀（高频手术设备）</w:t>
            </w:r>
          </w:p>
        </w:tc>
        <w:tc>
          <w:tcPr>
            <w:tcW w:w="485" w:type="dxa"/>
            <w:gridSpan w:val="2"/>
            <w:tcBorders>
              <w:right w:val="single" w:color="auto" w:sz="4" w:space="0"/>
            </w:tcBorders>
            <w:shd w:val="clear" w:color="auto" w:fill="auto"/>
            <w:vAlign w:val="center"/>
          </w:tcPr>
          <w:p w14:paraId="626216C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93" w:type="dxa"/>
            <w:tcBorders>
              <w:left w:val="single" w:color="auto" w:sz="4" w:space="0"/>
              <w:right w:val="single" w:color="auto" w:sz="4" w:space="0"/>
            </w:tcBorders>
            <w:vAlign w:val="center"/>
          </w:tcPr>
          <w:p w14:paraId="2B185BC6">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5672" w:type="dxa"/>
            <w:tcBorders>
              <w:left w:val="single" w:color="auto" w:sz="4" w:space="0"/>
              <w:right w:val="single" w:color="auto" w:sz="4" w:space="0"/>
            </w:tcBorders>
            <w:vAlign w:val="center"/>
          </w:tcPr>
          <w:p w14:paraId="12C5120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0C3274C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1.总体要求</w:t>
            </w:r>
          </w:p>
          <w:p w14:paraId="4A3D574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满足临床科室要求，主要适用于妇科宫颈LEEP手术过程中的病变组织的切割与凝固。</w:t>
            </w:r>
          </w:p>
          <w:p w14:paraId="2DC7FB8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技术参数</w:t>
            </w:r>
          </w:p>
          <w:p w14:paraId="40B18DF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 安全标准：CF型，带除颤保护，I类输出，符合国标GB9706.1-2007和专标9706.4-2009安全标准；</w:t>
            </w:r>
          </w:p>
          <w:p w14:paraId="7CA77E1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 输出功率：整机输出功率为0～100 W；</w:t>
            </w:r>
          </w:p>
          <w:p w14:paraId="462B1DA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 输出频率：≥400KHz；</w:t>
            </w:r>
          </w:p>
          <w:p w14:paraId="60ED0C3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 具有5种以上工作模式，其中单极电切模式≥2种，单极电凝模式≥2种，双极电凝模式≥1种；</w:t>
            </w:r>
          </w:p>
          <w:p w14:paraId="0B5FEF6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 具有开机自检和双回路安全自动监测、控制（自动监测异常并关闭功能输出）功能，并能声光报警提示；</w:t>
            </w:r>
          </w:p>
          <w:p w14:paraId="527553F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 自动监测极板与病人皮肤的接触质量并以排灯形式显示，若接触质量高于设定值，会有声光报警并切断高频手术设备输出，确保安全。对接触不同人体组织，可以进行接触质量监督系统(REM)阻抗“初始”，“设定”功能，可以降低负极板烫伤风险。</w:t>
            </w:r>
          </w:p>
          <w:p w14:paraId="5D0B7BD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 单极切性能：1～100W（负载≥500Ω），要求功率连续可调；单极凝性能：1～90W（负载≥500Ω），要求功率连续可调，最大输出电压≥4800V；双极性能：1～60W（负载≥100Ω），要求功率连续可调。</w:t>
            </w:r>
          </w:p>
          <w:p w14:paraId="5AA2A576">
            <w:pPr>
              <w:widowControl/>
              <w:spacing w:line="360" w:lineRule="auto"/>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 喷凝工作模式调制频率12-24KHz可调，喷凝峰值系数≥6.0；</w:t>
            </w:r>
          </w:p>
          <w:p w14:paraId="55B4BA2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 内设开机自动检测系统和自动报警提示功能：自动检测错误代码和自动报警错误提示</w:t>
            </w:r>
          </w:p>
          <w:p w14:paraId="52A64C2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2.10. 双脚踏接口：手术过程中不必进行单极、双极模式转换。</w:t>
            </w:r>
          </w:p>
          <w:p w14:paraId="4C8A2B0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2.11.脚踏开关防水等级≥ IPX8；</w:t>
            </w:r>
          </w:p>
          <w:p w14:paraId="36BA002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2.12.提供不少于10种类型的妇科LEEP刀头；</w:t>
            </w:r>
          </w:p>
          <w:p w14:paraId="446C80F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3.吸烟净化器</w:t>
            </w:r>
          </w:p>
          <w:p w14:paraId="1329A2B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3.1.四级过滤</w:t>
            </w:r>
          </w:p>
          <w:p w14:paraId="2A38508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3.2.第一级 过滤器，有效过滤≤0.1μm以上颗粒烟雾、灰尘以及细菌微生物等污染物。细菌和病毒的滤除率大于99.999%。</w:t>
            </w:r>
          </w:p>
          <w:p w14:paraId="58356FE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3.3.第二级 电子烟雾净化模块，产生的正离子与负离子可以杀菌、消烟、除异味。</w:t>
            </w:r>
          </w:p>
          <w:p w14:paraId="2B68AD9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3.4.第三级 采用高密度过滤棉，过滤较大杂质、胶体等颗粒物；</w:t>
            </w:r>
          </w:p>
          <w:p w14:paraId="2C311D5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3.5.第四级 采用高效活性炭，可以有效吸附甲醛、二甲苯、苯、氨、氡等有害气体。</w:t>
            </w:r>
          </w:p>
          <w:p w14:paraId="71BAA95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二、需求配置：</w:t>
            </w:r>
          </w:p>
          <w:p w14:paraId="041F3FF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1.主机（含电源线） 1 台</w:t>
            </w:r>
          </w:p>
          <w:p w14:paraId="31FFCC7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2.单极脚踏开关 1 个</w:t>
            </w:r>
          </w:p>
          <w:p w14:paraId="670956A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3.消融电极（一次） 2 支   </w:t>
            </w:r>
          </w:p>
          <w:p w14:paraId="400BA10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4.中性电极 5 片 （双极）</w:t>
            </w:r>
          </w:p>
          <w:p w14:paraId="6C2E4BF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5.中性电极 1 个 （负极板连线）</w:t>
            </w:r>
          </w:p>
          <w:p w14:paraId="28C91EE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6.电极 10 支                        </w:t>
            </w:r>
          </w:p>
          <w:p w14:paraId="033D89D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7.吸烟净化器主机 1 套</w:t>
            </w:r>
          </w:p>
          <w:p w14:paraId="4C72835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8.绝缘窥器 1 个</w:t>
            </w:r>
          </w:p>
          <w:p w14:paraId="1151788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9.电源线 1 条</w:t>
            </w:r>
          </w:p>
          <w:p w14:paraId="63DA8B2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10.呼吸系统过滤器 2 只</w:t>
            </w:r>
          </w:p>
          <w:p w14:paraId="346C02C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11.活性炭盒 1 只</w:t>
            </w:r>
          </w:p>
          <w:p w14:paraId="14A0793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12.连接管 1 条</w:t>
            </w:r>
          </w:p>
          <w:p w14:paraId="5BCCCDE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13.接地线 1 条</w:t>
            </w:r>
          </w:p>
        </w:tc>
        <w:tc>
          <w:tcPr>
            <w:tcW w:w="1100" w:type="dxa"/>
            <w:tcBorders>
              <w:left w:val="single" w:color="auto" w:sz="4" w:space="0"/>
            </w:tcBorders>
            <w:shd w:val="clear" w:color="auto" w:fill="auto"/>
            <w:vAlign w:val="center"/>
          </w:tcPr>
          <w:p w14:paraId="336F9FB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w:t>
            </w:r>
          </w:p>
        </w:tc>
      </w:tr>
      <w:tr w14:paraId="13BE9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9217" w:type="dxa"/>
            <w:gridSpan w:val="7"/>
            <w:vAlign w:val="center"/>
          </w:tcPr>
          <w:p w14:paraId="1330C0E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color w:val="auto"/>
                <w:sz w:val="21"/>
                <w:szCs w:val="21"/>
                <w:highlight w:val="none"/>
                <w:lang w:val="en-US" w:eastAsia="zh-CN"/>
              </w:rPr>
              <w:t>儿科</w:t>
            </w:r>
          </w:p>
        </w:tc>
      </w:tr>
      <w:tr w14:paraId="0D916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163179F7">
            <w:pPr>
              <w:numPr>
                <w:ilvl w:val="0"/>
                <w:numId w:val="4"/>
              </w:numPr>
              <w:snapToGrid w:val="0"/>
              <w:spacing w:line="360" w:lineRule="auto"/>
              <w:jc w:val="center"/>
              <w:rPr>
                <w:rFonts w:hint="eastAsia" w:ascii="宋体" w:hAnsi="宋体" w:eastAsia="宋体" w:cs="宋体"/>
                <w:color w:val="auto"/>
                <w:sz w:val="21"/>
                <w:szCs w:val="21"/>
                <w:highlight w:val="none"/>
              </w:rPr>
            </w:pPr>
          </w:p>
        </w:tc>
        <w:tc>
          <w:tcPr>
            <w:tcW w:w="900" w:type="dxa"/>
            <w:shd w:val="clear" w:color="auto" w:fill="auto"/>
            <w:vAlign w:val="center"/>
          </w:tcPr>
          <w:p w14:paraId="6F29846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电测听仪（婴幼儿医学测听仪）</w:t>
            </w:r>
          </w:p>
        </w:tc>
        <w:tc>
          <w:tcPr>
            <w:tcW w:w="485" w:type="dxa"/>
            <w:gridSpan w:val="2"/>
            <w:tcBorders>
              <w:right w:val="single" w:color="auto" w:sz="4" w:space="0"/>
            </w:tcBorders>
            <w:shd w:val="clear" w:color="auto" w:fill="auto"/>
            <w:vAlign w:val="center"/>
          </w:tcPr>
          <w:p w14:paraId="7509072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493" w:type="dxa"/>
            <w:tcBorders>
              <w:left w:val="single" w:color="auto" w:sz="4" w:space="0"/>
              <w:right w:val="single" w:color="auto" w:sz="4" w:space="0"/>
            </w:tcBorders>
            <w:vAlign w:val="center"/>
          </w:tcPr>
          <w:p w14:paraId="7CD500E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5672" w:type="dxa"/>
            <w:tcBorders>
              <w:left w:val="single" w:color="auto" w:sz="4" w:space="0"/>
              <w:right w:val="single" w:color="auto" w:sz="4" w:space="0"/>
            </w:tcBorders>
            <w:vAlign w:val="center"/>
          </w:tcPr>
          <w:p w14:paraId="5ACB4E8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554FAAD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适用于婴幼儿（如只能听见高频或者高声强的声音，而不能听见低频或者低声强的声音），同时适用于不具有完全语言能力的新生儿</w:t>
            </w:r>
          </w:p>
          <w:p w14:paraId="2CBF87C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2.采用不同声强，不同频率进行听力筛查，发音纯正</w:t>
            </w:r>
          </w:p>
          <w:p w14:paraId="143F687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3.能发出不同频率、不同声强的声音</w:t>
            </w:r>
          </w:p>
          <w:p w14:paraId="37453C9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纯音声压分20dB、40dB、60dB、80dB四档，各档量程的输出准确度为各档值的±5dB</w:t>
            </w:r>
          </w:p>
          <w:p w14:paraId="1CC13CE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 纯音频率分500Hz、1000Hz、2000Hz、4000Hz四档，各档频率的输出准确度为各档值的±10％</w:t>
            </w:r>
          </w:p>
          <w:p w14:paraId="4FC9FD4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 伴有5±1Hz的颤音</w:t>
            </w:r>
          </w:p>
          <w:p w14:paraId="0ACF635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 测听仪工作时三只发光管呈闪烁状</w:t>
            </w:r>
          </w:p>
          <w:p w14:paraId="037D9A7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二、每台需求配置：</w:t>
            </w:r>
          </w:p>
          <w:p w14:paraId="193123C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1.主机一个</w:t>
            </w:r>
          </w:p>
          <w:p w14:paraId="327F545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2.专用机箱1个</w:t>
            </w:r>
          </w:p>
          <w:p w14:paraId="33AA6FA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3.9V电池2节</w:t>
            </w:r>
          </w:p>
          <w:p w14:paraId="687D327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4.使用说明书一本</w:t>
            </w:r>
          </w:p>
          <w:p w14:paraId="4DB49C9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5.产品合格证1份</w:t>
            </w:r>
          </w:p>
        </w:tc>
        <w:tc>
          <w:tcPr>
            <w:tcW w:w="1100" w:type="dxa"/>
            <w:tcBorders>
              <w:left w:val="single" w:color="auto" w:sz="4" w:space="0"/>
            </w:tcBorders>
            <w:shd w:val="clear" w:color="auto" w:fill="auto"/>
            <w:vAlign w:val="center"/>
          </w:tcPr>
          <w:p w14:paraId="0159A5C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0.92</w:t>
            </w:r>
          </w:p>
        </w:tc>
      </w:tr>
      <w:tr w14:paraId="74E1A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36CF796E">
            <w:pPr>
              <w:numPr>
                <w:ilvl w:val="0"/>
                <w:numId w:val="4"/>
              </w:numPr>
              <w:snapToGrid w:val="0"/>
              <w:spacing w:line="360" w:lineRule="auto"/>
              <w:jc w:val="center"/>
              <w:rPr>
                <w:rFonts w:hint="eastAsia" w:ascii="宋体" w:hAnsi="宋体" w:eastAsia="宋体" w:cs="宋体"/>
                <w:color w:val="auto"/>
                <w:sz w:val="21"/>
                <w:szCs w:val="21"/>
                <w:highlight w:val="none"/>
              </w:rPr>
            </w:pPr>
          </w:p>
        </w:tc>
        <w:tc>
          <w:tcPr>
            <w:tcW w:w="900" w:type="dxa"/>
            <w:shd w:val="clear" w:color="auto" w:fill="auto"/>
            <w:vAlign w:val="center"/>
          </w:tcPr>
          <w:p w14:paraId="5A43F27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台式脉氧仪（脉搏血氧仪）</w:t>
            </w:r>
          </w:p>
        </w:tc>
        <w:tc>
          <w:tcPr>
            <w:tcW w:w="485" w:type="dxa"/>
            <w:gridSpan w:val="2"/>
            <w:tcBorders>
              <w:right w:val="single" w:color="auto" w:sz="4" w:space="0"/>
            </w:tcBorders>
            <w:shd w:val="clear" w:color="auto" w:fill="auto"/>
            <w:vAlign w:val="center"/>
          </w:tcPr>
          <w:p w14:paraId="624CABC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493" w:type="dxa"/>
            <w:tcBorders>
              <w:left w:val="single" w:color="auto" w:sz="4" w:space="0"/>
              <w:right w:val="single" w:color="auto" w:sz="4" w:space="0"/>
            </w:tcBorders>
            <w:vAlign w:val="center"/>
          </w:tcPr>
          <w:p w14:paraId="3CBE1FB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5672" w:type="dxa"/>
            <w:tcBorders>
              <w:left w:val="single" w:color="auto" w:sz="4" w:space="0"/>
              <w:right w:val="single" w:color="auto" w:sz="4" w:space="0"/>
            </w:tcBorders>
            <w:vAlign w:val="center"/>
          </w:tcPr>
          <w:p w14:paraId="652B4B6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2B7FF19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 </w:t>
            </w:r>
            <w:r>
              <w:rPr>
                <w:rFonts w:hint="eastAsia" w:ascii="Times New Roman" w:hAnsi="Times New Roman" w:eastAsia="宋体" w:cs="Times New Roman"/>
                <w:color w:val="auto"/>
                <w:highlight w:val="none"/>
                <w:lang w:val="en-US" w:eastAsia="zh-CN"/>
              </w:rPr>
              <w:t>适用于</w:t>
            </w:r>
            <w:r>
              <w:rPr>
                <w:rFonts w:hint="eastAsia" w:ascii="宋体" w:hAnsi="宋体" w:eastAsia="宋体" w:cs="宋体"/>
                <w:color w:val="auto"/>
                <w:sz w:val="21"/>
                <w:szCs w:val="21"/>
                <w:highlight w:val="none"/>
                <w:lang w:val="en-US" w:eastAsia="zh-CN"/>
              </w:rPr>
              <w:t>新生儿、儿童及成人等患者，并可在设备上选择三种病人类型。</w:t>
            </w:r>
          </w:p>
          <w:p w14:paraId="11B60EB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设备主要用于监测患者的生理性参数监测、报警及新生儿先天性心脏筛查。</w:t>
            </w:r>
          </w:p>
          <w:p w14:paraId="3E781F1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彩色液晶显示大屏，能显示病人的各种生理参数和波形等信息。</w:t>
            </w:r>
          </w:p>
          <w:p w14:paraId="63917CB0">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4.具有血氧技术</w:t>
            </w:r>
          </w:p>
          <w:p w14:paraId="30D16EC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 显示内容</w:t>
            </w:r>
            <w:r>
              <w:rPr>
                <w:rFonts w:ascii="Times New Roman" w:hAnsi="Times New Roman" w:eastAsia="宋体" w:cs="Times New Roman"/>
                <w:color w:val="auto"/>
                <w:highlight w:val="none"/>
              </w:rPr>
              <w:t>：</w:t>
            </w:r>
            <w:r>
              <w:rPr>
                <w:rFonts w:hint="eastAsia" w:ascii="宋体" w:hAnsi="宋体" w:eastAsia="宋体" w:cs="宋体"/>
                <w:color w:val="auto"/>
                <w:sz w:val="21"/>
                <w:szCs w:val="21"/>
                <w:highlight w:val="none"/>
                <w:lang w:val="en-US" w:eastAsia="zh-CN"/>
              </w:rPr>
              <w:t>血氧饱和度(</w:t>
            </w:r>
            <w:r>
              <w:rPr>
                <w:rFonts w:hint="eastAsia" w:ascii="宋体" w:hAnsi="宋体" w:cs="宋体"/>
                <w:color w:val="auto"/>
                <w:sz w:val="21"/>
                <w:szCs w:val="21"/>
                <w:highlight w:val="none"/>
                <w:lang w:val="en-US" w:eastAsia="zh-CN"/>
              </w:rPr>
              <w:t>SPO₂</w:t>
            </w:r>
            <w:r>
              <w:rPr>
                <w:rFonts w:hint="eastAsia" w:ascii="宋体" w:hAnsi="宋体" w:eastAsia="宋体" w:cs="宋体"/>
                <w:color w:val="auto"/>
                <w:sz w:val="21"/>
                <w:szCs w:val="21"/>
                <w:highlight w:val="none"/>
                <w:lang w:val="en-US" w:eastAsia="zh-CN"/>
              </w:rPr>
              <w:t>)和脉率(PR)、灌注指数（PI）、脉搏强度柱状图、</w:t>
            </w:r>
            <w:r>
              <w:rPr>
                <w:rFonts w:hint="eastAsia" w:ascii="宋体" w:hAnsi="宋体" w:cs="宋体"/>
                <w:color w:val="auto"/>
                <w:sz w:val="21"/>
                <w:szCs w:val="21"/>
                <w:highlight w:val="none"/>
                <w:lang w:val="en-US" w:eastAsia="zh-CN"/>
              </w:rPr>
              <w:t>SPO₂</w:t>
            </w:r>
            <w:r>
              <w:rPr>
                <w:rFonts w:hint="eastAsia" w:ascii="宋体" w:hAnsi="宋体" w:eastAsia="宋体" w:cs="宋体"/>
                <w:color w:val="auto"/>
                <w:sz w:val="21"/>
                <w:szCs w:val="21"/>
                <w:highlight w:val="none"/>
                <w:lang w:val="en-US" w:eastAsia="zh-CN"/>
              </w:rPr>
              <w:t>容积描记波形。</w:t>
            </w:r>
          </w:p>
          <w:p w14:paraId="6BB45C5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 趋势回顾</w:t>
            </w:r>
            <w:r>
              <w:rPr>
                <w:rFonts w:ascii="Times New Roman" w:hAnsi="Times New Roman" w:eastAsia="宋体" w:cs="Times New Roman"/>
                <w:color w:val="auto"/>
                <w:highlight w:val="none"/>
              </w:rPr>
              <w:t>：</w:t>
            </w:r>
            <w:r>
              <w:rPr>
                <w:rFonts w:hint="eastAsia" w:ascii="宋体" w:hAnsi="宋体" w:eastAsia="宋体" w:cs="宋体"/>
                <w:color w:val="auto"/>
                <w:sz w:val="21"/>
                <w:szCs w:val="21"/>
                <w:highlight w:val="none"/>
                <w:lang w:val="en-US" w:eastAsia="zh-CN"/>
              </w:rPr>
              <w:t>支持24小时的趋势回顾，在相同的分辨率下，趋势曲线支持300个趋势显示。</w:t>
            </w:r>
          </w:p>
          <w:p w14:paraId="4A7AAFA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 趋势分辨率</w:t>
            </w:r>
            <w:r>
              <w:rPr>
                <w:rFonts w:ascii="Times New Roman" w:hAnsi="Times New Roman" w:eastAsia="宋体" w:cs="Times New Roman"/>
                <w:color w:val="auto"/>
                <w:highlight w:val="none"/>
              </w:rPr>
              <w:t>：</w:t>
            </w:r>
            <w:r>
              <w:rPr>
                <w:rFonts w:hint="eastAsia" w:ascii="宋体" w:hAnsi="宋体" w:eastAsia="宋体" w:cs="宋体"/>
                <w:color w:val="auto"/>
                <w:sz w:val="21"/>
                <w:szCs w:val="21"/>
                <w:highlight w:val="none"/>
                <w:lang w:val="en-US" w:eastAsia="zh-CN"/>
              </w:rPr>
              <w:t>时间间隔支持1min、5min、10min、30min、60min可选</w:t>
            </w:r>
          </w:p>
          <w:p w14:paraId="62447BA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 内置电池，满电可续航4小时。</w:t>
            </w:r>
          </w:p>
          <w:p w14:paraId="711DFFD0">
            <w:pPr>
              <w:widowControl/>
              <w:spacing w:line="360" w:lineRule="auto"/>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9. </w:t>
            </w:r>
            <w:r>
              <w:rPr>
                <w:rFonts w:hint="eastAsia" w:ascii="宋体" w:hAnsi="宋体" w:cs="宋体"/>
                <w:color w:val="auto"/>
                <w:sz w:val="21"/>
                <w:szCs w:val="21"/>
                <w:highlight w:val="none"/>
                <w:lang w:val="en-US" w:eastAsia="zh-CN"/>
              </w:rPr>
              <w:t>支持</w:t>
            </w:r>
            <w:r>
              <w:rPr>
                <w:rFonts w:hint="eastAsia" w:ascii="宋体" w:hAnsi="宋体" w:eastAsia="宋体" w:cs="宋体"/>
                <w:color w:val="auto"/>
                <w:sz w:val="21"/>
                <w:szCs w:val="21"/>
                <w:highlight w:val="none"/>
                <w:lang w:val="en-US" w:eastAsia="zh-CN"/>
              </w:rPr>
              <w:t>匹配同厂生产一次性脉搏血氧探头，</w:t>
            </w:r>
            <w:r>
              <w:rPr>
                <w:rFonts w:hint="eastAsia" w:ascii="宋体" w:hAnsi="宋体" w:eastAsia="宋体" w:cs="宋体"/>
                <w:b/>
                <w:bCs/>
                <w:color w:val="auto"/>
                <w:sz w:val="21"/>
                <w:szCs w:val="21"/>
                <w:highlight w:val="none"/>
                <w:lang w:val="en-US" w:eastAsia="zh-CN"/>
              </w:rPr>
              <w:t>且血氧探头必须具有独立的医疗器械注册证。</w:t>
            </w:r>
          </w:p>
          <w:p w14:paraId="53C65F0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 测量范围</w:t>
            </w:r>
            <w:r>
              <w:rPr>
                <w:rFonts w:ascii="Times New Roman" w:hAnsi="Times New Roman" w:eastAsia="宋体" w:cs="Times New Roman"/>
                <w:color w:val="auto"/>
                <w:highlight w:val="none"/>
              </w:rPr>
              <w:t>：</w:t>
            </w:r>
          </w:p>
          <w:p w14:paraId="1E7F32E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血氧饱和度（SPO₂）</w:t>
            </w:r>
            <w:r>
              <w:rPr>
                <w:rFonts w:hint="eastAsia" w:ascii="宋体" w:hAnsi="宋体" w:cs="宋体"/>
                <w:color w:val="auto"/>
                <w:sz w:val="21"/>
                <w:szCs w:val="21"/>
                <w:highlight w:val="none"/>
                <w:lang w:val="en-US" w:eastAsia="zh-CN"/>
              </w:rPr>
              <w:t>0～100%</w:t>
            </w:r>
            <w:r>
              <w:rPr>
                <w:rFonts w:hint="eastAsia" w:ascii="宋体" w:hAnsi="宋体" w:eastAsia="宋体" w:cs="宋体"/>
                <w:color w:val="auto"/>
                <w:sz w:val="21"/>
                <w:szCs w:val="21"/>
                <w:highlight w:val="none"/>
                <w:lang w:val="en-US" w:eastAsia="zh-CN"/>
              </w:rPr>
              <w:t>，测量精度:70%-100%，差±2%。</w:t>
            </w:r>
          </w:p>
          <w:p w14:paraId="47EA38E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 脉率25~250(bpm)，误差为±1bpm或±2%，取大值。</w:t>
            </w:r>
          </w:p>
          <w:p w14:paraId="14E40EC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12. 报警：11.1. </w:t>
            </w:r>
            <w:r>
              <w:rPr>
                <w:rFonts w:hint="eastAsia" w:ascii="宋体" w:hAnsi="宋体" w:cs="宋体"/>
                <w:color w:val="auto"/>
                <w:sz w:val="21"/>
                <w:szCs w:val="21"/>
                <w:highlight w:val="none"/>
                <w:lang w:val="en-US" w:eastAsia="zh-CN"/>
              </w:rPr>
              <w:t>SPO₂</w:t>
            </w:r>
          </w:p>
          <w:p w14:paraId="124A7A9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低限范围：0%~99%；</w:t>
            </w:r>
            <w:r>
              <w:rPr>
                <w:rFonts w:hint="eastAsia" w:ascii="宋体" w:hAnsi="宋体" w:cs="宋体"/>
                <w:color w:val="auto"/>
                <w:sz w:val="21"/>
                <w:szCs w:val="21"/>
                <w:highlight w:val="none"/>
                <w:lang w:val="en-US" w:eastAsia="zh-CN"/>
              </w:rPr>
              <w:t>SPO₂</w:t>
            </w:r>
          </w:p>
          <w:p w14:paraId="56FE972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高限范围：1%~100%，报警误差±1%。"</w:t>
            </w:r>
          </w:p>
          <w:p w14:paraId="4584643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 PR低限范围</w:t>
            </w:r>
            <w:r>
              <w:rPr>
                <w:rFonts w:ascii="Times New Roman" w:hAnsi="Times New Roman" w:eastAsia="宋体" w:cs="Times New Roman"/>
                <w:color w:val="auto"/>
                <w:highlight w:val="none"/>
              </w:rPr>
              <w:t>：</w:t>
            </w:r>
            <w:r>
              <w:rPr>
                <w:rFonts w:hint="eastAsia" w:ascii="宋体" w:hAnsi="宋体" w:eastAsia="宋体" w:cs="宋体"/>
                <w:color w:val="auto"/>
                <w:sz w:val="21"/>
                <w:szCs w:val="21"/>
                <w:highlight w:val="none"/>
                <w:lang w:val="en-US" w:eastAsia="zh-CN"/>
              </w:rPr>
              <w:t>15bpm~299bpm；PR 高限范围</w:t>
            </w:r>
            <w:r>
              <w:rPr>
                <w:rFonts w:ascii="Times New Roman" w:hAnsi="Times New Roman" w:eastAsia="宋体" w:cs="Times New Roman"/>
                <w:color w:val="auto"/>
                <w:highlight w:val="none"/>
              </w:rPr>
              <w:t>：</w:t>
            </w:r>
            <w:r>
              <w:rPr>
                <w:rFonts w:hint="eastAsia" w:ascii="宋体" w:hAnsi="宋体" w:eastAsia="宋体" w:cs="宋体"/>
                <w:color w:val="auto"/>
                <w:sz w:val="21"/>
                <w:szCs w:val="21"/>
                <w:highlight w:val="none"/>
                <w:lang w:val="en-US" w:eastAsia="zh-CN"/>
              </w:rPr>
              <w:t>16bpm~300bpm，报警误差士1bpm。</w:t>
            </w:r>
          </w:p>
          <w:p w14:paraId="6239DA2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 报警等级支持高、中、低。</w:t>
            </w:r>
          </w:p>
          <w:p w14:paraId="52BB5BD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 具有声光色三级显示，声音和可视报警。</w:t>
            </w:r>
          </w:p>
          <w:p w14:paraId="2CAE215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 支持报警音量调节</w:t>
            </w:r>
            <w:r>
              <w:rPr>
                <w:rFonts w:ascii="Times New Roman" w:hAnsi="Times New Roman" w:eastAsia="宋体" w:cs="Times New Roman"/>
                <w:color w:val="auto"/>
                <w:highlight w:val="none"/>
              </w:rPr>
              <w:t>：</w:t>
            </w:r>
            <w:r>
              <w:rPr>
                <w:rFonts w:hint="eastAsia" w:ascii="宋体" w:hAnsi="宋体" w:eastAsia="宋体" w:cs="宋体"/>
                <w:color w:val="auto"/>
                <w:sz w:val="21"/>
                <w:szCs w:val="21"/>
                <w:highlight w:val="none"/>
                <w:lang w:val="en-US" w:eastAsia="zh-CN"/>
              </w:rPr>
              <w:t>范围1~6档</w:t>
            </w:r>
          </w:p>
          <w:p w14:paraId="3E9F07F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二、每台需求配置</w:t>
            </w:r>
          </w:p>
          <w:p w14:paraId="70497B7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1.血氧仪主机 1台 </w:t>
            </w:r>
          </w:p>
          <w:p w14:paraId="5D0095A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2.血氧延长线 1 根 </w:t>
            </w:r>
          </w:p>
          <w:p w14:paraId="14BFFC2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3.一次性血氧饱和度传感器 2条</w:t>
            </w:r>
          </w:p>
          <w:p w14:paraId="7D73B1B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4.电源线 1根 </w:t>
            </w:r>
          </w:p>
          <w:p w14:paraId="4F422A8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5.1说明书 1份</w:t>
            </w:r>
          </w:p>
          <w:p w14:paraId="402013F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6.合格证1张</w:t>
            </w:r>
          </w:p>
        </w:tc>
        <w:tc>
          <w:tcPr>
            <w:tcW w:w="1100" w:type="dxa"/>
            <w:tcBorders>
              <w:left w:val="single" w:color="auto" w:sz="4" w:space="0"/>
            </w:tcBorders>
            <w:shd w:val="clear" w:color="auto" w:fill="auto"/>
            <w:vAlign w:val="center"/>
          </w:tcPr>
          <w:p w14:paraId="60705CB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w:t>
            </w:r>
          </w:p>
        </w:tc>
      </w:tr>
      <w:tr w14:paraId="1B41E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67BD7715">
            <w:pPr>
              <w:numPr>
                <w:ilvl w:val="0"/>
                <w:numId w:val="4"/>
              </w:numPr>
              <w:snapToGrid w:val="0"/>
              <w:spacing w:line="360" w:lineRule="auto"/>
              <w:jc w:val="center"/>
              <w:rPr>
                <w:rFonts w:hint="eastAsia" w:ascii="宋体" w:hAnsi="宋体" w:eastAsia="宋体" w:cs="宋体"/>
                <w:color w:val="auto"/>
                <w:sz w:val="21"/>
                <w:szCs w:val="21"/>
                <w:highlight w:val="none"/>
              </w:rPr>
            </w:pPr>
          </w:p>
        </w:tc>
        <w:tc>
          <w:tcPr>
            <w:tcW w:w="900" w:type="dxa"/>
            <w:shd w:val="clear" w:color="auto" w:fill="auto"/>
            <w:vAlign w:val="center"/>
          </w:tcPr>
          <w:p w14:paraId="7C364C0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高流量仪（高流量呼吸湿化治疗仪）</w:t>
            </w:r>
          </w:p>
        </w:tc>
        <w:tc>
          <w:tcPr>
            <w:tcW w:w="485" w:type="dxa"/>
            <w:gridSpan w:val="2"/>
            <w:tcBorders>
              <w:right w:val="single" w:color="auto" w:sz="4" w:space="0"/>
            </w:tcBorders>
            <w:shd w:val="clear" w:color="auto" w:fill="auto"/>
            <w:vAlign w:val="center"/>
          </w:tcPr>
          <w:p w14:paraId="5B3D7E2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493" w:type="dxa"/>
            <w:tcBorders>
              <w:left w:val="single" w:color="auto" w:sz="4" w:space="0"/>
              <w:right w:val="single" w:color="auto" w:sz="4" w:space="0"/>
            </w:tcBorders>
            <w:vAlign w:val="center"/>
          </w:tcPr>
          <w:p w14:paraId="091F8532">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5672" w:type="dxa"/>
            <w:tcBorders>
              <w:left w:val="single" w:color="auto" w:sz="4" w:space="0"/>
              <w:right w:val="single" w:color="auto" w:sz="4" w:space="0"/>
            </w:tcBorders>
            <w:vAlign w:val="center"/>
          </w:tcPr>
          <w:p w14:paraId="07F844D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5FB523C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≥4.8寸彩色液晶显示屏+触摸屏；</w:t>
            </w:r>
          </w:p>
          <w:p w14:paraId="48AF705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2.高流量模式：10～80L/min，低流量模式2～25L/min；</w:t>
            </w:r>
          </w:p>
          <w:p w14:paraId="51943BC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3.流量设置步进和误差： 2～25/min，步进1L/min，精度±2L/min，25～80L/min，步进5L/min，精度±5L/min；</w:t>
            </w:r>
          </w:p>
          <w:p w14:paraId="3D0931D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4.温度设置：高流量模式：29～37℃，低流量模式：34℃；温度设置步进1℃，误差±2℃；</w:t>
            </w:r>
          </w:p>
          <w:p w14:paraId="55E11B5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5.氧浓度设置21%～100%，氧浓度设置步进5%，误差±5%；</w:t>
            </w:r>
          </w:p>
          <w:p w14:paraId="5DB6C06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6.延迟关机设置：30分钟、60分钟、90分钟；</w:t>
            </w:r>
          </w:p>
          <w:p w14:paraId="7F7BC23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7.夜间模式：开启/关闭，开始和停止时间范围：00</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00——24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00，步进为0.5h；</w:t>
            </w:r>
          </w:p>
          <w:p w14:paraId="4631D53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8.转运功能：20分钟，不提供加热湿化功能；</w:t>
            </w:r>
          </w:p>
          <w:p w14:paraId="67D8CC6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9.回顾功能：可提供3 、 7 、 30 天内温度、流量、氧浓度使用参数趋势图；</w:t>
            </w:r>
          </w:p>
          <w:p w14:paraId="56684F0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10.背光时间：30～600s，步进30秒；</w:t>
            </w:r>
          </w:p>
          <w:p w14:paraId="21F10E6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11.具有监测界面：高/低流量模式可以实时监测：温度、氧浓度、流量、呼吸频率、氧源压力、血氧（</w:t>
            </w:r>
            <w:r>
              <w:rPr>
                <w:rFonts w:hint="eastAsia" w:ascii="宋体" w:hAnsi="宋体" w:cs="宋体"/>
                <w:color w:val="auto"/>
                <w:sz w:val="21"/>
                <w:szCs w:val="21"/>
                <w:highlight w:val="none"/>
                <w:lang w:val="en-US" w:eastAsia="zh-CN"/>
              </w:rPr>
              <w:t>支持选配</w:t>
            </w:r>
            <w:r>
              <w:rPr>
                <w:rFonts w:hint="eastAsia" w:ascii="宋体" w:hAnsi="宋体" w:eastAsia="宋体" w:cs="宋体"/>
                <w:color w:val="auto"/>
                <w:sz w:val="21"/>
                <w:szCs w:val="21"/>
                <w:highlight w:val="none"/>
                <w:lang w:val="en-US" w:eastAsia="zh-CN"/>
              </w:rPr>
              <w:t>）、脉率（支持选配）、ROX指数、鼻氧管脱落监测。CPAP模式可以实时监测：压力、温度、氧浓度、流量、呼吸频率、漏气量、氧源压力、血氧、脉率、ROX指数。</w:t>
            </w:r>
          </w:p>
          <w:p w14:paraId="038194C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▲12.具有CPAP模式，可以设置压力、压力卸载、延时升压、初始压力。</w:t>
            </w:r>
          </w:p>
          <w:p w14:paraId="57BCA14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13.压力设置范围：4～20cmH2O；步进0.5cmH2O。</w:t>
            </w:r>
          </w:p>
          <w:p w14:paraId="1581929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14.压力卸载设置范围：0～3档。延时升压设置范围：0～60min，步进：1min。</w:t>
            </w:r>
          </w:p>
          <w:p w14:paraId="6497A00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15.初始压力设置范围：4～20cmH2O；步进0.5cmH2O。</w:t>
            </w:r>
          </w:p>
          <w:p w14:paraId="243D00E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16.监测ROX指数，用来评判或预估气管插管的风险指数，可帮助临床医生判断HFNC的治疗效果。</w:t>
            </w:r>
          </w:p>
          <w:p w14:paraId="0429722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氧浓度高报警、氧浓度低报警、治疗使用时间报警、氧源压力过大报警、弯管未连接报警、管路未连接报警、管道漏气报警、堵塞报警、断电报警、无法达到设定温度报警、无法达到设定流量报警、水盒缺水报警、通信故障报警；</w:t>
            </w:r>
          </w:p>
          <w:p w14:paraId="76830B6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18.氧浓度高报警设置30%～100%，步进1%，氧浓度低报警设置21%～30%，步进1%；</w:t>
            </w:r>
          </w:p>
          <w:p w14:paraId="33B3184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▲19.一键进入低流量模式：在待机，预热或者正常工作状态时，长按旋钮键5秒进入低流量模式，再长按旋钮5秒</w:t>
            </w:r>
            <w:r>
              <w:rPr>
                <w:rFonts w:hint="eastAsia" w:ascii="宋体" w:hAnsi="宋体" w:cs="宋体"/>
                <w:color w:val="auto"/>
                <w:sz w:val="21"/>
                <w:szCs w:val="21"/>
                <w:highlight w:val="none"/>
                <w:lang w:val="en-US" w:eastAsia="zh-CN"/>
              </w:rPr>
              <w:t>退</w:t>
            </w:r>
            <w:r>
              <w:rPr>
                <w:rFonts w:hint="eastAsia" w:ascii="宋体" w:hAnsi="宋体" w:eastAsia="宋体" w:cs="宋体"/>
                <w:color w:val="auto"/>
                <w:sz w:val="21"/>
                <w:szCs w:val="21"/>
                <w:highlight w:val="none"/>
                <w:lang w:val="en-US" w:eastAsia="zh-CN"/>
              </w:rPr>
              <w:t>出；</w:t>
            </w:r>
          </w:p>
          <w:p w14:paraId="6C2A603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20.报警事件查看：可查看当前时间最近的3000条报警记录；</w:t>
            </w:r>
          </w:p>
          <w:p w14:paraId="207A438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21.工作环境：温度 18～30℃，相对湿度 15%～95%（非冷凝），大气压力 70～106kPa，存储环境：温度 -20～60℃，相对湿度 15%～95%（非冷凝），大气压力 70～106kPa；</w:t>
            </w:r>
          </w:p>
          <w:p w14:paraId="4019D55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22.电源AC 220V，50Hz，2Amax</w:t>
            </w:r>
          </w:p>
          <w:p w14:paraId="6FF4698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二、每台需求配置：</w:t>
            </w:r>
          </w:p>
          <w:p w14:paraId="3C082C3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 1台</w:t>
            </w:r>
          </w:p>
          <w:p w14:paraId="5755BB0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2.使用说明书 1份</w:t>
            </w:r>
          </w:p>
          <w:p w14:paraId="3182DC9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3.保修卡 1份</w:t>
            </w:r>
          </w:p>
          <w:p w14:paraId="43C7A8D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4.合格证 1份</w:t>
            </w:r>
          </w:p>
          <w:p w14:paraId="30E5027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5.操作指南卡 1份</w:t>
            </w:r>
          </w:p>
          <w:p w14:paraId="59B3F7C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.电源线 1套</w:t>
            </w:r>
          </w:p>
          <w:p w14:paraId="7DB025C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.过滤棉 1个</w:t>
            </w:r>
          </w:p>
          <w:p w14:paraId="1B45CC2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.移动台车 1台</w:t>
            </w:r>
          </w:p>
          <w:p w14:paraId="5ED8762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.高压氧气连接管 1套</w:t>
            </w:r>
          </w:p>
        </w:tc>
        <w:tc>
          <w:tcPr>
            <w:tcW w:w="1100" w:type="dxa"/>
            <w:tcBorders>
              <w:left w:val="single" w:color="auto" w:sz="4" w:space="0"/>
            </w:tcBorders>
            <w:shd w:val="clear" w:color="auto" w:fill="auto"/>
            <w:vAlign w:val="center"/>
          </w:tcPr>
          <w:p w14:paraId="7BAD5A5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w:t>
            </w:r>
          </w:p>
        </w:tc>
      </w:tr>
      <w:tr w14:paraId="229EF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5219DF0B">
            <w:pPr>
              <w:numPr>
                <w:ilvl w:val="0"/>
                <w:numId w:val="4"/>
              </w:numPr>
              <w:snapToGrid w:val="0"/>
              <w:spacing w:line="360" w:lineRule="auto"/>
              <w:jc w:val="center"/>
              <w:rPr>
                <w:rFonts w:hint="eastAsia" w:ascii="宋体" w:hAnsi="宋体" w:eastAsia="宋体" w:cs="宋体"/>
                <w:color w:val="auto"/>
                <w:sz w:val="21"/>
                <w:szCs w:val="21"/>
                <w:highlight w:val="none"/>
              </w:rPr>
            </w:pPr>
          </w:p>
        </w:tc>
        <w:tc>
          <w:tcPr>
            <w:tcW w:w="900" w:type="dxa"/>
            <w:shd w:val="clear" w:color="auto" w:fill="auto"/>
            <w:vAlign w:val="center"/>
          </w:tcPr>
          <w:p w14:paraId="32A82CA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新生儿听力筛选仪（听力筛查仪）</w:t>
            </w:r>
          </w:p>
        </w:tc>
        <w:tc>
          <w:tcPr>
            <w:tcW w:w="485" w:type="dxa"/>
            <w:gridSpan w:val="2"/>
            <w:tcBorders>
              <w:right w:val="single" w:color="auto" w:sz="4" w:space="0"/>
            </w:tcBorders>
            <w:shd w:val="clear" w:color="auto" w:fill="auto"/>
            <w:vAlign w:val="center"/>
          </w:tcPr>
          <w:p w14:paraId="0376E22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93" w:type="dxa"/>
            <w:tcBorders>
              <w:left w:val="single" w:color="auto" w:sz="4" w:space="0"/>
              <w:right w:val="single" w:color="auto" w:sz="4" w:space="0"/>
            </w:tcBorders>
            <w:vAlign w:val="center"/>
          </w:tcPr>
          <w:p w14:paraId="41D2C839">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5672" w:type="dxa"/>
            <w:tcBorders>
              <w:left w:val="single" w:color="auto" w:sz="4" w:space="0"/>
              <w:right w:val="single" w:color="auto" w:sz="4" w:space="0"/>
            </w:tcBorders>
            <w:vAlign w:val="center"/>
          </w:tcPr>
          <w:p w14:paraId="193B92B6">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功能性参数要求：</w:t>
            </w:r>
          </w:p>
          <w:p w14:paraId="09BBD460">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 主要用于小孩听力筛查检查，按照国家要求规范对新出生的婴幼儿进行耳声发射的初筛和对出生有高危因素或者初筛不通过进行自动听性脑干测试。</w:t>
            </w:r>
          </w:p>
          <w:p w14:paraId="3FFB54AF">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 技术参数：</w:t>
            </w:r>
          </w:p>
          <w:p w14:paraId="500B2CA7">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 xml:space="preserve">2.1.设备具备AABR测试功能。 </w:t>
            </w:r>
          </w:p>
          <w:p w14:paraId="7B58C6AB">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▲2.2.AABR可双耳同时测试，也可选择任意耳测试</w:t>
            </w:r>
          </w:p>
          <w:p w14:paraId="6DC54B4A">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2.3.评估方法： 噪音加权平均法和内置模板匹配</w:t>
            </w:r>
          </w:p>
          <w:p w14:paraId="6382F1F4">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2.4.刺激声强度： 35、 40 或 45 dB nHL短声</w:t>
            </w:r>
          </w:p>
          <w:p w14:paraId="2E3642BA">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2.5.刺激速率： ≥ 80 Hz</w:t>
            </w:r>
          </w:p>
          <w:p w14:paraId="66EA1DAB">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2.6.阻抗测试范围： 1 到 99 kÙ 测试可接受阻抗</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12 kÙ</w:t>
            </w:r>
          </w:p>
          <w:p w14:paraId="73BAB18E">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2.7.阻抗检测： 在测试之前和测试过程中进行检测</w:t>
            </w:r>
          </w:p>
          <w:p w14:paraId="3003D6F5">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2.8.显示： 统计图形、测试进度、 脑电EEG 水平、 ABR信号检测概率</w:t>
            </w:r>
          </w:p>
          <w:p w14:paraId="5E97B084">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2.9.电极类型： 一次性水凝胶电极</w:t>
            </w:r>
          </w:p>
          <w:p w14:paraId="65B7418B">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▲2.9.1.彩色液晶中文触摸屏</w:t>
            </w:r>
          </w:p>
          <w:p w14:paraId="5A2A39DC">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▲2.9.2.中文</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另有</w:t>
            </w:r>
            <w:r>
              <w:rPr>
                <w:rFonts w:hint="eastAsia" w:ascii="宋体" w:hAnsi="宋体" w:cs="宋体"/>
                <w:color w:val="auto"/>
                <w:sz w:val="21"/>
                <w:szCs w:val="21"/>
                <w:highlight w:val="none"/>
                <w:lang w:val="en-US" w:eastAsia="zh-CN"/>
              </w:rPr>
              <w:t>其他</w:t>
            </w:r>
            <w:r>
              <w:rPr>
                <w:rFonts w:hint="default" w:ascii="宋体" w:hAnsi="宋体" w:eastAsia="宋体" w:cs="宋体"/>
                <w:color w:val="auto"/>
                <w:sz w:val="21"/>
                <w:szCs w:val="21"/>
                <w:highlight w:val="none"/>
                <w:lang w:val="en-US" w:eastAsia="zh-CN"/>
              </w:rPr>
              <w:t>至少 5 种语言可供选择</w:t>
            </w:r>
          </w:p>
          <w:p w14:paraId="5A5F5AD5">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2.9.3.内存容量：最多 250 名患者</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最少 500 个测试</w:t>
            </w:r>
          </w:p>
          <w:p w14:paraId="07868DEA">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2.9.4.数据传输：主机与坞站红外连接</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 xml:space="preserve"> 坞站USB与计算机USB联机可进行数据筛选和统计，数据库保存。</w:t>
            </w:r>
          </w:p>
          <w:p w14:paraId="488851BA">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2.10</w:t>
            </w:r>
            <w:r>
              <w:rPr>
                <w:rFonts w:hint="default" w:ascii="宋体" w:hAnsi="宋体" w:eastAsia="宋体" w:cs="宋体"/>
                <w:color w:val="auto"/>
                <w:sz w:val="21"/>
                <w:szCs w:val="21"/>
                <w:highlight w:val="none"/>
                <w:lang w:val="en-US" w:eastAsia="zh-CN"/>
              </w:rPr>
              <w:t>. 设备重量：约 240 g (8.5 oz)不包括电池，280 g (9.9 oz)包括电池</w:t>
            </w:r>
          </w:p>
          <w:p w14:paraId="0536C444">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2.1</w:t>
            </w:r>
            <w:r>
              <w:rPr>
                <w:rFonts w:hint="eastAsia" w:ascii="宋体" w:hAnsi="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.干扰性：在普通测试环境可做测试，无需专门配置隔音室</w:t>
            </w:r>
          </w:p>
          <w:p w14:paraId="78058934">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2.1</w:t>
            </w:r>
            <w:r>
              <w:rPr>
                <w:rFonts w:hint="eastAsia" w:ascii="宋体" w:hAnsi="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 无痛无创。无需去除皮肤角质层，不影响测试者睡眠质量。</w:t>
            </w:r>
          </w:p>
          <w:p w14:paraId="07DE82A9">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二、需求配置：</w:t>
            </w:r>
          </w:p>
          <w:p w14:paraId="47E76688">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1.主机 1台</w:t>
            </w:r>
          </w:p>
          <w:p w14:paraId="2E9572C4">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2.便携包 1个</w:t>
            </w:r>
          </w:p>
          <w:p w14:paraId="272F516A">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3.坞站：包括电源适配器和USB连接线 1套</w:t>
            </w:r>
          </w:p>
          <w:p w14:paraId="26443AF1">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4.充电电池 1个</w:t>
            </w:r>
          </w:p>
          <w:p w14:paraId="6E2FA610">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5.ABR电极连接线 1套</w:t>
            </w:r>
          </w:p>
          <w:p w14:paraId="6E240FBA">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6.ABR测试器 1个</w:t>
            </w:r>
          </w:p>
          <w:p w14:paraId="4C760169">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7.清洁布 1块</w:t>
            </w:r>
          </w:p>
          <w:p w14:paraId="67384158">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8.电极片 1套</w:t>
            </w:r>
          </w:p>
          <w:p w14:paraId="5C712B27">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9.用户手册 1份</w:t>
            </w:r>
          </w:p>
          <w:p w14:paraId="60749D8B">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10.耳罩 1个</w:t>
            </w:r>
          </w:p>
        </w:tc>
        <w:tc>
          <w:tcPr>
            <w:tcW w:w="1100" w:type="dxa"/>
            <w:tcBorders>
              <w:left w:val="single" w:color="auto" w:sz="4" w:space="0"/>
            </w:tcBorders>
            <w:shd w:val="clear" w:color="auto" w:fill="auto"/>
            <w:vAlign w:val="center"/>
          </w:tcPr>
          <w:p w14:paraId="6764DA9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w:t>
            </w:r>
          </w:p>
        </w:tc>
      </w:tr>
      <w:tr w14:paraId="26191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7BA05A78">
            <w:pPr>
              <w:numPr>
                <w:ilvl w:val="0"/>
                <w:numId w:val="4"/>
              </w:numPr>
              <w:snapToGrid w:val="0"/>
              <w:spacing w:line="360" w:lineRule="auto"/>
              <w:jc w:val="center"/>
              <w:rPr>
                <w:rFonts w:hint="eastAsia" w:ascii="宋体" w:hAnsi="宋体" w:eastAsia="宋体" w:cs="宋体"/>
                <w:color w:val="auto"/>
                <w:sz w:val="21"/>
                <w:szCs w:val="21"/>
                <w:highlight w:val="none"/>
              </w:rPr>
            </w:pPr>
          </w:p>
        </w:tc>
        <w:tc>
          <w:tcPr>
            <w:tcW w:w="900" w:type="dxa"/>
            <w:shd w:val="clear" w:color="auto" w:fill="auto"/>
            <w:vAlign w:val="center"/>
          </w:tcPr>
          <w:p w14:paraId="4F515A9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经皮胆红素测定仪（经皮黄疸仪）</w:t>
            </w:r>
          </w:p>
        </w:tc>
        <w:tc>
          <w:tcPr>
            <w:tcW w:w="485" w:type="dxa"/>
            <w:gridSpan w:val="2"/>
            <w:tcBorders>
              <w:right w:val="single" w:color="auto" w:sz="4" w:space="0"/>
            </w:tcBorders>
            <w:shd w:val="clear" w:color="auto" w:fill="auto"/>
            <w:vAlign w:val="center"/>
          </w:tcPr>
          <w:p w14:paraId="3183D97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493" w:type="dxa"/>
            <w:tcBorders>
              <w:left w:val="single" w:color="auto" w:sz="4" w:space="0"/>
              <w:right w:val="single" w:color="auto" w:sz="4" w:space="0"/>
            </w:tcBorders>
            <w:vAlign w:val="center"/>
          </w:tcPr>
          <w:p w14:paraId="106432E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5672" w:type="dxa"/>
            <w:tcBorders>
              <w:left w:val="single" w:color="auto" w:sz="4" w:space="0"/>
              <w:right w:val="single" w:color="auto" w:sz="4" w:space="0"/>
            </w:tcBorders>
            <w:vAlign w:val="center"/>
          </w:tcPr>
          <w:p w14:paraId="19B5909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6143251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至少3.0英寸彩色液晶触摸屏，大字符清晰显示。</w:t>
            </w:r>
          </w:p>
          <w:p w14:paraId="5E588A4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外形设计符合人体工程学。</w:t>
            </w:r>
          </w:p>
          <w:p w14:paraId="73C611B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硬件结构层叠设计，增强整机抗压力。</w:t>
            </w:r>
          </w:p>
          <w:p w14:paraId="54B1132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支持实现多患者连续测量功能，无需重复校准。</w:t>
            </w:r>
          </w:p>
          <w:p w14:paraId="59CCB0B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color w:val="auto"/>
                <w:highlight w:val="none"/>
                <w:lang w:val="en-US"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光源：氙闪光灯，灯泡使用寿命长（≥15万次测量）。</w:t>
            </w:r>
          </w:p>
          <w:p w14:paraId="604D092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 测量完成后具有提示</w:t>
            </w:r>
            <w:r>
              <w:rPr>
                <w:rFonts w:hint="eastAsia" w:ascii="宋体" w:hAnsi="宋体" w:cs="宋体"/>
                <w:color w:val="auto"/>
                <w:sz w:val="21"/>
                <w:szCs w:val="21"/>
                <w:highlight w:val="none"/>
                <w:lang w:val="en-US" w:eastAsia="zh-CN"/>
              </w:rPr>
              <w:t>音</w:t>
            </w:r>
            <w:r>
              <w:rPr>
                <w:rFonts w:hint="eastAsia" w:ascii="宋体" w:hAnsi="宋体" w:eastAsia="宋体" w:cs="宋体"/>
                <w:color w:val="auto"/>
                <w:sz w:val="21"/>
                <w:szCs w:val="21"/>
                <w:highlight w:val="none"/>
                <w:lang w:val="en-US" w:eastAsia="zh-CN"/>
              </w:rPr>
              <w:t>，预防测量时长不足影响准确度</w:t>
            </w:r>
          </w:p>
          <w:p w14:paraId="493C5FF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 信息提示：当经皮黄疸仪的内置电池电压低于 6.8 V 时，有低电压提示功能。</w:t>
            </w:r>
          </w:p>
          <w:p w14:paraId="5D76018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 时间设置：具备实现时间日期的修改功能。</w:t>
            </w:r>
          </w:p>
          <w:p w14:paraId="586F9D5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 声音设置：触摸屏按键音可设置为开/关。</w:t>
            </w:r>
          </w:p>
          <w:p w14:paraId="1C1537E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 亮度调节：屏幕亮度5级调节。</w:t>
            </w:r>
          </w:p>
          <w:p w14:paraId="2CFF03F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 平均次数：测量结果平均次数从 1 次到 5 次的调节。</w:t>
            </w:r>
          </w:p>
          <w:p w14:paraId="6D8D6EE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测量单位：测量单位可在mg/dl和μmol/l间切换。</w:t>
            </w:r>
          </w:p>
          <w:p w14:paraId="7DA7979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屏幕保护：屏幕保护时间可设置为1分钟或5分钟</w:t>
            </w:r>
          </w:p>
          <w:p w14:paraId="4397E64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历史数据保存：可保存护士ID号、婴儿ID号、测量结果、测量时间、测量时进行优先权，蓝光完成标志的标记。</w:t>
            </w:r>
          </w:p>
          <w:p w14:paraId="22F7F5D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可同屏显示3次测量数据，且同步存储多个患者信息，可存储100个最近的结果</w:t>
            </w:r>
          </w:p>
          <w:p w14:paraId="567902A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lang w:val="en-US" w:eastAsia="zh-CN"/>
              </w:rPr>
              <w:t>. 配置条码阅读器，支持二维码和条形码的扫描，支持核、录入护士、患者ID</w:t>
            </w:r>
            <w:r>
              <w:rPr>
                <w:rFonts w:hint="eastAsia" w:ascii="宋体" w:hAnsi="宋体" w:cs="宋体"/>
                <w:color w:val="auto"/>
                <w:sz w:val="21"/>
                <w:szCs w:val="21"/>
                <w:highlight w:val="none"/>
                <w:lang w:val="en-US" w:eastAsia="zh-CN"/>
              </w:rPr>
              <w:t>（支持后续升级配置）</w:t>
            </w:r>
            <w:r>
              <w:rPr>
                <w:rFonts w:hint="eastAsia" w:ascii="宋体" w:hAnsi="宋体" w:eastAsia="宋体" w:cs="宋体"/>
                <w:color w:val="auto"/>
                <w:sz w:val="21"/>
                <w:szCs w:val="21"/>
                <w:highlight w:val="none"/>
                <w:lang w:val="en-US" w:eastAsia="zh-CN"/>
              </w:rPr>
              <w:t>。</w:t>
            </w:r>
          </w:p>
          <w:p w14:paraId="1DD7CC3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17</w:t>
            </w:r>
            <w:r>
              <w:rPr>
                <w:rFonts w:hint="eastAsia" w:ascii="宋体" w:hAnsi="宋体" w:eastAsia="宋体" w:cs="宋体"/>
                <w:color w:val="auto"/>
                <w:sz w:val="21"/>
                <w:szCs w:val="21"/>
                <w:highlight w:val="none"/>
                <w:lang w:val="en-US" w:eastAsia="zh-CN"/>
              </w:rPr>
              <w:t>. 符合YY 9706.257-2021 《医用电气设备 第2-57部分：治疗、诊断、监测和整形/医疗美容使用的非激光光源设备基本安全和基本性能的专用要求》标准的要求。</w:t>
            </w:r>
          </w:p>
          <w:p w14:paraId="1A42C43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lang w:val="en-US" w:eastAsia="zh-CN"/>
              </w:rPr>
              <w:t>. 网电源供电时，设备的额定电压和频率：a.c.220V，50Hz。</w:t>
            </w:r>
          </w:p>
          <w:p w14:paraId="642B836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lang w:val="en-US" w:eastAsia="zh-CN"/>
              </w:rPr>
              <w:t>. 网电源供电时，设备输入功率：30VA。</w:t>
            </w:r>
          </w:p>
          <w:p w14:paraId="0822749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 内部电源供电时，主机电源类型：额定电压7.4V (锂电池)。</w:t>
            </w:r>
          </w:p>
          <w:p w14:paraId="5607CCE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 尺寸（±5%） ：主机尺寸：55mm×45mm×165mm；底座尺寸（±5%）：83mm×160mm×105mm。</w:t>
            </w:r>
          </w:p>
          <w:p w14:paraId="5F426EA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重量：≤ 250g。</w:t>
            </w:r>
          </w:p>
          <w:p w14:paraId="3326C84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最大显示值：≥25.0 mg/dl (425μmol/l)。</w:t>
            </w:r>
          </w:p>
          <w:p w14:paraId="10F79C1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准确度：在 0mg/dl ～ 15.9mg/dl 范围内：±1.0 mg/dl ；在 16.0mg/dl～25.0mg/dl 范围内：±1.5 mg/dl。</w:t>
            </w:r>
          </w:p>
          <w:p w14:paraId="7CEC380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重复性：≤3%。</w:t>
            </w:r>
          </w:p>
          <w:p w14:paraId="616F271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lang w:val="en-US" w:eastAsia="zh-CN"/>
              </w:rPr>
              <w:t>. 检查屏：波长为550nm和461nm光谱的透过率之比为1±0.1。</w:t>
            </w:r>
          </w:p>
          <w:p w14:paraId="27EF9E8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27</w:t>
            </w:r>
            <w:r>
              <w:rPr>
                <w:rFonts w:hint="eastAsia" w:ascii="宋体" w:hAnsi="宋体" w:eastAsia="宋体" w:cs="宋体"/>
                <w:color w:val="auto"/>
                <w:sz w:val="21"/>
                <w:szCs w:val="21"/>
                <w:highlight w:val="none"/>
                <w:lang w:val="en-US" w:eastAsia="zh-CN"/>
              </w:rPr>
              <w:t>. 工作环境要求：温度：5℃～40℃；湿度：≤90%RH；大气压力：700hPa～1060hPa。</w:t>
            </w:r>
          </w:p>
          <w:p w14:paraId="4B014A0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28</w:t>
            </w:r>
            <w:r>
              <w:rPr>
                <w:rFonts w:hint="eastAsia" w:ascii="宋体" w:hAnsi="宋体" w:eastAsia="宋体" w:cs="宋体"/>
                <w:color w:val="auto"/>
                <w:sz w:val="21"/>
                <w:szCs w:val="21"/>
                <w:highlight w:val="none"/>
                <w:lang w:val="en-US" w:eastAsia="zh-CN"/>
              </w:rPr>
              <w:t>. 使用期限：≥6年</w:t>
            </w:r>
          </w:p>
          <w:p w14:paraId="51F8A60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二、每台需求配置：</w:t>
            </w:r>
          </w:p>
          <w:p w14:paraId="6735AE6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1.经皮黄疸仪主机 1台</w:t>
            </w:r>
          </w:p>
          <w:p w14:paraId="4CC9D2A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2.经皮黄疸仪底座 1个</w:t>
            </w:r>
          </w:p>
          <w:p w14:paraId="7184512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3.电源适配器 1套</w:t>
            </w:r>
          </w:p>
          <w:p w14:paraId="13FC5BD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4.检查工装 1套</w:t>
            </w:r>
          </w:p>
          <w:p w14:paraId="4724410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5.挂绳 1根</w:t>
            </w:r>
          </w:p>
          <w:p w14:paraId="2236432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6.使用说明书 、操作卡、合格证、保修卡各1份</w:t>
            </w:r>
          </w:p>
        </w:tc>
        <w:tc>
          <w:tcPr>
            <w:tcW w:w="1100" w:type="dxa"/>
            <w:tcBorders>
              <w:left w:val="single" w:color="auto" w:sz="4" w:space="0"/>
            </w:tcBorders>
            <w:shd w:val="clear" w:color="auto" w:fill="auto"/>
            <w:vAlign w:val="center"/>
          </w:tcPr>
          <w:p w14:paraId="4F1E68B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r>
      <w:tr w14:paraId="585EF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750E5B42">
            <w:pPr>
              <w:numPr>
                <w:ilvl w:val="0"/>
                <w:numId w:val="4"/>
              </w:numPr>
              <w:snapToGrid w:val="0"/>
              <w:spacing w:line="360" w:lineRule="auto"/>
              <w:jc w:val="center"/>
              <w:rPr>
                <w:rFonts w:hint="eastAsia" w:ascii="宋体" w:hAnsi="宋体" w:eastAsia="宋体" w:cs="宋体"/>
                <w:color w:val="auto"/>
                <w:sz w:val="21"/>
                <w:szCs w:val="21"/>
                <w:highlight w:val="none"/>
              </w:rPr>
            </w:pPr>
          </w:p>
        </w:tc>
        <w:tc>
          <w:tcPr>
            <w:tcW w:w="900" w:type="dxa"/>
            <w:shd w:val="clear" w:color="auto" w:fill="auto"/>
            <w:vAlign w:val="center"/>
          </w:tcPr>
          <w:p w14:paraId="296235E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婴儿培养箱</w:t>
            </w:r>
          </w:p>
        </w:tc>
        <w:tc>
          <w:tcPr>
            <w:tcW w:w="485" w:type="dxa"/>
            <w:gridSpan w:val="2"/>
            <w:tcBorders>
              <w:right w:val="single" w:color="auto" w:sz="4" w:space="0"/>
            </w:tcBorders>
            <w:shd w:val="clear" w:color="auto" w:fill="auto"/>
            <w:vAlign w:val="center"/>
          </w:tcPr>
          <w:p w14:paraId="3DB3617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93" w:type="dxa"/>
            <w:tcBorders>
              <w:left w:val="single" w:color="auto" w:sz="4" w:space="0"/>
              <w:right w:val="single" w:color="auto" w:sz="4" w:space="0"/>
            </w:tcBorders>
            <w:vAlign w:val="center"/>
          </w:tcPr>
          <w:p w14:paraId="7870E68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5672" w:type="dxa"/>
            <w:tcBorders>
              <w:left w:val="single" w:color="auto" w:sz="4" w:space="0"/>
              <w:right w:val="single" w:color="auto" w:sz="4" w:space="0"/>
            </w:tcBorders>
            <w:vAlign w:val="center"/>
          </w:tcPr>
          <w:p w14:paraId="0E7FB47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53FFC91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1.工作电源：AC220V/50Hz</w:t>
            </w:r>
          </w:p>
          <w:p w14:paraId="621C161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2.输入功率：≤1000VA</w:t>
            </w:r>
          </w:p>
          <w:p w14:paraId="465E11A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3.控制方式：箱温和肤温两种温度控制</w:t>
            </w:r>
          </w:p>
          <w:p w14:paraId="39D08A7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4.箱温控制范围：25～37℃</w:t>
            </w:r>
          </w:p>
          <w:p w14:paraId="42B66B8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5.皮肤温度控制范围：34～37℃</w:t>
            </w:r>
          </w:p>
          <w:p w14:paraId="0AEC7BD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6.箱温和肤温显示温度范围：5～65℃</w:t>
            </w:r>
          </w:p>
          <w:p w14:paraId="5276077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7.升温时间：≤30min</w:t>
            </w:r>
          </w:p>
          <w:p w14:paraId="66FD75D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8.培养箱温度与平均培养箱温度之差： ≤0.5℃</w:t>
            </w:r>
          </w:p>
          <w:p w14:paraId="4A6CB7B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9.平均培养箱温度与控制温度之差：≤1.0℃</w:t>
            </w:r>
          </w:p>
          <w:p w14:paraId="3E274E5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10.温度均匀性（床垫处于水平位置）：≤0.8℃</w:t>
            </w:r>
          </w:p>
          <w:p w14:paraId="7C15867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11.温度均匀性（床垫处于倾斜位置）：≤1.0℃</w:t>
            </w:r>
          </w:p>
          <w:p w14:paraId="3E343F8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12.皮肤温度传感器精度：±0.2℃内</w:t>
            </w:r>
          </w:p>
          <w:p w14:paraId="0C85DCE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13.婴儿床倾斜角度：无级可调</w:t>
            </w:r>
          </w:p>
          <w:p w14:paraId="0F88F1E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14.婴儿舱内噪声： ≤48dB（A）（稳定温度状态下）</w:t>
            </w:r>
          </w:p>
          <w:p w14:paraId="3266F34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15.故障报警： 断电、传感器、 偏差、超温、风道循环、缺水、水箱位置、系统等</w:t>
            </w:r>
          </w:p>
          <w:p w14:paraId="325592C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16.湿度显示范围： 0%RH～99%RH</w:t>
            </w:r>
          </w:p>
          <w:p w14:paraId="6A49F82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17.湿度控制范围：30%RH～90%RH</w:t>
            </w:r>
          </w:p>
          <w:p w14:paraId="3DCB89D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18.湿度控制精度：±10%RH</w:t>
            </w:r>
          </w:p>
          <w:p w14:paraId="0B995D4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19.床面上有效表面内的胆红素总辐照度均匀性：＞</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0.4</w:t>
            </w:r>
          </w:p>
          <w:p w14:paraId="1F4D8E5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20.具有上下双面光疗装置</w:t>
            </w:r>
          </w:p>
          <w:p w14:paraId="690F815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二、上黄疸治疗装置：</w:t>
            </w:r>
          </w:p>
          <w:p w14:paraId="1D4FB03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1.床面上有效表面内的总辐照度： ≥1.7mW/cm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lang w:val="en-US" w:eastAsia="zh-CN"/>
              </w:rPr>
              <w:t>（光源为LED）</w:t>
            </w:r>
          </w:p>
          <w:p w14:paraId="4687A98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2.床面上有效表面内的胆红素总辐照度平均值： ≥1.3mW/cm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lang w:val="en-US" w:eastAsia="zh-CN"/>
              </w:rPr>
              <w:t xml:space="preserve">（光源为LED） </w:t>
            </w:r>
          </w:p>
          <w:p w14:paraId="026A4E1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3.有效表面内的最高胆红素总辐照度：3.5mW/cm</w:t>
            </w:r>
            <w:r>
              <w:rPr>
                <w:rFonts w:hint="eastAsia" w:ascii="宋体" w:hAnsi="宋体" w:eastAsia="宋体" w:cs="宋体"/>
                <w:color w:val="auto"/>
                <w:sz w:val="21"/>
                <w:szCs w:val="21"/>
                <w:highlight w:val="none"/>
                <w:vertAlign w:val="superscript"/>
                <w:lang w:val="en-US" w:eastAsia="zh-CN"/>
              </w:rPr>
              <w:t xml:space="preserve">2  </w:t>
            </w:r>
            <w:r>
              <w:rPr>
                <w:rFonts w:hint="eastAsia" w:ascii="宋体" w:hAnsi="宋体" w:eastAsia="宋体" w:cs="宋体"/>
                <w:color w:val="auto"/>
                <w:sz w:val="21"/>
                <w:szCs w:val="21"/>
                <w:highlight w:val="none"/>
                <w:lang w:val="en-US" w:eastAsia="zh-CN"/>
              </w:rPr>
              <w:t>（光源为LED）</w:t>
            </w:r>
          </w:p>
          <w:p w14:paraId="31F8EB8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三、下黄疸治疗装置：</w:t>
            </w:r>
          </w:p>
          <w:p w14:paraId="1C8B610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1.床面上有效表面内的总辐照度：≥0.8mW/cm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lang w:val="en-US" w:eastAsia="zh-CN"/>
              </w:rPr>
              <w:t>（光源为LED）</w:t>
            </w:r>
          </w:p>
          <w:p w14:paraId="242672C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2.床面上有效表面内的胆红素总辐照度平均值：≥0.8mW/cm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lang w:val="en-US" w:eastAsia="zh-CN"/>
              </w:rPr>
              <w:t>（光源为LED）</w:t>
            </w:r>
          </w:p>
          <w:p w14:paraId="74F8747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3.有效表面内的最高胆红素总辐照度：1.3mW/cm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lang w:val="en-US" w:eastAsia="zh-CN"/>
              </w:rPr>
              <w:t>（光源为LED）</w:t>
            </w:r>
          </w:p>
          <w:p w14:paraId="1123C24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四、配置需求：</w:t>
            </w:r>
          </w:p>
          <w:p w14:paraId="5645F98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1.箱体 1个</w:t>
            </w:r>
          </w:p>
          <w:p w14:paraId="687D0D3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2.脚轮 4个</w:t>
            </w:r>
          </w:p>
          <w:p w14:paraId="4B1D6F0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3.护栏 1个</w:t>
            </w:r>
          </w:p>
          <w:p w14:paraId="6BAA090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4.机柜  1个</w:t>
            </w:r>
          </w:p>
          <w:p w14:paraId="5808D5C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5.输液架 1个</w:t>
            </w:r>
          </w:p>
          <w:p w14:paraId="73F9B16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6.托盘 1个</w:t>
            </w:r>
          </w:p>
          <w:p w14:paraId="143B2C0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7.输氧管 1根</w:t>
            </w:r>
          </w:p>
          <w:p w14:paraId="3671E48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8.皮肤温度传感器 1个</w:t>
            </w:r>
          </w:p>
          <w:p w14:paraId="65794A8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9.单患者使用皮肤温度传感器 1个</w:t>
            </w:r>
          </w:p>
          <w:p w14:paraId="448ECD6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10.空气过滤材料 1套</w:t>
            </w:r>
          </w:p>
          <w:p w14:paraId="0312D4D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11.F型熔丝管1AL/250V（用于光源配置为灯管）2根</w:t>
            </w:r>
          </w:p>
          <w:p w14:paraId="2449296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12.T型熔丝管1.6AL/250V（用于光源配置为LED2根根</w:t>
            </w:r>
          </w:p>
          <w:p w14:paraId="767DF8A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13.记录显示板 1个</w:t>
            </w:r>
          </w:p>
          <w:p w14:paraId="4807754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14.使用说明书、合格证、保修卡各一份</w:t>
            </w:r>
          </w:p>
          <w:p w14:paraId="60D5807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15.灯箱 1个</w:t>
            </w:r>
          </w:p>
          <w:p w14:paraId="092E829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16.灯箱左支架 1个</w:t>
            </w:r>
          </w:p>
          <w:p w14:paraId="24938D7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17.灯箱右支架 1个</w:t>
            </w:r>
          </w:p>
          <w:p w14:paraId="034C340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18.右灯箱支架 1个</w:t>
            </w:r>
          </w:p>
          <w:p w14:paraId="6796D0A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19.左灯箱支架 1个</w:t>
            </w:r>
          </w:p>
          <w:p w14:paraId="579F82D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20.灯箱脚 4个</w:t>
            </w:r>
          </w:p>
          <w:p w14:paraId="0D43CCA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21.灯箱输液支架 1个</w:t>
            </w:r>
          </w:p>
          <w:p w14:paraId="396006F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22.电源线 1套</w:t>
            </w:r>
          </w:p>
        </w:tc>
        <w:tc>
          <w:tcPr>
            <w:tcW w:w="1100" w:type="dxa"/>
            <w:tcBorders>
              <w:left w:val="single" w:color="auto" w:sz="4" w:space="0"/>
            </w:tcBorders>
            <w:shd w:val="clear" w:color="auto" w:fill="auto"/>
            <w:vAlign w:val="center"/>
          </w:tcPr>
          <w:p w14:paraId="616E248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5.6</w:t>
            </w:r>
          </w:p>
        </w:tc>
      </w:tr>
      <w:tr w14:paraId="152D4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547BF096">
            <w:pPr>
              <w:numPr>
                <w:ilvl w:val="0"/>
                <w:numId w:val="4"/>
              </w:numPr>
              <w:snapToGrid w:val="0"/>
              <w:spacing w:line="360" w:lineRule="auto"/>
              <w:jc w:val="center"/>
              <w:rPr>
                <w:rFonts w:hint="eastAsia" w:ascii="宋体" w:hAnsi="宋体" w:eastAsia="宋体" w:cs="宋体"/>
                <w:color w:val="auto"/>
                <w:sz w:val="21"/>
                <w:szCs w:val="21"/>
                <w:highlight w:val="none"/>
              </w:rPr>
            </w:pPr>
          </w:p>
        </w:tc>
        <w:tc>
          <w:tcPr>
            <w:tcW w:w="900" w:type="dxa"/>
            <w:shd w:val="clear" w:color="auto" w:fill="auto"/>
            <w:vAlign w:val="center"/>
          </w:tcPr>
          <w:p w14:paraId="0ACFB34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黄疸治疗仪（新生儿黄疸治疗仪）</w:t>
            </w:r>
          </w:p>
        </w:tc>
        <w:tc>
          <w:tcPr>
            <w:tcW w:w="485" w:type="dxa"/>
            <w:gridSpan w:val="2"/>
            <w:tcBorders>
              <w:right w:val="single" w:color="auto" w:sz="4" w:space="0"/>
            </w:tcBorders>
            <w:shd w:val="clear" w:color="auto" w:fill="auto"/>
            <w:vAlign w:val="center"/>
          </w:tcPr>
          <w:p w14:paraId="3EE8A39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493" w:type="dxa"/>
            <w:tcBorders>
              <w:left w:val="single" w:color="auto" w:sz="4" w:space="0"/>
              <w:right w:val="single" w:color="auto" w:sz="4" w:space="0"/>
            </w:tcBorders>
            <w:vAlign w:val="center"/>
          </w:tcPr>
          <w:p w14:paraId="618C81F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5672" w:type="dxa"/>
            <w:tcBorders>
              <w:left w:val="single" w:color="auto" w:sz="4" w:space="0"/>
              <w:right w:val="single" w:color="auto" w:sz="4" w:space="0"/>
            </w:tcBorders>
            <w:vAlign w:val="center"/>
          </w:tcPr>
          <w:p w14:paraId="106672E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4ED5079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1.具有箱温和肤温两种温度控制模式；</w:t>
            </w:r>
          </w:p>
          <w:p w14:paraId="77CDB66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2.≥8英寸彩色液晶显示屏，并提供信息查阅功能；</w:t>
            </w:r>
          </w:p>
          <w:p w14:paraId="7159F3D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3.婴儿床360度双向旋转；</w:t>
            </w:r>
          </w:p>
          <w:p w14:paraId="5D62C64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4.燕尾型立柱导轨；可挂置临床使用的设备</w:t>
            </w:r>
          </w:p>
          <w:p w14:paraId="7CE18A4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5.采用EPU床垫，提高患儿舒适度，保护皮肤完整性</w:t>
            </w:r>
          </w:p>
          <w:p w14:paraId="322A1D0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6.挡板内置阻尼，实现静音落下，无需手扶</w:t>
            </w:r>
          </w:p>
          <w:p w14:paraId="4B5BD9F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7.具有数据储存曲线显示功能；</w:t>
            </w:r>
          </w:p>
          <w:p w14:paraId="3A69989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37℃温度跨越模式设置功能</w:t>
            </w:r>
          </w:p>
          <w:p w14:paraId="6EE2193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9.箱温控制范围：25℃～37℃（跨越模式37～39℃）</w:t>
            </w:r>
          </w:p>
          <w:p w14:paraId="04B1D30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10.皮肤温度控制范围：34℃～37℃（跨越模式37～38℃）</w:t>
            </w:r>
          </w:p>
          <w:p w14:paraId="1B65D6D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11.箱温和肤温显示温度范围：5～60℃</w:t>
            </w:r>
          </w:p>
          <w:p w14:paraId="1828683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12.皮肤温度传感器精度：±0.1℃</w:t>
            </w:r>
          </w:p>
          <w:p w14:paraId="3CD8C82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13.婴儿床倾斜角度无级可调功能</w:t>
            </w:r>
          </w:p>
          <w:p w14:paraId="020DDE4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14.产品具有自检功能，多种故障报警提示</w:t>
            </w:r>
          </w:p>
          <w:p w14:paraId="61AB748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15.嵌入式集成传感器盒、可拆卸式水箱；</w:t>
            </w:r>
          </w:p>
          <w:p w14:paraId="283F1F3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16.床下可放置X光射线拍片盒</w:t>
            </w:r>
          </w:p>
          <w:p w14:paraId="05B79AE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▲17.水箱采用聚砜材质制作，可单独取出，整体水箱可以直接采用“高温高压”法消毒</w:t>
            </w:r>
          </w:p>
          <w:p w14:paraId="5084A2F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18.具有整机高度电动调节功能</w:t>
            </w:r>
          </w:p>
          <w:p w14:paraId="1B11C3A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19.具有储物抽屉；</w:t>
            </w:r>
          </w:p>
          <w:p w14:paraId="48BFA59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20.湿度显示范围：0%RH～99%RH</w:t>
            </w:r>
          </w:p>
          <w:p w14:paraId="522BFE0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21.湿度控制范围：0%RH～99%RH</w:t>
            </w:r>
          </w:p>
          <w:p w14:paraId="42D3C3A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22.湿度控制精度：±5%RH内</w:t>
            </w:r>
          </w:p>
          <w:p w14:paraId="370037F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23.具有氧浓度控制功能，氧浓度显示范围：0%～99%，4氧浓度设定范围：20%～60%</w:t>
            </w:r>
          </w:p>
          <w:p w14:paraId="03293AC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24.暖箱使用年限10年</w:t>
            </w:r>
          </w:p>
          <w:p w14:paraId="0056CB2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25.配有黄疸治疗仪</w:t>
            </w:r>
          </w:p>
          <w:p w14:paraId="3F184E6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25.1.光照有效面积：40cm×30cm</w:t>
            </w:r>
          </w:p>
          <w:p w14:paraId="24EB735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25.2.有效表面内的胆红素总辐照度最大值：5.0mW/cm²</w:t>
            </w:r>
          </w:p>
          <w:p w14:paraId="5835D19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25.3.胆红素总辐照度平均值：≥3.0mW/cm²</w:t>
            </w:r>
          </w:p>
          <w:p w14:paraId="4A1CC6D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25.4.胆红素总辐照度平均值：≥3.0mW/cm²</w:t>
            </w:r>
          </w:p>
          <w:p w14:paraId="5E98C85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25.5.有效表面内的胆红素总辐照度均匀性：＞0.4</w:t>
            </w:r>
          </w:p>
          <w:p w14:paraId="155FC74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25.6.辐照灯箱具有平移功能，辐照角度0～60°倾斜可调，且具有快拆装置单独取出，吸附在暖箱上</w:t>
            </w:r>
          </w:p>
          <w:p w14:paraId="193648D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▲25.7.光源为LED，使用期限≥50000小时</w:t>
            </w:r>
          </w:p>
          <w:p w14:paraId="72F0E18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25.8.工作总计时显示范围：0～99999.9小时</w:t>
            </w:r>
          </w:p>
          <w:p w14:paraId="493EED2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▲25.9.蓝光输出强度调节范围：0～100%，无极可调</w:t>
            </w:r>
          </w:p>
          <w:p w14:paraId="4515D33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.≥4.3英寸彩色液晶触摸屏，分辨率：480*272</w:t>
            </w:r>
          </w:p>
          <w:p w14:paraId="6294987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二、每台配置需求：</w:t>
            </w:r>
          </w:p>
          <w:p w14:paraId="29A947E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1.整机(包括升降式机柜、箱体) 1套</w:t>
            </w:r>
          </w:p>
          <w:p w14:paraId="110C873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2.输液架 1个</w:t>
            </w:r>
          </w:p>
          <w:p w14:paraId="5104D70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3.托盘 1个</w:t>
            </w:r>
          </w:p>
          <w:p w14:paraId="45B3168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4.可移动黄疸治疗仪 1台</w:t>
            </w:r>
          </w:p>
          <w:p w14:paraId="7CE89BD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5.电源线 1套</w:t>
            </w:r>
          </w:p>
          <w:p w14:paraId="4D72946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6.空气过滤材料 1套</w:t>
            </w:r>
          </w:p>
          <w:p w14:paraId="4366162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7.操作窗塑料套 5套</w:t>
            </w:r>
          </w:p>
          <w:p w14:paraId="6BA7EEB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8.皮肤温度传感器 1个</w:t>
            </w:r>
          </w:p>
          <w:p w14:paraId="1B17149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9.十字螺丝刀5×75 1把</w:t>
            </w:r>
          </w:p>
          <w:p w14:paraId="1BC8987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10.熔丝管F 6.3AH/250V 1根</w:t>
            </w:r>
          </w:p>
          <w:p w14:paraId="571A4D3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11.使用说明书、合格证、保修卡各一份</w:t>
            </w:r>
          </w:p>
        </w:tc>
        <w:tc>
          <w:tcPr>
            <w:tcW w:w="1100" w:type="dxa"/>
            <w:tcBorders>
              <w:left w:val="single" w:color="auto" w:sz="4" w:space="0"/>
            </w:tcBorders>
            <w:shd w:val="clear" w:color="auto" w:fill="auto"/>
            <w:vAlign w:val="center"/>
          </w:tcPr>
          <w:p w14:paraId="7CD7EE5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12.5</w:t>
            </w:r>
          </w:p>
        </w:tc>
      </w:tr>
      <w:tr w14:paraId="3CB3B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32FEA710">
            <w:pPr>
              <w:numPr>
                <w:ilvl w:val="0"/>
                <w:numId w:val="4"/>
              </w:numPr>
              <w:snapToGrid w:val="0"/>
              <w:spacing w:line="360" w:lineRule="auto"/>
              <w:jc w:val="center"/>
              <w:rPr>
                <w:rFonts w:hint="eastAsia" w:ascii="宋体" w:hAnsi="宋体" w:eastAsia="宋体" w:cs="宋体"/>
                <w:color w:val="auto"/>
                <w:sz w:val="21"/>
                <w:szCs w:val="21"/>
                <w:highlight w:val="none"/>
              </w:rPr>
            </w:pPr>
          </w:p>
        </w:tc>
        <w:tc>
          <w:tcPr>
            <w:tcW w:w="900" w:type="dxa"/>
            <w:shd w:val="clear" w:color="auto" w:fill="auto"/>
            <w:vAlign w:val="center"/>
          </w:tcPr>
          <w:p w14:paraId="063F195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新生儿高频呼吸机（新生儿小儿呼吸机）</w:t>
            </w:r>
          </w:p>
        </w:tc>
        <w:tc>
          <w:tcPr>
            <w:tcW w:w="485" w:type="dxa"/>
            <w:gridSpan w:val="2"/>
            <w:tcBorders>
              <w:right w:val="single" w:color="auto" w:sz="4" w:space="0"/>
            </w:tcBorders>
            <w:shd w:val="clear" w:color="auto" w:fill="auto"/>
            <w:vAlign w:val="center"/>
          </w:tcPr>
          <w:p w14:paraId="03A5EC5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93" w:type="dxa"/>
            <w:tcBorders>
              <w:left w:val="single" w:color="auto" w:sz="4" w:space="0"/>
              <w:right w:val="single" w:color="auto" w:sz="4" w:space="0"/>
            </w:tcBorders>
            <w:vAlign w:val="center"/>
          </w:tcPr>
          <w:p w14:paraId="5B1F8C7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5672" w:type="dxa"/>
            <w:tcBorders>
              <w:left w:val="single" w:color="auto" w:sz="4" w:space="0"/>
              <w:right w:val="single" w:color="auto" w:sz="4" w:space="0"/>
            </w:tcBorders>
            <w:vAlign w:val="center"/>
          </w:tcPr>
          <w:p w14:paraId="386CCE3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552F84A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1.适用范围：新生儿（含早产儿）和30kg以下的儿童。</w:t>
            </w:r>
          </w:p>
          <w:p w14:paraId="004D68E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2.显示器：≥10英寸TFT触摸显示屏，分辨率800×600。</w:t>
            </w:r>
          </w:p>
          <w:p w14:paraId="66BB8C8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图形显示：压力－时间波形、流量柱状图显示流量、脉搏容积波形。监测参数：压力（气道峰压、平均压、呼末正压/气道压力）、氧浓度、流量、自主呼吸频率、呼气时间、吸呼比、脉搏血氧饱和度、灌注指数、脉率、泄漏率、血氧饱和度/吸入氧浓度、氧饱和度指数、氧浓度与平均压乘积、ROX指数、振幅。</w:t>
            </w:r>
          </w:p>
          <w:p w14:paraId="7306488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4.内置电子空氧混合，氧浓度调节范围21%～100%，误差≤±3%。</w:t>
            </w:r>
          </w:p>
          <w:p w14:paraId="16A0B29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5.提供呼吸机同品牌的压力发生器等附件，并能兼容其他品牌压力发生器，提供近鼻端压力监测。</w:t>
            </w:r>
          </w:p>
          <w:p w14:paraId="1111C3C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6.呼吸监测功能：应支持腹部呼吸监测和压力触发呼吸监测两种方式。</w:t>
            </w:r>
          </w:p>
          <w:p w14:paraId="1FC62AB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▲7.应内置血氧监测功能，用于氧饱和度SPO2、脉率PR和血流灌注指数PI实时监测。</w:t>
            </w:r>
          </w:p>
          <w:p w14:paraId="49151FB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▲8.应具有NCPAP、DuoVent、NIPPV、SNIPPV、HFNC、NHFO等六种以上的无创通气模式。</w:t>
            </w:r>
          </w:p>
          <w:p w14:paraId="22578E4D">
            <w:pPr>
              <w:widowControl/>
              <w:numPr>
                <w:ilvl w:val="0"/>
                <w:numId w:val="0"/>
              </w:numPr>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参数设置范围：</w:t>
            </w:r>
          </w:p>
          <w:p w14:paraId="55806BB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▲9.1.吸气压力：2.0cmH2O～25cmH2O</w:t>
            </w:r>
          </w:p>
          <w:p w14:paraId="4691BC0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9.2.呼末正压：1.0cmH2O～15cmH2O</w:t>
            </w:r>
          </w:p>
          <w:p w14:paraId="022F772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9.3.呼吸频率：1bpm～120bpm</w:t>
            </w:r>
          </w:p>
          <w:p w14:paraId="1232127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▲9.4.流量调节：0.5L/min～25L/min</w:t>
            </w:r>
          </w:p>
          <w:p w14:paraId="6C0E85F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9.5.吸呼比：4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10</w:t>
            </w:r>
          </w:p>
          <w:p w14:paraId="68EB748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9.6.窒息唤醒次数：OFF，1～10</w:t>
            </w:r>
          </w:p>
          <w:p w14:paraId="4108E48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9.7.触发灵敏度：OFF，1～10</w:t>
            </w:r>
          </w:p>
          <w:p w14:paraId="2AFB883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▲10.应具有NHFO经鼻高频振荡通气模式，采用鼓膜振荡的方式实现高频通气功能。</w:t>
            </w:r>
          </w:p>
          <w:p w14:paraId="19167A4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11.NHFO模式下参数设置范围应不小于：</w:t>
            </w:r>
          </w:p>
          <w:p w14:paraId="1DC5B22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11.1.振荡频率：2.0Hz～20Hz。</w:t>
            </w:r>
          </w:p>
          <w:p w14:paraId="54EC88D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▲11.2.振幅：2.0cmH2O～40.0cmH2O</w:t>
            </w:r>
          </w:p>
          <w:p w14:paraId="23B526C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▲11.3.平均压：1.0cmH2O～20.0cmH2O</w:t>
            </w:r>
          </w:p>
          <w:p w14:paraId="6BE24C7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11.4.吸呼比：1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3</w:t>
            </w:r>
          </w:p>
          <w:p w14:paraId="3AC7DD1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12.应具有快氧通气功能：通气持续时间可调，最长时间120s，增氧浓度22%～100% 连续可调。</w:t>
            </w:r>
          </w:p>
          <w:p w14:paraId="7EF1248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13.应具有手动通气功能，通气时间1s～30s可调，气道压力范围2.0cmH2O～25cmH2O，手动通气流量调节范围2.0L/min～30L/min。</w:t>
            </w:r>
          </w:p>
          <w:p w14:paraId="52ADDDC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14.具备自动泄漏补偿功能，同时提供泄漏率显示。</w:t>
            </w:r>
          </w:p>
          <w:p w14:paraId="10C075B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15.内置氧传感器，监测范围0～100%，精度±2%。</w:t>
            </w:r>
          </w:p>
          <w:p w14:paraId="59BE4DA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16.报警：具有手动/自动设置报警上下限功能。</w:t>
            </w:r>
          </w:p>
          <w:p w14:paraId="406532C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17.应具有开机自检信息图形指示功能，能直观指示自检状态。</w:t>
            </w:r>
          </w:p>
          <w:p w14:paraId="0ED2C28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18.具有日志功能、趋势图和趋势表功能。还具有截屏、录屏功能，并支持存储和导出。</w:t>
            </w:r>
          </w:p>
          <w:p w14:paraId="53A4E77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19.后备电源：内置大容量锂电池，持续供电6小时以上。</w:t>
            </w:r>
          </w:p>
          <w:p w14:paraId="5663970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20.外部接口：2个USB接口、1个RS232接口、1个TCP/IP网络接口和1个VGA视频接口。</w:t>
            </w:r>
          </w:p>
          <w:p w14:paraId="1E1A29A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r>
              <w:rPr>
                <w:rFonts w:hint="eastAsia" w:cs="Times New Roman"/>
                <w:color w:val="auto"/>
                <w:highlight w:val="none"/>
                <w:lang w:val="en-US" w:eastAsia="zh-CN"/>
              </w:rPr>
              <w:t>支持</w:t>
            </w:r>
            <w:r>
              <w:rPr>
                <w:rFonts w:hint="eastAsia" w:ascii="Times New Roman" w:hAnsi="Times New Roman" w:eastAsia="宋体" w:cs="Times New Roman"/>
                <w:color w:val="auto"/>
                <w:highlight w:val="none"/>
                <w:lang w:val="en-US" w:eastAsia="zh-CN"/>
              </w:rPr>
              <w:t>升级选配</w:t>
            </w:r>
            <w:r>
              <w:rPr>
                <w:rFonts w:hint="eastAsia" w:ascii="宋体" w:hAnsi="宋体" w:eastAsia="宋体" w:cs="宋体"/>
                <w:color w:val="auto"/>
                <w:sz w:val="21"/>
                <w:szCs w:val="21"/>
                <w:highlight w:val="none"/>
                <w:lang w:val="en-US" w:eastAsia="zh-CN"/>
              </w:rPr>
              <w:t>呼末</w:t>
            </w:r>
            <w:r>
              <w:rPr>
                <w:rFonts w:ascii="Times New Roman" w:hAnsi="Times New Roman" w:eastAsia="宋体" w:cs="Times New Roman"/>
                <w:color w:val="auto"/>
                <w:highlight w:val="none"/>
              </w:rPr>
              <w:t>CO₂</w:t>
            </w:r>
            <w:r>
              <w:rPr>
                <w:rFonts w:hint="eastAsia" w:ascii="宋体" w:hAnsi="宋体" w:eastAsia="宋体" w:cs="宋体"/>
                <w:color w:val="auto"/>
                <w:sz w:val="21"/>
                <w:szCs w:val="21"/>
                <w:highlight w:val="none"/>
                <w:lang w:val="en-US" w:eastAsia="zh-CN"/>
              </w:rPr>
              <w:t>监测功能。</w:t>
            </w:r>
          </w:p>
          <w:p w14:paraId="54519B9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r>
              <w:rPr>
                <w:rFonts w:hint="eastAsia" w:ascii="宋体" w:hAnsi="宋体" w:cs="宋体"/>
                <w:color w:val="auto"/>
                <w:sz w:val="21"/>
                <w:szCs w:val="21"/>
                <w:highlight w:val="none"/>
                <w:lang w:val="en-US" w:eastAsia="zh-CN"/>
              </w:rPr>
              <w:t>支持</w:t>
            </w:r>
            <w:r>
              <w:rPr>
                <w:rFonts w:hint="eastAsia" w:ascii="宋体" w:hAnsi="宋体" w:eastAsia="宋体" w:cs="宋体"/>
                <w:color w:val="auto"/>
                <w:sz w:val="21"/>
                <w:szCs w:val="21"/>
                <w:highlight w:val="none"/>
                <w:lang w:val="en-US" w:eastAsia="zh-CN"/>
              </w:rPr>
              <w:t>选配与呼吸机同品牌的医用空气压缩机。</w:t>
            </w:r>
          </w:p>
          <w:p w14:paraId="670B481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二、配置需求：</w:t>
            </w:r>
          </w:p>
          <w:p w14:paraId="718D057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1.呼吸机主机1台</w:t>
            </w:r>
          </w:p>
          <w:p w14:paraId="5DE6F2E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2.国标电源线1根</w:t>
            </w:r>
          </w:p>
          <w:p w14:paraId="47C5B77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3.模拟血氧主缆1根</w:t>
            </w:r>
          </w:p>
          <w:p w14:paraId="5924B33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4.新生儿模拟捆绑血氧探头1个</w:t>
            </w:r>
          </w:p>
          <w:p w14:paraId="6834F7C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5.重复性使用呼吸管路1套</w:t>
            </w:r>
          </w:p>
          <w:p w14:paraId="3B2CC5D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6.湿化器1个</w:t>
            </w:r>
          </w:p>
          <w:p w14:paraId="5505BCB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7.快速操作指南1份</w:t>
            </w:r>
          </w:p>
          <w:p w14:paraId="78AB44E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8.合格证1份</w:t>
            </w:r>
          </w:p>
        </w:tc>
        <w:tc>
          <w:tcPr>
            <w:tcW w:w="1100" w:type="dxa"/>
            <w:tcBorders>
              <w:left w:val="single" w:color="auto" w:sz="4" w:space="0"/>
            </w:tcBorders>
            <w:shd w:val="clear" w:color="auto" w:fill="auto"/>
            <w:vAlign w:val="center"/>
          </w:tcPr>
          <w:p w14:paraId="1A13E5F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w:t>
            </w:r>
          </w:p>
        </w:tc>
      </w:tr>
      <w:tr w14:paraId="13D26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3EDE45F1">
            <w:pPr>
              <w:numPr>
                <w:ilvl w:val="0"/>
                <w:numId w:val="4"/>
              </w:numPr>
              <w:snapToGrid w:val="0"/>
              <w:spacing w:line="360" w:lineRule="auto"/>
              <w:jc w:val="center"/>
              <w:rPr>
                <w:rFonts w:hint="eastAsia" w:ascii="宋体" w:hAnsi="宋体" w:eastAsia="宋体" w:cs="宋体"/>
                <w:color w:val="auto"/>
                <w:sz w:val="21"/>
                <w:szCs w:val="21"/>
                <w:highlight w:val="none"/>
              </w:rPr>
            </w:pPr>
          </w:p>
        </w:tc>
        <w:tc>
          <w:tcPr>
            <w:tcW w:w="900" w:type="dxa"/>
            <w:shd w:val="clear" w:color="auto" w:fill="auto"/>
            <w:vAlign w:val="center"/>
          </w:tcPr>
          <w:p w14:paraId="1C9A6B1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儿童喉镜（麻醉咽喉镜）</w:t>
            </w:r>
          </w:p>
        </w:tc>
        <w:tc>
          <w:tcPr>
            <w:tcW w:w="485" w:type="dxa"/>
            <w:gridSpan w:val="2"/>
            <w:tcBorders>
              <w:right w:val="single" w:color="auto" w:sz="4" w:space="0"/>
            </w:tcBorders>
            <w:shd w:val="clear" w:color="auto" w:fill="auto"/>
            <w:vAlign w:val="center"/>
          </w:tcPr>
          <w:p w14:paraId="45ADF49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493" w:type="dxa"/>
            <w:tcBorders>
              <w:left w:val="single" w:color="auto" w:sz="4" w:space="0"/>
              <w:right w:val="single" w:color="auto" w:sz="4" w:space="0"/>
            </w:tcBorders>
            <w:vAlign w:val="center"/>
          </w:tcPr>
          <w:p w14:paraId="5558CF1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5672" w:type="dxa"/>
            <w:tcBorders>
              <w:left w:val="single" w:color="auto" w:sz="4" w:space="0"/>
              <w:right w:val="single" w:color="auto" w:sz="4" w:space="0"/>
            </w:tcBorders>
            <w:vAlign w:val="center"/>
          </w:tcPr>
          <w:p w14:paraId="4F0F79E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2665C29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1.用途描述：供临床喉部检查、急救及麻醉手术时协助插管用。</w:t>
            </w:r>
          </w:p>
          <w:p w14:paraId="6467DB9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2.喉镜片采用不低于304的不锈钢制造而成，</w:t>
            </w:r>
          </w:p>
          <w:p w14:paraId="40D036C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3.镜片设计符合人体工程学，便于操作。</w:t>
            </w:r>
          </w:p>
          <w:p w14:paraId="22FF249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4.手柄采用网纹设计，防止操作者有汗水导致脱落；</w:t>
            </w:r>
          </w:p>
          <w:p w14:paraId="223AC40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5.手柄头由医用不锈钢制作，反复使用划痕少；手柄筒铜质材料，导电性能好。</w:t>
            </w:r>
          </w:p>
          <w:p w14:paraId="675D4E4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6.发光方式：LED灯泡，通过光导纤维冷光源导光，LED灯泡置于手柄前部，使用寿命长。</w:t>
            </w:r>
          </w:p>
          <w:p w14:paraId="46A6096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7.镜片采用可拆卸设计，易于清洁和消毒。镜片设计符合人体工程学。</w:t>
            </w:r>
          </w:p>
          <w:p w14:paraId="3E05974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8.窥视片长度：≥102mm，75mm，65mm  手柄直径：≥19mm。</w:t>
            </w:r>
          </w:p>
          <w:p w14:paraId="699A8D7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9.光纤照明度：≥5000</w:t>
            </w:r>
            <w:r>
              <w:rPr>
                <w:rFonts w:ascii="Times New Roman" w:hAnsi="Times New Roman" w:eastAsia="宋体" w:cs="Times New Roman"/>
                <w:color w:val="auto"/>
                <w:highlight w:val="none"/>
              </w:rPr>
              <w:t>lux</w:t>
            </w:r>
            <w:r>
              <w:rPr>
                <w:rFonts w:hint="eastAsia" w:ascii="宋体" w:hAnsi="宋体" w:eastAsia="宋体" w:cs="宋体"/>
                <w:color w:val="auto"/>
                <w:sz w:val="21"/>
                <w:szCs w:val="21"/>
                <w:highlight w:val="none"/>
                <w:lang w:val="en-US" w:eastAsia="zh-CN"/>
              </w:rPr>
              <w:t>。</w:t>
            </w:r>
          </w:p>
          <w:p w14:paraId="2FC0951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二、每套配置需求：</w:t>
            </w:r>
          </w:p>
          <w:p w14:paraId="3B915FA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1.窥视片3只</w:t>
            </w:r>
          </w:p>
          <w:p w14:paraId="417CB1F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2.手柄1只</w:t>
            </w:r>
          </w:p>
          <w:p w14:paraId="7EE1753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3.LED 灯泡1只</w:t>
            </w:r>
          </w:p>
          <w:p w14:paraId="074116B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4.说明书、合格证各一份</w:t>
            </w:r>
          </w:p>
        </w:tc>
        <w:tc>
          <w:tcPr>
            <w:tcW w:w="1100" w:type="dxa"/>
            <w:tcBorders>
              <w:left w:val="single" w:color="auto" w:sz="4" w:space="0"/>
            </w:tcBorders>
            <w:shd w:val="clear" w:color="auto" w:fill="auto"/>
            <w:vAlign w:val="center"/>
          </w:tcPr>
          <w:p w14:paraId="17D5DE2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0.28</w:t>
            </w:r>
          </w:p>
        </w:tc>
      </w:tr>
      <w:tr w14:paraId="11120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51781CC6">
            <w:pPr>
              <w:numPr>
                <w:ilvl w:val="0"/>
                <w:numId w:val="4"/>
              </w:numPr>
              <w:snapToGrid w:val="0"/>
              <w:spacing w:line="360" w:lineRule="auto"/>
              <w:jc w:val="center"/>
              <w:rPr>
                <w:rFonts w:hint="eastAsia" w:ascii="宋体" w:hAnsi="宋体" w:eastAsia="宋体" w:cs="宋体"/>
                <w:color w:val="auto"/>
                <w:sz w:val="21"/>
                <w:szCs w:val="21"/>
                <w:highlight w:val="none"/>
              </w:rPr>
            </w:pPr>
          </w:p>
        </w:tc>
        <w:tc>
          <w:tcPr>
            <w:tcW w:w="900" w:type="dxa"/>
            <w:shd w:val="clear" w:color="auto" w:fill="auto"/>
            <w:vAlign w:val="center"/>
          </w:tcPr>
          <w:p w14:paraId="4F6E043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T组复苏器（婴儿T—组合复苏器）</w:t>
            </w:r>
          </w:p>
        </w:tc>
        <w:tc>
          <w:tcPr>
            <w:tcW w:w="485" w:type="dxa"/>
            <w:gridSpan w:val="2"/>
            <w:tcBorders>
              <w:right w:val="single" w:color="auto" w:sz="4" w:space="0"/>
            </w:tcBorders>
            <w:shd w:val="clear" w:color="auto" w:fill="auto"/>
            <w:vAlign w:val="center"/>
          </w:tcPr>
          <w:p w14:paraId="7E64792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93" w:type="dxa"/>
            <w:tcBorders>
              <w:left w:val="single" w:color="auto" w:sz="4" w:space="0"/>
              <w:right w:val="single" w:color="auto" w:sz="4" w:space="0"/>
            </w:tcBorders>
            <w:vAlign w:val="center"/>
          </w:tcPr>
          <w:p w14:paraId="790277C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5672" w:type="dxa"/>
            <w:tcBorders>
              <w:left w:val="single" w:color="auto" w:sz="4" w:space="0"/>
              <w:right w:val="single" w:color="auto" w:sz="4" w:space="0"/>
            </w:tcBorders>
            <w:vAlign w:val="center"/>
          </w:tcPr>
          <w:p w14:paraId="116E164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2ECF3AB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1.适用复苏对象：体重≤10kg的婴儿</w:t>
            </w:r>
          </w:p>
          <w:p w14:paraId="77ED1A5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.工作环境：温度：-1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℃~+50℃；湿度：≤95%</w:t>
            </w:r>
          </w:p>
          <w:p w14:paraId="2138A44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.复苏气体氧浓度：</w:t>
            </w:r>
            <w:r>
              <w:rPr>
                <w:rFonts w:hint="eastAsia" w:ascii="宋体" w:hAnsi="宋体" w:cs="宋体"/>
                <w:color w:val="auto"/>
                <w:sz w:val="21"/>
                <w:szCs w:val="21"/>
                <w:highlight w:val="none"/>
                <w:lang w:val="en-US" w:eastAsia="zh-CN"/>
              </w:rPr>
              <w:t>21%～100%</w:t>
            </w:r>
            <w:r>
              <w:rPr>
                <w:rFonts w:hint="eastAsia" w:ascii="宋体" w:hAnsi="宋体" w:eastAsia="宋体" w:cs="宋体"/>
                <w:color w:val="auto"/>
                <w:sz w:val="21"/>
                <w:szCs w:val="21"/>
                <w:highlight w:val="none"/>
                <w:lang w:val="en-US" w:eastAsia="zh-CN"/>
              </w:rPr>
              <w:t>（依据气源供应氧浓度）</w:t>
            </w:r>
          </w:p>
          <w:p w14:paraId="20A03D5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.复苏气体流量范围：5~15L/min（要求气源可设置该流量范围）</w:t>
            </w:r>
          </w:p>
          <w:p w14:paraId="2AE1653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.总体质量（包含附件）：≤2kg</w:t>
            </w:r>
          </w:p>
          <w:p w14:paraId="5C3424C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.尺寸（mm）：≥190（W）×100（D）×263（H）</w:t>
            </w:r>
          </w:p>
          <w:p w14:paraId="5E9F129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.压力表：量程：-10~80cmH2O；精度：±2%满刻度</w:t>
            </w:r>
          </w:p>
          <w:p w14:paraId="3B4AA2F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.最大安全压力（Pmax）设置范围：在规定气源输入流量范围内，设置范围为：1~60cmH2O；出厂默认40cmH2O</w:t>
            </w:r>
          </w:p>
          <w:p w14:paraId="02C149E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吸气峰压（PIP）设置范围：</w:t>
            </w:r>
          </w:p>
          <w:p w14:paraId="0EA909A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当流量为5L/min时，1~57cmH2O；</w:t>
            </w:r>
          </w:p>
          <w:p w14:paraId="417B5B2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当流量为8L/min时，2~58cmH2O；</w:t>
            </w:r>
          </w:p>
          <w:p w14:paraId="31C15C8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当流量为10L/min时，3~59cmH2O；</w:t>
            </w:r>
          </w:p>
          <w:p w14:paraId="692D0CD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当流量为15L/min时，5~60cmH2O</w:t>
            </w:r>
          </w:p>
          <w:p w14:paraId="23A4BF9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.呼气末正压（PEEP）设置范围：</w:t>
            </w:r>
          </w:p>
          <w:p w14:paraId="0F8F435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当流量为5L/min时，0~8cmH2O；</w:t>
            </w:r>
          </w:p>
          <w:p w14:paraId="39A592D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当流量为8L/min时，0.2~17cmH2O；</w:t>
            </w:r>
          </w:p>
          <w:p w14:paraId="30F4ADA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当流量为10L/min时，0.5~23cmH2O；</w:t>
            </w:r>
          </w:p>
          <w:p w14:paraId="7C87944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当流量为15L/min时，1~28cmH2O</w:t>
            </w:r>
          </w:p>
          <w:p w14:paraId="51F32AC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.工作适用时间（400L，50%空氧混合压缩气体）：</w:t>
            </w:r>
          </w:p>
          <w:p w14:paraId="7072351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当流量为5L/min时，75min；</w:t>
            </w:r>
          </w:p>
          <w:p w14:paraId="147414E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当流量为10L/min时，38min；</w:t>
            </w:r>
          </w:p>
          <w:p w14:paraId="6AB9046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当流量为15L/min时，26min</w:t>
            </w:r>
          </w:p>
          <w:p w14:paraId="173C8E7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二、配置需求：</w:t>
            </w:r>
          </w:p>
          <w:p w14:paraId="1723591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1.复苏器一套</w:t>
            </w:r>
          </w:p>
          <w:p w14:paraId="5687B68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2.说明书一份</w:t>
            </w:r>
          </w:p>
        </w:tc>
        <w:tc>
          <w:tcPr>
            <w:tcW w:w="1100" w:type="dxa"/>
            <w:tcBorders>
              <w:left w:val="single" w:color="auto" w:sz="4" w:space="0"/>
            </w:tcBorders>
            <w:shd w:val="clear" w:color="auto" w:fill="auto"/>
            <w:vAlign w:val="center"/>
          </w:tcPr>
          <w:p w14:paraId="377A094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w:t>
            </w:r>
          </w:p>
        </w:tc>
      </w:tr>
      <w:tr w14:paraId="249F4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9217" w:type="dxa"/>
            <w:gridSpan w:val="7"/>
            <w:vAlign w:val="center"/>
          </w:tcPr>
          <w:p w14:paraId="2A55DE1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color w:val="auto"/>
                <w:sz w:val="21"/>
                <w:szCs w:val="21"/>
                <w:highlight w:val="none"/>
                <w:lang w:val="en-US" w:eastAsia="zh-CN"/>
              </w:rPr>
              <w:t>预防保健科</w:t>
            </w:r>
          </w:p>
        </w:tc>
      </w:tr>
      <w:tr w14:paraId="7E16C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2B697585">
            <w:pPr>
              <w:numPr>
                <w:ilvl w:val="0"/>
                <w:numId w:val="5"/>
              </w:numPr>
              <w:snapToGrid w:val="0"/>
              <w:spacing w:line="360" w:lineRule="auto"/>
              <w:jc w:val="center"/>
              <w:rPr>
                <w:rFonts w:hint="eastAsia" w:ascii="宋体" w:hAnsi="宋体" w:eastAsia="宋体" w:cs="宋体"/>
                <w:color w:val="auto"/>
                <w:sz w:val="21"/>
                <w:szCs w:val="21"/>
                <w:highlight w:val="none"/>
              </w:rPr>
            </w:pPr>
          </w:p>
        </w:tc>
        <w:tc>
          <w:tcPr>
            <w:tcW w:w="900" w:type="dxa"/>
            <w:shd w:val="clear" w:color="auto" w:fill="auto"/>
            <w:vAlign w:val="center"/>
          </w:tcPr>
          <w:p w14:paraId="6FE2081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中药熏蒸机</w:t>
            </w:r>
          </w:p>
        </w:tc>
        <w:tc>
          <w:tcPr>
            <w:tcW w:w="485" w:type="dxa"/>
            <w:gridSpan w:val="2"/>
            <w:tcBorders>
              <w:right w:val="single" w:color="auto" w:sz="4" w:space="0"/>
            </w:tcBorders>
            <w:shd w:val="clear" w:color="auto" w:fill="auto"/>
            <w:vAlign w:val="center"/>
          </w:tcPr>
          <w:p w14:paraId="207DBF1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493" w:type="dxa"/>
            <w:tcBorders>
              <w:left w:val="single" w:color="auto" w:sz="4" w:space="0"/>
              <w:right w:val="single" w:color="auto" w:sz="4" w:space="0"/>
            </w:tcBorders>
            <w:vAlign w:val="center"/>
          </w:tcPr>
          <w:p w14:paraId="2B2EDAF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5672" w:type="dxa"/>
            <w:tcBorders>
              <w:left w:val="single" w:color="auto" w:sz="4" w:space="0"/>
              <w:right w:val="single" w:color="auto" w:sz="4" w:space="0"/>
            </w:tcBorders>
            <w:vAlign w:val="center"/>
          </w:tcPr>
          <w:p w14:paraId="252A7DB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49ACB2C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1.额定功率</w:t>
            </w:r>
            <w:r>
              <w:rPr>
                <w:rFonts w:ascii="Times New Roman" w:hAnsi="Times New Roman" w:eastAsia="宋体" w:cs="Times New Roman"/>
                <w:color w:val="auto"/>
                <w:highlight w:val="none"/>
              </w:rPr>
              <w:t>：</w:t>
            </w:r>
            <w:r>
              <w:rPr>
                <w:rFonts w:hint="eastAsia" w:ascii="宋体" w:hAnsi="宋体" w:eastAsia="宋体" w:cs="宋体"/>
                <w:color w:val="auto"/>
                <w:sz w:val="21"/>
                <w:szCs w:val="21"/>
                <w:highlight w:val="none"/>
                <w:lang w:val="en-US" w:eastAsia="zh-CN"/>
              </w:rPr>
              <w:t>≥2600W；输入电压</w:t>
            </w:r>
            <w:r>
              <w:rPr>
                <w:rFonts w:ascii="Times New Roman" w:hAnsi="Times New Roman" w:eastAsia="宋体" w:cs="Times New Roman"/>
                <w:color w:val="auto"/>
                <w:highlight w:val="none"/>
              </w:rPr>
              <w:t>：</w:t>
            </w:r>
            <w:r>
              <w:rPr>
                <w:rFonts w:hint="eastAsia" w:ascii="宋体" w:hAnsi="宋体" w:eastAsia="宋体" w:cs="宋体"/>
                <w:color w:val="auto"/>
                <w:sz w:val="21"/>
                <w:szCs w:val="21"/>
                <w:highlight w:val="none"/>
                <w:lang w:val="en-US" w:eastAsia="zh-CN"/>
              </w:rPr>
              <w:t>AC220V±22V，≥50Hz±1Hz；</w:t>
            </w:r>
          </w:p>
          <w:p w14:paraId="3A737AC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2.机器</w:t>
            </w:r>
            <w:r>
              <w:rPr>
                <w:rFonts w:hint="eastAsia" w:ascii="宋体" w:hAnsi="宋体" w:cs="宋体"/>
                <w:color w:val="auto"/>
                <w:sz w:val="21"/>
                <w:szCs w:val="21"/>
                <w:highlight w:val="none"/>
                <w:lang w:val="en-US" w:eastAsia="zh-CN"/>
              </w:rPr>
              <w:t>外形尺寸</w:t>
            </w:r>
            <w:r>
              <w:rPr>
                <w:rFonts w:ascii="Times New Roman" w:hAnsi="Times New Roman" w:eastAsia="宋体" w:cs="Times New Roman"/>
                <w:color w:val="auto"/>
                <w:highlight w:val="none"/>
              </w:rPr>
              <w:t>：</w:t>
            </w:r>
            <w:r>
              <w:rPr>
                <w:rFonts w:hint="eastAsia" w:ascii="宋体" w:hAnsi="宋体" w:eastAsia="宋体" w:cs="宋体"/>
                <w:color w:val="auto"/>
                <w:sz w:val="21"/>
                <w:szCs w:val="21"/>
                <w:highlight w:val="none"/>
                <w:lang w:val="en-US" w:eastAsia="zh-CN"/>
              </w:rPr>
              <w:t>≥600*800*1000mm；</w:t>
            </w:r>
          </w:p>
          <w:p w14:paraId="6121249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3.单锅体最大加液量:3L；</w:t>
            </w:r>
          </w:p>
          <w:p w14:paraId="2467B03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4.单锅体容积≥ 5L；</w:t>
            </w:r>
          </w:p>
          <w:p w14:paraId="0D84238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5.3L水加热时间</w:t>
            </w:r>
            <w:r>
              <w:rPr>
                <w:rFonts w:ascii="Times New Roman" w:hAnsi="Times New Roman" w:eastAsia="宋体" w:cs="Times New Roman"/>
                <w:color w:val="auto"/>
                <w:highlight w:val="none"/>
              </w:rPr>
              <w:t>：</w:t>
            </w:r>
            <w:r>
              <w:rPr>
                <w:rFonts w:hint="eastAsia" w:ascii="宋体" w:hAnsi="宋体" w:eastAsia="宋体" w:cs="宋体"/>
                <w:color w:val="auto"/>
                <w:sz w:val="21"/>
                <w:szCs w:val="21"/>
                <w:highlight w:val="none"/>
                <w:lang w:val="en-US" w:eastAsia="zh-CN"/>
              </w:rPr>
              <w:t>≤15分钟；</w:t>
            </w:r>
          </w:p>
          <w:p w14:paraId="637F6D7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6.供气压力</w:t>
            </w:r>
            <w:r>
              <w:rPr>
                <w:rFonts w:ascii="Times New Roman" w:hAnsi="Times New Roman" w:eastAsia="宋体" w:cs="Times New Roman"/>
                <w:color w:val="auto"/>
                <w:highlight w:val="none"/>
              </w:rPr>
              <w:t>：</w:t>
            </w:r>
            <w:r>
              <w:rPr>
                <w:rFonts w:hint="eastAsia" w:ascii="宋体" w:hAnsi="宋体" w:eastAsia="宋体" w:cs="宋体"/>
                <w:color w:val="auto"/>
                <w:sz w:val="21"/>
                <w:szCs w:val="21"/>
                <w:highlight w:val="none"/>
                <w:lang w:val="en-US" w:eastAsia="zh-CN"/>
              </w:rPr>
              <w:t>0-30MP可调；</w:t>
            </w:r>
          </w:p>
          <w:p w14:paraId="273EFB5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7.电脑操作台离地面高度</w:t>
            </w:r>
            <w:r>
              <w:rPr>
                <w:rFonts w:ascii="Times New Roman" w:hAnsi="Times New Roman" w:eastAsia="宋体" w:cs="Times New Roman"/>
                <w:color w:val="auto"/>
                <w:highlight w:val="none"/>
              </w:rPr>
              <w:t>：</w:t>
            </w:r>
            <w:r>
              <w:rPr>
                <w:rFonts w:hint="eastAsia" w:ascii="宋体" w:hAnsi="宋体" w:eastAsia="宋体" w:cs="宋体"/>
                <w:color w:val="auto"/>
                <w:sz w:val="21"/>
                <w:szCs w:val="21"/>
                <w:highlight w:val="none"/>
                <w:lang w:val="en-US" w:eastAsia="zh-CN"/>
              </w:rPr>
              <w:t>900mm±5mm；</w:t>
            </w:r>
          </w:p>
          <w:p w14:paraId="13B57B3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8.喷头旋转方向角度</w:t>
            </w:r>
            <w:r>
              <w:rPr>
                <w:rFonts w:ascii="Times New Roman" w:hAnsi="Times New Roman" w:eastAsia="宋体" w:cs="Times New Roman"/>
                <w:color w:val="auto"/>
                <w:highlight w:val="none"/>
              </w:rPr>
              <w:t>：</w:t>
            </w:r>
            <w:r>
              <w:rPr>
                <w:rFonts w:hint="eastAsia" w:ascii="宋体" w:hAnsi="宋体" w:eastAsia="宋体" w:cs="宋体"/>
                <w:color w:val="auto"/>
                <w:sz w:val="21"/>
                <w:szCs w:val="21"/>
                <w:highlight w:val="none"/>
                <w:lang w:val="en-US" w:eastAsia="zh-CN"/>
              </w:rPr>
              <w:t>0-180°；</w:t>
            </w:r>
          </w:p>
          <w:p w14:paraId="36C5DC9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9.喷头纵向调节角度</w:t>
            </w:r>
            <w:r>
              <w:rPr>
                <w:rFonts w:ascii="Times New Roman" w:hAnsi="Times New Roman" w:eastAsia="宋体" w:cs="Times New Roman"/>
                <w:color w:val="auto"/>
                <w:highlight w:val="none"/>
              </w:rPr>
              <w:t>：</w:t>
            </w:r>
            <w:r>
              <w:rPr>
                <w:rFonts w:hint="eastAsia" w:ascii="宋体" w:hAnsi="宋体" w:eastAsia="宋体" w:cs="宋体"/>
                <w:color w:val="auto"/>
                <w:sz w:val="21"/>
                <w:szCs w:val="21"/>
                <w:highlight w:val="none"/>
                <w:lang w:val="en-US" w:eastAsia="zh-CN"/>
              </w:rPr>
              <w:t>0-160°</w:t>
            </w:r>
          </w:p>
          <w:p w14:paraId="2FF0E1E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10.喷杆横向调节角度</w:t>
            </w:r>
            <w:r>
              <w:rPr>
                <w:rFonts w:ascii="Times New Roman" w:hAnsi="Times New Roman" w:eastAsia="宋体" w:cs="Times New Roman"/>
                <w:color w:val="auto"/>
                <w:highlight w:val="none"/>
              </w:rPr>
              <w:t>：</w:t>
            </w:r>
            <w:r>
              <w:rPr>
                <w:rFonts w:hint="eastAsia" w:ascii="宋体" w:hAnsi="宋体" w:eastAsia="宋体" w:cs="宋体"/>
                <w:color w:val="auto"/>
                <w:sz w:val="21"/>
                <w:szCs w:val="21"/>
                <w:highlight w:val="none"/>
                <w:lang w:val="en-US" w:eastAsia="zh-CN"/>
              </w:rPr>
              <w:t>0-110°；</w:t>
            </w:r>
          </w:p>
          <w:p w14:paraId="3509AB6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11.工作时间</w:t>
            </w:r>
            <w:r>
              <w:rPr>
                <w:rFonts w:ascii="Times New Roman" w:hAnsi="Times New Roman" w:eastAsia="宋体" w:cs="Times New Roman"/>
                <w:color w:val="auto"/>
                <w:highlight w:val="none"/>
              </w:rPr>
              <w:t>：</w:t>
            </w:r>
            <w:r>
              <w:rPr>
                <w:rFonts w:hint="eastAsia" w:ascii="宋体" w:hAnsi="宋体" w:eastAsia="宋体" w:cs="宋体"/>
                <w:color w:val="auto"/>
                <w:sz w:val="21"/>
                <w:szCs w:val="21"/>
                <w:highlight w:val="none"/>
                <w:lang w:val="en-US" w:eastAsia="zh-CN"/>
              </w:rPr>
              <w:t>0-99min；</w:t>
            </w:r>
          </w:p>
          <w:p w14:paraId="32E987B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12.预热设定温度为</w:t>
            </w:r>
            <w:r>
              <w:rPr>
                <w:rFonts w:ascii="Times New Roman" w:hAnsi="Times New Roman" w:eastAsia="宋体" w:cs="Times New Roman"/>
                <w:color w:val="auto"/>
                <w:highlight w:val="none"/>
              </w:rPr>
              <w:t>：</w:t>
            </w:r>
            <w:r>
              <w:rPr>
                <w:rFonts w:hint="eastAsia" w:ascii="宋体" w:hAnsi="宋体" w:eastAsia="宋体" w:cs="宋体"/>
                <w:color w:val="auto"/>
                <w:sz w:val="21"/>
                <w:szCs w:val="21"/>
                <w:highlight w:val="none"/>
                <w:lang w:val="en-US" w:eastAsia="zh-CN"/>
              </w:rPr>
              <w:t>0~130℃；</w:t>
            </w:r>
          </w:p>
          <w:p w14:paraId="49A8305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13.工作制</w:t>
            </w:r>
            <w:r>
              <w:rPr>
                <w:rFonts w:ascii="Times New Roman" w:hAnsi="Times New Roman" w:eastAsia="宋体" w:cs="Times New Roman"/>
                <w:color w:val="auto"/>
                <w:highlight w:val="none"/>
              </w:rPr>
              <w:t>：</w:t>
            </w:r>
            <w:r>
              <w:rPr>
                <w:rFonts w:hint="eastAsia" w:ascii="宋体" w:hAnsi="宋体" w:eastAsia="宋体" w:cs="宋体"/>
                <w:color w:val="auto"/>
                <w:sz w:val="21"/>
                <w:szCs w:val="21"/>
                <w:highlight w:val="none"/>
                <w:lang w:val="en-US" w:eastAsia="zh-CN"/>
              </w:rPr>
              <w:t>间歇；</w:t>
            </w:r>
          </w:p>
          <w:p w14:paraId="32F1EC5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14.具测温技术实时监控温度；</w:t>
            </w:r>
          </w:p>
          <w:p w14:paraId="623A9C9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15.微电脑控制操作系统；</w:t>
            </w:r>
          </w:p>
          <w:p w14:paraId="6F379B5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16.专门配备蒸汽回流水装置；</w:t>
            </w:r>
          </w:p>
          <w:p w14:paraId="396BB70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17.温度设定控制范围根据加热功率分100</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1300W，20档可调【多种工作模式可任意设定</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即常规模式、强模式和弱模式等</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p>
          <w:p w14:paraId="5EE958A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18.具有自动漏电保护，压力过大保护，自动防干烧功能；</w:t>
            </w:r>
          </w:p>
          <w:p w14:paraId="718A2A5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 8寸液晶触摸显示屏操作；</w:t>
            </w:r>
          </w:p>
          <w:p w14:paraId="2194175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20.通道数</w:t>
            </w:r>
            <w:r>
              <w:rPr>
                <w:rFonts w:ascii="Times New Roman" w:hAnsi="Times New Roman" w:eastAsia="宋体" w:cs="Times New Roman"/>
                <w:color w:val="auto"/>
                <w:highlight w:val="none"/>
              </w:rPr>
              <w:t>：</w:t>
            </w:r>
            <w:r>
              <w:rPr>
                <w:rFonts w:hint="eastAsia" w:ascii="宋体" w:hAnsi="宋体" w:eastAsia="宋体" w:cs="宋体"/>
                <w:color w:val="auto"/>
                <w:sz w:val="21"/>
                <w:szCs w:val="21"/>
                <w:highlight w:val="none"/>
                <w:lang w:val="en-US" w:eastAsia="zh-CN"/>
              </w:rPr>
              <w:t>双通道(</w:t>
            </w:r>
            <w:r>
              <w:rPr>
                <w:rFonts w:hint="eastAsia" w:ascii="宋体" w:hAnsi="宋体" w:cs="宋体"/>
                <w:color w:val="auto"/>
                <w:sz w:val="21"/>
                <w:szCs w:val="21"/>
                <w:highlight w:val="none"/>
                <w:lang w:val="en-US" w:eastAsia="zh-CN"/>
              </w:rPr>
              <w:t>两个</w:t>
            </w:r>
            <w:r>
              <w:rPr>
                <w:rFonts w:hint="eastAsia" w:ascii="宋体" w:hAnsi="宋体" w:eastAsia="宋体" w:cs="宋体"/>
                <w:color w:val="auto"/>
                <w:sz w:val="21"/>
                <w:szCs w:val="21"/>
                <w:highlight w:val="none"/>
                <w:lang w:val="en-US" w:eastAsia="zh-CN"/>
              </w:rPr>
              <w:t>喷头可独立控制可两个部位或两个病人同时做治疗，两套控制系统同时使用），两个独立的熏蒸容器，并在熏蒸容器内设置具有过滤功能的蒸汽输出装置，防止药渣进入，堵塞蒸汽管道；蒸汽输出装置可拆卸。</w:t>
            </w:r>
          </w:p>
          <w:p w14:paraId="02F00A9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21.采用蒸汽发生器和汽水分离器双容器技术；</w:t>
            </w:r>
          </w:p>
          <w:p w14:paraId="2C03EDD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22.治疗锁屏模式防</w:t>
            </w:r>
            <w:r>
              <w:rPr>
                <w:rFonts w:hint="eastAsia" w:ascii="宋体" w:hAnsi="宋体" w:cs="宋体"/>
                <w:color w:val="auto"/>
                <w:sz w:val="21"/>
                <w:szCs w:val="21"/>
                <w:highlight w:val="none"/>
                <w:lang w:val="en-US" w:eastAsia="zh-CN"/>
              </w:rPr>
              <w:t>止</w:t>
            </w:r>
            <w:r>
              <w:rPr>
                <w:rFonts w:hint="eastAsia" w:ascii="宋体" w:hAnsi="宋体" w:eastAsia="宋体" w:cs="宋体"/>
                <w:color w:val="auto"/>
                <w:sz w:val="21"/>
                <w:szCs w:val="21"/>
                <w:highlight w:val="none"/>
                <w:lang w:val="en-US" w:eastAsia="zh-CN"/>
              </w:rPr>
              <w:t>误操作；</w:t>
            </w:r>
          </w:p>
          <w:p w14:paraId="21FD5C0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23.恒压式喷气形式，具有三维立体喷头旋转方向，</w:t>
            </w:r>
          </w:p>
          <w:p w14:paraId="5541726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24.治疗过程中具有语音播报功能(预热开始、预热结束、请添加药液等；</w:t>
            </w:r>
          </w:p>
          <w:p w14:paraId="5F59FCA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25.喷头配有嵌入式吸水海绵隔离罩，吸附多余水珠。</w:t>
            </w:r>
          </w:p>
          <w:p w14:paraId="710002A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26.配备自动、手动两种排液方式，互不干扰。</w:t>
            </w:r>
          </w:p>
          <w:p w14:paraId="073D475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二、每台配置需求：</w:t>
            </w:r>
          </w:p>
          <w:p w14:paraId="3DBA6D5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1.主机1台</w:t>
            </w:r>
          </w:p>
          <w:p w14:paraId="25BCAF7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2.量杯1个</w:t>
            </w:r>
          </w:p>
          <w:p w14:paraId="635D415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3.说明书一份</w:t>
            </w:r>
          </w:p>
          <w:p w14:paraId="0B21741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4.合格证1份</w:t>
            </w:r>
          </w:p>
          <w:p w14:paraId="7BC445D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5.保修卡1份</w:t>
            </w:r>
          </w:p>
        </w:tc>
        <w:tc>
          <w:tcPr>
            <w:tcW w:w="1100" w:type="dxa"/>
            <w:tcBorders>
              <w:left w:val="single" w:color="auto" w:sz="4" w:space="0"/>
            </w:tcBorders>
            <w:shd w:val="clear" w:color="auto" w:fill="auto"/>
            <w:vAlign w:val="center"/>
          </w:tcPr>
          <w:p w14:paraId="4C501FA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w:t>
            </w:r>
          </w:p>
        </w:tc>
      </w:tr>
      <w:tr w14:paraId="57520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4781691F">
            <w:pPr>
              <w:numPr>
                <w:ilvl w:val="0"/>
                <w:numId w:val="5"/>
              </w:numPr>
              <w:snapToGrid w:val="0"/>
              <w:spacing w:line="360" w:lineRule="auto"/>
              <w:jc w:val="center"/>
              <w:rPr>
                <w:rFonts w:hint="eastAsia" w:ascii="宋体" w:hAnsi="宋体" w:eastAsia="宋体" w:cs="宋体"/>
                <w:color w:val="auto"/>
                <w:sz w:val="21"/>
                <w:szCs w:val="21"/>
                <w:highlight w:val="none"/>
              </w:rPr>
            </w:pPr>
          </w:p>
        </w:tc>
        <w:tc>
          <w:tcPr>
            <w:tcW w:w="900" w:type="dxa"/>
            <w:shd w:val="clear" w:color="auto" w:fill="auto"/>
            <w:vAlign w:val="center"/>
          </w:tcPr>
          <w:p w14:paraId="4FAF75E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中药泡洗仪（水疗药浴机）</w:t>
            </w:r>
          </w:p>
        </w:tc>
        <w:tc>
          <w:tcPr>
            <w:tcW w:w="485" w:type="dxa"/>
            <w:gridSpan w:val="2"/>
            <w:tcBorders>
              <w:right w:val="single" w:color="auto" w:sz="4" w:space="0"/>
            </w:tcBorders>
            <w:shd w:val="clear" w:color="auto" w:fill="auto"/>
            <w:vAlign w:val="center"/>
          </w:tcPr>
          <w:p w14:paraId="71CF73F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493" w:type="dxa"/>
            <w:tcBorders>
              <w:left w:val="single" w:color="auto" w:sz="4" w:space="0"/>
              <w:right w:val="single" w:color="auto" w:sz="4" w:space="0"/>
            </w:tcBorders>
            <w:vAlign w:val="center"/>
          </w:tcPr>
          <w:p w14:paraId="33A168B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5672" w:type="dxa"/>
            <w:tcBorders>
              <w:left w:val="single" w:color="auto" w:sz="4" w:space="0"/>
              <w:right w:val="single" w:color="auto" w:sz="4" w:space="0"/>
            </w:tcBorders>
            <w:vAlign w:val="center"/>
          </w:tcPr>
          <w:p w14:paraId="6C1EFF5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12DD53D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1.使用电压：AC220V（±10%） </w:t>
            </w:r>
          </w:p>
          <w:p w14:paraId="7EC9930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2.功率：≥1500W</w:t>
            </w:r>
          </w:p>
          <w:p w14:paraId="0555BAA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3.频率：≥50Hz</w:t>
            </w:r>
          </w:p>
          <w:p w14:paraId="1CFFF7D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4.规格：≥185×75×85cm </w:t>
            </w:r>
          </w:p>
          <w:p w14:paraId="1221F63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5.温度刺激作用：改善、提升人体体温的调节能力；</w:t>
            </w:r>
          </w:p>
          <w:p w14:paraId="508555D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5.1.机械作用：静水压力作用、水流冲击作用、浮力作用；</w:t>
            </w:r>
          </w:p>
          <w:p w14:paraId="6E3124E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5.2.自备过滤功能，通过水循环过滤水中杂质；</w:t>
            </w:r>
          </w:p>
          <w:p w14:paraId="00F823C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5.3.臭氧消毒功能，防止细菌交叉感染；</w:t>
            </w:r>
          </w:p>
          <w:p w14:paraId="3A368FF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5.4.恒温功能，保持水温恒定，根据实际情况对水温和按摩时间自由设定；</w:t>
            </w:r>
          </w:p>
          <w:p w14:paraId="3F23FD2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5.5.多个水下气泡喷口，水喷射及喷口气泡可根据需要调节大小；</w:t>
            </w:r>
          </w:p>
          <w:p w14:paraId="7F3FAED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5.6.红外理疗灯，打造温馨舒适护理环境；</w:t>
            </w:r>
          </w:p>
          <w:p w14:paraId="5C77992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5.7.六个水下喷射流；</w:t>
            </w:r>
          </w:p>
          <w:p w14:paraId="51CE247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二、每台配置需求：</w:t>
            </w:r>
          </w:p>
          <w:p w14:paraId="0D5CD73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1.整机1套</w:t>
            </w:r>
          </w:p>
          <w:p w14:paraId="22FAFA8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2.说明书1份</w:t>
            </w:r>
          </w:p>
          <w:p w14:paraId="77DC82C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3.配件1套（电源线、转换插头）</w:t>
            </w:r>
          </w:p>
        </w:tc>
        <w:tc>
          <w:tcPr>
            <w:tcW w:w="1100" w:type="dxa"/>
            <w:tcBorders>
              <w:left w:val="single" w:color="auto" w:sz="4" w:space="0"/>
            </w:tcBorders>
            <w:shd w:val="clear" w:color="auto" w:fill="auto"/>
            <w:vAlign w:val="center"/>
          </w:tcPr>
          <w:p w14:paraId="4D9EED2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2.72</w:t>
            </w:r>
          </w:p>
        </w:tc>
      </w:tr>
      <w:tr w14:paraId="1A7CB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31BB154B">
            <w:pPr>
              <w:numPr>
                <w:ilvl w:val="0"/>
                <w:numId w:val="5"/>
              </w:numPr>
              <w:snapToGrid w:val="0"/>
              <w:spacing w:line="360" w:lineRule="auto"/>
              <w:jc w:val="center"/>
              <w:rPr>
                <w:rFonts w:hint="eastAsia" w:ascii="宋体" w:hAnsi="宋体" w:eastAsia="宋体" w:cs="宋体"/>
                <w:color w:val="auto"/>
                <w:sz w:val="21"/>
                <w:szCs w:val="21"/>
                <w:highlight w:val="none"/>
              </w:rPr>
            </w:pPr>
          </w:p>
        </w:tc>
        <w:tc>
          <w:tcPr>
            <w:tcW w:w="900" w:type="dxa"/>
            <w:shd w:val="clear" w:color="auto" w:fill="auto"/>
            <w:vAlign w:val="center"/>
          </w:tcPr>
          <w:p w14:paraId="7033563D">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中医体质辨别系统（舌脉相、经穴、体质辨识采集分析仪）</w:t>
            </w:r>
          </w:p>
        </w:tc>
        <w:tc>
          <w:tcPr>
            <w:tcW w:w="485" w:type="dxa"/>
            <w:gridSpan w:val="2"/>
            <w:tcBorders>
              <w:right w:val="single" w:color="auto" w:sz="4" w:space="0"/>
            </w:tcBorders>
            <w:shd w:val="clear" w:color="auto" w:fill="auto"/>
            <w:vAlign w:val="center"/>
          </w:tcPr>
          <w:p w14:paraId="0F17131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93" w:type="dxa"/>
            <w:tcBorders>
              <w:left w:val="single" w:color="auto" w:sz="4" w:space="0"/>
              <w:right w:val="single" w:color="auto" w:sz="4" w:space="0"/>
            </w:tcBorders>
            <w:vAlign w:val="center"/>
          </w:tcPr>
          <w:p w14:paraId="29623C5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5672" w:type="dxa"/>
            <w:tcBorders>
              <w:left w:val="single" w:color="auto" w:sz="4" w:space="0"/>
              <w:right w:val="single" w:color="auto" w:sz="4" w:space="0"/>
            </w:tcBorders>
            <w:vAlign w:val="center"/>
          </w:tcPr>
          <w:p w14:paraId="3DFC032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355E1D3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1.安全类别：Ⅰ类BF型；</w:t>
            </w:r>
          </w:p>
          <w:p w14:paraId="0317F3B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2.主机功率： &lt;300W；</w:t>
            </w:r>
          </w:p>
          <w:p w14:paraId="69FB0ED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▲3.可辨别体质数量：≥9种；</w:t>
            </w:r>
          </w:p>
          <w:p w14:paraId="2B0C121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4.体质测试题数量：33题及66题两种；</w:t>
            </w:r>
          </w:p>
          <w:p w14:paraId="5FE7B02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▲5.具备儿童版体质、成人版体质、老年版体质、孕妇版体质、五态人格分析五个模块（需提供证明资料）；</w:t>
            </w:r>
          </w:p>
          <w:p w14:paraId="1E4FC9D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6.客户信息统计按年龄、体质分类，更具科学性、系统性，为基层医疗机构进行健康管理、疾病防控提供有效支持；</w:t>
            </w:r>
          </w:p>
          <w:p w14:paraId="3C4C67F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7.问诊符合中华中医药学会标准ZYYXH/T 157--2009《中医体质分类与判定》的要求；</w:t>
            </w:r>
          </w:p>
          <w:p w14:paraId="144A818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8.为临床判断中医体质分类的标准化工具；</w:t>
            </w:r>
          </w:p>
          <w:p w14:paraId="0A20D4B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9.中医健康档案客观化采集与数字化存储，可建立电子个人健康档案，进行长期中医健康管理服务，通过问诊模块的人机交互，软件自动分析，给出体质辨识分析结果。</w:t>
            </w:r>
          </w:p>
          <w:p w14:paraId="2D026A7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10.得出检测者体质类型、体质特征、发病倾向、环境适应力等。</w:t>
            </w:r>
          </w:p>
          <w:p w14:paraId="329E700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r>
              <w:rPr>
                <w:rFonts w:hint="eastAsia" w:ascii="宋体" w:hAnsi="宋体" w:cs="宋体"/>
                <w:color w:val="auto"/>
                <w:sz w:val="21"/>
                <w:szCs w:val="21"/>
                <w:highlight w:val="none"/>
                <w:lang w:val="en-US" w:eastAsia="zh-CN"/>
              </w:rPr>
              <w:t>提</w:t>
            </w:r>
            <w:r>
              <w:rPr>
                <w:rFonts w:hint="eastAsia" w:ascii="宋体" w:hAnsi="宋体" w:eastAsia="宋体" w:cs="宋体"/>
                <w:color w:val="auto"/>
                <w:sz w:val="21"/>
                <w:szCs w:val="21"/>
                <w:highlight w:val="none"/>
                <w:lang w:val="en-US" w:eastAsia="zh-CN"/>
              </w:rPr>
              <w:t>供个性化养生调理方案及健康养生，四季养生指导建议。</w:t>
            </w:r>
          </w:p>
          <w:p w14:paraId="2949FC7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12.具备升级预留端口（支持升级舌面象诊断、脉象诊断、经穴诊断）</w:t>
            </w:r>
          </w:p>
          <w:p w14:paraId="20F5E6E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13.根据9大体质详细划分得到不少于84种体质分型，根据细化的体质分型进行判断。</w:t>
            </w:r>
          </w:p>
          <w:p w14:paraId="3F930AB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二、配置需求：</w:t>
            </w:r>
          </w:p>
          <w:p w14:paraId="10926BB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1.可移动操作台一套</w:t>
            </w:r>
          </w:p>
          <w:p w14:paraId="60E6275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2.主机 一套</w:t>
            </w:r>
          </w:p>
          <w:p w14:paraId="2D42CEE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3.键盘鼠标 一套</w:t>
            </w:r>
          </w:p>
          <w:p w14:paraId="7FA6522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4.五模块体质辨识系统一套</w:t>
            </w:r>
          </w:p>
          <w:p w14:paraId="263F06D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5.激光黑白</w:t>
            </w:r>
            <w:r>
              <w:rPr>
                <w:rFonts w:hint="eastAsia" w:ascii="宋体" w:hAnsi="宋体" w:cs="宋体"/>
                <w:color w:val="auto"/>
                <w:sz w:val="21"/>
                <w:szCs w:val="21"/>
                <w:highlight w:val="none"/>
                <w:lang w:val="en-US" w:eastAsia="zh-CN"/>
              </w:rPr>
              <w:t>输出装置</w:t>
            </w:r>
            <w:r>
              <w:rPr>
                <w:rFonts w:hint="eastAsia" w:ascii="宋体" w:hAnsi="宋体" w:eastAsia="宋体" w:cs="宋体"/>
                <w:color w:val="auto"/>
                <w:sz w:val="21"/>
                <w:szCs w:val="21"/>
                <w:highlight w:val="none"/>
                <w:lang w:val="en-US" w:eastAsia="zh-CN"/>
              </w:rPr>
              <w:t>一台</w:t>
            </w:r>
          </w:p>
        </w:tc>
        <w:tc>
          <w:tcPr>
            <w:tcW w:w="1100" w:type="dxa"/>
            <w:tcBorders>
              <w:left w:val="single" w:color="auto" w:sz="4" w:space="0"/>
            </w:tcBorders>
            <w:shd w:val="clear" w:color="auto" w:fill="auto"/>
            <w:vAlign w:val="center"/>
          </w:tcPr>
          <w:p w14:paraId="74C74CE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6.5</w:t>
            </w:r>
          </w:p>
        </w:tc>
      </w:tr>
      <w:tr w14:paraId="2C24C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50A32BF3">
            <w:pPr>
              <w:numPr>
                <w:ilvl w:val="0"/>
                <w:numId w:val="5"/>
              </w:numPr>
              <w:snapToGrid w:val="0"/>
              <w:spacing w:line="360" w:lineRule="auto"/>
              <w:jc w:val="center"/>
              <w:rPr>
                <w:rFonts w:hint="eastAsia" w:ascii="宋体" w:hAnsi="宋体" w:eastAsia="宋体" w:cs="宋体"/>
                <w:color w:val="auto"/>
                <w:sz w:val="21"/>
                <w:szCs w:val="21"/>
                <w:highlight w:val="none"/>
              </w:rPr>
            </w:pPr>
          </w:p>
        </w:tc>
        <w:tc>
          <w:tcPr>
            <w:tcW w:w="900" w:type="dxa"/>
            <w:shd w:val="clear" w:color="auto" w:fill="auto"/>
            <w:vAlign w:val="center"/>
          </w:tcPr>
          <w:p w14:paraId="793ED4B8">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中医四诊仪（舌脉相、经穴、体质辨识采集分析仪）</w:t>
            </w:r>
          </w:p>
        </w:tc>
        <w:tc>
          <w:tcPr>
            <w:tcW w:w="485" w:type="dxa"/>
            <w:gridSpan w:val="2"/>
            <w:tcBorders>
              <w:right w:val="single" w:color="auto" w:sz="4" w:space="0"/>
            </w:tcBorders>
            <w:shd w:val="clear" w:color="auto" w:fill="auto"/>
            <w:vAlign w:val="center"/>
          </w:tcPr>
          <w:p w14:paraId="0919E06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93" w:type="dxa"/>
            <w:tcBorders>
              <w:left w:val="single" w:color="auto" w:sz="4" w:space="0"/>
              <w:right w:val="single" w:color="auto" w:sz="4" w:space="0"/>
            </w:tcBorders>
            <w:vAlign w:val="center"/>
          </w:tcPr>
          <w:p w14:paraId="339375B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5672" w:type="dxa"/>
            <w:tcBorders>
              <w:left w:val="single" w:color="auto" w:sz="4" w:space="0"/>
              <w:right w:val="single" w:color="auto" w:sz="4" w:space="0"/>
            </w:tcBorders>
            <w:vAlign w:val="center"/>
          </w:tcPr>
          <w:p w14:paraId="28B95FD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2F3B88C7">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基本要求</w:t>
            </w:r>
          </w:p>
          <w:p w14:paraId="3D1EB50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1.1.具备进行舌（面）象检测，脉象检测，经穴检测、体质辨识分析，智能AI问诊功能。</w:t>
            </w:r>
          </w:p>
          <w:p w14:paraId="3715C62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r>
              <w:rPr>
                <w:rFonts w:hint="eastAsia" w:ascii="宋体" w:hAnsi="宋体" w:cs="宋体"/>
                <w:color w:val="auto"/>
                <w:sz w:val="21"/>
                <w:szCs w:val="21"/>
                <w:highlight w:val="none"/>
                <w:lang w:val="en-US" w:eastAsia="zh-CN"/>
              </w:rPr>
              <w:t>支持升级</w:t>
            </w:r>
            <w:r>
              <w:rPr>
                <w:rFonts w:hint="eastAsia" w:ascii="宋体" w:hAnsi="宋体" w:eastAsia="宋体" w:cs="宋体"/>
                <w:color w:val="auto"/>
                <w:sz w:val="21"/>
                <w:szCs w:val="21"/>
                <w:highlight w:val="none"/>
                <w:lang w:val="en-US" w:eastAsia="zh-CN"/>
              </w:rPr>
              <w:t>三部脉诊采集台车，支持单、双手测脉且具备自动定位。</w:t>
            </w:r>
          </w:p>
          <w:p w14:paraId="282B621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1.5.支持通过舌面诊检测直接得出体质辨识结果。</w:t>
            </w:r>
          </w:p>
          <w:p w14:paraId="565185A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1.6.配备</w:t>
            </w:r>
            <w:r>
              <w:rPr>
                <w:rFonts w:hint="eastAsia" w:ascii="宋体" w:hAnsi="宋体" w:cs="宋体"/>
                <w:color w:val="auto"/>
                <w:sz w:val="21"/>
                <w:szCs w:val="21"/>
                <w:highlight w:val="none"/>
                <w:lang w:val="en-US" w:eastAsia="zh-CN"/>
              </w:rPr>
              <w:t>血压仪</w:t>
            </w:r>
            <w:r>
              <w:rPr>
                <w:rFonts w:hint="eastAsia" w:ascii="宋体" w:hAnsi="宋体" w:eastAsia="宋体" w:cs="宋体"/>
                <w:color w:val="auto"/>
                <w:sz w:val="21"/>
                <w:szCs w:val="21"/>
                <w:highlight w:val="none"/>
                <w:lang w:val="en-US" w:eastAsia="zh-CN"/>
              </w:rPr>
              <w:t>。</w:t>
            </w:r>
          </w:p>
          <w:p w14:paraId="0B28FEE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1.7.配备智能人体成分分析系统（身高体重）采集单元作为辅助采集单元，智能人体成分身高体重五维测量采用超声波技术采集人体的身高和体重指数信息，可与主设备通讯并且出报告。</w:t>
            </w:r>
          </w:p>
          <w:p w14:paraId="48B7E8D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1.8.具备远程会诊系统平台，设备配置远程摄像头和麦克风，依托中医大数据库管理系统，可实现远程会诊功能。</w:t>
            </w:r>
          </w:p>
          <w:p w14:paraId="4CF20D4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1.9.具备身份证阅读系统，可与设备通讯，方便操作者录入信息和保存。</w:t>
            </w:r>
          </w:p>
          <w:p w14:paraId="0C11040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 .仪器可推动，移动，操作方便。与检查者采集及交互符合人体工程学。</w:t>
            </w:r>
          </w:p>
          <w:p w14:paraId="7A0C61E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1.11.具备中医大数据库管理系统。</w:t>
            </w:r>
          </w:p>
          <w:p w14:paraId="0E45BA5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1.12.采用移动终端实时在线互动系统。</w:t>
            </w:r>
          </w:p>
          <w:p w14:paraId="679C91E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1.13.具备智能AI国标症候问诊系统。</w:t>
            </w:r>
          </w:p>
          <w:p w14:paraId="11EF189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1.14.具备慢病管理系统，可出具国医大师建议处方。</w:t>
            </w:r>
          </w:p>
          <w:p w14:paraId="1F57686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1.15.整台仪器各个功能单元可单独使用，可综合使用。</w:t>
            </w:r>
          </w:p>
          <w:p w14:paraId="1D7E426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1.16.设备可出具单项检测单元检测报告和多诊合参检测报告。</w:t>
            </w:r>
          </w:p>
          <w:p w14:paraId="1ED4E8C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1.17. 主机使用寿命：大于10年。</w:t>
            </w:r>
          </w:p>
          <w:p w14:paraId="5E2FF02A">
            <w:pPr>
              <w:widowControl/>
              <w:numPr>
                <w:ilvl w:val="0"/>
                <w:numId w:val="6"/>
              </w:numPr>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技术参数（性能指标）</w:t>
            </w:r>
          </w:p>
          <w:p w14:paraId="7C8FDF9B">
            <w:pPr>
              <w:widowControl/>
              <w:numPr>
                <w:ilvl w:val="0"/>
                <w:numId w:val="0"/>
              </w:numPr>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2.1.舌象采集单元性能指标</w:t>
            </w:r>
          </w:p>
          <w:p w14:paraId="4DA9DB6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2.1.1.光学要求</w:t>
            </w:r>
          </w:p>
          <w:p w14:paraId="72F168A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2.1.1.1.照度：≥3600Lux±10%。</w:t>
            </w:r>
          </w:p>
          <w:p w14:paraId="712E00A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2.1.1.2.相关色温：在5151K≤Tc≤5247K范围内。</w:t>
            </w:r>
          </w:p>
          <w:p w14:paraId="3B56A79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▲2.1.1.3.显色指数：Ra≥93。</w:t>
            </w:r>
          </w:p>
          <w:p w14:paraId="4CC10C4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2.1.1.4.辐射照度：设备在300nm～2500nm光谱范围内的最大照度时的辐射照度不超过350W/m2。</w:t>
            </w:r>
          </w:p>
          <w:p w14:paraId="75B84D7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2.1.1.5.紫外辐射照度：设备在200nm～400nm光谱范围内的最大照度时的有效紫外辐射照度不超过0.008W/</w:t>
            </w:r>
            <w:r>
              <w:rPr>
                <w:rFonts w:hint="eastAsia" w:ascii="宋体" w:hAnsi="宋体" w:eastAsia="宋体" w:cs="宋体"/>
                <w:color w:val="auto"/>
                <w:sz w:val="21"/>
                <w:szCs w:val="21"/>
                <w:highlight w:val="none"/>
                <w:vertAlign w:val="superscript"/>
                <w:lang w:val="en-US" w:eastAsia="zh-CN"/>
              </w:rPr>
              <w:t>m2</w:t>
            </w:r>
            <w:r>
              <w:rPr>
                <w:rFonts w:hint="eastAsia" w:ascii="宋体" w:hAnsi="宋体" w:eastAsia="宋体" w:cs="宋体"/>
                <w:color w:val="auto"/>
                <w:sz w:val="21"/>
                <w:szCs w:val="21"/>
                <w:highlight w:val="none"/>
                <w:lang w:val="en-US" w:eastAsia="zh-CN"/>
              </w:rPr>
              <w:t>。</w:t>
            </w:r>
          </w:p>
          <w:p w14:paraId="6CEBB00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2.1.2.成像质量</w:t>
            </w:r>
          </w:p>
          <w:p w14:paraId="570BA7B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2.1.2.1.分辨率：不小于5 lp/mm。</w:t>
            </w:r>
          </w:p>
          <w:p w14:paraId="08EE06D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2.1.2.2.彩色还原：成像装置能对色彩准确还原，</w:t>
            </w:r>
            <w:r>
              <w:rPr>
                <w:rFonts w:hint="eastAsia" w:ascii="宋体" w:hAnsi="宋体" w:cs="宋体"/>
                <w:color w:val="auto"/>
                <w:sz w:val="21"/>
                <w:szCs w:val="21"/>
                <w:highlight w:val="none"/>
                <w:lang w:val="en-US" w:eastAsia="zh-CN"/>
              </w:rPr>
              <w:t>使</w:t>
            </w:r>
            <w:r>
              <w:rPr>
                <w:rFonts w:hint="eastAsia" w:ascii="宋体" w:hAnsi="宋体" w:eastAsia="宋体" w:cs="宋体"/>
                <w:color w:val="auto"/>
                <w:sz w:val="21"/>
                <w:szCs w:val="21"/>
                <w:highlight w:val="none"/>
                <w:lang w:val="en-US" w:eastAsia="zh-CN"/>
              </w:rPr>
              <w:t>标准色卡上色彩得到重现，各色在CIE LAB色空间的色差不超过20。</w:t>
            </w:r>
          </w:p>
          <w:p w14:paraId="5139CAC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2.1.2.3.相对畸变：不超过±5%。</w:t>
            </w:r>
          </w:p>
          <w:p w14:paraId="4CF7967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2.1.3.功能</w:t>
            </w:r>
          </w:p>
          <w:p w14:paraId="1181F14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2.1.3.1.设备具有对舌图像和面图像的采集、存储和对比功能。</w:t>
            </w:r>
          </w:p>
          <w:p w14:paraId="64203BD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2.1.3.2.设备具有对舌图像的分析处理功能，可以得出舌色、舌态、舌形、苔色、苔质、舌下络的结果。对舌图像的分析结果：舌色≥8种、舌态≥9种、舌形≥11种、苔色≥9种、苔质≥10种、舌下络≥6种。</w:t>
            </w:r>
          </w:p>
          <w:p w14:paraId="65B2DD5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2.1.3.3.设备具有对面图像的分析处理功能，可以得出整体面色、 局部特征耳鼻、 面态、 </w:t>
            </w:r>
            <w:r>
              <w:rPr>
                <w:rFonts w:hint="eastAsia" w:ascii="宋体" w:hAnsi="宋体" w:cs="宋体"/>
                <w:color w:val="auto"/>
                <w:sz w:val="21"/>
                <w:szCs w:val="21"/>
                <w:highlight w:val="none"/>
                <w:lang w:val="en-US" w:eastAsia="zh-CN"/>
              </w:rPr>
              <w:t>面型</w:t>
            </w:r>
            <w:r>
              <w:rPr>
                <w:rFonts w:hint="eastAsia" w:ascii="宋体" w:hAnsi="宋体" w:eastAsia="宋体" w:cs="宋体"/>
                <w:color w:val="auto"/>
                <w:sz w:val="21"/>
                <w:szCs w:val="21"/>
                <w:highlight w:val="none"/>
                <w:lang w:val="en-US" w:eastAsia="zh-CN"/>
              </w:rPr>
              <w:t>的结果。对面图像的分析结果：面色≥6种、耳鼻≥5种、面态≥7种、面形≥6种。</w:t>
            </w:r>
          </w:p>
          <w:p w14:paraId="54C3913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2.1.3.4.病人舌面象的分析结果，以图文形式保存为电子病历文档并存入数据库中，可进行查询与统计。</w:t>
            </w:r>
          </w:p>
          <w:p w14:paraId="4C71FE4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2.1.4.符合人体工程学的采集口，贴合面部，暗箱采集，无外部光线透入，避免外界干扰，舌象采集器具备升降功能，满足不同身高的需求；具备面象检测功能，第三方检测报告中对面象检测有数据支持。</w:t>
            </w:r>
          </w:p>
          <w:p w14:paraId="277DDDF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2.1.4.2.光源：采用LED光源，高频无闪烁，避免患者眼睛接受来自光源的辐射，同时LED光源不存在破碎的风险，对患者和操作者有充分的防护。</w:t>
            </w:r>
          </w:p>
          <w:p w14:paraId="07B6846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2.1.4.3.照射：漫反射，无高光点，无阴影。</w:t>
            </w:r>
          </w:p>
          <w:p w14:paraId="75BEC3E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2.1.4.4.通风：采集箱内配备风扇，患者口鼻部位同时探入采集箱内具有良好的通风功能。</w:t>
            </w:r>
          </w:p>
          <w:p w14:paraId="312CD0C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2.1.4.5.消毒：设备设计结构方便拆卸消毒。并配有紫外线消毒灯管及负离子发生器。可以避免由患者唾液滴落可能引起的交叉感染。</w:t>
            </w:r>
          </w:p>
          <w:p w14:paraId="17F24B3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2.1.4.6.硬件配置：配备工业相机，镜头分辨率2.5千万像素。</w:t>
            </w:r>
          </w:p>
          <w:p w14:paraId="1881959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2.1.4.7.软件配置：具备远程控制功能；可拍运动体清晰分辨；帧率高；输出裸数据光谱范围宽，支持进行图像处理算法。</w:t>
            </w:r>
          </w:p>
          <w:p w14:paraId="4A3C98A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2.1.4.8.防护功能：工作时有防护措施避免患者眼睛接受来自光源的辐射，防护措施充分考虑对不同年龄阶段患者眼睛的防护。</w:t>
            </w:r>
          </w:p>
          <w:p w14:paraId="0285B6A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 脉诊采集单元性能指标</w:t>
            </w:r>
          </w:p>
          <w:p w14:paraId="4BA6C0D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2.2.1.性能指标</w:t>
            </w:r>
          </w:p>
          <w:p w14:paraId="7AC178B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2.2.1.1.最大伸出长度加压一次伸出长度不超过1mm，最大伸出长度不超过6mm。</w:t>
            </w:r>
          </w:p>
          <w:p w14:paraId="13DFEAC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2.2.1.2.外加力学量的准确性：根据不同配置型号设备的外加力学量显示范围为30g～300g，显示值的最大允许误差为±15%。</w:t>
            </w:r>
          </w:p>
          <w:p w14:paraId="6003BE2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2.2.1.3.脉压准确性：根据不同配置型号脉压采集范围为0～250g，显示值的最大允许误差为±10%。</w:t>
            </w:r>
          </w:p>
          <w:p w14:paraId="1CA4A7B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2.2.1.4.脉率准确性：脉率显示范围为40次/min～200次/min，分辨率为1次/min，显示值的最大允许误差为±3次/min。</w:t>
            </w:r>
          </w:p>
          <w:p w14:paraId="4D9450B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2.2.1.5.传感器有效几何尺寸：传感器的有效表面与脉管垂直的尺寸应在3mm～9mm之间。</w:t>
            </w:r>
          </w:p>
          <w:p w14:paraId="07F2FE3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2.2.1.6.动态放大器的时间常数：设备动态放大器部分采用交流耦合，其时间常数≥2s。</w:t>
            </w:r>
          </w:p>
          <w:p w14:paraId="5393964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2.2.1.7.工作噪声：设备在正常工作时的噪声不大于60dB（A）。</w:t>
            </w:r>
          </w:p>
          <w:p w14:paraId="1147577E">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2.2.2硬件要求</w:t>
            </w:r>
          </w:p>
          <w:p w14:paraId="2B8C2BC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2.2.2.1采用96颗微型传感点阵，实现脉诊数据量化。</w:t>
            </w:r>
          </w:p>
          <w:p w14:paraId="6D39D8B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2.2.2.2. 具备传统传感器作用在寸关尺腕部脉搏处，用袖带式进行腕部固定，得到准确的脉象定位。</w:t>
            </w:r>
          </w:p>
          <w:p w14:paraId="15FA2B0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2.2.2.3. 具备独立台车，自动定位切换双手测脉并自动出方，操作方便。</w:t>
            </w:r>
          </w:p>
          <w:p w14:paraId="7F9BC93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2.2.2.4. 采用气加压方式，按照阶梯加压方式，进行分段加压，并确定最佳取脉压力并且脉象采集器具有过压保护功能。</w:t>
            </w:r>
          </w:p>
          <w:p w14:paraId="79AC5AE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2.2.3. 软件要求</w:t>
            </w:r>
          </w:p>
          <w:p w14:paraId="2CE70EC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2.2.3.1.构建中医脉诊3D模型，多维度表达中医脉象特征，实现测量过程及测量结果的3D可视化展示。</w:t>
            </w:r>
          </w:p>
          <w:p w14:paraId="763D27D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2.2.3.2.采用嵌入式软件算法控制机械结构运动，进行多层次加压，充分还原中医脉诊中的“寸口诊法”。</w:t>
            </w:r>
          </w:p>
          <w:p w14:paraId="656F6D2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2.2.3.3.同时对指尖压力大小，反馈力度大小，模拟指尖触觉回馈记录等对数据进行充分量化。</w:t>
            </w:r>
          </w:p>
          <w:p w14:paraId="661FBAE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2.2.3.4. 支持寸关尺三点脉诊信息同时采集、量化并作出辅助分析。</w:t>
            </w:r>
          </w:p>
          <w:p w14:paraId="39B9CFB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2.2.3.5.支持根据检测结果给出脉象分析：脉率、脉象说明、脉象原理、主病的分析报告。</w:t>
            </w:r>
          </w:p>
          <w:p w14:paraId="23A0F42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2.2.3.6.支持根据检测结果给出分部脉象：脉象、主病的分析报告。</w:t>
            </w:r>
          </w:p>
          <w:p w14:paraId="4AF7685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2.2.3.7.支持根据检测结果给出经络分析：病灶、</w:t>
            </w:r>
            <w:r>
              <w:rPr>
                <w:rFonts w:hint="eastAsia" w:ascii="宋体" w:hAnsi="宋体" w:cs="宋体"/>
                <w:color w:val="auto"/>
                <w:sz w:val="21"/>
                <w:szCs w:val="21"/>
                <w:highlight w:val="none"/>
                <w:lang w:val="en-US" w:eastAsia="zh-CN"/>
              </w:rPr>
              <w:t>辨证</w:t>
            </w:r>
            <w:r>
              <w:rPr>
                <w:rFonts w:hint="eastAsia" w:ascii="宋体" w:hAnsi="宋体" w:eastAsia="宋体" w:cs="宋体"/>
                <w:color w:val="auto"/>
                <w:sz w:val="21"/>
                <w:szCs w:val="21"/>
                <w:highlight w:val="none"/>
                <w:lang w:val="en-US" w:eastAsia="zh-CN"/>
              </w:rPr>
              <w:t>的分析报告。</w:t>
            </w:r>
          </w:p>
          <w:p w14:paraId="7DD6105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2.2.3.8.支持根据检测结果给出气血津液：气、血、津、液、注释的分析报告。并进行气血津液，饮湿寒热的预警提示。</w:t>
            </w:r>
          </w:p>
          <w:p w14:paraId="3D0776D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▲2.2.3.9.支持分析脉象六要素：脉位、脉力、脉率、脉律、流利度、紧张度；可识别临床常见的脉象；可提供中医脉象图及相关测量参数，给出脉名判读结果；</w:t>
            </w:r>
          </w:p>
          <w:p w14:paraId="458CFAA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2.2.3.10.系统软件开放，便于脉象数据库和专家库的二次开发应用。</w:t>
            </w:r>
          </w:p>
          <w:p w14:paraId="16D7DF1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2.2.3.11.支持根据检测结果给出养生建议：饮食、运动、生活的报告。</w:t>
            </w:r>
          </w:p>
          <w:p w14:paraId="5C7D464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lang w:val="en-US" w:eastAsia="zh-CN"/>
              </w:rPr>
              <w:t xml:space="preserve"> 中医体质辨识单元</w:t>
            </w:r>
          </w:p>
          <w:p w14:paraId="55847FA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lang w:val="en-US" w:eastAsia="zh-CN"/>
              </w:rPr>
              <w:t>1.支持对中医九大体质（平和质、气虚质、阳虚质、阴虚质、痰湿质、湿热质、血瘀质、气郁质、特禀质）做辨识判定。</w:t>
            </w:r>
          </w:p>
          <w:p w14:paraId="5D13E19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lang w:val="en-US" w:eastAsia="zh-CN"/>
              </w:rPr>
              <w:t>2.根据9大体质详细划分得到不少于84种体质分型，根据细化的体质分型进行判断。</w:t>
            </w:r>
          </w:p>
          <w:p w14:paraId="352FB5D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lang w:val="en-US" w:eastAsia="zh-CN"/>
              </w:rPr>
              <w:t>3.提供5种中医体质辨识版本，包括成人版、老年版、孕妇版、儿童版、中医五态人格版</w:t>
            </w:r>
          </w:p>
          <w:p w14:paraId="690B3C5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lang w:val="en-US" w:eastAsia="zh-CN"/>
              </w:rPr>
              <w:t>4.成人版体质辨识、老年版体质辨识、孕妇版体质辨识，给出评估报告包含：体质类型、总体特征、体质成因、形体特征、心理特征、发病倾向、常见表现、重点人群、对外界环境适应能力、体质分型及健康管理指导建议。</w:t>
            </w:r>
          </w:p>
          <w:p w14:paraId="04FDBC0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lang w:val="en-US" w:eastAsia="zh-CN"/>
              </w:rPr>
              <w:t>5.儿童版体质辨识，给出评估报告包含：体质类型、总体特征、膳食调养、起居调养、运动调养，小儿推拿调理建议；</w:t>
            </w:r>
          </w:p>
          <w:p w14:paraId="762D66B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lang w:val="en-US" w:eastAsia="zh-CN"/>
              </w:rPr>
              <w:t>6.中医五态人格辨识功能，给出评估报告包含：五态人格特征、总体特征、心理调节方案、行为调节方案、音乐调节方案。</w:t>
            </w:r>
          </w:p>
          <w:p w14:paraId="4796FFB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lang w:val="en-US" w:eastAsia="zh-CN"/>
              </w:rPr>
              <w:t>7.具备慢性病健康管理系统，可提供高血压，高血糖，高血脂，高尿酸等慢病管理分析功能。</w:t>
            </w:r>
          </w:p>
          <w:p w14:paraId="7361751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lang w:val="en-US" w:eastAsia="zh-CN"/>
              </w:rPr>
              <w:t>8.中医体质检测结果综合说明，包含特征，体质成因，形体特征，心</w:t>
            </w:r>
            <w:r>
              <w:rPr>
                <w:rFonts w:hint="eastAsia" w:ascii="宋体" w:hAnsi="宋体" w:cs="宋体"/>
                <w:color w:val="auto"/>
                <w:sz w:val="21"/>
                <w:szCs w:val="21"/>
                <w:highlight w:val="none"/>
                <w:lang w:val="en-US" w:eastAsia="zh-CN"/>
              </w:rPr>
              <w:t>理</w:t>
            </w:r>
            <w:r>
              <w:rPr>
                <w:rFonts w:hint="eastAsia" w:ascii="宋体" w:hAnsi="宋体" w:eastAsia="宋体" w:cs="宋体"/>
                <w:color w:val="auto"/>
                <w:sz w:val="21"/>
                <w:szCs w:val="21"/>
                <w:highlight w:val="none"/>
                <w:lang w:val="en-US" w:eastAsia="zh-CN"/>
              </w:rPr>
              <w:t>特征，发病倾向，常见表现，重点人群，对外界环境适应能力，日常表现等常规提示。</w:t>
            </w:r>
          </w:p>
          <w:p w14:paraId="3BF9B35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lang w:val="en-US" w:eastAsia="zh-CN"/>
              </w:rPr>
              <w:t>9. 中医体质检测健康建议，包含营养膳食，用药参考，中医保健建议，精神调养方案，饮食建议，药膳调补，运动建议，健康生活提示，针对儿童增加起居调养建议，小儿推拿康复建议。</w:t>
            </w:r>
          </w:p>
          <w:p w14:paraId="219B836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二、配置需求：</w:t>
            </w:r>
          </w:p>
          <w:p w14:paraId="1F28B25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1.配置清单</w:t>
            </w:r>
          </w:p>
          <w:p w14:paraId="723B870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1.1.硬件配置</w:t>
            </w:r>
          </w:p>
          <w:p w14:paraId="3D8D817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1.1.1.配置舌面象采集器 一套</w:t>
            </w:r>
          </w:p>
          <w:p w14:paraId="7D3412E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1.1.2.配置工业相机一台</w:t>
            </w:r>
          </w:p>
          <w:p w14:paraId="3560211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1.1.3.配置三部寸关尺同时采集脉诊采集器（具备进行左右手测脉功能）一个</w:t>
            </w:r>
          </w:p>
          <w:p w14:paraId="683DECD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.人体成分身高、体重采集器（含人体三维模拟）一套</w:t>
            </w:r>
          </w:p>
          <w:p w14:paraId="6B5E94F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.配血压，脉率探测器一套</w:t>
            </w:r>
          </w:p>
          <w:p w14:paraId="4413452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.配置中医远程高清网络视频及万向麦克一套</w:t>
            </w:r>
          </w:p>
          <w:p w14:paraId="0524EF9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.配置激光彩色</w:t>
            </w:r>
            <w:r>
              <w:rPr>
                <w:rFonts w:hint="eastAsia" w:ascii="宋体" w:hAnsi="宋体" w:cs="宋体"/>
                <w:color w:val="auto"/>
                <w:sz w:val="21"/>
                <w:szCs w:val="21"/>
                <w:highlight w:val="none"/>
                <w:lang w:val="en-US" w:eastAsia="zh-CN"/>
              </w:rPr>
              <w:t>输出装置</w:t>
            </w:r>
            <w:r>
              <w:rPr>
                <w:rFonts w:hint="eastAsia" w:ascii="宋体" w:hAnsi="宋体" w:eastAsia="宋体" w:cs="宋体"/>
                <w:color w:val="auto"/>
                <w:sz w:val="21"/>
                <w:szCs w:val="21"/>
                <w:highlight w:val="none"/>
                <w:lang w:val="en-US" w:eastAsia="zh-CN"/>
              </w:rPr>
              <w:t xml:space="preserve"> 一台</w:t>
            </w:r>
          </w:p>
          <w:p w14:paraId="3E43804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 工业工控主机14个usb口2个网口一台</w:t>
            </w:r>
          </w:p>
          <w:p w14:paraId="44022A6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 身份证阅读器 台</w:t>
            </w:r>
          </w:p>
          <w:p w14:paraId="7DE9A6A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 软件配置</w:t>
            </w:r>
          </w:p>
          <w:p w14:paraId="5486F6E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1.2.1.中医舌面分析系统 一套</w:t>
            </w:r>
          </w:p>
          <w:p w14:paraId="1C45F79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1.2.2.中医智能脉诊系统 一套</w:t>
            </w:r>
          </w:p>
          <w:p w14:paraId="1891817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.中医体质辨识五大版本系统（儿童；老年；孕妇；成年；五态人格） 一套</w:t>
            </w:r>
          </w:p>
          <w:p w14:paraId="03EE07F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.中医远程会诊平台系统 一套</w:t>
            </w:r>
          </w:p>
          <w:p w14:paraId="7FCFB7A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.移动终端实时在线互动系统 一套</w:t>
            </w:r>
          </w:p>
          <w:p w14:paraId="2FFB8AC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.智能AI</w:t>
            </w:r>
            <w:r>
              <w:rPr>
                <w:rFonts w:hint="eastAsia" w:ascii="宋体" w:hAnsi="宋体" w:cs="宋体"/>
                <w:color w:val="auto"/>
                <w:sz w:val="21"/>
                <w:szCs w:val="21"/>
                <w:highlight w:val="none"/>
                <w:lang w:val="en-US" w:eastAsia="zh-CN"/>
              </w:rPr>
              <w:t>辨证</w:t>
            </w:r>
            <w:r>
              <w:rPr>
                <w:rFonts w:hint="eastAsia" w:ascii="宋体" w:hAnsi="宋体" w:eastAsia="宋体" w:cs="宋体"/>
                <w:color w:val="auto"/>
                <w:sz w:val="21"/>
                <w:szCs w:val="21"/>
                <w:highlight w:val="none"/>
                <w:lang w:val="en-US" w:eastAsia="zh-CN"/>
              </w:rPr>
              <w:t xml:space="preserve"> 一套</w:t>
            </w:r>
          </w:p>
          <w:p w14:paraId="6A26539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.中医大数据管理系统一套</w:t>
            </w:r>
          </w:p>
          <w:p w14:paraId="23F2A15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.健康管理平台系统 一套</w:t>
            </w:r>
          </w:p>
          <w:p w14:paraId="11D2C4A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.十万客户端医院展示系统 一套</w:t>
            </w:r>
          </w:p>
        </w:tc>
        <w:tc>
          <w:tcPr>
            <w:tcW w:w="1100" w:type="dxa"/>
            <w:tcBorders>
              <w:left w:val="single" w:color="auto" w:sz="4" w:space="0"/>
            </w:tcBorders>
            <w:shd w:val="clear" w:color="auto" w:fill="auto"/>
            <w:vAlign w:val="center"/>
          </w:tcPr>
          <w:p w14:paraId="3C54CEC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w:t>
            </w:r>
          </w:p>
        </w:tc>
      </w:tr>
      <w:tr w14:paraId="6713C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424736C9">
            <w:pPr>
              <w:numPr>
                <w:ilvl w:val="0"/>
                <w:numId w:val="5"/>
              </w:numPr>
              <w:snapToGrid w:val="0"/>
              <w:spacing w:line="360" w:lineRule="auto"/>
              <w:jc w:val="center"/>
              <w:rPr>
                <w:rFonts w:hint="eastAsia" w:ascii="宋体" w:hAnsi="宋体" w:eastAsia="宋体" w:cs="宋体"/>
                <w:color w:val="auto"/>
                <w:sz w:val="21"/>
                <w:szCs w:val="21"/>
                <w:highlight w:val="none"/>
              </w:rPr>
            </w:pPr>
          </w:p>
        </w:tc>
        <w:tc>
          <w:tcPr>
            <w:tcW w:w="900" w:type="dxa"/>
            <w:shd w:val="clear" w:color="auto" w:fill="auto"/>
            <w:vAlign w:val="center"/>
          </w:tcPr>
          <w:p w14:paraId="714DAB4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医用红外热像仪</w:t>
            </w:r>
          </w:p>
        </w:tc>
        <w:tc>
          <w:tcPr>
            <w:tcW w:w="485" w:type="dxa"/>
            <w:gridSpan w:val="2"/>
            <w:tcBorders>
              <w:right w:val="single" w:color="auto" w:sz="4" w:space="0"/>
            </w:tcBorders>
            <w:shd w:val="clear" w:color="auto" w:fill="auto"/>
            <w:vAlign w:val="center"/>
          </w:tcPr>
          <w:p w14:paraId="2F54AC7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93" w:type="dxa"/>
            <w:tcBorders>
              <w:left w:val="single" w:color="auto" w:sz="4" w:space="0"/>
              <w:right w:val="single" w:color="auto" w:sz="4" w:space="0"/>
            </w:tcBorders>
            <w:vAlign w:val="center"/>
          </w:tcPr>
          <w:p w14:paraId="22A5E13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5672" w:type="dxa"/>
            <w:tcBorders>
              <w:left w:val="single" w:color="auto" w:sz="4" w:space="0"/>
              <w:right w:val="single" w:color="auto" w:sz="4" w:space="0"/>
            </w:tcBorders>
            <w:vAlign w:val="center"/>
          </w:tcPr>
          <w:p w14:paraId="6DB4836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33383A6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1.红外摄像装置</w:t>
            </w:r>
          </w:p>
          <w:p w14:paraId="72A6A4A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1.1.非</w:t>
            </w:r>
            <w:r>
              <w:rPr>
                <w:rFonts w:hint="eastAsia" w:ascii="宋体" w:hAnsi="宋体" w:cs="宋体"/>
                <w:color w:val="auto"/>
                <w:sz w:val="21"/>
                <w:szCs w:val="21"/>
                <w:highlight w:val="none"/>
                <w:lang w:val="en-US" w:eastAsia="zh-CN"/>
              </w:rPr>
              <w:t>制冷</w:t>
            </w:r>
            <w:r>
              <w:rPr>
                <w:rFonts w:hint="eastAsia" w:ascii="宋体" w:hAnsi="宋体" w:eastAsia="宋体" w:cs="宋体"/>
                <w:color w:val="auto"/>
                <w:sz w:val="21"/>
                <w:szCs w:val="21"/>
                <w:highlight w:val="none"/>
                <w:lang w:val="en-US" w:eastAsia="zh-CN"/>
              </w:rPr>
              <w:t>焦平面红外探测器</w:t>
            </w:r>
          </w:p>
          <w:p w14:paraId="4510F0A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1.2.帧像素≥640×480×14Bit</w:t>
            </w:r>
          </w:p>
          <w:p w14:paraId="550D02F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1.3.工作波段8-14μm</w:t>
            </w:r>
          </w:p>
          <w:p w14:paraId="62E78B1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1.4.温度分辨率NETD≤0.05 ℃</w:t>
            </w:r>
          </w:p>
          <w:p w14:paraId="6C78441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▲1.5.测温范围0℃-60 ℃ </w:t>
            </w:r>
          </w:p>
          <w:p w14:paraId="2EEFC0B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1.6.瞬时视场≤1.39mrad</w:t>
            </w:r>
          </w:p>
          <w:p w14:paraId="7B6B6BA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1.7.视场角：水平方向：17-24°垂直方向：24-33°</w:t>
            </w:r>
          </w:p>
          <w:p w14:paraId="1227511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1.8.工作距离0.5m-5m </w:t>
            </w:r>
          </w:p>
          <w:p w14:paraId="4A9302A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1.9.预热时间：图像生成时间≤30s，达到测温准确度时间≤4min</w:t>
            </w:r>
          </w:p>
          <w:p w14:paraId="152400B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1.10.测温准确度：δ≤0.3℃</w:t>
            </w:r>
          </w:p>
          <w:p w14:paraId="4461C82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1.11.测温重复性：δ≤0.2℃</w:t>
            </w:r>
          </w:p>
          <w:p w14:paraId="767C26B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1.12.调焦方式：电动调焦功能</w:t>
            </w:r>
          </w:p>
          <w:p w14:paraId="744151D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1.13.数据接口类型：USB2.0 数字接口</w:t>
            </w:r>
          </w:p>
          <w:p w14:paraId="2CA24FF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▲1.14.球形红外热像摄像机，红外球机摄像头安装后可作仰俯、左右摆动，任意工作位置均能锁止，左右摆动夹角≥30°上下摆动夹角≥30° </w:t>
            </w:r>
          </w:p>
          <w:p w14:paraId="7B07E3E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1.15.摄像支架上安装1块液晶显示屏，显示屏在拍摄红外图像时具备动画语音指示功能，指导拍摄动作，显示拍摄界面 </w:t>
            </w:r>
          </w:p>
          <w:p w14:paraId="39E1053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1.16.智能化操作台，全数字式控制，医学操作平台集成(内置电脑\显示器\操控系统\扫描系统\评估系统)</w:t>
            </w:r>
          </w:p>
          <w:p w14:paraId="271104AA">
            <w:pPr>
              <w:widowControl/>
              <w:spacing w:line="360" w:lineRule="auto"/>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▲2.舱型遮挡隔断组件</w:t>
            </w:r>
          </w:p>
          <w:p w14:paraId="68B1F1C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2.1.舱型遮挡隔断组件尺寸：长3000mm±600mm，宽1500mm±300mm，高2400mm±400mm</w:t>
            </w:r>
          </w:p>
          <w:p w14:paraId="533E2B8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2.2.舱体内含：内置集成LED灯及排风扇一体机、衣帽架、折叠式凳、抗菌皮质地毯等</w:t>
            </w:r>
          </w:p>
          <w:p w14:paraId="5ECAFB9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3.软件</w:t>
            </w:r>
          </w:p>
          <w:p w14:paraId="78E2498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3.1.温度测量功能：最小显示温度分辨率值0.01℃，对热图的任意点测量</w:t>
            </w:r>
            <w:r>
              <w:rPr>
                <w:rFonts w:hint="eastAsia" w:ascii="宋体" w:hAnsi="宋体" w:cs="宋体"/>
                <w:color w:val="auto"/>
                <w:sz w:val="21"/>
                <w:szCs w:val="21"/>
                <w:highlight w:val="none"/>
                <w:lang w:val="en-US" w:eastAsia="zh-CN"/>
              </w:rPr>
              <w:t>温度</w:t>
            </w:r>
            <w:r>
              <w:rPr>
                <w:rFonts w:hint="eastAsia" w:ascii="宋体" w:hAnsi="宋体" w:eastAsia="宋体" w:cs="宋体"/>
                <w:color w:val="auto"/>
                <w:sz w:val="21"/>
                <w:szCs w:val="21"/>
                <w:highlight w:val="none"/>
                <w:lang w:val="en-US" w:eastAsia="zh-CN"/>
              </w:rPr>
              <w:t>，可对图像矩形、圆、多边形区域测量平均值、最高值、最低值。</w:t>
            </w:r>
          </w:p>
          <w:p w14:paraId="567B210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 图像处理与显示：多图显示；≥8种窗宽显示图像；可选不同图像显示色标，可选色标≥16种</w:t>
            </w:r>
          </w:p>
          <w:p w14:paraId="1D99331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▲3.3.图像分析功能：图像具备设置网格线（16×16）显示；图像具备垂直对称轴显示，选定测量区域可自动镜像到对侧位置。</w:t>
            </w:r>
          </w:p>
          <w:p w14:paraId="1B9D60F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生成报告功能：生成报告可选择添加图像；报告中包含测量区域的测量平均温度值和平均温差值最高值温度值和最高温差值最低温度值和最低温差值；生成报告中包括病案印象（评估提示、综合建议）并可查询和打开前面生成的报告</w:t>
            </w:r>
          </w:p>
          <w:p w14:paraId="4A2D853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▲3.5.产品设计使用年限≥10年</w:t>
            </w:r>
          </w:p>
          <w:p w14:paraId="32D3DE3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二、配置需求：</w:t>
            </w:r>
          </w:p>
          <w:p w14:paraId="778CCCF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1.红外摄像装置1套</w:t>
            </w:r>
          </w:p>
          <w:p w14:paraId="1777831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2.操作台车1台</w:t>
            </w:r>
          </w:p>
          <w:p w14:paraId="5378CCB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3.摄像支架 1台</w:t>
            </w:r>
          </w:p>
          <w:p w14:paraId="4E470A8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4.彩色激光</w:t>
            </w:r>
            <w:r>
              <w:rPr>
                <w:rFonts w:hint="eastAsia" w:ascii="宋体" w:hAnsi="宋体" w:cs="宋体"/>
                <w:color w:val="auto"/>
                <w:sz w:val="21"/>
                <w:szCs w:val="21"/>
                <w:highlight w:val="none"/>
                <w:lang w:val="en-US" w:eastAsia="zh-CN"/>
              </w:rPr>
              <w:t>输出装置</w:t>
            </w:r>
            <w:r>
              <w:rPr>
                <w:rFonts w:hint="eastAsia" w:ascii="宋体" w:hAnsi="宋体" w:eastAsia="宋体" w:cs="宋体"/>
                <w:color w:val="auto"/>
                <w:sz w:val="21"/>
                <w:szCs w:val="21"/>
                <w:highlight w:val="none"/>
                <w:lang w:val="en-US" w:eastAsia="zh-CN"/>
              </w:rPr>
              <w:t>1台</w:t>
            </w:r>
          </w:p>
          <w:p w14:paraId="71144B8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Times New Roman" w:hAnsi="Times New Roman" w:eastAsia="宋体" w:cs="Times New Roman"/>
                <w:color w:val="auto"/>
                <w:highlight w:val="none"/>
                <w:lang w:val="en-US" w:eastAsia="zh-CN"/>
              </w:rPr>
              <w:t>操作</w:t>
            </w:r>
            <w:r>
              <w:rPr>
                <w:rFonts w:hint="eastAsia" w:ascii="宋体" w:hAnsi="宋体" w:eastAsia="宋体" w:cs="宋体"/>
                <w:color w:val="auto"/>
                <w:sz w:val="21"/>
                <w:szCs w:val="21"/>
                <w:highlight w:val="none"/>
                <w:lang w:val="en-US" w:eastAsia="zh-CN"/>
              </w:rPr>
              <w:t>主机1套</w:t>
            </w:r>
          </w:p>
          <w:p w14:paraId="49A6B2C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cs="宋体"/>
                <w:color w:val="auto"/>
                <w:sz w:val="21"/>
                <w:szCs w:val="21"/>
                <w:highlight w:val="none"/>
                <w:lang w:val="en-US" w:eastAsia="zh-CN"/>
              </w:rPr>
              <w:t>医用显示装置</w:t>
            </w:r>
            <w:r>
              <w:rPr>
                <w:rFonts w:hint="eastAsia" w:ascii="宋体" w:hAnsi="宋体" w:eastAsia="宋体" w:cs="宋体"/>
                <w:color w:val="auto"/>
                <w:sz w:val="21"/>
                <w:szCs w:val="21"/>
                <w:highlight w:val="none"/>
                <w:lang w:val="en-US" w:eastAsia="zh-CN"/>
              </w:rPr>
              <w:t>2台</w:t>
            </w:r>
          </w:p>
          <w:p w14:paraId="31D8096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7.医用红外热像仪应用软件1套</w:t>
            </w:r>
          </w:p>
          <w:p w14:paraId="154388D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8.控制组件1套</w:t>
            </w:r>
          </w:p>
          <w:p w14:paraId="290422D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9.舱型遮挡隔断组件1套（舱体）</w:t>
            </w:r>
          </w:p>
        </w:tc>
        <w:tc>
          <w:tcPr>
            <w:tcW w:w="1100" w:type="dxa"/>
            <w:tcBorders>
              <w:left w:val="single" w:color="auto" w:sz="4" w:space="0"/>
            </w:tcBorders>
            <w:shd w:val="clear" w:color="auto" w:fill="auto"/>
            <w:vAlign w:val="center"/>
          </w:tcPr>
          <w:p w14:paraId="7E59D2A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33</w:t>
            </w:r>
          </w:p>
        </w:tc>
      </w:tr>
      <w:tr w14:paraId="1DDC8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trPr>
        <w:tc>
          <w:tcPr>
            <w:tcW w:w="9217" w:type="dxa"/>
            <w:gridSpan w:val="7"/>
            <w:vAlign w:val="center"/>
          </w:tcPr>
          <w:p w14:paraId="633BEF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color w:val="auto"/>
                <w:sz w:val="21"/>
                <w:szCs w:val="21"/>
                <w:highlight w:val="none"/>
                <w:lang w:val="en-US" w:eastAsia="zh-CN"/>
              </w:rPr>
              <w:t>皮肤病科</w:t>
            </w:r>
          </w:p>
        </w:tc>
      </w:tr>
      <w:tr w14:paraId="4EA69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3D30D0AB">
            <w:pPr>
              <w:numPr>
                <w:ilvl w:val="0"/>
                <w:numId w:val="7"/>
              </w:numPr>
              <w:snapToGrid w:val="0"/>
              <w:spacing w:line="360" w:lineRule="auto"/>
              <w:jc w:val="center"/>
              <w:rPr>
                <w:rFonts w:hint="eastAsia" w:ascii="宋体" w:hAnsi="宋体" w:eastAsia="宋体" w:cs="宋体"/>
                <w:color w:val="auto"/>
                <w:sz w:val="21"/>
                <w:szCs w:val="21"/>
                <w:highlight w:val="none"/>
              </w:rPr>
            </w:pPr>
          </w:p>
        </w:tc>
        <w:tc>
          <w:tcPr>
            <w:tcW w:w="900" w:type="dxa"/>
            <w:shd w:val="clear" w:color="auto" w:fill="auto"/>
            <w:vAlign w:val="center"/>
          </w:tcPr>
          <w:p w14:paraId="619B61D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紫外线治疗仪（紫外线光疗仪）</w:t>
            </w:r>
          </w:p>
        </w:tc>
        <w:tc>
          <w:tcPr>
            <w:tcW w:w="485" w:type="dxa"/>
            <w:gridSpan w:val="2"/>
            <w:tcBorders>
              <w:right w:val="single" w:color="auto" w:sz="4" w:space="0"/>
            </w:tcBorders>
            <w:vAlign w:val="center"/>
          </w:tcPr>
          <w:p w14:paraId="37F8B89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93" w:type="dxa"/>
            <w:tcBorders>
              <w:left w:val="single" w:color="auto" w:sz="4" w:space="0"/>
              <w:right w:val="single" w:color="auto" w:sz="4" w:space="0"/>
            </w:tcBorders>
            <w:vAlign w:val="center"/>
          </w:tcPr>
          <w:p w14:paraId="04AC607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5672" w:type="dxa"/>
            <w:tcBorders>
              <w:left w:val="single" w:color="auto" w:sz="4" w:space="0"/>
              <w:right w:val="single" w:color="auto" w:sz="4" w:space="0"/>
            </w:tcBorders>
            <w:vAlign w:val="center"/>
          </w:tcPr>
          <w:p w14:paraId="7A1C699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55F6026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1.工作电压：AC220V±10%  ≥50Hz±2%</w:t>
            </w:r>
          </w:p>
          <w:p w14:paraId="3063C7D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2.额定功率：≥160VA</w:t>
            </w:r>
          </w:p>
          <w:p w14:paraId="4DCF410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3.显示方式：8</w:t>
            </w:r>
            <w:r>
              <w:rPr>
                <w:rFonts w:hint="eastAsia" w:ascii="宋体" w:hAnsi="宋体" w:cs="宋体"/>
                <w:color w:val="auto"/>
                <w:sz w:val="21"/>
                <w:szCs w:val="21"/>
                <w:highlight w:val="none"/>
                <w:lang w:val="en-US" w:eastAsia="zh-CN"/>
              </w:rPr>
              <w:t>英寸</w:t>
            </w:r>
            <w:r>
              <w:rPr>
                <w:rFonts w:hint="eastAsia" w:ascii="宋体" w:hAnsi="宋体" w:eastAsia="宋体" w:cs="宋体"/>
                <w:color w:val="auto"/>
                <w:sz w:val="21"/>
                <w:szCs w:val="21"/>
                <w:highlight w:val="none"/>
                <w:lang w:val="en-US" w:eastAsia="zh-CN"/>
              </w:rPr>
              <w:t>彩色触摸屏</w:t>
            </w:r>
          </w:p>
          <w:p w14:paraId="351A3AF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4.光源类型：氯化氙准分子光源</w:t>
            </w:r>
          </w:p>
          <w:p w14:paraId="4F04BC3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5.照射方式：手持照射</w:t>
            </w:r>
          </w:p>
          <w:p w14:paraId="635535D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6.受照面积：≥20cm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lang w:val="en-US" w:eastAsia="zh-CN"/>
              </w:rPr>
              <w:t>±1cm</w:t>
            </w:r>
            <w:r>
              <w:rPr>
                <w:rFonts w:hint="eastAsia" w:ascii="宋体" w:hAnsi="宋体" w:eastAsia="宋体" w:cs="宋体"/>
                <w:color w:val="auto"/>
                <w:sz w:val="21"/>
                <w:szCs w:val="21"/>
                <w:highlight w:val="none"/>
                <w:vertAlign w:val="superscript"/>
                <w:lang w:val="en-US" w:eastAsia="zh-CN"/>
              </w:rPr>
              <w:t>2</w:t>
            </w:r>
          </w:p>
          <w:p w14:paraId="29A551A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 辐照强度范围（功率密度）：20～200mW/cm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lang w:val="en-US" w:eastAsia="zh-CN"/>
              </w:rPr>
              <w:t>（标称值： 50 mW/cm</w:t>
            </w:r>
            <w:r>
              <w:rPr>
                <w:rFonts w:hint="eastAsia" w:ascii="宋体" w:hAnsi="宋体" w:eastAsia="宋体" w:cs="宋体"/>
                <w:color w:val="auto"/>
                <w:sz w:val="21"/>
                <w:szCs w:val="21"/>
                <w:highlight w:val="none"/>
                <w:vertAlign w:val="superscript"/>
                <w:lang w:val="en-US" w:eastAsia="zh-CN"/>
              </w:rPr>
              <w:t xml:space="preserve">2 </w:t>
            </w:r>
            <w:r>
              <w:rPr>
                <w:rFonts w:hint="eastAsia" w:ascii="宋体" w:hAnsi="宋体" w:eastAsia="宋体" w:cs="宋体"/>
                <w:color w:val="auto"/>
                <w:sz w:val="21"/>
                <w:szCs w:val="21"/>
                <w:highlight w:val="none"/>
                <w:lang w:val="en-US" w:eastAsia="zh-CN"/>
              </w:rPr>
              <w:t>）</w:t>
            </w:r>
          </w:p>
          <w:p w14:paraId="3F20404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8.剂量设置范围：0~6000mJ/cm</w:t>
            </w:r>
            <w:r>
              <w:rPr>
                <w:rFonts w:hint="eastAsia" w:ascii="宋体" w:hAnsi="宋体" w:eastAsia="宋体" w:cs="宋体"/>
                <w:color w:val="auto"/>
                <w:sz w:val="21"/>
                <w:szCs w:val="21"/>
                <w:highlight w:val="none"/>
                <w:vertAlign w:val="superscript"/>
                <w:lang w:val="en-US" w:eastAsia="zh-CN"/>
              </w:rPr>
              <w:t>2</w:t>
            </w:r>
          </w:p>
          <w:p w14:paraId="4E6555A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9.时间范围：0~3分钟</w:t>
            </w:r>
          </w:p>
          <w:p w14:paraId="5DC5A7F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10.光源有效寿命：≥500小时</w:t>
            </w:r>
          </w:p>
          <w:p w14:paraId="5028EDE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11.采用氯化氙（XeCl）单一波长准分子光源，光源纯净、能量高、副作用小，有效减少患者的治疗周期；</w:t>
            </w:r>
          </w:p>
          <w:p w14:paraId="7B5133D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12.靶向性好，无损正常皮肤；</w:t>
            </w:r>
          </w:p>
          <w:p w14:paraId="7E39D9D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13.出光孔采用特殊滤光片设计，滤除无用杂散光；</w:t>
            </w:r>
          </w:p>
          <w:p w14:paraId="1A8EE28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14.治疗手柄配合多规格的遮光片，精确控制照射范围，适用于不同尺寸的病灶部位；</w:t>
            </w:r>
          </w:p>
          <w:p w14:paraId="1BDF059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15.治疗手柄与主机分体设计；</w:t>
            </w:r>
          </w:p>
          <w:p w14:paraId="4BB6D52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16.采用8＂全触屏GUI设计；</w:t>
            </w:r>
          </w:p>
          <w:p w14:paraId="5399DF2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17.内置最小红斑量（MED）测试功能，一机多用；</w:t>
            </w:r>
          </w:p>
          <w:p w14:paraId="17D02E7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18.快速启动，一键输出；</w:t>
            </w:r>
          </w:p>
          <w:p w14:paraId="4100FEB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19.内置用户信息管理；</w:t>
            </w:r>
          </w:p>
          <w:p w14:paraId="701C89D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20.外置存储设备，支持实现用户信息的导出及查看；</w:t>
            </w:r>
          </w:p>
          <w:p w14:paraId="02A4820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21.快速指纹管理系统，支持调取患者信息；</w:t>
            </w:r>
          </w:p>
          <w:p w14:paraId="60F4448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r>
              <w:rPr>
                <w:rFonts w:hint="eastAsia" w:ascii="Times New Roman" w:hAnsi="Times New Roman" w:eastAsia="宋体" w:cs="Times New Roman"/>
                <w:color w:val="auto"/>
                <w:highlight w:val="none"/>
                <w:lang w:val="en-US" w:eastAsia="zh-CN"/>
              </w:rPr>
              <w:t>具备</w:t>
            </w:r>
            <w:r>
              <w:rPr>
                <w:rFonts w:hint="eastAsia" w:ascii="宋体" w:hAnsi="宋体" w:eastAsia="宋体" w:cs="宋体"/>
                <w:color w:val="auto"/>
                <w:sz w:val="21"/>
                <w:szCs w:val="21"/>
                <w:highlight w:val="none"/>
                <w:lang w:val="en-US" w:eastAsia="zh-CN"/>
              </w:rPr>
              <w:t>剂量工作模式。</w:t>
            </w:r>
          </w:p>
          <w:p w14:paraId="5D471EA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二、配置需求：</w:t>
            </w:r>
          </w:p>
          <w:p w14:paraId="711D67D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1.主机1台</w:t>
            </w:r>
          </w:p>
          <w:p w14:paraId="0CD6742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2.治疗手柄1个</w:t>
            </w:r>
          </w:p>
          <w:p w14:paraId="06B944F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3.治疗手柄遮光罩（6种规格）1套</w:t>
            </w:r>
          </w:p>
          <w:p w14:paraId="17FD28A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4.护目镜 3副</w:t>
            </w:r>
          </w:p>
          <w:p w14:paraId="3F7CBCE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5.电源线1根</w:t>
            </w:r>
          </w:p>
          <w:p w14:paraId="546DA21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6.保险丝2个</w:t>
            </w:r>
          </w:p>
          <w:p w14:paraId="161FD94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7.micro SD卡   1个</w:t>
            </w:r>
          </w:p>
          <w:p w14:paraId="1AD1B7D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8.主机防尘罩1个</w:t>
            </w:r>
          </w:p>
          <w:p w14:paraId="42291B0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9.清洁布1块</w:t>
            </w:r>
          </w:p>
        </w:tc>
        <w:tc>
          <w:tcPr>
            <w:tcW w:w="1100" w:type="dxa"/>
            <w:tcBorders>
              <w:left w:val="single" w:color="auto" w:sz="4" w:space="0"/>
            </w:tcBorders>
            <w:shd w:val="clear" w:color="auto" w:fill="auto"/>
            <w:vAlign w:val="center"/>
          </w:tcPr>
          <w:p w14:paraId="266585A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w:t>
            </w:r>
          </w:p>
        </w:tc>
      </w:tr>
      <w:tr w14:paraId="3D82C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41352DE6">
            <w:pPr>
              <w:numPr>
                <w:ilvl w:val="0"/>
                <w:numId w:val="7"/>
              </w:numPr>
              <w:snapToGrid w:val="0"/>
              <w:spacing w:line="360" w:lineRule="auto"/>
              <w:jc w:val="center"/>
              <w:rPr>
                <w:rFonts w:hint="eastAsia" w:ascii="宋体" w:hAnsi="宋体" w:eastAsia="宋体" w:cs="宋体"/>
                <w:color w:val="auto"/>
                <w:sz w:val="21"/>
                <w:szCs w:val="21"/>
                <w:highlight w:val="none"/>
              </w:rPr>
            </w:pPr>
          </w:p>
        </w:tc>
        <w:tc>
          <w:tcPr>
            <w:tcW w:w="900" w:type="dxa"/>
            <w:shd w:val="clear" w:color="auto" w:fill="auto"/>
            <w:vAlign w:val="center"/>
          </w:tcPr>
          <w:p w14:paraId="3D8A522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激光治疗系统</w:t>
            </w:r>
          </w:p>
        </w:tc>
        <w:tc>
          <w:tcPr>
            <w:tcW w:w="485" w:type="dxa"/>
            <w:gridSpan w:val="2"/>
            <w:tcBorders>
              <w:right w:val="single" w:color="auto" w:sz="4" w:space="0"/>
            </w:tcBorders>
            <w:vAlign w:val="center"/>
          </w:tcPr>
          <w:p w14:paraId="1E0A2B6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93" w:type="dxa"/>
            <w:tcBorders>
              <w:left w:val="single" w:color="auto" w:sz="4" w:space="0"/>
              <w:right w:val="single" w:color="auto" w:sz="4" w:space="0"/>
            </w:tcBorders>
            <w:vAlign w:val="center"/>
          </w:tcPr>
          <w:p w14:paraId="6357859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5672" w:type="dxa"/>
            <w:tcBorders>
              <w:left w:val="single" w:color="auto" w:sz="4" w:space="0"/>
              <w:right w:val="single" w:color="auto" w:sz="4" w:space="0"/>
            </w:tcBorders>
            <w:vAlign w:val="center"/>
          </w:tcPr>
          <w:p w14:paraId="0EC34EB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一、强脉冲光治疗仪参数</w:t>
            </w:r>
          </w:p>
          <w:p w14:paraId="04DD1E6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1.具备插拔滤光片技术</w:t>
            </w:r>
            <w:r>
              <w:rPr>
                <w:rFonts w:ascii="Times New Roman" w:hAnsi="Times New Roman" w:eastAsia="宋体" w:cs="Times New Roman"/>
                <w:color w:val="auto"/>
                <w:highlight w:val="none"/>
              </w:rPr>
              <w:t>：</w:t>
            </w:r>
            <w:r>
              <w:rPr>
                <w:rFonts w:hint="eastAsia" w:ascii="宋体" w:hAnsi="宋体" w:eastAsia="宋体" w:cs="宋体"/>
                <w:color w:val="auto"/>
                <w:sz w:val="21"/>
                <w:szCs w:val="21"/>
                <w:highlight w:val="none"/>
                <w:lang w:val="en-US" w:eastAsia="zh-CN"/>
              </w:rPr>
              <w:t xml:space="preserve">不需开关机，一个治疗手柄可直接进行不同波长滤光片的自由更换组合而开展全部波长范围的治疗，不需通过更换治疗手柄来改变波长的治疗方式 </w:t>
            </w:r>
          </w:p>
          <w:p w14:paraId="622A93D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2.配备6种强脉冲光滤波片及波长范围</w:t>
            </w:r>
            <w:r>
              <w:rPr>
                <w:rFonts w:ascii="Times New Roman" w:hAnsi="Times New Roman" w:eastAsia="宋体" w:cs="Times New Roman"/>
                <w:color w:val="auto"/>
                <w:highlight w:val="none"/>
              </w:rPr>
              <w:t>：</w:t>
            </w:r>
          </w:p>
          <w:p w14:paraId="0A0143A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420nm-1200nm / 515nm-1200nm / 560nm-1200nm</w:t>
            </w:r>
          </w:p>
          <w:p w14:paraId="61F05EA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590nm-1200nm / 640nm-1200nm / 695nm-1200nm</w:t>
            </w:r>
          </w:p>
          <w:p w14:paraId="176BFAB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能量密度：≥35J/</w:t>
            </w:r>
            <w:r>
              <w:rPr>
                <w:rFonts w:ascii="Times New Roman" w:hAnsi="Times New Roman" w:eastAsia="宋体" w:cs="Times New Roman"/>
                <w:color w:val="auto"/>
                <w:highlight w:val="none"/>
              </w:rPr>
              <w:t>cm²</w:t>
            </w:r>
          </w:p>
          <w:p w14:paraId="05B8261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4.脉冲串宽度：≥800ms</w:t>
            </w:r>
          </w:p>
          <w:p w14:paraId="636DF1C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▲5.单脉冲下最大子脉冲数：≥10个</w:t>
            </w:r>
          </w:p>
          <w:p w14:paraId="3843CC9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▲6.光斑面积：≥5</w:t>
            </w:r>
            <w:r>
              <w:rPr>
                <w:rFonts w:ascii="Times New Roman" w:hAnsi="Times New Roman" w:eastAsia="宋体" w:cs="Times New Roman"/>
                <w:color w:val="auto"/>
                <w:highlight w:val="none"/>
              </w:rPr>
              <w:t>cm²</w:t>
            </w:r>
          </w:p>
          <w:p w14:paraId="19804F3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7.配备圆形和方形小光斑适配器用于不同细小部位或不平整部位治疗：</w:t>
            </w:r>
          </w:p>
          <w:p w14:paraId="7BC6C6C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方形光斑适配器：面积≤2.25</w:t>
            </w:r>
            <w:r>
              <w:rPr>
                <w:rFonts w:ascii="Times New Roman" w:hAnsi="Times New Roman" w:eastAsia="宋体" w:cs="Times New Roman"/>
                <w:color w:val="auto"/>
                <w:highlight w:val="none"/>
              </w:rPr>
              <w:t>cm²</w:t>
            </w:r>
            <w:r>
              <w:rPr>
                <w:rFonts w:hint="eastAsia" w:ascii="宋体" w:hAnsi="宋体" w:eastAsia="宋体" w:cs="宋体"/>
                <w:color w:val="auto"/>
                <w:sz w:val="21"/>
                <w:szCs w:val="21"/>
                <w:highlight w:val="none"/>
                <w:lang w:val="en-US" w:eastAsia="zh-CN"/>
              </w:rPr>
              <w:t xml:space="preserve">   </w:t>
            </w:r>
          </w:p>
          <w:p w14:paraId="7125C53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圆形光斑适配器：直径≤11mm</w:t>
            </w:r>
          </w:p>
          <w:p w14:paraId="732D503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▲8.使用期限：≥10年；</w:t>
            </w:r>
          </w:p>
          <w:p w14:paraId="749135B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9.单个手具</w:t>
            </w:r>
            <w:r>
              <w:rPr>
                <w:rFonts w:hint="eastAsia" w:ascii="宋体" w:hAnsi="宋体" w:cs="宋体"/>
                <w:color w:val="auto"/>
                <w:sz w:val="21"/>
                <w:szCs w:val="21"/>
                <w:highlight w:val="none"/>
                <w:lang w:val="en-US" w:eastAsia="zh-CN"/>
              </w:rPr>
              <w:t>保有</w:t>
            </w:r>
            <w:r>
              <w:rPr>
                <w:rFonts w:hint="eastAsia" w:ascii="宋体" w:hAnsi="宋体" w:eastAsia="宋体" w:cs="宋体"/>
                <w:color w:val="auto"/>
                <w:sz w:val="21"/>
                <w:szCs w:val="21"/>
                <w:highlight w:val="none"/>
                <w:lang w:val="en-US" w:eastAsia="zh-CN"/>
              </w:rPr>
              <w:t>50万发光斑数，且无能量衰减。</w:t>
            </w:r>
          </w:p>
          <w:p w14:paraId="0C665DD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10.冷却方式：同步蓝宝石接触持续式冷却系统0℃-30℃可调，步进5℃</w:t>
            </w:r>
          </w:p>
          <w:p w14:paraId="307A9FD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11.屏幕自带能量密度</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脉宽显示</w:t>
            </w:r>
          </w:p>
          <w:p w14:paraId="7FCB3C8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12.屏幕自带当前滤波片显示</w:t>
            </w:r>
          </w:p>
          <w:p w14:paraId="585DE27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13.屏幕自带冷却温度显示</w:t>
            </w:r>
          </w:p>
          <w:p w14:paraId="69E0776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14.屏幕自带可存储治疗方案显示</w:t>
            </w:r>
          </w:p>
          <w:p w14:paraId="68EFC90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15.出光频率：支持升级为20Hz</w:t>
            </w:r>
          </w:p>
          <w:p w14:paraId="53CE7A4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二、氧化碳治疗仪参数</w:t>
            </w:r>
          </w:p>
          <w:p w14:paraId="256C925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1.激光波长：≥10.6µm</w:t>
            </w:r>
          </w:p>
          <w:p w14:paraId="44F777C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2.激光器：二氧化碳激光器</w:t>
            </w:r>
          </w:p>
          <w:p w14:paraId="32335AA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3.最大输出功率：连续模式≥</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w. 脉冲模式：≥8w</w:t>
            </w:r>
          </w:p>
          <w:p w14:paraId="421B2FB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4.激光工作方式：连续模式</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脉冲模式</w:t>
            </w:r>
          </w:p>
          <w:p w14:paraId="3AE08AF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5.导光系统：至少7关节平衡锤式导光臂</w:t>
            </w:r>
          </w:p>
          <w:p w14:paraId="559B0F0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6.终端输出激光功率不稳定度与复现性：≤±10%</w:t>
            </w:r>
          </w:p>
          <w:p w14:paraId="0950E9C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7.最大脉宽：≤400us </w:t>
            </w:r>
          </w:p>
          <w:p w14:paraId="0F1BA56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8.光斑直径：≤0.2mm</w:t>
            </w:r>
          </w:p>
          <w:p w14:paraId="4E5348E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9.治疗手柄：f=50mm/f=100mm聚焦输出手柄；f=50mm--f=100m点阵扫描手柄。</w:t>
            </w:r>
          </w:p>
          <w:p w14:paraId="7776BC1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10.点阵扫描手柄扫描模式：微电脑控制扫描头：其点阵数量和孔距可调</w:t>
            </w:r>
          </w:p>
          <w:p w14:paraId="667EEB3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11.点阵扫描手柄扫描图形：图形大小、点阵间距可调，图形包括矩形、圆形、直线、曲线。</w:t>
            </w:r>
          </w:p>
          <w:p w14:paraId="36399A0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12.点阵扫描手柄最大扫描面积：≥15mm*15mm</w:t>
            </w:r>
          </w:p>
          <w:p w14:paraId="26E279F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13.点阵扫描手柄最大能量：≥150mJ</w:t>
            </w:r>
          </w:p>
          <w:p w14:paraId="5967747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14.点阵扫描手柄最大剥脱深度：≥3000um</w:t>
            </w:r>
          </w:p>
          <w:p w14:paraId="4C9ED94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15.控制系统：彩色触摸屏(中文界面)</w:t>
            </w:r>
          </w:p>
          <w:p w14:paraId="03CEA07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16.瞄准光系统：650-670nm波长红色半导体指示光，亮度从弱到强可调</w:t>
            </w:r>
          </w:p>
          <w:p w14:paraId="2EA137A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17.冷却系统：封闭式内循环水冷却，配有水净化系统及温控系统</w:t>
            </w:r>
          </w:p>
          <w:p w14:paraId="1BE5EB3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18.保护系统：断水、过载双重保护</w:t>
            </w:r>
          </w:p>
          <w:p w14:paraId="5E6CB9F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三、Q开关Nd：YAG激光治疗仪参数</w:t>
            </w:r>
          </w:p>
          <w:p w14:paraId="121ECD0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1.激光工作物质：掺钕钇铝石榴石(Nd：YAG)</w:t>
            </w:r>
          </w:p>
          <w:p w14:paraId="4FB0A51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2.激光波长：1064nm /532nm双波长</w:t>
            </w:r>
          </w:p>
          <w:p w14:paraId="459B995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3.输出激光能量：1064nm：≥700mJ；532nm：≥400mj </w:t>
            </w:r>
          </w:p>
          <w:p w14:paraId="12825D24">
            <w:pPr>
              <w:widowControl/>
              <w:spacing w:line="360" w:lineRule="auto"/>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4.脉宽：≤6ns；</w:t>
            </w:r>
          </w:p>
          <w:p w14:paraId="4889B1A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5.最大频率：10Hz</w:t>
            </w:r>
          </w:p>
          <w:p w14:paraId="7F4507F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6.光斑模式：平帽式光斑</w:t>
            </w:r>
          </w:p>
          <w:p w14:paraId="124537C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7.手具：1-7mm智能光斑调节手具，支持调整光斑大小，自动识别能量密度。</w:t>
            </w:r>
          </w:p>
          <w:p w14:paraId="3C4876F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8.最小光斑直径：1064/532nm直径均为1mm</w:t>
            </w:r>
          </w:p>
          <w:p w14:paraId="46FA7AB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9.智能脉冲计数：具有光斑计数功能，能够显示单次治疗激光脉冲数和设备总输出激光脉冲数。</w:t>
            </w:r>
          </w:p>
          <w:p w14:paraId="73FF5B1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10.循环冷却系统：具有水冷、风冷、换热器三重水循环冷却功能，并配有温度监控功能。</w:t>
            </w:r>
          </w:p>
          <w:p w14:paraId="16BEE44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11.传输方式：7关节导光臂</w:t>
            </w:r>
          </w:p>
          <w:p w14:paraId="73ED17E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12.激光器：需采用无尘除湿全密封光路系统，内含两套陶瓷激光腔体。</w:t>
            </w:r>
          </w:p>
          <w:p w14:paraId="71024E6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13.瞄准光：波长650nm红色半导体指示光，亮度强弱两档可调。</w:t>
            </w:r>
          </w:p>
          <w:p w14:paraId="421AB8B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14.保护系统：断水</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过载等多重安全保护。</w:t>
            </w:r>
          </w:p>
          <w:p w14:paraId="1109AFC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15.适应环境室温：10℃～30℃；相对湿度：≤85%；</w:t>
            </w:r>
          </w:p>
          <w:p w14:paraId="2D48D25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四、强脉冲光治疗仪配置要求：</w:t>
            </w:r>
          </w:p>
          <w:p w14:paraId="3E0B9BE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 1台</w:t>
            </w:r>
          </w:p>
          <w:p w14:paraId="39F0FC5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2.治疗头 1个</w:t>
            </w:r>
          </w:p>
          <w:p w14:paraId="6A96EBB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3.滤波片（420nm）1个</w:t>
            </w:r>
          </w:p>
          <w:p w14:paraId="43DBABD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4.滤波片（515nm）1个</w:t>
            </w:r>
          </w:p>
          <w:p w14:paraId="372FF86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5.滤波片（560nm）1个</w:t>
            </w:r>
          </w:p>
          <w:p w14:paraId="0177F23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6.滤波片（590nm）1个</w:t>
            </w:r>
          </w:p>
          <w:p w14:paraId="2247601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7.滤波片（640nm）1个</w:t>
            </w:r>
          </w:p>
          <w:p w14:paraId="5D71069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8.滤波片（695nm）1个</w:t>
            </w:r>
          </w:p>
          <w:p w14:paraId="1C49056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9.光斑适配器11mm圆形 1个</w:t>
            </w:r>
          </w:p>
          <w:p w14:paraId="3000B6C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10.光斑适配器15mm正方形  1个</w:t>
            </w:r>
          </w:p>
          <w:p w14:paraId="303A728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11.脚踏开关 1个</w:t>
            </w:r>
          </w:p>
          <w:p w14:paraId="43A5005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12.钥匙开关 2把</w:t>
            </w:r>
          </w:p>
          <w:p w14:paraId="593FF81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13.遥控连锁插头 1个</w:t>
            </w:r>
          </w:p>
          <w:p w14:paraId="2F8CA28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14.防护眼镜 5副</w:t>
            </w:r>
          </w:p>
          <w:p w14:paraId="4758446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15.防护眼罩 5副</w:t>
            </w:r>
          </w:p>
          <w:p w14:paraId="2CBA81D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16.加/放水装置</w:t>
            </w:r>
          </w:p>
          <w:p w14:paraId="4BE2FAA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17.耦合胶 4瓶</w:t>
            </w:r>
          </w:p>
          <w:p w14:paraId="6B545B9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18.治疗室警告标牌 1张</w:t>
            </w:r>
          </w:p>
          <w:p w14:paraId="5A129EA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19.用户使用说明书 1份</w:t>
            </w:r>
          </w:p>
          <w:p w14:paraId="7FCA6D9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20.合格证 1份</w:t>
            </w:r>
          </w:p>
          <w:p w14:paraId="4F0FB7F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五、二氧化碳激光治疗仪配置要求：</w:t>
            </w:r>
          </w:p>
          <w:p w14:paraId="5254D09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1.二氧化碳激光治疗机主机1台</w:t>
            </w:r>
          </w:p>
          <w:p w14:paraId="1DA20EE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2.七关节导光臂1套</w:t>
            </w:r>
          </w:p>
          <w:p w14:paraId="359B95F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3.手术刀头 1套</w:t>
            </w:r>
          </w:p>
          <w:p w14:paraId="05A053B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4.扫描器及扫描头1套</w:t>
            </w:r>
          </w:p>
          <w:p w14:paraId="72D4769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5.防护眼镜及眼罩各1副</w:t>
            </w:r>
          </w:p>
          <w:p w14:paraId="7431DE9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6.锁开关钥匙2把</w:t>
            </w:r>
          </w:p>
          <w:p w14:paraId="36915C7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7.加水装置及溢流管 1套</w:t>
            </w:r>
          </w:p>
          <w:p w14:paraId="1841C49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8.手写笔 2支</w:t>
            </w:r>
          </w:p>
          <w:p w14:paraId="1F47DFE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9.遥控联锁 1个</w:t>
            </w:r>
          </w:p>
          <w:p w14:paraId="7CC2D06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10.电源线 1根</w:t>
            </w:r>
          </w:p>
          <w:p w14:paraId="2D5EA29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11.脚踏开关1个</w:t>
            </w:r>
          </w:p>
          <w:p w14:paraId="79EC3CE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12.激光警告标牌 1张</w:t>
            </w:r>
          </w:p>
          <w:p w14:paraId="65A32B5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13.备用保险(250V5A)  2个</w:t>
            </w:r>
          </w:p>
          <w:p w14:paraId="4786E94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14.用户手册1份</w:t>
            </w:r>
          </w:p>
          <w:p w14:paraId="2CACB6B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15.合格证 1份</w:t>
            </w:r>
          </w:p>
          <w:p w14:paraId="634F409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六、Q开关Nd：YAG激光治疗仪配置要求：</w:t>
            </w:r>
          </w:p>
          <w:p w14:paraId="342B1D5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1.激光治疗机主机1台</w:t>
            </w:r>
          </w:p>
          <w:p w14:paraId="1E193D2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2.导光臂（含刀头）1套</w:t>
            </w:r>
          </w:p>
          <w:p w14:paraId="5004D11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3.防护眼镜1副</w:t>
            </w:r>
          </w:p>
          <w:p w14:paraId="59DF353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4.防护眼罩1副</w:t>
            </w:r>
          </w:p>
          <w:p w14:paraId="462DBA3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5.锁开关钥匙2把</w:t>
            </w:r>
          </w:p>
          <w:p w14:paraId="0E626F4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6.遥控联锁1个</w:t>
            </w:r>
          </w:p>
          <w:p w14:paraId="60E2CC7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7.脚踏开关1个</w:t>
            </w:r>
          </w:p>
          <w:p w14:paraId="5746730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8.加水装置1套</w:t>
            </w:r>
          </w:p>
          <w:p w14:paraId="11F3B1A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9.溢流管1根</w:t>
            </w:r>
          </w:p>
          <w:p w14:paraId="05B1314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10.激光警告标牌1张</w:t>
            </w:r>
          </w:p>
          <w:p w14:paraId="34E5AD5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11.用户使用说明书1份</w:t>
            </w:r>
          </w:p>
          <w:p w14:paraId="0E24CBE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12.合格证1份</w:t>
            </w:r>
          </w:p>
          <w:p w14:paraId="020731D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13.详细项目</w:t>
            </w:r>
          </w:p>
          <w:p w14:paraId="69261CC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七、其他配置要求：</w:t>
            </w:r>
          </w:p>
          <w:p w14:paraId="54B5337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1.防护眼镜5副</w:t>
            </w:r>
          </w:p>
          <w:p w14:paraId="5AD7BE6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2.防护眼罩5副</w:t>
            </w:r>
          </w:p>
        </w:tc>
        <w:tc>
          <w:tcPr>
            <w:tcW w:w="1100" w:type="dxa"/>
            <w:tcBorders>
              <w:left w:val="single" w:color="auto" w:sz="4" w:space="0"/>
            </w:tcBorders>
            <w:shd w:val="clear" w:color="auto" w:fill="auto"/>
            <w:vAlign w:val="center"/>
          </w:tcPr>
          <w:p w14:paraId="12E1787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99</w:t>
            </w:r>
          </w:p>
        </w:tc>
      </w:tr>
      <w:tr w14:paraId="64E2CD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17" w:type="dxa"/>
            <w:gridSpan w:val="7"/>
            <w:tcBorders>
              <w:top w:val="single" w:color="auto" w:sz="4" w:space="0"/>
              <w:left w:val="single" w:color="auto" w:sz="4" w:space="0"/>
              <w:bottom w:val="single" w:color="auto" w:sz="4" w:space="0"/>
              <w:right w:val="single" w:color="auto" w:sz="4" w:space="0"/>
            </w:tcBorders>
            <w:vAlign w:val="top"/>
          </w:tcPr>
          <w:p w14:paraId="4283B858">
            <w:pPr>
              <w:spacing w:line="44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▲一、商务要求</w:t>
            </w:r>
          </w:p>
        </w:tc>
      </w:tr>
      <w:tr w14:paraId="7F9DC3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20" w:type="dxa"/>
            <w:gridSpan w:val="3"/>
            <w:tcBorders>
              <w:top w:val="single" w:color="auto" w:sz="4" w:space="0"/>
              <w:left w:val="single" w:color="auto" w:sz="4" w:space="0"/>
              <w:bottom w:val="single" w:color="auto" w:sz="4" w:space="0"/>
              <w:right w:val="single" w:color="auto" w:sz="4" w:space="0"/>
            </w:tcBorders>
            <w:vAlign w:val="center"/>
          </w:tcPr>
          <w:p w14:paraId="6B1E67F5">
            <w:pPr>
              <w:spacing w:line="440" w:lineRule="exac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交付时间</w:t>
            </w:r>
            <w:r>
              <w:rPr>
                <w:rFonts w:hint="eastAsia" w:ascii="宋体" w:hAnsi="宋体" w:eastAsia="宋体" w:cs="宋体"/>
                <w:b w:val="0"/>
                <w:bCs w:val="0"/>
                <w:color w:val="auto"/>
                <w:sz w:val="21"/>
                <w:szCs w:val="21"/>
                <w:highlight w:val="none"/>
                <w:lang w:eastAsia="zh-CN"/>
              </w:rPr>
              <w:t>（合同履行时间）</w:t>
            </w:r>
            <w:r>
              <w:rPr>
                <w:rFonts w:hint="eastAsia" w:ascii="宋体" w:hAnsi="宋体" w:eastAsia="宋体" w:cs="宋体"/>
                <w:b w:val="0"/>
                <w:bCs w:val="0"/>
                <w:color w:val="auto"/>
                <w:sz w:val="21"/>
                <w:szCs w:val="21"/>
                <w:highlight w:val="none"/>
              </w:rPr>
              <w:t>和地点</w:t>
            </w:r>
          </w:p>
        </w:tc>
        <w:tc>
          <w:tcPr>
            <w:tcW w:w="7297" w:type="dxa"/>
            <w:gridSpan w:val="4"/>
            <w:tcBorders>
              <w:top w:val="single" w:color="auto" w:sz="4" w:space="0"/>
              <w:left w:val="single" w:color="auto" w:sz="4" w:space="0"/>
              <w:bottom w:val="single" w:color="auto" w:sz="4" w:space="0"/>
              <w:right w:val="single" w:color="auto" w:sz="4" w:space="0"/>
            </w:tcBorders>
            <w:vAlign w:val="center"/>
          </w:tcPr>
          <w:p w14:paraId="14E444A7">
            <w:pPr>
              <w:spacing w:line="440" w:lineRule="exac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1.交付时间：</w:t>
            </w:r>
            <w:r>
              <w:rPr>
                <w:rFonts w:hint="eastAsia" w:ascii="宋体" w:hAnsi="宋体" w:eastAsia="宋体" w:cs="宋体"/>
                <w:b w:val="0"/>
                <w:bCs w:val="0"/>
                <w:color w:val="auto"/>
                <w:sz w:val="21"/>
                <w:szCs w:val="21"/>
                <w:highlight w:val="none"/>
                <w:lang w:eastAsia="zh-CN"/>
              </w:rPr>
              <w:t>收到采购人供货通知之日起60天内完成安装、调试、培训等全部工作，并交付使用（因采购人部分科室处于特殊装修阶段，具体进场时间以采购人通知为准，交付时间可根据采购人装修进度适当调整）。</w:t>
            </w:r>
          </w:p>
          <w:p w14:paraId="50F70BB5">
            <w:pPr>
              <w:widowControl w:val="0"/>
              <w:autoSpaceDE/>
              <w:autoSpaceDN/>
              <w:adjustRightInd/>
              <w:spacing w:line="440" w:lineRule="exac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bidi="ar-SA"/>
              </w:rPr>
              <w:t>2.交付地点：苍梧县中医医院采购人指定检查室或科室等。</w:t>
            </w:r>
          </w:p>
        </w:tc>
      </w:tr>
      <w:tr w14:paraId="485E7E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20" w:type="dxa"/>
            <w:gridSpan w:val="3"/>
            <w:tcBorders>
              <w:top w:val="single" w:color="auto" w:sz="4" w:space="0"/>
              <w:left w:val="single" w:color="auto" w:sz="4" w:space="0"/>
              <w:bottom w:val="single" w:color="auto" w:sz="4" w:space="0"/>
              <w:right w:val="single" w:color="auto" w:sz="4" w:space="0"/>
            </w:tcBorders>
            <w:vAlign w:val="center"/>
          </w:tcPr>
          <w:p w14:paraId="0F533997">
            <w:pPr>
              <w:spacing w:line="440" w:lineRule="exac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合同签订时间</w:t>
            </w:r>
          </w:p>
        </w:tc>
        <w:tc>
          <w:tcPr>
            <w:tcW w:w="7297" w:type="dxa"/>
            <w:gridSpan w:val="4"/>
            <w:tcBorders>
              <w:top w:val="single" w:color="auto" w:sz="4" w:space="0"/>
              <w:left w:val="single" w:color="auto" w:sz="4" w:space="0"/>
              <w:bottom w:val="single" w:color="auto" w:sz="4" w:space="0"/>
              <w:right w:val="single" w:color="auto" w:sz="4" w:space="0"/>
            </w:tcBorders>
            <w:vAlign w:val="center"/>
          </w:tcPr>
          <w:p w14:paraId="122C9229">
            <w:pPr>
              <w:widowControl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自中标通知书发出之日起15日内</w:t>
            </w:r>
          </w:p>
        </w:tc>
      </w:tr>
      <w:tr w14:paraId="6DF280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20" w:type="dxa"/>
            <w:gridSpan w:val="3"/>
            <w:tcBorders>
              <w:top w:val="single" w:color="auto" w:sz="4" w:space="0"/>
              <w:left w:val="single" w:color="auto" w:sz="4" w:space="0"/>
              <w:bottom w:val="single" w:color="auto" w:sz="4" w:space="0"/>
              <w:right w:val="single" w:color="auto" w:sz="4" w:space="0"/>
            </w:tcBorders>
            <w:vAlign w:val="center"/>
          </w:tcPr>
          <w:p w14:paraId="157CE478">
            <w:pPr>
              <w:spacing w:line="440" w:lineRule="exact"/>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rPr>
              <w:t>付款方式</w:t>
            </w:r>
          </w:p>
        </w:tc>
        <w:tc>
          <w:tcPr>
            <w:tcW w:w="7297" w:type="dxa"/>
            <w:gridSpan w:val="4"/>
            <w:tcBorders>
              <w:top w:val="single" w:color="auto" w:sz="4" w:space="0"/>
              <w:left w:val="single" w:color="auto" w:sz="4" w:space="0"/>
              <w:bottom w:val="single" w:color="auto" w:sz="4" w:space="0"/>
              <w:right w:val="single" w:color="auto" w:sz="4" w:space="0"/>
            </w:tcBorders>
            <w:vAlign w:val="center"/>
          </w:tcPr>
          <w:p w14:paraId="1C215476">
            <w:pPr>
              <w:widowControl/>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资金来源为政府专项债，采购人根据上级拨付资金的情况进行付款，资金未拨付到位的，中标供应商不得要求采购人履行付款义务。待资金下达到位后，中标供应商应提供符合税法规定的全额增值税发票，并按以下方式进行结算。双方签订采购合同后，中标供应商将货物供应至采购人指定地点，支付到货设备合同金额的60%；设备完成安装后，支付至安装设备合同金额的80%；验收合格并入库后，支付至验收设备合同金额的95%；余下的5%合同总额，在项目验收合格满一年，且货物不存在质量问题、中标供应商无其他违约及违法情形时，采购人需在15个工作日内付清（不计利息）。</w:t>
            </w:r>
          </w:p>
          <w:p w14:paraId="23D78C0A">
            <w:pPr>
              <w:widowControl/>
              <w:spacing w:line="440" w:lineRule="exac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合同签署的中标供应商名称、发票开具单位与收款单位必须保持一致。在合同执行过程中，中标供应商不得因其他不正当理由要求调整发票开具单位或收款单位，否则视为中标供应商违约。</w:t>
            </w:r>
          </w:p>
        </w:tc>
      </w:tr>
      <w:tr w14:paraId="4CAE6D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20" w:type="dxa"/>
            <w:gridSpan w:val="3"/>
            <w:tcBorders>
              <w:top w:val="single" w:color="auto" w:sz="4" w:space="0"/>
              <w:left w:val="single" w:color="auto" w:sz="4" w:space="0"/>
              <w:bottom w:val="single" w:color="auto" w:sz="4" w:space="0"/>
              <w:right w:val="single" w:color="auto" w:sz="4" w:space="0"/>
            </w:tcBorders>
            <w:vAlign w:val="center"/>
          </w:tcPr>
          <w:p w14:paraId="5D39CD8D">
            <w:pPr>
              <w:widowControl/>
              <w:spacing w:line="440" w:lineRule="exact"/>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bidi="ar"/>
              </w:rPr>
              <w:t>质保期</w:t>
            </w:r>
          </w:p>
        </w:tc>
        <w:tc>
          <w:tcPr>
            <w:tcW w:w="7297" w:type="dxa"/>
            <w:gridSpan w:val="4"/>
            <w:tcBorders>
              <w:top w:val="single" w:color="auto" w:sz="4" w:space="0"/>
              <w:left w:val="single" w:color="auto" w:sz="4" w:space="0"/>
              <w:bottom w:val="single" w:color="auto" w:sz="4" w:space="0"/>
              <w:right w:val="single" w:color="auto" w:sz="4" w:space="0"/>
            </w:tcBorders>
            <w:vAlign w:val="center"/>
          </w:tcPr>
          <w:p w14:paraId="3BA6B3E4">
            <w:pPr>
              <w:widowControl/>
              <w:spacing w:line="440" w:lineRule="exact"/>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bidi="ar"/>
              </w:rPr>
              <w:t>按国家有关产品“三包”规定执行“三包”，质保期不得少于</w:t>
            </w:r>
            <w:r>
              <w:rPr>
                <w:rFonts w:hint="eastAsia" w:ascii="宋体" w:hAnsi="宋体" w:eastAsia="宋体" w:cs="宋体"/>
                <w:b w:val="0"/>
                <w:bCs w:val="0"/>
                <w:color w:val="auto"/>
                <w:kern w:val="0"/>
                <w:sz w:val="21"/>
                <w:szCs w:val="21"/>
                <w:highlight w:val="none"/>
                <w:lang w:val="en-US" w:eastAsia="zh-CN" w:bidi="ar"/>
              </w:rPr>
              <w:t>3年，分项若有规定的，从其规定。</w:t>
            </w:r>
          </w:p>
        </w:tc>
      </w:tr>
      <w:tr w14:paraId="6F4A5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20" w:type="dxa"/>
            <w:gridSpan w:val="3"/>
            <w:tcBorders>
              <w:top w:val="single" w:color="auto" w:sz="4" w:space="0"/>
              <w:left w:val="single" w:color="auto" w:sz="4" w:space="0"/>
              <w:bottom w:val="single" w:color="auto" w:sz="4" w:space="0"/>
              <w:right w:val="single" w:color="auto" w:sz="4" w:space="0"/>
            </w:tcBorders>
            <w:vAlign w:val="center"/>
          </w:tcPr>
          <w:p w14:paraId="3486451B">
            <w:pPr>
              <w:widowControl/>
              <w:spacing w:line="440" w:lineRule="exact"/>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bidi="ar"/>
              </w:rPr>
              <w:t>售后服务及培训要求</w:t>
            </w:r>
          </w:p>
        </w:tc>
        <w:tc>
          <w:tcPr>
            <w:tcW w:w="7297" w:type="dxa"/>
            <w:gridSpan w:val="4"/>
            <w:tcBorders>
              <w:top w:val="single" w:color="auto" w:sz="4" w:space="0"/>
              <w:left w:val="single" w:color="auto" w:sz="4" w:space="0"/>
              <w:bottom w:val="single" w:color="auto" w:sz="4" w:space="0"/>
              <w:right w:val="single" w:color="auto" w:sz="4" w:space="0"/>
            </w:tcBorders>
            <w:vAlign w:val="center"/>
          </w:tcPr>
          <w:p w14:paraId="0671A241">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售后服务费用包含在报价中，售后服务内容如下： </w:t>
            </w:r>
          </w:p>
          <w:p w14:paraId="4DD459ED">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负责送货上门，</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安装调试至合格，负责培训。配置至少1名工程技术人员，随时提供安装、调试或维修等服务。配置专业技术人员提供技术培训，包括设备日常操作、工作原理、注意事项、简单故障排除、维护保养等方面的系统培训，保证使用人员正常操作设备的各种功能。时间、地点、人员由采购人确定，提前通知</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安排工程师到场。</w:t>
            </w:r>
          </w:p>
          <w:p w14:paraId="272E89EB">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定期回访以及对设备维修、更换配件。</w:t>
            </w:r>
          </w:p>
          <w:p w14:paraId="31CC8E2D">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应保证所供产品是全新的、未使用过的且是近</w:t>
            </w:r>
            <w:r>
              <w:rPr>
                <w:rFonts w:hint="eastAsia" w:ascii="宋体" w:hAnsi="宋体" w:eastAsia="宋体" w:cs="宋体"/>
                <w:b w:val="0"/>
                <w:bCs w:val="0"/>
                <w:color w:val="auto"/>
                <w:sz w:val="21"/>
                <w:szCs w:val="21"/>
                <w:highlight w:val="none"/>
                <w:lang w:val="en-US" w:eastAsia="zh-CN"/>
              </w:rPr>
              <w:t>半年</w:t>
            </w:r>
            <w:r>
              <w:rPr>
                <w:rFonts w:hint="eastAsia" w:ascii="宋体" w:hAnsi="宋体" w:eastAsia="宋体" w:cs="宋体"/>
                <w:b w:val="0"/>
                <w:bCs w:val="0"/>
                <w:color w:val="auto"/>
                <w:sz w:val="21"/>
                <w:szCs w:val="21"/>
                <w:highlight w:val="none"/>
              </w:rPr>
              <w:t>内生产的，并完全符合规定的质量、规格的要求。</w:t>
            </w:r>
          </w:p>
          <w:p w14:paraId="08C279CD">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便于售后问题的处理，响应时间＜4小时，接故障通知24小时内派合格的技术人员并携带工器具到达现场提供技术服务。</w:t>
            </w:r>
          </w:p>
          <w:p w14:paraId="25801F0E">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提供设备纸质版或电子版的操作规程和维护保养流程。</w:t>
            </w:r>
          </w:p>
          <w:p w14:paraId="58922B66">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设备如属于政府部门有强制检定要求的，</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应负责设备使用前的相关检定。</w:t>
            </w:r>
          </w:p>
          <w:p w14:paraId="67AC4606">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其余按厂家承诺。</w:t>
            </w:r>
          </w:p>
          <w:p w14:paraId="126205D4">
            <w:pPr>
              <w:widowControl/>
              <w:spacing w:line="44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8.其中皮肤病科中的第3项“激光治疗系统”在满足以上1-7点要求后须满足的其他售后服务要求：</w:t>
            </w:r>
          </w:p>
          <w:p w14:paraId="0A263E39">
            <w:pPr>
              <w:widowControl/>
              <w:spacing w:line="440" w:lineRule="exact"/>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default" w:ascii="宋体" w:hAnsi="宋体" w:eastAsia="宋体" w:cs="宋体"/>
                <w:b w:val="0"/>
                <w:bCs w:val="0"/>
                <w:color w:val="auto"/>
                <w:sz w:val="21"/>
                <w:szCs w:val="21"/>
                <w:highlight w:val="none"/>
                <w:lang w:val="en-US" w:eastAsia="zh-CN"/>
              </w:rPr>
              <w:t>培训：负责提供操作培训和维修培训 </w:t>
            </w:r>
          </w:p>
          <w:p w14:paraId="18262584">
            <w:pPr>
              <w:widowControl/>
              <w:spacing w:line="440" w:lineRule="exact"/>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default" w:ascii="宋体" w:hAnsi="宋体" w:eastAsia="宋体" w:cs="宋体"/>
                <w:b w:val="0"/>
                <w:bCs w:val="0"/>
                <w:color w:val="auto"/>
                <w:sz w:val="21"/>
                <w:szCs w:val="21"/>
                <w:highlight w:val="none"/>
                <w:lang w:val="en-US" w:eastAsia="zh-CN"/>
              </w:rPr>
              <w:t>必须由制造商提供专业技术服务，安装服务人员须有相应技术资质。</w:t>
            </w:r>
          </w:p>
          <w:p w14:paraId="185D665E">
            <w:pPr>
              <w:widowControl/>
              <w:spacing w:line="440" w:lineRule="exact"/>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default" w:ascii="宋体" w:hAnsi="宋体" w:eastAsia="宋体" w:cs="宋体"/>
                <w:b w:val="0"/>
                <w:bCs w:val="0"/>
                <w:color w:val="auto"/>
                <w:sz w:val="21"/>
                <w:szCs w:val="21"/>
                <w:highlight w:val="none"/>
                <w:lang w:val="en-US" w:eastAsia="zh-CN"/>
              </w:rPr>
              <w:t>必须由制造商提供临床技术支撑，安排有具备临床经验的专业人员，上门培训。</w:t>
            </w:r>
          </w:p>
          <w:p w14:paraId="59AF4FED">
            <w:pPr>
              <w:widowControl/>
              <w:spacing w:line="440" w:lineRule="exact"/>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r>
              <w:rPr>
                <w:rFonts w:hint="default" w:ascii="宋体" w:hAnsi="宋体" w:eastAsia="宋体" w:cs="宋体"/>
                <w:b w:val="0"/>
                <w:bCs w:val="0"/>
                <w:color w:val="auto"/>
                <w:sz w:val="21"/>
                <w:szCs w:val="21"/>
                <w:highlight w:val="none"/>
                <w:lang w:val="en-US" w:eastAsia="zh-CN"/>
              </w:rPr>
              <w:t>可安排异地激光基础专题培训和设备临床操</w:t>
            </w:r>
            <w:r>
              <w:rPr>
                <w:rFonts w:hint="eastAsia"/>
                <w:color w:val="auto"/>
                <w:highlight w:val="none"/>
                <w:lang w:val="en-US" w:eastAsia="zh-CN"/>
              </w:rPr>
              <w:t>作</w:t>
            </w:r>
            <w:r>
              <w:rPr>
                <w:rFonts w:hint="default" w:ascii="宋体" w:hAnsi="宋体" w:eastAsia="宋体" w:cs="宋体"/>
                <w:b w:val="0"/>
                <w:bCs w:val="0"/>
                <w:color w:val="auto"/>
                <w:sz w:val="21"/>
                <w:szCs w:val="21"/>
                <w:highlight w:val="none"/>
                <w:lang w:val="en-US" w:eastAsia="zh-CN"/>
              </w:rPr>
              <w:t>培训，时间不少于3天</w:t>
            </w:r>
          </w:p>
        </w:tc>
      </w:tr>
      <w:tr w14:paraId="78818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B16B73B">
            <w:pPr>
              <w:widowControl/>
              <w:spacing w:line="44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bidi="ar"/>
              </w:rPr>
              <w:t>投标报价要求</w:t>
            </w:r>
          </w:p>
        </w:tc>
        <w:tc>
          <w:tcPr>
            <w:tcW w:w="72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6C201F0">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投标报价为采购人指定地点的现场交货价，包括：</w:t>
            </w:r>
          </w:p>
          <w:p w14:paraId="0FBB2C1C">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货物的价格：</w:t>
            </w:r>
            <w:r>
              <w:rPr>
                <w:rFonts w:hint="eastAsia" w:ascii="宋体" w:hAnsi="宋体" w:eastAsia="宋体" w:cs="宋体"/>
                <w:b w:val="0"/>
                <w:bCs w:val="0"/>
                <w:color w:val="auto"/>
                <w:sz w:val="21"/>
                <w:szCs w:val="21"/>
                <w:highlight w:val="none"/>
                <w:lang w:val="en-US" w:eastAsia="zh-CN"/>
              </w:rPr>
              <w:t>包括</w:t>
            </w:r>
            <w:r>
              <w:rPr>
                <w:rFonts w:hint="eastAsia" w:ascii="宋体" w:hAnsi="宋体" w:eastAsia="宋体" w:cs="宋体"/>
                <w:b w:val="0"/>
                <w:bCs w:val="0"/>
                <w:color w:val="auto"/>
                <w:sz w:val="21"/>
                <w:szCs w:val="21"/>
                <w:highlight w:val="none"/>
              </w:rPr>
              <w:t>包装费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运费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装卸费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保险费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搬运费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安装费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调试费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检验</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计量检测</w:t>
            </w:r>
            <w:r>
              <w:rPr>
                <w:rFonts w:hint="eastAsia" w:ascii="宋体" w:hAnsi="宋体" w:eastAsia="宋体" w:cs="宋体"/>
                <w:b w:val="0"/>
                <w:bCs w:val="0"/>
                <w:color w:val="auto"/>
                <w:sz w:val="21"/>
                <w:szCs w:val="21"/>
                <w:highlight w:val="none"/>
              </w:rPr>
              <w:t>及检定验收费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售后服务费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培训费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质保期内无条件维修费，</w:t>
            </w:r>
            <w:r>
              <w:rPr>
                <w:rFonts w:hint="eastAsia" w:ascii="宋体" w:hAnsi="宋体" w:eastAsia="宋体" w:cs="宋体"/>
                <w:b w:val="0"/>
                <w:bCs w:val="0"/>
                <w:color w:val="auto"/>
                <w:sz w:val="21"/>
                <w:szCs w:val="21"/>
                <w:highlight w:val="none"/>
              </w:rPr>
              <w:t>税金等</w:t>
            </w:r>
            <w:r>
              <w:rPr>
                <w:rFonts w:hint="eastAsia" w:ascii="宋体" w:hAnsi="宋体" w:eastAsia="宋体" w:cs="宋体"/>
                <w:b w:val="0"/>
                <w:bCs w:val="0"/>
                <w:color w:val="auto"/>
                <w:sz w:val="21"/>
                <w:szCs w:val="21"/>
                <w:highlight w:val="none"/>
                <w:lang w:val="en-US" w:eastAsia="zh-CN"/>
              </w:rPr>
              <w:t>招标文件</w:t>
            </w:r>
            <w:r>
              <w:rPr>
                <w:rFonts w:hint="eastAsia" w:ascii="宋体" w:hAnsi="宋体" w:eastAsia="宋体" w:cs="宋体"/>
                <w:b w:val="0"/>
                <w:bCs w:val="0"/>
                <w:color w:val="auto"/>
                <w:sz w:val="21"/>
                <w:szCs w:val="21"/>
                <w:highlight w:val="none"/>
              </w:rPr>
              <w:t>和</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文件规定及合同包含的所有风险、责任等应有的全部费用</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凡是涉及</w:t>
            </w:r>
            <w:r>
              <w:rPr>
                <w:rFonts w:hint="eastAsia" w:ascii="宋体" w:hAnsi="宋体" w:eastAsia="宋体" w:cs="宋体"/>
                <w:b w:val="0"/>
                <w:bCs w:val="0"/>
                <w:color w:val="auto"/>
                <w:sz w:val="21"/>
                <w:szCs w:val="21"/>
                <w:highlight w:val="none"/>
              </w:rPr>
              <w:t>与医院信息系统</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如HIS系统等</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连接的接口问题，前述价款也包含</w:t>
            </w:r>
            <w:r>
              <w:rPr>
                <w:rFonts w:hint="eastAsia" w:ascii="宋体" w:hAnsi="宋体" w:eastAsia="宋体" w:cs="宋体"/>
                <w:b w:val="0"/>
                <w:bCs w:val="0"/>
                <w:color w:val="auto"/>
                <w:sz w:val="21"/>
                <w:szCs w:val="21"/>
                <w:highlight w:val="none"/>
                <w:lang w:val="en-US" w:eastAsia="zh-CN"/>
              </w:rPr>
              <w:t>双方</w:t>
            </w:r>
            <w:r>
              <w:rPr>
                <w:rFonts w:hint="eastAsia" w:ascii="宋体" w:hAnsi="宋体" w:eastAsia="宋体" w:cs="宋体"/>
                <w:b w:val="0"/>
                <w:bCs w:val="0"/>
                <w:color w:val="auto"/>
                <w:sz w:val="21"/>
                <w:szCs w:val="21"/>
                <w:highlight w:val="none"/>
              </w:rPr>
              <w:t>接口费用。</w:t>
            </w:r>
          </w:p>
          <w:p w14:paraId="5A35C635">
            <w:pPr>
              <w:widowControl/>
              <w:spacing w:line="440" w:lineRule="exact"/>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货物的标准附件、备品备件、专用工具的价格</w:t>
            </w:r>
            <w:r>
              <w:rPr>
                <w:rFonts w:hint="eastAsia" w:ascii="宋体" w:hAnsi="宋体" w:eastAsia="宋体" w:cs="宋体"/>
                <w:b w:val="0"/>
                <w:bCs w:val="0"/>
                <w:color w:val="auto"/>
                <w:sz w:val="21"/>
                <w:szCs w:val="21"/>
                <w:highlight w:val="none"/>
                <w:lang w:eastAsia="zh-CN"/>
              </w:rPr>
              <w:t>。</w:t>
            </w:r>
          </w:p>
          <w:p w14:paraId="7DC83C63">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采购代理服务费、保险费和各项税金。</w:t>
            </w:r>
          </w:p>
          <w:p w14:paraId="4D08224E">
            <w:pPr>
              <w:widowControl/>
              <w:spacing w:line="44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注：投标人自行考虑完成项目所需的辅材、杂配件等数量，投标报价中应包含全部内容，中标后采购人不再另行支付额外费用。</w:t>
            </w:r>
          </w:p>
        </w:tc>
      </w:tr>
      <w:tr w14:paraId="058D88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20" w:type="dxa"/>
            <w:gridSpan w:val="3"/>
            <w:tcBorders>
              <w:top w:val="single" w:color="auto" w:sz="4" w:space="0"/>
              <w:left w:val="single" w:color="auto" w:sz="4" w:space="0"/>
              <w:bottom w:val="single" w:color="auto" w:sz="4" w:space="0"/>
              <w:right w:val="single" w:color="auto" w:sz="4" w:space="0"/>
            </w:tcBorders>
            <w:vAlign w:val="center"/>
          </w:tcPr>
          <w:p w14:paraId="31D92303">
            <w:pPr>
              <w:widowControl/>
              <w:spacing w:line="440" w:lineRule="exact"/>
              <w:jc w:val="left"/>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验收标准</w:t>
            </w:r>
          </w:p>
        </w:tc>
        <w:tc>
          <w:tcPr>
            <w:tcW w:w="7297" w:type="dxa"/>
            <w:gridSpan w:val="4"/>
            <w:tcBorders>
              <w:top w:val="single" w:color="auto" w:sz="4" w:space="0"/>
              <w:left w:val="single" w:color="auto" w:sz="4" w:space="0"/>
              <w:bottom w:val="single" w:color="auto" w:sz="4" w:space="0"/>
              <w:right w:val="single" w:color="auto" w:sz="4" w:space="0"/>
            </w:tcBorders>
            <w:vAlign w:val="center"/>
          </w:tcPr>
          <w:p w14:paraId="4AAD473E">
            <w:pPr>
              <w:spacing w:line="44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验收标准：符合现行国家相关标准、行业标准、地方标准或者其他标准、规范。</w:t>
            </w:r>
          </w:p>
          <w:p w14:paraId="145733EC">
            <w:pPr>
              <w:spacing w:line="44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.本项目采购人委托国家认可的第三方机构进行验收，并由其出具验收报告材料。</w:t>
            </w:r>
          </w:p>
          <w:p w14:paraId="4A30D8A3">
            <w:pPr>
              <w:spacing w:line="44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在货物交付验收时，由采购人委托</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rPr>
              <w:t>第三方验收小组对照招标文件的项目要求及技术需求，全面核对检验</w:t>
            </w:r>
            <w:r>
              <w:rPr>
                <w:rFonts w:hint="eastAsia" w:ascii="宋体" w:hAnsi="宋体" w:eastAsia="宋体" w:cs="宋体"/>
                <w:b w:val="0"/>
                <w:bCs w:val="0"/>
                <w:color w:val="auto"/>
                <w:sz w:val="21"/>
                <w:szCs w:val="21"/>
                <w:highlight w:val="none"/>
                <w:lang w:eastAsia="zh-CN"/>
              </w:rPr>
              <w:t>，如不符合招标文件的技术需求及要求以及提供虚假承诺的，按相关规定做违约处理，中标供应商</w:t>
            </w:r>
            <w:r>
              <w:rPr>
                <w:rFonts w:hint="eastAsia" w:ascii="宋体" w:hAnsi="宋体" w:eastAsia="宋体" w:cs="宋体"/>
                <w:b w:val="0"/>
                <w:bCs w:val="0"/>
                <w:color w:val="auto"/>
                <w:sz w:val="21"/>
                <w:szCs w:val="21"/>
                <w:highlight w:val="none"/>
              </w:rPr>
              <w:t>承担所有责任和费用，采购人保留进一步追究责任的权利。</w:t>
            </w:r>
          </w:p>
          <w:p w14:paraId="0E8618D6">
            <w:pPr>
              <w:spacing w:line="44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验收时间</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 采购人收到</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验收申请之日起5个工作</w:t>
            </w:r>
            <w:r>
              <w:rPr>
                <w:rFonts w:hint="eastAsia" w:ascii="宋体" w:hAnsi="宋体" w:cs="宋体"/>
                <w:b w:val="0"/>
                <w:bCs w:val="0"/>
                <w:color w:val="auto"/>
                <w:sz w:val="21"/>
                <w:szCs w:val="21"/>
                <w:highlight w:val="none"/>
                <w:lang w:val="en-US" w:eastAsia="zh-CN"/>
              </w:rPr>
              <w:t>日内</w:t>
            </w:r>
            <w:r>
              <w:rPr>
                <w:rFonts w:hint="eastAsia" w:ascii="宋体" w:hAnsi="宋体" w:eastAsia="宋体" w:cs="宋体"/>
                <w:b w:val="0"/>
                <w:bCs w:val="0"/>
                <w:color w:val="auto"/>
                <w:sz w:val="21"/>
                <w:szCs w:val="21"/>
                <w:highlight w:val="none"/>
                <w:lang w:val="en-US" w:eastAsia="zh-CN"/>
              </w:rPr>
              <w:t>由</w:t>
            </w:r>
            <w:r>
              <w:rPr>
                <w:rFonts w:hint="eastAsia" w:ascii="宋体" w:hAnsi="宋体" w:eastAsia="宋体" w:cs="宋体"/>
                <w:b w:val="0"/>
                <w:bCs w:val="0"/>
                <w:color w:val="auto"/>
                <w:sz w:val="21"/>
                <w:szCs w:val="21"/>
                <w:highlight w:val="none"/>
              </w:rPr>
              <w:t>委托</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rPr>
              <w:t>第三方验收小组进行验收（如有特殊情况，按采购人指定的时间，另行验收）。</w:t>
            </w:r>
          </w:p>
          <w:p w14:paraId="06E89DE4">
            <w:pPr>
              <w:spacing w:line="44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验收地点：</w:t>
            </w:r>
            <w:r>
              <w:rPr>
                <w:rFonts w:hint="eastAsia" w:ascii="宋体" w:hAnsi="宋体" w:eastAsia="宋体" w:cs="宋体"/>
                <w:b w:val="0"/>
                <w:bCs w:val="0"/>
                <w:color w:val="auto"/>
                <w:sz w:val="21"/>
                <w:szCs w:val="21"/>
                <w:highlight w:val="none"/>
                <w:lang w:val="en-US" w:eastAsia="zh-CN"/>
              </w:rPr>
              <w:t>苍梧县中医医院内</w:t>
            </w:r>
            <w:r>
              <w:rPr>
                <w:rFonts w:hint="eastAsia" w:ascii="宋体" w:hAnsi="宋体" w:eastAsia="宋体" w:cs="宋体"/>
                <w:b w:val="0"/>
                <w:bCs w:val="0"/>
                <w:color w:val="auto"/>
                <w:sz w:val="21"/>
                <w:szCs w:val="21"/>
                <w:highlight w:val="none"/>
              </w:rPr>
              <w:t>。</w:t>
            </w:r>
          </w:p>
          <w:p w14:paraId="2E308FAA">
            <w:pPr>
              <w:spacing w:line="44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验收方式：</w:t>
            </w:r>
          </w:p>
          <w:p w14:paraId="77019B70">
            <w:pPr>
              <w:spacing w:line="44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完成货物安装调试和培训后，书面向采购人提交验收申请。</w:t>
            </w:r>
          </w:p>
          <w:p w14:paraId="428621BC">
            <w:pPr>
              <w:spacing w:line="440" w:lineRule="exac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）采购人收到中标人验收申请之日起5个工作</w:t>
            </w:r>
            <w:r>
              <w:rPr>
                <w:rFonts w:hint="eastAsia" w:ascii="宋体" w:hAnsi="宋体" w:eastAsia="宋体" w:cs="宋体"/>
                <w:b w:val="0"/>
                <w:bCs w:val="0"/>
                <w:color w:val="auto"/>
                <w:sz w:val="21"/>
                <w:szCs w:val="21"/>
                <w:highlight w:val="none"/>
                <w:lang w:val="en-US" w:eastAsia="zh-CN"/>
              </w:rPr>
              <w:t>日</w:t>
            </w:r>
            <w:r>
              <w:rPr>
                <w:rFonts w:hint="eastAsia" w:ascii="宋体" w:hAnsi="宋体" w:cs="宋体"/>
                <w:b w:val="0"/>
                <w:bCs w:val="0"/>
                <w:color w:val="auto"/>
                <w:sz w:val="21"/>
                <w:szCs w:val="21"/>
                <w:highlight w:val="none"/>
                <w:lang w:val="en-US" w:eastAsia="zh-CN"/>
              </w:rPr>
              <w:t>内</w:t>
            </w:r>
            <w:r>
              <w:rPr>
                <w:rFonts w:hint="eastAsia" w:ascii="宋体" w:hAnsi="宋体" w:eastAsia="宋体" w:cs="宋体"/>
                <w:b w:val="0"/>
                <w:bCs w:val="0"/>
                <w:color w:val="auto"/>
                <w:sz w:val="21"/>
                <w:szCs w:val="21"/>
                <w:highlight w:val="none"/>
                <w:lang w:val="en-US" w:eastAsia="zh-CN"/>
              </w:rPr>
              <w:t>由</w:t>
            </w:r>
            <w:r>
              <w:rPr>
                <w:rFonts w:hint="eastAsia" w:ascii="宋体" w:hAnsi="宋体" w:eastAsia="宋体" w:cs="宋体"/>
                <w:b w:val="0"/>
                <w:bCs w:val="0"/>
                <w:color w:val="auto"/>
                <w:sz w:val="21"/>
                <w:szCs w:val="21"/>
                <w:highlight w:val="none"/>
              </w:rPr>
              <w:t>委托</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rPr>
              <w:t>第三方验收小组进行验收（如有特殊情况，按采购人指定的时间，另行验收）</w:t>
            </w:r>
            <w:r>
              <w:rPr>
                <w:rFonts w:hint="eastAsia" w:ascii="宋体" w:hAnsi="宋体" w:eastAsia="宋体" w:cs="宋体"/>
                <w:b w:val="0"/>
                <w:bCs w:val="0"/>
                <w:color w:val="auto"/>
                <w:sz w:val="21"/>
                <w:szCs w:val="21"/>
                <w:highlight w:val="none"/>
                <w:lang w:eastAsia="zh-CN"/>
              </w:rPr>
              <w:t>。</w:t>
            </w:r>
          </w:p>
          <w:p w14:paraId="574FF171">
            <w:pPr>
              <w:spacing w:line="44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本项目验收由验收小组按照采购合同约定对每一项技术和商务要求的履约情况进行确认，作为验收依据；</w:t>
            </w:r>
          </w:p>
          <w:p w14:paraId="38F1CE81">
            <w:pPr>
              <w:spacing w:line="44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）验收结束后，验收小组出具采购验收书，验收书应当包括每一项技术和商务要求的履约情况，并列明项目总体评价，由验收小组、采购人和</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共同签署。</w:t>
            </w:r>
          </w:p>
          <w:p w14:paraId="1878A3DF">
            <w:pPr>
              <w:spacing w:line="44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）验收过程中所产生的一切费用均由</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承担。</w:t>
            </w:r>
            <w:r>
              <w:rPr>
                <w:rFonts w:hint="eastAsia" w:ascii="宋体" w:hAnsi="宋体" w:eastAsia="宋体" w:cs="宋体"/>
                <w:b w:val="0"/>
                <w:bCs w:val="0"/>
                <w:color w:val="auto"/>
                <w:sz w:val="21"/>
                <w:szCs w:val="21"/>
                <w:highlight w:val="none"/>
                <w:lang w:val="en-US" w:eastAsia="zh-CN"/>
              </w:rPr>
              <w:t>报价时应考虑相关费用。</w:t>
            </w:r>
          </w:p>
          <w:p w14:paraId="109498B5">
            <w:pPr>
              <w:spacing w:line="44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）验收书一式</w:t>
            </w:r>
            <w:r>
              <w:rPr>
                <w:rFonts w:hint="eastAsia" w:ascii="宋体" w:hAnsi="宋体" w:eastAsia="宋体" w:cs="宋体"/>
                <w:b w:val="0"/>
                <w:bCs w:val="0"/>
                <w:color w:val="auto"/>
                <w:sz w:val="21"/>
                <w:szCs w:val="21"/>
                <w:highlight w:val="none"/>
                <w:lang w:val="en-US" w:eastAsia="zh-CN"/>
              </w:rPr>
              <w:t>伍</w:t>
            </w:r>
            <w:r>
              <w:rPr>
                <w:rFonts w:hint="eastAsia" w:ascii="宋体" w:hAnsi="宋体" w:eastAsia="宋体" w:cs="宋体"/>
                <w:b w:val="0"/>
                <w:bCs w:val="0"/>
                <w:color w:val="auto"/>
                <w:sz w:val="21"/>
                <w:szCs w:val="21"/>
                <w:highlight w:val="none"/>
              </w:rPr>
              <w:t>份，双方各执两份</w:t>
            </w:r>
            <w:r>
              <w:rPr>
                <w:rFonts w:hint="eastAsia" w:ascii="宋体" w:hAnsi="宋体" w:eastAsia="宋体" w:cs="宋体"/>
                <w:b w:val="0"/>
                <w:bCs w:val="0"/>
                <w:color w:val="auto"/>
                <w:sz w:val="21"/>
                <w:szCs w:val="21"/>
                <w:highlight w:val="none"/>
                <w:lang w:eastAsia="zh-CN"/>
              </w:rPr>
              <w:t>，受托第三方机构一份</w:t>
            </w:r>
            <w:r>
              <w:rPr>
                <w:rFonts w:hint="eastAsia" w:ascii="宋体" w:hAnsi="宋体" w:eastAsia="宋体" w:cs="宋体"/>
                <w:b w:val="0"/>
                <w:bCs w:val="0"/>
                <w:color w:val="auto"/>
                <w:sz w:val="21"/>
                <w:szCs w:val="21"/>
                <w:highlight w:val="none"/>
              </w:rPr>
              <w:t xml:space="preserve">。 </w:t>
            </w:r>
          </w:p>
          <w:p w14:paraId="75D1297D">
            <w:pPr>
              <w:spacing w:line="44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）验收结论不合格的，</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应自收到验收书后5日内及时予以解决。经</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对验收结论不合格的货物进行整改后，仍然达不到要求的，经双方协商，可按以下办法处理：</w:t>
            </w:r>
          </w:p>
          <w:p w14:paraId="2A01D56A">
            <w:pPr>
              <w:spacing w:line="440" w:lineRule="exact"/>
              <w:rPr>
                <w:rFonts w:hint="eastAsia" w:ascii="宋体" w:hAnsi="宋体" w:eastAsia="宋体" w:cs="宋体"/>
                <w:b w:val="0"/>
                <w:bCs w:val="0"/>
                <w:color w:val="auto"/>
                <w:sz w:val="21"/>
                <w:szCs w:val="21"/>
                <w:highlight w:val="none"/>
              </w:rPr>
            </w:pPr>
            <w:r>
              <w:rPr>
                <w:rFonts w:hint="default" w:ascii="Calibri" w:hAnsi="Calibri" w:eastAsia="宋体" w:cs="Calibri"/>
                <w:b w:val="0"/>
                <w:bCs w:val="0"/>
                <w:color w:val="auto"/>
                <w:sz w:val="21"/>
                <w:szCs w:val="21"/>
                <w:highlight w:val="none"/>
              </w:rPr>
              <w:t>①</w:t>
            </w:r>
            <w:r>
              <w:rPr>
                <w:rFonts w:hint="eastAsia" w:ascii="宋体" w:hAnsi="宋体" w:eastAsia="宋体" w:cs="宋体"/>
                <w:b w:val="0"/>
                <w:bCs w:val="0"/>
                <w:color w:val="auto"/>
                <w:sz w:val="21"/>
                <w:szCs w:val="21"/>
                <w:highlight w:val="none"/>
              </w:rPr>
              <w:t>更换：由</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承担所发生的全部费用；</w:t>
            </w:r>
          </w:p>
          <w:p w14:paraId="7C100AD7">
            <w:pPr>
              <w:spacing w:line="440" w:lineRule="exact"/>
              <w:rPr>
                <w:rFonts w:hint="eastAsia" w:ascii="宋体" w:hAnsi="宋体" w:eastAsia="宋体" w:cs="宋体"/>
                <w:b w:val="0"/>
                <w:bCs w:val="0"/>
                <w:color w:val="auto"/>
                <w:sz w:val="21"/>
                <w:szCs w:val="21"/>
                <w:highlight w:val="none"/>
              </w:rPr>
            </w:pPr>
            <w:r>
              <w:rPr>
                <w:rFonts w:hint="default" w:ascii="Calibri" w:hAnsi="Calibri" w:eastAsia="宋体" w:cs="Calibri"/>
                <w:b w:val="0"/>
                <w:bCs w:val="0"/>
                <w:color w:val="auto"/>
                <w:sz w:val="21"/>
                <w:szCs w:val="21"/>
                <w:highlight w:val="none"/>
              </w:rPr>
              <w:t>②</w:t>
            </w:r>
            <w:r>
              <w:rPr>
                <w:rFonts w:hint="eastAsia" w:ascii="宋体" w:hAnsi="宋体" w:eastAsia="宋体" w:cs="宋体"/>
                <w:b w:val="0"/>
                <w:bCs w:val="0"/>
                <w:color w:val="auto"/>
                <w:sz w:val="21"/>
                <w:szCs w:val="21"/>
                <w:highlight w:val="none"/>
              </w:rPr>
              <w:t>退货处理：</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应退还采购人支付的合同款，同时应承担与该货物相关的直接费用（运输、保险、检验、合同款利息及银行手续费等）。</w:t>
            </w:r>
          </w:p>
          <w:p w14:paraId="7F78BD2C">
            <w:pPr>
              <w:spacing w:line="440" w:lineRule="exact"/>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sz w:val="21"/>
                <w:szCs w:val="21"/>
                <w:highlight w:val="none"/>
                <w:lang w:val="en-US" w:eastAsia="zh-CN"/>
              </w:rPr>
              <w:t>6.履约验收其他事项：验收时，属于国家规定检定范围（首次计量检测等）内的设备，必须出具有效的鉴定报告，质检费用包含在投标报价中，由中标供应商支付。</w:t>
            </w:r>
          </w:p>
        </w:tc>
      </w:tr>
      <w:tr w14:paraId="6EC4B9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9217" w:type="dxa"/>
            <w:gridSpan w:val="7"/>
            <w:tcBorders>
              <w:top w:val="single" w:color="auto" w:sz="4" w:space="0"/>
              <w:left w:val="single" w:color="auto" w:sz="4" w:space="0"/>
              <w:bottom w:val="single" w:color="auto" w:sz="4" w:space="0"/>
              <w:right w:val="single" w:color="auto" w:sz="4" w:space="0"/>
            </w:tcBorders>
            <w:vAlign w:val="center"/>
          </w:tcPr>
          <w:p w14:paraId="58B84B46">
            <w:pPr>
              <w:spacing w:line="44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二、与实现项目目标相关的其他要求</w:t>
            </w:r>
          </w:p>
        </w:tc>
      </w:tr>
      <w:tr w14:paraId="20E80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17" w:type="dxa"/>
            <w:gridSpan w:val="7"/>
            <w:tcBorders>
              <w:top w:val="single" w:color="auto" w:sz="4" w:space="0"/>
              <w:left w:val="single" w:color="auto" w:sz="4" w:space="0"/>
              <w:bottom w:val="single" w:color="auto" w:sz="4" w:space="0"/>
              <w:right w:val="single" w:color="auto" w:sz="4" w:space="0"/>
            </w:tcBorders>
            <w:vAlign w:val="top"/>
          </w:tcPr>
          <w:p w14:paraId="4F3F4C64">
            <w:pPr>
              <w:widowControl/>
              <w:spacing w:line="440" w:lineRule="exact"/>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bidi="ar"/>
              </w:rPr>
              <w:t>（</w:t>
            </w:r>
            <w:r>
              <w:rPr>
                <w:rFonts w:hint="eastAsia" w:ascii="宋体" w:hAnsi="宋体" w:eastAsia="宋体" w:cs="宋体"/>
                <w:b w:val="0"/>
                <w:bCs w:val="0"/>
                <w:color w:val="auto"/>
                <w:kern w:val="0"/>
                <w:sz w:val="21"/>
                <w:szCs w:val="21"/>
                <w:highlight w:val="none"/>
                <w:lang w:val="en-US" w:eastAsia="zh-CN" w:bidi="ar"/>
              </w:rPr>
              <w:t>一</w:t>
            </w:r>
            <w:r>
              <w:rPr>
                <w:rFonts w:hint="eastAsia" w:ascii="宋体" w:hAnsi="宋体" w:eastAsia="宋体" w:cs="宋体"/>
                <w:b w:val="0"/>
                <w:bCs w:val="0"/>
                <w:color w:val="auto"/>
                <w:kern w:val="0"/>
                <w:sz w:val="21"/>
                <w:szCs w:val="21"/>
                <w:highlight w:val="none"/>
                <w:lang w:bidi="ar"/>
              </w:rPr>
              <w:t>）政策性加分条件</w:t>
            </w:r>
          </w:p>
        </w:tc>
      </w:tr>
      <w:tr w14:paraId="19A6F3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17" w:type="dxa"/>
            <w:gridSpan w:val="7"/>
            <w:tcBorders>
              <w:top w:val="single" w:color="auto" w:sz="4" w:space="0"/>
              <w:left w:val="single" w:color="auto" w:sz="4" w:space="0"/>
              <w:bottom w:val="single" w:color="auto" w:sz="4" w:space="0"/>
              <w:right w:val="single" w:color="auto" w:sz="4" w:space="0"/>
            </w:tcBorders>
            <w:vAlign w:val="center"/>
          </w:tcPr>
          <w:p w14:paraId="2E87270E">
            <w:pPr>
              <w:widowControl/>
              <w:spacing w:line="440" w:lineRule="exact"/>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bidi="ar"/>
              </w:rPr>
              <w:t>符合节能环保等国家政策要求</w:t>
            </w:r>
          </w:p>
        </w:tc>
      </w:tr>
      <w:tr w14:paraId="614210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17" w:type="dxa"/>
            <w:gridSpan w:val="7"/>
            <w:tcBorders>
              <w:top w:val="single" w:color="auto" w:sz="4" w:space="0"/>
              <w:left w:val="single" w:color="auto" w:sz="4" w:space="0"/>
              <w:bottom w:val="single" w:color="auto" w:sz="4" w:space="0"/>
              <w:right w:val="single" w:color="auto" w:sz="4" w:space="0"/>
            </w:tcBorders>
            <w:vAlign w:val="top"/>
          </w:tcPr>
          <w:p w14:paraId="34253F52">
            <w:pPr>
              <w:spacing w:line="440" w:lineRule="exact"/>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bidi="ar"/>
              </w:rPr>
              <w:t>（</w:t>
            </w:r>
            <w:r>
              <w:rPr>
                <w:rFonts w:hint="eastAsia" w:ascii="宋体" w:hAnsi="宋体" w:eastAsia="宋体" w:cs="宋体"/>
                <w:b w:val="0"/>
                <w:bCs w:val="0"/>
                <w:color w:val="auto"/>
                <w:kern w:val="0"/>
                <w:sz w:val="21"/>
                <w:szCs w:val="21"/>
                <w:highlight w:val="none"/>
                <w:lang w:val="en-US" w:eastAsia="zh-CN" w:bidi="ar"/>
              </w:rPr>
              <w:t>二</w:t>
            </w:r>
            <w:r>
              <w:rPr>
                <w:rFonts w:hint="eastAsia" w:ascii="宋体" w:hAnsi="宋体" w:eastAsia="宋体" w:cs="宋体"/>
                <w:b w:val="0"/>
                <w:bCs w:val="0"/>
                <w:color w:val="auto"/>
                <w:kern w:val="0"/>
                <w:sz w:val="21"/>
                <w:szCs w:val="21"/>
                <w:highlight w:val="none"/>
                <w:lang w:bidi="ar"/>
              </w:rPr>
              <w:t>）进口产品说明</w:t>
            </w:r>
          </w:p>
        </w:tc>
      </w:tr>
      <w:tr w14:paraId="54F21E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20" w:type="dxa"/>
            <w:gridSpan w:val="3"/>
            <w:tcBorders>
              <w:top w:val="single" w:color="auto" w:sz="4" w:space="0"/>
              <w:left w:val="single" w:color="auto" w:sz="4" w:space="0"/>
              <w:bottom w:val="single" w:color="auto" w:sz="4" w:space="0"/>
              <w:right w:val="single" w:color="auto" w:sz="4" w:space="0"/>
            </w:tcBorders>
            <w:vAlign w:val="center"/>
          </w:tcPr>
          <w:p w14:paraId="2235E0C3">
            <w:pPr>
              <w:spacing w:line="440" w:lineRule="exact"/>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sz w:val="21"/>
                <w:szCs w:val="21"/>
                <w:highlight w:val="none"/>
              </w:rPr>
              <w:t>进口产品说明</w:t>
            </w:r>
          </w:p>
        </w:tc>
        <w:tc>
          <w:tcPr>
            <w:tcW w:w="7297" w:type="dxa"/>
            <w:gridSpan w:val="4"/>
            <w:tcBorders>
              <w:top w:val="single" w:color="auto" w:sz="4" w:space="0"/>
              <w:left w:val="single" w:color="auto" w:sz="4" w:space="0"/>
              <w:bottom w:val="single" w:color="auto" w:sz="4" w:space="0"/>
              <w:right w:val="single" w:color="auto" w:sz="4" w:space="0"/>
            </w:tcBorders>
            <w:vAlign w:val="top"/>
          </w:tcPr>
          <w:p w14:paraId="2C200452">
            <w:pPr>
              <w:spacing w:line="440" w:lineRule="exact"/>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bCs/>
                <w:color w:val="auto"/>
                <w:sz w:val="21"/>
                <w:szCs w:val="21"/>
                <w:highlight w:val="none"/>
              </w:rPr>
              <w:t>本分标货物不接受进口产品（即通过中国海关报关验放进入中国境内且</w:t>
            </w:r>
            <w:r>
              <w:rPr>
                <w:rFonts w:hint="eastAsia" w:ascii="宋体" w:hAnsi="宋体" w:eastAsia="宋体" w:cs="宋体"/>
                <w:b/>
                <w:bCs/>
                <w:color w:val="auto"/>
                <w:sz w:val="21"/>
                <w:szCs w:val="21"/>
                <w:highlight w:val="none"/>
                <w:lang w:eastAsia="zh-CN"/>
              </w:rPr>
              <w:t>产自境外的产品</w:t>
            </w:r>
            <w:r>
              <w:rPr>
                <w:rFonts w:hint="eastAsia" w:ascii="宋体" w:hAnsi="宋体" w:eastAsia="宋体" w:cs="宋体"/>
                <w:b/>
                <w:bCs/>
                <w:color w:val="auto"/>
                <w:sz w:val="21"/>
                <w:szCs w:val="21"/>
                <w:highlight w:val="none"/>
              </w:rPr>
              <w:t>）参与投标，</w:t>
            </w:r>
            <w:r>
              <w:rPr>
                <w:rFonts w:hint="eastAsia" w:ascii="宋体" w:hAnsi="宋体" w:eastAsia="宋体" w:cs="宋体"/>
                <w:b/>
                <w:bCs/>
                <w:color w:val="auto"/>
                <w:sz w:val="21"/>
                <w:szCs w:val="21"/>
                <w:highlight w:val="none"/>
                <w:lang w:eastAsia="zh-CN"/>
              </w:rPr>
              <w:t>如有进口产品参与投标的，其投标文件按无效处理</w:t>
            </w:r>
            <w:r>
              <w:rPr>
                <w:rFonts w:hint="eastAsia" w:ascii="宋体" w:hAnsi="宋体" w:eastAsia="宋体" w:cs="宋体"/>
                <w:b/>
                <w:bCs/>
                <w:color w:val="auto"/>
                <w:sz w:val="21"/>
                <w:szCs w:val="21"/>
                <w:highlight w:val="none"/>
              </w:rPr>
              <w:t>。</w:t>
            </w:r>
          </w:p>
        </w:tc>
      </w:tr>
      <w:tr w14:paraId="46168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17" w:type="dxa"/>
            <w:gridSpan w:val="7"/>
            <w:tcBorders>
              <w:top w:val="single" w:color="auto" w:sz="4" w:space="0"/>
              <w:left w:val="single" w:color="auto" w:sz="4" w:space="0"/>
              <w:bottom w:val="single" w:color="auto" w:sz="4" w:space="0"/>
              <w:right w:val="single" w:color="auto" w:sz="4" w:space="0"/>
            </w:tcBorders>
            <w:vAlign w:val="center"/>
          </w:tcPr>
          <w:p w14:paraId="4C28C326">
            <w:pPr>
              <w:spacing w:line="440" w:lineRule="exact"/>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w:t>
            </w:r>
            <w:r>
              <w:rPr>
                <w:rFonts w:hint="eastAsia" w:ascii="宋体" w:hAnsi="宋体" w:eastAsia="宋体" w:cs="宋体"/>
                <w:b w:val="0"/>
                <w:bCs w:val="0"/>
                <w:color w:val="auto"/>
                <w:kern w:val="0"/>
                <w:sz w:val="21"/>
                <w:szCs w:val="21"/>
                <w:highlight w:val="none"/>
                <w:lang w:val="en-US" w:eastAsia="zh-CN" w:bidi="ar"/>
              </w:rPr>
              <w:t>三</w:t>
            </w:r>
            <w:r>
              <w:rPr>
                <w:rFonts w:hint="eastAsia" w:ascii="宋体" w:hAnsi="宋体" w:eastAsia="宋体" w:cs="宋体"/>
                <w:b w:val="0"/>
                <w:bCs w:val="0"/>
                <w:color w:val="auto"/>
                <w:kern w:val="0"/>
                <w:sz w:val="21"/>
                <w:szCs w:val="21"/>
                <w:highlight w:val="none"/>
                <w:lang w:bidi="ar"/>
              </w:rPr>
              <w:t>）其他要求</w:t>
            </w:r>
          </w:p>
        </w:tc>
      </w:tr>
      <w:tr w14:paraId="69B230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20" w:type="dxa"/>
            <w:gridSpan w:val="3"/>
            <w:tcBorders>
              <w:top w:val="single" w:color="auto" w:sz="4" w:space="0"/>
              <w:left w:val="single" w:color="auto" w:sz="4" w:space="0"/>
              <w:bottom w:val="single" w:color="auto" w:sz="4" w:space="0"/>
              <w:right w:val="single" w:color="auto" w:sz="4" w:space="0"/>
            </w:tcBorders>
            <w:vAlign w:val="center"/>
          </w:tcPr>
          <w:p w14:paraId="69332CF0">
            <w:pPr>
              <w:spacing w:line="440" w:lineRule="exact"/>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其他要求</w:t>
            </w:r>
          </w:p>
        </w:tc>
        <w:tc>
          <w:tcPr>
            <w:tcW w:w="7297" w:type="dxa"/>
            <w:gridSpan w:val="4"/>
            <w:tcBorders>
              <w:top w:val="single" w:color="auto" w:sz="4" w:space="0"/>
              <w:left w:val="single" w:color="auto" w:sz="4" w:space="0"/>
              <w:bottom w:val="single" w:color="auto" w:sz="4" w:space="0"/>
              <w:right w:val="single" w:color="auto" w:sz="4" w:space="0"/>
            </w:tcBorders>
            <w:vAlign w:val="top"/>
          </w:tcPr>
          <w:p w14:paraId="7540C5CA">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1.投标产品属医疗器械产品的需要在投标文件中提供该设备、配附件（如有）、耗材（如有）有效的医疗器械注册证，否则投标文件按无效处理。</w:t>
            </w:r>
          </w:p>
          <w:p w14:paraId="5C91DCB4">
            <w:pPr>
              <w:widowControl/>
              <w:spacing w:line="440" w:lineRule="exact"/>
              <w:jc w:val="left"/>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sz w:val="21"/>
                <w:szCs w:val="21"/>
                <w:highlight w:val="none"/>
              </w:rPr>
              <w:t>2.为保证项目顺利实施，</w:t>
            </w:r>
            <w:r>
              <w:rPr>
                <w:rFonts w:hint="eastAsia" w:ascii="宋体" w:hAnsi="宋体" w:eastAsia="宋体" w:cs="宋体"/>
                <w:b w:val="0"/>
                <w:bCs w:val="0"/>
                <w:color w:val="auto"/>
                <w:sz w:val="21"/>
                <w:szCs w:val="21"/>
                <w:highlight w:val="none"/>
                <w:lang w:eastAsia="zh-CN"/>
              </w:rPr>
              <w:t>投标人可根据自身情况在投标文件中提供项目实施方案（</w:t>
            </w:r>
            <w:r>
              <w:rPr>
                <w:rFonts w:hint="eastAsia" w:ascii="宋体" w:hAnsi="宋体" w:eastAsia="宋体" w:cs="宋体"/>
                <w:b w:val="0"/>
                <w:bCs w:val="0"/>
                <w:color w:val="auto"/>
                <w:sz w:val="21"/>
                <w:szCs w:val="21"/>
                <w:highlight w:val="none"/>
                <w:lang w:val="en-US" w:eastAsia="zh-CN"/>
              </w:rPr>
              <w:t>包含对</w:t>
            </w:r>
            <w:r>
              <w:rPr>
                <w:rFonts w:hint="eastAsia" w:ascii="宋体" w:hAnsi="宋体" w:cs="宋体"/>
                <w:b w:val="0"/>
                <w:bCs w:val="0"/>
                <w:color w:val="auto"/>
                <w:sz w:val="21"/>
                <w:szCs w:val="21"/>
                <w:highlight w:val="none"/>
                <w:lang w:val="en-US" w:eastAsia="zh-CN"/>
              </w:rPr>
              <w:t>运输方案</w:t>
            </w:r>
            <w:r>
              <w:rPr>
                <w:rFonts w:hint="eastAsia" w:ascii="宋体" w:hAnsi="宋体" w:eastAsia="宋体" w:cs="宋体"/>
                <w:b w:val="0"/>
                <w:bCs w:val="0"/>
                <w:color w:val="auto"/>
                <w:sz w:val="21"/>
                <w:szCs w:val="21"/>
                <w:highlight w:val="none"/>
                <w:lang w:val="en-US" w:eastAsia="zh-CN"/>
              </w:rPr>
              <w:t>、具体实施流程、进度安排、安装调试和管理等</w:t>
            </w:r>
            <w:r>
              <w:rPr>
                <w:rFonts w:hint="eastAsia" w:ascii="宋体" w:hAnsi="宋体" w:eastAsia="宋体" w:cs="宋体"/>
                <w:b w:val="0"/>
                <w:bCs w:val="0"/>
                <w:color w:val="auto"/>
                <w:sz w:val="21"/>
                <w:szCs w:val="21"/>
                <w:highlight w:val="none"/>
                <w:lang w:eastAsia="zh-CN"/>
              </w:rPr>
              <w:t>）、售后服务方案（</w:t>
            </w:r>
            <w:r>
              <w:rPr>
                <w:rFonts w:hint="eastAsia" w:ascii="宋体" w:hAnsi="宋体" w:eastAsia="宋体" w:cs="宋体"/>
                <w:b w:val="0"/>
                <w:bCs w:val="0"/>
                <w:color w:val="auto"/>
                <w:sz w:val="21"/>
                <w:szCs w:val="21"/>
                <w:highlight w:val="none"/>
                <w:lang w:val="en-US" w:eastAsia="zh-CN"/>
              </w:rPr>
              <w:t>包含对质量保证措施、应急响应方案和排除故障响应时间、人员培训方案、质保期内的保养方案等</w:t>
            </w:r>
            <w:r>
              <w:rPr>
                <w:rFonts w:hint="eastAsia" w:ascii="宋体" w:hAnsi="宋体" w:eastAsia="宋体" w:cs="宋体"/>
                <w:b w:val="0"/>
                <w:bCs w:val="0"/>
                <w:color w:val="auto"/>
                <w:sz w:val="21"/>
                <w:szCs w:val="21"/>
                <w:highlight w:val="none"/>
                <w:lang w:eastAsia="zh-CN"/>
              </w:rPr>
              <w:t>）等内容</w:t>
            </w:r>
            <w:r>
              <w:rPr>
                <w:rFonts w:hint="eastAsia" w:ascii="宋体" w:hAnsi="宋体" w:eastAsia="宋体" w:cs="宋体"/>
                <w:b w:val="0"/>
                <w:bCs w:val="0"/>
                <w:color w:val="auto"/>
                <w:sz w:val="21"/>
                <w:szCs w:val="21"/>
                <w:highlight w:val="none"/>
              </w:rPr>
              <w:t>。</w:t>
            </w:r>
          </w:p>
        </w:tc>
      </w:tr>
    </w:tbl>
    <w:p w14:paraId="3386828A">
      <w:pPr>
        <w:rPr>
          <w:color w:val="auto"/>
          <w:highlight w:val="none"/>
        </w:rPr>
      </w:pPr>
      <w:r>
        <w:rPr>
          <w:color w:val="auto"/>
          <w:highlight w:val="none"/>
        </w:rPr>
        <w:br w:type="page"/>
      </w:r>
    </w:p>
    <w:p w14:paraId="19826F44">
      <w:pPr>
        <w:spacing w:line="360" w:lineRule="auto"/>
        <w:ind w:firstLine="308" w:firstLineChars="147"/>
        <w:jc w:val="left"/>
        <w:rPr>
          <w:rFonts w:hint="eastAsia" w:ascii="宋体" w:hAnsi="宋体"/>
          <w:b/>
          <w:color w:val="auto"/>
          <w:szCs w:val="21"/>
          <w:highlight w:val="none"/>
          <w:lang w:eastAsia="zh-CN"/>
        </w:rPr>
      </w:pPr>
      <w:r>
        <w:rPr>
          <w:rFonts w:hint="eastAsia" w:ascii="宋体" w:hAnsi="宋体" w:cs="Arial"/>
          <w:bCs/>
          <w:color w:val="auto"/>
          <w:szCs w:val="21"/>
          <w:highlight w:val="none"/>
          <w:u w:val="single"/>
        </w:rPr>
        <w:t xml:space="preserve"> 2 </w:t>
      </w:r>
      <w:r>
        <w:rPr>
          <w:rFonts w:hint="eastAsia" w:ascii="宋体" w:hAnsi="宋体"/>
          <w:b/>
          <w:color w:val="auto"/>
          <w:szCs w:val="21"/>
          <w:highlight w:val="none"/>
        </w:rPr>
        <w:t>分标</w:t>
      </w:r>
      <w:r>
        <w:rPr>
          <w:rFonts w:hint="eastAsia" w:ascii="宋体" w:hAnsi="宋体"/>
          <w:b/>
          <w:color w:val="auto"/>
          <w:szCs w:val="21"/>
          <w:highlight w:val="none"/>
          <w:lang w:eastAsia="zh-CN"/>
        </w:rPr>
        <w:t>（眼科、耳鼻喉科、口腔科、</w:t>
      </w:r>
      <w:r>
        <w:rPr>
          <w:rFonts w:hint="eastAsia" w:ascii="宋体" w:hAnsi="宋体"/>
          <w:b/>
          <w:color w:val="auto"/>
          <w:szCs w:val="21"/>
          <w:highlight w:val="none"/>
          <w:lang w:val="en-US" w:eastAsia="zh-CN"/>
        </w:rPr>
        <w:t>急诊科、</w:t>
      </w:r>
      <w:r>
        <w:rPr>
          <w:rFonts w:hint="eastAsia" w:ascii="宋体" w:hAnsi="宋体"/>
          <w:b/>
          <w:color w:val="auto"/>
          <w:szCs w:val="21"/>
          <w:highlight w:val="none"/>
          <w:lang w:eastAsia="zh-CN"/>
        </w:rPr>
        <w:t>病房基本设备）</w:t>
      </w:r>
    </w:p>
    <w:p w14:paraId="41237427">
      <w:pPr>
        <w:spacing w:line="360" w:lineRule="auto"/>
        <w:ind w:firstLine="310" w:firstLineChars="147"/>
        <w:jc w:val="left"/>
        <w:rPr>
          <w:rFonts w:hint="eastAsia" w:ascii="宋体" w:hAnsi="宋体" w:cs="Arial"/>
          <w:bCs/>
          <w:color w:val="auto"/>
          <w:szCs w:val="21"/>
          <w:highlight w:val="none"/>
          <w:u w:val="single"/>
        </w:rPr>
      </w:pPr>
      <w:r>
        <w:rPr>
          <w:rFonts w:hint="eastAsia" w:ascii="宋体" w:hAnsi="宋体"/>
          <w:b/>
          <w:color w:val="auto"/>
          <w:szCs w:val="21"/>
          <w:highlight w:val="none"/>
        </w:rPr>
        <w:t>采购预算：</w:t>
      </w:r>
      <w:r>
        <w:rPr>
          <w:rFonts w:hint="eastAsia" w:ascii="宋体" w:hAnsi="宋体"/>
          <w:b/>
          <w:color w:val="auto"/>
          <w:szCs w:val="21"/>
          <w:highlight w:val="none"/>
          <w:u w:val="single"/>
          <w:lang w:eastAsia="zh-CN"/>
        </w:rPr>
        <w:t>4221040.00</w:t>
      </w:r>
      <w:r>
        <w:rPr>
          <w:rFonts w:hint="eastAsia" w:ascii="宋体" w:hAnsi="宋体" w:cs="Arial"/>
          <w:bCs/>
          <w:color w:val="auto"/>
          <w:szCs w:val="21"/>
          <w:highlight w:val="none"/>
          <w:u w:val="single"/>
        </w:rPr>
        <w:t>元</w:t>
      </w:r>
    </w:p>
    <w:p w14:paraId="53FD4507">
      <w:pPr>
        <w:spacing w:line="360" w:lineRule="auto"/>
        <w:ind w:firstLine="310" w:firstLineChars="147"/>
        <w:jc w:val="left"/>
        <w:rPr>
          <w:rFonts w:hint="eastAsia" w:ascii="宋体" w:hAnsi="宋体" w:cs="Arial"/>
          <w:bCs/>
          <w:color w:val="auto"/>
          <w:szCs w:val="21"/>
          <w:highlight w:val="none"/>
          <w:u w:val="single"/>
        </w:rPr>
      </w:pPr>
      <w:r>
        <w:rPr>
          <w:rFonts w:hint="eastAsia" w:ascii="宋体" w:hAnsi="宋体"/>
          <w:b/>
          <w:color w:val="auto"/>
          <w:szCs w:val="21"/>
          <w:highlight w:val="none"/>
        </w:rPr>
        <w:t>本分标的核心产品为下表的</w:t>
      </w:r>
      <w:r>
        <w:rPr>
          <w:rFonts w:hint="eastAsia" w:ascii="宋体" w:hAnsi="宋体"/>
          <w:b/>
          <w:color w:val="auto"/>
          <w:szCs w:val="21"/>
          <w:highlight w:val="none"/>
          <w:u w:val="single"/>
          <w:lang w:val="en-US" w:eastAsia="zh-CN"/>
        </w:rPr>
        <w:t xml:space="preserve"> </w:t>
      </w:r>
      <w:r>
        <w:rPr>
          <w:rFonts w:hint="eastAsia" w:asciiTheme="minorEastAsia" w:hAnsiTheme="minorEastAsia" w:eastAsiaTheme="minorEastAsia" w:cstheme="minorEastAsia"/>
          <w:b/>
          <w:bCs/>
          <w:i w:val="0"/>
          <w:iCs w:val="0"/>
          <w:color w:val="auto"/>
          <w:kern w:val="0"/>
          <w:sz w:val="21"/>
          <w:szCs w:val="21"/>
          <w:highlight w:val="none"/>
          <w:u w:val="single"/>
          <w:lang w:val="en-US" w:eastAsia="zh-CN" w:bidi="ar"/>
        </w:rPr>
        <w:t xml:space="preserve">电子鼻咽喉内窥镜系统 </w:t>
      </w:r>
      <w:r>
        <w:rPr>
          <w:rFonts w:hint="eastAsia" w:asciiTheme="minorEastAsia" w:hAnsiTheme="minorEastAsia" w:eastAsiaTheme="minorEastAsia" w:cstheme="minorEastAsia"/>
          <w:i w:val="0"/>
          <w:iCs w:val="0"/>
          <w:color w:val="auto"/>
          <w:kern w:val="0"/>
          <w:sz w:val="21"/>
          <w:szCs w:val="21"/>
          <w:highlight w:val="none"/>
          <w:u w:val="single"/>
          <w:lang w:val="en-US" w:eastAsia="zh-CN" w:bidi="ar"/>
        </w:rPr>
        <w:t xml:space="preserve"> </w:t>
      </w:r>
      <w:r>
        <w:rPr>
          <w:rFonts w:hint="eastAsia" w:ascii="宋体" w:hAnsi="宋体" w:eastAsiaTheme="minorEastAsia"/>
          <w:b/>
          <w:color w:val="auto"/>
          <w:szCs w:val="21"/>
          <w:highlight w:val="none"/>
          <w:lang w:val="en-US" w:eastAsia="zh-CN"/>
        </w:rPr>
        <w:t xml:space="preserve"> </w:t>
      </w:r>
      <w:r>
        <w:rPr>
          <w:rFonts w:hint="eastAsia" w:ascii="宋体" w:hAnsi="宋体"/>
          <w:b/>
          <w:color w:val="auto"/>
          <w:szCs w:val="21"/>
          <w:highlight w:val="none"/>
        </w:rPr>
        <w:t>产品。</w:t>
      </w:r>
    </w:p>
    <w:tbl>
      <w:tblPr>
        <w:tblStyle w:val="46"/>
        <w:tblpPr w:leftFromText="180" w:rightFromText="180" w:vertAnchor="text" w:horzAnchor="page" w:tblpX="1290" w:tblpY="408"/>
        <w:tblOverlap w:val="never"/>
        <w:tblW w:w="92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850"/>
        <w:gridCol w:w="500"/>
        <w:gridCol w:w="10"/>
        <w:gridCol w:w="504"/>
        <w:gridCol w:w="5721"/>
        <w:gridCol w:w="1100"/>
      </w:tblGrid>
      <w:tr w14:paraId="73030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0967C86C">
            <w:pPr>
              <w:tabs>
                <w:tab w:val="left" w:pos="180"/>
                <w:tab w:val="left" w:pos="1620"/>
              </w:tabs>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850" w:type="dxa"/>
            <w:vAlign w:val="center"/>
          </w:tcPr>
          <w:p w14:paraId="26BECCF7">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标的的名称</w:t>
            </w:r>
          </w:p>
        </w:tc>
        <w:tc>
          <w:tcPr>
            <w:tcW w:w="500" w:type="dxa"/>
            <w:tcBorders>
              <w:right w:val="single" w:color="auto" w:sz="4" w:space="0"/>
            </w:tcBorders>
            <w:vAlign w:val="center"/>
          </w:tcPr>
          <w:p w14:paraId="08044172">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数量</w:t>
            </w:r>
          </w:p>
        </w:tc>
        <w:tc>
          <w:tcPr>
            <w:tcW w:w="514" w:type="dxa"/>
            <w:gridSpan w:val="2"/>
            <w:tcBorders>
              <w:left w:val="single" w:color="auto" w:sz="4" w:space="0"/>
              <w:right w:val="single" w:color="auto" w:sz="4" w:space="0"/>
            </w:tcBorders>
            <w:vAlign w:val="center"/>
          </w:tcPr>
          <w:p w14:paraId="4DC76E2E">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单位</w:t>
            </w:r>
          </w:p>
        </w:tc>
        <w:tc>
          <w:tcPr>
            <w:tcW w:w="5721" w:type="dxa"/>
            <w:tcBorders>
              <w:left w:val="single" w:color="auto" w:sz="4" w:space="0"/>
              <w:right w:val="single" w:color="auto" w:sz="4" w:space="0"/>
            </w:tcBorders>
            <w:vAlign w:val="center"/>
          </w:tcPr>
          <w:p w14:paraId="285BFA8E">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技术要求</w:t>
            </w:r>
          </w:p>
        </w:tc>
        <w:tc>
          <w:tcPr>
            <w:tcW w:w="1100" w:type="dxa"/>
            <w:tcBorders>
              <w:left w:val="single" w:color="auto" w:sz="4" w:space="0"/>
            </w:tcBorders>
            <w:vAlign w:val="center"/>
          </w:tcPr>
          <w:p w14:paraId="40EC612D">
            <w:pPr>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控制单价（万元）</w:t>
            </w:r>
          </w:p>
        </w:tc>
      </w:tr>
      <w:tr w14:paraId="45E56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9252" w:type="dxa"/>
            <w:gridSpan w:val="7"/>
            <w:vAlign w:val="center"/>
          </w:tcPr>
          <w:p w14:paraId="4300F4E2">
            <w:pPr>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眼科</w:t>
            </w:r>
          </w:p>
        </w:tc>
      </w:tr>
      <w:tr w14:paraId="4B8EE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06742F34">
            <w:pPr>
              <w:numPr>
                <w:ilvl w:val="0"/>
                <w:numId w:val="8"/>
              </w:numPr>
              <w:snapToGrid w:val="0"/>
              <w:spacing w:line="360" w:lineRule="auto"/>
              <w:jc w:val="center"/>
              <w:rPr>
                <w:rFonts w:hint="eastAsia" w:ascii="宋体" w:hAnsi="宋体" w:eastAsia="宋体" w:cs="宋体"/>
                <w:color w:val="auto"/>
                <w:sz w:val="21"/>
                <w:szCs w:val="21"/>
                <w:highlight w:val="none"/>
              </w:rPr>
            </w:pPr>
          </w:p>
        </w:tc>
        <w:tc>
          <w:tcPr>
            <w:tcW w:w="850" w:type="dxa"/>
            <w:vAlign w:val="center"/>
          </w:tcPr>
          <w:p w14:paraId="282F7B2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裂隙灯（数码裂隙灯显微镜）</w:t>
            </w:r>
          </w:p>
        </w:tc>
        <w:tc>
          <w:tcPr>
            <w:tcW w:w="500" w:type="dxa"/>
            <w:tcBorders>
              <w:right w:val="single" w:color="auto" w:sz="4" w:space="0"/>
            </w:tcBorders>
            <w:shd w:val="clear" w:color="auto" w:fill="auto"/>
            <w:vAlign w:val="center"/>
          </w:tcPr>
          <w:p w14:paraId="2BAC10D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gridSpan w:val="2"/>
            <w:tcBorders>
              <w:left w:val="single" w:color="auto" w:sz="4" w:space="0"/>
              <w:right w:val="single" w:color="auto" w:sz="4" w:space="0"/>
            </w:tcBorders>
            <w:vAlign w:val="center"/>
          </w:tcPr>
          <w:p w14:paraId="13BB5D35">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台</w:t>
            </w:r>
          </w:p>
        </w:tc>
        <w:tc>
          <w:tcPr>
            <w:tcW w:w="5721" w:type="dxa"/>
            <w:tcBorders>
              <w:left w:val="single" w:color="auto" w:sz="4" w:space="0"/>
              <w:right w:val="single" w:color="auto" w:sz="4" w:space="0"/>
            </w:tcBorders>
            <w:vAlign w:val="center"/>
          </w:tcPr>
          <w:p w14:paraId="310C2349">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445C604A">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1.显微镜类型：伽利略平行夹角式</w:t>
            </w:r>
          </w:p>
          <w:p w14:paraId="44C1E8ED">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2.变倍方式：5档转鼓变倍式</w:t>
            </w:r>
          </w:p>
          <w:p w14:paraId="3AC15C5E">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3.放大倍率：6.3X、10X、16X、25X、40X</w:t>
            </w:r>
          </w:p>
          <w:p w14:paraId="73147DB2">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4.目镜倍率：≥12.5X</w:t>
            </w:r>
          </w:p>
          <w:p w14:paraId="17BA3B5C">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5.瞳距调节范围：52~80mm</w:t>
            </w:r>
          </w:p>
          <w:p w14:paraId="641697FA">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▲6.屈光度调节：≥-8D~+8D</w:t>
            </w:r>
          </w:p>
          <w:p w14:paraId="54D8B8AA">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7.视场直径：Ø36.2mm、Ø22.3mm、Ø14mm、Ø8.9mm、Ø5.7mm</w:t>
            </w:r>
          </w:p>
          <w:p w14:paraId="0569495E">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8.裂隙宽度：0~14mm连续可调（在14mm时，裂隙呈圆形）</w:t>
            </w:r>
          </w:p>
          <w:p w14:paraId="6653E65A">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9.裂隙高度：1~14mm连续可调</w:t>
            </w:r>
          </w:p>
          <w:p w14:paraId="11EA2A9F">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10.光斑直径：Ø14mm、Ø10mm、Ø5mm、Ø3mm、Ø2mm、Ø1mm、Ø0.2mm</w:t>
            </w:r>
          </w:p>
          <w:p w14:paraId="6B9EC61D">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11.裂隙角度：0°~180°</w:t>
            </w:r>
          </w:p>
          <w:p w14:paraId="33265F88">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12.裂隙倾角：5°、10°、15°、20°</w:t>
            </w:r>
          </w:p>
          <w:p w14:paraId="7ED6B868">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13.滤色片：隔热片、减光片、无赤片、钴蓝片、黄色滤色片</w:t>
            </w:r>
          </w:p>
          <w:p w14:paraId="40A2037F">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▲14.光源：卤素灯</w:t>
            </w:r>
          </w:p>
          <w:p w14:paraId="5B20F4D8">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15.照度：≥150klx</w:t>
            </w:r>
          </w:p>
          <w:p w14:paraId="498936F8">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16.亮度调节方式：亮度连续可调</w:t>
            </w:r>
          </w:p>
          <w:p w14:paraId="6882CD93">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▲17.背景照明：集自然光/红外光于一体的同轴背景光源模块</w:t>
            </w:r>
          </w:p>
          <w:p w14:paraId="6AFA9000">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18.背景照明亮度调节方式：自然光亮度连续可调</w:t>
            </w:r>
          </w:p>
          <w:p w14:paraId="66B101B2">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19.自动数码模块：自动/手动曝光，自动增益，光圈可调，五种白平衡模式，可开关宽动态范围</w:t>
            </w:r>
          </w:p>
          <w:p w14:paraId="15F4A421">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20.可拍摄睑板腺；AI睑板腺分析，自动计算睑板腺缺失率分级，评估睑板腺形态改变，诊断睑板腺功能障碍引起的干眼。</w:t>
            </w:r>
          </w:p>
          <w:p w14:paraId="1E87613E">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21.照片分辨率：≥2592</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1944</w:t>
            </w:r>
          </w:p>
          <w:p w14:paraId="08CD946A">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22.视频分辨率：≥2592</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1944</w:t>
            </w:r>
          </w:p>
          <w:p w14:paraId="06F4FA14">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23.视频帧率：≥25fps</w:t>
            </w:r>
          </w:p>
          <w:p w14:paraId="7A449899">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24.智能病例管理软件：支持病例编辑储存，病例对比，</w:t>
            </w:r>
            <w:r>
              <w:rPr>
                <w:rFonts w:hint="eastAsia" w:ascii="宋体" w:hAnsi="宋体" w:cs="宋体"/>
                <w:color w:val="auto"/>
                <w:sz w:val="21"/>
                <w:szCs w:val="21"/>
                <w:highlight w:val="none"/>
                <w:lang w:val="en-US" w:eastAsia="zh-CN"/>
              </w:rPr>
              <w:t>具备</w:t>
            </w:r>
            <w:r>
              <w:rPr>
                <w:rFonts w:hint="eastAsia" w:ascii="宋体" w:hAnsi="宋体" w:eastAsia="宋体" w:cs="宋体"/>
                <w:color w:val="auto"/>
                <w:sz w:val="21"/>
                <w:szCs w:val="21"/>
                <w:highlight w:val="none"/>
                <w:lang w:val="en-US" w:eastAsia="zh-CN"/>
              </w:rPr>
              <w:t>图像后期处理功能，可测量长度，进行面积计算，注解和注释等</w:t>
            </w:r>
          </w:p>
          <w:p w14:paraId="796F221F">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▲25.内置宽压电源组件，集电源开关、亮度调节旋钮、多点触控拍照按钮于一体</w:t>
            </w:r>
          </w:p>
          <w:p w14:paraId="431FB838">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二、配置需求：</w:t>
            </w:r>
          </w:p>
          <w:p w14:paraId="1710595F">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1.裂隙灯主机1套</w:t>
            </w:r>
          </w:p>
          <w:p w14:paraId="180E147A">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2.数码模块1个</w:t>
            </w:r>
          </w:p>
          <w:p w14:paraId="34847617">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3.电动升降桌1张</w:t>
            </w:r>
          </w:p>
          <w:p w14:paraId="7DBE2BF4">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color w:val="auto"/>
                <w:highlight w:val="none"/>
                <w:lang w:val="en-US" w:eastAsia="zh-CN"/>
              </w:rPr>
              <w:t>操作系统一体机</w:t>
            </w:r>
            <w:r>
              <w:rPr>
                <w:rFonts w:hint="eastAsia" w:ascii="宋体" w:hAnsi="宋体" w:eastAsia="宋体" w:cs="宋体"/>
                <w:color w:val="auto"/>
                <w:sz w:val="21"/>
                <w:szCs w:val="21"/>
                <w:highlight w:val="none"/>
                <w:lang w:val="en-US" w:eastAsia="zh-CN"/>
              </w:rPr>
              <w:t>1台</w:t>
            </w:r>
          </w:p>
          <w:p w14:paraId="23A36D41">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报告输出装置</w:t>
            </w:r>
            <w:r>
              <w:rPr>
                <w:rFonts w:hint="eastAsia" w:ascii="宋体" w:hAnsi="宋体" w:eastAsia="宋体" w:cs="宋体"/>
                <w:color w:val="auto"/>
                <w:sz w:val="21"/>
                <w:szCs w:val="21"/>
                <w:highlight w:val="none"/>
                <w:lang w:val="en-US" w:eastAsia="zh-CN"/>
              </w:rPr>
              <w:t>1台</w:t>
            </w:r>
          </w:p>
        </w:tc>
        <w:tc>
          <w:tcPr>
            <w:tcW w:w="1100" w:type="dxa"/>
            <w:tcBorders>
              <w:left w:val="single" w:color="auto" w:sz="4" w:space="0"/>
            </w:tcBorders>
            <w:shd w:val="clear" w:color="auto" w:fill="auto"/>
            <w:vAlign w:val="center"/>
          </w:tcPr>
          <w:p w14:paraId="25E52B4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w:t>
            </w:r>
          </w:p>
        </w:tc>
      </w:tr>
      <w:tr w14:paraId="05CAB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7867036D">
            <w:pPr>
              <w:numPr>
                <w:ilvl w:val="0"/>
                <w:numId w:val="8"/>
              </w:numPr>
              <w:snapToGrid w:val="0"/>
              <w:spacing w:line="360" w:lineRule="auto"/>
              <w:jc w:val="center"/>
              <w:rPr>
                <w:rFonts w:hint="eastAsia" w:ascii="宋体" w:hAnsi="宋体" w:eastAsia="宋体" w:cs="宋体"/>
                <w:color w:val="auto"/>
                <w:sz w:val="21"/>
                <w:szCs w:val="21"/>
                <w:highlight w:val="none"/>
              </w:rPr>
            </w:pPr>
          </w:p>
        </w:tc>
        <w:tc>
          <w:tcPr>
            <w:tcW w:w="850" w:type="dxa"/>
            <w:vAlign w:val="center"/>
          </w:tcPr>
          <w:p w14:paraId="562449C0">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眼压计（非接触眼压计）</w:t>
            </w:r>
          </w:p>
        </w:tc>
        <w:tc>
          <w:tcPr>
            <w:tcW w:w="500" w:type="dxa"/>
            <w:tcBorders>
              <w:right w:val="single" w:color="auto" w:sz="4" w:space="0"/>
            </w:tcBorders>
            <w:shd w:val="clear" w:color="auto" w:fill="auto"/>
            <w:vAlign w:val="center"/>
          </w:tcPr>
          <w:p w14:paraId="262A1D4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gridSpan w:val="2"/>
            <w:tcBorders>
              <w:left w:val="single" w:color="auto" w:sz="4" w:space="0"/>
              <w:right w:val="single" w:color="auto" w:sz="4" w:space="0"/>
            </w:tcBorders>
            <w:vAlign w:val="center"/>
          </w:tcPr>
          <w:p w14:paraId="5602D6F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台</w:t>
            </w:r>
          </w:p>
        </w:tc>
        <w:tc>
          <w:tcPr>
            <w:tcW w:w="5721" w:type="dxa"/>
            <w:tcBorders>
              <w:left w:val="single" w:color="auto" w:sz="4" w:space="0"/>
              <w:right w:val="single" w:color="auto" w:sz="4" w:space="0"/>
            </w:tcBorders>
            <w:vAlign w:val="center"/>
          </w:tcPr>
          <w:p w14:paraId="50027551">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一、功能性参数要求：</w:t>
            </w:r>
          </w:p>
          <w:p w14:paraId="1700C974">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测量范围</w:t>
            </w:r>
            <w:r>
              <w:rPr>
                <w:rFonts w:hint="eastAsia" w:ascii="宋体" w:hAnsi="宋体" w:cs="宋体"/>
                <w:color w:val="auto"/>
                <w:sz w:val="21"/>
                <w:szCs w:val="21"/>
                <w:highlight w:val="none"/>
                <w:lang w:eastAsia="zh-CN"/>
              </w:rPr>
              <w:t>：</w:t>
            </w:r>
          </w:p>
          <w:p w14:paraId="3B3AC2C3">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模式1：≥0～30mmHg（0～40hPa）</w:t>
            </w:r>
          </w:p>
          <w:p w14:paraId="79A08BE6">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模式2：≥0～60mmHg（0～80hPa）</w:t>
            </w:r>
          </w:p>
          <w:p w14:paraId="39DC2D8B">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测量偏差</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≤±1mmHg（±1.33hPa）</w:t>
            </w:r>
          </w:p>
          <w:p w14:paraId="75E1EC51">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最高喷气压强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≤82.5mmHg（110hPa）</w:t>
            </w:r>
          </w:p>
          <w:p w14:paraId="5E54DF62">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调节范围</w:t>
            </w:r>
            <w:r>
              <w:rPr>
                <w:rFonts w:hint="eastAsia" w:ascii="宋体" w:hAnsi="宋体" w:cs="宋体"/>
                <w:color w:val="auto"/>
                <w:sz w:val="21"/>
                <w:szCs w:val="21"/>
                <w:highlight w:val="none"/>
                <w:lang w:eastAsia="zh-CN"/>
              </w:rPr>
              <w:t>：</w:t>
            </w:r>
          </w:p>
          <w:p w14:paraId="226FE06F">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测试头左右位移调节范围≥80mm</w:t>
            </w:r>
          </w:p>
          <w:p w14:paraId="570C835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测试头前后位移调节范围≥40mm</w:t>
            </w:r>
          </w:p>
          <w:p w14:paraId="03647E70">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测试头上下位移调节范围≥30mm</w:t>
            </w:r>
          </w:p>
          <w:p w14:paraId="5AC8A24D">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颌托支架移动调节范围≥40mm</w:t>
            </w:r>
          </w:p>
          <w:p w14:paraId="541CABDE">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测量模式</w:t>
            </w:r>
            <w:r>
              <w:rPr>
                <w:rFonts w:hint="eastAsia" w:ascii="宋体" w:hAnsi="宋体" w:cs="宋体"/>
                <w:color w:val="auto"/>
                <w:sz w:val="21"/>
                <w:szCs w:val="21"/>
                <w:highlight w:val="none"/>
                <w:lang w:eastAsia="zh-CN"/>
              </w:rPr>
              <w:t>：</w:t>
            </w:r>
          </w:p>
          <w:p w14:paraId="0F171710">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支持</w:t>
            </w:r>
            <w:r>
              <w:rPr>
                <w:rFonts w:hint="eastAsia" w:ascii="宋体" w:hAnsi="宋体" w:eastAsia="宋体" w:cs="宋体"/>
                <w:color w:val="auto"/>
                <w:sz w:val="21"/>
                <w:szCs w:val="21"/>
                <w:highlight w:val="none"/>
              </w:rPr>
              <w:t>选择全自动或半自动模式进行测量；</w:t>
            </w:r>
          </w:p>
          <w:p w14:paraId="397551F4">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在全自动模式下，点击启动会依次对左右眼进行自动找眼并对焦打眼；</w:t>
            </w:r>
          </w:p>
          <w:p w14:paraId="5C4ECFDC">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在半自动模式下，手动对焦后，点击启动会进行对焦喷气；</w:t>
            </w:r>
          </w:p>
          <w:p w14:paraId="21A18B73">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支持</w:t>
            </w:r>
            <w:r>
              <w:rPr>
                <w:rFonts w:hint="eastAsia" w:ascii="宋体" w:hAnsi="宋体" w:eastAsia="宋体" w:cs="宋体"/>
                <w:color w:val="auto"/>
                <w:sz w:val="21"/>
                <w:szCs w:val="21"/>
                <w:highlight w:val="none"/>
              </w:rPr>
              <w:t>设置自动测量次数：一次/三次</w:t>
            </w:r>
          </w:p>
          <w:p w14:paraId="6E2E235D">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安全限位</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可以设置电机向前移动的最远距离，避免触碰人眼</w:t>
            </w:r>
          </w:p>
          <w:p w14:paraId="68857C9F">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显示方式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≥10.1英寸彩色显示屏</w:t>
            </w:r>
          </w:p>
          <w:p w14:paraId="54B4E627">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报告打印</w:t>
            </w:r>
            <w:r>
              <w:rPr>
                <w:rFonts w:hint="eastAsia" w:ascii="宋体" w:hAnsi="宋体" w:cs="宋体"/>
                <w:color w:val="auto"/>
                <w:sz w:val="21"/>
                <w:szCs w:val="21"/>
                <w:highlight w:val="none"/>
                <w:lang w:eastAsia="zh-CN"/>
              </w:rPr>
              <w:t>：</w:t>
            </w:r>
          </w:p>
          <w:p w14:paraId="5B9D60F1">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支持</w:t>
            </w:r>
            <w:r>
              <w:rPr>
                <w:rFonts w:hint="eastAsia" w:ascii="宋体" w:hAnsi="宋体" w:eastAsia="宋体" w:cs="宋体"/>
                <w:color w:val="auto"/>
                <w:sz w:val="21"/>
                <w:szCs w:val="21"/>
                <w:highlight w:val="none"/>
              </w:rPr>
              <w:t>选择打印标准A4报告或热敏报告；</w:t>
            </w:r>
          </w:p>
          <w:p w14:paraId="04774FD2">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机器内置热敏打印机，可直接打印热敏报告；</w:t>
            </w:r>
          </w:p>
          <w:p w14:paraId="1AD2418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标准报告需要选择连接对应的打印机；</w:t>
            </w:r>
          </w:p>
          <w:p w14:paraId="0E78537E">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传输</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可选择Socket或HTTP传输协议</w:t>
            </w:r>
          </w:p>
          <w:p w14:paraId="117B8124">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连接端口</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USB、网口</w:t>
            </w:r>
          </w:p>
          <w:p w14:paraId="1DE34169">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具备</w:t>
            </w:r>
            <w:r>
              <w:rPr>
                <w:rFonts w:hint="eastAsia" w:ascii="宋体" w:hAnsi="宋体" w:eastAsia="宋体" w:cs="宋体"/>
                <w:color w:val="auto"/>
                <w:sz w:val="21"/>
                <w:szCs w:val="21"/>
                <w:highlight w:val="none"/>
              </w:rPr>
              <w:t>数据置信评估功能，确保结果准确有效</w:t>
            </w:r>
          </w:p>
          <w:p w14:paraId="54CC3265">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数据趋势图功能，检测眼压变化</w:t>
            </w:r>
          </w:p>
          <w:p w14:paraId="1487DF47">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病例管理系统：支持编辑、删除、修改，支持中/英文输入机构名称、被测者姓名等</w:t>
            </w:r>
          </w:p>
          <w:p w14:paraId="5C921147">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二、配置需求：</w:t>
            </w:r>
          </w:p>
          <w:p w14:paraId="1783C463">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主机1台</w:t>
            </w:r>
          </w:p>
          <w:p w14:paraId="5D3E42A5">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触摸笔1支</w:t>
            </w:r>
          </w:p>
          <w:p w14:paraId="0B3B1E4E">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标准工作台面（台车）1台</w:t>
            </w:r>
          </w:p>
          <w:p w14:paraId="5E540464">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遮光布1张</w:t>
            </w:r>
          </w:p>
          <w:p w14:paraId="08283BA8">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仪器罩1个</w:t>
            </w:r>
          </w:p>
        </w:tc>
        <w:tc>
          <w:tcPr>
            <w:tcW w:w="1100" w:type="dxa"/>
            <w:tcBorders>
              <w:left w:val="single" w:color="auto" w:sz="4" w:space="0"/>
            </w:tcBorders>
            <w:shd w:val="clear" w:color="auto" w:fill="auto"/>
            <w:vAlign w:val="center"/>
          </w:tcPr>
          <w:p w14:paraId="42CB2D6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w:t>
            </w:r>
          </w:p>
        </w:tc>
      </w:tr>
      <w:tr w14:paraId="36265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07475328">
            <w:pPr>
              <w:numPr>
                <w:ilvl w:val="0"/>
                <w:numId w:val="8"/>
              </w:numPr>
              <w:snapToGrid w:val="0"/>
              <w:spacing w:line="360" w:lineRule="auto"/>
              <w:jc w:val="center"/>
              <w:rPr>
                <w:rFonts w:hint="eastAsia" w:ascii="宋体" w:hAnsi="宋体" w:eastAsia="宋体" w:cs="宋体"/>
                <w:color w:val="auto"/>
                <w:sz w:val="21"/>
                <w:szCs w:val="21"/>
                <w:highlight w:val="none"/>
              </w:rPr>
            </w:pPr>
          </w:p>
        </w:tc>
        <w:tc>
          <w:tcPr>
            <w:tcW w:w="850" w:type="dxa"/>
            <w:vAlign w:val="center"/>
          </w:tcPr>
          <w:p w14:paraId="0C61368D">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眼底镜（眼底照相机）</w:t>
            </w:r>
          </w:p>
        </w:tc>
        <w:tc>
          <w:tcPr>
            <w:tcW w:w="500" w:type="dxa"/>
            <w:tcBorders>
              <w:right w:val="single" w:color="auto" w:sz="4" w:space="0"/>
            </w:tcBorders>
            <w:shd w:val="clear" w:color="auto" w:fill="auto"/>
            <w:vAlign w:val="center"/>
          </w:tcPr>
          <w:p w14:paraId="172B8A0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gridSpan w:val="2"/>
            <w:tcBorders>
              <w:left w:val="single" w:color="auto" w:sz="4" w:space="0"/>
              <w:right w:val="single" w:color="auto" w:sz="4" w:space="0"/>
            </w:tcBorders>
            <w:vAlign w:val="center"/>
          </w:tcPr>
          <w:p w14:paraId="5A2C0AD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台</w:t>
            </w:r>
          </w:p>
        </w:tc>
        <w:tc>
          <w:tcPr>
            <w:tcW w:w="5721" w:type="dxa"/>
            <w:tcBorders>
              <w:left w:val="single" w:color="auto" w:sz="4" w:space="0"/>
              <w:right w:val="single" w:color="auto" w:sz="4" w:space="0"/>
            </w:tcBorders>
            <w:vAlign w:val="center"/>
          </w:tcPr>
          <w:p w14:paraId="731A37E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61B65F5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1.测量方式：免散瞳、非接触式测量</w:t>
            </w:r>
          </w:p>
          <w:p w14:paraId="22A11C3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2.工作模式：全自动/半自动，操作可自由切换</w:t>
            </w:r>
          </w:p>
          <w:p w14:paraId="202AD84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3.功能</w:t>
            </w:r>
            <w:r>
              <w:rPr>
                <w:rFonts w:hint="eastAsia" w:ascii="宋体" w:hAnsi="宋体" w:cs="宋体"/>
                <w:color w:val="auto"/>
                <w:sz w:val="21"/>
                <w:szCs w:val="21"/>
                <w:highlight w:val="none"/>
                <w:lang w:val="en-US" w:eastAsia="zh-CN"/>
              </w:rPr>
              <w:t>要求</w:t>
            </w:r>
            <w:r>
              <w:rPr>
                <w:rFonts w:hint="eastAsia" w:ascii="宋体" w:hAnsi="宋体" w:eastAsia="宋体" w:cs="宋体"/>
                <w:color w:val="auto"/>
                <w:sz w:val="21"/>
                <w:szCs w:val="21"/>
                <w:highlight w:val="none"/>
                <w:lang w:val="en-US" w:eastAsia="zh-CN"/>
              </w:rPr>
              <w:t>：</w:t>
            </w:r>
          </w:p>
          <w:p w14:paraId="198EF3F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自动找眼，自动切换左右眼</w:t>
            </w:r>
          </w:p>
          <w:p w14:paraId="3373755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一键完成双眼自动对焦，自动拍摄测量</w:t>
            </w:r>
          </w:p>
          <w:p w14:paraId="20939D4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4.辅助功能：测量全程语音提示操作</w:t>
            </w:r>
          </w:p>
          <w:p w14:paraId="4406BDE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▲5.成像分辨率：</w:t>
            </w:r>
          </w:p>
          <w:p w14:paraId="627128A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视场中心处≥60lp/mm</w:t>
            </w:r>
          </w:p>
          <w:p w14:paraId="682A1EF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视场中部处（r/2）≥40lp/mm</w:t>
            </w:r>
          </w:p>
          <w:p w14:paraId="1B21A30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视场边缘处（r）≥25lp/mm</w:t>
            </w:r>
          </w:p>
          <w:p w14:paraId="6536AFF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6.成像视场≥45°，允差≤±5%</w:t>
            </w:r>
          </w:p>
          <w:p w14:paraId="5896C8B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7.像放大率≥0.60，允差≤±7%</w:t>
            </w:r>
          </w:p>
          <w:p w14:paraId="2C2E1D5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▲8.眼底上的像素间距：≤5.75μm，允差≤±7%</w:t>
            </w:r>
          </w:p>
          <w:p w14:paraId="507208B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9.屈光不正补偿的调焦范围：≥-15D～+15D</w:t>
            </w:r>
          </w:p>
          <w:p w14:paraId="09920BE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10.摄像闪光的显色指数：Ra≥85</w:t>
            </w:r>
          </w:p>
          <w:p w14:paraId="656EF32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▲11.摄像闪光的相关色温：3000K≤Tc≤6700K</w:t>
            </w:r>
          </w:p>
          <w:p w14:paraId="6CDCCD8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▲12.成像模块：</w:t>
            </w:r>
          </w:p>
          <w:p w14:paraId="2AB580C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医疗级高感光CMOS成像，使用全局快门+全局曝光技术</w:t>
            </w:r>
          </w:p>
          <w:p w14:paraId="7ED58EE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曝光完整成像，可避免失真和果冻效应问题</w:t>
            </w:r>
          </w:p>
          <w:p w14:paraId="7F39A43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13.对位模块：双摄像头对位</w:t>
            </w:r>
          </w:p>
          <w:p w14:paraId="5016E74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14.主机模块：眼底相机主机和工作站一体式设计，无需外接工作站</w:t>
            </w:r>
          </w:p>
          <w:p w14:paraId="68F0361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15.固视灯：≥9个内置固视点自由调节拍摄极部周边图像</w:t>
            </w:r>
          </w:p>
          <w:p w14:paraId="25D3F9B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16.内存容量：≥1TB</w:t>
            </w:r>
          </w:p>
          <w:p w14:paraId="3F97130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17.接口：DICOM3.0</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LAN</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USB</w:t>
            </w:r>
          </w:p>
          <w:p w14:paraId="17E98EC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18.数据端口：</w:t>
            </w:r>
          </w:p>
          <w:p w14:paraId="0704FD7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支持S0cket</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Http</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FTP三种数据传输协议</w:t>
            </w:r>
          </w:p>
          <w:p w14:paraId="4BF8EEA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支持DICOM协议，可连接医院PACS等系统</w:t>
            </w:r>
          </w:p>
          <w:p w14:paraId="0AA9EF4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19.显示屏：≥10.1英寸彩色触摸液晶屏</w:t>
            </w:r>
          </w:p>
          <w:p w14:paraId="410F53C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20.提供图文病例报告，可通过打印机打印输出</w:t>
            </w:r>
          </w:p>
          <w:p w14:paraId="31F453B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▲21.提供自动杯盘比分析功能</w:t>
            </w:r>
          </w:p>
          <w:p w14:paraId="4D95872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22.提供眼底图像处理功能，</w:t>
            </w:r>
            <w:r>
              <w:rPr>
                <w:rFonts w:hint="eastAsia" w:ascii="宋体" w:hAnsi="宋体" w:cs="宋体"/>
                <w:color w:val="auto"/>
                <w:sz w:val="21"/>
                <w:szCs w:val="21"/>
                <w:highlight w:val="none"/>
                <w:lang w:val="en-US" w:eastAsia="zh-CN"/>
              </w:rPr>
              <w:t>支持</w:t>
            </w:r>
            <w:r>
              <w:rPr>
                <w:rFonts w:hint="eastAsia" w:ascii="宋体" w:hAnsi="宋体" w:eastAsia="宋体" w:cs="宋体"/>
                <w:color w:val="auto"/>
                <w:sz w:val="21"/>
                <w:szCs w:val="21"/>
                <w:highlight w:val="none"/>
                <w:lang w:val="en-US" w:eastAsia="zh-CN"/>
              </w:rPr>
              <w:t>通过所拍摄的眼底彩色图像获得以下类型图片：</w:t>
            </w:r>
          </w:p>
          <w:p w14:paraId="385D02B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①去红（Red-free）图像：去除彩色图像中的红色通道，形成黑白图像；</w:t>
            </w:r>
          </w:p>
          <w:p w14:paraId="3CD5A8E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②血管增强图像：对血管进行对比度增强，使其更加明显；</w:t>
            </w:r>
          </w:p>
          <w:p w14:paraId="2B076C8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③神经纤维增强图像：对神经纤维进行对比度增强，使其更加明显；</w:t>
            </w:r>
          </w:p>
          <w:p w14:paraId="5A6D034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④脉络膜增强图像：对脉络膜血管进行对比度增强，使其更加明显。</w:t>
            </w:r>
          </w:p>
          <w:p w14:paraId="658EC4B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二、配置需求：</w:t>
            </w:r>
          </w:p>
          <w:p w14:paraId="2DC7674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1.主机1台</w:t>
            </w:r>
          </w:p>
          <w:p w14:paraId="3D7B68A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2.触摸笔1支</w:t>
            </w:r>
          </w:p>
          <w:p w14:paraId="52A8582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3.仪器罩1个</w:t>
            </w:r>
          </w:p>
          <w:p w14:paraId="0425F39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报告输出装置</w:t>
            </w:r>
            <w:r>
              <w:rPr>
                <w:rFonts w:hint="eastAsia" w:ascii="宋体" w:hAnsi="宋体" w:eastAsia="宋体" w:cs="宋体"/>
                <w:color w:val="auto"/>
                <w:sz w:val="21"/>
                <w:szCs w:val="21"/>
                <w:highlight w:val="none"/>
                <w:lang w:val="en-US" w:eastAsia="zh-CN"/>
              </w:rPr>
              <w:t>1台</w:t>
            </w:r>
          </w:p>
          <w:p w14:paraId="106BA7D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5.台车1台</w:t>
            </w:r>
          </w:p>
        </w:tc>
        <w:tc>
          <w:tcPr>
            <w:tcW w:w="1100" w:type="dxa"/>
            <w:tcBorders>
              <w:left w:val="single" w:color="auto" w:sz="4" w:space="0"/>
            </w:tcBorders>
            <w:shd w:val="clear" w:color="auto" w:fill="auto"/>
            <w:vAlign w:val="center"/>
          </w:tcPr>
          <w:p w14:paraId="011E71E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w:t>
            </w:r>
          </w:p>
        </w:tc>
      </w:tr>
      <w:tr w14:paraId="20664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6E7EEF81">
            <w:pPr>
              <w:numPr>
                <w:ilvl w:val="0"/>
                <w:numId w:val="8"/>
              </w:numPr>
              <w:snapToGrid w:val="0"/>
              <w:spacing w:line="360" w:lineRule="auto"/>
              <w:jc w:val="center"/>
              <w:rPr>
                <w:rFonts w:hint="eastAsia" w:ascii="宋体" w:hAnsi="宋体" w:eastAsia="宋体" w:cs="宋体"/>
                <w:color w:val="auto"/>
                <w:sz w:val="21"/>
                <w:szCs w:val="21"/>
                <w:highlight w:val="none"/>
              </w:rPr>
            </w:pPr>
          </w:p>
        </w:tc>
        <w:tc>
          <w:tcPr>
            <w:tcW w:w="850" w:type="dxa"/>
            <w:vAlign w:val="center"/>
          </w:tcPr>
          <w:p w14:paraId="1B83DD1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角膜曲率计（眼科生物测量仪）</w:t>
            </w:r>
          </w:p>
        </w:tc>
        <w:tc>
          <w:tcPr>
            <w:tcW w:w="500" w:type="dxa"/>
            <w:tcBorders>
              <w:right w:val="single" w:color="auto" w:sz="4" w:space="0"/>
            </w:tcBorders>
            <w:shd w:val="clear" w:color="auto" w:fill="auto"/>
            <w:vAlign w:val="center"/>
          </w:tcPr>
          <w:p w14:paraId="3617229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gridSpan w:val="2"/>
            <w:tcBorders>
              <w:left w:val="single" w:color="auto" w:sz="4" w:space="0"/>
              <w:right w:val="single" w:color="auto" w:sz="4" w:space="0"/>
            </w:tcBorders>
            <w:vAlign w:val="center"/>
          </w:tcPr>
          <w:p w14:paraId="26FA74E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台</w:t>
            </w:r>
          </w:p>
        </w:tc>
        <w:tc>
          <w:tcPr>
            <w:tcW w:w="5721" w:type="dxa"/>
            <w:tcBorders>
              <w:left w:val="single" w:color="auto" w:sz="4" w:space="0"/>
              <w:right w:val="single" w:color="auto" w:sz="4" w:space="0"/>
            </w:tcBorders>
            <w:vAlign w:val="center"/>
          </w:tcPr>
          <w:p w14:paraId="14B39ED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18431A7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▲1.眼轴测量光源波长≥1050nm；</w:t>
            </w:r>
          </w:p>
          <w:p w14:paraId="4001CE9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▲2.Placido盘：≥24环，≥8000个数据分析点，投射直径＞9.8mm；</w:t>
            </w:r>
          </w:p>
          <w:p w14:paraId="4020B0D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3.曲率半径：32.14D～61.36D(5.5mm～10.5mm)；精度：±0.1D(±0.02mm)</w:t>
            </w:r>
          </w:p>
          <w:p w14:paraId="37214AD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4.白到白范围：8～16mm，允差：±0.1mm；</w:t>
            </w:r>
          </w:p>
          <w:p w14:paraId="5353B8F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5.主子午线轴位：0～180º，测量偏差：主子午线轴位的曲率半径差≤0.3mm：±4º，主子午线轴位的曲率半径差＞0.3mm：±2º；</w:t>
            </w:r>
          </w:p>
          <w:p w14:paraId="642AA38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6.瞳孔直径：1～13mm，允差：±0.1mm；</w:t>
            </w:r>
          </w:p>
          <w:p w14:paraId="32BBCA1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7.左右眼识别自动；</w:t>
            </w:r>
          </w:p>
          <w:p w14:paraId="241D6C0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▲8.眼轴长度：最大测量长度40mm，允差：±10μm，分辨率≤1μm；</w:t>
            </w:r>
          </w:p>
          <w:p w14:paraId="10CC3DC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9.角膜厚度：0.2-1.2mm，允差：±10μm，分辨率≤1μm；</w:t>
            </w:r>
          </w:p>
          <w:p w14:paraId="7D349A3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10.前房深度：0.7-8mm，允差：±10μm，分辨率≤1μm；</w:t>
            </w:r>
          </w:p>
          <w:p w14:paraId="1CF26A0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11.晶状体厚度：1.5-6.5mm，允差：±10μm，分辨率≤1μm；</w:t>
            </w:r>
          </w:p>
          <w:p w14:paraId="425FE81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12.调节范围移动行程：X方向（左右）≥90mm；Y方向（前后）≥60mm；Z方向（上下）≥30mm；颚托上下≥60mm；</w:t>
            </w:r>
          </w:p>
          <w:p w14:paraId="06B6424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13.使用期限：≥8年；</w:t>
            </w:r>
          </w:p>
          <w:p w14:paraId="4D6DB09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14.对焦方式：一键式操作，XYZ轴全自动对焦跟踪测量；</w:t>
            </w:r>
          </w:p>
          <w:p w14:paraId="539CCF2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15.辐射输出：用于测量眼内各个干涉面的光源的波长范围为1000-1150nm。</w:t>
            </w:r>
          </w:p>
          <w:p w14:paraId="61B5AE9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二、配置需求：</w:t>
            </w:r>
          </w:p>
          <w:p w14:paraId="44C6641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1.生物测量仪主机1台</w:t>
            </w:r>
          </w:p>
          <w:p w14:paraId="178FA76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医用显示装置</w:t>
            </w:r>
            <w:r>
              <w:rPr>
                <w:rFonts w:hint="eastAsia" w:ascii="宋体" w:hAnsi="宋体" w:eastAsia="宋体" w:cs="宋体"/>
                <w:color w:val="auto"/>
                <w:sz w:val="21"/>
                <w:szCs w:val="21"/>
                <w:highlight w:val="none"/>
                <w:lang w:val="en-US" w:eastAsia="zh-CN"/>
              </w:rPr>
              <w:t>1个</w:t>
            </w:r>
          </w:p>
          <w:p w14:paraId="5AF1A37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医用</w:t>
            </w:r>
            <w:r>
              <w:rPr>
                <w:rFonts w:hint="eastAsia" w:ascii="宋体" w:hAnsi="宋体" w:eastAsia="宋体" w:cs="宋体"/>
                <w:color w:val="auto"/>
                <w:sz w:val="21"/>
                <w:szCs w:val="21"/>
                <w:highlight w:val="none"/>
                <w:lang w:val="en-US" w:eastAsia="zh-CN"/>
              </w:rPr>
              <w:t>电动升降桌1张</w:t>
            </w:r>
          </w:p>
          <w:p w14:paraId="5113F83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报告输出装置</w:t>
            </w:r>
            <w:r>
              <w:rPr>
                <w:rFonts w:hint="eastAsia" w:ascii="宋体" w:hAnsi="宋体" w:eastAsia="宋体" w:cs="宋体"/>
                <w:color w:val="auto"/>
                <w:sz w:val="21"/>
                <w:szCs w:val="21"/>
                <w:highlight w:val="none"/>
                <w:lang w:val="en-US" w:eastAsia="zh-CN"/>
              </w:rPr>
              <w:t>1台</w:t>
            </w:r>
          </w:p>
        </w:tc>
        <w:tc>
          <w:tcPr>
            <w:tcW w:w="1100" w:type="dxa"/>
            <w:tcBorders>
              <w:left w:val="single" w:color="auto" w:sz="4" w:space="0"/>
            </w:tcBorders>
            <w:shd w:val="clear" w:color="auto" w:fill="auto"/>
            <w:vAlign w:val="center"/>
          </w:tcPr>
          <w:p w14:paraId="053BB35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25.8</w:t>
            </w:r>
          </w:p>
        </w:tc>
      </w:tr>
      <w:tr w14:paraId="5CA3C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3A7228B8">
            <w:pPr>
              <w:numPr>
                <w:ilvl w:val="0"/>
                <w:numId w:val="8"/>
              </w:numPr>
              <w:snapToGrid w:val="0"/>
              <w:spacing w:line="360" w:lineRule="auto"/>
              <w:jc w:val="center"/>
              <w:rPr>
                <w:rFonts w:hint="eastAsia" w:ascii="宋体" w:hAnsi="宋体" w:eastAsia="宋体" w:cs="宋体"/>
                <w:color w:val="auto"/>
                <w:sz w:val="21"/>
                <w:szCs w:val="21"/>
                <w:highlight w:val="none"/>
              </w:rPr>
            </w:pPr>
          </w:p>
        </w:tc>
        <w:tc>
          <w:tcPr>
            <w:tcW w:w="850" w:type="dxa"/>
            <w:vAlign w:val="center"/>
          </w:tcPr>
          <w:p w14:paraId="246C744D">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视野仪（电脑自动视野仪）</w:t>
            </w:r>
          </w:p>
        </w:tc>
        <w:tc>
          <w:tcPr>
            <w:tcW w:w="500" w:type="dxa"/>
            <w:tcBorders>
              <w:right w:val="single" w:color="auto" w:sz="4" w:space="0"/>
            </w:tcBorders>
            <w:shd w:val="clear" w:color="auto" w:fill="auto"/>
            <w:vAlign w:val="center"/>
          </w:tcPr>
          <w:p w14:paraId="05E6BD1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gridSpan w:val="2"/>
            <w:tcBorders>
              <w:left w:val="single" w:color="auto" w:sz="4" w:space="0"/>
              <w:right w:val="single" w:color="auto" w:sz="4" w:space="0"/>
            </w:tcBorders>
            <w:vAlign w:val="center"/>
          </w:tcPr>
          <w:p w14:paraId="41DFA0F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台</w:t>
            </w:r>
          </w:p>
        </w:tc>
        <w:tc>
          <w:tcPr>
            <w:tcW w:w="5721" w:type="dxa"/>
            <w:tcBorders>
              <w:left w:val="single" w:color="auto" w:sz="4" w:space="0"/>
              <w:right w:val="single" w:color="auto" w:sz="4" w:space="0"/>
            </w:tcBorders>
            <w:vAlign w:val="center"/>
          </w:tcPr>
          <w:p w14:paraId="1F074B3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5E10DF8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1.主机系统性能概括：</w:t>
            </w:r>
          </w:p>
          <w:p w14:paraId="41E3916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1.1检查范围≥90°</w:t>
            </w:r>
          </w:p>
          <w:p w14:paraId="72F476A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1.2刺激光源：LED</w:t>
            </w:r>
          </w:p>
          <w:p w14:paraId="32E2CD5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1.3检查距离≥30CM</w:t>
            </w:r>
          </w:p>
          <w:p w14:paraId="7A2E4D9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1.4背景光：白色31.5asb</w:t>
            </w:r>
          </w:p>
          <w:p w14:paraId="284EB8A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1.5视标亮度：1asb---10000asb</w:t>
            </w:r>
          </w:p>
          <w:p w14:paraId="3A1698B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1.6视标尺寸：GoldmannⅢ</w:t>
            </w:r>
          </w:p>
          <w:p w14:paraId="3A3601A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1.7视标刺激时间≥200ms</w:t>
            </w:r>
          </w:p>
          <w:p w14:paraId="62AEF4E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1.8视标间隔时间：标准化和根据患者自适应</w:t>
            </w:r>
          </w:p>
          <w:p w14:paraId="2BAB8E8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1.9检查模式：10-2（黄斑疾病及视网膜疾病），24-2（青光眼、视神经病变及视网膜疾病），30-2，60-4，C-40，C-64，C-76，FF-81，FF-120，FF-135，鼻侧</w:t>
            </w:r>
          </w:p>
          <w:p w14:paraId="77316B8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 特殊检查模式：Esterman单眼，Esterman双眼，自定义测试，驾驶员单双眼检查，上方36°筛查，盲区测量</w:t>
            </w:r>
          </w:p>
          <w:p w14:paraId="6C62CC7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1.11瞳孔测量：全程自动测量</w:t>
            </w:r>
          </w:p>
          <w:p w14:paraId="12FC6CE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1.12固视检测：生理盲点监测，眼位视频监测</w:t>
            </w:r>
          </w:p>
          <w:p w14:paraId="44BB61B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1.13环境光检测：开机进行环境光检测，开始程序时再次检测环境光</w:t>
            </w:r>
          </w:p>
          <w:p w14:paraId="7BEFAC7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1.14分析软件：可信性分析，单报告分析，多报告分析，青光眼半视野分析，青光眼进展性分析，VFI视野指数分析</w:t>
            </w:r>
          </w:p>
          <w:p w14:paraId="601DA3B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二、配置需求：</w:t>
            </w:r>
          </w:p>
          <w:p w14:paraId="21C36657">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1.专业医用电动升降平台</w:t>
            </w:r>
            <w:r>
              <w:rPr>
                <w:rFonts w:hint="eastAsia" w:ascii="宋体" w:hAnsi="宋体" w:cs="宋体"/>
                <w:color w:val="auto"/>
                <w:sz w:val="21"/>
                <w:szCs w:val="21"/>
                <w:highlight w:val="none"/>
                <w:lang w:val="en-US" w:eastAsia="zh-CN"/>
              </w:rPr>
              <w:t>1台</w:t>
            </w:r>
          </w:p>
          <w:p w14:paraId="1116A7A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2.应答器1台</w:t>
            </w:r>
          </w:p>
          <w:p w14:paraId="1FD9C8DC">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彩色报告输出装置1台</w:t>
            </w:r>
          </w:p>
          <w:p w14:paraId="23F397E0">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4.无线键鼠1</w:t>
            </w:r>
            <w:r>
              <w:rPr>
                <w:rFonts w:hint="eastAsia" w:ascii="宋体" w:hAnsi="宋体" w:cs="宋体"/>
                <w:color w:val="auto"/>
                <w:sz w:val="21"/>
                <w:szCs w:val="21"/>
                <w:highlight w:val="none"/>
                <w:lang w:val="en-US" w:eastAsia="zh-CN"/>
              </w:rPr>
              <w:t>套</w:t>
            </w:r>
          </w:p>
          <w:p w14:paraId="6640E859">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5.眼罩1</w:t>
            </w:r>
            <w:r>
              <w:rPr>
                <w:rFonts w:hint="eastAsia" w:ascii="宋体" w:hAnsi="宋体" w:cs="宋体"/>
                <w:color w:val="auto"/>
                <w:sz w:val="21"/>
                <w:szCs w:val="21"/>
                <w:highlight w:val="none"/>
                <w:lang w:val="en-US" w:eastAsia="zh-CN"/>
              </w:rPr>
              <w:t>副</w:t>
            </w:r>
          </w:p>
        </w:tc>
        <w:tc>
          <w:tcPr>
            <w:tcW w:w="1100" w:type="dxa"/>
            <w:tcBorders>
              <w:left w:val="single" w:color="auto" w:sz="4" w:space="0"/>
            </w:tcBorders>
            <w:shd w:val="clear" w:color="auto" w:fill="auto"/>
            <w:vAlign w:val="center"/>
          </w:tcPr>
          <w:p w14:paraId="62C6417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7.36</w:t>
            </w:r>
          </w:p>
        </w:tc>
      </w:tr>
      <w:tr w14:paraId="51A31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1AEFBDD5">
            <w:pPr>
              <w:numPr>
                <w:ilvl w:val="0"/>
                <w:numId w:val="8"/>
              </w:numPr>
              <w:snapToGrid w:val="0"/>
              <w:spacing w:line="360" w:lineRule="auto"/>
              <w:jc w:val="center"/>
              <w:rPr>
                <w:rFonts w:hint="eastAsia" w:ascii="宋体" w:hAnsi="宋体" w:eastAsia="宋体" w:cs="宋体"/>
                <w:color w:val="auto"/>
                <w:sz w:val="21"/>
                <w:szCs w:val="21"/>
                <w:highlight w:val="none"/>
              </w:rPr>
            </w:pPr>
          </w:p>
        </w:tc>
        <w:tc>
          <w:tcPr>
            <w:tcW w:w="850" w:type="dxa"/>
            <w:vAlign w:val="center"/>
          </w:tcPr>
          <w:p w14:paraId="50139658">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眼科超声诊断仪（眼科AB超声诊断仪）</w:t>
            </w:r>
          </w:p>
        </w:tc>
        <w:tc>
          <w:tcPr>
            <w:tcW w:w="500" w:type="dxa"/>
            <w:tcBorders>
              <w:right w:val="single" w:color="auto" w:sz="4" w:space="0"/>
            </w:tcBorders>
            <w:shd w:val="clear" w:color="auto" w:fill="auto"/>
            <w:vAlign w:val="center"/>
          </w:tcPr>
          <w:p w14:paraId="6B8898B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gridSpan w:val="2"/>
            <w:tcBorders>
              <w:left w:val="single" w:color="auto" w:sz="4" w:space="0"/>
              <w:right w:val="single" w:color="auto" w:sz="4" w:space="0"/>
            </w:tcBorders>
            <w:vAlign w:val="center"/>
          </w:tcPr>
          <w:p w14:paraId="006B166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台</w:t>
            </w:r>
          </w:p>
        </w:tc>
        <w:tc>
          <w:tcPr>
            <w:tcW w:w="5721" w:type="dxa"/>
            <w:tcBorders>
              <w:left w:val="single" w:color="auto" w:sz="4" w:space="0"/>
              <w:right w:val="single" w:color="auto" w:sz="4" w:space="0"/>
            </w:tcBorders>
            <w:vAlign w:val="center"/>
          </w:tcPr>
          <w:p w14:paraId="3E3423A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6FF6AFB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1.A超性能</w:t>
            </w:r>
          </w:p>
          <w:p w14:paraId="0A4CFE2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1.1探头频率：≥10MHz，内置发光管</w:t>
            </w:r>
          </w:p>
          <w:p w14:paraId="147E1BF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▲1.2测量精度：≤±0.04mm</w:t>
            </w:r>
          </w:p>
          <w:p w14:paraId="6F11061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1.3测量参数：前房深度、晶体厚度、玻璃体长度、眼轴长度</w:t>
            </w:r>
          </w:p>
          <w:p w14:paraId="69569C1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1.4操作面板支持高度调节、前后左右位置调整及旋转操作。</w:t>
            </w:r>
          </w:p>
          <w:p w14:paraId="4504D8F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1.5测量模式：晶体眼、无晶体眼、致密白内障、各种人工晶体眼</w:t>
            </w:r>
          </w:p>
          <w:p w14:paraId="6787C67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1.6IOL公式：SRK-II、SRK-T、HOFFER-Q、HOLLADAY、BINKHORST-II、HAIGIS等</w:t>
            </w:r>
          </w:p>
          <w:p w14:paraId="3B2DF52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1.7统计计算：平均值和标准差</w:t>
            </w:r>
          </w:p>
          <w:p w14:paraId="1CB8846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1.8存储：可存储≥10次A超扫描结果</w:t>
            </w:r>
          </w:p>
          <w:p w14:paraId="2638302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2.B超性能</w:t>
            </w:r>
          </w:p>
          <w:p w14:paraId="7683496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2.1探头频率：≥10MHz静音探头</w:t>
            </w:r>
          </w:p>
          <w:p w14:paraId="63FFAA0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2.2扫描方式：扇形扫描</w:t>
            </w:r>
          </w:p>
          <w:p w14:paraId="2F64CC8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▲2.3放大功能：多级连续放大，实时放大</w:t>
            </w:r>
          </w:p>
          <w:p w14:paraId="51200D2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▲2.4分辨力：轴向≤0.2mm侧向≤0.4mm</w:t>
            </w:r>
          </w:p>
          <w:p w14:paraId="352CACE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▲2.5B超几何位置精度：横向≤3%纵向≤2%</w:t>
            </w:r>
          </w:p>
          <w:p w14:paraId="3E6BD0C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▲2.6探测深度：≥60mm</w:t>
            </w:r>
          </w:p>
          <w:p w14:paraId="7DBA6AD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▲2.7玻璃体和视网膜增强功能</w:t>
            </w:r>
          </w:p>
          <w:p w14:paraId="1701269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2.8探头增益：30dB-105dB</w:t>
            </w:r>
          </w:p>
          <w:p w14:paraId="3FCB61E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2.9扫描角度：≥53度</w:t>
            </w:r>
          </w:p>
          <w:p w14:paraId="3D51891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2.10图像灰级：≥256级</w:t>
            </w:r>
          </w:p>
          <w:p w14:paraId="4CE9844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2.11伪彩模式：多种伪彩</w:t>
            </w:r>
          </w:p>
          <w:p w14:paraId="39100CF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2.12测量类型：多组距离、周长及面积</w:t>
            </w:r>
          </w:p>
          <w:p w14:paraId="7D0E2F1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2.13电影回放：≥100幅图像回放，AVI、JPG格式影像输出</w:t>
            </w:r>
          </w:p>
          <w:p w14:paraId="55AA691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3.其他功能</w:t>
            </w:r>
          </w:p>
          <w:p w14:paraId="4F66323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3.1显示模式：B、B+B、B+A、A</w:t>
            </w:r>
          </w:p>
          <w:p w14:paraId="10865A0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3.2所见提示：预置专家字典输入或手工输入</w:t>
            </w:r>
          </w:p>
          <w:p w14:paraId="7F3F31D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3.3检索功能：多关键字检索功能</w:t>
            </w:r>
          </w:p>
          <w:p w14:paraId="6BA224A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3.4适合W</w:t>
            </w:r>
            <w:r>
              <w:rPr>
                <w:rFonts w:hint="eastAsia" w:ascii="宋体" w:hAnsi="宋体" w:cs="宋体"/>
                <w:color w:val="auto"/>
                <w:sz w:val="21"/>
                <w:szCs w:val="21"/>
                <w:highlight w:val="none"/>
                <w:lang w:val="en-US" w:eastAsia="zh-CN"/>
              </w:rPr>
              <w:t>indowsxp，</w:t>
            </w:r>
            <w:r>
              <w:rPr>
                <w:rFonts w:hint="eastAsia" w:ascii="宋体" w:hAnsi="宋体" w:eastAsia="宋体" w:cs="宋体"/>
                <w:color w:val="auto"/>
                <w:sz w:val="21"/>
                <w:szCs w:val="21"/>
                <w:highlight w:val="none"/>
                <w:lang w:val="en-US" w:eastAsia="zh-CN"/>
              </w:rPr>
              <w:t>V</w:t>
            </w:r>
            <w:r>
              <w:rPr>
                <w:rFonts w:hint="eastAsia" w:ascii="宋体" w:hAnsi="宋体" w:cs="宋体"/>
                <w:color w:val="auto"/>
                <w:sz w:val="21"/>
                <w:szCs w:val="21"/>
                <w:highlight w:val="none"/>
                <w:lang w:val="en-US" w:eastAsia="zh-CN"/>
              </w:rPr>
              <w:t>ista，</w:t>
            </w:r>
            <w:r>
              <w:rPr>
                <w:rFonts w:hint="eastAsia" w:ascii="宋体" w:hAnsi="宋体" w:eastAsia="宋体" w:cs="宋体"/>
                <w:color w:val="auto"/>
                <w:sz w:val="21"/>
                <w:szCs w:val="21"/>
                <w:highlight w:val="none"/>
                <w:lang w:val="en-US" w:eastAsia="zh-CN"/>
              </w:rPr>
              <w:t>W</w:t>
            </w:r>
            <w:r>
              <w:rPr>
                <w:rFonts w:hint="eastAsia" w:ascii="宋体" w:hAnsi="宋体" w:cs="宋体"/>
                <w:color w:val="auto"/>
                <w:sz w:val="21"/>
                <w:szCs w:val="21"/>
                <w:highlight w:val="none"/>
                <w:lang w:val="en-US" w:eastAsia="zh-CN"/>
              </w:rPr>
              <w:t>indows</w:t>
            </w:r>
            <w:r>
              <w:rPr>
                <w:rFonts w:hint="eastAsia" w:ascii="宋体" w:hAnsi="宋体" w:eastAsia="宋体" w:cs="宋体"/>
                <w:color w:val="auto"/>
                <w:sz w:val="21"/>
                <w:szCs w:val="21"/>
                <w:highlight w:val="none"/>
                <w:lang w:val="en-US" w:eastAsia="zh-CN"/>
              </w:rPr>
              <w:t>等多种操作</w:t>
            </w:r>
            <w:r>
              <w:rPr>
                <w:rFonts w:hint="eastAsia" w:ascii="宋体" w:hAnsi="宋体" w:cs="宋体"/>
                <w:color w:val="auto"/>
                <w:sz w:val="21"/>
                <w:szCs w:val="21"/>
                <w:highlight w:val="none"/>
                <w:lang w:val="en-US" w:eastAsia="zh-CN"/>
              </w:rPr>
              <w:t>系统</w:t>
            </w:r>
          </w:p>
          <w:p w14:paraId="1B0D496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3.5自定义报告模板</w:t>
            </w:r>
          </w:p>
          <w:p w14:paraId="7A07C6F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二、配置需求：</w:t>
            </w:r>
          </w:p>
          <w:p w14:paraId="26E683E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1.A/B超主机1台</w:t>
            </w:r>
          </w:p>
          <w:p w14:paraId="67B0859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2.隔离电源1台</w:t>
            </w:r>
          </w:p>
          <w:p w14:paraId="5F60780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3.10MHzA超探头1支</w:t>
            </w:r>
          </w:p>
          <w:p w14:paraId="5F2D02A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4.10MHzB型探头1支</w:t>
            </w:r>
          </w:p>
          <w:p w14:paraId="547A707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5.脚踏开关1个</w:t>
            </w:r>
          </w:p>
          <w:p w14:paraId="4127CDC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6.标定柱1个</w:t>
            </w:r>
          </w:p>
          <w:p w14:paraId="5E957E0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cs="宋体"/>
                <w:color w:val="auto"/>
                <w:sz w:val="21"/>
                <w:szCs w:val="21"/>
                <w:highlight w:val="none"/>
                <w:lang w:val="en-US" w:eastAsia="zh-CN"/>
              </w:rPr>
              <w:t>医用</w:t>
            </w:r>
            <w:r>
              <w:rPr>
                <w:rFonts w:hint="eastAsia" w:ascii="宋体" w:hAnsi="宋体" w:eastAsia="宋体" w:cs="宋体"/>
                <w:color w:val="auto"/>
                <w:sz w:val="21"/>
                <w:szCs w:val="21"/>
                <w:highlight w:val="none"/>
                <w:lang w:val="en-US" w:eastAsia="zh-CN"/>
              </w:rPr>
              <w:t>显示</w:t>
            </w:r>
            <w:r>
              <w:rPr>
                <w:rFonts w:hint="eastAsia" w:ascii="宋体" w:hAnsi="宋体" w:cs="宋体"/>
                <w:color w:val="auto"/>
                <w:sz w:val="21"/>
                <w:szCs w:val="21"/>
                <w:highlight w:val="none"/>
                <w:lang w:val="en-US" w:eastAsia="zh-CN"/>
              </w:rPr>
              <w:t>装置</w:t>
            </w:r>
            <w:r>
              <w:rPr>
                <w:rFonts w:hint="eastAsia" w:ascii="宋体" w:hAnsi="宋体" w:eastAsia="宋体" w:cs="宋体"/>
                <w:color w:val="auto"/>
                <w:sz w:val="21"/>
                <w:szCs w:val="21"/>
                <w:highlight w:val="none"/>
                <w:lang w:val="en-US" w:eastAsia="zh-CN"/>
              </w:rPr>
              <w:t>1台</w:t>
            </w:r>
          </w:p>
          <w:p w14:paraId="3E0CC38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8.台车1台</w:t>
            </w:r>
          </w:p>
          <w:p w14:paraId="13CE1D1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r>
              <w:rPr>
                <w:rFonts w:hint="eastAsia" w:ascii="宋体" w:hAnsi="宋体" w:cs="宋体"/>
                <w:color w:val="auto"/>
                <w:sz w:val="21"/>
                <w:szCs w:val="21"/>
                <w:highlight w:val="none"/>
                <w:lang w:val="en-US" w:eastAsia="zh-CN"/>
              </w:rPr>
              <w:t>报告输出装置</w:t>
            </w:r>
            <w:r>
              <w:rPr>
                <w:rFonts w:hint="eastAsia" w:ascii="宋体" w:hAnsi="宋体" w:eastAsia="宋体" w:cs="宋体"/>
                <w:color w:val="auto"/>
                <w:sz w:val="21"/>
                <w:szCs w:val="21"/>
                <w:highlight w:val="none"/>
                <w:lang w:val="en-US" w:eastAsia="zh-CN"/>
              </w:rPr>
              <w:t>1台</w:t>
            </w:r>
          </w:p>
        </w:tc>
        <w:tc>
          <w:tcPr>
            <w:tcW w:w="1100" w:type="dxa"/>
            <w:tcBorders>
              <w:left w:val="single" w:color="auto" w:sz="4" w:space="0"/>
            </w:tcBorders>
            <w:shd w:val="clear" w:color="auto" w:fill="auto"/>
            <w:vAlign w:val="center"/>
          </w:tcPr>
          <w:p w14:paraId="41BBBA3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15.8</w:t>
            </w:r>
          </w:p>
        </w:tc>
      </w:tr>
      <w:tr w14:paraId="5C8AC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08B50C97">
            <w:pPr>
              <w:numPr>
                <w:ilvl w:val="0"/>
                <w:numId w:val="8"/>
              </w:numPr>
              <w:snapToGrid w:val="0"/>
              <w:spacing w:line="360" w:lineRule="auto"/>
              <w:jc w:val="center"/>
              <w:rPr>
                <w:rFonts w:hint="eastAsia" w:ascii="宋体" w:hAnsi="宋体" w:eastAsia="宋体" w:cs="宋体"/>
                <w:color w:val="auto"/>
                <w:sz w:val="21"/>
                <w:szCs w:val="21"/>
                <w:highlight w:val="none"/>
              </w:rPr>
            </w:pPr>
          </w:p>
        </w:tc>
        <w:tc>
          <w:tcPr>
            <w:tcW w:w="850" w:type="dxa"/>
            <w:vAlign w:val="center"/>
          </w:tcPr>
          <w:p w14:paraId="33DCC578">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全自动电脑验光仪</w:t>
            </w:r>
          </w:p>
        </w:tc>
        <w:tc>
          <w:tcPr>
            <w:tcW w:w="500" w:type="dxa"/>
            <w:tcBorders>
              <w:right w:val="single" w:color="auto" w:sz="4" w:space="0"/>
            </w:tcBorders>
            <w:shd w:val="clear" w:color="auto" w:fill="auto"/>
            <w:vAlign w:val="center"/>
          </w:tcPr>
          <w:p w14:paraId="562CEF2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gridSpan w:val="2"/>
            <w:tcBorders>
              <w:left w:val="single" w:color="auto" w:sz="4" w:space="0"/>
              <w:right w:val="single" w:color="auto" w:sz="4" w:space="0"/>
            </w:tcBorders>
            <w:vAlign w:val="center"/>
          </w:tcPr>
          <w:p w14:paraId="72360893">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台</w:t>
            </w:r>
          </w:p>
        </w:tc>
        <w:tc>
          <w:tcPr>
            <w:tcW w:w="5721" w:type="dxa"/>
            <w:tcBorders>
              <w:left w:val="single" w:color="auto" w:sz="4" w:space="0"/>
              <w:right w:val="single" w:color="auto" w:sz="4" w:space="0"/>
            </w:tcBorders>
            <w:vAlign w:val="center"/>
          </w:tcPr>
          <w:p w14:paraId="33DD854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6D1B0F9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1.主要功能：全自动验光</w:t>
            </w:r>
          </w:p>
          <w:p w14:paraId="3ED99C9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2.顶点距离：0.0mm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12.00mm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13.5mm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15.00mm</w:t>
            </w:r>
          </w:p>
          <w:p w14:paraId="6055F3B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3.球镜度：-30.00D~+25.00D(VD=12mm，每步</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0.12D，0.25D)</w:t>
            </w:r>
          </w:p>
          <w:p w14:paraId="6EF0097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4.柱镜度：-10D~+12.00D(每步</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0.12D，0.25D)</w:t>
            </w:r>
          </w:p>
          <w:p w14:paraId="6E24757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5.轴位：0°~180°(每步1°)</w:t>
            </w:r>
          </w:p>
          <w:p w14:paraId="3FA2E91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6.散光符号：-，+</w:t>
            </w:r>
          </w:p>
          <w:p w14:paraId="065797D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7.最小可测瞳孔直径：≤2.0mm</w:t>
            </w:r>
          </w:p>
          <w:p w14:paraId="5500978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8.瞳距：10-85mm</w:t>
            </w:r>
          </w:p>
          <w:p w14:paraId="7F97715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9.角膜曲率半径</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5mm~13mm(每步0.01mm)</w:t>
            </w:r>
          </w:p>
          <w:p w14:paraId="00BEC26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10.角膜散光</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-10D~+15.00D(每步</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0.05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0.12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0.25D)</w:t>
            </w:r>
          </w:p>
          <w:p w14:paraId="7557401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11.角膜散光轴位</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0~180°(每步1°和5°精度)</w:t>
            </w:r>
          </w:p>
          <w:p w14:paraId="4EAA80A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12.Z图：显示屈光地形图</w:t>
            </w:r>
          </w:p>
          <w:p w14:paraId="535DCBE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13.角膜屈光参数：26.00D～67.5D（0.12D/0.25D精度）</w:t>
            </w:r>
          </w:p>
          <w:p w14:paraId="0E75142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r>
              <w:rPr>
                <w:rFonts w:hint="eastAsia" w:ascii="宋体" w:hAnsi="宋体" w:cs="宋体"/>
                <w:color w:val="auto"/>
                <w:sz w:val="21"/>
                <w:szCs w:val="21"/>
                <w:highlight w:val="none"/>
                <w:lang w:val="en-US" w:eastAsia="zh-CN"/>
              </w:rPr>
              <w:t>报告输出装置</w:t>
            </w:r>
            <w:r>
              <w:rPr>
                <w:rFonts w:hint="eastAsia" w:ascii="宋体" w:hAnsi="宋体" w:eastAsia="宋体" w:cs="宋体"/>
                <w:color w:val="auto"/>
                <w:sz w:val="21"/>
                <w:szCs w:val="21"/>
                <w:highlight w:val="none"/>
                <w:lang w:val="en-US" w:eastAsia="zh-CN"/>
              </w:rPr>
              <w:t>：热敏，自动切纸</w:t>
            </w:r>
          </w:p>
          <w:p w14:paraId="06FA025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r>
              <w:rPr>
                <w:rFonts w:hint="eastAsia" w:ascii="宋体" w:hAnsi="宋体" w:cs="宋体"/>
                <w:color w:val="auto"/>
                <w:sz w:val="21"/>
                <w:szCs w:val="21"/>
                <w:highlight w:val="none"/>
                <w:lang w:val="en-US" w:eastAsia="zh-CN"/>
              </w:rPr>
              <w:t>医用</w:t>
            </w:r>
            <w:r>
              <w:rPr>
                <w:rFonts w:hint="eastAsia" w:ascii="宋体" w:hAnsi="宋体" w:eastAsia="宋体" w:cs="宋体"/>
                <w:color w:val="auto"/>
                <w:sz w:val="21"/>
                <w:szCs w:val="21"/>
                <w:highlight w:val="none"/>
                <w:lang w:val="en-US" w:eastAsia="zh-CN"/>
              </w:rPr>
              <w:t>显示</w:t>
            </w:r>
            <w:r>
              <w:rPr>
                <w:rFonts w:hint="eastAsia" w:ascii="宋体" w:hAnsi="宋体" w:cs="宋体"/>
                <w:color w:val="auto"/>
                <w:sz w:val="21"/>
                <w:szCs w:val="21"/>
                <w:highlight w:val="none"/>
                <w:lang w:val="en-US" w:eastAsia="zh-CN"/>
              </w:rPr>
              <w:t>装置</w:t>
            </w:r>
            <w:r>
              <w:rPr>
                <w:rFonts w:hint="eastAsia" w:ascii="宋体" w:hAnsi="宋体" w:eastAsia="宋体" w:cs="宋体"/>
                <w:color w:val="auto"/>
                <w:sz w:val="21"/>
                <w:szCs w:val="21"/>
                <w:highlight w:val="none"/>
                <w:lang w:val="en-US" w:eastAsia="zh-CN"/>
              </w:rPr>
              <w:t>：≥10.1英寸彩色TFT液晶彩色触摸屏显示器</w:t>
            </w:r>
          </w:p>
          <w:p w14:paraId="4F89060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16.瞳距测量范围：20～85mm（0.5mm精度）</w:t>
            </w:r>
          </w:p>
          <w:p w14:paraId="5585DF6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17.操作模式：自带系统，全自动/手动/单眼自动</w:t>
            </w:r>
          </w:p>
          <w:p w14:paraId="642EE95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18.移动方式：全自动跟踪</w:t>
            </w:r>
          </w:p>
          <w:p w14:paraId="7543178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19.行程范围：左右±42.5cm，前后±18cm，上下±20cm</w:t>
            </w:r>
          </w:p>
          <w:p w14:paraId="26A4434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20.镜头特性：哈特曼微透镜陣列/旋转棱镜</w:t>
            </w:r>
          </w:p>
          <w:p w14:paraId="27C2B20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二、配置需求：</w:t>
            </w:r>
          </w:p>
          <w:p w14:paraId="77AD43B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1.主机1台</w:t>
            </w:r>
          </w:p>
          <w:p w14:paraId="4A25579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2.打印纸2卷</w:t>
            </w:r>
          </w:p>
          <w:p w14:paraId="3833A06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3.电源线3芯转角1根</w:t>
            </w:r>
          </w:p>
          <w:p w14:paraId="3423891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4.说明书1份</w:t>
            </w:r>
          </w:p>
          <w:p w14:paraId="158E336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5.合格证1份</w:t>
            </w:r>
          </w:p>
          <w:p w14:paraId="2A12A7E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6.保修卡1份</w:t>
            </w:r>
          </w:p>
          <w:p w14:paraId="2A75F20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7.防尘罩1份</w:t>
            </w:r>
          </w:p>
        </w:tc>
        <w:tc>
          <w:tcPr>
            <w:tcW w:w="1100" w:type="dxa"/>
            <w:tcBorders>
              <w:left w:val="single" w:color="auto" w:sz="4" w:space="0"/>
            </w:tcBorders>
            <w:shd w:val="clear" w:color="auto" w:fill="auto"/>
            <w:vAlign w:val="center"/>
          </w:tcPr>
          <w:p w14:paraId="21DE09F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w:t>
            </w:r>
          </w:p>
        </w:tc>
      </w:tr>
      <w:tr w14:paraId="12B96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31A89B8A">
            <w:pPr>
              <w:numPr>
                <w:ilvl w:val="0"/>
                <w:numId w:val="8"/>
              </w:numPr>
              <w:snapToGrid w:val="0"/>
              <w:spacing w:line="360" w:lineRule="auto"/>
              <w:jc w:val="center"/>
              <w:rPr>
                <w:rFonts w:hint="eastAsia" w:ascii="宋体" w:hAnsi="宋体" w:eastAsia="宋体" w:cs="宋体"/>
                <w:color w:val="auto"/>
                <w:sz w:val="21"/>
                <w:szCs w:val="21"/>
                <w:highlight w:val="none"/>
              </w:rPr>
            </w:pPr>
          </w:p>
        </w:tc>
        <w:tc>
          <w:tcPr>
            <w:tcW w:w="850" w:type="dxa"/>
            <w:vAlign w:val="center"/>
          </w:tcPr>
          <w:p w14:paraId="0401C17D">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眼科手术床（电动外科综合手术床）</w:t>
            </w:r>
          </w:p>
        </w:tc>
        <w:tc>
          <w:tcPr>
            <w:tcW w:w="500" w:type="dxa"/>
            <w:tcBorders>
              <w:right w:val="single" w:color="auto" w:sz="4" w:space="0"/>
            </w:tcBorders>
            <w:shd w:val="clear" w:color="auto" w:fill="auto"/>
            <w:vAlign w:val="center"/>
          </w:tcPr>
          <w:p w14:paraId="58246EE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gridSpan w:val="2"/>
            <w:tcBorders>
              <w:left w:val="single" w:color="auto" w:sz="4" w:space="0"/>
              <w:right w:val="single" w:color="auto" w:sz="4" w:space="0"/>
            </w:tcBorders>
            <w:vAlign w:val="center"/>
          </w:tcPr>
          <w:p w14:paraId="6F27778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张</w:t>
            </w:r>
          </w:p>
        </w:tc>
        <w:tc>
          <w:tcPr>
            <w:tcW w:w="5721" w:type="dxa"/>
            <w:tcBorders>
              <w:left w:val="single" w:color="auto" w:sz="4" w:space="0"/>
              <w:right w:val="single" w:color="auto" w:sz="4" w:space="0"/>
            </w:tcBorders>
            <w:vAlign w:val="center"/>
          </w:tcPr>
          <w:p w14:paraId="6C65B90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496BAC6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1.整机：最大承重量≥160kg</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电动电机控制，头板和脚板均可拆卸，机械刹车系统。</w:t>
            </w:r>
          </w:p>
          <w:p w14:paraId="51E582D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2.床面尺寸：≥1950mm</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500mm</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700/900</w:t>
            </w:r>
          </w:p>
          <w:p w14:paraId="122B85C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3.台面最高及最低高度（电动）：900mm——700mm</w:t>
            </w:r>
          </w:p>
          <w:p w14:paraId="1828E2D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4.台面前后倾最大角度（电动）：各≥15°无极任意调整</w:t>
            </w:r>
          </w:p>
          <w:p w14:paraId="01D7000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5.台面左右倾最大角度（电动）：各≥10°无极任意调整</w:t>
            </w:r>
          </w:p>
          <w:p w14:paraId="64E503D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6.背板折转角度（电动）：上折至≥70°</w:t>
            </w:r>
          </w:p>
          <w:p w14:paraId="77A4C7E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7.头板俯仰角度（手动）：上折至≥15°下折至≥90°</w:t>
            </w:r>
          </w:p>
          <w:p w14:paraId="384E9A2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8.腿板折转最大角度（手动）：下折至≥90°上折至≥10°外折至≥90°</w:t>
            </w:r>
          </w:p>
          <w:p w14:paraId="342FF1B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9.内置腰桥（手动）：腰板上升高度：≥100mm</w:t>
            </w:r>
          </w:p>
          <w:p w14:paraId="4E59BCB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10.电源电压频率：AC220V，50Hz</w:t>
            </w:r>
          </w:p>
          <w:p w14:paraId="2346C9C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11.手柄控制器电压：DC24V</w:t>
            </w:r>
          </w:p>
          <w:p w14:paraId="28155BE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二、配置需求：</w:t>
            </w:r>
          </w:p>
          <w:p w14:paraId="56CB93D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1.万向腿架</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对</w:t>
            </w:r>
          </w:p>
          <w:p w14:paraId="2B8B35C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2.活床垫</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套</w:t>
            </w:r>
          </w:p>
          <w:p w14:paraId="4C9F7B9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3.麻醉架</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套</w:t>
            </w:r>
          </w:p>
          <w:p w14:paraId="41330BB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4.臂托</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对</w:t>
            </w:r>
          </w:p>
          <w:p w14:paraId="11C5A77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5.腰托</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对</w:t>
            </w:r>
          </w:p>
          <w:p w14:paraId="0EA6A22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6.肩托</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对</w:t>
            </w:r>
          </w:p>
        </w:tc>
        <w:tc>
          <w:tcPr>
            <w:tcW w:w="1100" w:type="dxa"/>
            <w:tcBorders>
              <w:left w:val="single" w:color="auto" w:sz="4" w:space="0"/>
            </w:tcBorders>
            <w:shd w:val="clear" w:color="auto" w:fill="auto"/>
            <w:vAlign w:val="center"/>
          </w:tcPr>
          <w:p w14:paraId="0261FE2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w:t>
            </w:r>
          </w:p>
        </w:tc>
      </w:tr>
      <w:tr w14:paraId="62D91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7BF78B2E">
            <w:pPr>
              <w:numPr>
                <w:ilvl w:val="0"/>
                <w:numId w:val="8"/>
              </w:numPr>
              <w:snapToGrid w:val="0"/>
              <w:spacing w:line="360" w:lineRule="auto"/>
              <w:jc w:val="center"/>
              <w:rPr>
                <w:rFonts w:hint="eastAsia" w:ascii="宋体" w:hAnsi="宋体" w:eastAsia="宋体" w:cs="宋体"/>
                <w:color w:val="auto"/>
                <w:sz w:val="21"/>
                <w:szCs w:val="21"/>
                <w:highlight w:val="none"/>
              </w:rPr>
            </w:pPr>
          </w:p>
        </w:tc>
        <w:tc>
          <w:tcPr>
            <w:tcW w:w="850" w:type="dxa"/>
            <w:vAlign w:val="center"/>
          </w:tcPr>
          <w:p w14:paraId="1B2A3A9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全自动焦度计</w:t>
            </w:r>
          </w:p>
        </w:tc>
        <w:tc>
          <w:tcPr>
            <w:tcW w:w="500" w:type="dxa"/>
            <w:tcBorders>
              <w:right w:val="single" w:color="auto" w:sz="4" w:space="0"/>
            </w:tcBorders>
            <w:shd w:val="clear" w:color="auto" w:fill="auto"/>
            <w:vAlign w:val="center"/>
          </w:tcPr>
          <w:p w14:paraId="084764A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gridSpan w:val="2"/>
            <w:tcBorders>
              <w:left w:val="single" w:color="auto" w:sz="4" w:space="0"/>
              <w:right w:val="single" w:color="auto" w:sz="4" w:space="0"/>
            </w:tcBorders>
            <w:vAlign w:val="center"/>
          </w:tcPr>
          <w:p w14:paraId="2667D26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台</w:t>
            </w:r>
          </w:p>
        </w:tc>
        <w:tc>
          <w:tcPr>
            <w:tcW w:w="5721" w:type="dxa"/>
            <w:tcBorders>
              <w:left w:val="single" w:color="auto" w:sz="4" w:space="0"/>
              <w:right w:val="single" w:color="auto" w:sz="4" w:space="0"/>
            </w:tcBorders>
            <w:vAlign w:val="center"/>
          </w:tcPr>
          <w:p w14:paraId="3AA0942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619F5B3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1.测量球镜范围</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0~±25.00D</w:t>
            </w:r>
          </w:p>
          <w:p w14:paraId="0AB2C36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2.测量柱镜范围</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0~±10.00D</w:t>
            </w:r>
          </w:p>
          <w:p w14:paraId="1A47CA7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3.测量下加范围</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0~10.00D</w:t>
            </w:r>
          </w:p>
          <w:p w14:paraId="510AE64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4.散光测量轴位</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0°~180°</w:t>
            </w:r>
          </w:p>
          <w:p w14:paraId="5E59F67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5.棱镜基地测量范围</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0°~360°</w:t>
            </w:r>
          </w:p>
          <w:p w14:paraId="5B9BF0F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6.棱镜度测量范围</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水平15Δ</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垂直20Δ</w:t>
            </w:r>
          </w:p>
          <w:p w14:paraId="797DBFB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7.可测量镜片直径</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15~115mm</w:t>
            </w:r>
          </w:p>
          <w:p w14:paraId="7DE9E67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8.可测镜腿厚度</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0~158mm</w:t>
            </w:r>
          </w:p>
          <w:p w14:paraId="729B96D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9.可测量镜片厚度</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≤20mm</w:t>
            </w:r>
          </w:p>
          <w:p w14:paraId="66F0803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10.可测量蓝光透过率：是</w:t>
            </w:r>
          </w:p>
          <w:p w14:paraId="7800E27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11.可测量UV透过率</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是</w:t>
            </w:r>
          </w:p>
          <w:p w14:paraId="6897238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12.可测量PD值</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30~100mm</w:t>
            </w:r>
          </w:p>
          <w:p w14:paraId="002F359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13.可测量</w:t>
            </w:r>
            <w:r>
              <w:rPr>
                <w:rFonts w:hint="eastAsia" w:ascii="宋体" w:hAnsi="宋体" w:cs="宋体"/>
                <w:color w:val="auto"/>
                <w:sz w:val="21"/>
                <w:szCs w:val="21"/>
                <w:highlight w:val="none"/>
                <w:lang w:val="en-US" w:eastAsia="zh-CN"/>
              </w:rPr>
              <w:t>pH值：</w:t>
            </w:r>
            <w:r>
              <w:rPr>
                <w:rFonts w:hint="eastAsia" w:ascii="宋体" w:hAnsi="宋体" w:eastAsia="宋体" w:cs="宋体"/>
                <w:color w:val="auto"/>
                <w:sz w:val="21"/>
                <w:szCs w:val="21"/>
                <w:highlight w:val="none"/>
                <w:lang w:val="en-US" w:eastAsia="zh-CN"/>
              </w:rPr>
              <w:t>4~55mm</w:t>
            </w:r>
          </w:p>
          <w:p w14:paraId="2753114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二、配置需求：</w:t>
            </w:r>
          </w:p>
          <w:p w14:paraId="2935705F">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w:t>
            </w:r>
            <w:r>
              <w:rPr>
                <w:rFonts w:hint="eastAsia" w:ascii="宋体" w:hAnsi="宋体" w:cs="宋体"/>
                <w:color w:val="auto"/>
                <w:sz w:val="21"/>
                <w:szCs w:val="21"/>
                <w:highlight w:val="none"/>
                <w:lang w:val="en-US" w:eastAsia="zh-CN"/>
              </w:rPr>
              <w:t>1台</w:t>
            </w:r>
          </w:p>
          <w:p w14:paraId="6A6ACAD2">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2.电源线</w:t>
            </w:r>
            <w:r>
              <w:rPr>
                <w:rFonts w:hint="eastAsia" w:ascii="宋体" w:hAnsi="宋体" w:cs="宋体"/>
                <w:color w:val="auto"/>
                <w:sz w:val="21"/>
                <w:szCs w:val="21"/>
                <w:highlight w:val="none"/>
                <w:lang w:val="en-US" w:eastAsia="zh-CN"/>
              </w:rPr>
              <w:t>1根</w:t>
            </w:r>
          </w:p>
          <w:p w14:paraId="44634CE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3.说明书1份</w:t>
            </w:r>
          </w:p>
        </w:tc>
        <w:tc>
          <w:tcPr>
            <w:tcW w:w="1100" w:type="dxa"/>
            <w:tcBorders>
              <w:left w:val="single" w:color="auto" w:sz="4" w:space="0"/>
            </w:tcBorders>
            <w:shd w:val="clear" w:color="auto" w:fill="auto"/>
            <w:vAlign w:val="center"/>
          </w:tcPr>
          <w:p w14:paraId="52CDC68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w:t>
            </w:r>
          </w:p>
        </w:tc>
      </w:tr>
      <w:tr w14:paraId="1BD76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9252" w:type="dxa"/>
            <w:gridSpan w:val="7"/>
            <w:tcBorders>
              <w:bottom w:val="single" w:color="auto" w:sz="4" w:space="0"/>
            </w:tcBorders>
            <w:vAlign w:val="center"/>
          </w:tcPr>
          <w:p w14:paraId="7BDF43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color w:val="auto"/>
                <w:sz w:val="21"/>
                <w:szCs w:val="21"/>
                <w:highlight w:val="none"/>
                <w:lang w:val="en-US" w:eastAsia="zh-CN"/>
              </w:rPr>
              <w:t>耳鼻喉科</w:t>
            </w:r>
          </w:p>
        </w:tc>
      </w:tr>
      <w:tr w14:paraId="53F9E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tcBorders>
              <w:bottom w:val="single" w:color="auto" w:sz="4" w:space="0"/>
            </w:tcBorders>
            <w:vAlign w:val="center"/>
          </w:tcPr>
          <w:p w14:paraId="3F5D75EF">
            <w:pPr>
              <w:numPr>
                <w:ilvl w:val="0"/>
                <w:numId w:val="9"/>
              </w:numPr>
              <w:snapToGrid w:val="0"/>
              <w:spacing w:line="360" w:lineRule="auto"/>
              <w:jc w:val="center"/>
              <w:rPr>
                <w:rFonts w:hint="eastAsia" w:ascii="宋体" w:hAnsi="宋体" w:eastAsia="宋体" w:cs="宋体"/>
                <w:color w:val="auto"/>
                <w:sz w:val="21"/>
                <w:szCs w:val="21"/>
                <w:highlight w:val="none"/>
              </w:rPr>
            </w:pPr>
          </w:p>
        </w:tc>
        <w:tc>
          <w:tcPr>
            <w:tcW w:w="850" w:type="dxa"/>
            <w:vAlign w:val="center"/>
          </w:tcPr>
          <w:p w14:paraId="70B6991B">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耳鼻喉综合治疗台系统</w:t>
            </w:r>
          </w:p>
        </w:tc>
        <w:tc>
          <w:tcPr>
            <w:tcW w:w="500" w:type="dxa"/>
            <w:tcBorders>
              <w:right w:val="single" w:color="auto" w:sz="4" w:space="0"/>
            </w:tcBorders>
            <w:shd w:val="clear" w:color="auto" w:fill="auto"/>
            <w:vAlign w:val="center"/>
          </w:tcPr>
          <w:p w14:paraId="2E1672F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gridSpan w:val="2"/>
            <w:tcBorders>
              <w:left w:val="single" w:color="auto" w:sz="4" w:space="0"/>
              <w:right w:val="single" w:color="auto" w:sz="4" w:space="0"/>
            </w:tcBorders>
            <w:vAlign w:val="center"/>
          </w:tcPr>
          <w:p w14:paraId="1C74699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套</w:t>
            </w:r>
          </w:p>
        </w:tc>
        <w:tc>
          <w:tcPr>
            <w:tcW w:w="5721" w:type="dxa"/>
            <w:tcBorders>
              <w:left w:val="single" w:color="auto" w:sz="4" w:space="0"/>
              <w:right w:val="single" w:color="auto" w:sz="4" w:space="0"/>
            </w:tcBorders>
            <w:vAlign w:val="center"/>
          </w:tcPr>
          <w:p w14:paraId="7D4FB05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1F7A4B3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1.支撑喉镜</w:t>
            </w:r>
          </w:p>
          <w:p w14:paraId="79DD592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1.1粗糙度：头部Ra≥0.8</w:t>
            </w:r>
            <w:r>
              <w:rPr>
                <w:color w:val="auto"/>
                <w:highlight w:val="none"/>
              </w:rPr>
              <w:t>μm</w:t>
            </w:r>
          </w:p>
          <w:p w14:paraId="3450C80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1.2尺寸：L(工作长度)≥172mm</w:t>
            </w:r>
          </w:p>
          <w:p w14:paraId="5021D14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1.3灭菌方式：压力</w:t>
            </w:r>
            <w:r>
              <w:rPr>
                <w:rFonts w:hint="eastAsia" w:ascii="宋体" w:hAnsi="宋体" w:cs="宋体"/>
                <w:color w:val="auto"/>
                <w:sz w:val="21"/>
                <w:szCs w:val="21"/>
                <w:highlight w:val="none"/>
                <w:lang w:val="en-US" w:eastAsia="zh-CN"/>
              </w:rPr>
              <w:t>蒸汽</w:t>
            </w:r>
            <w:r>
              <w:rPr>
                <w:rFonts w:hint="eastAsia" w:ascii="宋体" w:hAnsi="宋体" w:eastAsia="宋体" w:cs="宋体"/>
                <w:color w:val="auto"/>
                <w:sz w:val="21"/>
                <w:szCs w:val="21"/>
                <w:highlight w:val="none"/>
                <w:lang w:val="en-US" w:eastAsia="zh-CN"/>
              </w:rPr>
              <w:t>灭菌、过氧化氢低温等离子体灭菌</w:t>
            </w:r>
          </w:p>
          <w:p w14:paraId="0A07745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耐腐蚀性能：b级，耐酸、耐碱。</w:t>
            </w:r>
          </w:p>
          <w:p w14:paraId="02E8498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1.4使用性能：支撑喉镜各部件外表面光滑，窥视管和喉钳头端圆滑，杆和管部平直，不得有锋棱、毛刺、裂纹，支撑喉镜各</w:t>
            </w:r>
            <w:r>
              <w:rPr>
                <w:color w:val="auto"/>
                <w:highlight w:val="none"/>
              </w:rPr>
              <w:t>连接</w:t>
            </w:r>
            <w:r>
              <w:rPr>
                <w:rFonts w:hint="eastAsia" w:ascii="宋体" w:hAnsi="宋体" w:eastAsia="宋体" w:cs="宋体"/>
                <w:color w:val="auto"/>
                <w:sz w:val="21"/>
                <w:szCs w:val="21"/>
                <w:highlight w:val="none"/>
                <w:lang w:val="en-US" w:eastAsia="zh-CN"/>
              </w:rPr>
              <w:t>部位牢固，焊缝应平整、光滑，无脱焊或堆焊现象，铆合处光滑。</w:t>
            </w:r>
          </w:p>
          <w:p w14:paraId="0DE016F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1.5角度调节器的调节角度不小于60°。</w:t>
            </w:r>
          </w:p>
          <w:p w14:paraId="42AFFCD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2.诊疗台</w:t>
            </w:r>
          </w:p>
          <w:p w14:paraId="4CD8549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2.1主操作台：≥1800㎜×600㎜高分子复合材料和钢化玻璃双重组合台面，耐</w:t>
            </w:r>
            <w:r>
              <w:rPr>
                <w:rFonts w:hint="eastAsia" w:ascii="宋体" w:hAnsi="宋体" w:cs="宋体"/>
                <w:color w:val="auto"/>
                <w:sz w:val="21"/>
                <w:szCs w:val="21"/>
                <w:highlight w:val="none"/>
                <w:lang w:val="en-US" w:eastAsia="zh-CN"/>
              </w:rPr>
              <w:t>摩擦</w:t>
            </w:r>
            <w:r>
              <w:rPr>
                <w:rFonts w:hint="eastAsia" w:ascii="宋体" w:hAnsi="宋体" w:eastAsia="宋体" w:cs="宋体"/>
                <w:color w:val="auto"/>
                <w:sz w:val="21"/>
                <w:szCs w:val="21"/>
                <w:highlight w:val="none"/>
                <w:lang w:val="en-US" w:eastAsia="zh-CN"/>
              </w:rPr>
              <w:t>、耐腐蚀、不渗透、不粘油。</w:t>
            </w:r>
          </w:p>
          <w:p w14:paraId="561B7B8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2.2无油静音正压泵：功率：100W独立正压泵，正压泵周围有封闭式噪音隔离装置</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减低压力泵噪音及振动。</w:t>
            </w:r>
          </w:p>
          <w:p w14:paraId="62F9B93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2.3无油静音负压泵：功率：250W独立负压泵，负压泵周围有封闭式噪音隔离装置</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减低压力泵噪音及振动。</w:t>
            </w:r>
          </w:p>
          <w:p w14:paraId="09736BA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2.4内置式静音仪</w:t>
            </w:r>
          </w:p>
          <w:p w14:paraId="50DCC13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2.5喷枪：喷枪装置能喷出雾状液体，连续喷20S后，喷出液体量为5.5ml±1ml，无滴水现象。</w:t>
            </w:r>
          </w:p>
          <w:p w14:paraId="4A6A932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2.6吸枪：吸枪负压-0.10~-0.01Mpa，有吸力调节指孔，吸力可调，有延时断开功能，阻塞机率低。</w:t>
            </w:r>
          </w:p>
          <w:p w14:paraId="0E769A6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2.7吹枪：吹枪压力0.01~0.15</w:t>
            </w:r>
            <w:r>
              <w:rPr>
                <w:color w:val="auto"/>
                <w:highlight w:val="none"/>
              </w:rPr>
              <w:t>MPa</w:t>
            </w:r>
          </w:p>
          <w:p w14:paraId="6FA7093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2.8预热除雾装置：开启10S后，升温不小于30℃，自动、手动双重功能。</w:t>
            </w:r>
          </w:p>
          <w:p w14:paraId="24B04FE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2.9万向冷光照明灯：24V，50W聚光、无辐射，可调节亮度。采用三关节方向转动悬臂。</w:t>
            </w:r>
          </w:p>
          <w:p w14:paraId="72E2F51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2.10电气自动控制系统：控制整机电源及治疗台各项功能，强电转弱电。</w:t>
            </w:r>
          </w:p>
          <w:p w14:paraId="284F5CD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2.11主副吸引瓶：2500ml、1000mL各1个，收集污液，防回流装。</w:t>
            </w:r>
          </w:p>
          <w:p w14:paraId="04690A1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2.12机械臂及立柱：机械臂可±180°旋转，上下移动范围≥300㎜用于调整照明灯的位置，立柱</w:t>
            </w:r>
            <w:r>
              <w:rPr>
                <w:rFonts w:hint="eastAsia"/>
                <w:color w:val="auto"/>
                <w:highlight w:val="none"/>
                <w:lang w:val="en-US" w:eastAsia="zh-CN"/>
              </w:rPr>
              <w:t>可供后续选配</w:t>
            </w:r>
            <w:r>
              <w:rPr>
                <w:rFonts w:hint="eastAsia" w:ascii="宋体" w:hAnsi="宋体" w:eastAsia="宋体" w:cs="宋体"/>
                <w:color w:val="auto"/>
                <w:sz w:val="21"/>
                <w:szCs w:val="21"/>
                <w:highlight w:val="none"/>
                <w:lang w:val="en-US" w:eastAsia="zh-CN"/>
              </w:rPr>
              <w:t>功能支架的安装。</w:t>
            </w:r>
          </w:p>
          <w:p w14:paraId="4906265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3.内窥镜摄像系统</w:t>
            </w:r>
          </w:p>
          <w:p w14:paraId="63D7A27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3.1防电击类型分类I类CF型。</w:t>
            </w:r>
          </w:p>
          <w:p w14:paraId="3B60E45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3.2分辨率：≥1920（H）×1080（V），≥200万像素，逐行扫描，3组，1/3英寸CMOS全高清图像传感器设计。</w:t>
            </w:r>
          </w:p>
          <w:p w14:paraId="3A8245F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▲3.3水平极限清晰度≥1500线。</w:t>
            </w:r>
          </w:p>
          <w:p w14:paraId="74DFC65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3.4最低照度：＜3Lx(F1.4时)。</w:t>
            </w:r>
          </w:p>
          <w:p w14:paraId="29E1884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3.5快门速度：自动/手动(1/60sor1/50s)</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1/100s</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1/125s</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1/250s</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1/500s</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1/1000s</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1/3000s</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1/5000s</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1/10000s。</w:t>
            </w:r>
          </w:p>
          <w:p w14:paraId="52CE358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3.6白平衡：自动模式/手动模式</w:t>
            </w:r>
          </w:p>
          <w:p w14:paraId="7D9CA12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3.7信噪比：≥50dB</w:t>
            </w:r>
          </w:p>
          <w:p w14:paraId="5735B74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3.8摄像头防水级别：≥IPX7</w:t>
            </w:r>
          </w:p>
          <w:p w14:paraId="48583D1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3.9色彩还原能力：≥四级</w:t>
            </w:r>
          </w:p>
          <w:p w14:paraId="1EC58D4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3.10视频输出：视频输出：SDI-HD*2、DVI-D*2、S-video*1、Compositevideo*1</w:t>
            </w:r>
          </w:p>
          <w:p w14:paraId="52BAA90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3.11五种工作模式，可兼容各种硬镜、软镜，在纤维镜工作中具备降低摩尔纹功能。</w:t>
            </w:r>
          </w:p>
          <w:p w14:paraId="13C1E55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图像亮度增强：3级可调</w:t>
            </w:r>
            <w:r>
              <w:rPr>
                <w:rFonts w:hint="eastAsia" w:ascii="宋体" w:hAnsi="宋体" w:cs="宋体"/>
                <w:color w:val="auto"/>
                <w:sz w:val="21"/>
                <w:szCs w:val="21"/>
                <w:highlight w:val="none"/>
                <w:lang w:val="en-US" w:eastAsia="zh-CN"/>
              </w:rPr>
              <w:t>。</w:t>
            </w:r>
          </w:p>
          <w:p w14:paraId="6C4A804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通过锐度调整，</w:t>
            </w:r>
            <w:r>
              <w:rPr>
                <w:rFonts w:hint="eastAsia" w:ascii="宋体" w:hAnsi="宋体" w:cs="宋体"/>
                <w:color w:val="auto"/>
                <w:sz w:val="21"/>
                <w:szCs w:val="21"/>
                <w:highlight w:val="none"/>
                <w:lang w:val="en-US" w:eastAsia="zh-CN"/>
              </w:rPr>
              <w:t>可</w:t>
            </w:r>
            <w:r>
              <w:rPr>
                <w:rFonts w:hint="eastAsia" w:ascii="宋体" w:hAnsi="宋体" w:eastAsia="宋体" w:cs="宋体"/>
                <w:color w:val="auto"/>
                <w:sz w:val="21"/>
                <w:szCs w:val="21"/>
                <w:highlight w:val="none"/>
                <w:lang w:val="en-US" w:eastAsia="zh-CN"/>
              </w:rPr>
              <w:t>呈现细节</w:t>
            </w:r>
            <w:r>
              <w:rPr>
                <w:rFonts w:hint="eastAsia" w:ascii="宋体" w:hAnsi="宋体" w:cs="宋体"/>
                <w:color w:val="auto"/>
                <w:sz w:val="21"/>
                <w:szCs w:val="21"/>
                <w:highlight w:val="none"/>
                <w:lang w:val="en-US" w:eastAsia="zh-CN"/>
              </w:rPr>
              <w:t>。</w:t>
            </w:r>
          </w:p>
          <w:p w14:paraId="0EFB982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3.12主机自带黑平衡功能：ABB（自动黑平衡）。</w:t>
            </w:r>
          </w:p>
          <w:p w14:paraId="5BDA89E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3.13提供多倍数码变焦和图像冻结功能拥有翻转、镜像、旋转功能。</w:t>
            </w:r>
          </w:p>
          <w:p w14:paraId="557959D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3.14摄像头具有遥控功能，所有功能均可用摄像头的按键实现，可由手术者自由控制。</w:t>
            </w:r>
          </w:p>
          <w:p w14:paraId="25321F0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▲3.15颜色增强功能</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通过改变图像颜色，让操作者能看到组织更深部位的图像，使病变组织和正常组织出现边界，更早发现病灶。</w:t>
            </w:r>
          </w:p>
          <w:p w14:paraId="4995083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3.16主机可增加USB接口，插U盘、移动硬盘即可实现1080p高清图片捕捉以及每秒50帧的全高清动态录像的功能。</w:t>
            </w:r>
          </w:p>
          <w:p w14:paraId="61D11FE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3.17摄像头电缆使用耐腐蚀，耐高温，硅胶材料。</w:t>
            </w:r>
          </w:p>
          <w:p w14:paraId="18169A1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4.内窥镜LED冷光源</w:t>
            </w:r>
          </w:p>
          <w:p w14:paraId="4DA5A3A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4.1防电击类型分类：I类CF型</w:t>
            </w:r>
          </w:p>
          <w:p w14:paraId="6B27CCF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4.2电源～220V50Hz</w:t>
            </w:r>
          </w:p>
          <w:p w14:paraId="67A7D3A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4.3输入功率：160VA</w:t>
            </w:r>
          </w:p>
          <w:p w14:paraId="67E081D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4.4熔断器：T2AL250V</w:t>
            </w:r>
          </w:p>
          <w:p w14:paraId="10A6C92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4.5亮度调节0-100多级可调</w:t>
            </w:r>
          </w:p>
          <w:p w14:paraId="3E789F0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4.6光输出色温3000K～7000K</w:t>
            </w:r>
          </w:p>
          <w:p w14:paraId="2771C2C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4.7显色指数Ra≥90</w:t>
            </w:r>
          </w:p>
          <w:p w14:paraId="6831458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4.8光通量≥1500lm</w:t>
            </w:r>
          </w:p>
          <w:p w14:paraId="2B49154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4.9LED光源的寿命为≥30000小时，冷光源显示屏上</w:t>
            </w:r>
            <w:r>
              <w:rPr>
                <w:rFonts w:hint="eastAsia" w:ascii="宋体" w:hAnsi="宋体" w:cs="宋体"/>
                <w:color w:val="auto"/>
                <w:sz w:val="21"/>
                <w:szCs w:val="21"/>
                <w:highlight w:val="none"/>
                <w:lang w:val="en-US" w:eastAsia="zh-CN"/>
              </w:rPr>
              <w:t>能</w:t>
            </w:r>
            <w:r>
              <w:rPr>
                <w:rFonts w:hint="eastAsia" w:ascii="宋体" w:hAnsi="宋体" w:eastAsia="宋体" w:cs="宋体"/>
                <w:color w:val="auto"/>
                <w:sz w:val="21"/>
                <w:szCs w:val="21"/>
                <w:highlight w:val="none"/>
                <w:lang w:val="en-US" w:eastAsia="zh-CN"/>
              </w:rPr>
              <w:t>显示已使用时间信息。</w:t>
            </w:r>
          </w:p>
          <w:p w14:paraId="1DB0893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4.10冷光源用于连接照明用光缆的机械接口的规格：Φ10.0mm，允差±0.5mm。</w:t>
            </w:r>
          </w:p>
          <w:p w14:paraId="13728EC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5.监视器</w:t>
            </w:r>
          </w:p>
          <w:p w14:paraId="58E489B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5.1对角线尺寸：≥27寸</w:t>
            </w:r>
          </w:p>
          <w:p w14:paraId="4A4F65A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5.2类型：a-SiTFT-LCD</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液晶模组</w:t>
            </w:r>
          </w:p>
          <w:p w14:paraId="168007D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5.3电源要求：外置电源24V/5A</w:t>
            </w:r>
          </w:p>
          <w:p w14:paraId="182016B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5.4分辨率：≥1920*1080</w:t>
            </w:r>
          </w:p>
          <w:p w14:paraId="76C5FBB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5.5刷新率：≥60Hz</w:t>
            </w:r>
          </w:p>
          <w:p w14:paraId="516BB26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5.6比例：≥16</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9</w:t>
            </w:r>
          </w:p>
          <w:p w14:paraId="59E47D4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5.7色彩：≥1.07B彩色</w:t>
            </w:r>
          </w:p>
          <w:p w14:paraId="05CC4F8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5.8亮度：≥1000cd/m²</w:t>
            </w:r>
          </w:p>
          <w:p w14:paraId="504BCE3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5.9对比度：≥1000</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w:t>
            </w:r>
          </w:p>
          <w:p w14:paraId="5E4C066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5.10可视角度：≥178°/178°</w:t>
            </w:r>
          </w:p>
          <w:p w14:paraId="09CFFAE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5.11响应时间：≤16ms</w:t>
            </w:r>
          </w:p>
          <w:p w14:paraId="2FCE668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6.工作站</w:t>
            </w:r>
          </w:p>
          <w:p w14:paraId="66254FD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6.1视频输入端口：HDMI、DVI、SDI</w:t>
            </w:r>
          </w:p>
          <w:p w14:paraId="0D3DCFD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6.2视频流支持：720p、1080p制式</w:t>
            </w:r>
          </w:p>
          <w:p w14:paraId="71AF4A5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6.3临床功能：信息录入、采集图像、模板调用、打印报告、设置、报告设计、病历查询、影像报告管理、图像处理与管理。</w:t>
            </w:r>
          </w:p>
          <w:p w14:paraId="2D157E2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6.4影像显示分辨率、静态图像采集分辨率、动态图像采集分辨率：≥1920×1080，≥1280×720。</w:t>
            </w:r>
          </w:p>
          <w:p w14:paraId="238CDDD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二、配置需求：</w:t>
            </w:r>
          </w:p>
          <w:p w14:paraId="741D7AD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（一）支撑喉镜</w:t>
            </w:r>
          </w:p>
          <w:p w14:paraId="3C089BD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1.喉镜1支</w:t>
            </w:r>
          </w:p>
          <w:p w14:paraId="705D30C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2.支撑架1套</w:t>
            </w:r>
          </w:p>
          <w:p w14:paraId="10480DB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3.显微喉钳7把</w:t>
            </w:r>
          </w:p>
          <w:p w14:paraId="05964AA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4.显微喉剪2把</w:t>
            </w:r>
          </w:p>
          <w:p w14:paraId="4E7A842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5.显微喉钳1把</w:t>
            </w:r>
          </w:p>
          <w:p w14:paraId="58A3197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6.喉刀1把</w:t>
            </w:r>
          </w:p>
          <w:p w14:paraId="0F289CC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7.喉针1支</w:t>
            </w:r>
          </w:p>
          <w:p w14:paraId="664110B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8.喉勾1支</w:t>
            </w:r>
          </w:p>
          <w:p w14:paraId="12194E0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9.手柄1只</w:t>
            </w:r>
          </w:p>
          <w:p w14:paraId="6B7AE0A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10.吸引管3支</w:t>
            </w:r>
          </w:p>
          <w:p w14:paraId="6C02C8D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11.导光束1支</w:t>
            </w:r>
          </w:p>
          <w:p w14:paraId="30B3FDC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12.0°耳内窥镜2支</w:t>
            </w:r>
          </w:p>
          <w:p w14:paraId="3BD03AD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13.0°鼻内窥镜1支</w:t>
            </w:r>
          </w:p>
          <w:p w14:paraId="18A4117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14.间接喉镜2支</w:t>
            </w:r>
          </w:p>
          <w:p w14:paraId="090E2A3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15.前鼻镜2支</w:t>
            </w:r>
          </w:p>
          <w:p w14:paraId="6BAB92F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（二）诊疗台</w:t>
            </w:r>
          </w:p>
          <w:p w14:paraId="310FEA1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1.主操作台1张</w:t>
            </w:r>
          </w:p>
          <w:p w14:paraId="7980436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2.无油静音正压泵（100w）1台</w:t>
            </w:r>
          </w:p>
          <w:p w14:paraId="10BBD63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3.无油静音正压泵（250w）1台</w:t>
            </w:r>
          </w:p>
          <w:p w14:paraId="773A1F9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4.静音仪1套</w:t>
            </w:r>
          </w:p>
          <w:p w14:paraId="383DEE9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5.喷枪3把</w:t>
            </w:r>
          </w:p>
          <w:p w14:paraId="725B8FD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6.吸枪1把</w:t>
            </w:r>
          </w:p>
          <w:p w14:paraId="5944A77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7.吹枪1把</w:t>
            </w:r>
          </w:p>
          <w:p w14:paraId="5420999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8.预热除雾装置1套</w:t>
            </w:r>
          </w:p>
          <w:p w14:paraId="111A4F1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9.万向冷光照明灯1套</w:t>
            </w:r>
          </w:p>
          <w:p w14:paraId="1B3A2AA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10.电气自动控制系统1套</w:t>
            </w:r>
          </w:p>
          <w:p w14:paraId="0DFDACD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11.主副吸引瓶2只</w:t>
            </w:r>
          </w:p>
          <w:p w14:paraId="64DE995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12.机械臂及立柱1套</w:t>
            </w:r>
          </w:p>
          <w:p w14:paraId="02D4A2C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13.器械盘2只</w:t>
            </w:r>
          </w:p>
          <w:p w14:paraId="60C924D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14.污物盘和废物收集桶1套</w:t>
            </w:r>
          </w:p>
          <w:p w14:paraId="7BDCAA6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15.药膏罐3个</w:t>
            </w:r>
          </w:p>
          <w:p w14:paraId="78B79E5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16.吸引头1套</w:t>
            </w:r>
          </w:p>
          <w:p w14:paraId="4CCA4A7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17.键盘托盘1只</w:t>
            </w:r>
          </w:p>
          <w:p w14:paraId="3FCB960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18.储物抽屉2只</w:t>
            </w:r>
          </w:p>
          <w:p w14:paraId="3D4E065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19.储物电脑柜1只</w:t>
            </w:r>
          </w:p>
          <w:p w14:paraId="08F66CE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20.观片灯及支架1套</w:t>
            </w:r>
          </w:p>
          <w:p w14:paraId="41300A1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21.电动诊疗椅1张</w:t>
            </w:r>
          </w:p>
          <w:p w14:paraId="7E57244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r>
              <w:rPr>
                <w:rFonts w:hint="eastAsia" w:ascii="宋体" w:hAnsi="宋体" w:cs="宋体"/>
                <w:color w:val="auto"/>
                <w:sz w:val="21"/>
                <w:szCs w:val="21"/>
                <w:highlight w:val="none"/>
                <w:lang w:val="en-US" w:eastAsia="zh-CN"/>
              </w:rPr>
              <w:t>医用</w:t>
            </w:r>
            <w:r>
              <w:rPr>
                <w:rFonts w:hint="eastAsia" w:ascii="宋体" w:hAnsi="宋体" w:eastAsia="宋体" w:cs="宋体"/>
                <w:color w:val="auto"/>
                <w:sz w:val="21"/>
                <w:szCs w:val="21"/>
                <w:highlight w:val="none"/>
                <w:lang w:val="en-US" w:eastAsia="zh-CN"/>
              </w:rPr>
              <w:t>医生座椅1张</w:t>
            </w:r>
          </w:p>
          <w:p w14:paraId="142E73F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（三）内窥镜摄像系统</w:t>
            </w:r>
          </w:p>
          <w:p w14:paraId="0FD01D1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1.医用内窥镜摄像系统1套</w:t>
            </w:r>
          </w:p>
          <w:p w14:paraId="1F9C2F6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2.光学接口1个</w:t>
            </w:r>
          </w:p>
          <w:p w14:paraId="559EEFB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3.台车1台</w:t>
            </w:r>
          </w:p>
          <w:p w14:paraId="718CB1D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4.照明用光缆1条</w:t>
            </w:r>
          </w:p>
          <w:p w14:paraId="7F46511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（四）内窥镜LED冷光源1套</w:t>
            </w:r>
          </w:p>
          <w:p w14:paraId="181502B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1.主机1台</w:t>
            </w:r>
          </w:p>
          <w:p w14:paraId="3605776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2.电源线1条</w:t>
            </w:r>
          </w:p>
          <w:p w14:paraId="2F728DA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w:t>
            </w:r>
            <w:r>
              <w:rPr>
                <w:rFonts w:hint="eastAsia" w:ascii="宋体" w:hAnsi="宋体" w:cs="宋体"/>
                <w:color w:val="auto"/>
                <w:sz w:val="21"/>
                <w:szCs w:val="21"/>
                <w:highlight w:val="none"/>
                <w:lang w:val="en-US" w:eastAsia="zh-CN"/>
              </w:rPr>
              <w:t>医用</w:t>
            </w:r>
            <w:r>
              <w:rPr>
                <w:rFonts w:hint="eastAsia" w:ascii="宋体" w:hAnsi="宋体" w:eastAsia="宋体" w:cs="宋体"/>
                <w:color w:val="auto"/>
                <w:sz w:val="21"/>
                <w:szCs w:val="21"/>
                <w:highlight w:val="none"/>
                <w:lang w:val="en-US" w:eastAsia="zh-CN"/>
              </w:rPr>
              <w:t>监视器1台</w:t>
            </w:r>
          </w:p>
          <w:p w14:paraId="61AB2D8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（六）工作站1套</w:t>
            </w:r>
          </w:p>
          <w:p w14:paraId="6DB6B55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报告输出装置</w:t>
            </w:r>
            <w:r>
              <w:rPr>
                <w:rFonts w:hint="eastAsia" w:ascii="宋体" w:hAnsi="宋体" w:eastAsia="宋体" w:cs="宋体"/>
                <w:color w:val="auto"/>
                <w:sz w:val="21"/>
                <w:szCs w:val="21"/>
                <w:highlight w:val="none"/>
                <w:lang w:val="en-US" w:eastAsia="zh-CN"/>
              </w:rPr>
              <w:t>1台</w:t>
            </w:r>
          </w:p>
          <w:p w14:paraId="4BB86B4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2.软件1套</w:t>
            </w:r>
          </w:p>
          <w:p w14:paraId="1CA5C46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3.COM脚踏开关1台</w:t>
            </w:r>
          </w:p>
          <w:p w14:paraId="6DB6DE8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4.视频采集1套</w:t>
            </w:r>
          </w:p>
          <w:p w14:paraId="4736C8F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5.HDMI视频线1条</w:t>
            </w:r>
          </w:p>
        </w:tc>
        <w:tc>
          <w:tcPr>
            <w:tcW w:w="1100" w:type="dxa"/>
            <w:tcBorders>
              <w:left w:val="single" w:color="auto" w:sz="4" w:space="0"/>
            </w:tcBorders>
            <w:shd w:val="clear" w:color="auto" w:fill="auto"/>
            <w:vAlign w:val="center"/>
          </w:tcPr>
          <w:p w14:paraId="733E141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55</w:t>
            </w:r>
          </w:p>
        </w:tc>
      </w:tr>
      <w:tr w14:paraId="6445B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tcBorders>
              <w:top w:val="single" w:color="auto" w:sz="4" w:space="0"/>
            </w:tcBorders>
            <w:vAlign w:val="center"/>
          </w:tcPr>
          <w:p w14:paraId="31427B9C">
            <w:pPr>
              <w:numPr>
                <w:ilvl w:val="0"/>
                <w:numId w:val="9"/>
              </w:numPr>
              <w:snapToGrid w:val="0"/>
              <w:spacing w:line="360" w:lineRule="auto"/>
              <w:jc w:val="center"/>
              <w:rPr>
                <w:rFonts w:hint="eastAsia" w:ascii="宋体" w:hAnsi="宋体" w:eastAsia="宋体" w:cs="宋体"/>
                <w:color w:val="auto"/>
                <w:sz w:val="21"/>
                <w:szCs w:val="21"/>
                <w:highlight w:val="none"/>
              </w:rPr>
            </w:pPr>
          </w:p>
        </w:tc>
        <w:tc>
          <w:tcPr>
            <w:tcW w:w="850" w:type="dxa"/>
            <w:vAlign w:val="center"/>
          </w:tcPr>
          <w:p w14:paraId="6A845CD7">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电测听器（听力计）</w:t>
            </w:r>
          </w:p>
        </w:tc>
        <w:tc>
          <w:tcPr>
            <w:tcW w:w="500" w:type="dxa"/>
            <w:tcBorders>
              <w:right w:val="single" w:color="auto" w:sz="4" w:space="0"/>
            </w:tcBorders>
            <w:shd w:val="clear" w:color="auto" w:fill="auto"/>
            <w:vAlign w:val="center"/>
          </w:tcPr>
          <w:p w14:paraId="2BEE080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gridSpan w:val="2"/>
            <w:tcBorders>
              <w:left w:val="single" w:color="auto" w:sz="4" w:space="0"/>
              <w:right w:val="single" w:color="auto" w:sz="4" w:space="0"/>
            </w:tcBorders>
            <w:vAlign w:val="center"/>
          </w:tcPr>
          <w:p w14:paraId="74970F61">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台</w:t>
            </w:r>
          </w:p>
        </w:tc>
        <w:tc>
          <w:tcPr>
            <w:tcW w:w="5721" w:type="dxa"/>
            <w:tcBorders>
              <w:left w:val="single" w:color="auto" w:sz="4" w:space="0"/>
              <w:right w:val="single" w:color="auto" w:sz="4" w:space="0"/>
            </w:tcBorders>
            <w:vAlign w:val="center"/>
          </w:tcPr>
          <w:p w14:paraId="389A364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一、电测听器</w:t>
            </w:r>
          </w:p>
          <w:p w14:paraId="1C32066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1.通道：两路独立的输出通道</w:t>
            </w:r>
          </w:p>
          <w:p w14:paraId="5540418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2.测试频率：气导125～8000Hz，骨导250～6000Hz，误差小于≥1%</w:t>
            </w:r>
          </w:p>
          <w:p w14:paraId="1D357D1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3.测试强度范围：气导-10～120dB骨导-10~70dB</w:t>
            </w:r>
          </w:p>
          <w:p w14:paraId="41ED6BA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4.掩蔽强度范围：-10～110dB</w:t>
            </w:r>
          </w:p>
          <w:p w14:paraId="05C6BDA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5.测试信号：纯音、脉冲音、啭音和窄带噪声</w:t>
            </w:r>
          </w:p>
          <w:p w14:paraId="0510935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6.啭音调制频率：5Hz正弦波</w:t>
            </w:r>
          </w:p>
          <w:p w14:paraId="6AF2F84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7.给声方式：按键给声/触摸式给声（</w:t>
            </w:r>
            <w:r>
              <w:rPr>
                <w:rFonts w:hint="eastAsia" w:ascii="宋体" w:hAnsi="宋体" w:cs="宋体"/>
                <w:color w:val="auto"/>
                <w:sz w:val="21"/>
                <w:szCs w:val="21"/>
                <w:highlight w:val="none"/>
                <w:lang w:val="en-US" w:eastAsia="zh-CN"/>
              </w:rPr>
              <w:t>支持后续升级</w:t>
            </w:r>
            <w:r>
              <w:rPr>
                <w:rFonts w:hint="eastAsia" w:ascii="宋体" w:hAnsi="宋体" w:eastAsia="宋体" w:cs="宋体"/>
                <w:color w:val="auto"/>
                <w:sz w:val="21"/>
                <w:szCs w:val="21"/>
                <w:highlight w:val="none"/>
                <w:lang w:val="en-US" w:eastAsia="zh-CN"/>
              </w:rPr>
              <w:t>选配）</w:t>
            </w:r>
          </w:p>
          <w:p w14:paraId="34F3328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8.麦克风：内置麦克风，</w:t>
            </w:r>
            <w:r>
              <w:rPr>
                <w:rFonts w:hint="eastAsia" w:ascii="宋体" w:hAnsi="宋体" w:cs="宋体"/>
                <w:color w:val="auto"/>
                <w:sz w:val="21"/>
                <w:szCs w:val="21"/>
                <w:highlight w:val="none"/>
                <w:lang w:val="en-US" w:eastAsia="zh-CN"/>
              </w:rPr>
              <w:t>支持</w:t>
            </w:r>
            <w:r>
              <w:rPr>
                <w:rFonts w:hint="eastAsia" w:ascii="宋体" w:hAnsi="宋体" w:eastAsia="宋体" w:cs="宋体"/>
                <w:color w:val="auto"/>
                <w:sz w:val="21"/>
                <w:szCs w:val="21"/>
                <w:highlight w:val="none"/>
                <w:lang w:val="en-US" w:eastAsia="zh-CN"/>
              </w:rPr>
              <w:t>与受试者沟通（0-50强度可调）</w:t>
            </w:r>
          </w:p>
          <w:p w14:paraId="6351147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9.患者应答：外置应答手柄，内置应答指示及压电式蜂鸣</w:t>
            </w:r>
          </w:p>
          <w:p w14:paraId="3ACAE5E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10.显示屏：LCD显示屏，双行精确数值显示</w:t>
            </w:r>
          </w:p>
          <w:p w14:paraId="57B7A0E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11.失真度：气导≤1%骨导≤2.5%</w:t>
            </w:r>
          </w:p>
          <w:p w14:paraId="21BA286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12.精度：连续衰减/步进5dB，误差≤1dB</w:t>
            </w:r>
          </w:p>
          <w:p w14:paraId="13C6008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13.掩蔽：气导、骨导对侧掩蔽</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可自由切换，无需调换耳机，掩蔽提示</w:t>
            </w:r>
          </w:p>
          <w:p w14:paraId="384D5DA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▲14.保护功能：符合声学安全要求（引用GB/T7341.1-2010电声学检测设备5.2的规定）</w:t>
            </w:r>
          </w:p>
          <w:p w14:paraId="19CE7FA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15.声场测试：支持后续升级选配</w:t>
            </w:r>
          </w:p>
          <w:p w14:paraId="0D32A86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▲16.数据输入方式：≥3种录入方式</w:t>
            </w:r>
          </w:p>
          <w:p w14:paraId="0CED7CA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17.个性化报告设置：多种报告表头模板可供选择，报告参数自由组合</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支持电子签名，自定义诊断模块</w:t>
            </w:r>
            <w:r>
              <w:rPr>
                <w:rFonts w:hint="eastAsia" w:ascii="宋体" w:hAnsi="宋体" w:cs="宋体"/>
                <w:color w:val="auto"/>
                <w:sz w:val="21"/>
                <w:szCs w:val="21"/>
                <w:highlight w:val="none"/>
                <w:lang w:val="en-US" w:eastAsia="zh-CN"/>
              </w:rPr>
              <w:t>。</w:t>
            </w:r>
          </w:p>
          <w:p w14:paraId="4B54981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18.测试过程可选显示年龄偏移值曲线和数值</w:t>
            </w:r>
          </w:p>
          <w:p w14:paraId="519B84A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19.自定义选择测试频率，气导、骨导PTA计算方式</w:t>
            </w:r>
          </w:p>
          <w:p w14:paraId="5ED599E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20.气/骨导辅助分析（单/双耳高频平均听阈，双耳语频平均听阈，单耳听阈加权值，爆震聋单耳平均听阈）</w:t>
            </w:r>
          </w:p>
          <w:p w14:paraId="3C0682E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▲21.计算精度：原始数据/保留整数/保留小数点后2位</w:t>
            </w:r>
          </w:p>
          <w:p w14:paraId="22652E3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22.数据传输：使用USB2.0接口连接PC端，实时获取听力计数据，存储测试数据打印测试报告</w:t>
            </w:r>
            <w:r>
              <w:rPr>
                <w:rFonts w:hint="eastAsia" w:ascii="宋体" w:hAnsi="宋体" w:cs="宋体"/>
                <w:color w:val="auto"/>
                <w:sz w:val="21"/>
                <w:szCs w:val="21"/>
                <w:highlight w:val="none"/>
                <w:lang w:val="en-US" w:eastAsia="zh-CN"/>
              </w:rPr>
              <w:t>。</w:t>
            </w:r>
          </w:p>
          <w:p w14:paraId="729CC5C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23.存储：依据PC容量，通过FTP传输至指定目录存储</w:t>
            </w:r>
            <w:r>
              <w:rPr>
                <w:rFonts w:hint="eastAsia" w:ascii="宋体" w:hAnsi="宋体" w:cs="宋体"/>
                <w:color w:val="auto"/>
                <w:sz w:val="21"/>
                <w:szCs w:val="21"/>
                <w:highlight w:val="none"/>
                <w:lang w:val="en-US" w:eastAsia="zh-CN"/>
              </w:rPr>
              <w:t>。</w:t>
            </w:r>
          </w:p>
          <w:p w14:paraId="6DC7711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24.测试报告存储：≥3种格式存储导出报告文件名可以根据需求自定义组合。</w:t>
            </w:r>
          </w:p>
          <w:p w14:paraId="3966B34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▲25.职业病诊断：根据《GB/T</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7582-2004声学听阈与年龄关系的统计分布》和《GBZ49-2014职业病噪声聋诊断》，</w:t>
            </w:r>
          </w:p>
          <w:p w14:paraId="7654587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25.1.对听力测试数据一键计算分析，直接获取噪声聋诊断数值和诊断分级</w:t>
            </w:r>
          </w:p>
          <w:p w14:paraId="47A68B8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25.2.与医疗系统数据互通：≥三种对接模式可选，</w:t>
            </w:r>
            <w:r>
              <w:rPr>
                <w:rFonts w:hint="eastAsia" w:ascii="宋体" w:hAnsi="宋体" w:cs="宋体"/>
                <w:color w:val="auto"/>
                <w:sz w:val="21"/>
                <w:szCs w:val="21"/>
                <w:highlight w:val="none"/>
                <w:lang w:val="en-US" w:eastAsia="zh-CN"/>
              </w:rPr>
              <w:t>支持</w:t>
            </w:r>
            <w:r>
              <w:rPr>
                <w:rFonts w:hint="eastAsia" w:ascii="宋体" w:hAnsi="宋体" w:eastAsia="宋体" w:cs="宋体"/>
                <w:color w:val="auto"/>
                <w:sz w:val="21"/>
                <w:szCs w:val="21"/>
                <w:highlight w:val="none"/>
                <w:lang w:val="en-US" w:eastAsia="zh-CN"/>
              </w:rPr>
              <w:t>实现与医疗系统信息对接。</w:t>
            </w:r>
          </w:p>
          <w:p w14:paraId="4353907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25.3.获取医院系统中的受试者信息及上传原始数据和修正后数据（单/双耳高频、低频、加权值），可查看报告上传</w:t>
            </w:r>
            <w:r>
              <w:rPr>
                <w:rFonts w:hint="eastAsia" w:ascii="宋体" w:hAnsi="宋体" w:cs="宋体"/>
                <w:color w:val="auto"/>
                <w:sz w:val="21"/>
                <w:szCs w:val="21"/>
                <w:highlight w:val="none"/>
                <w:lang w:val="en-US" w:eastAsia="zh-CN"/>
              </w:rPr>
              <w:t>状况</w:t>
            </w:r>
            <w:r>
              <w:rPr>
                <w:rFonts w:hint="eastAsia" w:ascii="宋体" w:hAnsi="宋体" w:eastAsia="宋体" w:cs="宋体"/>
                <w:color w:val="auto"/>
                <w:sz w:val="21"/>
                <w:szCs w:val="21"/>
                <w:highlight w:val="none"/>
                <w:lang w:val="en-US" w:eastAsia="zh-CN"/>
              </w:rPr>
              <w:t>（可批量导入和上传），可筛选报告导出EXCEL统计表格。</w:t>
            </w:r>
          </w:p>
          <w:p w14:paraId="1564128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25.4.</w:t>
            </w:r>
            <w:r>
              <w:rPr>
                <w:rFonts w:hint="eastAsia" w:ascii="宋体" w:hAnsi="宋体" w:cs="宋体"/>
                <w:color w:val="auto"/>
                <w:sz w:val="21"/>
                <w:szCs w:val="21"/>
                <w:highlight w:val="none"/>
                <w:lang w:val="en-US" w:eastAsia="zh-CN"/>
              </w:rPr>
              <w:t>支持</w:t>
            </w:r>
            <w:r>
              <w:rPr>
                <w:rFonts w:hint="eastAsia" w:ascii="宋体" w:hAnsi="宋体" w:eastAsia="宋体" w:cs="宋体"/>
                <w:color w:val="auto"/>
                <w:sz w:val="21"/>
                <w:szCs w:val="21"/>
                <w:highlight w:val="none"/>
                <w:lang w:val="en-US" w:eastAsia="zh-CN"/>
              </w:rPr>
              <w:t>进行爆震聋辅助计算，噪声聋辅助计算，自动生成噪声聋报告，噪声聋测试自动检测报告数据完整</w:t>
            </w:r>
          </w:p>
          <w:p w14:paraId="4DD50F0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▲26.60dB状态通断比</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应符合GB7341.1-2010</w:t>
            </w:r>
            <w:r>
              <w:rPr>
                <w:rFonts w:hint="eastAsia" w:ascii="宋体" w:hAnsi="宋体" w:cs="宋体"/>
                <w:color w:val="auto"/>
                <w:sz w:val="21"/>
                <w:szCs w:val="21"/>
                <w:highlight w:val="none"/>
                <w:lang w:val="en-US" w:eastAsia="zh-CN"/>
              </w:rPr>
              <w:t>《电声学 测听设备 第1部分：纯音听力计》，</w:t>
            </w:r>
            <w:r>
              <w:rPr>
                <w:rFonts w:hint="eastAsia" w:ascii="宋体" w:hAnsi="宋体" w:eastAsia="宋体" w:cs="宋体"/>
                <w:color w:val="auto"/>
                <w:sz w:val="21"/>
                <w:szCs w:val="21"/>
                <w:highlight w:val="none"/>
                <w:lang w:val="en-US" w:eastAsia="zh-CN"/>
              </w:rPr>
              <w:t>8.6.2规定</w:t>
            </w:r>
            <w:r>
              <w:rPr>
                <w:rFonts w:hint="eastAsia" w:ascii="宋体" w:hAnsi="宋体" w:cs="宋体"/>
                <w:color w:val="auto"/>
                <w:sz w:val="21"/>
                <w:szCs w:val="21"/>
                <w:highlight w:val="none"/>
                <w:lang w:val="en-US" w:eastAsia="zh-CN"/>
              </w:rPr>
              <w:t>。</w:t>
            </w:r>
          </w:p>
          <w:p w14:paraId="11FF364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27.听力结果可按GB/T7582标准进行年龄性别修正</w:t>
            </w:r>
          </w:p>
          <w:p w14:paraId="0DEC401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28.输出：TDH39气导耳机、B71骨导耳机、自由声场</w:t>
            </w:r>
          </w:p>
          <w:p w14:paraId="08862E5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二、测听室</w:t>
            </w:r>
          </w:p>
          <w:p w14:paraId="0B32F94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1.双隔声墙，钢木结构，模块拼装组合式。外尺寸≥1.6</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1.6</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2.5m内尺寸≥1.2</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1.2</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2m。</w:t>
            </w:r>
          </w:p>
          <w:p w14:paraId="613BAA9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2.面积（2.56㎡），墙厚≥60mm，隔音观察窗尺寸≥700×900mm。外饰为钢板，内饰为金属吸音板；</w:t>
            </w:r>
          </w:p>
          <w:p w14:paraId="3A38530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3.执行标准：</w:t>
            </w:r>
          </w:p>
          <w:p w14:paraId="2647D39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3.1室内本底噪声≤25dB(A)；</w:t>
            </w:r>
          </w:p>
          <w:p w14:paraId="2AB2B32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3.2符合GB/T 16296.1-2018《声学 测听方法 第1部分：纯音气导和骨导测听法》；</w:t>
            </w:r>
          </w:p>
          <w:p w14:paraId="488CF1D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3.4符合GB 50243-2016《通风与空调工程施工质量验收规范》，换气量：6-10m</w:t>
            </w:r>
            <w:r>
              <w:rPr>
                <w:rFonts w:hint="eastAsia" w:ascii="宋体" w:hAnsi="宋体" w:eastAsia="宋体" w:cs="宋体"/>
                <w:color w:val="auto"/>
                <w:sz w:val="21"/>
                <w:szCs w:val="21"/>
                <w:highlight w:val="none"/>
                <w:vertAlign w:val="superscript"/>
                <w:lang w:val="en-US" w:eastAsia="zh-CN"/>
              </w:rPr>
              <w:t>3</w:t>
            </w:r>
            <w:r>
              <w:rPr>
                <w:rFonts w:hint="eastAsia" w:ascii="宋体" w:hAnsi="宋体" w:eastAsia="宋体" w:cs="宋体"/>
                <w:color w:val="auto"/>
                <w:sz w:val="21"/>
                <w:szCs w:val="21"/>
                <w:highlight w:val="none"/>
                <w:lang w:val="en-US" w:eastAsia="zh-CN"/>
              </w:rPr>
              <w:t>/min。</w:t>
            </w:r>
          </w:p>
          <w:p w14:paraId="1E4BA90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4.隔声室整体采用模块结构，具备隔振、隔声、吸声三大功能；具有换气、降噪、照明、配电、信号转接、防潮、防霉、防蛀无味等功能，地面铺地毯，符合消防规范要求。</w:t>
            </w:r>
          </w:p>
          <w:p w14:paraId="34ECBE2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5.隔声室主体：防火、防腐、防锈、防潮、防虫害、便于消毒、无毒、无味、无辐射。</w:t>
            </w:r>
          </w:p>
          <w:p w14:paraId="74EE388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6隔声室外观喷涂：钢板厚度≥1.5mm，喷涂奶白色/米黄色</w:t>
            </w:r>
            <w:r>
              <w:rPr>
                <w:rFonts w:hint="eastAsia" w:ascii="宋体" w:hAnsi="宋体" w:cs="宋体"/>
                <w:color w:val="auto"/>
                <w:sz w:val="21"/>
                <w:szCs w:val="21"/>
                <w:highlight w:val="none"/>
                <w:lang w:val="en-US" w:eastAsia="zh-CN"/>
              </w:rPr>
              <w:t>（喷涂颜色于安装交付时由采购人指定）</w:t>
            </w:r>
          </w:p>
          <w:p w14:paraId="1471A82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7.隔声室内吸音处理：铝锰合金冲孔吸音板</w:t>
            </w:r>
          </w:p>
          <w:p w14:paraId="7D10064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8.双层隔声窗：可视</w:t>
            </w:r>
            <w:r>
              <w:rPr>
                <w:rFonts w:hint="eastAsia" w:ascii="宋体" w:hAnsi="宋体" w:cs="宋体"/>
                <w:color w:val="auto"/>
                <w:sz w:val="21"/>
                <w:szCs w:val="21"/>
                <w:highlight w:val="none"/>
                <w:lang w:val="en-US" w:eastAsia="zh-CN"/>
              </w:rPr>
              <w:t>楔形</w:t>
            </w:r>
            <w:r>
              <w:rPr>
                <w:rFonts w:hint="eastAsia" w:ascii="宋体" w:hAnsi="宋体" w:eastAsia="宋体" w:cs="宋体"/>
                <w:color w:val="auto"/>
                <w:sz w:val="21"/>
                <w:szCs w:val="21"/>
                <w:highlight w:val="none"/>
                <w:lang w:val="en-US" w:eastAsia="zh-CN"/>
              </w:rPr>
              <w:t>阻尼隔声窗</w:t>
            </w:r>
          </w:p>
          <w:p w14:paraId="5E18751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9.隔声门：磁控隔声门</w:t>
            </w:r>
          </w:p>
          <w:p w14:paraId="4ECB95F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10.进气消声器：阻抗复合进气消声器</w:t>
            </w:r>
          </w:p>
          <w:p w14:paraId="392F854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11.排气消声器：阻抗复合进气消声器</w:t>
            </w:r>
          </w:p>
          <w:p w14:paraId="23245DC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12.地毯：环保地毯</w:t>
            </w:r>
          </w:p>
          <w:p w14:paraId="3F911607">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13.信号转接插孔及连线：6组单、双通道信号混合转接技术，保证一种连线所有设备可以使用</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线材采用银密</w:t>
            </w:r>
            <w:r>
              <w:rPr>
                <w:rFonts w:hint="eastAsia" w:ascii="宋体" w:hAnsi="宋体" w:cs="宋体"/>
                <w:color w:val="auto"/>
                <w:sz w:val="21"/>
                <w:szCs w:val="21"/>
                <w:highlight w:val="none"/>
                <w:lang w:val="en-US" w:eastAsia="zh-CN"/>
              </w:rPr>
              <w:t>丝线</w:t>
            </w:r>
            <w:r>
              <w:rPr>
                <w:rFonts w:hint="eastAsia" w:ascii="宋体" w:hAnsi="宋体" w:eastAsia="宋体" w:cs="宋体"/>
                <w:color w:val="auto"/>
                <w:sz w:val="21"/>
                <w:szCs w:val="21"/>
                <w:highlight w:val="none"/>
                <w:lang w:val="en-US" w:eastAsia="zh-CN"/>
              </w:rPr>
              <w:t>，无任何信号损失，听力计测试结果的准确度</w:t>
            </w:r>
            <w:r>
              <w:rPr>
                <w:rFonts w:hint="eastAsia" w:ascii="宋体" w:hAnsi="宋体" w:cs="宋体"/>
                <w:color w:val="auto"/>
                <w:sz w:val="21"/>
                <w:szCs w:val="21"/>
                <w:highlight w:val="none"/>
                <w:lang w:val="en-US" w:eastAsia="zh-CN"/>
              </w:rPr>
              <w:t>高。</w:t>
            </w:r>
          </w:p>
          <w:p w14:paraId="37D12C0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14.隔声室室内照明灯：300</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600mm无干扰高亮LED</w:t>
            </w:r>
          </w:p>
          <w:p w14:paraId="18D3D65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15.隔声室电源插座：二三万能插</w:t>
            </w:r>
          </w:p>
          <w:p w14:paraId="1EEE7F0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16.照明开关、换风开关、设备挂钩各一套</w:t>
            </w:r>
          </w:p>
          <w:p w14:paraId="1B24FBB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三、电测听器配置需求</w:t>
            </w:r>
          </w:p>
          <w:p w14:paraId="739B832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1.主机1台</w:t>
            </w:r>
          </w:p>
          <w:p w14:paraId="4FD0A39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2.气导耳机1副</w:t>
            </w:r>
          </w:p>
          <w:p w14:paraId="28B278D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3.骨导耳机1副</w:t>
            </w:r>
          </w:p>
          <w:p w14:paraId="5317EC8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4.应答开关1个</w:t>
            </w:r>
          </w:p>
          <w:p w14:paraId="3E122E9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5.电源线1条</w:t>
            </w:r>
          </w:p>
          <w:p w14:paraId="2CF74EC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6.操作手册1本</w:t>
            </w:r>
          </w:p>
          <w:p w14:paraId="3A34212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7.U盘软件1份</w:t>
            </w:r>
          </w:p>
          <w:p w14:paraId="122B436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8.数据线1条</w:t>
            </w:r>
          </w:p>
          <w:p w14:paraId="2702F14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9.听力图1本</w:t>
            </w:r>
          </w:p>
          <w:p w14:paraId="4F1D2E4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四、测听室配置需求</w:t>
            </w:r>
          </w:p>
          <w:p w14:paraId="64F4DB8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1.主体1间</w:t>
            </w:r>
          </w:p>
          <w:p w14:paraId="1691332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2.专业隔声门2扇</w:t>
            </w:r>
          </w:p>
          <w:p w14:paraId="542FC7F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3.可视玻璃观察窗2扇</w:t>
            </w:r>
          </w:p>
          <w:p w14:paraId="1BE81A2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4.独立排风系统</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室内出风口、消声器、排风扇各一个</w:t>
            </w:r>
          </w:p>
          <w:p w14:paraId="7E7D309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5.转接器1个，转接线若干条</w:t>
            </w:r>
          </w:p>
          <w:p w14:paraId="5904838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6.三</w:t>
            </w:r>
            <w:r>
              <w:rPr>
                <w:rFonts w:hint="eastAsia" w:ascii="宋体" w:hAnsi="宋体" w:cs="宋体"/>
                <w:color w:val="auto"/>
                <w:sz w:val="21"/>
                <w:szCs w:val="21"/>
                <w:highlight w:val="none"/>
                <w:lang w:val="en-US" w:eastAsia="zh-CN"/>
              </w:rPr>
              <w:t>相</w:t>
            </w:r>
            <w:r>
              <w:rPr>
                <w:rFonts w:hint="eastAsia" w:ascii="宋体" w:hAnsi="宋体" w:eastAsia="宋体" w:cs="宋体"/>
                <w:color w:val="auto"/>
                <w:sz w:val="21"/>
                <w:szCs w:val="21"/>
                <w:highlight w:val="none"/>
                <w:lang w:val="en-US" w:eastAsia="zh-CN"/>
              </w:rPr>
              <w:t>电源插座一个</w:t>
            </w:r>
          </w:p>
          <w:p w14:paraId="5FB87EB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7.排风系统开关一个</w:t>
            </w:r>
          </w:p>
          <w:p w14:paraId="3374246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8.照明开关一个</w:t>
            </w:r>
          </w:p>
          <w:p w14:paraId="17DCA77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9.照明灯具一个</w:t>
            </w:r>
          </w:p>
        </w:tc>
        <w:tc>
          <w:tcPr>
            <w:tcW w:w="1100" w:type="dxa"/>
            <w:tcBorders>
              <w:left w:val="single" w:color="auto" w:sz="4" w:space="0"/>
            </w:tcBorders>
            <w:shd w:val="clear" w:color="auto" w:fill="auto"/>
            <w:vAlign w:val="center"/>
          </w:tcPr>
          <w:p w14:paraId="00BA7E4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w:t>
            </w:r>
          </w:p>
        </w:tc>
      </w:tr>
      <w:tr w14:paraId="7583A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67BA8CA4">
            <w:pPr>
              <w:numPr>
                <w:ilvl w:val="0"/>
                <w:numId w:val="9"/>
              </w:numPr>
              <w:snapToGrid w:val="0"/>
              <w:spacing w:line="360" w:lineRule="auto"/>
              <w:jc w:val="center"/>
              <w:rPr>
                <w:rFonts w:hint="eastAsia" w:ascii="宋体" w:hAnsi="宋体" w:eastAsia="宋体" w:cs="宋体"/>
                <w:color w:val="auto"/>
                <w:sz w:val="21"/>
                <w:szCs w:val="21"/>
                <w:highlight w:val="none"/>
              </w:rPr>
            </w:pPr>
          </w:p>
        </w:tc>
        <w:tc>
          <w:tcPr>
            <w:tcW w:w="850" w:type="dxa"/>
            <w:shd w:val="clear" w:color="auto" w:fill="auto"/>
            <w:vAlign w:val="center"/>
          </w:tcPr>
          <w:p w14:paraId="3A626BC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电子鼻咽喉内窥镜系统</w:t>
            </w:r>
          </w:p>
        </w:tc>
        <w:tc>
          <w:tcPr>
            <w:tcW w:w="500" w:type="dxa"/>
            <w:tcBorders>
              <w:right w:val="single" w:color="auto" w:sz="4" w:space="0"/>
            </w:tcBorders>
            <w:shd w:val="clear" w:color="auto" w:fill="auto"/>
            <w:vAlign w:val="center"/>
          </w:tcPr>
          <w:p w14:paraId="2261096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gridSpan w:val="2"/>
            <w:tcBorders>
              <w:left w:val="single" w:color="auto" w:sz="4" w:space="0"/>
              <w:right w:val="single" w:color="auto" w:sz="4" w:space="0"/>
            </w:tcBorders>
            <w:vAlign w:val="center"/>
          </w:tcPr>
          <w:p w14:paraId="7B21058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套</w:t>
            </w:r>
          </w:p>
        </w:tc>
        <w:tc>
          <w:tcPr>
            <w:tcW w:w="5721" w:type="dxa"/>
            <w:tcBorders>
              <w:left w:val="single" w:color="auto" w:sz="4" w:space="0"/>
              <w:right w:val="single" w:color="auto" w:sz="4" w:space="0"/>
            </w:tcBorders>
            <w:vAlign w:val="center"/>
          </w:tcPr>
          <w:p w14:paraId="6963575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一、电子鼻咽喉内窥镜技术参数</w:t>
            </w:r>
          </w:p>
          <w:p w14:paraId="374981F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（一）数量：5根（检查、治疗各两条，儿童1条）</w:t>
            </w:r>
          </w:p>
          <w:p w14:paraId="34E62F8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（二）操作手柄（含插入管）</w:t>
            </w:r>
          </w:p>
          <w:p w14:paraId="4808EA2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1.景深：3-200mm</w:t>
            </w:r>
            <w:r>
              <w:rPr>
                <w:rFonts w:hint="eastAsia" w:ascii="宋体" w:hAnsi="宋体" w:cs="宋体"/>
                <w:color w:val="auto"/>
                <w:sz w:val="21"/>
                <w:szCs w:val="21"/>
                <w:highlight w:val="none"/>
                <w:lang w:val="en-US" w:eastAsia="zh-CN"/>
              </w:rPr>
              <w:t>；</w:t>
            </w:r>
          </w:p>
          <w:p w14:paraId="7B87150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2.视场角：≥120°；</w:t>
            </w:r>
          </w:p>
          <w:p w14:paraId="7800EF0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3.软镜工作软管有效长度≥360mm；</w:t>
            </w:r>
          </w:p>
          <w:p w14:paraId="62BCCA3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▲4.成像原理：电子成像技术，工作软管不含光纤；</w:t>
            </w:r>
          </w:p>
          <w:p w14:paraId="278B794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5.软镜插入部外径≤2.0mm；</w:t>
            </w:r>
          </w:p>
          <w:p w14:paraId="072BEA9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6.软镜插入部外径≤2.8mm；</w:t>
            </w:r>
          </w:p>
          <w:p w14:paraId="13EA6F9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7.软镜插入部外径≤3.</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mm，工作管道内径≥1.2mm；</w:t>
            </w:r>
          </w:p>
          <w:p w14:paraId="1A7FBA9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8.软镜插入部外径≤3.8mm</w:t>
            </w:r>
            <w:r>
              <w:rPr>
                <w:rFonts w:hint="eastAsia" w:ascii="宋体" w:hAnsi="宋体" w:cs="宋体"/>
                <w:color w:val="auto"/>
                <w:sz w:val="21"/>
                <w:szCs w:val="21"/>
                <w:highlight w:val="none"/>
                <w:lang w:val="en-US" w:eastAsia="zh-CN"/>
              </w:rPr>
              <w:t>；</w:t>
            </w:r>
          </w:p>
          <w:p w14:paraId="13E586C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软镜插入部外径≤4.5mm，工作管道内径≥2.2mm；</w:t>
            </w:r>
          </w:p>
          <w:p w14:paraId="45462DB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.插入管软管前端弯曲角度：向上弯曲≥130°，向下弯曲≥130°；</w:t>
            </w:r>
          </w:p>
          <w:p w14:paraId="78D3D45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.操作手柄具备两个功能按键：可控制图像显示器的图像冻结或调光，图像拍照、录像，以及录中拍功能；</w:t>
            </w:r>
          </w:p>
          <w:p w14:paraId="342CCF2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.自带LED光源，具备防雾功能；</w:t>
            </w:r>
          </w:p>
          <w:p w14:paraId="6B58A18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.采用无顶针双向通气阀（NT阀），气体分子自由进出，液体无法进入；</w:t>
            </w:r>
          </w:p>
          <w:p w14:paraId="68F16D3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.操作手柄与显示器自动识别，把视频信号传输到后台处理器；</w:t>
            </w:r>
          </w:p>
          <w:p w14:paraId="4C7C1D0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二、电子内窥镜图像处理器</w:t>
            </w:r>
          </w:p>
          <w:p w14:paraId="4307DB3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（一）电子内窥镜图像处理器1，数量：1台</w:t>
            </w:r>
          </w:p>
          <w:p w14:paraId="3D72D0D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1.全视角高清液晶屏</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≥5.1英寸</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分辨率≥1920*1080</w:t>
            </w:r>
          </w:p>
          <w:p w14:paraId="36508D1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2.电容触摸屏，支持多点缩放</w:t>
            </w:r>
          </w:p>
          <w:p w14:paraId="40214F9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3.数据存储功能：内置≥8GB储存</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并且支持USB、SD存储接口，外接U盘可存储图像和视频</w:t>
            </w:r>
          </w:p>
          <w:p w14:paraId="62E0248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4.具有白平衡功能、图像冻结功能、拍照功能、录像功能、调光功能、自动增益调节功能、图像亮度调节范围为-10～10级、色度调节功能：“R色度</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G色度</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B色度”调节范围为-10～10级、轮廓增强可选择增强级别-10～10级、对比度调节范围为-01～10级</w:t>
            </w:r>
          </w:p>
          <w:p w14:paraId="56D6939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5.画面缩放功能：支持图像显示放大模式，最大可支持3倍放大。其中VS610支持无级缩放。</w:t>
            </w:r>
          </w:p>
          <w:p w14:paraId="1CAB969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6.DVI、SDI高清视频输出接口</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输出视频最大分辨率应不小于1920</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1080</w:t>
            </w:r>
          </w:p>
          <w:p w14:paraId="360EAA0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7.色彩还原能力：不低于四级</w:t>
            </w:r>
          </w:p>
          <w:p w14:paraId="5539D6F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8.脚踏开关接口：连接符合标准要求的脚踏开关可执行图像冻结和拍照操作</w:t>
            </w:r>
          </w:p>
          <w:p w14:paraId="0F6D484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9.文件管理功能：可删除、重命名图片和视频文件；可新增、删除、重命名文件夹；</w:t>
            </w:r>
          </w:p>
          <w:p w14:paraId="7766FB8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10.可实现声音外放功能、麦克风</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可实现声音采集功能(具有录音功能）</w:t>
            </w:r>
          </w:p>
          <w:p w14:paraId="4B79A5D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11.信号输入接口：具有CVBS信号输入接口、DVR数字视频录制及回放功能</w:t>
            </w:r>
          </w:p>
          <w:p w14:paraId="29761ED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12.可通过连接电脑升级，也可外插U盘升级</w:t>
            </w:r>
          </w:p>
          <w:p w14:paraId="173D9F9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13.支持电子染色功能。</w:t>
            </w:r>
          </w:p>
          <w:p w14:paraId="18A0782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（二）电子内窥镜图像处理器2，数量：1台</w:t>
            </w:r>
          </w:p>
          <w:p w14:paraId="4BCC817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1.电子内窥镜图像处理器显示功能：高清显示器，分辨率：≥1280*800，自带屏幕≥10.1寸，触摸屏，支持双指缩放，屏幕</w:t>
            </w:r>
            <w:r>
              <w:rPr>
                <w:rFonts w:hint="eastAsia" w:ascii="宋体" w:hAnsi="宋体" w:cs="宋体"/>
                <w:color w:val="auto"/>
                <w:sz w:val="21"/>
                <w:szCs w:val="21"/>
                <w:highlight w:val="none"/>
                <w:lang w:val="en-US" w:eastAsia="zh-CN"/>
              </w:rPr>
              <w:t>图像</w:t>
            </w:r>
            <w:r>
              <w:rPr>
                <w:rFonts w:hint="eastAsia" w:ascii="宋体" w:hAnsi="宋体" w:eastAsia="宋体" w:cs="宋体"/>
                <w:color w:val="auto"/>
                <w:sz w:val="21"/>
                <w:szCs w:val="21"/>
                <w:highlight w:val="none"/>
                <w:lang w:val="en-US" w:eastAsia="zh-CN"/>
              </w:rPr>
              <w:t>可以放大3倍；系统终身提供</w:t>
            </w:r>
            <w:r>
              <w:rPr>
                <w:rFonts w:hint="eastAsia" w:ascii="宋体" w:hAnsi="宋体" w:cs="宋体"/>
                <w:color w:val="auto"/>
                <w:sz w:val="21"/>
                <w:szCs w:val="21"/>
                <w:highlight w:val="none"/>
                <w:lang w:val="en-US" w:eastAsia="zh-CN"/>
              </w:rPr>
              <w:t>无条件</w:t>
            </w:r>
            <w:r>
              <w:rPr>
                <w:rFonts w:hint="eastAsia" w:ascii="宋体" w:hAnsi="宋体" w:eastAsia="宋体" w:cs="宋体"/>
                <w:color w:val="auto"/>
                <w:sz w:val="21"/>
                <w:szCs w:val="21"/>
                <w:highlight w:val="none"/>
                <w:lang w:val="en-US" w:eastAsia="zh-CN"/>
              </w:rPr>
              <w:t>升级服务；</w:t>
            </w:r>
          </w:p>
          <w:p w14:paraId="28DD643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2.电子内窥镜图像处理器：内置内存</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8G，可持续录制视频</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120分钟，外置可插拔SD存储卡直接存储图片及视频等信息；</w:t>
            </w:r>
          </w:p>
          <w:p w14:paraId="0B821C9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3.视频输出接口：具有HDMI视频输出，可外接显示屏同屏显示和连接医用高清工作站；</w:t>
            </w:r>
          </w:p>
          <w:p w14:paraId="4431D8A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▲4.具有冻结、调光、拍照和摄像功能，具备图像、视频回放功能；</w:t>
            </w:r>
          </w:p>
          <w:p w14:paraId="6C9D25E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5.光源照明亮度调节分级：5级调节，优化图像质量；</w:t>
            </w:r>
          </w:p>
          <w:p w14:paraId="0FDFB93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6.图像真实性：无明显几何失真；</w:t>
            </w:r>
          </w:p>
          <w:p w14:paraId="5D3E993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7.具有文件管理功能，文件夹可重命名设置，以患者的姓名设置文件名称，方便医护人员对检查患者资料的管理；</w:t>
            </w:r>
          </w:p>
          <w:p w14:paraId="0A9C3FE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8.图片管理，图片可根据医护人员的需求，选择JPG、BMP两种不同的图片格式；</w:t>
            </w:r>
          </w:p>
          <w:p w14:paraId="5106FDB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9.供电方式：锂离子可充电电池，容量6000mAH，电池工作时间≥240分钟（新电池在充满电后室温25（±2）℃情况下）</w:t>
            </w:r>
          </w:p>
          <w:p w14:paraId="79BCC3F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10.提示功能：具有摄录时间长短提示功能、调光提示功能和电量智能检测指示</w:t>
            </w:r>
            <w:r>
              <w:rPr>
                <w:rFonts w:hint="eastAsia" w:ascii="宋体" w:hAnsi="宋体" w:cs="宋体"/>
                <w:color w:val="auto"/>
                <w:sz w:val="21"/>
                <w:szCs w:val="21"/>
                <w:highlight w:val="none"/>
                <w:lang w:val="en-US" w:eastAsia="zh-CN"/>
              </w:rPr>
              <w:t>标识</w:t>
            </w:r>
            <w:r>
              <w:rPr>
                <w:rFonts w:hint="eastAsia" w:ascii="宋体" w:hAnsi="宋体" w:eastAsia="宋体" w:cs="宋体"/>
                <w:color w:val="auto"/>
                <w:sz w:val="21"/>
                <w:szCs w:val="21"/>
                <w:highlight w:val="none"/>
                <w:lang w:val="en-US" w:eastAsia="zh-CN"/>
              </w:rPr>
              <w:t>（用于显示电量）；</w:t>
            </w:r>
          </w:p>
          <w:p w14:paraId="687338C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11.白平衡功能：具有手动、自动一体设计白平衡功能；</w:t>
            </w:r>
          </w:p>
          <w:p w14:paraId="521C31D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12.电子内窥镜图像处理器转动角度</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前后：90（±2）°～150（±2）°（范围内任意角度固定）。</w:t>
            </w:r>
          </w:p>
          <w:p w14:paraId="0F880FB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三、高清医学影像工作站技术参数</w:t>
            </w:r>
          </w:p>
          <w:p w14:paraId="07579D2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工作站</w:t>
            </w:r>
            <w:r>
              <w:rPr>
                <w:rFonts w:hint="eastAsia" w:ascii="宋体" w:hAnsi="宋体" w:eastAsia="宋体" w:cs="宋体"/>
                <w:color w:val="auto"/>
                <w:sz w:val="21"/>
                <w:szCs w:val="21"/>
                <w:highlight w:val="none"/>
                <w:lang w:val="en-US" w:eastAsia="zh-CN"/>
              </w:rPr>
              <w:t>性能参数：</w:t>
            </w:r>
          </w:p>
          <w:p w14:paraId="2EC9730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参照或优于</w:t>
            </w:r>
            <w:r>
              <w:rPr>
                <w:rFonts w:hint="eastAsia" w:ascii="宋体" w:hAnsi="宋体" w:eastAsia="宋体" w:cs="宋体"/>
                <w:color w:val="auto"/>
                <w:sz w:val="21"/>
                <w:szCs w:val="21"/>
                <w:highlight w:val="none"/>
                <w:lang w:val="en-US" w:eastAsia="zh-CN"/>
              </w:rPr>
              <w:t>i5-10500(3.1G六核，4.5G)</w:t>
            </w:r>
          </w:p>
          <w:p w14:paraId="6723BD2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.内存：≥8GDDR4</w:t>
            </w:r>
          </w:p>
          <w:p w14:paraId="7E60905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.硬盘：≥256G固态硬盘+2TB(SATA7200RPM)机械硬盘</w:t>
            </w:r>
          </w:p>
          <w:p w14:paraId="0000C8B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.声卡：集成</w:t>
            </w:r>
          </w:p>
          <w:p w14:paraId="442B295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.网卡：集成</w:t>
            </w:r>
          </w:p>
          <w:p w14:paraId="488A29F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.光驱：DVD刻录</w:t>
            </w:r>
          </w:p>
          <w:p w14:paraId="2977726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.键鼠：标准键盘，光电鼠标</w:t>
            </w:r>
          </w:p>
          <w:p w14:paraId="6EBFD22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.显示器：≥23寸IPS液晶（1920×1080）</w:t>
            </w:r>
          </w:p>
          <w:p w14:paraId="1E4D38D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采集卡：≥1080P全高清视频采集卡</w:t>
            </w:r>
          </w:p>
          <w:p w14:paraId="1036620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报告输出装置</w:t>
            </w:r>
            <w:r>
              <w:rPr>
                <w:rFonts w:hint="eastAsia" w:ascii="宋体" w:hAnsi="宋体" w:eastAsia="宋体" w:cs="宋体"/>
                <w:color w:val="auto"/>
                <w:sz w:val="21"/>
                <w:szCs w:val="21"/>
                <w:highlight w:val="none"/>
                <w:lang w:val="en-US" w:eastAsia="zh-CN"/>
              </w:rPr>
              <w:t>：A4彩色喷墨</w:t>
            </w:r>
          </w:p>
          <w:p w14:paraId="579D7CF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其他：</w:t>
            </w:r>
            <w:r>
              <w:rPr>
                <w:rFonts w:hint="eastAsia" w:ascii="宋体" w:hAnsi="宋体" w:eastAsia="宋体" w:cs="宋体"/>
                <w:color w:val="auto"/>
                <w:sz w:val="21"/>
                <w:szCs w:val="21"/>
                <w:highlight w:val="none"/>
                <w:lang w:val="en-US" w:eastAsia="zh-CN"/>
              </w:rPr>
              <w:t>COM脚踏开关、USB加密狗、HDMI视频线或HDMI转DVI视频线</w:t>
            </w:r>
          </w:p>
          <w:p w14:paraId="243C886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2.功能</w:t>
            </w:r>
            <w:r>
              <w:rPr>
                <w:rFonts w:hint="eastAsia" w:ascii="宋体" w:hAnsi="宋体" w:cs="宋体"/>
                <w:color w:val="auto"/>
                <w:sz w:val="21"/>
                <w:szCs w:val="21"/>
                <w:highlight w:val="none"/>
                <w:lang w:val="en-US" w:eastAsia="zh-CN"/>
              </w:rPr>
              <w:t>要求</w:t>
            </w:r>
            <w:r>
              <w:rPr>
                <w:rFonts w:hint="eastAsia" w:ascii="宋体" w:hAnsi="宋体" w:eastAsia="宋体" w:cs="宋体"/>
                <w:color w:val="auto"/>
                <w:sz w:val="21"/>
                <w:szCs w:val="21"/>
                <w:highlight w:val="none"/>
                <w:lang w:val="en-US" w:eastAsia="zh-CN"/>
              </w:rPr>
              <w:t>：</w:t>
            </w:r>
          </w:p>
          <w:p w14:paraId="4CA6170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.1080P数字化图像采集，支持录像和回放；</w:t>
            </w:r>
          </w:p>
          <w:p w14:paraId="6FF82AC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.视频采集分辨率≥1920×1080，采用Mpeg4编码格式进行视频压缩；</w:t>
            </w:r>
          </w:p>
          <w:p w14:paraId="6E8932E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.支持采集超过100万幅高清静态图片或连续录像≥100小时以上；</w:t>
            </w:r>
          </w:p>
          <w:p w14:paraId="6444CEA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.视频输入端口：DVI或HDMI；</w:t>
            </w:r>
          </w:p>
          <w:p w14:paraId="7F135D8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.图像采集可使用脚踏开关、键盘、鼠标采集图像；</w:t>
            </w:r>
          </w:p>
          <w:p w14:paraId="30EF6EE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.支持对采集静态图片或动态录像加时间戳功能，便于记录图片和录像采集时间；</w:t>
            </w:r>
          </w:p>
          <w:p w14:paraId="66B1A40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.视频回放时可进行图片采集；</w:t>
            </w:r>
          </w:p>
          <w:p w14:paraId="22942D4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支持</w:t>
            </w:r>
            <w:r>
              <w:rPr>
                <w:rFonts w:hint="eastAsia" w:ascii="宋体" w:hAnsi="宋体" w:eastAsia="宋体" w:cs="宋体"/>
                <w:color w:val="auto"/>
                <w:sz w:val="21"/>
                <w:szCs w:val="21"/>
                <w:highlight w:val="none"/>
                <w:lang w:val="en-US" w:eastAsia="zh-CN"/>
              </w:rPr>
              <w:t>自定义设置图像采集范围，并可设置圆形裁剪范围；</w:t>
            </w:r>
          </w:p>
          <w:p w14:paraId="2A62460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.支持对图像进行图形标注、文字标注、部位标注、病理描述、示意图标注、测量等功能处理，放大镜功能可局部放大图像，便于观察诊断；</w:t>
            </w:r>
          </w:p>
          <w:p w14:paraId="0FE4906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.图像四画面观察模式，方便医生观察和比较；</w:t>
            </w:r>
          </w:p>
          <w:p w14:paraId="1958F1D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.支持将单个病例保存为BMP图片格式，也可以导出采集的图像到U盘等设备；</w:t>
            </w:r>
          </w:p>
          <w:p w14:paraId="6F1595F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.拥有专家诊断词库和诊断模板；</w:t>
            </w:r>
          </w:p>
          <w:p w14:paraId="1816D24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.具有多种报告打印样式供选用，也可自行设计或修改报告打印样式；</w:t>
            </w:r>
          </w:p>
          <w:p w14:paraId="2EE2C9C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.生成报告</w:t>
            </w:r>
            <w:r>
              <w:rPr>
                <w:rFonts w:hint="eastAsia" w:ascii="宋体" w:hAnsi="宋体" w:cs="宋体"/>
                <w:color w:val="auto"/>
                <w:sz w:val="21"/>
                <w:szCs w:val="21"/>
                <w:highlight w:val="none"/>
                <w:lang w:val="en-US" w:eastAsia="zh-CN"/>
              </w:rPr>
              <w:t>直观便于</w:t>
            </w:r>
            <w:r>
              <w:rPr>
                <w:rFonts w:hint="eastAsia" w:ascii="宋体" w:hAnsi="宋体" w:eastAsia="宋体" w:cs="宋体"/>
                <w:color w:val="auto"/>
                <w:sz w:val="21"/>
                <w:szCs w:val="21"/>
                <w:highlight w:val="none"/>
                <w:lang w:val="en-US" w:eastAsia="zh-CN"/>
              </w:rPr>
              <w:t>医生填写报告</w:t>
            </w:r>
            <w:r>
              <w:rPr>
                <w:rFonts w:hint="eastAsia" w:ascii="宋体" w:hAnsi="宋体" w:cs="宋体"/>
                <w:color w:val="auto"/>
                <w:sz w:val="21"/>
                <w:szCs w:val="21"/>
                <w:highlight w:val="none"/>
                <w:lang w:val="en-US" w:eastAsia="zh-CN"/>
              </w:rPr>
              <w:t>；</w:t>
            </w:r>
          </w:p>
          <w:p w14:paraId="07C1BCD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支持</w:t>
            </w:r>
            <w:r>
              <w:rPr>
                <w:rFonts w:hint="eastAsia" w:ascii="宋体" w:hAnsi="宋体" w:eastAsia="宋体" w:cs="宋体"/>
                <w:color w:val="auto"/>
                <w:sz w:val="21"/>
                <w:szCs w:val="21"/>
                <w:highlight w:val="none"/>
                <w:lang w:val="en-US" w:eastAsia="zh-CN"/>
              </w:rPr>
              <w:t>快速查找指定病例；</w:t>
            </w:r>
          </w:p>
          <w:p w14:paraId="11E31A8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.具有收费统计，检查项目统计，科室、医生、日期工作量统计等功能，并可将信息导出到Excel或保存为BMP文件；</w:t>
            </w:r>
          </w:p>
          <w:p w14:paraId="5A1763D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.报告可设置自定义Logo，报告标题，报告页脚等信息；</w:t>
            </w:r>
          </w:p>
          <w:p w14:paraId="3BF2E45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.用户权限设置，可为不同的用户设置不同操作权限；</w:t>
            </w:r>
          </w:p>
          <w:p w14:paraId="51BBA48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lang w:val="en-US" w:eastAsia="zh-CN"/>
              </w:rPr>
              <w:t>.数据备份功能，可将病例打包刻录成光盘；</w:t>
            </w:r>
          </w:p>
          <w:p w14:paraId="30F1510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四、内镜清洗消毒工作站</w:t>
            </w:r>
          </w:p>
          <w:p w14:paraId="7DFE902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（一）数量：1套</w:t>
            </w:r>
          </w:p>
          <w:p w14:paraId="0878C8C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（二）设备参数及配置要求</w:t>
            </w:r>
          </w:p>
          <w:p w14:paraId="10ADDFA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2.1.用途</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适用</w:t>
            </w:r>
            <w:r>
              <w:rPr>
                <w:rFonts w:hint="eastAsia" w:ascii="宋体" w:hAnsi="宋体" w:cs="宋体"/>
                <w:color w:val="auto"/>
                <w:sz w:val="21"/>
                <w:szCs w:val="21"/>
                <w:highlight w:val="none"/>
                <w:lang w:val="en-US" w:eastAsia="zh-CN"/>
              </w:rPr>
              <w:t>于</w:t>
            </w:r>
            <w:r>
              <w:rPr>
                <w:rFonts w:hint="eastAsia" w:ascii="宋体" w:hAnsi="宋体" w:eastAsia="宋体" w:cs="宋体"/>
                <w:color w:val="auto"/>
                <w:sz w:val="21"/>
                <w:szCs w:val="21"/>
                <w:highlight w:val="none"/>
                <w:lang w:val="en-US" w:eastAsia="zh-CN"/>
              </w:rPr>
              <w:t>所有医院胃肠镜室、膀胱镜室、胆道镜室、</w:t>
            </w:r>
            <w:r>
              <w:rPr>
                <w:rFonts w:hint="eastAsia" w:ascii="宋体" w:hAnsi="宋体" w:cs="宋体"/>
                <w:color w:val="auto"/>
                <w:sz w:val="21"/>
                <w:szCs w:val="21"/>
                <w:highlight w:val="none"/>
                <w:lang w:val="en-US" w:eastAsia="zh-CN"/>
              </w:rPr>
              <w:t>十二指肠</w:t>
            </w:r>
            <w:r>
              <w:rPr>
                <w:rFonts w:hint="eastAsia" w:ascii="宋体" w:hAnsi="宋体" w:eastAsia="宋体" w:cs="宋体"/>
                <w:color w:val="auto"/>
                <w:sz w:val="21"/>
                <w:szCs w:val="21"/>
                <w:highlight w:val="none"/>
                <w:lang w:val="en-US" w:eastAsia="zh-CN"/>
              </w:rPr>
              <w:t>镜、支气管镜、喉镜、超声内镜、手术室、供应室及内镜中心等科室的各种软、硬镜及手术器械的清洗、消毒及干燥。</w:t>
            </w:r>
          </w:p>
          <w:p w14:paraId="5676A8B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2.2.组成</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初洗槽-嵌入式洗消机-干燥台</w:t>
            </w:r>
          </w:p>
          <w:p w14:paraId="6033A8B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（三）技术要求</w:t>
            </w:r>
          </w:p>
          <w:p w14:paraId="0046A75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3.1.台面、清洗槽、干燥台、功能背板：</w:t>
            </w:r>
          </w:p>
          <w:p w14:paraId="2E705C9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3.2.材质要求：平整光滑，无锋角接缝，耐酸碱腐蚀和磨损，对人体无毒性；单个槽体可承受超过60kg的压力框架采用不锈钢一体成型。</w:t>
            </w:r>
          </w:p>
          <w:p w14:paraId="36B1DCD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3.3.清洗槽规格尺寸要求：外槽尺寸长≥500mm，宽≥710mm，</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根据现场需要选择高背板或中背板。</w:t>
            </w:r>
          </w:p>
          <w:p w14:paraId="7681965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3.4.多功能自动灌流器：采用液晶触摸屏设计，非按键式，触摸屏尺寸≥97*56全自动完成：“脉动”注液、注气吸引、计时。</w:t>
            </w:r>
          </w:p>
          <w:p w14:paraId="0B97794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（四）全自动内镜清洗消毒机</w:t>
            </w:r>
          </w:p>
          <w:p w14:paraId="6F5F50D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4.1.清洗槽功能：脚踢自动开门和关门，无需手或工件触碰，避免二次污染；全透明防爆钢化玻璃门，全自动镜身具有高压喷淋臂和灌流清洗、消毒及干燥功能；</w:t>
            </w:r>
          </w:p>
          <w:p w14:paraId="5A90DE4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4.2.全程清洗消毒时间：2%的碱性戊二醛在加热到43℃时，全程清洗、消毒所需时间≤10分钟；0.5%-0.6%的邻苯二甲醛全程清洗、消毒所需时间≤10分钟。</w:t>
            </w:r>
          </w:p>
          <w:p w14:paraId="41F1658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4.3.清洗、消毒方式及内通道循环泵：采用涡流和内部灌流方式清洗消毒，全浸泡、全灌流及高压喷淋。</w:t>
            </w:r>
          </w:p>
          <w:p w14:paraId="3DB6D5B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4.4.快插快速连接：洗消连接头采用快插式接头和手工清洗槽匹配。</w:t>
            </w:r>
          </w:p>
          <w:p w14:paraId="684C4E7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4.5.自身消毒功能：能对设备的全管道、槽体、玻璃门、终末清洗内置的过滤芯等水溶液所经过的所有管路进行反向冲洗消毒：同时用高压喷淋的方式对机器的槽体、整个上盖进行全方位，无死角清洗消毒。</w:t>
            </w:r>
          </w:p>
          <w:p w14:paraId="4644217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4.6.过程数据打印：普通纸打印记录病人姓名、内镜编号、操作者姓名和内镜洗、消过程中所有的数据，便于存档追溯，可保存10年及以上。</w:t>
            </w:r>
          </w:p>
          <w:p w14:paraId="5009120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4.7.控制方式及工作模式：≥7寸彩色大触摸屏，预置6组程序可自行任意选择：（1）标准清洗消毒模式。（2）特殊感染清洗消毒模式。（3）干燥和测漏模式。（4）终末清洗消毒模式。（5）早消毒模式。（6）自身消毒模式。支持多种通讯接口。</w:t>
            </w:r>
          </w:p>
          <w:p w14:paraId="31B512F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4.8.开关门：开关门两种模式。全透明防爆钢化玻璃。</w:t>
            </w:r>
          </w:p>
          <w:p w14:paraId="1BEEB83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4.9.一体式内镜工作站和洗消机：为嵌入整体成型，所有产品为同一厂家。</w:t>
            </w:r>
          </w:p>
          <w:p w14:paraId="5B5A7F1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4.1.清洗、消毒次数记录：机器每工作一个过程，微电脑自动计入，屏上显示。</w:t>
            </w:r>
          </w:p>
          <w:p w14:paraId="05DF7E2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4.11.清洗效果要求：无致菌性，HbsAg阴性，枯草杆菌黑色变种芽孢的平均杀灭对数值均＞3.0。</w:t>
            </w:r>
          </w:p>
          <w:p w14:paraId="2558EEF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4.12.</w:t>
            </w:r>
            <w:r>
              <w:rPr>
                <w:rFonts w:hint="eastAsia" w:ascii="宋体" w:hAnsi="宋体" w:cs="宋体"/>
                <w:color w:val="auto"/>
                <w:sz w:val="21"/>
                <w:szCs w:val="21"/>
                <w:highlight w:val="none"/>
                <w:lang w:val="en-US" w:eastAsia="zh-CN"/>
              </w:rPr>
              <w:t>泄漏</w:t>
            </w:r>
            <w:r>
              <w:rPr>
                <w:rFonts w:hint="eastAsia" w:ascii="宋体" w:hAnsi="宋体" w:eastAsia="宋体" w:cs="宋体"/>
                <w:color w:val="auto"/>
                <w:sz w:val="21"/>
                <w:szCs w:val="21"/>
                <w:highlight w:val="none"/>
                <w:lang w:val="en-US" w:eastAsia="zh-CN"/>
              </w:rPr>
              <w:t>测试：</w:t>
            </w:r>
            <w:r>
              <w:rPr>
                <w:rFonts w:hint="eastAsia" w:ascii="宋体" w:hAnsi="宋体" w:cs="宋体"/>
                <w:color w:val="auto"/>
                <w:sz w:val="21"/>
                <w:szCs w:val="21"/>
                <w:highlight w:val="none"/>
                <w:lang w:val="en-US" w:eastAsia="zh-CN"/>
              </w:rPr>
              <w:t>用</w:t>
            </w:r>
            <w:r>
              <w:rPr>
                <w:rFonts w:hint="eastAsia" w:ascii="宋体" w:hAnsi="宋体" w:eastAsia="宋体" w:cs="宋体"/>
                <w:color w:val="auto"/>
                <w:sz w:val="21"/>
                <w:szCs w:val="21"/>
                <w:highlight w:val="none"/>
                <w:lang w:val="en-US" w:eastAsia="zh-CN"/>
              </w:rPr>
              <w:t>内窥镜的测试管进行测漏，当出现泄漏时应能听到报警信息及看到测漏失败提示并自动中断运行。</w:t>
            </w:r>
          </w:p>
          <w:p w14:paraId="6380B99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4.13.自身管路消毒：自身管路消毒程序应确保对所有的腔体管道和水槽进行消毒。</w:t>
            </w:r>
          </w:p>
          <w:p w14:paraId="464B446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（五）附件要求</w:t>
            </w:r>
          </w:p>
          <w:p w14:paraId="32B3C2C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5.1.水处理器：三重过滤。</w:t>
            </w:r>
          </w:p>
          <w:p w14:paraId="2B9496A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5.2.医用无油空气压缩机：采用无油活塞式设计，保证压缩气体中绝无油分子，配水气分离系统。</w:t>
            </w:r>
          </w:p>
          <w:p w14:paraId="49399CD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高压水枪气枪材质及功能要求：枪体采用SUS304不锈钢，防止内腔腐蚀生锈，避免二次污染，配备至少八个清洗喷嘴，清洗喷嘴与枪体之间可以任意更换，适合不同类型的内镜管道，对内镜管道及手术器械管壁进行冲洗；耐受压强范围0-0.7MPa。</w:t>
            </w:r>
          </w:p>
          <w:p w14:paraId="3B9F8DC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5.4.不锈钢折叠</w:t>
            </w:r>
            <w:r>
              <w:rPr>
                <w:rFonts w:hint="eastAsia" w:ascii="宋体" w:hAnsi="宋体" w:cs="宋体"/>
                <w:color w:val="auto"/>
                <w:sz w:val="21"/>
                <w:szCs w:val="21"/>
                <w:highlight w:val="none"/>
                <w:lang w:val="en-US" w:eastAsia="zh-CN"/>
              </w:rPr>
              <w:t>出水口</w:t>
            </w:r>
            <w:r>
              <w:rPr>
                <w:rFonts w:hint="eastAsia" w:ascii="宋体" w:hAnsi="宋体" w:eastAsia="宋体" w:cs="宋体"/>
                <w:color w:val="auto"/>
                <w:sz w:val="21"/>
                <w:szCs w:val="21"/>
                <w:highlight w:val="none"/>
                <w:lang w:val="en-US" w:eastAsia="zh-CN"/>
              </w:rPr>
              <w:t>：全SUS304不锈钢材质，选用陶瓷阀芯和出水嘴的起泡器过滤件，360度旋转式设计，有冷热水接口，冷热水开关独立控制，可承受强酸强碱环境的使用；全304#高压编织供水软管及管件。</w:t>
            </w:r>
          </w:p>
          <w:p w14:paraId="6358C0A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5.5.快插接头：采用快插接头。</w:t>
            </w:r>
          </w:p>
          <w:p w14:paraId="0E651A3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（六）纯水机技术参数</w:t>
            </w:r>
          </w:p>
          <w:p w14:paraId="2A9C02E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6.1.设备产水量：≥150L/h（25℃）。</w:t>
            </w:r>
          </w:p>
          <w:p w14:paraId="3F1B2DA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6.2.产水水质：满足WS507-2016《软式内镜清洗消毒技术规范》中对软式内镜清洗用水要求，过滤膜精度≤0.2us/cm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细菌菌落数≤10cfu/100ml。</w:t>
            </w:r>
          </w:p>
          <w:p w14:paraId="4131E70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6.3.水利用率：≥70%。</w:t>
            </w:r>
          </w:p>
          <w:p w14:paraId="0E524A3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6.4.设备脱盐率：≥99%。</w:t>
            </w:r>
          </w:p>
          <w:p w14:paraId="62C609B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6.5.处理方式：单级反渗透系统+恒压输送杀菌系统。</w:t>
            </w:r>
          </w:p>
          <w:p w14:paraId="0AB830C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（七）纯水机设备性能</w:t>
            </w:r>
          </w:p>
          <w:p w14:paraId="418C2DC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7.1.设备产水满足WS507-2016《软水内镜清洗消毒技术规范》中对软式内镜清洗用水要求。</w:t>
            </w:r>
          </w:p>
          <w:p w14:paraId="66E1AEB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7.2.全自动控制，具备开机自动冲洗、无水保护、自动制水、液位保护、高低压报警、过热保护等功能。</w:t>
            </w:r>
          </w:p>
          <w:p w14:paraId="25F2B88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7.3.实现产水电导率、流量、压力等参数在线显示。</w:t>
            </w:r>
          </w:p>
          <w:p w14:paraId="47A419F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7.4.智能平衡系统确保设备运行的稳定与安全。</w:t>
            </w:r>
          </w:p>
          <w:p w14:paraId="18A990D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7.5.设备一体化箱式结构，要求占地面积小。</w:t>
            </w:r>
          </w:p>
          <w:p w14:paraId="7F86BBD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7.6.多重杀菌系统抑制细菌的滋生。</w:t>
            </w:r>
          </w:p>
          <w:p w14:paraId="6294456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7.7.高压部分管道采用304不锈钢材质。</w:t>
            </w:r>
          </w:p>
          <w:p w14:paraId="32F65C9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（八）纯水机技术要求</w:t>
            </w:r>
          </w:p>
          <w:p w14:paraId="5C6A94A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8.1.水泵要求：泵体材质为不锈钢。</w:t>
            </w:r>
          </w:p>
          <w:p w14:paraId="4578284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8.2.膜元件要求：脱盐率≥99%、膜片类型为芳香族聚酰胺复合膜，产水量满足设计要求。</w:t>
            </w:r>
          </w:p>
          <w:p w14:paraId="408F593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8.3.膜壳材质要求：304无缝不锈钢。</w:t>
            </w:r>
          </w:p>
          <w:p w14:paraId="44B1E08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8.4.纯水箱采用304不锈钢材质，补水水位自动控制。</w:t>
            </w:r>
          </w:p>
          <w:p w14:paraId="0230812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8.5.主机机架采用不锈钢，管道连接用卫生级UPVC。</w:t>
            </w:r>
          </w:p>
          <w:p w14:paraId="7C4F4DD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8.6.制水机开关受纯水水位自动控制。</w:t>
            </w:r>
          </w:p>
          <w:p w14:paraId="4F38395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（九）设备配置清单：</w:t>
            </w:r>
          </w:p>
          <w:p w14:paraId="63BA4F1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1.初洗槽1个</w:t>
            </w:r>
          </w:p>
          <w:p w14:paraId="3F1860A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2.嵌入式单缸洗消机1台</w:t>
            </w:r>
          </w:p>
          <w:p w14:paraId="0372AAA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3.高压水枪1套</w:t>
            </w:r>
          </w:p>
          <w:p w14:paraId="472EA61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4.高压气枪1套</w:t>
            </w:r>
          </w:p>
          <w:p w14:paraId="543D650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5.干燥台1个</w:t>
            </w:r>
          </w:p>
          <w:p w14:paraId="3EEF1BD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6.医用无油静音空压机1台</w:t>
            </w:r>
          </w:p>
          <w:p w14:paraId="1EEB78F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7.内镜储镜柜1台</w:t>
            </w:r>
          </w:p>
          <w:p w14:paraId="16195BD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8.内镜转运车1台</w:t>
            </w:r>
          </w:p>
          <w:p w14:paraId="0D8DE16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9.纯水机1台</w:t>
            </w:r>
          </w:p>
          <w:p w14:paraId="3CB1C2D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三、设备具体详细配置清单</w:t>
            </w:r>
          </w:p>
          <w:p w14:paraId="47EEC8F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（一）电子鼻咽喉内窥镜</w:t>
            </w:r>
          </w:p>
          <w:p w14:paraId="5AE7F70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1.操作部5条</w:t>
            </w:r>
          </w:p>
          <w:p w14:paraId="5508589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2.操作部手提箱5个</w:t>
            </w:r>
          </w:p>
          <w:p w14:paraId="35B6597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3.电子内窥镜图像处理器2台</w:t>
            </w:r>
          </w:p>
          <w:p w14:paraId="3972B56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4.手柄密封防水盖10个</w:t>
            </w:r>
          </w:p>
          <w:p w14:paraId="1928731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5.活检阀10个</w:t>
            </w:r>
          </w:p>
          <w:p w14:paraId="0E0BFD6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6.吸引清洗接头5根</w:t>
            </w:r>
          </w:p>
          <w:p w14:paraId="459FAF2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7.管道开口清洗刷5把</w:t>
            </w:r>
          </w:p>
          <w:p w14:paraId="27017A5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8.多次性吸引按钮10个</w:t>
            </w:r>
          </w:p>
          <w:p w14:paraId="37E884B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9.清洁刷5套</w:t>
            </w:r>
          </w:p>
          <w:p w14:paraId="205FAB6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10.测漏器5个</w:t>
            </w:r>
          </w:p>
          <w:p w14:paraId="029FA71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11.说明书5本</w:t>
            </w:r>
          </w:p>
          <w:p w14:paraId="378AFD9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12.合格证5张</w:t>
            </w:r>
          </w:p>
          <w:p w14:paraId="063F567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（二）内镜医学影像图文高清工作站</w:t>
            </w:r>
          </w:p>
          <w:p w14:paraId="43C52AC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操作工作站</w:t>
            </w:r>
            <w:r>
              <w:rPr>
                <w:rFonts w:hint="eastAsia" w:ascii="宋体" w:hAnsi="宋体" w:eastAsia="宋体" w:cs="宋体"/>
                <w:color w:val="auto"/>
                <w:sz w:val="21"/>
                <w:szCs w:val="21"/>
                <w:highlight w:val="none"/>
                <w:lang w:val="en-US" w:eastAsia="zh-CN"/>
              </w:rPr>
              <w:t>1台</w:t>
            </w:r>
          </w:p>
          <w:p w14:paraId="00B5D2C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医学专用</w:t>
            </w:r>
            <w:r>
              <w:rPr>
                <w:rFonts w:hint="eastAsia" w:ascii="宋体" w:hAnsi="宋体" w:eastAsia="宋体" w:cs="宋体"/>
                <w:color w:val="auto"/>
                <w:sz w:val="21"/>
                <w:szCs w:val="21"/>
                <w:highlight w:val="none"/>
                <w:lang w:val="en-US" w:eastAsia="zh-CN"/>
              </w:rPr>
              <w:t>液晶显示屏1台</w:t>
            </w:r>
          </w:p>
          <w:p w14:paraId="646254F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3.专业医用台车1台</w:t>
            </w:r>
          </w:p>
          <w:p w14:paraId="2C16158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报告输出装置</w:t>
            </w:r>
            <w:r>
              <w:rPr>
                <w:rFonts w:hint="eastAsia" w:ascii="宋体" w:hAnsi="宋体" w:eastAsia="宋体" w:cs="宋体"/>
                <w:color w:val="auto"/>
                <w:sz w:val="21"/>
                <w:szCs w:val="21"/>
                <w:highlight w:val="none"/>
                <w:lang w:val="en-US" w:eastAsia="zh-CN"/>
              </w:rPr>
              <w:t>1台</w:t>
            </w:r>
          </w:p>
          <w:p w14:paraId="7A7E568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5.软件1套</w:t>
            </w:r>
          </w:p>
          <w:p w14:paraId="2500509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6.COM脚踏开关1台</w:t>
            </w:r>
          </w:p>
          <w:p w14:paraId="46822AD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7.视频采集卡1套</w:t>
            </w:r>
          </w:p>
          <w:p w14:paraId="671A878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8.USB加密狗1个</w:t>
            </w:r>
          </w:p>
          <w:p w14:paraId="5A5DEB0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9.HDMI视频线1条</w:t>
            </w:r>
          </w:p>
          <w:p w14:paraId="00D95E0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10.医用监视器1台</w:t>
            </w:r>
          </w:p>
          <w:p w14:paraId="6F67297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（三）内镜清洗消毒工作站</w:t>
            </w:r>
          </w:p>
          <w:p w14:paraId="080B622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1.初洗槽1个</w:t>
            </w:r>
          </w:p>
          <w:p w14:paraId="596AE55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2.嵌入式单缸洗消机1台</w:t>
            </w:r>
          </w:p>
          <w:p w14:paraId="5505E8E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3.高压水枪1套</w:t>
            </w:r>
          </w:p>
          <w:p w14:paraId="4CFCB52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4.高压气枪1套</w:t>
            </w:r>
          </w:p>
          <w:p w14:paraId="4142A47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5.干燥台1个</w:t>
            </w:r>
          </w:p>
          <w:p w14:paraId="04DDEAE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6.医用无油静音空压机1台</w:t>
            </w:r>
          </w:p>
          <w:p w14:paraId="1D76531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7.内镜储镜柜1台</w:t>
            </w:r>
          </w:p>
          <w:p w14:paraId="073F2C9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8.内镜转运车1台</w:t>
            </w:r>
          </w:p>
          <w:p w14:paraId="459531D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9.纯水机1台</w:t>
            </w:r>
          </w:p>
        </w:tc>
        <w:tc>
          <w:tcPr>
            <w:tcW w:w="1100" w:type="dxa"/>
            <w:tcBorders>
              <w:left w:val="single" w:color="auto" w:sz="4" w:space="0"/>
            </w:tcBorders>
            <w:shd w:val="clear" w:color="auto" w:fill="auto"/>
            <w:vAlign w:val="center"/>
          </w:tcPr>
          <w:p w14:paraId="58DA6EB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129</w:t>
            </w:r>
          </w:p>
        </w:tc>
      </w:tr>
      <w:tr w14:paraId="3FFE5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1C6EC43A">
            <w:pPr>
              <w:numPr>
                <w:ilvl w:val="0"/>
                <w:numId w:val="9"/>
              </w:numPr>
              <w:snapToGrid w:val="0"/>
              <w:spacing w:line="360" w:lineRule="auto"/>
              <w:jc w:val="center"/>
              <w:rPr>
                <w:rFonts w:hint="eastAsia" w:ascii="宋体" w:hAnsi="宋体" w:eastAsia="宋体" w:cs="宋体"/>
                <w:color w:val="auto"/>
                <w:sz w:val="21"/>
                <w:szCs w:val="21"/>
                <w:highlight w:val="none"/>
              </w:rPr>
            </w:pPr>
          </w:p>
        </w:tc>
        <w:tc>
          <w:tcPr>
            <w:tcW w:w="850" w:type="dxa"/>
            <w:tcBorders>
              <w:bottom w:val="single" w:color="auto" w:sz="4" w:space="0"/>
            </w:tcBorders>
            <w:shd w:val="clear" w:color="auto" w:fill="auto"/>
            <w:vAlign w:val="center"/>
          </w:tcPr>
          <w:p w14:paraId="0915374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低温等离子治疗仪（低温等离子体多功能手术系统）</w:t>
            </w:r>
          </w:p>
        </w:tc>
        <w:tc>
          <w:tcPr>
            <w:tcW w:w="500" w:type="dxa"/>
            <w:tcBorders>
              <w:right w:val="single" w:color="auto" w:sz="4" w:space="0"/>
            </w:tcBorders>
            <w:shd w:val="clear" w:color="auto" w:fill="auto"/>
            <w:vAlign w:val="center"/>
          </w:tcPr>
          <w:p w14:paraId="7AFD278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gridSpan w:val="2"/>
            <w:tcBorders>
              <w:left w:val="single" w:color="auto" w:sz="4" w:space="0"/>
              <w:right w:val="single" w:color="auto" w:sz="4" w:space="0"/>
            </w:tcBorders>
            <w:vAlign w:val="center"/>
          </w:tcPr>
          <w:p w14:paraId="0DA4973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台</w:t>
            </w:r>
          </w:p>
        </w:tc>
        <w:tc>
          <w:tcPr>
            <w:tcW w:w="5721" w:type="dxa"/>
            <w:tcBorders>
              <w:left w:val="single" w:color="auto" w:sz="4" w:space="0"/>
              <w:right w:val="single" w:color="auto" w:sz="4" w:space="0"/>
            </w:tcBorders>
            <w:vAlign w:val="center"/>
          </w:tcPr>
          <w:p w14:paraId="2B7784F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r>
              <w:rPr>
                <w:rFonts w:hint="eastAsia" w:ascii="宋体" w:hAnsi="宋体" w:cs="宋体"/>
                <w:color w:val="auto"/>
                <w:sz w:val="21"/>
                <w:szCs w:val="21"/>
                <w:highlight w:val="none"/>
                <w:lang w:val="en-US" w:eastAsia="zh-CN"/>
              </w:rPr>
              <w:t>：</w:t>
            </w:r>
          </w:p>
          <w:p w14:paraId="68D4C07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▲1.主机界面采用一体化全触屏式智能操作，LCD液晶显示屏。</w:t>
            </w:r>
          </w:p>
          <w:p w14:paraId="6CB1032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触屏界面同时具有：汽化切割、消融凝血、消融定时显示；黄区（汽化、切割）功率≤300W；蓝区（消融、止血）功率≤80W；插入不同功能的刀头，黄区和蓝区分别显示不同的功率档位；时间从0-9秒可调或0档不计时。</w:t>
            </w:r>
          </w:p>
          <w:p w14:paraId="7FA3163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▲3.主机采用双频设计：汽化切割输出频率≥100KHz；凝血消融输出频率≥450KHz。</w:t>
            </w:r>
          </w:p>
          <w:p w14:paraId="5249DF5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4.主机采用全智能数字控制电路，须具备以下功能：</w:t>
            </w:r>
          </w:p>
          <w:p w14:paraId="490105D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①主机工作时可显示工作能量输出状态。</w:t>
            </w:r>
          </w:p>
          <w:p w14:paraId="09BA16F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②消融全时实施数字智能化程序控制，如果消融达到最佳状态时，主机能通过三极消融刀头反馈负载的消融信息并自动调整阻抗和能量的输出，防止过度治疗和温度上升。</w:t>
            </w:r>
          </w:p>
          <w:p w14:paraId="4C88B74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w:t>
            </w:r>
            <w:r>
              <w:rPr>
                <w:rFonts w:hint="eastAsia" w:ascii="宋体" w:hAnsi="宋体" w:cs="宋体"/>
                <w:color w:val="auto"/>
                <w:sz w:val="21"/>
                <w:szCs w:val="21"/>
                <w:highlight w:val="none"/>
                <w:lang w:val="en-US" w:eastAsia="zh-CN"/>
              </w:rPr>
              <w:t>采用</w:t>
            </w:r>
            <w:r>
              <w:rPr>
                <w:rFonts w:hint="eastAsia" w:ascii="宋体" w:hAnsi="宋体" w:eastAsia="宋体" w:cs="宋体"/>
                <w:color w:val="auto"/>
                <w:sz w:val="21"/>
                <w:szCs w:val="21"/>
                <w:highlight w:val="none"/>
                <w:lang w:val="en-US" w:eastAsia="zh-CN"/>
              </w:rPr>
              <w:t>档位功率深度程控技术。</w:t>
            </w:r>
          </w:p>
          <w:p w14:paraId="7FF6219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w:t>
            </w:r>
            <w:r>
              <w:rPr>
                <w:rFonts w:hint="eastAsia" w:ascii="宋体" w:hAnsi="宋体" w:cs="宋体"/>
                <w:color w:val="auto"/>
                <w:sz w:val="21"/>
                <w:szCs w:val="21"/>
                <w:highlight w:val="none"/>
                <w:lang w:val="en-US" w:eastAsia="zh-CN"/>
              </w:rPr>
              <w:t>支持</w:t>
            </w:r>
            <w:r>
              <w:rPr>
                <w:rFonts w:hint="eastAsia" w:ascii="宋体" w:hAnsi="宋体" w:eastAsia="宋体" w:cs="宋体"/>
                <w:color w:val="auto"/>
                <w:sz w:val="21"/>
                <w:szCs w:val="21"/>
                <w:highlight w:val="none"/>
                <w:lang w:val="en-US" w:eastAsia="zh-CN"/>
              </w:rPr>
              <w:t>自动识别三种组织结构：血液、粘膜组织、间质组织、盐水，并输出相应的波形和能量，凝血使用脉冲波有效的防止组织粘连和渗透并形成≤30dmm的凝固层；</w:t>
            </w:r>
            <w:r>
              <w:rPr>
                <w:rFonts w:hint="eastAsia" w:ascii="宋体" w:hAnsi="宋体" w:cs="宋体"/>
                <w:color w:val="auto"/>
                <w:sz w:val="21"/>
                <w:szCs w:val="21"/>
                <w:highlight w:val="none"/>
                <w:lang w:val="en-US" w:eastAsia="zh-CN"/>
              </w:rPr>
              <w:t>黏膜</w:t>
            </w:r>
            <w:r>
              <w:rPr>
                <w:rFonts w:hint="eastAsia" w:ascii="宋体" w:hAnsi="宋体" w:eastAsia="宋体" w:cs="宋体"/>
                <w:color w:val="auto"/>
                <w:sz w:val="21"/>
                <w:szCs w:val="21"/>
                <w:highlight w:val="none"/>
                <w:lang w:val="en-US" w:eastAsia="zh-CN"/>
              </w:rPr>
              <w:t>治疗采用了强力波快速瘢痕收缩形成阻抗不</w:t>
            </w:r>
            <w:r>
              <w:rPr>
                <w:rFonts w:hint="eastAsia" w:ascii="宋体" w:hAnsi="宋体" w:cs="宋体"/>
                <w:color w:val="auto"/>
                <w:sz w:val="21"/>
                <w:szCs w:val="21"/>
                <w:highlight w:val="none"/>
                <w:lang w:val="en-US" w:eastAsia="zh-CN"/>
              </w:rPr>
              <w:t>渗透</w:t>
            </w:r>
            <w:r>
              <w:rPr>
                <w:rFonts w:hint="eastAsia" w:ascii="宋体" w:hAnsi="宋体" w:eastAsia="宋体" w:cs="宋体"/>
                <w:color w:val="auto"/>
                <w:sz w:val="21"/>
                <w:szCs w:val="21"/>
                <w:highlight w:val="none"/>
                <w:lang w:val="en-US" w:eastAsia="zh-CN"/>
              </w:rPr>
              <w:t>肌层</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间质消融适用柔和间断波能均匀的扩散渗透和防止粘连。</w:t>
            </w:r>
          </w:p>
          <w:p w14:paraId="0237A78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⑤具有各种手术刀头识别和保护功能、根据插入刀头的不同自动输出不同的功率和时间，不用频繁调节功率和时间。</w:t>
            </w:r>
          </w:p>
          <w:p w14:paraId="3428F5F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5.使用高压反侦测数字技术，用软件可以控制硬件电路中1UA的漏电流对应到消融档位。</w:t>
            </w:r>
          </w:p>
          <w:p w14:paraId="4481179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6.主机具有自动检测刀头和附件连接功能，如果连接不好，主机会有报警声音提示。</w:t>
            </w:r>
          </w:p>
          <w:p w14:paraId="2AC405C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▲7.使用具有防水功能的双脚踏控制，脚踏有单独的专利。</w:t>
            </w:r>
          </w:p>
          <w:p w14:paraId="5B0F1BD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8.治疗温度：低温微创、安全、精确，40-70℃范围内完成汽化、打孔、消融和止血三大功能。消融温度：40～53℃，止血温度：40～58℃，切割温度：40～70℃</w:t>
            </w:r>
          </w:p>
          <w:p w14:paraId="436A202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9.主机尺寸：≥411×405×148mm.</w:t>
            </w:r>
          </w:p>
          <w:p w14:paraId="085F5BB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10电击防护：I类，BF型</w:t>
            </w:r>
          </w:p>
          <w:p w14:paraId="1A50636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二、配置需求：</w:t>
            </w:r>
          </w:p>
          <w:p w14:paraId="637ADB6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1.低温等离子体多功能手术系统主机台式1台</w:t>
            </w:r>
          </w:p>
          <w:p w14:paraId="132F19B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2.双功能脚踏控制板防水IP×8级1只</w:t>
            </w:r>
          </w:p>
          <w:p w14:paraId="127D60F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3.流量控制器外置1只</w:t>
            </w:r>
          </w:p>
        </w:tc>
        <w:tc>
          <w:tcPr>
            <w:tcW w:w="1100" w:type="dxa"/>
            <w:tcBorders>
              <w:left w:val="single" w:color="auto" w:sz="4" w:space="0"/>
            </w:tcBorders>
            <w:shd w:val="clear" w:color="auto" w:fill="auto"/>
            <w:vAlign w:val="center"/>
          </w:tcPr>
          <w:p w14:paraId="47A780C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w:t>
            </w:r>
          </w:p>
        </w:tc>
      </w:tr>
      <w:tr w14:paraId="62F1B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9252" w:type="dxa"/>
            <w:gridSpan w:val="7"/>
            <w:vAlign w:val="center"/>
          </w:tcPr>
          <w:p w14:paraId="5F50B97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color w:val="auto"/>
                <w:sz w:val="21"/>
                <w:szCs w:val="21"/>
                <w:highlight w:val="none"/>
                <w:lang w:val="en-US" w:eastAsia="zh-CN"/>
              </w:rPr>
              <w:t>口腔科</w:t>
            </w:r>
          </w:p>
        </w:tc>
      </w:tr>
      <w:tr w14:paraId="3B29F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3F4BA69F">
            <w:pPr>
              <w:numPr>
                <w:ilvl w:val="0"/>
                <w:numId w:val="10"/>
              </w:numPr>
              <w:snapToGrid w:val="0"/>
              <w:spacing w:line="360" w:lineRule="auto"/>
              <w:jc w:val="center"/>
              <w:rPr>
                <w:rFonts w:hint="eastAsia" w:ascii="宋体" w:hAnsi="宋体" w:eastAsia="宋体" w:cs="宋体"/>
                <w:color w:val="auto"/>
                <w:sz w:val="21"/>
                <w:szCs w:val="21"/>
                <w:highlight w:val="none"/>
              </w:rPr>
            </w:pPr>
          </w:p>
        </w:tc>
        <w:tc>
          <w:tcPr>
            <w:tcW w:w="850" w:type="dxa"/>
            <w:tcBorders>
              <w:top w:val="single" w:color="auto" w:sz="4" w:space="0"/>
            </w:tcBorders>
            <w:shd w:val="clear" w:color="auto" w:fill="auto"/>
            <w:vAlign w:val="center"/>
          </w:tcPr>
          <w:p w14:paraId="3031CC4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口腔综合治疗台系统</w:t>
            </w:r>
          </w:p>
        </w:tc>
        <w:tc>
          <w:tcPr>
            <w:tcW w:w="500" w:type="dxa"/>
            <w:tcBorders>
              <w:right w:val="single" w:color="auto" w:sz="4" w:space="0"/>
            </w:tcBorders>
            <w:shd w:val="clear" w:color="auto" w:fill="auto"/>
            <w:vAlign w:val="center"/>
          </w:tcPr>
          <w:p w14:paraId="5BBB79D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gridSpan w:val="2"/>
            <w:tcBorders>
              <w:left w:val="single" w:color="auto" w:sz="4" w:space="0"/>
              <w:right w:val="single" w:color="auto" w:sz="4" w:space="0"/>
            </w:tcBorders>
            <w:vAlign w:val="center"/>
          </w:tcPr>
          <w:p w14:paraId="3BAD6371">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套</w:t>
            </w:r>
          </w:p>
        </w:tc>
        <w:tc>
          <w:tcPr>
            <w:tcW w:w="5721" w:type="dxa"/>
            <w:tcBorders>
              <w:left w:val="single" w:color="auto" w:sz="4" w:space="0"/>
              <w:right w:val="single" w:color="auto" w:sz="4" w:space="0"/>
            </w:tcBorders>
            <w:vAlign w:val="center"/>
          </w:tcPr>
          <w:p w14:paraId="5855C05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一、设备综合配置清单：</w:t>
            </w:r>
          </w:p>
          <w:p w14:paraId="758B0CC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1.口腔综合治疗台（连体式牙科治疗设备）5台</w:t>
            </w:r>
          </w:p>
          <w:p w14:paraId="23E4A47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2.喷砂机（牙科多功能气动喷砂机）3台</w:t>
            </w:r>
          </w:p>
          <w:p w14:paraId="1398E7E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3.牙科种植机2台</w:t>
            </w:r>
          </w:p>
          <w:p w14:paraId="0D012ED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4.根管马达（根管预备机）2台</w:t>
            </w:r>
          </w:p>
          <w:p w14:paraId="55D00A8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5.热熔牙胶充填机2台</w:t>
            </w:r>
          </w:p>
          <w:p w14:paraId="4806314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6.根管长度测量仪2台</w:t>
            </w:r>
          </w:p>
          <w:p w14:paraId="41E3284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7.光固化机2台</w:t>
            </w:r>
          </w:p>
          <w:p w14:paraId="4C9C7BD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8.手机（高速涡轮手机)8台</w:t>
            </w:r>
          </w:p>
          <w:p w14:paraId="4537EC2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9.低速气动马达3台</w:t>
            </w:r>
          </w:p>
          <w:p w14:paraId="3DF7D9D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10.牙科抛光机2台</w:t>
            </w:r>
          </w:p>
          <w:p w14:paraId="76DAA43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11.负压机（牙科电动抽吸系统）2台</w:t>
            </w:r>
          </w:p>
          <w:p w14:paraId="4CC16F0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12.空气冷干机2台</w:t>
            </w:r>
          </w:p>
          <w:p w14:paraId="3145887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13.牙科手机注油机2台</w:t>
            </w:r>
          </w:p>
          <w:p w14:paraId="32BD07C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14.震荡机（圆盘振荡器）2台</w:t>
            </w:r>
          </w:p>
          <w:p w14:paraId="5BF677C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15.石膏修整机2台</w:t>
            </w:r>
          </w:p>
          <w:p w14:paraId="08CF49F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16.空气压缩机（牙科电动无油空压机）</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台</w:t>
            </w:r>
          </w:p>
          <w:p w14:paraId="0970829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二、口腔综合治疗台（连体式牙科治疗设备）技术参数</w:t>
            </w:r>
          </w:p>
          <w:p w14:paraId="7DA0577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1.座垫面离地面高度：最低≤390mm，最高≥800mm</w:t>
            </w:r>
          </w:p>
          <w:p w14:paraId="7186170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2.椅位载重量：≥180kg</w:t>
            </w:r>
          </w:p>
          <w:p w14:paraId="7C25662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3.升降和靠背运动具有联动补偿功能，患者无搓背感，采用柔性电机，柔性启停功能。牙椅具有急救位功能，用于预防突发事件</w:t>
            </w:r>
            <w:r>
              <w:rPr>
                <w:rFonts w:hint="eastAsia" w:ascii="宋体" w:hAnsi="宋体" w:cs="宋体"/>
                <w:color w:val="auto"/>
                <w:sz w:val="21"/>
                <w:szCs w:val="21"/>
                <w:highlight w:val="none"/>
                <w:lang w:val="en-US" w:eastAsia="zh-CN"/>
              </w:rPr>
              <w:t>。</w:t>
            </w:r>
          </w:p>
          <w:p w14:paraId="267A6E7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▲4.椅位具有下降安全保护装置，下降时遇到阻碍物会停止下降，并回升</w:t>
            </w:r>
            <w:r>
              <w:rPr>
                <w:rFonts w:hint="eastAsia" w:ascii="宋体" w:hAnsi="宋体" w:cs="宋体"/>
                <w:color w:val="auto"/>
                <w:sz w:val="21"/>
                <w:szCs w:val="21"/>
                <w:highlight w:val="none"/>
                <w:lang w:val="en-US" w:eastAsia="zh-CN"/>
              </w:rPr>
              <w:t>。</w:t>
            </w:r>
          </w:p>
          <w:p w14:paraId="39B4803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5.牙椅具有符合国标的紧急急停开关，配有机椅互锁系统，手机工作状态下，椅位保持锁定</w:t>
            </w:r>
            <w:r>
              <w:rPr>
                <w:rFonts w:hint="eastAsia" w:ascii="宋体" w:hAnsi="宋体" w:cs="宋体"/>
                <w:color w:val="auto"/>
                <w:sz w:val="21"/>
                <w:szCs w:val="21"/>
                <w:highlight w:val="none"/>
                <w:lang w:val="en-US" w:eastAsia="zh-CN"/>
              </w:rPr>
              <w:t>。</w:t>
            </w:r>
          </w:p>
          <w:p w14:paraId="6697193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6.牙椅底座上带脚控控制，可控制牙椅的升降及仰卧</w:t>
            </w:r>
            <w:r>
              <w:rPr>
                <w:rFonts w:hint="eastAsia" w:ascii="宋体" w:hAnsi="宋体" w:cs="宋体"/>
                <w:color w:val="auto"/>
                <w:sz w:val="21"/>
                <w:szCs w:val="21"/>
                <w:highlight w:val="none"/>
                <w:lang w:val="en-US" w:eastAsia="zh-CN"/>
              </w:rPr>
              <w:t>。</w:t>
            </w:r>
          </w:p>
          <w:p w14:paraId="6D96571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▲7.下挂式手机操作系统</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手机挂架可内外旋转90°，收纳在器械盘下面，避免手术结束后刮伤医患人员；挂架可上下45°旋转，采用大挂架</w:t>
            </w:r>
            <w:r>
              <w:rPr>
                <w:rFonts w:hint="eastAsia" w:ascii="宋体" w:hAnsi="宋体" w:cs="宋体"/>
                <w:color w:val="auto"/>
                <w:sz w:val="21"/>
                <w:szCs w:val="21"/>
                <w:highlight w:val="none"/>
                <w:lang w:val="en-US" w:eastAsia="zh-CN"/>
              </w:rPr>
              <w:t>。</w:t>
            </w:r>
          </w:p>
          <w:p w14:paraId="5BCC7FE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▲8.主控器械盘具有≥三个置物盘，均可直接拆卸清洗，主置物盘≥420×270mm，两个副盘≥260×220mm</w:t>
            </w:r>
          </w:p>
          <w:p w14:paraId="705B7AF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▲9.活动磁吸式器械盘无需工具可取下清洗消毒</w:t>
            </w:r>
          </w:p>
          <w:p w14:paraId="08B1324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10.主控面板可设置≥5个记忆椅位，冲痰，漱口，加热等按键。主控、副控均具有记忆椅位功能，具有万能R键功能，可代替其他所有功能键</w:t>
            </w:r>
            <w:r>
              <w:rPr>
                <w:rFonts w:hint="eastAsia" w:ascii="宋体" w:hAnsi="宋体" w:cs="宋体"/>
                <w:color w:val="auto"/>
                <w:sz w:val="21"/>
                <w:szCs w:val="21"/>
                <w:highlight w:val="none"/>
                <w:lang w:val="en-US" w:eastAsia="zh-CN"/>
              </w:rPr>
              <w:t>。</w:t>
            </w:r>
          </w:p>
          <w:p w14:paraId="5FEDE35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11.牙椅标配一键管路反冲洗消毒功能，同时对手机管路，洁牙机管路，主控和副控三用枪以及</w:t>
            </w:r>
            <w:r>
              <w:rPr>
                <w:rFonts w:hint="eastAsia" w:ascii="宋体" w:hAnsi="宋体" w:cs="宋体"/>
                <w:color w:val="auto"/>
                <w:sz w:val="21"/>
                <w:szCs w:val="21"/>
                <w:highlight w:val="none"/>
                <w:lang w:val="en-US" w:eastAsia="zh-CN"/>
              </w:rPr>
              <w:t>漱口水</w:t>
            </w:r>
            <w:r>
              <w:rPr>
                <w:rFonts w:hint="eastAsia" w:ascii="宋体" w:hAnsi="宋体" w:eastAsia="宋体" w:cs="宋体"/>
                <w:color w:val="auto"/>
                <w:sz w:val="21"/>
                <w:szCs w:val="21"/>
                <w:highlight w:val="none"/>
                <w:lang w:val="en-US" w:eastAsia="zh-CN"/>
              </w:rPr>
              <w:t>进行消毒，无需通过脚踏控制</w:t>
            </w:r>
            <w:r>
              <w:rPr>
                <w:rFonts w:hint="eastAsia" w:ascii="宋体" w:hAnsi="宋体" w:cs="宋体"/>
                <w:color w:val="auto"/>
                <w:sz w:val="21"/>
                <w:szCs w:val="21"/>
                <w:highlight w:val="none"/>
                <w:lang w:val="en-US" w:eastAsia="zh-CN"/>
              </w:rPr>
              <w:t>。</w:t>
            </w:r>
          </w:p>
          <w:p w14:paraId="0961EDC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▲12.器械盘左右两侧把手下方均带有双气刹功能</w:t>
            </w:r>
          </w:p>
          <w:p w14:paraId="01766BA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r>
              <w:rPr>
                <w:rFonts w:hint="eastAsia" w:ascii="宋体" w:hAnsi="宋体" w:cs="宋体"/>
                <w:color w:val="auto"/>
                <w:sz w:val="21"/>
                <w:szCs w:val="21"/>
                <w:highlight w:val="none"/>
                <w:lang w:val="en-US" w:eastAsia="zh-CN"/>
              </w:rPr>
              <w:t>支持后续升级选配</w:t>
            </w:r>
            <w:r>
              <w:rPr>
                <w:rFonts w:hint="eastAsia" w:ascii="宋体" w:hAnsi="宋体" w:eastAsia="宋体" w:cs="宋体"/>
                <w:color w:val="auto"/>
                <w:sz w:val="21"/>
                <w:szCs w:val="21"/>
                <w:highlight w:val="none"/>
                <w:lang w:val="en-US" w:eastAsia="zh-CN"/>
              </w:rPr>
              <w:t>内置LED观片灯</w:t>
            </w:r>
          </w:p>
          <w:p w14:paraId="67E7ECE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▲14.副控具有≥5位挂架装置，</w:t>
            </w:r>
            <w:r>
              <w:rPr>
                <w:rFonts w:hint="eastAsia" w:ascii="宋体" w:hAnsi="宋体" w:cs="宋体"/>
                <w:color w:val="auto"/>
                <w:sz w:val="21"/>
                <w:szCs w:val="21"/>
                <w:highlight w:val="none"/>
                <w:lang w:val="en-US" w:eastAsia="zh-CN"/>
              </w:rPr>
              <w:t>支持</w:t>
            </w:r>
            <w:r>
              <w:rPr>
                <w:rFonts w:hint="eastAsia" w:ascii="宋体" w:hAnsi="宋体" w:eastAsia="宋体" w:cs="宋体"/>
                <w:color w:val="auto"/>
                <w:sz w:val="21"/>
                <w:szCs w:val="21"/>
                <w:highlight w:val="none"/>
                <w:lang w:val="en-US" w:eastAsia="zh-CN"/>
              </w:rPr>
              <w:t>根据需求拓展内窥镜挂架和光固化挂架位</w:t>
            </w:r>
            <w:r>
              <w:rPr>
                <w:rFonts w:hint="eastAsia" w:ascii="宋体" w:hAnsi="宋体" w:cs="宋体"/>
                <w:color w:val="auto"/>
                <w:sz w:val="21"/>
                <w:szCs w:val="21"/>
                <w:highlight w:val="none"/>
                <w:lang w:val="en-US" w:eastAsia="zh-CN"/>
              </w:rPr>
              <w:t>。</w:t>
            </w:r>
          </w:p>
          <w:p w14:paraId="6850BCC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15.副控面板上具有SET功能设置键、漱口位键，有升降、仰卧、加热、复位键等功能</w:t>
            </w:r>
            <w:r>
              <w:rPr>
                <w:rFonts w:hint="eastAsia" w:ascii="宋体" w:hAnsi="宋体" w:cs="宋体"/>
                <w:color w:val="auto"/>
                <w:sz w:val="21"/>
                <w:szCs w:val="21"/>
                <w:highlight w:val="none"/>
                <w:lang w:val="en-US" w:eastAsia="zh-CN"/>
              </w:rPr>
              <w:t>。</w:t>
            </w:r>
          </w:p>
          <w:p w14:paraId="23B311A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▲16.副控配有可插拔式强弱吸管，配有易于拆卸清洗的过滤系统，具有延时功能，吸唾手柄挂回后会再工作5秒，保证强弱吸管道内无污物，防止有异味</w:t>
            </w:r>
            <w:r>
              <w:rPr>
                <w:rFonts w:hint="eastAsia" w:ascii="宋体" w:hAnsi="宋体" w:cs="宋体"/>
                <w:color w:val="auto"/>
                <w:sz w:val="21"/>
                <w:szCs w:val="21"/>
                <w:highlight w:val="none"/>
                <w:lang w:val="en-US" w:eastAsia="zh-CN"/>
              </w:rPr>
              <w:t>。</w:t>
            </w:r>
          </w:p>
          <w:p w14:paraId="7A8495E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17.治疗机侧箱水气系统与电路系统钢板双侧分离</w:t>
            </w:r>
          </w:p>
          <w:p w14:paraId="6AD0D10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18.侧箱采用双侧开门磁吸盖设计，不需要螺丝固定，方便维修；侧箱可以≥90°旋转</w:t>
            </w:r>
            <w:r>
              <w:rPr>
                <w:rFonts w:hint="eastAsia" w:ascii="宋体" w:hAnsi="宋体" w:cs="宋体"/>
                <w:color w:val="auto"/>
                <w:sz w:val="21"/>
                <w:szCs w:val="21"/>
                <w:highlight w:val="none"/>
                <w:lang w:val="en-US" w:eastAsia="zh-CN"/>
              </w:rPr>
              <w:t>。</w:t>
            </w:r>
          </w:p>
          <w:p w14:paraId="02163CF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19.一体成型陶瓷痰盂，可向内旋转≥90°</w:t>
            </w:r>
            <w:r>
              <w:rPr>
                <w:rFonts w:hint="eastAsia" w:ascii="宋体" w:hAnsi="宋体" w:cs="宋体"/>
                <w:color w:val="auto"/>
                <w:sz w:val="21"/>
                <w:szCs w:val="21"/>
                <w:highlight w:val="none"/>
                <w:lang w:val="en-US" w:eastAsia="zh-CN"/>
              </w:rPr>
              <w:t>。</w:t>
            </w:r>
          </w:p>
          <w:p w14:paraId="6B1E029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20.侧箱与牙椅连接臂可以实现≥180°旋转，侧箱</w:t>
            </w:r>
            <w:r>
              <w:rPr>
                <w:rFonts w:hint="eastAsia" w:ascii="宋体" w:hAnsi="宋体" w:cs="宋体"/>
                <w:color w:val="auto"/>
                <w:sz w:val="21"/>
                <w:szCs w:val="21"/>
                <w:highlight w:val="none"/>
                <w:lang w:val="en-US" w:eastAsia="zh-CN"/>
              </w:rPr>
              <w:t>可</w:t>
            </w:r>
            <w:r>
              <w:rPr>
                <w:rFonts w:hint="eastAsia" w:ascii="宋体" w:hAnsi="宋体" w:eastAsia="宋体" w:cs="宋体"/>
                <w:color w:val="auto"/>
                <w:sz w:val="21"/>
                <w:szCs w:val="21"/>
                <w:highlight w:val="none"/>
                <w:lang w:val="en-US" w:eastAsia="zh-CN"/>
              </w:rPr>
              <w:t>转到牙椅的左、右侧以及前方</w:t>
            </w:r>
            <w:r>
              <w:rPr>
                <w:rFonts w:hint="eastAsia" w:ascii="宋体" w:hAnsi="宋体" w:cs="宋体"/>
                <w:color w:val="auto"/>
                <w:sz w:val="21"/>
                <w:szCs w:val="21"/>
                <w:highlight w:val="none"/>
                <w:lang w:val="en-US" w:eastAsia="zh-CN"/>
              </w:rPr>
              <w:t>。</w:t>
            </w:r>
          </w:p>
          <w:p w14:paraId="295DF81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21.副控标配≥三用枪，并且可以实现恒温供水</w:t>
            </w:r>
            <w:r>
              <w:rPr>
                <w:rFonts w:hint="eastAsia" w:ascii="宋体" w:hAnsi="宋体" w:cs="宋体"/>
                <w:color w:val="auto"/>
                <w:sz w:val="21"/>
                <w:szCs w:val="21"/>
                <w:highlight w:val="none"/>
                <w:lang w:val="en-US" w:eastAsia="zh-CN"/>
              </w:rPr>
              <w:t>。</w:t>
            </w:r>
          </w:p>
          <w:p w14:paraId="3544CDC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22.采用LED光源，具有白色、黄色和黄白混色三种光源可选择，可防止光固化树脂提前固化，可感应式控制防止交叉感染</w:t>
            </w:r>
            <w:r>
              <w:rPr>
                <w:rFonts w:hint="eastAsia" w:ascii="宋体" w:hAnsi="宋体" w:cs="宋体"/>
                <w:color w:val="auto"/>
                <w:sz w:val="21"/>
                <w:szCs w:val="21"/>
                <w:highlight w:val="none"/>
                <w:lang w:val="en-US" w:eastAsia="zh-CN"/>
              </w:rPr>
              <w:t>。</w:t>
            </w:r>
          </w:p>
          <w:p w14:paraId="74AE2FB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23.脚开关带手机冷却吹屑功能，手机在操作过程中无需换三用枪，具有吹气功能</w:t>
            </w:r>
            <w:r>
              <w:rPr>
                <w:rFonts w:hint="eastAsia" w:ascii="宋体" w:hAnsi="宋体" w:cs="宋体"/>
                <w:color w:val="auto"/>
                <w:sz w:val="21"/>
                <w:szCs w:val="21"/>
                <w:highlight w:val="none"/>
                <w:lang w:val="en-US" w:eastAsia="zh-CN"/>
              </w:rPr>
              <w:t>。</w:t>
            </w:r>
          </w:p>
          <w:p w14:paraId="369A367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24.设备使用年限：≥15年</w:t>
            </w:r>
          </w:p>
          <w:p w14:paraId="62B53CD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三、喷砂机（牙科多功能气动喷砂机）技术参数</w:t>
            </w:r>
          </w:p>
          <w:p w14:paraId="21870C8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1.人体工程学设计</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≤0.7mm小口径钨钢喷嘴</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洁治大容量粉末室可以一次性完成治疗</w:t>
            </w:r>
            <w:r>
              <w:rPr>
                <w:rFonts w:hint="eastAsia" w:ascii="宋体" w:hAnsi="宋体" w:cs="宋体"/>
                <w:color w:val="auto"/>
                <w:sz w:val="21"/>
                <w:szCs w:val="21"/>
                <w:highlight w:val="none"/>
                <w:lang w:val="en-US" w:eastAsia="zh-CN"/>
              </w:rPr>
              <w:t>。</w:t>
            </w:r>
          </w:p>
          <w:p w14:paraId="4656588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支持</w:t>
            </w:r>
            <w:r>
              <w:rPr>
                <w:rFonts w:hint="eastAsia" w:ascii="宋体" w:hAnsi="宋体" w:eastAsia="宋体" w:cs="宋体"/>
                <w:color w:val="auto"/>
                <w:sz w:val="21"/>
                <w:szCs w:val="21"/>
                <w:highlight w:val="none"/>
                <w:lang w:val="en-US" w:eastAsia="zh-CN"/>
              </w:rPr>
              <w:t>360°旋转</w:t>
            </w:r>
          </w:p>
          <w:p w14:paraId="1E31337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3.支持预弯曲龈下喷嘴</w:t>
            </w:r>
          </w:p>
          <w:p w14:paraId="068F729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4.三向粉末输出</w:t>
            </w:r>
          </w:p>
          <w:p w14:paraId="22C9876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5.单向出水</w:t>
            </w:r>
          </w:p>
          <w:p w14:paraId="451434E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6.清除生物膜清除死角</w:t>
            </w:r>
          </w:p>
          <w:p w14:paraId="6461C0C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7.规格</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进水压力：0.7bar-2.2bar(70-220kPa)输入气压：3.5bar-4.5bar(350-450kPa)</w:t>
            </w:r>
          </w:p>
          <w:p w14:paraId="043157C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四、牙科种植机技术参数</w:t>
            </w:r>
          </w:p>
          <w:p w14:paraId="053C08A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1.≥7英寸彩色可视化种植图案界面，触摸操作可设定和保存参数。</w:t>
            </w:r>
          </w:p>
          <w:p w14:paraId="6057379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2.适配多种转速比的机头</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如1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2.7、1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3、1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4.2、1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5、16</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1、20</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1、27</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w:t>
            </w:r>
          </w:p>
          <w:p w14:paraId="2E3DD78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3.采用微型马达，保证终端输出达≥80N•cm。</w:t>
            </w:r>
          </w:p>
          <w:p w14:paraId="32060C8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4.弯手机跳动幅度小于0.03mm。</w:t>
            </w:r>
          </w:p>
          <w:p w14:paraId="5C6F66C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5.水量控制、程序切换、正反转切换、转速控制均可通过多功能脚踏完成。</w:t>
            </w:r>
          </w:p>
          <w:p w14:paraId="6F0CE11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6.有简易模式和标准模式两种选择。</w:t>
            </w:r>
          </w:p>
          <w:p w14:paraId="2AF4064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7.植入扭矩实时显示，且记录显示植入峰值扭矩。</w:t>
            </w:r>
          </w:p>
          <w:p w14:paraId="670E3C9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8.每次开机自动进行扭力校准，无需额外操作</w:t>
            </w:r>
            <w:r>
              <w:rPr>
                <w:rFonts w:hint="eastAsia" w:ascii="宋体" w:hAnsi="宋体" w:cs="宋体"/>
                <w:color w:val="auto"/>
                <w:sz w:val="21"/>
                <w:szCs w:val="21"/>
                <w:highlight w:val="none"/>
                <w:lang w:val="en-US" w:eastAsia="zh-CN"/>
              </w:rPr>
              <w:t>。</w:t>
            </w:r>
          </w:p>
          <w:p w14:paraId="2FA7ECE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9.具备故障自诊，自动保护功能，电机，脚踏连接异常将会立即显示报警。</w:t>
            </w:r>
          </w:p>
          <w:p w14:paraId="34A24A4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10.使用期限：≥10年</w:t>
            </w:r>
          </w:p>
          <w:p w14:paraId="62E86A5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五、根管马达（根管预备机）技术参数</w:t>
            </w:r>
          </w:p>
          <w:p w14:paraId="00BBFE7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1.内置：≥6个可供用户自行设置的程序；</w:t>
            </w:r>
          </w:p>
          <w:p w14:paraId="594AE9C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2.在1.0Ncm-4.0Ncm的扭矩范围内，可设置微调扭矩值：≥7个；</w:t>
            </w:r>
          </w:p>
          <w:p w14:paraId="43E4364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3.动态扭矩可实时监控，操作屏幕上能够实时显示工作时的扭矩值大小；</w:t>
            </w:r>
          </w:p>
          <w:p w14:paraId="61B8ED6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4.具有遇阻回旋功能，防止断针。当工作时扭力达到预设的扭力值，马达将自动反转，当工作扭力降回到预设扭力值70%以下恢复正转工作；</w:t>
            </w:r>
          </w:p>
          <w:p w14:paraId="3F1A167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▲5.转速可以调节区间满足：120rpm-650rpm；</w:t>
            </w:r>
          </w:p>
          <w:p w14:paraId="7D83EB9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6.工作模式至少包含：正反转模式，往复旋转模式；</w:t>
            </w:r>
          </w:p>
          <w:p w14:paraId="7C095B3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7.具有的其他功能；音量可调、屏幕自动关机、自动回到待机界面等；</w:t>
            </w:r>
          </w:p>
          <w:p w14:paraId="35EC4D4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8.具有自动校准功能，可以校准弯机头的转速扭矩参数；</w:t>
            </w:r>
          </w:p>
          <w:p w14:paraId="03504A5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▲9.具有适用于往复旋转和360度旋转的镍钛根管预备器械系统，内置多组往复旋转角度数据（如250/30-210/30-180/30-150/30-30/150等），并且参数可调整适用Reciproc、Waveone、Mtwo、Protaper等系统；</w:t>
            </w:r>
          </w:p>
          <w:p w14:paraId="0F74552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10.可重新设定设备出厂时内部存储的数据；</w:t>
            </w:r>
          </w:p>
          <w:p w14:paraId="2A8C6A8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▲11.内置充电电池：≥1500mAh。</w:t>
            </w:r>
          </w:p>
          <w:p w14:paraId="3EC8891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12.可连续稳定工作：4小时以上；</w:t>
            </w:r>
          </w:p>
          <w:p w14:paraId="5656A1F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13.无线根管马达，按键启动关闭；</w:t>
            </w:r>
          </w:p>
          <w:p w14:paraId="255638C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14.一体化；1弯机头，机头：至少可满足340°旋转；</w:t>
            </w:r>
          </w:p>
          <w:p w14:paraId="44D9F39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15.弯机头消毒灭菌，机头注油保养。</w:t>
            </w:r>
          </w:p>
          <w:p w14:paraId="19F5F96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六、热熔牙胶充填技术参数</w:t>
            </w:r>
          </w:p>
          <w:p w14:paraId="3EC95B7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1.充电底座可实时监控电池温度；</w:t>
            </w:r>
          </w:p>
          <w:p w14:paraId="2C8EE87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2.显示屏可设置为适应左手或者右手操作；</w:t>
            </w:r>
          </w:p>
          <w:p w14:paraId="6980794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3.热熔牙胶充填机采用无线设计；</w:t>
            </w:r>
          </w:p>
          <w:p w14:paraId="51B832E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.热熔牙胶充填≥4种预设温度可选择：150℃、180℃、200℃、230℃。</w:t>
            </w:r>
          </w:p>
          <w:p w14:paraId="6F34E2B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.热熔牙胶充填机有≥7种预设温度可选择：90℃、120℃、150℃、180℃、200℃、230℃、250℃。</w:t>
            </w:r>
          </w:p>
          <w:p w14:paraId="0C226B9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.安全的保护机制，拥有3-10秒可调的加热保护时间，超时自动停止加热。无操作十分钟后将自动关机；</w:t>
            </w:r>
          </w:p>
          <w:p w14:paraId="5F8D78C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.按运行模式分类：连续运行</w:t>
            </w:r>
          </w:p>
          <w:p w14:paraId="0AD724E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.按防电击类型分类：Ⅱ类设备</w:t>
            </w:r>
          </w:p>
          <w:p w14:paraId="5CE60CC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.按防电击程度分类：B型应用部分</w:t>
            </w:r>
          </w:p>
          <w:p w14:paraId="0D6A100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.对进液的防护程度：普通器材(IPX0)</w:t>
            </w:r>
          </w:p>
          <w:p w14:paraId="073BB3A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.在与空气混合的易燃麻醉气或与氧或氧化亚氮混合的易燃麻醉气情况下使用时的安全程度：不能在有与空气混合的易燃麻醉气或与氧或氧化亚氮混合的易燃麻醉气情况下使用的设备。</w:t>
            </w:r>
          </w:p>
          <w:p w14:paraId="6CDA38D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.电池：可充电锂电池</w:t>
            </w:r>
          </w:p>
          <w:p w14:paraId="216C261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七、根管长度测量仪技术参数</w:t>
            </w:r>
          </w:p>
          <w:p w14:paraId="365148E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1.配有彩色液晶屏，多种颜色指示针在根管中的轨迹；</w:t>
            </w:r>
          </w:p>
          <w:p w14:paraId="37B9907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2.基于多频独立网络测量技术，自动校准保证测量的准确度；</w:t>
            </w:r>
          </w:p>
          <w:p w14:paraId="1398170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3.锉夹、唇挂钩和探针可高温高压消毒；</w:t>
            </w:r>
          </w:p>
          <w:p w14:paraId="5C68A52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4.电池可充电</w:t>
            </w:r>
          </w:p>
          <w:p w14:paraId="4565BC6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5.可折叠。</w:t>
            </w:r>
          </w:p>
          <w:p w14:paraId="75DAA8A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6.设定根尖止点功能，</w:t>
            </w:r>
            <w:r>
              <w:rPr>
                <w:rFonts w:hint="eastAsia" w:ascii="宋体" w:hAnsi="宋体" w:cs="宋体"/>
                <w:color w:val="auto"/>
                <w:sz w:val="21"/>
                <w:szCs w:val="21"/>
                <w:highlight w:val="none"/>
                <w:lang w:val="en-US" w:eastAsia="zh-CN"/>
              </w:rPr>
              <w:t>支持</w:t>
            </w:r>
            <w:r>
              <w:rPr>
                <w:rFonts w:hint="eastAsia" w:ascii="宋体" w:hAnsi="宋体" w:eastAsia="宋体" w:cs="宋体"/>
                <w:color w:val="auto"/>
                <w:sz w:val="21"/>
                <w:szCs w:val="21"/>
                <w:highlight w:val="none"/>
                <w:lang w:val="en-US" w:eastAsia="zh-CN"/>
              </w:rPr>
              <w:t>根据专业化需求设定，及时提醒测量距离</w:t>
            </w:r>
          </w:p>
          <w:p w14:paraId="5C3674C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7.设备安全分类</w:t>
            </w:r>
          </w:p>
          <w:p w14:paraId="344790A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8.按防电击类型分类：带内部电源的Ⅱ类设备；</w:t>
            </w:r>
          </w:p>
          <w:p w14:paraId="463B0B8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9.按防电击程度分类：BF型应用部分；</w:t>
            </w:r>
          </w:p>
          <w:p w14:paraId="1A81EF5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10.对进液防护程度：普通器材（IPX0）；</w:t>
            </w:r>
          </w:p>
          <w:p w14:paraId="540D378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11.按运行模式分类：连续运行设备。</w:t>
            </w:r>
          </w:p>
          <w:p w14:paraId="0CEB0C8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12.显示：≥4.5寸LCD屏</w:t>
            </w:r>
          </w:p>
          <w:p w14:paraId="7769C6F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13.声响提示：根管针在距离根尖小于2mm时会有报警声提示</w:t>
            </w:r>
          </w:p>
          <w:p w14:paraId="0AC6B57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八、光固化机技术参数</w:t>
            </w:r>
          </w:p>
          <w:p w14:paraId="521D2B4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1.≥3种工作模式：标准模式，高光强模式，超强模式。</w:t>
            </w:r>
          </w:p>
          <w:p w14:paraId="0B13EB9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2.时间设定：1秒，3秒，5秒，10秒，15秒，20秒。</w:t>
            </w:r>
          </w:p>
          <w:p w14:paraId="454C202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3.恒定光功率输出，不因电池电量下降而影响固化效果</w:t>
            </w:r>
          </w:p>
          <w:p w14:paraId="173DF9C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4.一次性充满电，光照10秒/次，可连续使用1000次以上，光照3秒/次，可连续使用1200次以上。</w:t>
            </w:r>
          </w:p>
          <w:p w14:paraId="475B99B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5.LED灯：三蓝一紫，宽谱固化</w:t>
            </w:r>
          </w:p>
          <w:p w14:paraId="27503EB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6.光照强度：≥1000-3000mW/cm²</w:t>
            </w:r>
          </w:p>
          <w:p w14:paraId="0BBE60C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7.360°旋转金属前接头，搭配聚光透镜，光学有效面积：38.5mm²-95mm²</w:t>
            </w:r>
          </w:p>
          <w:p w14:paraId="7EAA164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8.≥10W大功率蓝光LED灯</w:t>
            </w:r>
          </w:p>
          <w:p w14:paraId="4E1A720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9.机头厚≤8.8mm</w:t>
            </w:r>
          </w:p>
          <w:p w14:paraId="4C24B19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10.波长：≥385nm-515nm，宽谱固化</w:t>
            </w:r>
          </w:p>
          <w:p w14:paraId="6294FB2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11.运行模式：间歇运行设备</w:t>
            </w:r>
          </w:p>
          <w:p w14:paraId="306CA9F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12.使用期限：≥12年</w:t>
            </w:r>
          </w:p>
          <w:p w14:paraId="11BDBDA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九、手机（高速涡轮手机)手机技术参数</w:t>
            </w:r>
          </w:p>
          <w:p w14:paraId="1F01C43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1.工作气压：0.20MPa-0.30MPa</w:t>
            </w:r>
          </w:p>
          <w:p w14:paraId="0B778B1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2.转速：300</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000rpm-450</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000rpm</w:t>
            </w:r>
          </w:p>
          <w:p w14:paraId="0493E3E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3.声音：≤60dB</w:t>
            </w:r>
          </w:p>
          <w:p w14:paraId="4BAED54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4.雾化水压：≤0.3MPa</w:t>
            </w:r>
          </w:p>
          <w:p w14:paraId="32E9D12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5.工作水压：0.2MPa-0.23MPa</w:t>
            </w:r>
          </w:p>
          <w:p w14:paraId="1142AE1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6.水流量：≥90ml/min</w:t>
            </w:r>
          </w:p>
          <w:p w14:paraId="74CE48D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7.径向跳动：钨钢棒跳动值≤0.03mm</w:t>
            </w:r>
          </w:p>
          <w:p w14:paraId="1C2A19D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8.喷水方式：单点喷雾</w:t>
            </w:r>
          </w:p>
          <w:p w14:paraId="5B4E1B3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9.取针方式：按压式</w:t>
            </w:r>
          </w:p>
          <w:p w14:paraId="59FAB1F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10.机芯：开放式</w:t>
            </w:r>
          </w:p>
          <w:p w14:paraId="405B9F6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11.特点：手柄尾端排气</w:t>
            </w:r>
          </w:p>
          <w:p w14:paraId="645DE1D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12.消毒方式：可承受不超过134度高温高压蒸汽灭菌(可反复高温消毒)</w:t>
            </w:r>
          </w:p>
          <w:p w14:paraId="475EC4F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十、低速气动马达技术参数</w:t>
            </w:r>
          </w:p>
          <w:p w14:paraId="13B3E77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1.额定气压</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0.3Mpa</w:t>
            </w:r>
          </w:p>
          <w:p w14:paraId="188F620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2.水压</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≤0.2Mpa</w:t>
            </w:r>
          </w:p>
          <w:p w14:paraId="3542057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3.额定转速</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≥25000rpm</w:t>
            </w:r>
          </w:p>
          <w:p w14:paraId="09D4D75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4.方式</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外水道噪音</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&lt;70dB</w:t>
            </w:r>
          </w:p>
          <w:p w14:paraId="613B4AF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5.夹针方式</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卡簧式传动</w:t>
            </w:r>
          </w:p>
          <w:p w14:paraId="588D3A6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6.接口</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E型接口</w:t>
            </w:r>
          </w:p>
          <w:p w14:paraId="61F82ED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十一、牙科抛光机技术参数</w:t>
            </w:r>
          </w:p>
          <w:p w14:paraId="3D2842B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.手柄无绳</w:t>
            </w:r>
          </w:p>
          <w:p w14:paraId="40243B5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.一次性护牙弯角，避免交叉感染，≥7种不同形状的护牙弯角，满足多种治疗需求。</w:t>
            </w:r>
          </w:p>
          <w:p w14:paraId="362A615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支持</w:t>
            </w:r>
            <w:r>
              <w:rPr>
                <w:rFonts w:hint="eastAsia" w:ascii="宋体" w:hAnsi="宋体" w:eastAsia="宋体" w:cs="宋体"/>
                <w:color w:val="auto"/>
                <w:sz w:val="21"/>
                <w:szCs w:val="21"/>
                <w:highlight w:val="none"/>
                <w:lang w:val="en-US" w:eastAsia="zh-CN"/>
              </w:rPr>
              <w:t>拆卸消毒套筒，耐高温高压，有效防止交叉感染</w:t>
            </w:r>
          </w:p>
          <w:p w14:paraId="3D24B7A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.供电电源：可充电锂电池容量：≥750mAh</w:t>
            </w:r>
          </w:p>
          <w:p w14:paraId="286B572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.手柄按键控制模式：500rpm、1000rpm、1500rpm、2000rpm、3000rpm、4000rpm（≥6个固定速度档位）。</w:t>
            </w:r>
          </w:p>
          <w:p w14:paraId="0C9F111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十二、负压机（牙科电动抽吸系统）技术参数</w:t>
            </w:r>
          </w:p>
          <w:p w14:paraId="6EBE968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采用</w:t>
            </w:r>
            <w:r>
              <w:rPr>
                <w:rFonts w:hint="eastAsia" w:ascii="宋体" w:hAnsi="宋体" w:eastAsia="宋体" w:cs="宋体"/>
                <w:color w:val="auto"/>
                <w:sz w:val="21"/>
                <w:szCs w:val="21"/>
                <w:highlight w:val="none"/>
                <w:lang w:val="en-US" w:eastAsia="zh-CN"/>
              </w:rPr>
              <w:t>半干式变频电动抽吸系统，可处理颗粒及混合液体，提供持续</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负压抽吸。</w:t>
            </w:r>
          </w:p>
          <w:p w14:paraId="03D94BE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支持</w:t>
            </w:r>
            <w:r>
              <w:rPr>
                <w:rFonts w:hint="eastAsia" w:ascii="宋体" w:hAnsi="宋体" w:eastAsia="宋体" w:cs="宋体"/>
                <w:color w:val="auto"/>
                <w:sz w:val="21"/>
                <w:szCs w:val="21"/>
                <w:highlight w:val="none"/>
                <w:lang w:val="en-US" w:eastAsia="zh-CN"/>
              </w:rPr>
              <w:t>延时启停</w:t>
            </w:r>
          </w:p>
          <w:p w14:paraId="78B0B61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3.保障每台牙椅所需稳定抽吸量</w:t>
            </w:r>
          </w:p>
          <w:p w14:paraId="1207AE6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4.智能控制，实时显示设备运行状态，故障显示</w:t>
            </w:r>
          </w:p>
          <w:p w14:paraId="0F47E0A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5.内置的二步分离系统</w:t>
            </w:r>
          </w:p>
          <w:p w14:paraId="515404E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6.流量：≥1300L/min</w:t>
            </w:r>
          </w:p>
          <w:p w14:paraId="0E4CE49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7.噪音：≤56dB</w:t>
            </w:r>
          </w:p>
          <w:p w14:paraId="11EF291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8.真空度：≥-20Mbar</w:t>
            </w:r>
          </w:p>
          <w:p w14:paraId="0A7F2B3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十三、气冷干机技术参数</w:t>
            </w:r>
          </w:p>
          <w:p w14:paraId="02A00A8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1.适用流体：压缩空气/无腐蚀的空气</w:t>
            </w:r>
          </w:p>
          <w:p w14:paraId="135DD71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2.工作原理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单级预冷器、制冷、凝结、气水分离</w:t>
            </w:r>
          </w:p>
          <w:p w14:paraId="665BABE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3.空气设计处理量</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≤3.6Nm</w:t>
            </w:r>
            <w:r>
              <w:rPr>
                <w:rFonts w:hint="eastAsia" w:ascii="宋体" w:hAnsi="宋体" w:eastAsia="宋体" w:cs="宋体"/>
                <w:color w:val="auto"/>
                <w:sz w:val="21"/>
                <w:szCs w:val="21"/>
                <w:highlight w:val="none"/>
                <w:vertAlign w:val="superscript"/>
                <w:lang w:val="en-US" w:eastAsia="zh-CN"/>
              </w:rPr>
              <w:t>3</w:t>
            </w:r>
            <w:r>
              <w:rPr>
                <w:rFonts w:hint="eastAsia" w:ascii="宋体" w:hAnsi="宋体" w:eastAsia="宋体" w:cs="宋体"/>
                <w:color w:val="auto"/>
                <w:sz w:val="21"/>
                <w:szCs w:val="21"/>
                <w:highlight w:val="none"/>
                <w:lang w:val="en-US" w:eastAsia="zh-CN"/>
              </w:rPr>
              <w:t>/min</w:t>
            </w:r>
          </w:p>
          <w:p w14:paraId="70E01E3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4.入口空气压力</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0.5Mpa≤X≤1.0Mpa</w:t>
            </w:r>
          </w:p>
          <w:p w14:paraId="40C947A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5.入口空气温度≤45℃</w:t>
            </w:r>
          </w:p>
          <w:p w14:paraId="662009E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6.工作环境温度≤40℃</w:t>
            </w:r>
          </w:p>
          <w:p w14:paraId="4F43E0A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7.满负荷下压力损失≤0.02Mpa</w:t>
            </w:r>
          </w:p>
          <w:p w14:paraId="44AA595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8.出口空气温度10℃～20℃</w:t>
            </w:r>
          </w:p>
          <w:p w14:paraId="2741769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9.设计压力露点2℃～10℃</w:t>
            </w:r>
          </w:p>
          <w:p w14:paraId="27955B9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10.冷却散热方式</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风冷式</w:t>
            </w:r>
          </w:p>
          <w:p w14:paraId="78BC89D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11.风机尺寸数量≥Φ300*1台</w:t>
            </w:r>
          </w:p>
          <w:p w14:paraId="7BDC6DF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12.冷却风机风量≥2400m</w:t>
            </w:r>
            <w:r>
              <w:rPr>
                <w:rFonts w:hint="eastAsia" w:ascii="宋体" w:hAnsi="宋体" w:eastAsia="宋体" w:cs="宋体"/>
                <w:color w:val="auto"/>
                <w:sz w:val="21"/>
                <w:szCs w:val="21"/>
                <w:highlight w:val="none"/>
                <w:vertAlign w:val="superscript"/>
                <w:lang w:val="en-US" w:eastAsia="zh-CN"/>
              </w:rPr>
              <w:t>3</w:t>
            </w:r>
            <w:r>
              <w:rPr>
                <w:rFonts w:hint="eastAsia" w:ascii="宋体" w:hAnsi="宋体" w:eastAsia="宋体" w:cs="宋体"/>
                <w:color w:val="auto"/>
                <w:sz w:val="21"/>
                <w:szCs w:val="21"/>
                <w:highlight w:val="none"/>
                <w:lang w:val="en-US" w:eastAsia="zh-CN"/>
              </w:rPr>
              <w:t>/h</w:t>
            </w:r>
          </w:p>
          <w:p w14:paraId="43BFAD5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13.压缩机制冷量≥2500W</w:t>
            </w:r>
          </w:p>
          <w:p w14:paraId="4A844E8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14.控制方式</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按钮启动</w:t>
            </w:r>
          </w:p>
          <w:p w14:paraId="1B008BC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15.自动排污阀</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电子自动排水器</w:t>
            </w:r>
          </w:p>
          <w:p w14:paraId="7F607D5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十四、牙科手机注油机技术参数</w:t>
            </w:r>
          </w:p>
          <w:p w14:paraId="6F900C7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1.空气源压力：4kg/cm²-8kg/cm²</w:t>
            </w:r>
          </w:p>
          <w:p w14:paraId="47C996C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2.工作压力：2.2kg/cm²-2.5kg/cm²</w:t>
            </w:r>
          </w:p>
          <w:p w14:paraId="41A84DC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3.油罐容量：≥300ml</w:t>
            </w:r>
          </w:p>
          <w:p w14:paraId="2FB1840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十五、震荡机（圆盘振荡器）技术参数</w:t>
            </w:r>
          </w:p>
          <w:p w14:paraId="5083980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支持</w:t>
            </w:r>
            <w:r>
              <w:rPr>
                <w:rFonts w:hint="eastAsia" w:ascii="宋体" w:hAnsi="宋体" w:eastAsia="宋体" w:cs="宋体"/>
                <w:color w:val="auto"/>
                <w:sz w:val="21"/>
                <w:szCs w:val="21"/>
                <w:highlight w:val="none"/>
                <w:lang w:val="en-US" w:eastAsia="zh-CN"/>
              </w:rPr>
              <w:t>多档调节</w:t>
            </w:r>
          </w:p>
          <w:p w14:paraId="0B04308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十六、石膏修整机技术参数</w:t>
            </w:r>
          </w:p>
          <w:p w14:paraId="61AB174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1.水压≤2kg/cm</w:t>
            </w:r>
          </w:p>
          <w:p w14:paraId="4AA0447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2.电机转速：≥2800转/分钟</w:t>
            </w:r>
          </w:p>
          <w:p w14:paraId="1C39A3D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3.打磨角度</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&lt;30度，可打磨成75度</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105度不同角面。</w:t>
            </w:r>
          </w:p>
          <w:p w14:paraId="658ADB4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十七、空气压缩机（牙科电动无油空压机）技术参数</w:t>
            </w:r>
          </w:p>
          <w:p w14:paraId="3A4FAF9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.最大同时满足2台椅位使用</w:t>
            </w:r>
          </w:p>
          <w:p w14:paraId="1B42C2B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.工作环境：环境温度：5℃～40℃。相对湿度：≤95%，通风流量≥0.22m</w:t>
            </w:r>
            <w:r>
              <w:rPr>
                <w:rFonts w:hint="eastAsia" w:ascii="宋体" w:hAnsi="宋体" w:eastAsia="宋体" w:cs="宋体"/>
                <w:color w:val="auto"/>
                <w:sz w:val="21"/>
                <w:szCs w:val="21"/>
                <w:highlight w:val="none"/>
                <w:vertAlign w:val="superscript"/>
                <w:lang w:val="en-US" w:eastAsia="zh-CN"/>
              </w:rPr>
              <w:t>3</w:t>
            </w:r>
            <w:r>
              <w:rPr>
                <w:rFonts w:hint="eastAsia" w:ascii="宋体" w:hAnsi="宋体" w:eastAsia="宋体" w:cs="宋体"/>
                <w:color w:val="auto"/>
                <w:sz w:val="21"/>
                <w:szCs w:val="21"/>
                <w:highlight w:val="none"/>
                <w:lang w:val="en-US" w:eastAsia="zh-CN"/>
              </w:rPr>
              <w:t>/s</w:t>
            </w:r>
          </w:p>
          <w:p w14:paraId="0A19A60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.噪音：≤58DB（A）</w:t>
            </w:r>
          </w:p>
          <w:p w14:paraId="1E17F4D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.油含量：0（卫生级空气）</w:t>
            </w:r>
          </w:p>
          <w:p w14:paraId="3F81086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.储气罐容积</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≥30L</w:t>
            </w:r>
          </w:p>
          <w:p w14:paraId="01AB4A8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.压力范围：5~8Bar</w:t>
            </w:r>
          </w:p>
          <w:p w14:paraId="4F54723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.最大排气量</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≥152L/min（0公斤）</w:t>
            </w:r>
          </w:p>
          <w:p w14:paraId="77440EE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.额定流量@5bar：≥80L/min</w:t>
            </w:r>
          </w:p>
          <w:p w14:paraId="050FA67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.防腐内涂层</w:t>
            </w:r>
          </w:p>
          <w:p w14:paraId="2796F8C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.机头独立控制配备过载保护装置</w:t>
            </w:r>
          </w:p>
          <w:p w14:paraId="24856A1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十八、</w:t>
            </w:r>
            <w:r>
              <w:rPr>
                <w:rFonts w:hint="eastAsia" w:ascii="宋体" w:hAnsi="宋体" w:cs="宋体"/>
                <w:color w:val="auto"/>
                <w:sz w:val="21"/>
                <w:szCs w:val="21"/>
                <w:highlight w:val="none"/>
                <w:lang w:val="en-US" w:eastAsia="zh-CN"/>
              </w:rPr>
              <w:t>每台</w:t>
            </w:r>
            <w:r>
              <w:rPr>
                <w:rFonts w:hint="eastAsia" w:ascii="宋体" w:hAnsi="宋体" w:eastAsia="宋体" w:cs="宋体"/>
                <w:color w:val="auto"/>
                <w:sz w:val="21"/>
                <w:szCs w:val="21"/>
                <w:highlight w:val="none"/>
                <w:lang w:val="en-US" w:eastAsia="zh-CN"/>
              </w:rPr>
              <w:t>设备详细配置要求</w:t>
            </w:r>
          </w:p>
          <w:p w14:paraId="33DED8D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（一）口腔综合治疗台（连体式牙科治疗设备）</w:t>
            </w:r>
          </w:p>
          <w:p w14:paraId="2C2B8FD5">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1.牙科综合治疗机</w:t>
            </w:r>
            <w:r>
              <w:rPr>
                <w:rFonts w:hint="eastAsia" w:ascii="宋体" w:hAnsi="宋体" w:cs="宋体"/>
                <w:color w:val="auto"/>
                <w:sz w:val="21"/>
                <w:szCs w:val="21"/>
                <w:highlight w:val="none"/>
                <w:lang w:val="en-US" w:eastAsia="zh-CN"/>
              </w:rPr>
              <w:t>1台</w:t>
            </w:r>
          </w:p>
          <w:p w14:paraId="02CFA90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2.医生座椅1</w:t>
            </w:r>
            <w:r>
              <w:rPr>
                <w:rFonts w:hint="eastAsia" w:ascii="宋体" w:hAnsi="宋体" w:cs="宋体"/>
                <w:color w:val="auto"/>
                <w:sz w:val="21"/>
                <w:szCs w:val="21"/>
                <w:highlight w:val="none"/>
                <w:lang w:val="en-US" w:eastAsia="zh-CN"/>
              </w:rPr>
              <w:t>套</w:t>
            </w:r>
          </w:p>
          <w:p w14:paraId="7C1EE885">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3.口腔灯及配件</w:t>
            </w:r>
            <w:r>
              <w:rPr>
                <w:rFonts w:hint="eastAsia" w:ascii="宋体" w:hAnsi="宋体" w:cs="宋体"/>
                <w:color w:val="auto"/>
                <w:sz w:val="21"/>
                <w:szCs w:val="21"/>
                <w:highlight w:val="none"/>
                <w:lang w:val="en-US" w:eastAsia="zh-CN"/>
              </w:rPr>
              <w:t>1套</w:t>
            </w:r>
          </w:p>
          <w:p w14:paraId="6E9E7BE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4.灯柱及配件1套</w:t>
            </w:r>
          </w:p>
          <w:p w14:paraId="2FE8A63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5.储水瓶1</w:t>
            </w:r>
            <w:r>
              <w:rPr>
                <w:rFonts w:hint="eastAsia" w:ascii="宋体" w:hAnsi="宋体" w:cs="宋体"/>
                <w:color w:val="auto"/>
                <w:sz w:val="21"/>
                <w:szCs w:val="21"/>
                <w:highlight w:val="none"/>
                <w:lang w:val="en-US" w:eastAsia="zh-CN"/>
              </w:rPr>
              <w:t>个</w:t>
            </w:r>
          </w:p>
          <w:p w14:paraId="35356E3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6.三用枪喷头1个</w:t>
            </w:r>
          </w:p>
          <w:p w14:paraId="27C8192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7.冲盂水嘴1个</w:t>
            </w:r>
          </w:p>
          <w:p w14:paraId="6878CC5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8.漱口水嘴1个</w:t>
            </w:r>
          </w:p>
          <w:p w14:paraId="01F2F90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9.强吸嘴1个</w:t>
            </w:r>
          </w:p>
          <w:p w14:paraId="7CF4803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10.弱吸嘴1个</w:t>
            </w:r>
          </w:p>
          <w:p w14:paraId="4EA04992">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11.蓝色PU管</w:t>
            </w:r>
            <w:r>
              <w:rPr>
                <w:rFonts w:hint="eastAsia" w:ascii="宋体" w:hAnsi="宋体" w:cs="宋体"/>
                <w:color w:val="auto"/>
                <w:sz w:val="21"/>
                <w:szCs w:val="21"/>
                <w:highlight w:val="none"/>
                <w:lang w:val="en-US" w:eastAsia="zh-CN"/>
              </w:rPr>
              <w:t>1套</w:t>
            </w:r>
          </w:p>
          <w:p w14:paraId="6D3CD88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12.黑色PU管1套</w:t>
            </w:r>
          </w:p>
          <w:p w14:paraId="356E4E3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13.1/4球阀1套</w:t>
            </w:r>
          </w:p>
          <w:p w14:paraId="615A2930">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14.产品使用说明书</w:t>
            </w:r>
            <w:r>
              <w:rPr>
                <w:rFonts w:hint="eastAsia" w:ascii="宋体" w:hAnsi="宋体" w:cs="宋体"/>
                <w:color w:val="auto"/>
                <w:sz w:val="21"/>
                <w:szCs w:val="21"/>
                <w:highlight w:val="none"/>
                <w:lang w:val="en-US" w:eastAsia="zh-CN"/>
              </w:rPr>
              <w:t>1份</w:t>
            </w:r>
          </w:p>
          <w:p w14:paraId="5F79A3D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15.质量保证书1份</w:t>
            </w:r>
          </w:p>
          <w:p w14:paraId="70ECB7D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16.合格证1份</w:t>
            </w:r>
          </w:p>
          <w:p w14:paraId="009B6694">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17.痰盂盆</w:t>
            </w:r>
            <w:r>
              <w:rPr>
                <w:rFonts w:hint="eastAsia" w:ascii="宋体" w:hAnsi="宋体" w:cs="宋体"/>
                <w:color w:val="auto"/>
                <w:sz w:val="21"/>
                <w:szCs w:val="21"/>
                <w:highlight w:val="none"/>
                <w:lang w:val="en-US" w:eastAsia="zh-CN"/>
              </w:rPr>
              <w:t>1个</w:t>
            </w:r>
          </w:p>
          <w:p w14:paraId="50BE149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（二）喷砂机（牙科多功能气动喷砂机）</w:t>
            </w:r>
          </w:p>
          <w:p w14:paraId="6EAA43EF">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1.主机手柄</w:t>
            </w:r>
            <w:r>
              <w:rPr>
                <w:rFonts w:hint="eastAsia" w:ascii="宋体" w:hAnsi="宋体" w:cs="宋体"/>
                <w:color w:val="auto"/>
                <w:sz w:val="21"/>
                <w:szCs w:val="21"/>
                <w:highlight w:val="none"/>
                <w:lang w:val="en-US" w:eastAsia="zh-CN"/>
              </w:rPr>
              <w:t>1个</w:t>
            </w:r>
          </w:p>
          <w:p w14:paraId="670FF0A6">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2.喷头：龈上喷头龈下喷头</w:t>
            </w:r>
            <w:r>
              <w:rPr>
                <w:rFonts w:hint="eastAsia" w:ascii="宋体" w:hAnsi="宋体" w:cs="宋体"/>
                <w:color w:val="auto"/>
                <w:sz w:val="21"/>
                <w:szCs w:val="21"/>
                <w:highlight w:val="none"/>
                <w:lang w:val="en-US" w:eastAsia="zh-CN"/>
              </w:rPr>
              <w:t>1套</w:t>
            </w:r>
          </w:p>
          <w:p w14:paraId="22BD7AB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3.一次性龈下塑料喷嘴1个</w:t>
            </w:r>
          </w:p>
          <w:p w14:paraId="74934D9D">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4.清洁针</w:t>
            </w:r>
            <w:r>
              <w:rPr>
                <w:rFonts w:hint="eastAsia" w:ascii="宋体" w:hAnsi="宋体" w:cs="宋体"/>
                <w:color w:val="auto"/>
                <w:sz w:val="21"/>
                <w:szCs w:val="21"/>
                <w:highlight w:val="none"/>
                <w:lang w:val="en-US" w:eastAsia="zh-CN"/>
              </w:rPr>
              <w:t>1套</w:t>
            </w:r>
          </w:p>
          <w:p w14:paraId="61DBB89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5.清洁刷1套</w:t>
            </w:r>
          </w:p>
          <w:p w14:paraId="1B773F2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6.备用密封圈1套</w:t>
            </w:r>
          </w:p>
          <w:p w14:paraId="0013D7B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（三）牙科种植机</w:t>
            </w:r>
          </w:p>
          <w:p w14:paraId="09D210EC">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1.彩色大屏主机</w:t>
            </w:r>
            <w:r>
              <w:rPr>
                <w:rFonts w:hint="eastAsia" w:ascii="宋体" w:hAnsi="宋体" w:cs="宋体"/>
                <w:color w:val="auto"/>
                <w:sz w:val="21"/>
                <w:szCs w:val="21"/>
                <w:highlight w:val="none"/>
                <w:lang w:val="en-US" w:eastAsia="zh-CN"/>
              </w:rPr>
              <w:t>1台</w:t>
            </w:r>
          </w:p>
          <w:p w14:paraId="09CB20C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2.带光电机1台</w:t>
            </w:r>
          </w:p>
          <w:p w14:paraId="1395D0D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3.带光弯手机1台</w:t>
            </w:r>
          </w:p>
          <w:p w14:paraId="1CC44AD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4.多功能脚踏1台</w:t>
            </w:r>
          </w:p>
          <w:p w14:paraId="145C0464">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5.一次性口腔输水管</w:t>
            </w:r>
            <w:r>
              <w:rPr>
                <w:rFonts w:hint="eastAsia" w:ascii="宋体" w:hAnsi="宋体" w:cs="宋体"/>
                <w:color w:val="auto"/>
                <w:sz w:val="21"/>
                <w:szCs w:val="21"/>
                <w:highlight w:val="none"/>
                <w:lang w:val="en-US" w:eastAsia="zh-CN"/>
              </w:rPr>
              <w:t>1套</w:t>
            </w:r>
          </w:p>
          <w:p w14:paraId="7E321BB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（四）根管预备机</w:t>
            </w:r>
          </w:p>
          <w:p w14:paraId="43B8366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1.主机1台</w:t>
            </w:r>
          </w:p>
          <w:p w14:paraId="3A61579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2.弯机头1台</w:t>
            </w:r>
          </w:p>
          <w:p w14:paraId="537487B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3.底座1台</w:t>
            </w:r>
          </w:p>
          <w:p w14:paraId="7D6FABAA">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4.注油嘴</w:t>
            </w:r>
            <w:r>
              <w:rPr>
                <w:rFonts w:hint="eastAsia" w:ascii="宋体" w:hAnsi="宋体" w:cs="宋体"/>
                <w:color w:val="auto"/>
                <w:sz w:val="21"/>
                <w:szCs w:val="21"/>
                <w:highlight w:val="none"/>
                <w:lang w:val="en-US" w:eastAsia="zh-CN"/>
              </w:rPr>
              <w:t>1个</w:t>
            </w:r>
          </w:p>
          <w:p w14:paraId="422DC876">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5.电源适配器</w:t>
            </w:r>
            <w:r>
              <w:rPr>
                <w:rFonts w:hint="eastAsia" w:ascii="宋体" w:hAnsi="宋体" w:cs="宋体"/>
                <w:color w:val="auto"/>
                <w:sz w:val="21"/>
                <w:szCs w:val="21"/>
                <w:highlight w:val="none"/>
                <w:lang w:val="en-US" w:eastAsia="zh-CN"/>
              </w:rPr>
              <w:t>1套</w:t>
            </w:r>
          </w:p>
          <w:p w14:paraId="671D680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（五）热熔牙胶充填机</w:t>
            </w:r>
          </w:p>
          <w:p w14:paraId="69BBAF9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1.加热充填手柄1台</w:t>
            </w:r>
          </w:p>
          <w:p w14:paraId="1B9AE66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2.充电底座1台</w:t>
            </w:r>
          </w:p>
          <w:p w14:paraId="61AEABD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3.电源适配器1个</w:t>
            </w:r>
          </w:p>
          <w:p w14:paraId="02923BE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4.工作尖1台</w:t>
            </w:r>
          </w:p>
          <w:p w14:paraId="6BD8AB5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5.工作尖隔热套1个</w:t>
            </w:r>
          </w:p>
          <w:p w14:paraId="4F7B812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6.注射充填手柄1台</w:t>
            </w:r>
          </w:p>
          <w:p w14:paraId="65535E9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7.充电底座1台</w:t>
            </w:r>
          </w:p>
          <w:p w14:paraId="755280C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8.电源适配器1个</w:t>
            </w:r>
          </w:p>
          <w:p w14:paraId="1F36DFCC">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9.注胶针</w:t>
            </w:r>
            <w:r>
              <w:rPr>
                <w:rFonts w:hint="eastAsia" w:ascii="宋体" w:hAnsi="宋体" w:cs="宋体"/>
                <w:color w:val="auto"/>
                <w:sz w:val="21"/>
                <w:szCs w:val="21"/>
                <w:highlight w:val="none"/>
                <w:lang w:val="en-US" w:eastAsia="zh-CN"/>
              </w:rPr>
              <w:t>1个</w:t>
            </w:r>
          </w:p>
          <w:p w14:paraId="55CF4207">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10.隔热保护罩</w:t>
            </w:r>
            <w:r>
              <w:rPr>
                <w:rFonts w:hint="eastAsia" w:ascii="宋体" w:hAnsi="宋体" w:cs="宋体"/>
                <w:color w:val="auto"/>
                <w:sz w:val="21"/>
                <w:szCs w:val="21"/>
                <w:highlight w:val="none"/>
                <w:lang w:val="en-US" w:eastAsia="zh-CN"/>
              </w:rPr>
              <w:t>1个</w:t>
            </w:r>
          </w:p>
          <w:p w14:paraId="6DFB82C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11.扳手1个</w:t>
            </w:r>
          </w:p>
          <w:p w14:paraId="465AD242">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12.清洁刷</w:t>
            </w:r>
            <w:r>
              <w:rPr>
                <w:rFonts w:hint="eastAsia" w:ascii="宋体" w:hAnsi="宋体" w:cs="宋体"/>
                <w:color w:val="auto"/>
                <w:sz w:val="21"/>
                <w:szCs w:val="21"/>
                <w:highlight w:val="none"/>
                <w:lang w:val="en-US" w:eastAsia="zh-CN"/>
              </w:rPr>
              <w:t>1套</w:t>
            </w:r>
          </w:p>
          <w:p w14:paraId="16A9B8C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（六）根管长度测量仪</w:t>
            </w:r>
          </w:p>
          <w:p w14:paraId="44D73D1D">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w:t>
            </w:r>
            <w:r>
              <w:rPr>
                <w:rFonts w:hint="eastAsia" w:ascii="宋体" w:hAnsi="宋体" w:cs="宋体"/>
                <w:color w:val="auto"/>
                <w:sz w:val="21"/>
                <w:szCs w:val="21"/>
                <w:highlight w:val="none"/>
                <w:lang w:val="en-US" w:eastAsia="zh-CN"/>
              </w:rPr>
              <w:t>1台</w:t>
            </w:r>
          </w:p>
          <w:p w14:paraId="422E88FB">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2.测量线</w:t>
            </w:r>
            <w:r>
              <w:rPr>
                <w:rFonts w:hint="eastAsia" w:ascii="宋体" w:hAnsi="宋体" w:cs="宋体"/>
                <w:color w:val="auto"/>
                <w:sz w:val="21"/>
                <w:szCs w:val="21"/>
                <w:highlight w:val="none"/>
                <w:lang w:val="en-US" w:eastAsia="zh-CN"/>
              </w:rPr>
              <w:t>1套</w:t>
            </w:r>
          </w:p>
          <w:p w14:paraId="78743D4D">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3.锉夹</w:t>
            </w:r>
            <w:r>
              <w:rPr>
                <w:rFonts w:hint="eastAsia" w:ascii="宋体" w:hAnsi="宋体" w:cs="宋体"/>
                <w:color w:val="auto"/>
                <w:sz w:val="21"/>
                <w:szCs w:val="21"/>
                <w:highlight w:val="none"/>
                <w:lang w:val="en-US" w:eastAsia="zh-CN"/>
              </w:rPr>
              <w:t>1个</w:t>
            </w:r>
          </w:p>
          <w:p w14:paraId="13DE0ED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4.唇挂钩1个</w:t>
            </w:r>
          </w:p>
          <w:p w14:paraId="4201AEA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5.探针1个</w:t>
            </w:r>
          </w:p>
          <w:p w14:paraId="6399388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6.电源适配器1个</w:t>
            </w:r>
          </w:p>
          <w:p w14:paraId="5A6F887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7.测试器1个</w:t>
            </w:r>
          </w:p>
          <w:p w14:paraId="01FD5E07">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8.使用说明书</w:t>
            </w:r>
            <w:r>
              <w:rPr>
                <w:rFonts w:hint="eastAsia" w:ascii="宋体" w:hAnsi="宋体" w:cs="宋体"/>
                <w:color w:val="auto"/>
                <w:sz w:val="21"/>
                <w:szCs w:val="21"/>
                <w:highlight w:val="none"/>
                <w:lang w:val="en-US" w:eastAsia="zh-CN"/>
              </w:rPr>
              <w:t>1份</w:t>
            </w:r>
          </w:p>
          <w:p w14:paraId="2FFD6BB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9.合格证1份</w:t>
            </w:r>
          </w:p>
          <w:p w14:paraId="554C870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10.保修卡1份</w:t>
            </w:r>
          </w:p>
          <w:p w14:paraId="5047BEE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11.根测常见故障卡1份</w:t>
            </w:r>
          </w:p>
          <w:p w14:paraId="54E9CA2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12.根尖止点提示卡1份</w:t>
            </w:r>
          </w:p>
          <w:p w14:paraId="5C64A29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（七）光固化机</w:t>
            </w:r>
          </w:p>
          <w:p w14:paraId="52B2A865">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w:t>
            </w:r>
            <w:r>
              <w:rPr>
                <w:rFonts w:hint="eastAsia" w:ascii="宋体" w:hAnsi="宋体" w:cs="宋体"/>
                <w:color w:val="auto"/>
                <w:sz w:val="21"/>
                <w:szCs w:val="21"/>
                <w:highlight w:val="none"/>
                <w:lang w:val="en-US" w:eastAsia="zh-CN"/>
              </w:rPr>
              <w:t>1台</w:t>
            </w:r>
          </w:p>
          <w:p w14:paraId="730DE22A">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2.前接头</w:t>
            </w:r>
            <w:r>
              <w:rPr>
                <w:rFonts w:hint="eastAsia" w:ascii="宋体" w:hAnsi="宋体" w:cs="宋体"/>
                <w:color w:val="auto"/>
                <w:sz w:val="21"/>
                <w:szCs w:val="21"/>
                <w:highlight w:val="none"/>
                <w:lang w:val="en-US" w:eastAsia="zh-CN"/>
              </w:rPr>
              <w:t>1个</w:t>
            </w:r>
          </w:p>
          <w:p w14:paraId="3641B20F">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3.遮光片</w:t>
            </w:r>
            <w:r>
              <w:rPr>
                <w:rFonts w:hint="eastAsia" w:ascii="宋体" w:hAnsi="宋体" w:cs="宋体"/>
                <w:color w:val="auto"/>
                <w:sz w:val="21"/>
                <w:szCs w:val="21"/>
                <w:highlight w:val="none"/>
                <w:lang w:val="en-US" w:eastAsia="zh-CN"/>
              </w:rPr>
              <w:t>1套</w:t>
            </w:r>
          </w:p>
          <w:p w14:paraId="5861D35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4.点固化头1个</w:t>
            </w:r>
          </w:p>
          <w:p w14:paraId="07F9EAD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5.电源适配器1个</w:t>
            </w:r>
          </w:p>
          <w:p w14:paraId="67704F0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6.充电座1个</w:t>
            </w:r>
          </w:p>
          <w:p w14:paraId="5984E70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7.高速手机（高速涡轮手机)1个</w:t>
            </w:r>
          </w:p>
          <w:p w14:paraId="2EF2D68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8.高速手机1个</w:t>
            </w:r>
          </w:p>
          <w:p w14:paraId="6E2F090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9.后盖扳手1个</w:t>
            </w:r>
          </w:p>
          <w:p w14:paraId="636F3F38">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10.产品说明书</w:t>
            </w:r>
            <w:r>
              <w:rPr>
                <w:rFonts w:hint="eastAsia" w:ascii="宋体" w:hAnsi="宋体" w:cs="宋体"/>
                <w:color w:val="auto"/>
                <w:sz w:val="21"/>
                <w:szCs w:val="21"/>
                <w:highlight w:val="none"/>
                <w:lang w:val="en-US" w:eastAsia="zh-CN"/>
              </w:rPr>
              <w:t>1份</w:t>
            </w:r>
          </w:p>
          <w:p w14:paraId="1D9129C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11.产品合格证1份</w:t>
            </w:r>
          </w:p>
          <w:p w14:paraId="52DCC0C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（八）低速气动马达</w:t>
            </w:r>
          </w:p>
          <w:p w14:paraId="545881B1">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1.马达</w:t>
            </w:r>
            <w:r>
              <w:rPr>
                <w:rFonts w:hint="eastAsia" w:ascii="宋体" w:hAnsi="宋体" w:cs="宋体"/>
                <w:color w:val="auto"/>
                <w:sz w:val="21"/>
                <w:szCs w:val="21"/>
                <w:highlight w:val="none"/>
                <w:lang w:val="en-US" w:eastAsia="zh-CN"/>
              </w:rPr>
              <w:t>1台</w:t>
            </w:r>
          </w:p>
          <w:p w14:paraId="039529F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2.弯机1台</w:t>
            </w:r>
          </w:p>
          <w:p w14:paraId="25EF2CA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3.直机1台</w:t>
            </w:r>
          </w:p>
          <w:p w14:paraId="710ED8E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4.弯机前盖开盖器1台</w:t>
            </w:r>
          </w:p>
          <w:p w14:paraId="698D8EC3">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5.外置水管配件</w:t>
            </w:r>
            <w:r>
              <w:rPr>
                <w:rFonts w:hint="eastAsia" w:ascii="宋体" w:hAnsi="宋体" w:cs="宋体"/>
                <w:color w:val="auto"/>
                <w:sz w:val="21"/>
                <w:szCs w:val="21"/>
                <w:highlight w:val="none"/>
                <w:lang w:val="en-US" w:eastAsia="zh-CN"/>
              </w:rPr>
              <w:t>1套</w:t>
            </w:r>
          </w:p>
          <w:p w14:paraId="413857C3">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6.产品说明书</w:t>
            </w:r>
            <w:r>
              <w:rPr>
                <w:rFonts w:hint="eastAsia" w:ascii="宋体" w:hAnsi="宋体" w:cs="宋体"/>
                <w:color w:val="auto"/>
                <w:sz w:val="21"/>
                <w:szCs w:val="21"/>
                <w:highlight w:val="none"/>
                <w:lang w:val="en-US" w:eastAsia="zh-CN"/>
              </w:rPr>
              <w:t>1份</w:t>
            </w:r>
          </w:p>
          <w:p w14:paraId="0937AF7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7.产品合格证1份</w:t>
            </w:r>
          </w:p>
          <w:p w14:paraId="4DC5FBA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（九）牙科抛光机</w:t>
            </w:r>
          </w:p>
          <w:p w14:paraId="30E4AAE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1.充电底座1台</w:t>
            </w:r>
          </w:p>
          <w:p w14:paraId="6619550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2.手柄1个</w:t>
            </w:r>
          </w:p>
          <w:p w14:paraId="3D1FE24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3.手柄外套筒1个</w:t>
            </w:r>
          </w:p>
          <w:p w14:paraId="3EC930F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4.电源适配器1个</w:t>
            </w:r>
          </w:p>
          <w:p w14:paraId="5596184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5.护牙弯机1个</w:t>
            </w:r>
          </w:p>
          <w:p w14:paraId="554A9DE9">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6.套筒O型圈</w:t>
            </w:r>
            <w:r>
              <w:rPr>
                <w:rFonts w:hint="eastAsia" w:ascii="宋体" w:hAnsi="宋体" w:cs="宋体"/>
                <w:color w:val="auto"/>
                <w:sz w:val="21"/>
                <w:szCs w:val="21"/>
                <w:highlight w:val="none"/>
                <w:lang w:val="en-US" w:eastAsia="zh-CN"/>
              </w:rPr>
              <w:t>1套</w:t>
            </w:r>
          </w:p>
          <w:p w14:paraId="1381A89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7.手柄0型圈1套</w:t>
            </w:r>
          </w:p>
          <w:p w14:paraId="6900C30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8.说明书1份</w:t>
            </w:r>
          </w:p>
          <w:p w14:paraId="5E78C99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9.合格证1份</w:t>
            </w:r>
          </w:p>
          <w:p w14:paraId="75ABE74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10.保修卡1份</w:t>
            </w:r>
          </w:p>
          <w:p w14:paraId="31BB80D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（十）负压机（牙科电动抽吸系统）</w:t>
            </w:r>
          </w:p>
          <w:p w14:paraId="267079A8">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1.气环真空泵</w:t>
            </w:r>
            <w:r>
              <w:rPr>
                <w:rFonts w:hint="eastAsia" w:ascii="宋体" w:hAnsi="宋体" w:cs="宋体"/>
                <w:color w:val="auto"/>
                <w:sz w:val="21"/>
                <w:szCs w:val="21"/>
                <w:highlight w:val="none"/>
                <w:lang w:val="en-US" w:eastAsia="zh-CN"/>
              </w:rPr>
              <w:t>1台</w:t>
            </w:r>
          </w:p>
          <w:p w14:paraId="11FAED2B">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2.控制系统</w:t>
            </w:r>
            <w:r>
              <w:rPr>
                <w:rFonts w:hint="eastAsia" w:ascii="宋体" w:hAnsi="宋体" w:cs="宋体"/>
                <w:color w:val="auto"/>
                <w:sz w:val="21"/>
                <w:szCs w:val="21"/>
                <w:highlight w:val="none"/>
                <w:lang w:val="en-US" w:eastAsia="zh-CN"/>
              </w:rPr>
              <w:t>1套</w:t>
            </w:r>
          </w:p>
          <w:p w14:paraId="7137C4C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3.压力传感器1台</w:t>
            </w:r>
          </w:p>
          <w:p w14:paraId="562BE19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4.钣金组合件1套</w:t>
            </w:r>
          </w:p>
          <w:p w14:paraId="0AB7D90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5.空气开关1套</w:t>
            </w:r>
          </w:p>
          <w:p w14:paraId="4B9B694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6.垫脚1个</w:t>
            </w:r>
          </w:p>
          <w:p w14:paraId="71505F8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7.出气管1套</w:t>
            </w:r>
          </w:p>
          <w:p w14:paraId="53B158F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8.排污管1套</w:t>
            </w:r>
          </w:p>
          <w:p w14:paraId="63671A2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9.离心分离系统1套</w:t>
            </w:r>
          </w:p>
          <w:p w14:paraId="1643468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（十一）空气冷干机</w:t>
            </w:r>
          </w:p>
          <w:p w14:paraId="344B420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1.压缩机1台</w:t>
            </w:r>
          </w:p>
          <w:p w14:paraId="68B1FF37">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2总成</w:t>
            </w:r>
            <w:r>
              <w:rPr>
                <w:rFonts w:hint="eastAsia" w:ascii="宋体" w:hAnsi="宋体" w:cs="宋体"/>
                <w:color w:val="auto"/>
                <w:sz w:val="21"/>
                <w:szCs w:val="21"/>
                <w:highlight w:val="none"/>
                <w:lang w:val="en-US" w:eastAsia="zh-CN"/>
              </w:rPr>
              <w:t>1套</w:t>
            </w:r>
          </w:p>
          <w:p w14:paraId="47FABAA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3.蒸发器1台</w:t>
            </w:r>
          </w:p>
          <w:p w14:paraId="54B5A8F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4.冷凝器1台</w:t>
            </w:r>
          </w:p>
          <w:p w14:paraId="72C60104">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5.压力开关</w:t>
            </w:r>
            <w:r>
              <w:rPr>
                <w:rFonts w:hint="eastAsia" w:ascii="宋体" w:hAnsi="宋体" w:cs="宋体"/>
                <w:color w:val="auto"/>
                <w:sz w:val="21"/>
                <w:szCs w:val="21"/>
                <w:highlight w:val="none"/>
                <w:lang w:val="en-US" w:eastAsia="zh-CN"/>
              </w:rPr>
              <w:t>1套</w:t>
            </w:r>
          </w:p>
          <w:p w14:paraId="3746285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6.汽液分离器1台</w:t>
            </w:r>
          </w:p>
          <w:p w14:paraId="1459F4A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7.电子排水阀1个</w:t>
            </w:r>
          </w:p>
          <w:p w14:paraId="4E3D197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8.风机1台</w:t>
            </w:r>
          </w:p>
          <w:p w14:paraId="76A8681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9.运行指示灯1个</w:t>
            </w:r>
          </w:p>
          <w:p w14:paraId="3F5199C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10.启动按钮指示灯1个</w:t>
            </w:r>
          </w:p>
          <w:p w14:paraId="262BD44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11.冷媒高低压表1个</w:t>
            </w:r>
          </w:p>
          <w:p w14:paraId="73152EF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12.机箱1台</w:t>
            </w:r>
          </w:p>
          <w:p w14:paraId="6C7F3E6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13.接触器1个</w:t>
            </w:r>
          </w:p>
          <w:p w14:paraId="316A115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（十二）牙科手机注油机</w:t>
            </w:r>
          </w:p>
          <w:p w14:paraId="0F1D4494">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w:t>
            </w:r>
            <w:r>
              <w:rPr>
                <w:rFonts w:hint="eastAsia" w:ascii="宋体" w:hAnsi="宋体" w:cs="宋体"/>
                <w:color w:val="auto"/>
                <w:sz w:val="21"/>
                <w:szCs w:val="21"/>
                <w:highlight w:val="none"/>
                <w:lang w:val="en-US" w:eastAsia="zh-CN"/>
              </w:rPr>
              <w:t>1台</w:t>
            </w:r>
          </w:p>
          <w:p w14:paraId="499DEA23">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2.产品说明书</w:t>
            </w:r>
            <w:r>
              <w:rPr>
                <w:rFonts w:hint="eastAsia" w:ascii="宋体" w:hAnsi="宋体" w:cs="宋体"/>
                <w:color w:val="auto"/>
                <w:sz w:val="21"/>
                <w:szCs w:val="21"/>
                <w:highlight w:val="none"/>
                <w:lang w:val="en-US" w:eastAsia="zh-CN"/>
              </w:rPr>
              <w:t>1份</w:t>
            </w:r>
          </w:p>
          <w:p w14:paraId="660B688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3.保修卡1份</w:t>
            </w:r>
          </w:p>
          <w:p w14:paraId="509126D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（十三）震荡机（圆盘振荡器）</w:t>
            </w:r>
          </w:p>
          <w:p w14:paraId="766A5A6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1.主机1台</w:t>
            </w:r>
          </w:p>
          <w:p w14:paraId="6FEC545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2.产品说明书1份</w:t>
            </w:r>
          </w:p>
          <w:p w14:paraId="1441998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3.保修卡1份</w:t>
            </w:r>
          </w:p>
          <w:p w14:paraId="4A575F5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（十四）石膏修整机</w:t>
            </w:r>
          </w:p>
          <w:p w14:paraId="75589D7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1.主机1台</w:t>
            </w:r>
          </w:p>
          <w:p w14:paraId="7057534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2.产品说明书1份</w:t>
            </w:r>
          </w:p>
          <w:p w14:paraId="1C850D9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3.保修卡1份</w:t>
            </w:r>
          </w:p>
          <w:p w14:paraId="4B59C9B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（十五）空气压缩机（牙科电动无油空压机）</w:t>
            </w:r>
          </w:p>
          <w:p w14:paraId="116A7A5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1.无油空压机主机1台</w:t>
            </w:r>
          </w:p>
          <w:p w14:paraId="3A9FD0D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2.空气过滤器1台</w:t>
            </w:r>
          </w:p>
          <w:p w14:paraId="4D99972C">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3.PU气管</w:t>
            </w:r>
            <w:r>
              <w:rPr>
                <w:rFonts w:hint="eastAsia" w:ascii="宋体" w:hAnsi="宋体" w:cs="宋体"/>
                <w:color w:val="auto"/>
                <w:sz w:val="21"/>
                <w:szCs w:val="21"/>
                <w:highlight w:val="none"/>
                <w:lang w:val="en-US" w:eastAsia="zh-CN"/>
              </w:rPr>
              <w:t>1套</w:t>
            </w:r>
          </w:p>
          <w:p w14:paraId="44BD01F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4.产品使用说明书1份</w:t>
            </w:r>
          </w:p>
          <w:p w14:paraId="53C7610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5.保修卡、合格证1份</w:t>
            </w:r>
          </w:p>
          <w:p w14:paraId="4A532BC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6.750W无油活塞机头1台</w:t>
            </w:r>
          </w:p>
          <w:p w14:paraId="29A8C33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7.储气罐1台</w:t>
            </w:r>
          </w:p>
          <w:p w14:paraId="6CA8AAC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8.压力开关1套</w:t>
            </w:r>
          </w:p>
          <w:p w14:paraId="67A2FCB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9.过滤调压阀1台</w:t>
            </w:r>
          </w:p>
          <w:p w14:paraId="40DE5FE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10.安全阀1</w:t>
            </w:r>
            <w:r>
              <w:rPr>
                <w:rFonts w:hint="eastAsia" w:ascii="宋体" w:hAnsi="宋体" w:cs="宋体"/>
                <w:color w:val="auto"/>
                <w:sz w:val="21"/>
                <w:szCs w:val="21"/>
                <w:highlight w:val="none"/>
                <w:lang w:val="en-US" w:eastAsia="zh-CN"/>
              </w:rPr>
              <w:t>个</w:t>
            </w:r>
          </w:p>
          <w:p w14:paraId="1531980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11.压力表1个</w:t>
            </w:r>
          </w:p>
        </w:tc>
        <w:tc>
          <w:tcPr>
            <w:tcW w:w="1100" w:type="dxa"/>
            <w:tcBorders>
              <w:left w:val="single" w:color="auto" w:sz="4" w:space="0"/>
            </w:tcBorders>
            <w:shd w:val="clear" w:color="auto" w:fill="auto"/>
            <w:vAlign w:val="center"/>
          </w:tcPr>
          <w:p w14:paraId="007A428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30.744</w:t>
            </w:r>
          </w:p>
        </w:tc>
      </w:tr>
      <w:tr w14:paraId="6E7E0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2D2DA5A7">
            <w:pPr>
              <w:numPr>
                <w:ilvl w:val="0"/>
                <w:numId w:val="10"/>
              </w:numPr>
              <w:snapToGrid w:val="0"/>
              <w:spacing w:line="360" w:lineRule="auto"/>
              <w:jc w:val="center"/>
              <w:rPr>
                <w:rFonts w:hint="eastAsia" w:ascii="宋体" w:hAnsi="宋体" w:eastAsia="宋体" w:cs="宋体"/>
                <w:color w:val="auto"/>
                <w:sz w:val="21"/>
                <w:szCs w:val="21"/>
                <w:highlight w:val="none"/>
              </w:rPr>
            </w:pPr>
          </w:p>
        </w:tc>
        <w:tc>
          <w:tcPr>
            <w:tcW w:w="850" w:type="dxa"/>
            <w:shd w:val="clear" w:color="auto" w:fill="auto"/>
            <w:vAlign w:val="center"/>
          </w:tcPr>
          <w:p w14:paraId="79036F6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显微镜（手术显微镜）</w:t>
            </w:r>
          </w:p>
        </w:tc>
        <w:tc>
          <w:tcPr>
            <w:tcW w:w="500" w:type="dxa"/>
            <w:tcBorders>
              <w:right w:val="single" w:color="auto" w:sz="4" w:space="0"/>
            </w:tcBorders>
            <w:shd w:val="clear" w:color="auto" w:fill="auto"/>
            <w:vAlign w:val="center"/>
          </w:tcPr>
          <w:p w14:paraId="13814E6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gridSpan w:val="2"/>
            <w:tcBorders>
              <w:left w:val="single" w:color="auto" w:sz="4" w:space="0"/>
              <w:right w:val="single" w:color="auto" w:sz="4" w:space="0"/>
            </w:tcBorders>
            <w:vAlign w:val="center"/>
          </w:tcPr>
          <w:p w14:paraId="5191A01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台</w:t>
            </w:r>
          </w:p>
        </w:tc>
        <w:tc>
          <w:tcPr>
            <w:tcW w:w="5721" w:type="dxa"/>
            <w:tcBorders>
              <w:left w:val="single" w:color="auto" w:sz="4" w:space="0"/>
              <w:right w:val="single" w:color="auto" w:sz="4" w:space="0"/>
            </w:tcBorders>
            <w:vAlign w:val="center"/>
          </w:tcPr>
          <w:p w14:paraId="0ACB9F18">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一、功能性参数要求：</w:t>
            </w:r>
          </w:p>
          <w:p w14:paraId="1FD4C124">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▲1.变倍方式：无级变倍放大系统，其倍率因子Y=0.4×-2.4×</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无视野中断。转鼓变倍系统，在调节放大倍数时会出现视野中断无级/连续变倍系统。</w:t>
            </w:r>
          </w:p>
          <w:p w14:paraId="76B8482E">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▲2.镜片+复消色差+多层光学镀膜设计。目镜上方配有圆形可调瞳距调节盘，瞳距可调范围52mm-75mm</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每个刻度精确度1mm</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眼杯高度可调。</w:t>
            </w:r>
          </w:p>
          <w:p w14:paraId="618BD037">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平衡臂系统采用气弹簧，具有弹簧主动平衡+阻尼双调节平衡臂系统，可在任意位置悬停。旋转装置，在医生坐姿不变的情况下，双目镜筒保持水平观察位置的同时主镜可向左或向右倾摆落地式支架，悬挂臂长度≥600mm</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最大旋转角度≥300°</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悬挂臂升降范围≥600mm。支撑臂旋转角度360°</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支架高度≥1735mm。镜头支架承重≥7.5</w:t>
            </w:r>
            <w:r>
              <w:rPr>
                <w:rFonts w:hint="eastAsia" w:ascii="宋体" w:hAnsi="宋体" w:cs="宋体"/>
                <w:color w:val="auto"/>
                <w:sz w:val="21"/>
                <w:szCs w:val="21"/>
                <w:highlight w:val="none"/>
                <w:lang w:val="en-US" w:eastAsia="zh-CN"/>
              </w:rPr>
              <w:t>kg，</w:t>
            </w:r>
            <w:r>
              <w:rPr>
                <w:rFonts w:hint="default" w:ascii="宋体" w:hAnsi="宋体" w:eastAsia="宋体" w:cs="宋体"/>
                <w:color w:val="auto"/>
                <w:sz w:val="21"/>
                <w:szCs w:val="21"/>
                <w:highlight w:val="none"/>
                <w:lang w:val="en-US" w:eastAsia="zh-CN"/>
              </w:rPr>
              <w:t>具有最低限位功能。采用前置式人体工程学手柄。</w:t>
            </w:r>
          </w:p>
          <w:p w14:paraId="4BEFF8B1">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▲4.≥270mm工作范围变焦物镜，270mm工作范围：F=190-460mm</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覆盖整个口腔深度，当治疗区域不在焦点位置，无需移动显微镜或改变工作位置，只需要调节变焦物镜，就能快速实现对焦清晰。</w:t>
            </w:r>
          </w:p>
          <w:p w14:paraId="6202C292">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▲5.一体集成四合一4K模块，一体集成45°光学延长器+分</w:t>
            </w:r>
          </w:p>
          <w:p w14:paraId="5A932590">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光器+旋转环+4K高清摄录像模块。主镜设多功能中央控制键，可一键电动控制滤镜切换及光斑调节</w:t>
            </w:r>
            <w:r>
              <w:rPr>
                <w:rFonts w:hint="eastAsia" w:ascii="宋体" w:hAnsi="宋体" w:cs="宋体"/>
                <w:color w:val="auto"/>
                <w:sz w:val="21"/>
                <w:szCs w:val="21"/>
                <w:highlight w:val="none"/>
                <w:lang w:val="en-US" w:eastAsia="zh-CN"/>
              </w:rPr>
              <w:t>。</w:t>
            </w:r>
          </w:p>
          <w:p w14:paraId="3073E3A8">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▲6.光斑大小无级可调。</w:t>
            </w:r>
          </w:p>
          <w:p w14:paraId="209CCF4D">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7.≥4K(4096</w:t>
            </w:r>
            <w:r>
              <w:rPr>
                <w:rFonts w:hint="default" w:ascii="Arial" w:hAnsi="Arial" w:eastAsia="宋体" w:cs="Arial"/>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2160)分辨率，支持视频录像、存储、拍照、备份等基本功能；具有色彩校正，场景保存，画面偏移，时间显示，升级服务等功能；存储：外接U盘；</w:t>
            </w:r>
          </w:p>
          <w:p w14:paraId="58CF2ADE">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8.数据格式：照片：JPG格式，视频：MP4格式；扫描方式：逐行扫描，帧率60fps</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配有网口，可连接局域网及全平台App客户端，可实时观看显微镜手术视频，同时进行图像和视频存储，患者病例建档管理；配备4K显示器及支架，可实时显示手术的视频图像。</w:t>
            </w:r>
          </w:p>
          <w:p w14:paraId="152099F0">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9.内置橙色+绿色滤片</w:t>
            </w:r>
            <w:r>
              <w:rPr>
                <w:rFonts w:hint="eastAsia" w:ascii="宋体" w:hAnsi="宋体" w:cs="宋体"/>
                <w:color w:val="auto"/>
                <w:sz w:val="21"/>
                <w:szCs w:val="21"/>
                <w:highlight w:val="none"/>
                <w:lang w:val="en-US" w:eastAsia="zh-CN"/>
              </w:rPr>
              <w:t>；</w:t>
            </w:r>
          </w:p>
          <w:p w14:paraId="2D14F0A4">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10.内置无眩光模式，可消除牙齿和器械表面反射光。</w:t>
            </w:r>
          </w:p>
          <w:p w14:paraId="3F44DCBF">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11.内置紫光模式，可辅助观察龋齿中的龋坏物质、牙菌斑和牙结石</w:t>
            </w:r>
            <w:r>
              <w:rPr>
                <w:rFonts w:hint="eastAsia" w:ascii="宋体" w:hAnsi="宋体" w:cs="宋体"/>
                <w:color w:val="auto"/>
                <w:sz w:val="21"/>
                <w:szCs w:val="21"/>
                <w:highlight w:val="none"/>
                <w:lang w:val="en-US" w:eastAsia="zh-CN"/>
              </w:rPr>
              <w:t>。</w:t>
            </w:r>
          </w:p>
          <w:p w14:paraId="316CE233">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12.医用LED光源，由RGB三个LED灯构成，寿命长达≥7万小时。光源传导方式：光导纤维传导，主镜头内无光源直接照射，光通过光纤从灯箱传至主镜内。光斑大小可通过多功能中央控制键一键电动连续无级调节。显微镜主镜设有多功能中央控制键，可一键电动控制滤镜切换及光斑调节。多功能中央控制键上方设有5档亮度强度指示灯。具备光源控制模式紧急旋钮，可进行光源模式紧急手动切换。</w:t>
            </w:r>
          </w:p>
          <w:p w14:paraId="0BA7778F">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13.在标配基础上，</w:t>
            </w:r>
            <w:r>
              <w:rPr>
                <w:rFonts w:hint="eastAsia" w:ascii="宋体" w:hAnsi="宋体" w:cs="宋体"/>
                <w:color w:val="auto"/>
                <w:sz w:val="21"/>
                <w:szCs w:val="21"/>
                <w:highlight w:val="none"/>
                <w:lang w:val="en-US" w:eastAsia="zh-CN"/>
              </w:rPr>
              <w:t>支持后续升级</w:t>
            </w:r>
            <w:r>
              <w:rPr>
                <w:rFonts w:hint="default" w:ascii="宋体" w:hAnsi="宋体" w:eastAsia="宋体" w:cs="宋体"/>
                <w:color w:val="auto"/>
                <w:sz w:val="21"/>
                <w:szCs w:val="21"/>
                <w:highlight w:val="none"/>
                <w:lang w:val="en-US" w:eastAsia="zh-CN"/>
              </w:rPr>
              <w:t>选配变焦物镜，四合一模块，延长器，分光器，旋转环，数码相机接口，手机接口等。升级旋转装置，在医生坐姿不变的情况下，双目镜筒保持水平观察位置的同时主镜可向左或向右倾摆；升级配备45°光学延长器。</w:t>
            </w:r>
          </w:p>
          <w:p w14:paraId="2BC0EC01">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14.总放大倍率MrOTS：0.6×~19.6×</w:t>
            </w:r>
          </w:p>
          <w:p w14:paraId="7D548E9A">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15.视场直径：Ø61.8mm～010.3mm</w:t>
            </w:r>
          </w:p>
          <w:p w14:paraId="7A9FF542">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16.大物镜焦距：≥F=250mm</w:t>
            </w:r>
          </w:p>
          <w:p w14:paraId="11688FDF">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17.实际工作距离：</w:t>
            </w:r>
            <w:r>
              <w:rPr>
                <w:rFonts w:hint="eastAsia" w:ascii="宋体" w:hAnsi="宋体" w:cs="宋体"/>
                <w:color w:val="auto"/>
                <w:sz w:val="21"/>
                <w:szCs w:val="21"/>
                <w:highlight w:val="none"/>
                <w:lang w:val="en-US" w:eastAsia="zh-CN"/>
              </w:rPr>
              <w:t>约</w:t>
            </w:r>
            <w:r>
              <w:rPr>
                <w:rFonts w:hint="default" w:ascii="宋体" w:hAnsi="宋体" w:eastAsia="宋体" w:cs="宋体"/>
                <w:color w:val="auto"/>
                <w:sz w:val="21"/>
                <w:szCs w:val="21"/>
                <w:highlight w:val="none"/>
                <w:lang w:val="en-US" w:eastAsia="zh-CN"/>
              </w:rPr>
              <w:t>222mm</w:t>
            </w:r>
          </w:p>
          <w:p w14:paraId="47ACCD85">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18.目镜倍率</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≥12.5X</w:t>
            </w:r>
          </w:p>
          <w:p w14:paraId="63032549">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19.主镜目镜筒视角</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0°~210°</w:t>
            </w:r>
          </w:p>
          <w:p w14:paraId="64BA05F8">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20.瞳距调节范围</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55-75mm</w:t>
            </w:r>
          </w:p>
          <w:p w14:paraId="5A667F7D">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21.视场照明方式</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4°照明</w:t>
            </w:r>
          </w:p>
          <w:p w14:paraId="25E99F1A">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22.物面最高照度</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≥70001X</w:t>
            </w:r>
          </w:p>
          <w:p w14:paraId="465082FB">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23.内置滤光片：黄色滤光片、绿色滤光片</w:t>
            </w:r>
          </w:p>
          <w:p w14:paraId="43973BDF">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24.升级加配：无眩光模式、真光模式、紫光模式</w:t>
            </w:r>
          </w:p>
          <w:p w14:paraId="1A542C04">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25.电源开关：输入：AC220V50Hz输出：DC15V/4.33A</w:t>
            </w:r>
          </w:p>
          <w:p w14:paraId="11CFA19A">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26.输入功率：65VA</w:t>
            </w:r>
          </w:p>
          <w:p w14:paraId="162164FA">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27.主板：输出：DC15V输出：DC12V/1A、DC5V/0.1A</w:t>
            </w:r>
          </w:p>
          <w:p w14:paraId="77390941">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28.LED：输入：DC12V</w:t>
            </w:r>
          </w:p>
          <w:p w14:paraId="7AB4A899">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29.风扇：输入：DC5V</w:t>
            </w:r>
          </w:p>
          <w:p w14:paraId="71C7FC91">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30.保险丝：0218001.MRET1P</w:t>
            </w:r>
          </w:p>
          <w:p w14:paraId="2C554373">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31.灯泡：12V/13WLED</w:t>
            </w:r>
          </w:p>
          <w:p w14:paraId="2CD66CC2">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32.电气安全标准</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执行GB 9706.1-2020《医用电气设备 第1部分：基本安全和基本性能的通用要求》、I类</w:t>
            </w:r>
          </w:p>
          <w:p w14:paraId="1A28EDF8">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二、配置需求：</w:t>
            </w:r>
          </w:p>
          <w:p w14:paraId="5B771690">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1.主镜系统(复消色差主镜、内置模式切换装置)1套</w:t>
            </w:r>
          </w:p>
          <w:p w14:paraId="1A0C46AC">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2.无级变倍系统(内置于主镜系统内)1套</w:t>
            </w:r>
          </w:p>
          <w:p w14:paraId="6CF41F16">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3.210度倾角可调双目镜筒(含瞳距调节盘)1套</w:t>
            </w:r>
          </w:p>
          <w:p w14:paraId="1F9DC2D7">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4.12.5X目镜系统1套</w:t>
            </w:r>
          </w:p>
          <w:p w14:paraId="688CBEE9">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5.变焦物镜系统1套</w:t>
            </w:r>
          </w:p>
          <w:p w14:paraId="142ECCAE">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6.45度光学延长器1个</w:t>
            </w:r>
          </w:p>
          <w:p w14:paraId="1FA08286">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7.旋转结构装置1套</w:t>
            </w:r>
          </w:p>
          <w:p w14:paraId="45642A27">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8.前置式人体工程学手柄1套</w:t>
            </w:r>
          </w:p>
          <w:p w14:paraId="420836CB">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9.落地式移动支架系统(含4轮移动支架刹停装置)1套</w:t>
            </w:r>
          </w:p>
          <w:p w14:paraId="7E02BA07">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10.LED灯源(内置于机身内)1套</w:t>
            </w:r>
          </w:p>
          <w:p w14:paraId="4610F0D5">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11.橙光模式(内置于主镜系统内)1套</w:t>
            </w:r>
          </w:p>
          <w:p w14:paraId="49694D26">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12.绿光模式(内置于主镜系统内)1套</w:t>
            </w:r>
          </w:p>
          <w:p w14:paraId="02F7DA96">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13.无眩光模式(内置于主镜系统内)1套</w:t>
            </w:r>
          </w:p>
          <w:p w14:paraId="0E745E49">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14.真光模式(内置于主镜系统内)1套</w:t>
            </w:r>
          </w:p>
          <w:p w14:paraId="1C93BE6F">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15.紫光模式(内置于主镜系统内)1套</w:t>
            </w:r>
          </w:p>
          <w:p w14:paraId="5D09C7D1">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16.光纤束线1条</w:t>
            </w:r>
          </w:p>
          <w:p w14:paraId="76410D9C">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17.4K高清摄像系统1套</w:t>
            </w:r>
          </w:p>
          <w:p w14:paraId="36D3F0E9">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18.U盘1个</w:t>
            </w:r>
          </w:p>
          <w:p w14:paraId="029CE364">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19.无线鼠标1个</w:t>
            </w:r>
          </w:p>
          <w:p w14:paraId="4F9B10BA">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20.</w:t>
            </w:r>
            <w:r>
              <w:rPr>
                <w:rFonts w:hint="eastAsia" w:ascii="宋体" w:hAnsi="宋体" w:cs="宋体"/>
                <w:color w:val="auto"/>
                <w:sz w:val="21"/>
                <w:szCs w:val="21"/>
                <w:highlight w:val="none"/>
                <w:lang w:val="en-US" w:eastAsia="zh-CN"/>
              </w:rPr>
              <w:t>医学专用</w:t>
            </w:r>
            <w:r>
              <w:rPr>
                <w:rFonts w:hint="default" w:ascii="宋体" w:hAnsi="宋体" w:eastAsia="宋体" w:cs="宋体"/>
                <w:color w:val="auto"/>
                <w:sz w:val="21"/>
                <w:szCs w:val="21"/>
                <w:highlight w:val="none"/>
                <w:lang w:val="en-US" w:eastAsia="zh-CN"/>
              </w:rPr>
              <w:t>27英寸显示器(含支架1套)</w:t>
            </w:r>
          </w:p>
          <w:p w14:paraId="282C106B">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21.防尘罩1个</w:t>
            </w:r>
          </w:p>
          <w:p w14:paraId="436337EF">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22.电源线1条</w:t>
            </w:r>
          </w:p>
        </w:tc>
        <w:tc>
          <w:tcPr>
            <w:tcW w:w="1100" w:type="dxa"/>
            <w:tcBorders>
              <w:left w:val="single" w:color="auto" w:sz="4" w:space="0"/>
            </w:tcBorders>
            <w:shd w:val="clear" w:color="auto" w:fill="auto"/>
            <w:vAlign w:val="center"/>
          </w:tcPr>
          <w:p w14:paraId="5422324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9.9</w:t>
            </w:r>
          </w:p>
        </w:tc>
      </w:tr>
      <w:tr w14:paraId="448A8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35D0E5EE">
            <w:pPr>
              <w:numPr>
                <w:ilvl w:val="0"/>
                <w:numId w:val="10"/>
              </w:numPr>
              <w:snapToGrid w:val="0"/>
              <w:spacing w:line="360" w:lineRule="auto"/>
              <w:jc w:val="center"/>
              <w:rPr>
                <w:rFonts w:hint="eastAsia" w:ascii="宋体" w:hAnsi="宋体" w:eastAsia="宋体" w:cs="宋体"/>
                <w:color w:val="auto"/>
                <w:sz w:val="21"/>
                <w:szCs w:val="21"/>
                <w:highlight w:val="none"/>
              </w:rPr>
            </w:pPr>
          </w:p>
        </w:tc>
        <w:tc>
          <w:tcPr>
            <w:tcW w:w="850" w:type="dxa"/>
            <w:shd w:val="clear" w:color="auto" w:fill="auto"/>
            <w:vAlign w:val="center"/>
          </w:tcPr>
          <w:p w14:paraId="795ABB8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口内扫描仪（口腔数字印模仪）</w:t>
            </w:r>
          </w:p>
        </w:tc>
        <w:tc>
          <w:tcPr>
            <w:tcW w:w="500" w:type="dxa"/>
            <w:tcBorders>
              <w:right w:val="single" w:color="auto" w:sz="4" w:space="0"/>
            </w:tcBorders>
            <w:shd w:val="clear" w:color="auto" w:fill="auto"/>
            <w:vAlign w:val="center"/>
          </w:tcPr>
          <w:p w14:paraId="23DA6AE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gridSpan w:val="2"/>
            <w:tcBorders>
              <w:left w:val="single" w:color="auto" w:sz="4" w:space="0"/>
              <w:right w:val="single" w:color="auto" w:sz="4" w:space="0"/>
            </w:tcBorders>
            <w:vAlign w:val="center"/>
          </w:tcPr>
          <w:p w14:paraId="1D7B8E77">
            <w:pPr>
              <w:keepNext w:val="0"/>
              <w:keepLines w:val="0"/>
              <w:widowControl/>
              <w:suppressLineNumbers w:val="0"/>
              <w:jc w:val="center"/>
              <w:textAlignment w:val="center"/>
              <w:rPr>
                <w:rFonts w:hint="eastAsia" w:ascii="宋体" w:hAnsi="宋体" w:eastAsia="宋体" w:cs="宋体"/>
                <w:color w:val="auto"/>
                <w:sz w:val="21"/>
                <w:szCs w:val="21"/>
                <w:highlight w:val="none"/>
              </w:rPr>
            </w:pPr>
          </w:p>
        </w:tc>
        <w:tc>
          <w:tcPr>
            <w:tcW w:w="5721" w:type="dxa"/>
            <w:tcBorders>
              <w:left w:val="single" w:color="auto" w:sz="4" w:space="0"/>
              <w:right w:val="single" w:color="auto" w:sz="4" w:space="0"/>
            </w:tcBorders>
            <w:vAlign w:val="center"/>
          </w:tcPr>
          <w:p w14:paraId="6E23A93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569CEA3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▲1.设备描述：通过光学印模扫描方式获取口内数据</w:t>
            </w:r>
          </w:p>
          <w:p w14:paraId="6607042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▲2.扫描仪重量：小于150g</w:t>
            </w:r>
          </w:p>
          <w:p w14:paraId="3AD6D93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3.扫描头尺寸：长≤83mm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宽≤19mm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高≤14mm</w:t>
            </w:r>
          </w:p>
          <w:p w14:paraId="2082B62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4.外形设计：笔式</w:t>
            </w:r>
          </w:p>
          <w:p w14:paraId="077FCCF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5.印模颜色：真彩</w:t>
            </w:r>
          </w:p>
          <w:p w14:paraId="38A86D6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6.电脑处理器：不低于Inteli7-8700(主频3.2GHz)</w:t>
            </w:r>
          </w:p>
          <w:p w14:paraId="5F574139">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7.操作系统：不低于Windows764bit、Windows1064bit</w:t>
            </w:r>
          </w:p>
          <w:p w14:paraId="0E4F81B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8.内存：DDR4240016G及其以上</w:t>
            </w:r>
          </w:p>
          <w:p w14:paraId="3FFA71A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9.光源：LED白光+激光</w:t>
            </w:r>
          </w:p>
          <w:p w14:paraId="56CB8C4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10.扫描要求：无需喷粉</w:t>
            </w:r>
          </w:p>
          <w:p w14:paraId="72F6741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11.语言：支持中英界面</w:t>
            </w:r>
          </w:p>
          <w:p w14:paraId="6C55CF2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12.输出端文件：STL</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PLY</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PTY、支持定制加密格式文件</w:t>
            </w:r>
          </w:p>
          <w:p w14:paraId="2DF8EE1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13.扫描头窗口尺寸：18</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16mm</w:t>
            </w:r>
          </w:p>
          <w:p w14:paraId="72B2933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▲14.扫描精度(绝对值)≤7μm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重复精度(绝对值)≤5μm</w:t>
            </w:r>
          </w:p>
          <w:p w14:paraId="2CC2EBB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▲15.扫描速度：24帧/s</w:t>
            </w:r>
          </w:p>
          <w:p w14:paraId="03B8D96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16.电脑连接方式：USB3.0单线连接</w:t>
            </w:r>
          </w:p>
          <w:p w14:paraId="3C6882C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r>
              <w:rPr>
                <w:rFonts w:hint="eastAsia" w:ascii="宋体" w:hAnsi="宋体" w:cs="宋体"/>
                <w:color w:val="auto"/>
                <w:sz w:val="21"/>
                <w:szCs w:val="21"/>
                <w:highlight w:val="none"/>
                <w:lang w:val="en-US" w:eastAsia="zh-CN"/>
              </w:rPr>
              <w:t>配置</w:t>
            </w:r>
            <w:r>
              <w:rPr>
                <w:rFonts w:hint="eastAsia" w:ascii="宋体" w:hAnsi="宋体" w:eastAsia="宋体" w:cs="宋体"/>
                <w:color w:val="auto"/>
                <w:sz w:val="21"/>
                <w:szCs w:val="21"/>
                <w:highlight w:val="none"/>
                <w:lang w:val="en-US" w:eastAsia="zh-CN"/>
              </w:rPr>
              <w:t>定制</w:t>
            </w:r>
            <w:r>
              <w:rPr>
                <w:rFonts w:hint="eastAsia" w:ascii="宋体" w:hAnsi="宋体" w:cs="宋体"/>
                <w:color w:val="auto"/>
                <w:sz w:val="21"/>
                <w:szCs w:val="21"/>
                <w:highlight w:val="none"/>
                <w:lang w:val="en-US" w:eastAsia="zh-CN"/>
              </w:rPr>
              <w:t>操作系统工作站、</w:t>
            </w:r>
            <w:r>
              <w:rPr>
                <w:rFonts w:hint="eastAsia" w:ascii="宋体" w:hAnsi="宋体" w:eastAsia="宋体" w:cs="宋体"/>
                <w:color w:val="auto"/>
                <w:sz w:val="21"/>
                <w:szCs w:val="21"/>
                <w:highlight w:val="none"/>
                <w:lang w:val="en-US" w:eastAsia="zh-CN"/>
              </w:rPr>
              <w:t>推车</w:t>
            </w:r>
            <w:r>
              <w:rPr>
                <w:rFonts w:hint="eastAsia" w:ascii="宋体" w:hAnsi="宋体" w:cs="宋体"/>
                <w:color w:val="auto"/>
                <w:sz w:val="21"/>
                <w:szCs w:val="21"/>
                <w:highlight w:val="none"/>
                <w:lang w:val="en-US" w:eastAsia="zh-CN"/>
              </w:rPr>
              <w:t>、医学专用</w:t>
            </w:r>
            <w:r>
              <w:rPr>
                <w:rFonts w:hint="eastAsia" w:ascii="宋体" w:hAnsi="宋体" w:eastAsia="宋体" w:cs="宋体"/>
                <w:color w:val="auto"/>
                <w:sz w:val="21"/>
                <w:szCs w:val="21"/>
                <w:highlight w:val="none"/>
                <w:lang w:val="en-US" w:eastAsia="zh-CN"/>
              </w:rPr>
              <w:t>触摸屏显示器。</w:t>
            </w:r>
          </w:p>
          <w:p w14:paraId="377009A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▲18.开关按键，扫描一键操作，无需接触鼠标、键盘</w:t>
            </w:r>
          </w:p>
          <w:p w14:paraId="72D9E8A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▲19.体感操作，遥控机身查看数据</w:t>
            </w:r>
          </w:p>
          <w:p w14:paraId="6E17AF5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20.设备一体化连接设计</w:t>
            </w:r>
          </w:p>
          <w:p w14:paraId="380ECE5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21.真彩扫描，还原口内牙齿细节特征。扫描前无需对牙齿进行喷粉</w:t>
            </w:r>
          </w:p>
          <w:p w14:paraId="617804E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22.智能追踪，口内任意位置快速恢复扫描</w:t>
            </w:r>
          </w:p>
          <w:p w14:paraId="2C04071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23.支持中英文界面</w:t>
            </w:r>
          </w:p>
          <w:p w14:paraId="20B821C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24.含高清拍摄功能</w:t>
            </w:r>
          </w:p>
          <w:p w14:paraId="764D0B4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▲25.扫描头可拆卸，采用高压蒸汽灭菌(121℃、15min或134℃、6min)</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推荐灭菌次数不超过50次</w:t>
            </w:r>
          </w:p>
          <w:p w14:paraId="0BF60ED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26.配套修复软件内置智能备牙评估系统，含倒凹观察，颈线</w:t>
            </w:r>
            <w:r>
              <w:rPr>
                <w:rFonts w:hint="eastAsia" w:ascii="宋体" w:hAnsi="宋体" w:cs="宋体"/>
                <w:color w:val="auto"/>
                <w:sz w:val="21"/>
                <w:szCs w:val="21"/>
                <w:highlight w:val="none"/>
                <w:lang w:val="en-US" w:eastAsia="zh-CN"/>
              </w:rPr>
              <w:t>刻画</w:t>
            </w:r>
            <w:r>
              <w:rPr>
                <w:rFonts w:hint="eastAsia" w:ascii="宋体" w:hAnsi="宋体" w:eastAsia="宋体" w:cs="宋体"/>
                <w:color w:val="auto"/>
                <w:sz w:val="21"/>
                <w:szCs w:val="21"/>
                <w:highlight w:val="none"/>
                <w:lang w:val="en-US" w:eastAsia="zh-CN"/>
              </w:rPr>
              <w:t>，咬合空间检测等功能</w:t>
            </w:r>
          </w:p>
          <w:p w14:paraId="2ED0989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▲27.扫描范围18</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16mm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扫描深度0~20mm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支持软件多档可调</w:t>
            </w:r>
          </w:p>
          <w:p w14:paraId="61CA42F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w:t>
            </w:r>
            <w:r>
              <w:rPr>
                <w:rFonts w:hint="eastAsia" w:ascii="宋体" w:hAnsi="宋体" w:cs="宋体"/>
                <w:color w:val="auto"/>
                <w:sz w:val="21"/>
                <w:szCs w:val="21"/>
                <w:highlight w:val="none"/>
                <w:lang w:val="en-US" w:eastAsia="zh-CN"/>
              </w:rPr>
              <w:t>支持</w:t>
            </w:r>
            <w:r>
              <w:rPr>
                <w:rFonts w:hint="eastAsia" w:ascii="宋体" w:hAnsi="宋体" w:eastAsia="宋体" w:cs="宋体"/>
                <w:color w:val="auto"/>
                <w:sz w:val="21"/>
                <w:szCs w:val="21"/>
                <w:highlight w:val="none"/>
                <w:lang w:val="en-US" w:eastAsia="zh-CN"/>
              </w:rPr>
              <w:t>与CAD\CAM对接，输出STL、PLY全开放式文件，支持定制加密格式文件</w:t>
            </w:r>
          </w:p>
          <w:p w14:paraId="6582A7C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29.集成培训中心和远程支持技术，可共享屏幕，支持教学</w:t>
            </w:r>
          </w:p>
          <w:p w14:paraId="4C0A723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30.可口内扫描多个单位的种植体和杆卡类植体</w:t>
            </w:r>
          </w:p>
          <w:p w14:paraId="1C6F80B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▲31.仅使用一根USB线连接到电脑</w:t>
            </w:r>
          </w:p>
          <w:p w14:paraId="0E7EDB1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32.可加大取向景深，对于修复体肩台及植体周围扫描清晰</w:t>
            </w:r>
          </w:p>
          <w:p w14:paraId="2879887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33.咬合自动对准及手动调整功能，多咬合关系记录</w:t>
            </w:r>
          </w:p>
          <w:p w14:paraId="466BF9B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34.云平台，便于数据传输、管理，预览数据，病例分享生成口内健康报告</w:t>
            </w:r>
            <w:r>
              <w:rPr>
                <w:rFonts w:hint="eastAsia" w:ascii="宋体" w:hAnsi="宋体" w:cs="宋体"/>
                <w:color w:val="auto"/>
                <w:sz w:val="21"/>
                <w:szCs w:val="21"/>
                <w:highlight w:val="none"/>
                <w:lang w:val="en-US" w:eastAsia="zh-CN"/>
              </w:rPr>
              <w:t>。</w:t>
            </w:r>
          </w:p>
          <w:p w14:paraId="2BAD368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二、配置需求：</w:t>
            </w:r>
          </w:p>
          <w:p w14:paraId="2C9EF32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1.探头1个</w:t>
            </w:r>
          </w:p>
          <w:p w14:paraId="5C808AA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2.P5探头支架1个</w:t>
            </w:r>
          </w:p>
          <w:p w14:paraId="7411AAC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3.标定器1个</w:t>
            </w:r>
          </w:p>
          <w:p w14:paraId="49843E8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4.扫描头6个</w:t>
            </w:r>
          </w:p>
          <w:p w14:paraId="0732A3F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5.保护壳1个</w:t>
            </w:r>
          </w:p>
          <w:p w14:paraId="2CA2417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6.U盘1个</w:t>
            </w:r>
          </w:p>
          <w:p w14:paraId="0278A6E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7.产品说明书1</w:t>
            </w:r>
            <w:r>
              <w:rPr>
                <w:rFonts w:hint="eastAsia" w:ascii="宋体" w:hAnsi="宋体" w:cs="宋体"/>
                <w:color w:val="auto"/>
                <w:sz w:val="21"/>
                <w:szCs w:val="21"/>
                <w:highlight w:val="none"/>
                <w:lang w:val="en-US" w:eastAsia="zh-CN"/>
              </w:rPr>
              <w:t>份</w:t>
            </w:r>
          </w:p>
          <w:p w14:paraId="2C28D7A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8.产品保修卡1份</w:t>
            </w:r>
          </w:p>
          <w:p w14:paraId="154EE46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9.合格证1份</w:t>
            </w:r>
          </w:p>
        </w:tc>
        <w:tc>
          <w:tcPr>
            <w:tcW w:w="1100" w:type="dxa"/>
            <w:tcBorders>
              <w:left w:val="single" w:color="auto" w:sz="4" w:space="0"/>
            </w:tcBorders>
            <w:shd w:val="clear" w:color="auto" w:fill="auto"/>
            <w:vAlign w:val="center"/>
          </w:tcPr>
          <w:p w14:paraId="3A9D259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w:t>
            </w:r>
          </w:p>
        </w:tc>
      </w:tr>
      <w:tr w14:paraId="56441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1AA03B85">
            <w:pPr>
              <w:numPr>
                <w:ilvl w:val="0"/>
                <w:numId w:val="10"/>
              </w:numPr>
              <w:snapToGrid w:val="0"/>
              <w:spacing w:line="360" w:lineRule="auto"/>
              <w:jc w:val="center"/>
              <w:rPr>
                <w:rFonts w:hint="eastAsia" w:ascii="宋体" w:hAnsi="宋体" w:eastAsia="宋体" w:cs="宋体"/>
                <w:color w:val="auto"/>
                <w:sz w:val="21"/>
                <w:szCs w:val="21"/>
                <w:highlight w:val="none"/>
              </w:rPr>
            </w:pPr>
          </w:p>
        </w:tc>
        <w:tc>
          <w:tcPr>
            <w:tcW w:w="850" w:type="dxa"/>
            <w:shd w:val="clear" w:color="auto" w:fill="auto"/>
            <w:vAlign w:val="center"/>
          </w:tcPr>
          <w:p w14:paraId="4D59B6E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超声波清洗机</w:t>
            </w:r>
          </w:p>
        </w:tc>
        <w:tc>
          <w:tcPr>
            <w:tcW w:w="500" w:type="dxa"/>
            <w:tcBorders>
              <w:right w:val="single" w:color="auto" w:sz="4" w:space="0"/>
            </w:tcBorders>
            <w:shd w:val="clear" w:color="auto" w:fill="auto"/>
            <w:vAlign w:val="center"/>
          </w:tcPr>
          <w:p w14:paraId="2022EA1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514" w:type="dxa"/>
            <w:gridSpan w:val="2"/>
            <w:tcBorders>
              <w:left w:val="single" w:color="auto" w:sz="4" w:space="0"/>
              <w:right w:val="single" w:color="auto" w:sz="4" w:space="0"/>
            </w:tcBorders>
            <w:vAlign w:val="center"/>
          </w:tcPr>
          <w:p w14:paraId="6D1DD18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台</w:t>
            </w:r>
          </w:p>
        </w:tc>
        <w:tc>
          <w:tcPr>
            <w:tcW w:w="5721" w:type="dxa"/>
            <w:tcBorders>
              <w:left w:val="single" w:color="auto" w:sz="4" w:space="0"/>
              <w:right w:val="single" w:color="auto" w:sz="4" w:space="0"/>
            </w:tcBorders>
            <w:vAlign w:val="center"/>
          </w:tcPr>
          <w:p w14:paraId="79DF943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57C41EE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1.清洗槽容积：≥6.0L</w:t>
            </w:r>
          </w:p>
          <w:p w14:paraId="33FA0F9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2.清洗槽尺寸：≥32.3</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20.5</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9.9cm</w:t>
            </w:r>
          </w:p>
          <w:p w14:paraId="25ADFEB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3.清洗物品最大长度：≥34.0cm</w:t>
            </w:r>
          </w:p>
          <w:p w14:paraId="43C78C1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4.超声波频率：≥35000Hz</w:t>
            </w:r>
          </w:p>
          <w:p w14:paraId="56DF024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5.清洗槽材质：不锈钢SUS304</w:t>
            </w:r>
          </w:p>
          <w:p w14:paraId="1E79665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6.外壳材质：ABS</w:t>
            </w:r>
          </w:p>
          <w:p w14:paraId="1A51F25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7.电容感应式控制板（触摸式按键板）</w:t>
            </w:r>
          </w:p>
          <w:p w14:paraId="27175DF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8.工业用超声波发生器</w:t>
            </w:r>
          </w:p>
          <w:p w14:paraId="13121C6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9.陶瓷加热器</w:t>
            </w:r>
          </w:p>
          <w:p w14:paraId="166B439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10.LED显示器：单易操作的按键控制，≥6段定时、≥3组温度选择</w:t>
            </w:r>
          </w:p>
          <w:p w14:paraId="39F174F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11.分组驱动的电路设计模具</w:t>
            </w:r>
          </w:p>
          <w:p w14:paraId="2A5E7CE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12.多重保护电路：超负荷及使用不当时可局部断电，防止损坏机器并保证安全</w:t>
            </w:r>
          </w:p>
          <w:p w14:paraId="0BE8A16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13.≥2组散热风扇</w:t>
            </w:r>
          </w:p>
          <w:p w14:paraId="2C11061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14.多种可选择配件：可升降的篮子、不锈钢托架+不锈钢盒、间接清洗槽、烧杯支架</w:t>
            </w:r>
          </w:p>
          <w:p w14:paraId="200D849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15.工程塑料外壳：壁厚≥4.5mm双止口设计</w:t>
            </w:r>
          </w:p>
          <w:p w14:paraId="6CA337A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w:t>
            </w:r>
            <w:r>
              <w:rPr>
                <w:rFonts w:hint="eastAsia" w:ascii="宋体" w:hAnsi="宋体" w:cs="宋体"/>
                <w:color w:val="auto"/>
                <w:sz w:val="21"/>
                <w:szCs w:val="21"/>
                <w:highlight w:val="none"/>
                <w:lang w:val="en-US" w:eastAsia="zh-CN"/>
              </w:rPr>
              <w:t>每台</w:t>
            </w:r>
            <w:r>
              <w:rPr>
                <w:rFonts w:hint="eastAsia" w:ascii="宋体" w:hAnsi="宋体" w:eastAsia="宋体" w:cs="宋体"/>
                <w:color w:val="auto"/>
                <w:sz w:val="21"/>
                <w:szCs w:val="21"/>
                <w:highlight w:val="none"/>
                <w:lang w:val="en-US" w:eastAsia="zh-CN"/>
              </w:rPr>
              <w:t>配置需求：</w:t>
            </w:r>
          </w:p>
          <w:p w14:paraId="3C0B913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1.超声波清洗机主机1台</w:t>
            </w:r>
          </w:p>
          <w:p w14:paraId="6E94596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2.塑料清洗筐1个</w:t>
            </w:r>
          </w:p>
          <w:p w14:paraId="3EF29A4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3.软水（排水）管1根</w:t>
            </w:r>
          </w:p>
          <w:p w14:paraId="1D69C30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4.电源线1根</w:t>
            </w:r>
          </w:p>
          <w:p w14:paraId="17B1C96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5.小器械篮1个</w:t>
            </w:r>
          </w:p>
          <w:p w14:paraId="7F2BB80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6.使用说明书1份</w:t>
            </w:r>
          </w:p>
          <w:p w14:paraId="58B82C9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7.合格证1份</w:t>
            </w:r>
          </w:p>
          <w:p w14:paraId="7CAEADA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8.医疗器械保修卡1份</w:t>
            </w:r>
          </w:p>
        </w:tc>
        <w:tc>
          <w:tcPr>
            <w:tcW w:w="1100" w:type="dxa"/>
            <w:tcBorders>
              <w:left w:val="single" w:color="auto" w:sz="4" w:space="0"/>
            </w:tcBorders>
            <w:shd w:val="clear" w:color="auto" w:fill="auto"/>
            <w:vAlign w:val="center"/>
          </w:tcPr>
          <w:p w14:paraId="02759D8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0.26</w:t>
            </w:r>
          </w:p>
        </w:tc>
      </w:tr>
      <w:tr w14:paraId="51081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22094F02">
            <w:pPr>
              <w:numPr>
                <w:ilvl w:val="0"/>
                <w:numId w:val="10"/>
              </w:numPr>
              <w:snapToGrid w:val="0"/>
              <w:spacing w:line="360" w:lineRule="auto"/>
              <w:jc w:val="center"/>
              <w:rPr>
                <w:rFonts w:hint="eastAsia" w:ascii="宋体" w:hAnsi="宋体" w:eastAsia="宋体" w:cs="宋体"/>
                <w:color w:val="auto"/>
                <w:sz w:val="21"/>
                <w:szCs w:val="21"/>
                <w:highlight w:val="none"/>
              </w:rPr>
            </w:pPr>
          </w:p>
        </w:tc>
        <w:tc>
          <w:tcPr>
            <w:tcW w:w="850" w:type="dxa"/>
            <w:shd w:val="clear" w:color="auto" w:fill="auto"/>
            <w:vAlign w:val="center"/>
          </w:tcPr>
          <w:p w14:paraId="17D3E9B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污水处理机</w:t>
            </w:r>
          </w:p>
        </w:tc>
        <w:tc>
          <w:tcPr>
            <w:tcW w:w="500" w:type="dxa"/>
            <w:tcBorders>
              <w:right w:val="single" w:color="auto" w:sz="4" w:space="0"/>
            </w:tcBorders>
            <w:shd w:val="clear" w:color="auto" w:fill="auto"/>
            <w:vAlign w:val="center"/>
          </w:tcPr>
          <w:p w14:paraId="6C867EC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514" w:type="dxa"/>
            <w:gridSpan w:val="2"/>
            <w:tcBorders>
              <w:left w:val="single" w:color="auto" w:sz="4" w:space="0"/>
              <w:right w:val="single" w:color="auto" w:sz="4" w:space="0"/>
            </w:tcBorders>
            <w:vAlign w:val="center"/>
          </w:tcPr>
          <w:p w14:paraId="04E9027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台</w:t>
            </w:r>
          </w:p>
        </w:tc>
        <w:tc>
          <w:tcPr>
            <w:tcW w:w="5721" w:type="dxa"/>
            <w:tcBorders>
              <w:left w:val="single" w:color="auto" w:sz="4" w:space="0"/>
              <w:right w:val="single" w:color="auto" w:sz="4" w:space="0"/>
            </w:tcBorders>
            <w:vAlign w:val="center"/>
          </w:tcPr>
          <w:p w14:paraId="066679C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7EB3A77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1.执行标准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GB18466-2005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国家医疗机构污水排放标准预处理标准</w:t>
            </w:r>
            <w:r>
              <w:rPr>
                <w:rFonts w:hint="eastAsia" w:ascii="宋体" w:hAnsi="宋体" w:cs="宋体"/>
                <w:color w:val="auto"/>
                <w:sz w:val="21"/>
                <w:szCs w:val="21"/>
                <w:highlight w:val="none"/>
                <w:lang w:val="en-US" w:eastAsia="zh-CN"/>
              </w:rPr>
              <w:t>》；</w:t>
            </w:r>
          </w:p>
          <w:p w14:paraId="214BE22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设备采用臭氧消毒为主，投加含氯消毒剂为辅，双重杀菌消毒</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在规定的时间和场所内，臭氧消毒器检测结果</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样品浓度≥16.7mg/L，臭氧产量≥5g/h</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样品接通电源运行60min后，臭氧泄漏量平均浓度≤0.06mg/m³</w:t>
            </w:r>
            <w:r>
              <w:rPr>
                <w:rFonts w:hint="eastAsia" w:ascii="宋体" w:hAnsi="宋体" w:cs="宋体"/>
                <w:color w:val="auto"/>
                <w:sz w:val="21"/>
                <w:szCs w:val="21"/>
                <w:highlight w:val="none"/>
                <w:lang w:val="en-US" w:eastAsia="zh-CN"/>
              </w:rPr>
              <w:t>，</w:t>
            </w:r>
            <w:r>
              <w:rPr>
                <w:rFonts w:hint="eastAsia" w:ascii="宋体" w:hAnsi="宋体" w:cs="宋体"/>
                <w:b/>
                <w:bCs/>
                <w:color w:val="auto"/>
                <w:sz w:val="21"/>
                <w:szCs w:val="21"/>
                <w:highlight w:val="none"/>
                <w:lang w:val="en-US" w:eastAsia="zh-CN"/>
              </w:rPr>
              <w:t>须在投标文件中</w:t>
            </w:r>
            <w:r>
              <w:rPr>
                <w:rFonts w:hint="eastAsia" w:ascii="宋体" w:hAnsi="宋体" w:eastAsia="宋体" w:cs="宋体"/>
                <w:b/>
                <w:bCs/>
                <w:color w:val="auto"/>
                <w:sz w:val="21"/>
                <w:szCs w:val="21"/>
                <w:highlight w:val="none"/>
                <w:lang w:val="en-US" w:eastAsia="zh-CN"/>
              </w:rPr>
              <w:t>提供符合以上参数的</w:t>
            </w:r>
            <w:r>
              <w:rPr>
                <w:rFonts w:hint="eastAsia" w:ascii="宋体" w:hAnsi="宋体" w:cs="宋体"/>
                <w:b/>
                <w:bCs/>
                <w:color w:val="auto"/>
                <w:sz w:val="21"/>
                <w:szCs w:val="21"/>
                <w:highlight w:val="none"/>
                <w:lang w:val="en-US" w:eastAsia="zh-CN"/>
              </w:rPr>
              <w:t>国家认可的有资质的第三方检测机构出具的</w:t>
            </w:r>
            <w:r>
              <w:rPr>
                <w:rFonts w:hint="eastAsia" w:ascii="宋体" w:hAnsi="宋体" w:eastAsia="宋体" w:cs="宋体"/>
                <w:b/>
                <w:bCs/>
                <w:color w:val="auto"/>
                <w:sz w:val="21"/>
                <w:szCs w:val="21"/>
                <w:highlight w:val="none"/>
                <w:lang w:val="en-US" w:eastAsia="zh-CN"/>
              </w:rPr>
              <w:t>检测报告</w:t>
            </w:r>
            <w:r>
              <w:rPr>
                <w:rFonts w:hint="eastAsia" w:ascii="宋体" w:hAnsi="宋体" w:cs="宋体"/>
                <w:b/>
                <w:bCs/>
                <w:color w:val="auto"/>
                <w:sz w:val="21"/>
                <w:szCs w:val="21"/>
                <w:highlight w:val="none"/>
                <w:lang w:val="en-US" w:eastAsia="zh-CN"/>
              </w:rPr>
              <w:t>复印件及</w:t>
            </w:r>
            <w:r>
              <w:rPr>
                <w:rFonts w:hint="eastAsia" w:ascii="宋体" w:hAnsi="宋体" w:eastAsia="宋体" w:cs="宋体"/>
                <w:b/>
                <w:bCs/>
                <w:color w:val="auto"/>
                <w:sz w:val="21"/>
                <w:szCs w:val="21"/>
                <w:highlight w:val="none"/>
                <w:lang w:val="en-US" w:eastAsia="zh-CN"/>
              </w:rPr>
              <w:t>提供消毒产品网上备案截图</w:t>
            </w:r>
            <w:r>
              <w:rPr>
                <w:rFonts w:hint="eastAsia" w:ascii="宋体" w:hAnsi="宋体" w:cs="宋体"/>
                <w:b/>
                <w:bCs/>
                <w:color w:val="auto"/>
                <w:sz w:val="21"/>
                <w:szCs w:val="21"/>
                <w:highlight w:val="none"/>
                <w:lang w:val="en-US" w:eastAsia="zh-CN"/>
              </w:rPr>
              <w:t>并加盖投标人公章或电子签章，否则视为负偏离</w:t>
            </w:r>
            <w:r>
              <w:rPr>
                <w:rFonts w:hint="eastAsia" w:ascii="宋体" w:hAnsi="宋体" w:eastAsia="宋体" w:cs="宋体"/>
                <w:color w:val="auto"/>
                <w:sz w:val="21"/>
                <w:szCs w:val="21"/>
                <w:highlight w:val="none"/>
                <w:lang w:val="en-US" w:eastAsia="zh-CN"/>
              </w:rPr>
              <w:t>。</w:t>
            </w:r>
          </w:p>
          <w:p w14:paraId="552584B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2.控制系统</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全自动智能数显控制系统</w:t>
            </w:r>
          </w:p>
          <w:p w14:paraId="78F56AC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3.进水方式</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自流进水</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自吸进水</w:t>
            </w:r>
          </w:p>
          <w:p w14:paraId="47F614D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4.产品材质</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耐酸碱耐腐蚀</w:t>
            </w:r>
          </w:p>
          <w:p w14:paraId="0D7E8AD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5.污水处理量</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≥30升/小时</w:t>
            </w:r>
          </w:p>
          <w:p w14:paraId="22397BF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w:t>
            </w:r>
            <w:r>
              <w:rPr>
                <w:rFonts w:hint="eastAsia" w:ascii="宋体" w:hAnsi="宋体" w:cs="宋体"/>
                <w:color w:val="auto"/>
                <w:sz w:val="21"/>
                <w:szCs w:val="21"/>
                <w:highlight w:val="none"/>
                <w:lang w:val="en-US" w:eastAsia="zh-CN"/>
              </w:rPr>
              <w:t>每台</w:t>
            </w:r>
            <w:r>
              <w:rPr>
                <w:rFonts w:hint="eastAsia" w:ascii="宋体" w:hAnsi="宋体" w:eastAsia="宋体" w:cs="宋体"/>
                <w:color w:val="auto"/>
                <w:sz w:val="21"/>
                <w:szCs w:val="21"/>
                <w:highlight w:val="none"/>
                <w:lang w:val="en-US" w:eastAsia="zh-CN"/>
              </w:rPr>
              <w:t>配置需求：</w:t>
            </w:r>
          </w:p>
          <w:p w14:paraId="6AB0D24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1.液位控制装置1套</w:t>
            </w:r>
          </w:p>
          <w:p w14:paraId="4AB1785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2.臭氧消毒污水处理设备1台</w:t>
            </w:r>
          </w:p>
          <w:p w14:paraId="5434A91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3.安装附件电缆、管件1套</w:t>
            </w:r>
          </w:p>
          <w:p w14:paraId="73A23B7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4.资质说明书配套1本</w:t>
            </w:r>
          </w:p>
          <w:p w14:paraId="554E7A1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5.合作证配套1张</w:t>
            </w:r>
          </w:p>
        </w:tc>
        <w:tc>
          <w:tcPr>
            <w:tcW w:w="1100" w:type="dxa"/>
            <w:tcBorders>
              <w:left w:val="single" w:color="auto" w:sz="4" w:space="0"/>
            </w:tcBorders>
            <w:shd w:val="clear" w:color="auto" w:fill="auto"/>
            <w:vAlign w:val="center"/>
          </w:tcPr>
          <w:p w14:paraId="63D1DFC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0.48</w:t>
            </w:r>
          </w:p>
        </w:tc>
      </w:tr>
      <w:tr w14:paraId="23AE6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20F918E0">
            <w:pPr>
              <w:numPr>
                <w:ilvl w:val="0"/>
                <w:numId w:val="10"/>
              </w:numPr>
              <w:snapToGrid w:val="0"/>
              <w:spacing w:line="360" w:lineRule="auto"/>
              <w:jc w:val="center"/>
              <w:rPr>
                <w:rFonts w:hint="eastAsia" w:ascii="宋体" w:hAnsi="宋体" w:eastAsia="宋体" w:cs="宋体"/>
                <w:color w:val="auto"/>
                <w:sz w:val="21"/>
                <w:szCs w:val="21"/>
                <w:highlight w:val="none"/>
              </w:rPr>
            </w:pPr>
          </w:p>
        </w:tc>
        <w:tc>
          <w:tcPr>
            <w:tcW w:w="850" w:type="dxa"/>
            <w:shd w:val="clear" w:color="auto" w:fill="auto"/>
            <w:vAlign w:val="center"/>
          </w:tcPr>
          <w:p w14:paraId="48BDA84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快速高温高压蒸汽灭菌器（压力蒸汽灭菌器）</w:t>
            </w:r>
          </w:p>
        </w:tc>
        <w:tc>
          <w:tcPr>
            <w:tcW w:w="500" w:type="dxa"/>
            <w:tcBorders>
              <w:right w:val="single" w:color="auto" w:sz="4" w:space="0"/>
            </w:tcBorders>
            <w:shd w:val="clear" w:color="auto" w:fill="auto"/>
            <w:vAlign w:val="center"/>
          </w:tcPr>
          <w:p w14:paraId="2ABD34F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gridSpan w:val="2"/>
            <w:tcBorders>
              <w:left w:val="single" w:color="auto" w:sz="4" w:space="0"/>
              <w:right w:val="single" w:color="auto" w:sz="4" w:space="0"/>
            </w:tcBorders>
            <w:vAlign w:val="center"/>
          </w:tcPr>
          <w:p w14:paraId="5EDECA2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套</w:t>
            </w:r>
          </w:p>
        </w:tc>
        <w:tc>
          <w:tcPr>
            <w:tcW w:w="5721" w:type="dxa"/>
            <w:tcBorders>
              <w:left w:val="single" w:color="auto" w:sz="4" w:space="0"/>
              <w:right w:val="single" w:color="auto" w:sz="4" w:space="0"/>
            </w:tcBorders>
            <w:vAlign w:val="center"/>
          </w:tcPr>
          <w:p w14:paraId="585467A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001B949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高温高压蒸汽灭菌器（压力蒸汽灭菌器）一套配</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台</w:t>
            </w:r>
          </w:p>
          <w:p w14:paraId="01841CC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▲1.功率：≤3300W</w:t>
            </w:r>
          </w:p>
          <w:p w14:paraId="3F0438F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2.容积：≥29L</w:t>
            </w:r>
          </w:p>
          <w:p w14:paraId="504835B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3.内径尺寸：≥319mm</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420mm</w:t>
            </w:r>
          </w:p>
          <w:p w14:paraId="113FB1C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▲4.产品尺寸：≤665</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536</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506mm</w:t>
            </w:r>
          </w:p>
          <w:p w14:paraId="743777A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5.净重：≤80kg</w:t>
            </w:r>
          </w:p>
          <w:p w14:paraId="5B41B8B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6.净水箱容积：≥10L</w:t>
            </w:r>
          </w:p>
          <w:p w14:paraId="4F03BAB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.灭菌温度：121摄氏度，134摄氏度</w:t>
            </w:r>
          </w:p>
          <w:p w14:paraId="4809585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.特殊灭菌：灭活艾滋（HIV）</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乙肝（HBV）疯牛病毒及芽孢等</w:t>
            </w:r>
            <w:r>
              <w:rPr>
                <w:rFonts w:hint="eastAsia" w:ascii="宋体" w:hAnsi="宋体" w:cs="宋体"/>
                <w:color w:val="auto"/>
                <w:sz w:val="21"/>
                <w:szCs w:val="21"/>
                <w:highlight w:val="none"/>
                <w:lang w:val="en-US" w:eastAsia="zh-CN"/>
              </w:rPr>
              <w:t>。</w:t>
            </w:r>
          </w:p>
          <w:p w14:paraId="6FCDA52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.干燥程序：真空干燥，器械剩余湿度＜0.2%</w:t>
            </w:r>
          </w:p>
          <w:p w14:paraId="06FE980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.操作界面：全触控显示屏</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尺寸≥411</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301mm</w:t>
            </w:r>
          </w:p>
          <w:p w14:paraId="686DA97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.开门方式：全自动电动门</w:t>
            </w:r>
          </w:p>
          <w:p w14:paraId="212F12C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.真空模式：采用水循环真空泵</w:t>
            </w:r>
          </w:p>
          <w:p w14:paraId="339B8E8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.蒸汽发生器：配备双蒸汽发生器系统</w:t>
            </w:r>
          </w:p>
          <w:p w14:paraId="0DB8097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.管路清洗：智能内部管路清洗功能</w:t>
            </w:r>
          </w:p>
          <w:p w14:paraId="083D607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.供水系统：敞开式水箱可消毒清洗，采用ABS阻燃材料；直排废水系统</w:t>
            </w:r>
            <w:r>
              <w:rPr>
                <w:rFonts w:hint="eastAsia" w:ascii="宋体" w:hAnsi="宋体" w:cs="宋体"/>
                <w:color w:val="auto"/>
                <w:sz w:val="21"/>
                <w:szCs w:val="21"/>
                <w:highlight w:val="none"/>
                <w:lang w:val="en-US" w:eastAsia="zh-CN"/>
              </w:rPr>
              <w:t>。</w:t>
            </w:r>
          </w:p>
          <w:p w14:paraId="7AC1E79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.报警系统：具有故障报警（≥25个代码提示）</w:t>
            </w:r>
          </w:p>
          <w:p w14:paraId="1F8891F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.水单元检测：水质检测，缺水提示</w:t>
            </w:r>
          </w:p>
          <w:p w14:paraId="0EEE283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.灭菌室</w:t>
            </w:r>
            <w:r>
              <w:rPr>
                <w:rFonts w:hint="eastAsia" w:ascii="宋体" w:hAnsi="宋体" w:cs="宋体"/>
                <w:color w:val="auto"/>
                <w:sz w:val="21"/>
                <w:szCs w:val="21"/>
                <w:highlight w:val="none"/>
                <w:lang w:val="en-US" w:eastAsia="zh-CN"/>
              </w:rPr>
              <w:t>配置</w:t>
            </w:r>
            <w:r>
              <w:rPr>
                <w:rFonts w:hint="eastAsia" w:ascii="宋体" w:hAnsi="宋体" w:eastAsia="宋体" w:cs="宋体"/>
                <w:color w:val="auto"/>
                <w:sz w:val="21"/>
                <w:szCs w:val="21"/>
                <w:highlight w:val="none"/>
                <w:lang w:val="en-US" w:eastAsia="zh-CN"/>
              </w:rPr>
              <w:t>：≥5层活动托盘架配≥3个托盘</w:t>
            </w:r>
          </w:p>
          <w:p w14:paraId="3DC8D1F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lang w:val="en-US" w:eastAsia="zh-CN"/>
              </w:rPr>
              <w:t>.使用年限：≥12年</w:t>
            </w:r>
          </w:p>
          <w:p w14:paraId="0B8E8A6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二、配置需求：</w:t>
            </w:r>
          </w:p>
          <w:p w14:paraId="657B7EC7">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1.压力蒸汽灭菌器整机</w:t>
            </w:r>
            <w:r>
              <w:rPr>
                <w:rFonts w:hint="eastAsia" w:ascii="宋体" w:hAnsi="宋体" w:cs="宋体"/>
                <w:color w:val="auto"/>
                <w:sz w:val="21"/>
                <w:szCs w:val="21"/>
                <w:highlight w:val="none"/>
                <w:lang w:val="en-US" w:eastAsia="zh-CN"/>
              </w:rPr>
              <w:t>1台</w:t>
            </w:r>
          </w:p>
          <w:p w14:paraId="19782C1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2.器械盘支架1台</w:t>
            </w:r>
          </w:p>
          <w:p w14:paraId="40DC91E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3.器械盘1台</w:t>
            </w:r>
          </w:p>
          <w:p w14:paraId="4F8C6177">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4.硅胶防烫护手</w:t>
            </w:r>
            <w:r>
              <w:rPr>
                <w:rFonts w:hint="eastAsia" w:ascii="宋体" w:hAnsi="宋体" w:cs="宋体"/>
                <w:color w:val="auto"/>
                <w:sz w:val="21"/>
                <w:szCs w:val="21"/>
                <w:highlight w:val="none"/>
                <w:lang w:val="en-US" w:eastAsia="zh-CN"/>
              </w:rPr>
              <w:t>1套</w:t>
            </w:r>
          </w:p>
          <w:p w14:paraId="28A013E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5.排水管1套</w:t>
            </w:r>
          </w:p>
          <w:p w14:paraId="46D8196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6.钢丝卡箍1套</w:t>
            </w:r>
          </w:p>
          <w:p w14:paraId="613E01D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7.锅内排水过滤网1套</w:t>
            </w:r>
          </w:p>
          <w:p w14:paraId="5D21743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8.主板保险丝（3A）1套</w:t>
            </w:r>
          </w:p>
          <w:p w14:paraId="165EBA8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9.主板保险丝（5A）1套</w:t>
            </w:r>
          </w:p>
          <w:p w14:paraId="2D76378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10.外置废水箱组件1套</w:t>
            </w:r>
          </w:p>
          <w:p w14:paraId="1CF96A9D">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11.说明书</w:t>
            </w:r>
            <w:r>
              <w:rPr>
                <w:rFonts w:hint="eastAsia" w:ascii="宋体" w:hAnsi="宋体" w:cs="宋体"/>
                <w:color w:val="auto"/>
                <w:sz w:val="21"/>
                <w:szCs w:val="21"/>
                <w:highlight w:val="none"/>
                <w:lang w:val="en-US" w:eastAsia="zh-CN"/>
              </w:rPr>
              <w:t>1份</w:t>
            </w:r>
          </w:p>
          <w:p w14:paraId="479F6C6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12.合格证1份</w:t>
            </w:r>
          </w:p>
          <w:p w14:paraId="5268AB1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13.保修卡1份</w:t>
            </w:r>
          </w:p>
          <w:p w14:paraId="5FC5C68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14.营业执照（复印件）1份</w:t>
            </w:r>
          </w:p>
          <w:p w14:paraId="563F829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15.医疗器械生产企业许可证（复印件）1份</w:t>
            </w:r>
          </w:p>
          <w:p w14:paraId="790AB82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16.医疗器械注册证（复印件）1份</w:t>
            </w:r>
          </w:p>
          <w:p w14:paraId="7014CA8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17.灭菌器插座安装说明1份</w:t>
            </w:r>
          </w:p>
          <w:p w14:paraId="767D286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18.墙面插座</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个</w:t>
            </w:r>
          </w:p>
          <w:p w14:paraId="06FCBBB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19.三脚插头1个</w:t>
            </w:r>
          </w:p>
        </w:tc>
        <w:tc>
          <w:tcPr>
            <w:tcW w:w="1100" w:type="dxa"/>
            <w:tcBorders>
              <w:left w:val="single" w:color="auto" w:sz="4" w:space="0"/>
            </w:tcBorders>
            <w:shd w:val="clear" w:color="auto" w:fill="auto"/>
            <w:vAlign w:val="center"/>
          </w:tcPr>
          <w:p w14:paraId="7DC0294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w:t>
            </w:r>
          </w:p>
        </w:tc>
      </w:tr>
      <w:tr w14:paraId="244F4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542C1599">
            <w:pPr>
              <w:numPr>
                <w:ilvl w:val="0"/>
                <w:numId w:val="10"/>
              </w:numPr>
              <w:snapToGrid w:val="0"/>
              <w:spacing w:line="360" w:lineRule="auto"/>
              <w:jc w:val="center"/>
              <w:rPr>
                <w:rFonts w:hint="eastAsia" w:ascii="宋体" w:hAnsi="宋体" w:eastAsia="宋体" w:cs="宋体"/>
                <w:color w:val="auto"/>
                <w:sz w:val="21"/>
                <w:szCs w:val="21"/>
                <w:highlight w:val="none"/>
              </w:rPr>
            </w:pPr>
          </w:p>
        </w:tc>
        <w:tc>
          <w:tcPr>
            <w:tcW w:w="850" w:type="dxa"/>
            <w:shd w:val="clear" w:color="auto" w:fill="auto"/>
            <w:vAlign w:val="center"/>
          </w:tcPr>
          <w:p w14:paraId="4AE1605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高温清洗消毒机（医用清洗器）</w:t>
            </w:r>
          </w:p>
        </w:tc>
        <w:tc>
          <w:tcPr>
            <w:tcW w:w="500" w:type="dxa"/>
            <w:tcBorders>
              <w:right w:val="single" w:color="auto" w:sz="4" w:space="0"/>
            </w:tcBorders>
            <w:shd w:val="clear" w:color="auto" w:fill="auto"/>
            <w:vAlign w:val="center"/>
          </w:tcPr>
          <w:p w14:paraId="4DDA679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gridSpan w:val="2"/>
            <w:tcBorders>
              <w:left w:val="single" w:color="auto" w:sz="4" w:space="0"/>
              <w:right w:val="single" w:color="auto" w:sz="4" w:space="0"/>
            </w:tcBorders>
            <w:vAlign w:val="center"/>
          </w:tcPr>
          <w:p w14:paraId="1A8CA58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套</w:t>
            </w:r>
          </w:p>
        </w:tc>
        <w:tc>
          <w:tcPr>
            <w:tcW w:w="5721" w:type="dxa"/>
            <w:tcBorders>
              <w:left w:val="single" w:color="auto" w:sz="4" w:space="0"/>
              <w:right w:val="single" w:color="auto" w:sz="4" w:space="0"/>
            </w:tcBorders>
            <w:vAlign w:val="center"/>
          </w:tcPr>
          <w:p w14:paraId="2E9C4C1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47FC4AD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（一）综合配置清单：</w:t>
            </w:r>
          </w:p>
          <w:p w14:paraId="3DA854B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1.高温清洗消毒机（医用清洗器）1台</w:t>
            </w:r>
          </w:p>
          <w:p w14:paraId="57D84F8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2.高速涡轮牙科手机20台</w:t>
            </w:r>
          </w:p>
          <w:p w14:paraId="2E66745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（二）高温清洗消毒机（医用清洗器）参数</w:t>
            </w:r>
          </w:p>
          <w:p w14:paraId="4AA5B78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1.内腔容积及材质：≥58L，全内腔采用食品级304不锈钢</w:t>
            </w:r>
          </w:p>
          <w:p w14:paraId="55D00BB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2.清洗能力：≥18位手机清洗篮+1个器械清洗筐（尺寸：≥365mmx145mmx65mm）</w:t>
            </w:r>
          </w:p>
          <w:p w14:paraId="0861412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3.循环水泵：采用循环水泵</w:t>
            </w:r>
          </w:p>
          <w:p w14:paraId="6FF428B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4.排水泵：具备主动排水功能</w:t>
            </w:r>
          </w:p>
          <w:p w14:paraId="19F4383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5.旋转喷淋臂；不锈钢材质喷臂提供3D动态可变方向连续强劲喷淋水流</w:t>
            </w:r>
          </w:p>
          <w:p w14:paraId="2B4E8DA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▲6.牙科手机专用插座：通用型牙科手机插座；插座内置不锈钢过滤片（精过滤，过滤精度≥50微米）</w:t>
            </w:r>
          </w:p>
          <w:p w14:paraId="69090C1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7.进水口设置；双路进水设置，支持快速清洗程序</w:t>
            </w:r>
          </w:p>
          <w:p w14:paraId="065630D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8.清洗剂自动添加内置自动清洗剂添加泵，可于程序启动前设置清洗剂添加量，待程序启动后自动添加清洗剂</w:t>
            </w:r>
          </w:p>
          <w:p w14:paraId="6F9F205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9.内置程序数量：出厂内置≥6个程序</w:t>
            </w:r>
          </w:p>
          <w:p w14:paraId="5C6853D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10.显示屏及操控方式：≥4.3寸中文数码显示窗（运行过程中多参数显示，如腔体温度、剩余时间、所处阶段、清洗剂添加量、故障报警等）、旋钮/按键组合式操作（符合人机工程学）</w:t>
            </w:r>
          </w:p>
          <w:p w14:paraId="198DC31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11.清洗数据记录与打印：</w:t>
            </w:r>
            <w:r>
              <w:rPr>
                <w:rFonts w:hint="eastAsia" w:ascii="宋体" w:hAnsi="宋体" w:cs="宋体"/>
                <w:color w:val="auto"/>
                <w:sz w:val="21"/>
                <w:szCs w:val="21"/>
                <w:highlight w:val="none"/>
                <w:lang w:val="en-US" w:eastAsia="zh-CN"/>
              </w:rPr>
              <w:t>支持</w:t>
            </w:r>
            <w:r>
              <w:rPr>
                <w:rFonts w:hint="eastAsia" w:ascii="宋体" w:hAnsi="宋体" w:eastAsia="宋体" w:cs="宋体"/>
                <w:color w:val="auto"/>
                <w:sz w:val="21"/>
                <w:szCs w:val="21"/>
                <w:highlight w:val="none"/>
                <w:lang w:val="en-US" w:eastAsia="zh-CN"/>
              </w:rPr>
              <w:t>实时保存与查看清洗状态；可实现完整清洗周期内的清洗记录打印</w:t>
            </w:r>
          </w:p>
          <w:p w14:paraId="15637DA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12.主机尺寸（宽×高×深）：≥527mm×595mm×486mm</w:t>
            </w:r>
          </w:p>
          <w:p w14:paraId="124833F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（三）高速涡轮牙科手机参数</w:t>
            </w:r>
          </w:p>
          <w:p w14:paraId="20266CD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1.车针夹持方式按压式</w:t>
            </w:r>
          </w:p>
          <w:p w14:paraId="3DDA602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2.气压2.5-3.0kgf/cm</w:t>
            </w:r>
            <w:r>
              <w:rPr>
                <w:rFonts w:hint="eastAsia" w:ascii="宋体" w:hAnsi="宋体" w:eastAsia="宋体" w:cs="宋体"/>
                <w:color w:val="auto"/>
                <w:sz w:val="21"/>
                <w:szCs w:val="21"/>
                <w:highlight w:val="none"/>
                <w:vertAlign w:val="superscript"/>
                <w:lang w:val="en-US" w:eastAsia="zh-CN"/>
              </w:rPr>
              <w:t>2</w:t>
            </w:r>
          </w:p>
          <w:p w14:paraId="284ACF3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3.水压0.08-0.2MPa</w:t>
            </w:r>
          </w:p>
          <w:p w14:paraId="5F675B1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4.转速280000-450000r/min</w:t>
            </w:r>
          </w:p>
          <w:p w14:paraId="7597157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5.最高转速＞330000r/min</w:t>
            </w:r>
          </w:p>
          <w:p w14:paraId="5273BC0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6.机头类型大头</w:t>
            </w:r>
          </w:p>
          <w:p w14:paraId="0656806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二、设备具体配置需求：</w:t>
            </w:r>
          </w:p>
          <w:p w14:paraId="0A7C011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（一）高温清洗消毒机（医用清洗器）</w:t>
            </w:r>
          </w:p>
          <w:p w14:paraId="12B8F3B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1.医用清洗机主机1台</w:t>
            </w:r>
          </w:p>
          <w:p w14:paraId="6C9820F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2.合格证/保修卡1份</w:t>
            </w:r>
          </w:p>
          <w:p w14:paraId="253678E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3.使用说明书1份</w:t>
            </w:r>
          </w:p>
          <w:p w14:paraId="571EB8C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4.进水管1根</w:t>
            </w:r>
          </w:p>
          <w:p w14:paraId="4D046ED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5.牙科手机清洗篮(18支)1个</w:t>
            </w:r>
          </w:p>
          <w:p w14:paraId="39A9097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6.标准器械清洗筐1个</w:t>
            </w:r>
          </w:p>
          <w:p w14:paraId="29C80D8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7.手机插座（Ø13+Ø17.5）18个</w:t>
            </w:r>
          </w:p>
          <w:p w14:paraId="1975AB5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8.手机插座堵头（Ø19）18个</w:t>
            </w:r>
          </w:p>
          <w:p w14:paraId="53EC506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9.5L清洗剂容器1个</w:t>
            </w:r>
          </w:p>
          <w:p w14:paraId="5B5F3D8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（二）高速涡轮牙科手机</w:t>
            </w:r>
          </w:p>
          <w:p w14:paraId="015158B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1.高速手机1个</w:t>
            </w:r>
          </w:p>
          <w:p w14:paraId="237C450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2.说明书1份</w:t>
            </w:r>
          </w:p>
          <w:p w14:paraId="3FBABEB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3.合格证1份</w:t>
            </w:r>
          </w:p>
          <w:p w14:paraId="5577868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4.保修卡1份</w:t>
            </w:r>
          </w:p>
          <w:p w14:paraId="10D6CE0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5.清洁通针1个</w:t>
            </w:r>
          </w:p>
          <w:p w14:paraId="02370351">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w:t>
            </w:r>
            <w:r>
              <w:rPr>
                <w:rFonts w:hint="eastAsia" w:ascii="宋体" w:hAnsi="宋体" w:eastAsia="宋体" w:cs="宋体"/>
                <w:b/>
                <w:bCs/>
                <w:color w:val="auto"/>
                <w:sz w:val="21"/>
                <w:szCs w:val="21"/>
                <w:highlight w:val="none"/>
                <w:lang w:val="en-US" w:eastAsia="zh-CN"/>
                <w14:ligatures w14:val="none"/>
              </w:rPr>
              <w:t>产品符合相关医疗卫生标准和规范，需要在投标文件中提供①生产企业卫生许可证扫描件（ 生产项目：消毒器械类）②产品卫生安全评价报告或者新消毒产品卫生许可批件</w:t>
            </w:r>
            <w:r>
              <w:rPr>
                <w:rFonts w:hint="eastAsia" w:ascii="宋体" w:hAnsi="宋体" w:cs="宋体"/>
                <w:b/>
                <w:bCs/>
                <w:color w:val="auto"/>
                <w:sz w:val="21"/>
                <w:szCs w:val="21"/>
                <w:highlight w:val="none"/>
                <w:lang w:val="en-US" w:eastAsia="zh-CN"/>
                <w14:ligatures w14:val="none"/>
              </w:rPr>
              <w:t>扫描件</w:t>
            </w:r>
            <w:r>
              <w:rPr>
                <w:rFonts w:hint="eastAsia" w:ascii="宋体" w:hAnsi="宋体" w:eastAsia="宋体" w:cs="宋体"/>
                <w:b/>
                <w:bCs/>
                <w:color w:val="auto"/>
                <w:sz w:val="21"/>
                <w:szCs w:val="21"/>
                <w:highlight w:val="none"/>
                <w:lang w:val="en-US" w:eastAsia="zh-CN"/>
                <w14:ligatures w14:val="none"/>
              </w:rPr>
              <w:t>， 以上有效证件的扫描件须加盖原件持有者的印章。</w:t>
            </w:r>
          </w:p>
        </w:tc>
        <w:tc>
          <w:tcPr>
            <w:tcW w:w="1100" w:type="dxa"/>
            <w:tcBorders>
              <w:left w:val="single" w:color="auto" w:sz="4" w:space="0"/>
            </w:tcBorders>
            <w:shd w:val="clear" w:color="auto" w:fill="auto"/>
            <w:vAlign w:val="center"/>
          </w:tcPr>
          <w:p w14:paraId="230400E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4.1</w:t>
            </w:r>
          </w:p>
        </w:tc>
      </w:tr>
      <w:tr w14:paraId="76DC9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9252" w:type="dxa"/>
            <w:gridSpan w:val="7"/>
            <w:vAlign w:val="center"/>
          </w:tcPr>
          <w:p w14:paraId="179089A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color w:val="auto"/>
                <w:kern w:val="2"/>
                <w:sz w:val="21"/>
                <w:szCs w:val="21"/>
                <w:highlight w:val="none"/>
                <w:lang w:val="en-US" w:eastAsia="zh-CN" w:bidi="ar-SA"/>
              </w:rPr>
              <w:t>急诊科</w:t>
            </w:r>
          </w:p>
        </w:tc>
      </w:tr>
      <w:tr w14:paraId="407B5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26670B8F">
            <w:pPr>
              <w:numPr>
                <w:ilvl w:val="0"/>
                <w:numId w:val="11"/>
              </w:numPr>
              <w:snapToGrid w:val="0"/>
              <w:spacing w:line="360" w:lineRule="auto"/>
              <w:jc w:val="center"/>
              <w:rPr>
                <w:rFonts w:hint="eastAsia" w:ascii="宋体" w:hAnsi="宋体" w:eastAsia="宋体" w:cs="宋体"/>
                <w:color w:val="auto"/>
                <w:sz w:val="21"/>
                <w:szCs w:val="21"/>
                <w:highlight w:val="none"/>
              </w:rPr>
            </w:pPr>
          </w:p>
        </w:tc>
        <w:tc>
          <w:tcPr>
            <w:tcW w:w="850" w:type="dxa"/>
            <w:shd w:val="clear" w:color="auto" w:fill="auto"/>
            <w:vAlign w:val="center"/>
          </w:tcPr>
          <w:p w14:paraId="6B4B6DC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自动洗胃机</w:t>
            </w:r>
          </w:p>
        </w:tc>
        <w:tc>
          <w:tcPr>
            <w:tcW w:w="500" w:type="dxa"/>
            <w:tcBorders>
              <w:right w:val="single" w:color="auto" w:sz="4" w:space="0"/>
            </w:tcBorders>
            <w:shd w:val="clear" w:color="auto" w:fill="auto"/>
            <w:vAlign w:val="center"/>
          </w:tcPr>
          <w:p w14:paraId="65D225A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gridSpan w:val="2"/>
            <w:tcBorders>
              <w:left w:val="single" w:color="auto" w:sz="4" w:space="0"/>
              <w:right w:val="single" w:color="auto" w:sz="4" w:space="0"/>
            </w:tcBorders>
            <w:shd w:val="clear" w:color="auto" w:fill="auto"/>
            <w:vAlign w:val="center"/>
          </w:tcPr>
          <w:p w14:paraId="27FDE290">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台</w:t>
            </w:r>
          </w:p>
        </w:tc>
        <w:tc>
          <w:tcPr>
            <w:tcW w:w="5721" w:type="dxa"/>
            <w:tcBorders>
              <w:left w:val="single" w:color="auto" w:sz="4" w:space="0"/>
              <w:right w:val="single" w:color="auto" w:sz="4" w:space="0"/>
            </w:tcBorders>
            <w:shd w:val="clear" w:color="auto" w:fill="auto"/>
            <w:vAlign w:val="center"/>
          </w:tcPr>
          <w:p w14:paraId="4F99AE14">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一、功能性参数要求：</w:t>
            </w:r>
          </w:p>
          <w:p w14:paraId="60E3AFCA">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1.防护类型</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Ⅰ类B型</w:t>
            </w:r>
          </w:p>
          <w:p w14:paraId="6F44A7FE">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2.工作压力：‖47kPa-67kPa‖</w:t>
            </w:r>
          </w:p>
          <w:p w14:paraId="2972D4A2">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3.压力误差：≤±5kPa</w:t>
            </w:r>
          </w:p>
          <w:p w14:paraId="6593AC1F">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4.流量：≥2.0L/min</w:t>
            </w:r>
          </w:p>
          <w:p w14:paraId="27D79C9D">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5.洗胃周期：＜30s</w:t>
            </w:r>
          </w:p>
          <w:p w14:paraId="165EC868">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6.自控冲液量：≤350ml/次</w:t>
            </w:r>
          </w:p>
          <w:p w14:paraId="25A47AE8">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7.自控吸液量：≤450ml/次</w:t>
            </w:r>
          </w:p>
          <w:p w14:paraId="354D3576">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8.工作噪声：≤65dB（A声级）</w:t>
            </w:r>
          </w:p>
          <w:p w14:paraId="6C512E03">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9.环境温度：+5℃-+40℃</w:t>
            </w:r>
          </w:p>
          <w:p w14:paraId="18217C05">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10.相对湿度：≤80%</w:t>
            </w:r>
          </w:p>
          <w:p w14:paraId="1A9927C7">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二、配置需求：</w:t>
            </w:r>
          </w:p>
          <w:p w14:paraId="0D8CBCB5">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1.主机1台</w:t>
            </w:r>
          </w:p>
          <w:p w14:paraId="5325B9AF">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2.毒医用硅胶管3根</w:t>
            </w:r>
          </w:p>
          <w:p w14:paraId="08ECA911">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3.一次性使用胃管包1包</w:t>
            </w:r>
          </w:p>
          <w:p w14:paraId="08F18DA1">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4.转换接头1个</w:t>
            </w:r>
          </w:p>
          <w:p w14:paraId="7071D0EA">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5.过滤接头1个</w:t>
            </w:r>
          </w:p>
          <w:p w14:paraId="7A7EB5CD">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6.不锈钢接头1个</w:t>
            </w:r>
          </w:p>
          <w:p w14:paraId="69679926">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7.电源线1根</w:t>
            </w:r>
          </w:p>
          <w:p w14:paraId="42CE3A46">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8.备用保险管2个</w:t>
            </w:r>
          </w:p>
          <w:p w14:paraId="7607E95C">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9.防尘堵4个</w:t>
            </w:r>
          </w:p>
          <w:p w14:paraId="6F1C7D17">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10.说明书1份</w:t>
            </w:r>
          </w:p>
          <w:p w14:paraId="132D0F73">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11.合格证1份</w:t>
            </w:r>
          </w:p>
          <w:p w14:paraId="060E10C9">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12.保修卡1份</w:t>
            </w:r>
          </w:p>
          <w:p w14:paraId="68DA76AF">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w:t>
            </w:r>
            <w:r>
              <w:rPr>
                <w:rFonts w:hint="eastAsia" w:ascii="宋体" w:hAnsi="宋体" w:cs="宋体"/>
                <w:color w:val="auto"/>
                <w:kern w:val="2"/>
                <w:sz w:val="21"/>
                <w:szCs w:val="21"/>
                <w:highlight w:val="none"/>
                <w:lang w:val="en-US" w:eastAsia="zh-CN" w:bidi="ar-SA"/>
              </w:rPr>
              <w:t>生产</w:t>
            </w:r>
            <w:r>
              <w:rPr>
                <w:rFonts w:hint="eastAsia" w:ascii="宋体" w:hAnsi="宋体" w:eastAsia="宋体" w:cs="宋体"/>
                <w:color w:val="auto"/>
                <w:kern w:val="2"/>
                <w:sz w:val="21"/>
                <w:szCs w:val="21"/>
                <w:highlight w:val="none"/>
                <w:lang w:val="en-US" w:eastAsia="zh-CN" w:bidi="ar-SA"/>
              </w:rPr>
              <w:t>企业资质1份</w:t>
            </w:r>
          </w:p>
          <w:p w14:paraId="692E9783">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14.操作指南1份</w:t>
            </w:r>
          </w:p>
        </w:tc>
        <w:tc>
          <w:tcPr>
            <w:tcW w:w="1100" w:type="dxa"/>
            <w:tcBorders>
              <w:left w:val="single" w:color="auto" w:sz="4" w:space="0"/>
            </w:tcBorders>
            <w:shd w:val="clear" w:color="auto" w:fill="auto"/>
            <w:vAlign w:val="center"/>
          </w:tcPr>
          <w:p w14:paraId="5502966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r>
      <w:tr w14:paraId="28F70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2C816EEB">
            <w:pPr>
              <w:numPr>
                <w:ilvl w:val="0"/>
                <w:numId w:val="11"/>
              </w:numPr>
              <w:snapToGrid w:val="0"/>
              <w:spacing w:line="360" w:lineRule="auto"/>
              <w:jc w:val="center"/>
              <w:rPr>
                <w:rFonts w:hint="eastAsia" w:ascii="宋体" w:hAnsi="宋体" w:eastAsia="宋体" w:cs="宋体"/>
                <w:color w:val="auto"/>
                <w:sz w:val="21"/>
                <w:szCs w:val="21"/>
                <w:highlight w:val="none"/>
              </w:rPr>
            </w:pPr>
          </w:p>
        </w:tc>
        <w:tc>
          <w:tcPr>
            <w:tcW w:w="850" w:type="dxa"/>
            <w:shd w:val="clear" w:color="auto" w:fill="auto"/>
            <w:vAlign w:val="center"/>
          </w:tcPr>
          <w:p w14:paraId="75E6CDA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气管插管器（可视喉镜）</w:t>
            </w:r>
          </w:p>
        </w:tc>
        <w:tc>
          <w:tcPr>
            <w:tcW w:w="500" w:type="dxa"/>
            <w:tcBorders>
              <w:right w:val="single" w:color="auto" w:sz="4" w:space="0"/>
            </w:tcBorders>
            <w:shd w:val="clear" w:color="auto" w:fill="auto"/>
            <w:vAlign w:val="center"/>
          </w:tcPr>
          <w:p w14:paraId="429AA3A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gridSpan w:val="2"/>
            <w:tcBorders>
              <w:left w:val="single" w:color="auto" w:sz="4" w:space="0"/>
              <w:right w:val="single" w:color="auto" w:sz="4" w:space="0"/>
            </w:tcBorders>
            <w:shd w:val="clear" w:color="auto" w:fill="auto"/>
            <w:vAlign w:val="center"/>
          </w:tcPr>
          <w:p w14:paraId="42BC5096">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台</w:t>
            </w:r>
          </w:p>
        </w:tc>
        <w:tc>
          <w:tcPr>
            <w:tcW w:w="5721" w:type="dxa"/>
            <w:tcBorders>
              <w:left w:val="single" w:color="auto" w:sz="4" w:space="0"/>
              <w:right w:val="single" w:color="auto" w:sz="4" w:space="0"/>
            </w:tcBorders>
            <w:shd w:val="clear" w:color="auto" w:fill="auto"/>
            <w:vAlign w:val="center"/>
          </w:tcPr>
          <w:p w14:paraId="6EBC6650">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一、功能性参数要求：</w:t>
            </w:r>
          </w:p>
          <w:p w14:paraId="6960DAA4">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1.整机由喉镜片和显示器两部分组成，整机具有拍照录像、数据存取功能</w:t>
            </w:r>
          </w:p>
          <w:p w14:paraId="5E7D2F62">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2.显示器能上下0º～110º转动，左右0º～270º转动</w:t>
            </w:r>
          </w:p>
          <w:p w14:paraId="1965F2FD">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3.喉镜片摄像头与镜片前端的最高垂直距离≤35mm</w:t>
            </w:r>
          </w:p>
          <w:p w14:paraId="7F395279">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▲4.一次性喉镜片可插入镜片长度：≥108mm</w:t>
            </w:r>
          </w:p>
          <w:p w14:paraId="614D54AC">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▲5.渐缩型镜片前端厚度：≤12.5mm</w:t>
            </w:r>
          </w:p>
          <w:p w14:paraId="59705EF3">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6.镜片角度：≥42度</w:t>
            </w:r>
          </w:p>
          <w:p w14:paraId="7BE2C19A">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7.配套PCTG材料一次性使用喉镜片。较PC材质，不含双酚A。</w:t>
            </w:r>
          </w:p>
          <w:p w14:paraId="3E892AB2">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8.视场角60º±15%</w:t>
            </w:r>
          </w:p>
          <w:p w14:paraId="092BCECA">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▲9.摄像头内置的全密封防水设计高功率LED光源，光照度≥150Lux</w:t>
            </w:r>
          </w:p>
          <w:p w14:paraId="72F6C65C">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10.液晶屏像素（PIX）：≥720</w:t>
            </w:r>
            <w:r>
              <w:rPr>
                <w:rFonts w:hint="default" w:ascii="Arial" w:hAnsi="Arial" w:eastAsia="宋体" w:cs="Arial"/>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480</w:t>
            </w:r>
          </w:p>
          <w:p w14:paraId="67B3FF72">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11.分辨率≥7.87LP/mm</w:t>
            </w:r>
          </w:p>
          <w:p w14:paraId="6D523708">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12.镜片手柄与显示组件的连接：不受力直插式</w:t>
            </w:r>
          </w:p>
          <w:p w14:paraId="398B6066">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w:t>
            </w:r>
            <w:r>
              <w:rPr>
                <w:rFonts w:hint="eastAsia" w:ascii="宋体" w:hAnsi="宋体" w:cs="宋体"/>
                <w:color w:val="auto"/>
                <w:kern w:val="2"/>
                <w:sz w:val="21"/>
                <w:szCs w:val="21"/>
                <w:highlight w:val="none"/>
                <w:lang w:val="en-US" w:eastAsia="zh-CN" w:bidi="ar-SA"/>
              </w:rPr>
              <w:t>纺锤形</w:t>
            </w:r>
            <w:r>
              <w:rPr>
                <w:rFonts w:hint="eastAsia" w:ascii="宋体" w:hAnsi="宋体" w:eastAsia="宋体" w:cs="宋体"/>
                <w:color w:val="auto"/>
                <w:kern w:val="2"/>
                <w:sz w:val="21"/>
                <w:szCs w:val="21"/>
                <w:highlight w:val="none"/>
                <w:lang w:val="en-US" w:eastAsia="zh-CN" w:bidi="ar-SA"/>
              </w:rPr>
              <w:t>短手柄设计</w:t>
            </w:r>
          </w:p>
          <w:p w14:paraId="23415EE1">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14.具有防雾功能</w:t>
            </w:r>
          </w:p>
          <w:p w14:paraId="20D97283">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15.手柄防水等级：≥IPX7</w:t>
            </w:r>
          </w:p>
          <w:p w14:paraId="57B8B556">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16.具备拍照录像功能，数据存储，可存储照片数量＞40万张，可存储录像时长16小时</w:t>
            </w:r>
          </w:p>
          <w:p w14:paraId="561A6E2E">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17.支持Wi-Fi无线传输图像，触屏操作。</w:t>
            </w:r>
          </w:p>
          <w:p w14:paraId="7D5955D2">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21.持续放电时间：＞3小时</w:t>
            </w:r>
          </w:p>
          <w:p w14:paraId="32794C4E">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22.充电次数：＞300次</w:t>
            </w:r>
          </w:p>
          <w:p w14:paraId="02C00A76">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23.内置可充电式锂电子聚合物电池</w:t>
            </w:r>
          </w:p>
          <w:p w14:paraId="7123A40F">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二、配置需求：</w:t>
            </w:r>
          </w:p>
          <w:p w14:paraId="5878D34D">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1.显示部件1个</w:t>
            </w:r>
          </w:p>
          <w:p w14:paraId="2CE935AF">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2.镜片支架部件1个</w:t>
            </w:r>
          </w:p>
          <w:p w14:paraId="4F89FEDF">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3.充电器1个</w:t>
            </w:r>
          </w:p>
          <w:p w14:paraId="72B523F9">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4.数据线1根</w:t>
            </w:r>
          </w:p>
          <w:p w14:paraId="1A3F8AB1">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5.环保专用箱1个</w:t>
            </w:r>
          </w:p>
          <w:p w14:paraId="7D2DE2CD">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6.保修卡1</w:t>
            </w:r>
            <w:r>
              <w:rPr>
                <w:rFonts w:hint="eastAsia" w:ascii="宋体" w:hAnsi="宋体" w:cs="宋体"/>
                <w:color w:val="auto"/>
                <w:kern w:val="2"/>
                <w:sz w:val="21"/>
                <w:szCs w:val="21"/>
                <w:highlight w:val="none"/>
                <w:lang w:val="en-US" w:eastAsia="zh-CN" w:bidi="ar-SA"/>
              </w:rPr>
              <w:t>份</w:t>
            </w:r>
          </w:p>
          <w:p w14:paraId="2E3132F9">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7.说明书1本</w:t>
            </w:r>
          </w:p>
          <w:p w14:paraId="4E257941">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8.合格证1份</w:t>
            </w:r>
          </w:p>
          <w:p w14:paraId="1166C2B6">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9.装箱单1份</w:t>
            </w:r>
          </w:p>
          <w:p w14:paraId="1E526FBE">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10.消毒帽1个</w:t>
            </w:r>
          </w:p>
        </w:tc>
        <w:tc>
          <w:tcPr>
            <w:tcW w:w="1100" w:type="dxa"/>
            <w:tcBorders>
              <w:left w:val="single" w:color="auto" w:sz="4" w:space="0"/>
            </w:tcBorders>
            <w:shd w:val="clear" w:color="auto" w:fill="auto"/>
            <w:vAlign w:val="center"/>
          </w:tcPr>
          <w:p w14:paraId="4A9F931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w:t>
            </w:r>
          </w:p>
        </w:tc>
      </w:tr>
      <w:tr w14:paraId="62EE8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04E86A06">
            <w:pPr>
              <w:numPr>
                <w:ilvl w:val="0"/>
                <w:numId w:val="11"/>
              </w:numPr>
              <w:snapToGrid w:val="0"/>
              <w:spacing w:line="360" w:lineRule="auto"/>
              <w:jc w:val="center"/>
              <w:rPr>
                <w:rFonts w:hint="eastAsia" w:ascii="宋体" w:hAnsi="宋体" w:eastAsia="宋体" w:cs="宋体"/>
                <w:color w:val="auto"/>
                <w:sz w:val="21"/>
                <w:szCs w:val="21"/>
                <w:highlight w:val="none"/>
              </w:rPr>
            </w:pPr>
          </w:p>
        </w:tc>
        <w:tc>
          <w:tcPr>
            <w:tcW w:w="850" w:type="dxa"/>
            <w:shd w:val="clear" w:color="auto" w:fill="auto"/>
            <w:vAlign w:val="center"/>
          </w:tcPr>
          <w:p w14:paraId="37DB3DD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转运车（不锈钢四小轮担架车）</w:t>
            </w:r>
          </w:p>
        </w:tc>
        <w:tc>
          <w:tcPr>
            <w:tcW w:w="500" w:type="dxa"/>
            <w:tcBorders>
              <w:right w:val="single" w:color="auto" w:sz="4" w:space="0"/>
            </w:tcBorders>
            <w:shd w:val="clear" w:color="auto" w:fill="auto"/>
            <w:vAlign w:val="center"/>
          </w:tcPr>
          <w:p w14:paraId="06CA507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514" w:type="dxa"/>
            <w:gridSpan w:val="2"/>
            <w:tcBorders>
              <w:left w:val="single" w:color="auto" w:sz="4" w:space="0"/>
              <w:right w:val="single" w:color="auto" w:sz="4" w:space="0"/>
            </w:tcBorders>
            <w:shd w:val="clear" w:color="auto" w:fill="auto"/>
            <w:vAlign w:val="center"/>
          </w:tcPr>
          <w:p w14:paraId="3817F76D">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辆</w:t>
            </w:r>
          </w:p>
        </w:tc>
        <w:tc>
          <w:tcPr>
            <w:tcW w:w="5721" w:type="dxa"/>
            <w:tcBorders>
              <w:left w:val="single" w:color="auto" w:sz="4" w:space="0"/>
              <w:right w:val="single" w:color="auto" w:sz="4" w:space="0"/>
            </w:tcBorders>
            <w:shd w:val="clear" w:color="auto" w:fill="auto"/>
            <w:vAlign w:val="center"/>
          </w:tcPr>
          <w:p w14:paraId="1349A7A7">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一、功能性参数要求：</w:t>
            </w:r>
          </w:p>
          <w:p w14:paraId="3D28B117">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1.担架车采用Φ32和Φ25不锈钢管加工而成，管壁厚度均达到1.0mm。</w:t>
            </w:r>
          </w:p>
          <w:p w14:paraId="34BD01A1">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2.采用≥125</w:t>
            </w:r>
            <w:r>
              <w:rPr>
                <w:rFonts w:hint="eastAsia" w:ascii="宋体" w:hAnsi="宋体" w:cs="宋体"/>
                <w:color w:val="auto"/>
                <w:kern w:val="2"/>
                <w:sz w:val="21"/>
                <w:szCs w:val="21"/>
                <w:highlight w:val="none"/>
                <w:lang w:val="en-US" w:eastAsia="zh-CN" w:bidi="ar-SA"/>
              </w:rPr>
              <w:t>mm</w:t>
            </w:r>
            <w:r>
              <w:rPr>
                <w:rFonts w:hint="eastAsia" w:ascii="宋体" w:hAnsi="宋体" w:eastAsia="宋体" w:cs="宋体"/>
                <w:color w:val="auto"/>
                <w:kern w:val="2"/>
                <w:sz w:val="21"/>
                <w:szCs w:val="21"/>
                <w:highlight w:val="none"/>
                <w:lang w:val="en-US" w:eastAsia="zh-CN" w:bidi="ar-SA"/>
              </w:rPr>
              <w:t>静音脚轮。</w:t>
            </w:r>
          </w:p>
          <w:p w14:paraId="7A6474BF">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3.担架车床面采用≥40</w:t>
            </w:r>
            <w:r>
              <w:rPr>
                <w:rFonts w:hint="default" w:ascii="Arial" w:hAnsi="Arial" w:eastAsia="宋体" w:cs="Arial"/>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1.0mm不锈钢管。</w:t>
            </w:r>
          </w:p>
          <w:p w14:paraId="3A256856">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4.两侧护栏上下翻动的关键部分弹簧，采用不锈钢专用弹簧。</w:t>
            </w:r>
          </w:p>
          <w:p w14:paraId="42581640">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5.紧急情况下，担架车面可与车体分离，护栏可折放；</w:t>
            </w:r>
          </w:p>
          <w:p w14:paraId="73B2C0B3">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6.床面上有对角输液架插孔。</w:t>
            </w:r>
          </w:p>
          <w:p w14:paraId="00E35924">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7.不锈钢升降输液架，ABS紧固系统，内镶铜丝套。</w:t>
            </w:r>
          </w:p>
          <w:p w14:paraId="4628B2F2">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8.车体下面有一个置物筐。</w:t>
            </w:r>
          </w:p>
          <w:p w14:paraId="581B1291">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r>
              <w:rPr>
                <w:rFonts w:hint="eastAsia" w:ascii="宋体" w:hAnsi="宋体" w:cs="宋体"/>
                <w:color w:val="auto"/>
                <w:kern w:val="2"/>
                <w:sz w:val="21"/>
                <w:szCs w:val="21"/>
                <w:highlight w:val="none"/>
                <w:lang w:val="en-US" w:eastAsia="zh-CN" w:bidi="ar-SA"/>
              </w:rPr>
              <w:t>配置</w:t>
            </w:r>
            <w:r>
              <w:rPr>
                <w:rFonts w:hint="eastAsia" w:ascii="宋体" w:hAnsi="宋体" w:eastAsia="宋体" w:cs="宋体"/>
                <w:color w:val="auto"/>
                <w:kern w:val="2"/>
                <w:sz w:val="21"/>
                <w:szCs w:val="21"/>
                <w:highlight w:val="none"/>
                <w:lang w:val="en-US" w:eastAsia="zh-CN" w:bidi="ar-SA"/>
              </w:rPr>
              <w:t>防水无缝PVC床垫（≥5cm厚度海绵）。</w:t>
            </w:r>
          </w:p>
          <w:p w14:paraId="18EA87E7">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10.具备半卧位功能</w:t>
            </w:r>
          </w:p>
          <w:p w14:paraId="38C72B7C">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11.尺寸：≥1950×600×800（mm）</w:t>
            </w:r>
          </w:p>
          <w:p w14:paraId="1A9B7D54">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w:t>
            </w:r>
            <w:r>
              <w:rPr>
                <w:rFonts w:hint="eastAsia" w:ascii="宋体" w:hAnsi="宋体" w:cs="宋体"/>
                <w:color w:val="auto"/>
                <w:kern w:val="2"/>
                <w:sz w:val="21"/>
                <w:szCs w:val="21"/>
                <w:highlight w:val="none"/>
                <w:lang w:val="en-US" w:eastAsia="zh-CN" w:bidi="ar-SA"/>
              </w:rPr>
              <w:t>每辆</w:t>
            </w:r>
            <w:r>
              <w:rPr>
                <w:rFonts w:hint="eastAsia" w:ascii="宋体" w:hAnsi="宋体" w:eastAsia="宋体" w:cs="宋体"/>
                <w:color w:val="auto"/>
                <w:kern w:val="2"/>
                <w:sz w:val="21"/>
                <w:szCs w:val="21"/>
                <w:highlight w:val="none"/>
                <w:lang w:val="en-US" w:eastAsia="zh-CN" w:bidi="ar-SA"/>
              </w:rPr>
              <w:t>配置需求：</w:t>
            </w:r>
          </w:p>
          <w:p w14:paraId="44168862">
            <w:pPr>
              <w:widowControl/>
              <w:spacing w:line="360" w:lineRule="auto"/>
              <w:jc w:val="left"/>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1.车体</w:t>
            </w:r>
            <w:r>
              <w:rPr>
                <w:rFonts w:hint="eastAsia" w:ascii="宋体" w:hAnsi="宋体" w:cs="宋体"/>
                <w:color w:val="auto"/>
                <w:kern w:val="2"/>
                <w:sz w:val="21"/>
                <w:szCs w:val="21"/>
                <w:highlight w:val="none"/>
                <w:lang w:val="en-US" w:eastAsia="zh-CN" w:bidi="ar-SA"/>
              </w:rPr>
              <w:t>1个</w:t>
            </w:r>
          </w:p>
          <w:p w14:paraId="1CA57169">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2.床垫1个</w:t>
            </w:r>
          </w:p>
          <w:p w14:paraId="79C3A41B">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3.输液架1个</w:t>
            </w:r>
          </w:p>
          <w:p w14:paraId="4B2C1B44">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4.杂物架1个</w:t>
            </w:r>
          </w:p>
          <w:p w14:paraId="639FEEA1">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5.10L氧气瓶置物架1个</w:t>
            </w:r>
          </w:p>
        </w:tc>
        <w:tc>
          <w:tcPr>
            <w:tcW w:w="1100" w:type="dxa"/>
            <w:tcBorders>
              <w:left w:val="single" w:color="auto" w:sz="4" w:space="0"/>
            </w:tcBorders>
            <w:shd w:val="clear" w:color="auto" w:fill="auto"/>
            <w:vAlign w:val="center"/>
          </w:tcPr>
          <w:p w14:paraId="17B20F3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0.46</w:t>
            </w:r>
          </w:p>
        </w:tc>
      </w:tr>
      <w:tr w14:paraId="2FB20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23DE644A">
            <w:pPr>
              <w:numPr>
                <w:ilvl w:val="0"/>
                <w:numId w:val="11"/>
              </w:numPr>
              <w:snapToGrid w:val="0"/>
              <w:spacing w:line="360" w:lineRule="auto"/>
              <w:jc w:val="center"/>
              <w:rPr>
                <w:rFonts w:hint="eastAsia" w:ascii="宋体" w:hAnsi="宋体" w:eastAsia="宋体" w:cs="宋体"/>
                <w:color w:val="auto"/>
                <w:sz w:val="21"/>
                <w:szCs w:val="21"/>
                <w:highlight w:val="none"/>
              </w:rPr>
            </w:pPr>
          </w:p>
        </w:tc>
        <w:tc>
          <w:tcPr>
            <w:tcW w:w="850" w:type="dxa"/>
            <w:tcBorders>
              <w:bottom w:val="single" w:color="auto" w:sz="4" w:space="0"/>
            </w:tcBorders>
            <w:shd w:val="clear" w:color="auto" w:fill="auto"/>
            <w:vAlign w:val="center"/>
          </w:tcPr>
          <w:p w14:paraId="208846B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抢救床（升降平车）</w:t>
            </w:r>
          </w:p>
        </w:tc>
        <w:tc>
          <w:tcPr>
            <w:tcW w:w="500" w:type="dxa"/>
            <w:tcBorders>
              <w:right w:val="single" w:color="auto" w:sz="4" w:space="0"/>
            </w:tcBorders>
            <w:shd w:val="clear" w:color="auto" w:fill="auto"/>
            <w:vAlign w:val="center"/>
          </w:tcPr>
          <w:p w14:paraId="0569150C">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514" w:type="dxa"/>
            <w:gridSpan w:val="2"/>
            <w:tcBorders>
              <w:left w:val="single" w:color="auto" w:sz="4" w:space="0"/>
              <w:right w:val="single" w:color="auto" w:sz="4" w:space="0"/>
            </w:tcBorders>
            <w:shd w:val="clear" w:color="auto" w:fill="auto"/>
            <w:vAlign w:val="center"/>
          </w:tcPr>
          <w:p w14:paraId="05403772">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张</w:t>
            </w:r>
          </w:p>
        </w:tc>
        <w:tc>
          <w:tcPr>
            <w:tcW w:w="5721" w:type="dxa"/>
            <w:tcBorders>
              <w:left w:val="single" w:color="auto" w:sz="4" w:space="0"/>
              <w:right w:val="single" w:color="auto" w:sz="4" w:space="0"/>
            </w:tcBorders>
            <w:shd w:val="clear" w:color="auto" w:fill="auto"/>
            <w:vAlign w:val="center"/>
          </w:tcPr>
          <w:p w14:paraId="33318287">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一、功能性参数要求：</w:t>
            </w:r>
          </w:p>
          <w:p w14:paraId="292C6C36">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1.规格≥1930</w:t>
            </w:r>
            <w:r>
              <w:rPr>
                <w:rFonts w:hint="default" w:ascii="Arial" w:hAnsi="Arial" w:eastAsia="宋体" w:cs="Arial"/>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760</w:t>
            </w:r>
            <w:r>
              <w:rPr>
                <w:rFonts w:hint="default" w:ascii="Arial" w:hAnsi="Arial" w:eastAsia="宋体" w:cs="Arial"/>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500/800mm</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升降行程：≥300mm</w:t>
            </w:r>
          </w:p>
          <w:p w14:paraId="35E8DF6E">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2.车面采用ABS工程注塑料一次铸压</w:t>
            </w:r>
            <w:r>
              <w:rPr>
                <w:rFonts w:hint="eastAsia" w:ascii="宋体" w:hAnsi="宋体" w:cs="宋体"/>
                <w:color w:val="auto"/>
                <w:kern w:val="2"/>
                <w:sz w:val="21"/>
                <w:szCs w:val="21"/>
                <w:highlight w:val="none"/>
                <w:lang w:val="en-US" w:eastAsia="zh-CN" w:bidi="ar-SA"/>
              </w:rPr>
              <w:t>成形</w:t>
            </w:r>
            <w:r>
              <w:rPr>
                <w:rFonts w:hint="eastAsia" w:ascii="宋体" w:hAnsi="宋体" w:eastAsia="宋体" w:cs="宋体"/>
                <w:color w:val="auto"/>
                <w:kern w:val="2"/>
                <w:sz w:val="21"/>
                <w:szCs w:val="21"/>
                <w:highlight w:val="none"/>
                <w:lang w:val="en-US" w:eastAsia="zh-CN" w:bidi="ar-SA"/>
              </w:rPr>
              <w:t>。</w:t>
            </w:r>
          </w:p>
          <w:p w14:paraId="68BC9B50">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3.四角</w:t>
            </w:r>
            <w:r>
              <w:rPr>
                <w:rFonts w:hint="eastAsia" w:ascii="宋体" w:hAnsi="宋体" w:cs="宋体"/>
                <w:color w:val="auto"/>
                <w:kern w:val="2"/>
                <w:sz w:val="21"/>
                <w:szCs w:val="21"/>
                <w:highlight w:val="none"/>
                <w:lang w:val="en-US" w:eastAsia="zh-CN" w:bidi="ar-SA"/>
              </w:rPr>
              <w:t>分别设计</w:t>
            </w:r>
            <w:r>
              <w:rPr>
                <w:rFonts w:hint="eastAsia" w:ascii="宋体" w:hAnsi="宋体" w:eastAsia="宋体" w:cs="宋体"/>
                <w:color w:val="auto"/>
                <w:kern w:val="2"/>
                <w:sz w:val="21"/>
                <w:szCs w:val="21"/>
                <w:highlight w:val="none"/>
                <w:lang w:val="en-US" w:eastAsia="zh-CN" w:bidi="ar-SA"/>
              </w:rPr>
              <w:t>有把手方便护理急救人员操作。</w:t>
            </w:r>
          </w:p>
          <w:p w14:paraId="2EC1BABC">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4.床身由≥30</w:t>
            </w:r>
            <w:r>
              <w:rPr>
                <w:rFonts w:hint="default" w:ascii="Arial" w:hAnsi="Arial" w:eastAsia="宋体" w:cs="Arial"/>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50厚≥1.2mm的冷轧钢管制成，</w:t>
            </w:r>
            <w:r>
              <w:rPr>
                <w:rFonts w:hint="eastAsia" w:ascii="宋体" w:hAnsi="宋体" w:cs="宋体"/>
                <w:color w:val="auto"/>
                <w:kern w:val="2"/>
                <w:sz w:val="21"/>
                <w:szCs w:val="21"/>
                <w:highlight w:val="none"/>
                <w:lang w:val="en-US" w:eastAsia="zh-CN" w:bidi="ar-SA"/>
              </w:rPr>
              <w:t>采用</w:t>
            </w:r>
            <w:r>
              <w:rPr>
                <w:rFonts w:hint="eastAsia" w:ascii="宋体" w:hAnsi="宋体" w:eastAsia="宋体" w:cs="宋体"/>
                <w:color w:val="auto"/>
                <w:kern w:val="2"/>
                <w:sz w:val="21"/>
                <w:szCs w:val="21"/>
                <w:highlight w:val="none"/>
                <w:lang w:val="en-US" w:eastAsia="zh-CN" w:bidi="ar-SA"/>
              </w:rPr>
              <w:t>机器人焊接工艺，可承载≥250kg。</w:t>
            </w:r>
          </w:p>
          <w:p w14:paraId="2DC51FD7">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5.床身采用环保</w:t>
            </w:r>
            <w:r>
              <w:rPr>
                <w:rFonts w:hint="eastAsia" w:ascii="宋体" w:hAnsi="宋体" w:cs="宋体"/>
                <w:color w:val="auto"/>
                <w:kern w:val="2"/>
                <w:sz w:val="21"/>
                <w:szCs w:val="21"/>
                <w:highlight w:val="none"/>
                <w:lang w:val="en-US" w:eastAsia="zh-CN" w:bidi="ar-SA"/>
              </w:rPr>
              <w:t>粉末</w:t>
            </w:r>
            <w:r>
              <w:rPr>
                <w:rFonts w:hint="eastAsia" w:ascii="宋体" w:hAnsi="宋体" w:eastAsia="宋体" w:cs="宋体"/>
                <w:color w:val="auto"/>
                <w:kern w:val="2"/>
                <w:sz w:val="21"/>
                <w:szCs w:val="21"/>
                <w:highlight w:val="none"/>
                <w:lang w:val="en-US" w:eastAsia="zh-CN" w:bidi="ar-SA"/>
              </w:rPr>
              <w:t>喷塑处理，起背采用气压系统，背部起升0-65°；</w:t>
            </w:r>
          </w:p>
          <w:p w14:paraId="4DC7D366">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6.护栏采用ABS提拉升降式护栏，放下采用气弹簧缓冲设计。</w:t>
            </w:r>
          </w:p>
          <w:p w14:paraId="24513D14">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7.整体升降采用摇杆式设计，升降行程500-800mm，摇把采用双向过盈保护，自动润滑功能。</w:t>
            </w:r>
          </w:p>
          <w:p w14:paraId="7FC95CF7">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8.平车底座为≥1.5mm冷轧钢板，采用模具一次性冲压</w:t>
            </w:r>
            <w:r>
              <w:rPr>
                <w:rFonts w:hint="eastAsia" w:ascii="宋体" w:hAnsi="宋体" w:cs="宋体"/>
                <w:color w:val="auto"/>
                <w:kern w:val="2"/>
                <w:sz w:val="21"/>
                <w:szCs w:val="21"/>
                <w:highlight w:val="none"/>
                <w:lang w:val="en-US" w:eastAsia="zh-CN" w:bidi="ar-SA"/>
              </w:rPr>
              <w:t>成形</w:t>
            </w:r>
            <w:r>
              <w:rPr>
                <w:rFonts w:hint="eastAsia" w:ascii="宋体" w:hAnsi="宋体" w:eastAsia="宋体" w:cs="宋体"/>
                <w:color w:val="auto"/>
                <w:kern w:val="2"/>
                <w:sz w:val="21"/>
                <w:szCs w:val="21"/>
                <w:highlight w:val="none"/>
                <w:lang w:val="en-US" w:eastAsia="zh-CN" w:bidi="ar-SA"/>
              </w:rPr>
              <w:t>；</w:t>
            </w:r>
          </w:p>
          <w:p w14:paraId="0BF66002">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9.刹车采用中控刹车系统，四个全制动脚轮，轮径≥φ150mm，脚轮具有耐油性、耐磨性、耐药性和耐化学品性。防尘脚轮。</w:t>
            </w:r>
          </w:p>
          <w:p w14:paraId="7A97F5B2">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10.增加第五轮设计。</w:t>
            </w:r>
          </w:p>
          <w:p w14:paraId="499622CB">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11.床体前部带有氧气瓶托架，可放置≥5L氧气瓶。</w:t>
            </w:r>
          </w:p>
          <w:p w14:paraId="051D0942">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12.平车头尾带有对角输液架插孔，并配有≥1</w:t>
            </w:r>
            <w:r>
              <w:rPr>
                <w:rFonts w:hint="eastAsia" w:ascii="宋体" w:hAnsi="宋体" w:cs="宋体"/>
                <w:color w:val="auto"/>
                <w:kern w:val="2"/>
                <w:sz w:val="21"/>
                <w:szCs w:val="21"/>
                <w:highlight w:val="none"/>
                <w:lang w:val="en-US" w:eastAsia="zh-CN" w:bidi="ar-SA"/>
              </w:rPr>
              <w:t>个</w:t>
            </w:r>
            <w:r>
              <w:rPr>
                <w:rFonts w:hint="eastAsia" w:ascii="宋体" w:hAnsi="宋体" w:eastAsia="宋体" w:cs="宋体"/>
                <w:color w:val="auto"/>
                <w:kern w:val="2"/>
                <w:sz w:val="21"/>
                <w:szCs w:val="21"/>
                <w:highlight w:val="none"/>
                <w:lang w:val="en-US" w:eastAsia="zh-CN" w:bidi="ar-SA"/>
              </w:rPr>
              <w:t>输液架；</w:t>
            </w:r>
          </w:p>
          <w:p w14:paraId="6FF546CB">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13.辅助装置：带有厚度≥3CM牛津布车垫，带有≥2条安全绑带。</w:t>
            </w:r>
          </w:p>
          <w:p w14:paraId="683AD6B7">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w:t>
            </w:r>
            <w:r>
              <w:rPr>
                <w:rFonts w:hint="eastAsia" w:ascii="宋体" w:hAnsi="宋体" w:cs="宋体"/>
                <w:color w:val="auto"/>
                <w:kern w:val="2"/>
                <w:sz w:val="21"/>
                <w:szCs w:val="21"/>
                <w:highlight w:val="none"/>
                <w:lang w:val="en-US" w:eastAsia="zh-CN" w:bidi="ar-SA"/>
              </w:rPr>
              <w:t>每张</w:t>
            </w:r>
            <w:r>
              <w:rPr>
                <w:rFonts w:hint="eastAsia" w:ascii="宋体" w:hAnsi="宋体" w:eastAsia="宋体" w:cs="宋体"/>
                <w:color w:val="auto"/>
                <w:kern w:val="2"/>
                <w:sz w:val="21"/>
                <w:szCs w:val="21"/>
                <w:highlight w:val="none"/>
                <w:lang w:val="en-US" w:eastAsia="zh-CN" w:bidi="ar-SA"/>
              </w:rPr>
              <w:t>配置需求：</w:t>
            </w:r>
          </w:p>
          <w:p w14:paraId="45093C1E">
            <w:pPr>
              <w:widowControl/>
              <w:spacing w:line="360" w:lineRule="auto"/>
              <w:jc w:val="left"/>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1.床体</w:t>
            </w:r>
            <w:r>
              <w:rPr>
                <w:rFonts w:hint="eastAsia" w:ascii="宋体" w:hAnsi="宋体" w:cs="宋体"/>
                <w:color w:val="auto"/>
                <w:kern w:val="2"/>
                <w:sz w:val="21"/>
                <w:szCs w:val="21"/>
                <w:highlight w:val="none"/>
                <w:lang w:val="en-US" w:eastAsia="zh-CN" w:bidi="ar-SA"/>
              </w:rPr>
              <w:t>1个</w:t>
            </w:r>
          </w:p>
          <w:p w14:paraId="1FB303EA">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2.床垫1个</w:t>
            </w:r>
          </w:p>
          <w:p w14:paraId="5CF9880E">
            <w:pPr>
              <w:widowControl/>
              <w:spacing w:line="360" w:lineRule="auto"/>
              <w:jc w:val="left"/>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3.护栏</w:t>
            </w:r>
            <w:r>
              <w:rPr>
                <w:rFonts w:hint="eastAsia" w:ascii="宋体" w:hAnsi="宋体" w:cs="宋体"/>
                <w:color w:val="auto"/>
                <w:kern w:val="2"/>
                <w:sz w:val="21"/>
                <w:szCs w:val="21"/>
                <w:highlight w:val="none"/>
                <w:lang w:val="en-US" w:eastAsia="zh-CN" w:bidi="ar-SA"/>
              </w:rPr>
              <w:t>1个</w:t>
            </w:r>
          </w:p>
          <w:p w14:paraId="27112F8F">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4.输液杆架1个</w:t>
            </w:r>
          </w:p>
          <w:p w14:paraId="3754C09B">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5.氧气瓶架1个</w:t>
            </w:r>
          </w:p>
          <w:p w14:paraId="1AEE1054">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6.脚轮1个</w:t>
            </w:r>
          </w:p>
          <w:p w14:paraId="55434B3B">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7.摇把1个</w:t>
            </w:r>
          </w:p>
          <w:p w14:paraId="4140E867">
            <w:pPr>
              <w:widowControl/>
              <w:spacing w:line="360" w:lineRule="auto"/>
              <w:jc w:val="left"/>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8.产品说明书</w:t>
            </w:r>
            <w:r>
              <w:rPr>
                <w:rFonts w:hint="eastAsia" w:ascii="宋体" w:hAnsi="宋体" w:cs="宋体"/>
                <w:color w:val="auto"/>
                <w:kern w:val="2"/>
                <w:sz w:val="21"/>
                <w:szCs w:val="21"/>
                <w:highlight w:val="none"/>
                <w:lang w:val="en-US" w:eastAsia="zh-CN" w:bidi="ar-SA"/>
              </w:rPr>
              <w:t>1份</w:t>
            </w:r>
          </w:p>
        </w:tc>
        <w:tc>
          <w:tcPr>
            <w:tcW w:w="1100" w:type="dxa"/>
            <w:tcBorders>
              <w:left w:val="single" w:color="auto" w:sz="4" w:space="0"/>
            </w:tcBorders>
            <w:shd w:val="clear" w:color="auto" w:fill="auto"/>
            <w:vAlign w:val="center"/>
          </w:tcPr>
          <w:p w14:paraId="30E8152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0.6</w:t>
            </w:r>
          </w:p>
        </w:tc>
      </w:tr>
      <w:tr w14:paraId="5EFAE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9252" w:type="dxa"/>
            <w:gridSpan w:val="7"/>
            <w:vAlign w:val="center"/>
          </w:tcPr>
          <w:p w14:paraId="2C367B21">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病房基本设备</w:t>
            </w:r>
          </w:p>
        </w:tc>
      </w:tr>
      <w:tr w14:paraId="4E24F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6D41C359">
            <w:pPr>
              <w:numPr>
                <w:ilvl w:val="0"/>
                <w:numId w:val="12"/>
              </w:numPr>
              <w:snapToGrid w:val="0"/>
              <w:spacing w:line="360" w:lineRule="auto"/>
              <w:jc w:val="center"/>
              <w:rPr>
                <w:rFonts w:hint="eastAsia" w:ascii="宋体" w:hAnsi="宋体" w:eastAsia="宋体" w:cs="宋体"/>
                <w:color w:val="auto"/>
                <w:sz w:val="21"/>
                <w:szCs w:val="21"/>
                <w:highlight w:val="none"/>
              </w:rPr>
            </w:pPr>
          </w:p>
        </w:tc>
        <w:tc>
          <w:tcPr>
            <w:tcW w:w="850" w:type="dxa"/>
            <w:tcBorders>
              <w:top w:val="single" w:color="auto" w:sz="4" w:space="0"/>
            </w:tcBorders>
            <w:shd w:val="clear" w:color="auto" w:fill="auto"/>
            <w:vAlign w:val="center"/>
          </w:tcPr>
          <w:p w14:paraId="2B45393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体外心脏除颤仪（除颤起搏监护仪）</w:t>
            </w:r>
          </w:p>
        </w:tc>
        <w:tc>
          <w:tcPr>
            <w:tcW w:w="500" w:type="dxa"/>
            <w:tcBorders>
              <w:right w:val="single" w:color="auto" w:sz="4" w:space="0"/>
            </w:tcBorders>
            <w:shd w:val="clear" w:color="auto" w:fill="auto"/>
            <w:vAlign w:val="center"/>
          </w:tcPr>
          <w:p w14:paraId="4ADAA4B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514" w:type="dxa"/>
            <w:gridSpan w:val="2"/>
            <w:tcBorders>
              <w:left w:val="single" w:color="auto" w:sz="4" w:space="0"/>
              <w:right w:val="single" w:color="auto" w:sz="4" w:space="0"/>
            </w:tcBorders>
            <w:vAlign w:val="center"/>
          </w:tcPr>
          <w:p w14:paraId="0C69529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台</w:t>
            </w:r>
          </w:p>
        </w:tc>
        <w:tc>
          <w:tcPr>
            <w:tcW w:w="5721" w:type="dxa"/>
            <w:tcBorders>
              <w:left w:val="single" w:color="auto" w:sz="4" w:space="0"/>
              <w:right w:val="single" w:color="auto" w:sz="4" w:space="0"/>
            </w:tcBorders>
            <w:vAlign w:val="center"/>
          </w:tcPr>
          <w:p w14:paraId="3559912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功能性参数要求：</w:t>
            </w:r>
          </w:p>
          <w:p w14:paraId="5D41AB2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1.重量：≤4.2kg（标配，含电池）。</w:t>
            </w:r>
          </w:p>
          <w:p w14:paraId="47526F4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2.彩色电容触摸屏≥8英寸</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分辨率1024×768像素，可显示≥3通道监护参数波形，支持手势操作、自动亮度调节。</w:t>
            </w:r>
          </w:p>
          <w:p w14:paraId="0D5D51E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3.提供图形化故障排除指引。</w:t>
            </w:r>
          </w:p>
          <w:p w14:paraId="2B64AF3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4.支持中文操作界面。</w:t>
            </w:r>
          </w:p>
          <w:p w14:paraId="58BF656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5.屏幕显示心电波形扫描时间最大不小于30s。</w:t>
            </w:r>
          </w:p>
          <w:p w14:paraId="5503C33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6.具备手动除颤、心电监护、呼吸监护、自动体外除颤（AED）功能，AED功能适用于29天以上人群。</w:t>
            </w:r>
          </w:p>
          <w:p w14:paraId="2E3E605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7.除颤采用双相波技术，具备自动阻抗补偿功能。</w:t>
            </w:r>
          </w:p>
          <w:p w14:paraId="5649E35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8.手动除颤分为同步和异步两种方式，能量分20档以上，可通过体外电极板进行能量选择，最大能量可达360J。</w:t>
            </w:r>
          </w:p>
          <w:p w14:paraId="5EA4320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r>
              <w:rPr>
                <w:rFonts w:hint="eastAsia" w:ascii="宋体" w:hAnsi="宋体" w:cs="宋体"/>
                <w:color w:val="auto"/>
                <w:sz w:val="21"/>
                <w:szCs w:val="21"/>
                <w:highlight w:val="none"/>
                <w:lang w:val="en-US" w:eastAsia="zh-CN"/>
              </w:rPr>
              <w:t>支持后续升级配置</w:t>
            </w:r>
            <w:r>
              <w:rPr>
                <w:rFonts w:hint="eastAsia" w:ascii="宋体" w:hAnsi="宋体" w:eastAsia="宋体" w:cs="宋体"/>
                <w:color w:val="auto"/>
                <w:sz w:val="21"/>
                <w:szCs w:val="21"/>
                <w:highlight w:val="none"/>
                <w:lang w:val="en-US" w:eastAsia="zh-CN"/>
              </w:rPr>
              <w:t>体内除颤手柄，体内手动除颤能量选择：1/2/3/4/5/6/7/8/9/10/15/20/30/50J。</w:t>
            </w:r>
          </w:p>
          <w:p w14:paraId="1ED04EF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10.体外除颤电极板同时支持成人和小儿，一体化设计，支持快速切换。</w:t>
            </w:r>
          </w:p>
          <w:p w14:paraId="3CA00E5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11.电极板支持能量选择，充电和放电三步操作，满足单人除颤操作。</w:t>
            </w:r>
          </w:p>
          <w:p w14:paraId="0A0ACAB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12.AED除颤功能提供中文语音和中文提醒功能，对于抢救过程支持自动录音功能，记录时长≥6小时。</w:t>
            </w:r>
          </w:p>
          <w:p w14:paraId="1C1F11C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13.开机到可进行除颤充电操作的时间≤2s，符合临床使用。</w:t>
            </w:r>
          </w:p>
          <w:p w14:paraId="401751C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14.除颤充电迅速，充电至200J≤4s。</w:t>
            </w:r>
          </w:p>
          <w:p w14:paraId="79AD384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15.除颤后心电基线恢复时间≤2.5s。</w:t>
            </w:r>
          </w:p>
          <w:p w14:paraId="01E65BE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16.从开始AED分析到放电准备就绪≤10s。</w:t>
            </w:r>
          </w:p>
          <w:p w14:paraId="21B2C64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17.支持病人接触状态和阻抗值实时显示。</w:t>
            </w:r>
          </w:p>
          <w:p w14:paraId="4F020BE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18.支持智能分析功能，手动除颤模式下也可提供自动节律分析和操作指引。</w:t>
            </w:r>
          </w:p>
          <w:p w14:paraId="5F783E1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19.具备体外起搏功能，起搏分为固定和按需两种模式。具备降速起搏功能。</w:t>
            </w:r>
          </w:p>
          <w:p w14:paraId="5CD70D1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r>
              <w:rPr>
                <w:rFonts w:hint="eastAsia"/>
                <w:color w:val="auto"/>
                <w:highlight w:val="none"/>
                <w:lang w:val="en-US" w:eastAsia="zh-CN"/>
              </w:rPr>
              <w:t>支持后续升级配置</w:t>
            </w:r>
            <w:r>
              <w:rPr>
                <w:rFonts w:hint="eastAsia" w:ascii="宋体" w:hAnsi="宋体" w:eastAsia="宋体" w:cs="宋体"/>
                <w:color w:val="auto"/>
                <w:sz w:val="21"/>
                <w:szCs w:val="21"/>
                <w:highlight w:val="none"/>
                <w:lang w:val="en-US" w:eastAsia="zh-CN"/>
              </w:rPr>
              <w:t>CPR辅助功能，CPR传感器设计，提供即时的按压反馈，设备界面提供按压深度、频率实时参数显示。</w:t>
            </w:r>
          </w:p>
          <w:p w14:paraId="7EEF988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r>
              <w:rPr>
                <w:rFonts w:hint="eastAsia"/>
                <w:color w:val="auto"/>
                <w:highlight w:val="none"/>
                <w:lang w:val="en-US" w:eastAsia="zh-CN"/>
              </w:rPr>
              <w:t>支持后续升级配置</w:t>
            </w:r>
            <w:r>
              <w:rPr>
                <w:rFonts w:hint="eastAsia" w:ascii="宋体" w:hAnsi="宋体" w:eastAsia="宋体" w:cs="宋体"/>
                <w:color w:val="auto"/>
                <w:sz w:val="21"/>
                <w:szCs w:val="21"/>
                <w:highlight w:val="none"/>
                <w:lang w:val="en-US" w:eastAsia="zh-CN"/>
              </w:rPr>
              <w:t>基于脉搏氧波形分析的心肺复苏质量指数，实现无创、实时评估人工心肺复苏质量。</w:t>
            </w:r>
          </w:p>
          <w:p w14:paraId="5EDB860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22.提供CPR按压干扰滤过功能，通过除颤电极片或CPR传感器自动检测按压干扰并实时滤波，减少按压中断。</w:t>
            </w:r>
          </w:p>
          <w:p w14:paraId="38F35B5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23.抢救结束后自动生成抢救报告，并可通过网络将除颤和按压数据自动上传至急救数据分析系统；急救数据分析系统提供抢救数据复盘、分析工具。</w:t>
            </w:r>
          </w:p>
          <w:p w14:paraId="00C2336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24.支持培训模式，包含CPR操作培训、抢救操作培训；可提供培训考核系统，支持多台设备同时接入进行在线培训、考核。</w:t>
            </w:r>
          </w:p>
          <w:p w14:paraId="2E7F8DF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25.心电波形速度支持50mm/s、25mm/s、12.5mm/s、6.25mm/s。阻抗呼吸和呼吸末二氧化碳波形速度支持25mm/s、12.5mm/s、6.25mm/s。血氧饱和度波形速度支持25mm/s、12.5mm/s。</w:t>
            </w:r>
          </w:p>
          <w:p w14:paraId="43CCFFB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26.通过心电电极片可监测的心律失常分析种类不少于23种。</w:t>
            </w:r>
          </w:p>
          <w:p w14:paraId="3099B4C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27.支持ST和QT实时分析。</w:t>
            </w:r>
          </w:p>
          <w:p w14:paraId="07A3807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28.阻抗呼吸率范围：0-200rpm。</w:t>
            </w:r>
          </w:p>
          <w:p w14:paraId="3CA69BA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w:t>
            </w:r>
            <w:r>
              <w:rPr>
                <w:rFonts w:hint="eastAsia" w:ascii="Times New Roman" w:eastAsia="宋体"/>
                <w:color w:val="auto"/>
                <w:highlight w:val="none"/>
                <w:lang w:val="en-US" w:eastAsia="zh-CN"/>
              </w:rPr>
              <w:t>支持后续升级配置</w:t>
            </w:r>
            <w:r>
              <w:rPr>
                <w:rFonts w:hint="eastAsia" w:ascii="宋体" w:hAnsi="宋体" w:eastAsia="宋体" w:cs="宋体"/>
                <w:color w:val="auto"/>
                <w:sz w:val="21"/>
                <w:szCs w:val="21"/>
                <w:highlight w:val="none"/>
                <w:lang w:val="en-US" w:eastAsia="zh-CN"/>
              </w:rPr>
              <w:t>监护功能：血氧饱和度、无创血压、呼吸末二氧化碳。</w:t>
            </w:r>
          </w:p>
          <w:p w14:paraId="6FA05AC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30.提供的监护参数适用于成人，小儿和新生儿，并通过国家三类注册。</w:t>
            </w:r>
          </w:p>
          <w:p w14:paraId="235D4C8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31.脉率范围：20-300bpm。</w:t>
            </w:r>
          </w:p>
          <w:p w14:paraId="2BEEA96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32.无创血压收缩压测量范围：25-290mmHg（成人）、25-240mmHg（小儿）、25-140mmHg（新生儿），舒张压测量范围：10-250mmHg（成人）、10-200mmHg（小儿），10-115mmHg（新生儿）。</w:t>
            </w:r>
          </w:p>
          <w:p w14:paraId="238FCA6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w:t>
            </w:r>
            <w:r>
              <w:rPr>
                <w:rFonts w:hint="eastAsia" w:ascii="宋体" w:hAnsi="宋体" w:cs="宋体"/>
                <w:color w:val="auto"/>
                <w:sz w:val="21"/>
                <w:szCs w:val="21"/>
                <w:highlight w:val="none"/>
                <w:lang w:val="en-US" w:eastAsia="zh-CN"/>
              </w:rPr>
              <w:t>支持</w:t>
            </w:r>
            <w:r>
              <w:rPr>
                <w:rFonts w:hint="eastAsia" w:ascii="宋体" w:hAnsi="宋体" w:eastAsia="宋体" w:cs="宋体"/>
                <w:color w:val="auto"/>
                <w:sz w:val="21"/>
                <w:szCs w:val="21"/>
                <w:highlight w:val="none"/>
                <w:lang w:val="en-US" w:eastAsia="zh-CN"/>
              </w:rPr>
              <w:t>根据病人类型自动切换除颤默认能量、CPR提示和参数报警限。</w:t>
            </w:r>
          </w:p>
          <w:p w14:paraId="76EED65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34.支持连接中央站，与科室床旁监护仪共用监护网络。</w:t>
            </w:r>
          </w:p>
          <w:p w14:paraId="3E87695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35.支持通过中央站远程修改病人信息和系统时间同步。</w:t>
            </w:r>
          </w:p>
          <w:p w14:paraId="1F99F5E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36.支持提供IHEHL7协议，满足</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院前院内急救系统的联网通信。</w:t>
            </w:r>
          </w:p>
          <w:p w14:paraId="6637DEA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37.标配1块外置智能锂电池，可支持200J除颤≥300次。</w:t>
            </w:r>
          </w:p>
          <w:p w14:paraId="6FC87D1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38.具备生理报警和技术报警功能，通过声音、文字和灯光3种方式进行报警。</w:t>
            </w:r>
          </w:p>
          <w:p w14:paraId="53C92E8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39.配置50mm记录纸记录仪，可同时打印不少于3通道波形；自动打印除颤记录，单次波形记录时间最大不小于30s；支持连续波形记录。</w:t>
            </w:r>
          </w:p>
          <w:p w14:paraId="30CD074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40.存储120小时连续ECG波形，数据可导出至电脑查看。</w:t>
            </w:r>
          </w:p>
          <w:p w14:paraId="0625D94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41.关机状态下设备支持每天定时自动运行自检（含监护模块和治疗模块），支持定期自动大能量自检（最大放电能量）。</w:t>
            </w:r>
          </w:p>
          <w:p w14:paraId="4BF43A1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42.支持设备状态指示灯用户检测。</w:t>
            </w:r>
          </w:p>
          <w:p w14:paraId="347E7D4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43.设备自检后支持</w:t>
            </w:r>
            <w:r>
              <w:rPr>
                <w:rFonts w:hint="eastAsia" w:ascii="宋体" w:hAnsi="宋体" w:cs="宋体"/>
                <w:color w:val="auto"/>
                <w:sz w:val="21"/>
                <w:szCs w:val="21"/>
                <w:highlight w:val="none"/>
                <w:lang w:val="en-US" w:eastAsia="zh-CN"/>
              </w:rPr>
              <w:t>对</w:t>
            </w:r>
            <w:r>
              <w:rPr>
                <w:rFonts w:hint="eastAsia" w:ascii="宋体" w:hAnsi="宋体" w:eastAsia="宋体" w:cs="宋体"/>
                <w:color w:val="auto"/>
                <w:sz w:val="21"/>
                <w:szCs w:val="21"/>
                <w:highlight w:val="none"/>
                <w:lang w:val="en-US" w:eastAsia="zh-CN"/>
              </w:rPr>
              <w:t>自检报告进行自动打印或按需打印。</w:t>
            </w:r>
          </w:p>
          <w:p w14:paraId="6BC9C62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44.支持自检放电能量精度显示和打印。</w:t>
            </w:r>
          </w:p>
          <w:p w14:paraId="787176A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45.自动上传自检报告，并支持在设备管理系统或中央站集中查看除颤设备状态。</w:t>
            </w:r>
          </w:p>
          <w:p w14:paraId="5425C6C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46.具备防尘防水性能，防尘防水级别</w:t>
            </w:r>
            <w:r>
              <w:rPr>
                <w:rFonts w:hint="eastAsia" w:ascii="宋体" w:hAnsi="宋体" w:cs="宋体"/>
                <w:color w:val="auto"/>
                <w:sz w:val="21"/>
                <w:szCs w:val="21"/>
                <w:highlight w:val="none"/>
                <w:lang w:val="en-US" w:eastAsia="zh-CN"/>
              </w:rPr>
              <w:t>不低于</w:t>
            </w:r>
            <w:r>
              <w:rPr>
                <w:rFonts w:hint="eastAsia" w:ascii="宋体" w:hAnsi="宋体" w:eastAsia="宋体" w:cs="宋体"/>
                <w:color w:val="auto"/>
                <w:sz w:val="21"/>
                <w:szCs w:val="21"/>
                <w:highlight w:val="none"/>
                <w:lang w:val="en-US" w:eastAsia="zh-CN"/>
              </w:rPr>
              <w:t>IP45。</w:t>
            </w:r>
          </w:p>
          <w:p w14:paraId="301D0CB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47.具备抗跌落性能，可承受0.75米跌落冲击。</w:t>
            </w:r>
          </w:p>
          <w:p w14:paraId="01E09CD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48.工作环境，温度范围：-20℃-55℃，湿度范围：5%-95%，大气压范围：57.0kPa～106.2kPa。</w:t>
            </w:r>
          </w:p>
          <w:p w14:paraId="51E12C1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w:t>
            </w:r>
            <w:r>
              <w:rPr>
                <w:rFonts w:hint="eastAsia" w:ascii="宋体" w:hAnsi="宋体" w:cs="宋体"/>
                <w:color w:val="auto"/>
                <w:sz w:val="21"/>
                <w:szCs w:val="21"/>
                <w:highlight w:val="none"/>
                <w:lang w:val="en-US" w:eastAsia="zh-CN"/>
              </w:rPr>
              <w:t>每台</w:t>
            </w:r>
            <w:r>
              <w:rPr>
                <w:rFonts w:hint="eastAsia" w:ascii="宋体" w:hAnsi="宋体" w:eastAsia="宋体" w:cs="宋体"/>
                <w:color w:val="auto"/>
                <w:sz w:val="21"/>
                <w:szCs w:val="21"/>
                <w:highlight w:val="none"/>
                <w:lang w:val="en-US" w:eastAsia="zh-CN"/>
              </w:rPr>
              <w:t>配置需求：</w:t>
            </w:r>
          </w:p>
          <w:p w14:paraId="6AFD3DF7">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w:t>
            </w:r>
            <w:r>
              <w:rPr>
                <w:rFonts w:hint="eastAsia" w:ascii="宋体" w:hAnsi="宋体" w:cs="宋体"/>
                <w:color w:val="auto"/>
                <w:sz w:val="21"/>
                <w:szCs w:val="21"/>
                <w:highlight w:val="none"/>
                <w:lang w:val="en-US" w:eastAsia="zh-CN"/>
              </w:rPr>
              <w:t>1台</w:t>
            </w:r>
          </w:p>
          <w:p w14:paraId="2BFF44BA">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2.MPM模块（ECG）</w:t>
            </w:r>
            <w:r>
              <w:rPr>
                <w:rFonts w:hint="eastAsia" w:ascii="宋体" w:hAnsi="宋体" w:cs="宋体"/>
                <w:color w:val="auto"/>
                <w:sz w:val="21"/>
                <w:szCs w:val="21"/>
                <w:highlight w:val="none"/>
                <w:lang w:val="en-US" w:eastAsia="zh-CN"/>
              </w:rPr>
              <w:t>1个</w:t>
            </w:r>
          </w:p>
          <w:p w14:paraId="01D83466">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3.心电监护附件</w:t>
            </w:r>
            <w:r>
              <w:rPr>
                <w:rFonts w:hint="eastAsia" w:ascii="宋体" w:hAnsi="宋体" w:cs="宋体"/>
                <w:color w:val="auto"/>
                <w:sz w:val="21"/>
                <w:szCs w:val="21"/>
                <w:highlight w:val="none"/>
                <w:lang w:val="en-US" w:eastAsia="zh-CN"/>
              </w:rPr>
              <w:t>1套</w:t>
            </w:r>
          </w:p>
          <w:p w14:paraId="5EB698A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4.锂电池1套</w:t>
            </w:r>
          </w:p>
          <w:p w14:paraId="763AF21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5.热敏记录仪1台</w:t>
            </w:r>
          </w:p>
          <w:p w14:paraId="0D914FE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6.体外除颤电极板附件包1套</w:t>
            </w:r>
          </w:p>
          <w:p w14:paraId="32E8520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7.除颤监护系统软件1套</w:t>
            </w:r>
          </w:p>
        </w:tc>
        <w:tc>
          <w:tcPr>
            <w:tcW w:w="1100" w:type="dxa"/>
            <w:tcBorders>
              <w:left w:val="single" w:color="auto" w:sz="4" w:space="0"/>
            </w:tcBorders>
            <w:shd w:val="clear" w:color="auto" w:fill="auto"/>
            <w:vAlign w:val="center"/>
          </w:tcPr>
          <w:p w14:paraId="3DC3194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3.9</w:t>
            </w:r>
          </w:p>
        </w:tc>
      </w:tr>
      <w:tr w14:paraId="3AD67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12A89562">
            <w:pPr>
              <w:numPr>
                <w:ilvl w:val="0"/>
                <w:numId w:val="12"/>
              </w:numPr>
              <w:snapToGrid w:val="0"/>
              <w:spacing w:line="360" w:lineRule="auto"/>
              <w:jc w:val="center"/>
              <w:rPr>
                <w:rFonts w:hint="eastAsia" w:ascii="宋体" w:hAnsi="宋体" w:eastAsia="宋体" w:cs="宋体"/>
                <w:color w:val="auto"/>
                <w:sz w:val="21"/>
                <w:szCs w:val="21"/>
                <w:highlight w:val="none"/>
              </w:rPr>
            </w:pPr>
          </w:p>
        </w:tc>
        <w:tc>
          <w:tcPr>
            <w:tcW w:w="850" w:type="dxa"/>
            <w:shd w:val="clear" w:color="auto" w:fill="auto"/>
            <w:vAlign w:val="center"/>
          </w:tcPr>
          <w:p w14:paraId="2F1B9EE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移动床单元消毒机（床单位臭氧消毒机）</w:t>
            </w:r>
          </w:p>
        </w:tc>
        <w:tc>
          <w:tcPr>
            <w:tcW w:w="500" w:type="dxa"/>
            <w:tcBorders>
              <w:right w:val="single" w:color="auto" w:sz="4" w:space="0"/>
            </w:tcBorders>
            <w:shd w:val="clear" w:color="auto" w:fill="auto"/>
            <w:vAlign w:val="center"/>
          </w:tcPr>
          <w:p w14:paraId="06EF596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w:t>
            </w:r>
          </w:p>
        </w:tc>
        <w:tc>
          <w:tcPr>
            <w:tcW w:w="514" w:type="dxa"/>
            <w:gridSpan w:val="2"/>
            <w:tcBorders>
              <w:left w:val="single" w:color="auto" w:sz="4" w:space="0"/>
              <w:right w:val="single" w:color="auto" w:sz="4" w:space="0"/>
            </w:tcBorders>
            <w:vAlign w:val="center"/>
          </w:tcPr>
          <w:p w14:paraId="6FA5600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台</w:t>
            </w:r>
          </w:p>
        </w:tc>
        <w:tc>
          <w:tcPr>
            <w:tcW w:w="5721" w:type="dxa"/>
            <w:tcBorders>
              <w:left w:val="single" w:color="auto" w:sz="4" w:space="0"/>
              <w:right w:val="single" w:color="auto" w:sz="4" w:space="0"/>
            </w:tcBorders>
            <w:vAlign w:val="center"/>
          </w:tcPr>
          <w:p w14:paraId="410C1BF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一、臭氧消毒机功能性参数要求：</w:t>
            </w:r>
          </w:p>
          <w:p w14:paraId="3865FEE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1.可以同时对两张床消毒灭菌，单、双床可自主选择</w:t>
            </w:r>
          </w:p>
          <w:p w14:paraId="56FB087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2.一体成形</w:t>
            </w:r>
          </w:p>
          <w:p w14:paraId="692FC25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3.具有抽真空、解析还原残余臭氧功能</w:t>
            </w:r>
          </w:p>
          <w:p w14:paraId="5B5DEFA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4.臭氧发生器寿命累计功能</w:t>
            </w:r>
          </w:p>
          <w:p w14:paraId="762BB0B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5.臭氧管使用寿命大于20000小时</w:t>
            </w:r>
          </w:p>
          <w:p w14:paraId="5D8E374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6.中文液晶触摸屏、显示机内温度</w:t>
            </w:r>
          </w:p>
          <w:p w14:paraId="6BAD8F5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7.两种工作模式：单床消毒、双床消毒</w:t>
            </w:r>
          </w:p>
          <w:p w14:paraId="5B3E578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8.消毒时间选择0-120min可调</w:t>
            </w:r>
          </w:p>
          <w:p w14:paraId="26857A3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9.输入功率：＜210w</w:t>
            </w:r>
          </w:p>
          <w:p w14:paraId="50F2E90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10.臭氧产量：≥8000mg/h</w:t>
            </w:r>
          </w:p>
          <w:p w14:paraId="07E3726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11.消毒时袋内臭氧浓度＞2476mg/m³（</w:t>
            </w:r>
            <w:r>
              <w:rPr>
                <w:rFonts w:hint="eastAsia" w:ascii="宋体" w:hAnsi="宋体" w:cs="宋体"/>
                <w:b/>
                <w:bCs/>
                <w:color w:val="auto"/>
                <w:sz w:val="21"/>
                <w:szCs w:val="21"/>
                <w:highlight w:val="none"/>
                <w:lang w:val="en-US" w:eastAsia="zh-CN"/>
              </w:rPr>
              <w:t>须在投标文件中</w:t>
            </w:r>
            <w:r>
              <w:rPr>
                <w:rFonts w:hint="eastAsia" w:ascii="宋体" w:hAnsi="宋体" w:eastAsia="宋体" w:cs="宋体"/>
                <w:b/>
                <w:bCs/>
                <w:color w:val="auto"/>
                <w:sz w:val="21"/>
                <w:szCs w:val="21"/>
                <w:highlight w:val="none"/>
                <w:lang w:val="en-US" w:eastAsia="zh-CN"/>
              </w:rPr>
              <w:t>提供符合以上参数的</w:t>
            </w:r>
            <w:r>
              <w:rPr>
                <w:rFonts w:hint="eastAsia" w:ascii="宋体" w:hAnsi="宋体" w:cs="宋体"/>
                <w:b/>
                <w:bCs/>
                <w:color w:val="auto"/>
                <w:sz w:val="21"/>
                <w:szCs w:val="21"/>
                <w:highlight w:val="none"/>
                <w:lang w:val="en-US" w:eastAsia="zh-CN"/>
              </w:rPr>
              <w:t>国家认可的有资质的第三方检测机构出具的</w:t>
            </w:r>
            <w:r>
              <w:rPr>
                <w:rFonts w:hint="eastAsia" w:ascii="宋体" w:hAnsi="宋体" w:eastAsia="宋体" w:cs="宋体"/>
                <w:b/>
                <w:bCs/>
                <w:color w:val="auto"/>
                <w:sz w:val="21"/>
                <w:szCs w:val="21"/>
                <w:highlight w:val="none"/>
                <w:lang w:val="en-US" w:eastAsia="zh-CN"/>
              </w:rPr>
              <w:t>检测报告</w:t>
            </w:r>
            <w:r>
              <w:rPr>
                <w:rFonts w:hint="eastAsia" w:ascii="宋体" w:hAnsi="宋体" w:cs="宋体"/>
                <w:b/>
                <w:bCs/>
                <w:color w:val="auto"/>
                <w:sz w:val="21"/>
                <w:szCs w:val="21"/>
                <w:highlight w:val="none"/>
                <w:lang w:val="en-US" w:eastAsia="zh-CN"/>
              </w:rPr>
              <w:t>复印件并加盖投标人公章或电子签章，否则视为负偏离</w:t>
            </w:r>
            <w:r>
              <w:rPr>
                <w:rFonts w:hint="eastAsia" w:ascii="宋体" w:hAnsi="宋体" w:eastAsia="宋体" w:cs="宋体"/>
                <w:color w:val="auto"/>
                <w:sz w:val="21"/>
                <w:szCs w:val="21"/>
                <w:highlight w:val="none"/>
                <w:lang w:val="en-US" w:eastAsia="zh-CN"/>
              </w:rPr>
              <w:t>）</w:t>
            </w:r>
          </w:p>
          <w:p w14:paraId="3CA2651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12.A、B口输出臭氧浓度：＞3480mg/m³（</w:t>
            </w:r>
            <w:r>
              <w:rPr>
                <w:rFonts w:hint="eastAsia" w:ascii="宋体" w:hAnsi="宋体" w:cs="宋体"/>
                <w:b/>
                <w:bCs/>
                <w:color w:val="auto"/>
                <w:sz w:val="21"/>
                <w:szCs w:val="21"/>
                <w:highlight w:val="none"/>
                <w:lang w:val="en-US" w:eastAsia="zh-CN"/>
              </w:rPr>
              <w:t>须在投标文件中</w:t>
            </w:r>
            <w:r>
              <w:rPr>
                <w:rFonts w:hint="eastAsia" w:ascii="宋体" w:hAnsi="宋体" w:eastAsia="宋体" w:cs="宋体"/>
                <w:b/>
                <w:bCs/>
                <w:color w:val="auto"/>
                <w:sz w:val="21"/>
                <w:szCs w:val="21"/>
                <w:highlight w:val="none"/>
                <w:lang w:val="en-US" w:eastAsia="zh-CN"/>
              </w:rPr>
              <w:t>提供符合以上参数的</w:t>
            </w:r>
            <w:r>
              <w:rPr>
                <w:rFonts w:hint="eastAsia" w:ascii="宋体" w:hAnsi="宋体" w:cs="宋体"/>
                <w:b/>
                <w:bCs/>
                <w:color w:val="auto"/>
                <w:sz w:val="21"/>
                <w:szCs w:val="21"/>
                <w:highlight w:val="none"/>
                <w:lang w:val="en-US" w:eastAsia="zh-CN"/>
              </w:rPr>
              <w:t>国家认可的有资质的第三方检测机构出具的</w:t>
            </w:r>
            <w:r>
              <w:rPr>
                <w:rFonts w:hint="eastAsia" w:ascii="宋体" w:hAnsi="宋体" w:eastAsia="宋体" w:cs="宋体"/>
                <w:b/>
                <w:bCs/>
                <w:color w:val="auto"/>
                <w:sz w:val="21"/>
                <w:szCs w:val="21"/>
                <w:highlight w:val="none"/>
                <w:lang w:val="en-US" w:eastAsia="zh-CN"/>
              </w:rPr>
              <w:t>检测报告</w:t>
            </w:r>
            <w:r>
              <w:rPr>
                <w:rFonts w:hint="eastAsia" w:ascii="宋体" w:hAnsi="宋体" w:cs="宋体"/>
                <w:b/>
                <w:bCs/>
                <w:color w:val="auto"/>
                <w:sz w:val="21"/>
                <w:szCs w:val="21"/>
                <w:highlight w:val="none"/>
                <w:lang w:val="en-US" w:eastAsia="zh-CN"/>
              </w:rPr>
              <w:t>复印件并加盖投标人公章或电子签章，否则视为负偏离</w:t>
            </w:r>
            <w:r>
              <w:rPr>
                <w:rFonts w:hint="eastAsia" w:ascii="宋体" w:hAnsi="宋体" w:eastAsia="宋体" w:cs="宋体"/>
                <w:color w:val="auto"/>
                <w:sz w:val="21"/>
                <w:szCs w:val="21"/>
                <w:highlight w:val="none"/>
                <w:lang w:val="en-US" w:eastAsia="zh-CN"/>
              </w:rPr>
              <w:t>）</w:t>
            </w:r>
          </w:p>
          <w:p w14:paraId="25DB1BF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13.消毒时臭氧泄漏量：≤0.052mg/m³</w:t>
            </w:r>
          </w:p>
          <w:p w14:paraId="4250CB5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14.消毒完成后臭氧残留量：≤0.003mg/m³（</w:t>
            </w:r>
            <w:r>
              <w:rPr>
                <w:rFonts w:hint="eastAsia" w:ascii="宋体" w:hAnsi="宋体" w:cs="宋体"/>
                <w:b/>
                <w:bCs/>
                <w:color w:val="auto"/>
                <w:sz w:val="21"/>
                <w:szCs w:val="21"/>
                <w:highlight w:val="none"/>
                <w:lang w:val="en-US" w:eastAsia="zh-CN"/>
              </w:rPr>
              <w:t>须在投标文件中</w:t>
            </w:r>
            <w:r>
              <w:rPr>
                <w:rFonts w:hint="eastAsia" w:ascii="宋体" w:hAnsi="宋体" w:eastAsia="宋体" w:cs="宋体"/>
                <w:b/>
                <w:bCs/>
                <w:color w:val="auto"/>
                <w:sz w:val="21"/>
                <w:szCs w:val="21"/>
                <w:highlight w:val="none"/>
                <w:lang w:val="en-US" w:eastAsia="zh-CN"/>
              </w:rPr>
              <w:t>提供符合以上参数的</w:t>
            </w:r>
            <w:r>
              <w:rPr>
                <w:rFonts w:hint="eastAsia" w:ascii="宋体" w:hAnsi="宋体" w:cs="宋体"/>
                <w:b/>
                <w:bCs/>
                <w:color w:val="auto"/>
                <w:sz w:val="21"/>
                <w:szCs w:val="21"/>
                <w:highlight w:val="none"/>
                <w:lang w:val="en-US" w:eastAsia="zh-CN"/>
              </w:rPr>
              <w:t>国家认可的有资质的第三方检测机构出具的</w:t>
            </w:r>
            <w:r>
              <w:rPr>
                <w:rFonts w:hint="eastAsia" w:ascii="宋体" w:hAnsi="宋体" w:eastAsia="宋体" w:cs="宋体"/>
                <w:b/>
                <w:bCs/>
                <w:color w:val="auto"/>
                <w:sz w:val="21"/>
                <w:szCs w:val="21"/>
                <w:highlight w:val="none"/>
                <w:lang w:val="en-US" w:eastAsia="zh-CN"/>
              </w:rPr>
              <w:t>检测报告</w:t>
            </w:r>
            <w:r>
              <w:rPr>
                <w:rFonts w:hint="eastAsia" w:ascii="宋体" w:hAnsi="宋体" w:cs="宋体"/>
                <w:b/>
                <w:bCs/>
                <w:color w:val="auto"/>
                <w:sz w:val="21"/>
                <w:szCs w:val="21"/>
                <w:highlight w:val="none"/>
                <w:lang w:val="en-US" w:eastAsia="zh-CN"/>
              </w:rPr>
              <w:t>复印件并加盖投标人公章或电子签章，否则视为负偏离</w:t>
            </w:r>
            <w:r>
              <w:rPr>
                <w:rFonts w:hint="eastAsia" w:ascii="宋体" w:hAnsi="宋体" w:eastAsia="宋体" w:cs="宋体"/>
                <w:color w:val="auto"/>
                <w:sz w:val="21"/>
                <w:szCs w:val="21"/>
                <w:highlight w:val="none"/>
                <w:lang w:val="en-US" w:eastAsia="zh-CN"/>
              </w:rPr>
              <w:t>）</w:t>
            </w:r>
          </w:p>
          <w:p w14:paraId="37849D9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15.消毒效果：（</w:t>
            </w:r>
            <w:r>
              <w:rPr>
                <w:rFonts w:hint="eastAsia" w:ascii="宋体" w:hAnsi="宋体" w:cs="宋体"/>
                <w:b/>
                <w:bCs/>
                <w:color w:val="auto"/>
                <w:sz w:val="21"/>
                <w:szCs w:val="21"/>
                <w:highlight w:val="none"/>
                <w:lang w:val="en-US" w:eastAsia="zh-CN"/>
              </w:rPr>
              <w:t>须在投标文件中</w:t>
            </w:r>
            <w:r>
              <w:rPr>
                <w:rFonts w:hint="eastAsia" w:ascii="宋体" w:hAnsi="宋体" w:eastAsia="宋体" w:cs="宋体"/>
                <w:b/>
                <w:bCs/>
                <w:color w:val="auto"/>
                <w:sz w:val="21"/>
                <w:szCs w:val="21"/>
                <w:highlight w:val="none"/>
                <w:lang w:val="en-US" w:eastAsia="zh-CN"/>
              </w:rPr>
              <w:t>提供符合以</w:t>
            </w:r>
            <w:r>
              <w:rPr>
                <w:rFonts w:hint="eastAsia" w:ascii="宋体" w:hAnsi="宋体" w:cs="宋体"/>
                <w:b/>
                <w:bCs/>
                <w:color w:val="auto"/>
                <w:sz w:val="21"/>
                <w:szCs w:val="21"/>
                <w:highlight w:val="none"/>
                <w:lang w:val="en-US" w:eastAsia="zh-CN"/>
              </w:rPr>
              <w:t>下</w:t>
            </w:r>
            <w:r>
              <w:rPr>
                <w:rFonts w:hint="eastAsia" w:ascii="宋体" w:hAnsi="宋体" w:eastAsia="宋体" w:cs="宋体"/>
                <w:b/>
                <w:bCs/>
                <w:color w:val="auto"/>
                <w:sz w:val="21"/>
                <w:szCs w:val="21"/>
                <w:highlight w:val="none"/>
                <w:lang w:val="en-US" w:eastAsia="zh-CN"/>
              </w:rPr>
              <w:t>参数的</w:t>
            </w:r>
            <w:r>
              <w:rPr>
                <w:rFonts w:hint="eastAsia" w:ascii="宋体" w:hAnsi="宋体" w:cs="宋体"/>
                <w:b/>
                <w:bCs/>
                <w:color w:val="auto"/>
                <w:sz w:val="21"/>
                <w:szCs w:val="21"/>
                <w:highlight w:val="none"/>
                <w:lang w:val="en-US" w:eastAsia="zh-CN"/>
              </w:rPr>
              <w:t>国家认可的有资质的第三方检测机构出具的</w:t>
            </w:r>
            <w:r>
              <w:rPr>
                <w:rFonts w:hint="eastAsia" w:ascii="宋体" w:hAnsi="宋体" w:eastAsia="宋体" w:cs="宋体"/>
                <w:b/>
                <w:bCs/>
                <w:color w:val="auto"/>
                <w:sz w:val="21"/>
                <w:szCs w:val="21"/>
                <w:highlight w:val="none"/>
                <w:lang w:val="en-US" w:eastAsia="zh-CN"/>
              </w:rPr>
              <w:t>检测报告</w:t>
            </w:r>
            <w:r>
              <w:rPr>
                <w:rFonts w:hint="eastAsia" w:ascii="宋体" w:hAnsi="宋体" w:cs="宋体"/>
                <w:b/>
                <w:bCs/>
                <w:color w:val="auto"/>
                <w:sz w:val="21"/>
                <w:szCs w:val="21"/>
                <w:highlight w:val="none"/>
                <w:lang w:val="en-US" w:eastAsia="zh-CN"/>
              </w:rPr>
              <w:t>复印件并加盖投标人公章或电子签章，否则视为负偏离</w:t>
            </w:r>
            <w:r>
              <w:rPr>
                <w:rFonts w:hint="eastAsia" w:ascii="宋体" w:hAnsi="宋体" w:eastAsia="宋体" w:cs="宋体"/>
                <w:color w:val="auto"/>
                <w:sz w:val="21"/>
                <w:szCs w:val="21"/>
                <w:highlight w:val="none"/>
                <w:lang w:val="en-US" w:eastAsia="zh-CN"/>
              </w:rPr>
              <w:t>）</w:t>
            </w:r>
          </w:p>
          <w:p w14:paraId="6260E4D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15.1.大肠杆菌杀灭对数值＞3.00</w:t>
            </w:r>
            <w:r>
              <w:rPr>
                <w:rFonts w:hint="eastAsia" w:ascii="宋体" w:hAnsi="宋体" w:cs="宋体"/>
                <w:color w:val="auto"/>
                <w:sz w:val="21"/>
                <w:szCs w:val="21"/>
                <w:highlight w:val="none"/>
                <w:lang w:val="en-US" w:eastAsia="zh-CN"/>
              </w:rPr>
              <w:t>；</w:t>
            </w:r>
          </w:p>
          <w:p w14:paraId="70F6C75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15.2.</w:t>
            </w:r>
            <w:r>
              <w:rPr>
                <w:rFonts w:hint="eastAsia" w:ascii="宋体" w:hAnsi="宋体" w:cs="宋体"/>
                <w:color w:val="auto"/>
                <w:sz w:val="21"/>
                <w:szCs w:val="21"/>
                <w:highlight w:val="none"/>
                <w:lang w:val="en-US" w:eastAsia="zh-CN"/>
              </w:rPr>
              <w:t>白念珠菌</w:t>
            </w:r>
            <w:r>
              <w:rPr>
                <w:rFonts w:hint="eastAsia" w:ascii="宋体" w:hAnsi="宋体" w:eastAsia="宋体" w:cs="宋体"/>
                <w:color w:val="auto"/>
                <w:sz w:val="21"/>
                <w:szCs w:val="21"/>
                <w:highlight w:val="none"/>
                <w:lang w:val="en-US" w:eastAsia="zh-CN"/>
              </w:rPr>
              <w:t>杀灭对数值＞3.00</w:t>
            </w:r>
            <w:r>
              <w:rPr>
                <w:rFonts w:hint="eastAsia" w:ascii="宋体" w:hAnsi="宋体" w:cs="宋体"/>
                <w:color w:val="auto"/>
                <w:sz w:val="21"/>
                <w:szCs w:val="21"/>
                <w:highlight w:val="none"/>
                <w:lang w:val="en-US" w:eastAsia="zh-CN"/>
              </w:rPr>
              <w:t>；</w:t>
            </w:r>
          </w:p>
          <w:p w14:paraId="30A7642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15.3.白色葡萄球菌杀灭对数值＞3.00</w:t>
            </w:r>
            <w:r>
              <w:rPr>
                <w:rFonts w:hint="eastAsia" w:ascii="宋体" w:hAnsi="宋体" w:cs="宋体"/>
                <w:color w:val="auto"/>
                <w:sz w:val="21"/>
                <w:szCs w:val="21"/>
                <w:highlight w:val="none"/>
                <w:lang w:val="en-US" w:eastAsia="zh-CN"/>
              </w:rPr>
              <w:t>；</w:t>
            </w:r>
          </w:p>
          <w:p w14:paraId="571A294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15.4.铜绿假单胞菌杀灭对数值＞3.00</w:t>
            </w:r>
            <w:r>
              <w:rPr>
                <w:rFonts w:hint="eastAsia" w:ascii="宋体" w:hAnsi="宋体" w:cs="宋体"/>
                <w:color w:val="auto"/>
                <w:sz w:val="21"/>
                <w:szCs w:val="21"/>
                <w:highlight w:val="none"/>
                <w:lang w:val="en-US" w:eastAsia="zh-CN"/>
              </w:rPr>
              <w:t>；</w:t>
            </w:r>
          </w:p>
          <w:p w14:paraId="2ABB4EC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15.5.金黄色葡萄球菌杀灭对数值＞3.00</w:t>
            </w:r>
            <w:r>
              <w:rPr>
                <w:rFonts w:hint="eastAsia" w:ascii="宋体" w:hAnsi="宋体" w:cs="宋体"/>
                <w:color w:val="auto"/>
                <w:sz w:val="21"/>
                <w:szCs w:val="21"/>
                <w:highlight w:val="none"/>
                <w:lang w:val="en-US" w:eastAsia="zh-CN"/>
              </w:rPr>
              <w:t>；</w:t>
            </w:r>
          </w:p>
          <w:p w14:paraId="574BDF5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15.6.龟分枝杆菌脓肿亚种杀灭对数值＞3.00</w:t>
            </w:r>
            <w:r>
              <w:rPr>
                <w:rFonts w:hint="eastAsia" w:ascii="宋体" w:hAnsi="宋体" w:cs="宋体"/>
                <w:color w:val="auto"/>
                <w:sz w:val="21"/>
                <w:szCs w:val="21"/>
                <w:highlight w:val="none"/>
                <w:lang w:val="en-US" w:eastAsia="zh-CN"/>
              </w:rPr>
              <w:t>；</w:t>
            </w:r>
          </w:p>
          <w:p w14:paraId="0EDB376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15.7.物体表面自然菌杀灭对数值＞1.00</w:t>
            </w:r>
            <w:r>
              <w:rPr>
                <w:rFonts w:hint="eastAsia" w:ascii="宋体" w:hAnsi="宋体" w:cs="宋体"/>
                <w:color w:val="auto"/>
                <w:sz w:val="21"/>
                <w:szCs w:val="21"/>
                <w:highlight w:val="none"/>
                <w:lang w:val="en-US" w:eastAsia="zh-CN"/>
              </w:rPr>
              <w:t>。</w:t>
            </w:r>
          </w:p>
          <w:p w14:paraId="3609DF3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16.噪音：≤50</w:t>
            </w:r>
            <w:r>
              <w:rPr>
                <w:rFonts w:hint="eastAsia" w:ascii="宋体" w:hAnsi="宋体" w:cs="宋体"/>
                <w:color w:val="auto"/>
                <w:sz w:val="21"/>
                <w:szCs w:val="21"/>
                <w:highlight w:val="none"/>
                <w:lang w:val="en-US" w:eastAsia="zh-CN"/>
              </w:rPr>
              <w:t>dB</w:t>
            </w:r>
          </w:p>
          <w:p w14:paraId="62526CC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17.工作电压：AC220V50Hz</w:t>
            </w:r>
          </w:p>
          <w:p w14:paraId="35350E1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▲18.售后服务：一年包换三年保修</w:t>
            </w:r>
          </w:p>
          <w:p w14:paraId="2FC9883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w:t>
            </w:r>
            <w:r>
              <w:rPr>
                <w:rFonts w:hint="eastAsia" w:ascii="宋体" w:hAnsi="宋体" w:cs="宋体"/>
                <w:color w:val="auto"/>
                <w:sz w:val="21"/>
                <w:szCs w:val="21"/>
                <w:highlight w:val="none"/>
                <w:lang w:val="en-US" w:eastAsia="zh-CN"/>
              </w:rPr>
              <w:t>每台臭氧消毒机</w:t>
            </w:r>
            <w:r>
              <w:rPr>
                <w:rFonts w:hint="eastAsia" w:ascii="宋体" w:hAnsi="宋体" w:eastAsia="宋体" w:cs="宋体"/>
                <w:color w:val="auto"/>
                <w:sz w:val="21"/>
                <w:szCs w:val="21"/>
                <w:highlight w:val="none"/>
                <w:lang w:val="en-US" w:eastAsia="zh-CN"/>
              </w:rPr>
              <w:t>配置需求：</w:t>
            </w:r>
          </w:p>
          <w:p w14:paraId="6D3D1AF7">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医学专用</w:t>
            </w:r>
            <w:r>
              <w:rPr>
                <w:rFonts w:hint="eastAsia" w:ascii="宋体" w:hAnsi="宋体" w:eastAsia="宋体" w:cs="宋体"/>
                <w:color w:val="auto"/>
                <w:sz w:val="21"/>
                <w:szCs w:val="21"/>
                <w:highlight w:val="none"/>
                <w:lang w:val="en-US" w:eastAsia="zh-CN"/>
              </w:rPr>
              <w:t>液晶显示屏</w:t>
            </w:r>
            <w:r>
              <w:rPr>
                <w:rFonts w:hint="eastAsia" w:ascii="宋体" w:hAnsi="宋体" w:cs="宋体"/>
                <w:color w:val="auto"/>
                <w:sz w:val="21"/>
                <w:szCs w:val="21"/>
                <w:highlight w:val="none"/>
                <w:lang w:val="en-US" w:eastAsia="zh-CN"/>
              </w:rPr>
              <w:t>1台</w:t>
            </w:r>
          </w:p>
          <w:p w14:paraId="431C600D">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2.解析盒</w:t>
            </w:r>
            <w:r>
              <w:rPr>
                <w:rFonts w:hint="eastAsia" w:ascii="宋体" w:hAnsi="宋体" w:cs="宋体"/>
                <w:color w:val="auto"/>
                <w:sz w:val="21"/>
                <w:szCs w:val="21"/>
                <w:highlight w:val="none"/>
                <w:lang w:val="en-US" w:eastAsia="zh-CN"/>
              </w:rPr>
              <w:t>1个</w:t>
            </w:r>
          </w:p>
          <w:p w14:paraId="1866DF5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3.臭氧发生器1台</w:t>
            </w:r>
          </w:p>
          <w:p w14:paraId="4BE8511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4.电磁阀1个</w:t>
            </w:r>
          </w:p>
          <w:p w14:paraId="77B54E7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5.散热风机1台</w:t>
            </w:r>
          </w:p>
          <w:p w14:paraId="49CAF5F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6.电源开关1个</w:t>
            </w:r>
          </w:p>
          <w:p w14:paraId="007D29E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7.熔断器1个</w:t>
            </w:r>
          </w:p>
          <w:p w14:paraId="6754537F">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8.三芯电源线</w:t>
            </w:r>
            <w:r>
              <w:rPr>
                <w:rFonts w:hint="eastAsia" w:ascii="宋体" w:hAnsi="宋体" w:cs="宋体"/>
                <w:color w:val="auto"/>
                <w:sz w:val="21"/>
                <w:szCs w:val="21"/>
                <w:highlight w:val="none"/>
                <w:lang w:val="en-US" w:eastAsia="zh-CN"/>
              </w:rPr>
              <w:t>1套</w:t>
            </w:r>
          </w:p>
          <w:p w14:paraId="4B290523">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9.变压器、主控板</w:t>
            </w:r>
            <w:r>
              <w:rPr>
                <w:rFonts w:hint="eastAsia" w:ascii="宋体" w:hAnsi="宋体" w:cs="宋体"/>
                <w:color w:val="auto"/>
                <w:sz w:val="21"/>
                <w:szCs w:val="21"/>
                <w:highlight w:val="none"/>
                <w:lang w:val="en-US" w:eastAsia="zh-CN"/>
              </w:rPr>
              <w:t>1套</w:t>
            </w:r>
          </w:p>
          <w:p w14:paraId="6A4E095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10.小型空气压缩机1台</w:t>
            </w:r>
          </w:p>
          <w:p w14:paraId="77A0414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11.机壳1套</w:t>
            </w:r>
          </w:p>
          <w:p w14:paraId="10F7824B">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12.重复消毒罩</w:t>
            </w:r>
            <w:r>
              <w:rPr>
                <w:rFonts w:hint="eastAsia" w:ascii="宋体" w:hAnsi="宋体" w:cs="宋体"/>
                <w:color w:val="auto"/>
                <w:sz w:val="21"/>
                <w:szCs w:val="21"/>
                <w:highlight w:val="none"/>
                <w:lang w:val="en-US" w:eastAsia="zh-CN"/>
              </w:rPr>
              <w:t>2个</w:t>
            </w:r>
          </w:p>
          <w:p w14:paraId="19164694">
            <w:pPr>
              <w:widowControl/>
              <w:spacing w:line="360" w:lineRule="auto"/>
              <w:jc w:val="left"/>
              <w:textAlignment w:val="center"/>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13.消毒袋</w:t>
            </w:r>
            <w:r>
              <w:rPr>
                <w:rFonts w:hint="eastAsia" w:ascii="宋体" w:hAnsi="宋体" w:cs="宋体"/>
                <w:color w:val="auto"/>
                <w:sz w:val="21"/>
                <w:szCs w:val="21"/>
                <w:highlight w:val="none"/>
                <w:lang w:val="en-US" w:eastAsia="zh-CN"/>
              </w:rPr>
              <w:t>2个</w:t>
            </w:r>
          </w:p>
          <w:p w14:paraId="419C7397">
            <w:pPr>
              <w:widowControl/>
              <w:spacing w:line="360" w:lineRule="auto"/>
              <w:jc w:val="left"/>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三、空气净化消毒机功能性参数要求：</w:t>
            </w:r>
          </w:p>
          <w:p w14:paraId="2E56AFD6">
            <w:pPr>
              <w:widowControl/>
              <w:spacing w:line="360" w:lineRule="auto"/>
              <w:jc w:val="left"/>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1.应用场所：适用于医院Ⅱ、Ⅲ类环境，如诊疗室、病房、办公室、普通手术室等。</w:t>
            </w:r>
          </w:p>
          <w:p w14:paraId="0ABD639D">
            <w:pPr>
              <w:widowControl/>
              <w:spacing w:line="360" w:lineRule="auto"/>
              <w:jc w:val="left"/>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2.默认消毒方式：等离子体消毒方式</w:t>
            </w:r>
          </w:p>
          <w:p w14:paraId="6DBB2F4B">
            <w:pPr>
              <w:widowControl/>
              <w:spacing w:line="360" w:lineRule="auto"/>
              <w:jc w:val="left"/>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3.循环风量（m³/h）：≥1000</w:t>
            </w:r>
          </w:p>
          <w:p w14:paraId="068314A7">
            <w:pPr>
              <w:widowControl/>
              <w:spacing w:line="360" w:lineRule="auto"/>
              <w:jc w:val="left"/>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4.适用范围（m³）：≤125</w:t>
            </w:r>
          </w:p>
          <w:p w14:paraId="177B6070">
            <w:pPr>
              <w:widowControl/>
              <w:spacing w:line="360" w:lineRule="auto"/>
              <w:jc w:val="left"/>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▲5.消毒效果：模拟现场试验，白色葡萄球菌杀灭率≥99%；现场试验，空气中自然菌的杀灭率≥90%</w:t>
            </w:r>
          </w:p>
          <w:p w14:paraId="34929A24">
            <w:pPr>
              <w:widowControl/>
              <w:spacing w:line="360" w:lineRule="auto"/>
              <w:jc w:val="left"/>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6.人机共存：设备为动态消毒机，可在人机共存的环境中使用，且无二次污染。</w:t>
            </w:r>
          </w:p>
          <w:p w14:paraId="179A2D7E">
            <w:pPr>
              <w:widowControl/>
              <w:spacing w:line="360" w:lineRule="auto"/>
              <w:jc w:val="left"/>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7.温湿度监测：通过温湿度传感器可以监测设备周围的摄氏温度和相对湿度情况。</w:t>
            </w:r>
          </w:p>
          <w:p w14:paraId="24DDC234">
            <w:pPr>
              <w:widowControl/>
              <w:spacing w:line="360" w:lineRule="auto"/>
              <w:jc w:val="left"/>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8.多档风速可调：共三个档位，可随意调节。</w:t>
            </w:r>
          </w:p>
          <w:p w14:paraId="2291F71B">
            <w:pPr>
              <w:widowControl/>
              <w:spacing w:line="360" w:lineRule="auto"/>
              <w:jc w:val="left"/>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9.智能提示功能：具备故障报警、滤网过期提示功能。</w:t>
            </w:r>
          </w:p>
          <w:p w14:paraId="074997DF">
            <w:pPr>
              <w:widowControl/>
              <w:spacing w:line="360" w:lineRule="auto"/>
              <w:jc w:val="left"/>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▲10.整体金属喷塑外壳。</w:t>
            </w:r>
          </w:p>
          <w:p w14:paraId="2DF0D0B6">
            <w:pPr>
              <w:widowControl/>
              <w:spacing w:line="360" w:lineRule="auto"/>
              <w:jc w:val="left"/>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11.壁挂式设计。</w:t>
            </w:r>
          </w:p>
          <w:p w14:paraId="382EE5C6">
            <w:pPr>
              <w:widowControl/>
              <w:spacing w:line="360" w:lineRule="auto"/>
              <w:jc w:val="left"/>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12.噪声dB（A）：≤50</w:t>
            </w:r>
          </w:p>
          <w:p w14:paraId="066FD644">
            <w:pPr>
              <w:widowControl/>
              <w:spacing w:line="360" w:lineRule="auto"/>
              <w:jc w:val="left"/>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13.多种工作模式</w:t>
            </w:r>
          </w:p>
          <w:p w14:paraId="2A9E11D3">
            <w:pPr>
              <w:widowControl/>
              <w:spacing w:line="360" w:lineRule="auto"/>
              <w:jc w:val="left"/>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13.1自动模式：根据空气质量和尘埃粒子传感器检测的数据，判断空气净化消毒器是否运行；</w:t>
            </w:r>
          </w:p>
          <w:p w14:paraId="03951ED0">
            <w:pPr>
              <w:widowControl/>
              <w:spacing w:line="360" w:lineRule="auto"/>
              <w:jc w:val="left"/>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13.2手动模式：用户可以随时启停空气净化消毒，消毒时间可以在消毒过程中更改，最长运行8小时，最短运行0.5小时；</w:t>
            </w:r>
          </w:p>
          <w:p w14:paraId="2A54164A">
            <w:pPr>
              <w:widowControl/>
              <w:spacing w:line="360" w:lineRule="auto"/>
              <w:jc w:val="left"/>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13.3定时模式：根据用户所设定的时间来启停净化消毒，可以设置至少5组定时时间。</w:t>
            </w:r>
          </w:p>
          <w:p w14:paraId="00A359ED">
            <w:pPr>
              <w:widowControl/>
              <w:spacing w:line="360" w:lineRule="auto"/>
              <w:jc w:val="left"/>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14.遥控器远程操控。</w:t>
            </w:r>
          </w:p>
          <w:p w14:paraId="5C8486EF">
            <w:pPr>
              <w:widowControl/>
              <w:spacing w:line="360" w:lineRule="auto"/>
              <w:jc w:val="left"/>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15.配置空气质量传感器、尘埃粒子传感器等，可实时自动检测室内环境状况，自动运行，保证室内空气的洁净。</w:t>
            </w:r>
          </w:p>
          <w:p w14:paraId="75F9B486">
            <w:pPr>
              <w:widowControl/>
              <w:spacing w:line="360" w:lineRule="auto"/>
              <w:jc w:val="left"/>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16.环境检测功能：可对空气质量、尘埃粒子进行检测，能对室内空气质量进行自动评级。</w:t>
            </w:r>
          </w:p>
          <w:p w14:paraId="755C06FB">
            <w:pPr>
              <w:widowControl/>
              <w:spacing w:line="360" w:lineRule="auto"/>
              <w:jc w:val="left"/>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17.报警提示：具有滤网过期、风机故障等提示报警</w:t>
            </w:r>
          </w:p>
          <w:p w14:paraId="01118B75">
            <w:pPr>
              <w:widowControl/>
              <w:spacing w:line="360" w:lineRule="auto"/>
              <w:jc w:val="left"/>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18.液晶屏显示，便于了解设备的运行状态。</w:t>
            </w:r>
          </w:p>
          <w:p w14:paraId="583E4402">
            <w:pPr>
              <w:widowControl/>
              <w:spacing w:line="360" w:lineRule="auto"/>
              <w:jc w:val="left"/>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19.电源要求：AC220V50Hz</w:t>
            </w:r>
          </w:p>
          <w:p w14:paraId="616D0C4A">
            <w:pPr>
              <w:widowControl/>
              <w:spacing w:line="360" w:lineRule="auto"/>
              <w:jc w:val="left"/>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20.额定功率（W）：≤45</w:t>
            </w:r>
          </w:p>
          <w:p w14:paraId="7A747C43">
            <w:pPr>
              <w:widowControl/>
              <w:spacing w:line="360" w:lineRule="auto"/>
              <w:jc w:val="left"/>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21.净重（kg）：≤18</w:t>
            </w:r>
          </w:p>
          <w:p w14:paraId="00FF5B24">
            <w:pPr>
              <w:widowControl/>
              <w:spacing w:line="360" w:lineRule="auto"/>
              <w:jc w:val="left"/>
              <w:textAlignment w:val="center"/>
              <w:rPr>
                <w:rFonts w:hint="eastAsia" w:ascii="宋体" w:hAnsi="宋体" w:cs="宋体"/>
                <w:b w:val="0"/>
                <w:bCs w:val="0"/>
                <w:color w:val="auto"/>
                <w:sz w:val="21"/>
                <w:szCs w:val="21"/>
                <w:highlight w:val="none"/>
                <w:lang w:val="en-US" w:eastAsia="zh-CN"/>
                <w14:ligatures w14:val="none"/>
              </w:rPr>
            </w:pPr>
            <w:r>
              <w:rPr>
                <w:rFonts w:hint="eastAsia" w:ascii="宋体" w:hAnsi="宋体" w:cs="宋体"/>
                <w:b w:val="0"/>
                <w:bCs w:val="0"/>
                <w:color w:val="auto"/>
                <w:sz w:val="21"/>
                <w:szCs w:val="21"/>
                <w:highlight w:val="none"/>
                <w:lang w:val="en-US" w:eastAsia="zh-CN"/>
                <w14:ligatures w14:val="none"/>
              </w:rPr>
              <w:t>四、每台空气净化消毒机配置需求</w:t>
            </w:r>
          </w:p>
          <w:p w14:paraId="75844906">
            <w:pPr>
              <w:widowControl/>
              <w:spacing w:line="360" w:lineRule="auto"/>
              <w:jc w:val="left"/>
              <w:textAlignment w:val="center"/>
              <w:rPr>
                <w:rFonts w:hint="eastAsia" w:ascii="宋体" w:hAnsi="宋体" w:cs="宋体"/>
                <w:b w:val="0"/>
                <w:bCs w:val="0"/>
                <w:color w:val="auto"/>
                <w:sz w:val="21"/>
                <w:szCs w:val="21"/>
                <w:highlight w:val="none"/>
                <w:lang w:val="en-US" w:eastAsia="zh-CN"/>
                <w14:ligatures w14:val="none"/>
              </w:rPr>
            </w:pPr>
            <w:r>
              <w:rPr>
                <w:rFonts w:hint="eastAsia" w:ascii="宋体" w:hAnsi="宋体" w:cs="宋体"/>
                <w:b w:val="0"/>
                <w:bCs w:val="0"/>
                <w:color w:val="auto"/>
                <w:sz w:val="21"/>
                <w:szCs w:val="21"/>
                <w:highlight w:val="none"/>
                <w:lang w:val="en-US" w:eastAsia="zh-CN"/>
                <w14:ligatures w14:val="none"/>
              </w:rPr>
              <w:t>1.空气消毒器1台</w:t>
            </w:r>
          </w:p>
          <w:p w14:paraId="32400A82">
            <w:pPr>
              <w:widowControl/>
              <w:spacing w:line="360" w:lineRule="auto"/>
              <w:jc w:val="left"/>
              <w:textAlignment w:val="center"/>
              <w:rPr>
                <w:rFonts w:hint="eastAsia" w:ascii="宋体" w:hAnsi="宋体" w:cs="宋体"/>
                <w:b w:val="0"/>
                <w:bCs w:val="0"/>
                <w:color w:val="auto"/>
                <w:sz w:val="21"/>
                <w:szCs w:val="21"/>
                <w:highlight w:val="none"/>
                <w:lang w:val="en-US" w:eastAsia="zh-CN"/>
                <w14:ligatures w14:val="none"/>
              </w:rPr>
            </w:pPr>
            <w:r>
              <w:rPr>
                <w:rFonts w:hint="eastAsia" w:ascii="宋体" w:hAnsi="宋体" w:cs="宋体"/>
                <w:b w:val="0"/>
                <w:bCs w:val="0"/>
                <w:color w:val="auto"/>
                <w:sz w:val="21"/>
                <w:szCs w:val="21"/>
                <w:highlight w:val="none"/>
                <w:lang w:val="en-US" w:eastAsia="zh-CN"/>
                <w14:ligatures w14:val="none"/>
              </w:rPr>
              <w:t>2.遥控器1部</w:t>
            </w:r>
          </w:p>
          <w:p w14:paraId="59519D9E">
            <w:pPr>
              <w:widowControl/>
              <w:spacing w:line="360" w:lineRule="auto"/>
              <w:jc w:val="left"/>
              <w:textAlignment w:val="center"/>
              <w:rPr>
                <w:rFonts w:hint="eastAsia" w:ascii="宋体" w:hAnsi="宋体" w:cs="宋体"/>
                <w:b w:val="0"/>
                <w:bCs w:val="0"/>
                <w:color w:val="auto"/>
                <w:sz w:val="21"/>
                <w:szCs w:val="21"/>
                <w:highlight w:val="none"/>
                <w:lang w:val="en-US" w:eastAsia="zh-CN"/>
                <w14:ligatures w14:val="none"/>
              </w:rPr>
            </w:pPr>
            <w:r>
              <w:rPr>
                <w:rFonts w:hint="eastAsia" w:ascii="宋体" w:hAnsi="宋体" w:cs="宋体"/>
                <w:b w:val="0"/>
                <w:bCs w:val="0"/>
                <w:color w:val="auto"/>
                <w:sz w:val="21"/>
                <w:szCs w:val="21"/>
                <w:highlight w:val="none"/>
                <w:lang w:val="en-US" w:eastAsia="zh-CN"/>
                <w14:ligatures w14:val="none"/>
              </w:rPr>
              <w:t>3.电源线1根</w:t>
            </w:r>
          </w:p>
          <w:p w14:paraId="293E91E2">
            <w:pPr>
              <w:widowControl/>
              <w:spacing w:line="360" w:lineRule="auto"/>
              <w:jc w:val="left"/>
              <w:textAlignment w:val="center"/>
              <w:rPr>
                <w:rFonts w:hint="eastAsia" w:ascii="宋体" w:hAnsi="宋体" w:cs="宋体"/>
                <w:b w:val="0"/>
                <w:bCs w:val="0"/>
                <w:color w:val="auto"/>
                <w:sz w:val="21"/>
                <w:szCs w:val="21"/>
                <w:highlight w:val="none"/>
                <w:lang w:val="en-US" w:eastAsia="zh-CN"/>
                <w14:ligatures w14:val="none"/>
              </w:rPr>
            </w:pPr>
            <w:r>
              <w:rPr>
                <w:rFonts w:hint="eastAsia" w:ascii="宋体" w:hAnsi="宋体" w:cs="宋体"/>
                <w:b w:val="0"/>
                <w:bCs w:val="0"/>
                <w:color w:val="auto"/>
                <w:sz w:val="21"/>
                <w:szCs w:val="21"/>
                <w:highlight w:val="none"/>
                <w:lang w:val="en-US" w:eastAsia="zh-CN"/>
                <w14:ligatures w14:val="none"/>
              </w:rPr>
              <w:t>4.熔断器1个</w:t>
            </w:r>
          </w:p>
          <w:p w14:paraId="5E0BF543">
            <w:pPr>
              <w:widowControl/>
              <w:spacing w:line="360" w:lineRule="auto"/>
              <w:jc w:val="left"/>
              <w:textAlignment w:val="center"/>
              <w:rPr>
                <w:rFonts w:hint="eastAsia" w:ascii="宋体" w:hAnsi="宋体" w:cs="宋体"/>
                <w:b w:val="0"/>
                <w:bCs w:val="0"/>
                <w:color w:val="auto"/>
                <w:sz w:val="21"/>
                <w:szCs w:val="21"/>
                <w:highlight w:val="none"/>
                <w:lang w:val="en-US" w:eastAsia="zh-CN"/>
                <w14:ligatures w14:val="none"/>
              </w:rPr>
            </w:pPr>
            <w:r>
              <w:rPr>
                <w:rFonts w:hint="eastAsia" w:ascii="宋体" w:hAnsi="宋体" w:cs="宋体"/>
                <w:b w:val="0"/>
                <w:bCs w:val="0"/>
                <w:color w:val="auto"/>
                <w:sz w:val="21"/>
                <w:szCs w:val="21"/>
                <w:highlight w:val="none"/>
                <w:lang w:val="en-US" w:eastAsia="zh-CN"/>
                <w14:ligatures w14:val="none"/>
              </w:rPr>
              <w:t>5.安装板1个</w:t>
            </w:r>
          </w:p>
          <w:p w14:paraId="4D9B3146">
            <w:pPr>
              <w:widowControl/>
              <w:spacing w:line="360" w:lineRule="auto"/>
              <w:jc w:val="left"/>
              <w:textAlignment w:val="center"/>
              <w:rPr>
                <w:rFonts w:hint="eastAsia" w:ascii="宋体" w:hAnsi="宋体" w:cs="宋体"/>
                <w:b w:val="0"/>
                <w:bCs w:val="0"/>
                <w:color w:val="auto"/>
                <w:sz w:val="21"/>
                <w:szCs w:val="21"/>
                <w:highlight w:val="none"/>
                <w:lang w:val="en-US" w:eastAsia="zh-CN"/>
                <w14:ligatures w14:val="none"/>
              </w:rPr>
            </w:pPr>
            <w:r>
              <w:rPr>
                <w:rFonts w:hint="eastAsia" w:ascii="宋体" w:hAnsi="宋体" w:cs="宋体"/>
                <w:b w:val="0"/>
                <w:bCs w:val="0"/>
                <w:color w:val="auto"/>
                <w:sz w:val="21"/>
                <w:szCs w:val="21"/>
                <w:highlight w:val="none"/>
                <w:lang w:val="en-US" w:eastAsia="zh-CN"/>
                <w14:ligatures w14:val="none"/>
              </w:rPr>
              <w:t>6.膨胀螺钉（M6×100）8个</w:t>
            </w:r>
          </w:p>
          <w:p w14:paraId="24FA7B5E">
            <w:pPr>
              <w:widowControl/>
              <w:spacing w:line="360" w:lineRule="auto"/>
              <w:jc w:val="left"/>
              <w:textAlignment w:val="center"/>
              <w:rPr>
                <w:rFonts w:hint="eastAsia" w:ascii="宋体" w:hAnsi="宋体" w:cs="宋体"/>
                <w:b w:val="0"/>
                <w:bCs w:val="0"/>
                <w:color w:val="auto"/>
                <w:sz w:val="21"/>
                <w:szCs w:val="21"/>
                <w:highlight w:val="none"/>
                <w:lang w:val="en-US" w:eastAsia="zh-CN"/>
                <w14:ligatures w14:val="none"/>
              </w:rPr>
            </w:pPr>
            <w:r>
              <w:rPr>
                <w:rFonts w:hint="eastAsia" w:ascii="宋体" w:hAnsi="宋体" w:cs="宋体"/>
                <w:b w:val="0"/>
                <w:bCs w:val="0"/>
                <w:color w:val="auto"/>
                <w:sz w:val="21"/>
                <w:szCs w:val="21"/>
                <w:highlight w:val="none"/>
                <w:lang w:val="en-US" w:eastAsia="zh-CN"/>
                <w14:ligatures w14:val="none"/>
              </w:rPr>
              <w:t>7.胀塞8个</w:t>
            </w:r>
          </w:p>
          <w:p w14:paraId="7CF2C0EA">
            <w:pPr>
              <w:widowControl/>
              <w:spacing w:line="360" w:lineRule="auto"/>
              <w:jc w:val="left"/>
              <w:textAlignment w:val="center"/>
              <w:rPr>
                <w:rFonts w:hint="eastAsia" w:ascii="宋体" w:hAnsi="宋体" w:cs="宋体"/>
                <w:b w:val="0"/>
                <w:bCs w:val="0"/>
                <w:color w:val="auto"/>
                <w:sz w:val="21"/>
                <w:szCs w:val="21"/>
                <w:highlight w:val="none"/>
                <w:lang w:val="en-US" w:eastAsia="zh-CN"/>
                <w14:ligatures w14:val="none"/>
              </w:rPr>
            </w:pPr>
            <w:r>
              <w:rPr>
                <w:rFonts w:hint="eastAsia" w:ascii="宋体" w:hAnsi="宋体" w:cs="宋体"/>
                <w:b w:val="0"/>
                <w:bCs w:val="0"/>
                <w:color w:val="auto"/>
                <w:sz w:val="21"/>
                <w:szCs w:val="21"/>
                <w:highlight w:val="none"/>
                <w:lang w:val="en-US" w:eastAsia="zh-CN"/>
                <w14:ligatures w14:val="none"/>
              </w:rPr>
              <w:t>8.说明书1本</w:t>
            </w:r>
          </w:p>
          <w:p w14:paraId="7D7F11A1">
            <w:pPr>
              <w:widowControl/>
              <w:spacing w:line="360" w:lineRule="auto"/>
              <w:jc w:val="left"/>
              <w:textAlignment w:val="center"/>
              <w:rPr>
                <w:rFonts w:hint="eastAsia" w:ascii="宋体" w:hAnsi="宋体" w:cs="宋体"/>
                <w:b w:val="0"/>
                <w:bCs w:val="0"/>
                <w:color w:val="auto"/>
                <w:sz w:val="21"/>
                <w:szCs w:val="21"/>
                <w:highlight w:val="none"/>
                <w:lang w:val="en-US" w:eastAsia="zh-CN"/>
                <w14:ligatures w14:val="none"/>
              </w:rPr>
            </w:pPr>
            <w:r>
              <w:rPr>
                <w:rFonts w:hint="eastAsia" w:ascii="宋体" w:hAnsi="宋体" w:cs="宋体"/>
                <w:b w:val="0"/>
                <w:bCs w:val="0"/>
                <w:color w:val="auto"/>
                <w:sz w:val="21"/>
                <w:szCs w:val="21"/>
                <w:highlight w:val="none"/>
                <w:lang w:val="en-US" w:eastAsia="zh-CN"/>
                <w14:ligatures w14:val="none"/>
              </w:rPr>
              <w:t>9.合格证1份</w:t>
            </w:r>
          </w:p>
          <w:p w14:paraId="7F5548CE">
            <w:pPr>
              <w:widowControl/>
              <w:spacing w:line="360" w:lineRule="auto"/>
              <w:jc w:val="left"/>
              <w:textAlignment w:val="center"/>
              <w:rPr>
                <w:rFonts w:hint="eastAsia" w:ascii="宋体" w:hAnsi="宋体" w:cs="宋体"/>
                <w:b w:val="0"/>
                <w:bCs w:val="0"/>
                <w:color w:val="auto"/>
                <w:sz w:val="21"/>
                <w:szCs w:val="21"/>
                <w:highlight w:val="none"/>
                <w:lang w:val="en-US" w:eastAsia="zh-CN"/>
                <w14:ligatures w14:val="none"/>
              </w:rPr>
            </w:pPr>
            <w:r>
              <w:rPr>
                <w:rFonts w:hint="eastAsia" w:ascii="宋体" w:hAnsi="宋体" w:cs="宋体"/>
                <w:b w:val="0"/>
                <w:bCs w:val="0"/>
                <w:color w:val="auto"/>
                <w:sz w:val="21"/>
                <w:szCs w:val="21"/>
                <w:highlight w:val="none"/>
                <w:lang w:val="en-US" w:eastAsia="zh-CN"/>
                <w14:ligatures w14:val="none"/>
              </w:rPr>
              <w:t>10.保修卡1份</w:t>
            </w:r>
          </w:p>
          <w:p w14:paraId="597EDEB4">
            <w:pPr>
              <w:widowControl/>
              <w:spacing w:line="360" w:lineRule="auto"/>
              <w:jc w:val="left"/>
              <w:textAlignment w:val="center"/>
              <w:rPr>
                <w:rFonts w:hint="eastAsia" w:ascii="宋体" w:hAnsi="宋体" w:cs="宋体"/>
                <w:b w:val="0"/>
                <w:bCs w:val="0"/>
                <w:color w:val="auto"/>
                <w:sz w:val="21"/>
                <w:szCs w:val="21"/>
                <w:highlight w:val="none"/>
                <w:lang w:val="en-US" w:eastAsia="zh-CN"/>
                <w14:ligatures w14:val="none"/>
              </w:rPr>
            </w:pPr>
            <w:r>
              <w:rPr>
                <w:rFonts w:hint="eastAsia" w:ascii="宋体" w:hAnsi="宋体" w:cs="宋体"/>
                <w:b w:val="0"/>
                <w:bCs w:val="0"/>
                <w:color w:val="auto"/>
                <w:sz w:val="21"/>
                <w:szCs w:val="21"/>
                <w:highlight w:val="none"/>
                <w:lang w:val="en-US" w:eastAsia="zh-CN"/>
                <w14:ligatures w14:val="none"/>
              </w:rPr>
              <w:t>11.装箱单1份</w:t>
            </w:r>
          </w:p>
          <w:p w14:paraId="37F9C713">
            <w:pPr>
              <w:widowControl/>
              <w:spacing w:line="360" w:lineRule="auto"/>
              <w:jc w:val="left"/>
              <w:textAlignment w:val="center"/>
              <w:rPr>
                <w:rFonts w:hint="eastAsia" w:ascii="宋体" w:hAnsi="宋体" w:cs="宋体"/>
                <w:b w:val="0"/>
                <w:bCs w:val="0"/>
                <w:color w:val="auto"/>
                <w:sz w:val="21"/>
                <w:szCs w:val="21"/>
                <w:highlight w:val="none"/>
                <w:lang w:val="en-US" w:eastAsia="zh-CN"/>
                <w14:ligatures w14:val="none"/>
              </w:rPr>
            </w:pPr>
            <w:r>
              <w:rPr>
                <w:rFonts w:hint="eastAsia" w:ascii="宋体" w:hAnsi="宋体" w:cs="宋体"/>
                <w:b w:val="0"/>
                <w:bCs w:val="0"/>
                <w:color w:val="auto"/>
                <w:sz w:val="21"/>
                <w:szCs w:val="21"/>
                <w:highlight w:val="none"/>
                <w:lang w:val="en-US" w:eastAsia="zh-CN"/>
                <w14:ligatures w14:val="none"/>
              </w:rPr>
              <w:t>12.验收单2份</w:t>
            </w:r>
          </w:p>
          <w:p w14:paraId="17B53E84">
            <w:pPr>
              <w:widowControl/>
              <w:spacing w:line="360" w:lineRule="auto"/>
              <w:jc w:val="left"/>
              <w:textAlignment w:val="center"/>
              <w:rPr>
                <w:rFonts w:hint="eastAsia" w:ascii="宋体" w:hAnsi="宋体" w:cs="宋体"/>
                <w:b w:val="0"/>
                <w:bCs w:val="0"/>
                <w:color w:val="auto"/>
                <w:sz w:val="21"/>
                <w:szCs w:val="21"/>
                <w:highlight w:val="none"/>
                <w:lang w:val="en-US" w:eastAsia="zh-CN"/>
                <w14:ligatures w14:val="none"/>
              </w:rPr>
            </w:pPr>
            <w:r>
              <w:rPr>
                <w:rFonts w:hint="eastAsia" w:ascii="宋体" w:hAnsi="宋体" w:cs="宋体"/>
                <w:b w:val="0"/>
                <w:bCs w:val="0"/>
                <w:color w:val="auto"/>
                <w:sz w:val="21"/>
                <w:szCs w:val="21"/>
                <w:highlight w:val="none"/>
                <w:lang w:val="en-US" w:eastAsia="zh-CN"/>
                <w14:ligatures w14:val="none"/>
              </w:rPr>
              <w:t>13.设备反馈单1份</w:t>
            </w:r>
          </w:p>
          <w:p w14:paraId="29C5FE2A">
            <w:pPr>
              <w:widowControl/>
              <w:spacing w:line="360" w:lineRule="auto"/>
              <w:jc w:val="left"/>
              <w:textAlignment w:val="center"/>
              <w:rPr>
                <w:rFonts w:hint="default" w:ascii="宋体" w:hAnsi="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14:ligatures w14:val="none"/>
              </w:rPr>
              <w:t>五、</w:t>
            </w:r>
            <w:r>
              <w:rPr>
                <w:rFonts w:hint="eastAsia" w:ascii="宋体" w:hAnsi="宋体" w:eastAsia="宋体" w:cs="宋体"/>
                <w:b/>
                <w:bCs/>
                <w:color w:val="auto"/>
                <w:sz w:val="21"/>
                <w:szCs w:val="21"/>
                <w:highlight w:val="none"/>
                <w:lang w:val="en-US" w:eastAsia="zh-CN"/>
                <w14:ligatures w14:val="none"/>
              </w:rPr>
              <w:t>产品符合相关医疗卫生标准和规范，需要在投标文件中提供①生产企业卫生许可证扫描件（生产项目：消毒器械类）②产品卫生安全评价报告或者新消毒产品卫生许可批件</w:t>
            </w:r>
            <w:r>
              <w:rPr>
                <w:rFonts w:hint="eastAsia" w:ascii="宋体" w:hAnsi="宋体" w:cs="宋体"/>
                <w:b/>
                <w:bCs/>
                <w:color w:val="auto"/>
                <w:sz w:val="21"/>
                <w:szCs w:val="21"/>
                <w:highlight w:val="none"/>
                <w:lang w:val="en-US" w:eastAsia="zh-CN"/>
                <w14:ligatures w14:val="none"/>
              </w:rPr>
              <w:t>扫描件</w:t>
            </w:r>
            <w:r>
              <w:rPr>
                <w:rFonts w:hint="eastAsia" w:ascii="宋体" w:hAnsi="宋体" w:eastAsia="宋体" w:cs="宋体"/>
                <w:b/>
                <w:bCs/>
                <w:color w:val="auto"/>
                <w:sz w:val="21"/>
                <w:szCs w:val="21"/>
                <w:highlight w:val="none"/>
                <w:lang w:val="en-US" w:eastAsia="zh-CN"/>
                <w14:ligatures w14:val="none"/>
              </w:rPr>
              <w:t>，以上有效证件的扫描件须加盖原件持有者的印章。</w:t>
            </w:r>
          </w:p>
        </w:tc>
        <w:tc>
          <w:tcPr>
            <w:tcW w:w="1100" w:type="dxa"/>
            <w:tcBorders>
              <w:left w:val="single" w:color="auto" w:sz="4" w:space="0"/>
            </w:tcBorders>
            <w:shd w:val="clear" w:color="auto" w:fill="auto"/>
            <w:vAlign w:val="center"/>
          </w:tcPr>
          <w:p w14:paraId="3B682E3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2.05</w:t>
            </w:r>
          </w:p>
        </w:tc>
      </w:tr>
      <w:tr w14:paraId="52A54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0E6A1581">
            <w:pPr>
              <w:numPr>
                <w:ilvl w:val="0"/>
                <w:numId w:val="12"/>
              </w:numPr>
              <w:snapToGrid w:val="0"/>
              <w:spacing w:line="360" w:lineRule="auto"/>
              <w:jc w:val="center"/>
              <w:rPr>
                <w:rFonts w:hint="eastAsia" w:ascii="宋体" w:hAnsi="宋体" w:eastAsia="宋体" w:cs="宋体"/>
                <w:color w:val="auto"/>
                <w:sz w:val="21"/>
                <w:szCs w:val="21"/>
                <w:highlight w:val="none"/>
              </w:rPr>
            </w:pPr>
          </w:p>
        </w:tc>
        <w:tc>
          <w:tcPr>
            <w:tcW w:w="850" w:type="dxa"/>
            <w:shd w:val="clear" w:color="auto" w:fill="auto"/>
            <w:vAlign w:val="center"/>
          </w:tcPr>
          <w:p w14:paraId="1386D5A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营养输液泵（肠内营养泵）</w:t>
            </w:r>
          </w:p>
        </w:tc>
        <w:tc>
          <w:tcPr>
            <w:tcW w:w="500" w:type="dxa"/>
            <w:tcBorders>
              <w:right w:val="single" w:color="auto" w:sz="4" w:space="0"/>
            </w:tcBorders>
            <w:vAlign w:val="center"/>
          </w:tcPr>
          <w:p w14:paraId="27C04FA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w:t>
            </w:r>
          </w:p>
        </w:tc>
        <w:tc>
          <w:tcPr>
            <w:tcW w:w="514" w:type="dxa"/>
            <w:gridSpan w:val="2"/>
            <w:tcBorders>
              <w:left w:val="single" w:color="auto" w:sz="4" w:space="0"/>
              <w:right w:val="single" w:color="auto" w:sz="4" w:space="0"/>
            </w:tcBorders>
            <w:vAlign w:val="center"/>
          </w:tcPr>
          <w:p w14:paraId="0AB73FF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套</w:t>
            </w:r>
          </w:p>
        </w:tc>
        <w:tc>
          <w:tcPr>
            <w:tcW w:w="5721" w:type="dxa"/>
            <w:tcBorders>
              <w:left w:val="single" w:color="auto" w:sz="4" w:space="0"/>
              <w:right w:val="single" w:color="auto" w:sz="4" w:space="0"/>
            </w:tcBorders>
            <w:vAlign w:val="center"/>
          </w:tcPr>
          <w:p w14:paraId="78E9F39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1D2C69A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1.工作模式：连续喂养、间歇喂养、时间喂养</w:t>
            </w:r>
          </w:p>
          <w:p w14:paraId="2FFA274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2.速度：1-600ml/h，最小以1mL/h步进</w:t>
            </w:r>
          </w:p>
          <w:p w14:paraId="7EE0AA2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3.喂养量：1-9999ml，最小以1ml步进</w:t>
            </w:r>
          </w:p>
          <w:p w14:paraId="492FD98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4.单次喂养量：1-4000ml，最小以1ml步进</w:t>
            </w:r>
          </w:p>
          <w:p w14:paraId="099FE61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5.间隔：0h01min-24h0min，最小以1min步进</w:t>
            </w:r>
          </w:p>
          <w:p w14:paraId="2D10B33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6.次数：1-99次，最小以1步进</w:t>
            </w:r>
          </w:p>
          <w:p w14:paraId="1E99221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7.喂养时间：0h01min-24h0min，最小以1min步进</w:t>
            </w:r>
          </w:p>
          <w:p w14:paraId="13D9631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8.反抽速度：1-600ml/h</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最小以1ml/h步进</w:t>
            </w:r>
          </w:p>
          <w:p w14:paraId="72AEAAF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9.灌注速度：1-800ml/h，最小以1ml/h步进</w:t>
            </w:r>
          </w:p>
          <w:p w14:paraId="2073F78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10.灌注量：1-100ml，最小以1ml步进</w:t>
            </w:r>
          </w:p>
          <w:p w14:paraId="3EACDA2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11.冲洗速度：1-800ml/h</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最小以1ml/h步进</w:t>
            </w:r>
          </w:p>
          <w:p w14:paraId="607DA28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12.冲洗量：1-4000ml，最小以1ml步进</w:t>
            </w:r>
          </w:p>
          <w:p w14:paraId="7449CC9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13.输注精度：使用推荐的一次性使用肠内营养输注管路/袋，精度误差±10%</w:t>
            </w:r>
            <w:r>
              <w:rPr>
                <w:rFonts w:hint="eastAsia" w:ascii="宋体" w:hAnsi="宋体" w:cs="宋体"/>
                <w:color w:val="auto"/>
                <w:sz w:val="21"/>
                <w:szCs w:val="21"/>
                <w:highlight w:val="none"/>
                <w:lang w:val="en-US" w:eastAsia="zh-CN"/>
              </w:rPr>
              <w:t>。</w:t>
            </w:r>
          </w:p>
          <w:p w14:paraId="4586275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14.电池工作时间：仅在电池供电的条件下，全新电池在完全充满电情况下以≥25ml/h速度输注时，工作时间不低于8小时</w:t>
            </w:r>
            <w:r>
              <w:rPr>
                <w:rFonts w:hint="eastAsia" w:ascii="宋体" w:hAnsi="宋体" w:cs="宋体"/>
                <w:color w:val="auto"/>
                <w:sz w:val="21"/>
                <w:szCs w:val="21"/>
                <w:highlight w:val="none"/>
                <w:lang w:val="en-US" w:eastAsia="zh-CN"/>
              </w:rPr>
              <w:t>。</w:t>
            </w:r>
          </w:p>
          <w:p w14:paraId="10FB8D6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15.报警功能：空管或管路异常、输注完毕报警、电机故障报警、电源线脱落报警、电池欠压报警、电池耗尽报警、电池脱位报警</w:t>
            </w:r>
            <w:r>
              <w:rPr>
                <w:rFonts w:hint="eastAsia" w:ascii="宋体" w:hAnsi="宋体" w:cs="宋体"/>
                <w:color w:val="auto"/>
                <w:sz w:val="21"/>
                <w:szCs w:val="21"/>
                <w:highlight w:val="none"/>
                <w:lang w:val="en-US" w:eastAsia="zh-CN"/>
              </w:rPr>
              <w:t>。</w:t>
            </w:r>
          </w:p>
          <w:p w14:paraId="7414AFF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16.其它功能：亮度设置、按键音、报警音、节能模式、时间设置</w:t>
            </w:r>
            <w:r>
              <w:rPr>
                <w:rFonts w:hint="eastAsia" w:ascii="宋体" w:hAnsi="宋体" w:cs="宋体"/>
                <w:color w:val="auto"/>
                <w:sz w:val="21"/>
                <w:szCs w:val="21"/>
                <w:highlight w:val="none"/>
                <w:lang w:val="en-US" w:eastAsia="zh-CN"/>
              </w:rPr>
              <w:t>。</w:t>
            </w:r>
          </w:p>
          <w:p w14:paraId="09CEF63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17.历史记录查询：可查询≥2000条历史记录，历史记录存满后按照先进先出的原则淘汰</w:t>
            </w:r>
            <w:r>
              <w:rPr>
                <w:rFonts w:hint="eastAsia" w:ascii="宋体" w:hAnsi="宋体" w:cs="宋体"/>
                <w:color w:val="auto"/>
                <w:sz w:val="21"/>
                <w:szCs w:val="21"/>
                <w:highlight w:val="none"/>
                <w:lang w:val="en-US" w:eastAsia="zh-CN"/>
              </w:rPr>
              <w:t>。</w:t>
            </w:r>
          </w:p>
          <w:p w14:paraId="3018118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18.输注精度校准：具有喂养速度校准功能，使不同品牌耗材满足喂养精度要求</w:t>
            </w:r>
            <w:r>
              <w:rPr>
                <w:rFonts w:hint="eastAsia" w:ascii="宋体" w:hAnsi="宋体" w:cs="宋体"/>
                <w:color w:val="auto"/>
                <w:sz w:val="21"/>
                <w:szCs w:val="21"/>
                <w:highlight w:val="none"/>
                <w:lang w:val="en-US" w:eastAsia="zh-CN"/>
              </w:rPr>
              <w:t>。</w:t>
            </w:r>
          </w:p>
          <w:p w14:paraId="4EE8E91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19.灌注功能：具有自动灌注和手动灌注两种灌注功能</w:t>
            </w:r>
          </w:p>
          <w:p w14:paraId="304D012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20.冲洗功能：在管路冲洗界面，按压启动/暂停键，可启动冲洗，当已冲洗量等于设置的冲洗量时，冲洗结束</w:t>
            </w:r>
            <w:r>
              <w:rPr>
                <w:rFonts w:hint="eastAsia" w:ascii="宋体" w:hAnsi="宋体" w:cs="宋体"/>
                <w:color w:val="auto"/>
                <w:sz w:val="21"/>
                <w:szCs w:val="21"/>
                <w:highlight w:val="none"/>
                <w:lang w:val="en-US" w:eastAsia="zh-CN"/>
              </w:rPr>
              <w:t>。</w:t>
            </w:r>
          </w:p>
          <w:p w14:paraId="524F049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21.止鸣功能：当发生报警时，按压“清零”键可以将报警音屏蔽，若在1min50s-2min内该报警未解除，继续发生该报警的报警声音</w:t>
            </w:r>
            <w:r>
              <w:rPr>
                <w:rFonts w:hint="eastAsia" w:ascii="宋体" w:hAnsi="宋体" w:cs="宋体"/>
                <w:color w:val="auto"/>
                <w:sz w:val="21"/>
                <w:szCs w:val="21"/>
                <w:highlight w:val="none"/>
                <w:lang w:val="en-US" w:eastAsia="zh-CN"/>
              </w:rPr>
              <w:t>。</w:t>
            </w:r>
          </w:p>
          <w:p w14:paraId="752D0E3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w:t>
            </w:r>
            <w:r>
              <w:rPr>
                <w:rFonts w:hint="eastAsia" w:ascii="宋体" w:hAnsi="宋体" w:cs="宋体"/>
                <w:color w:val="auto"/>
                <w:sz w:val="21"/>
                <w:szCs w:val="21"/>
                <w:highlight w:val="none"/>
                <w:lang w:val="en-US" w:eastAsia="zh-CN"/>
              </w:rPr>
              <w:t>每套</w:t>
            </w:r>
            <w:r>
              <w:rPr>
                <w:rFonts w:hint="eastAsia" w:ascii="宋体" w:hAnsi="宋体" w:eastAsia="宋体" w:cs="宋体"/>
                <w:color w:val="auto"/>
                <w:sz w:val="21"/>
                <w:szCs w:val="21"/>
                <w:highlight w:val="none"/>
                <w:lang w:val="en-US" w:eastAsia="zh-CN"/>
              </w:rPr>
              <w:t>配置需求：</w:t>
            </w:r>
          </w:p>
          <w:p w14:paraId="2EED4A1E">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w:t>
            </w:r>
            <w:r>
              <w:rPr>
                <w:rFonts w:hint="eastAsia" w:ascii="宋体" w:hAnsi="宋体" w:cs="宋体"/>
                <w:color w:val="auto"/>
                <w:sz w:val="21"/>
                <w:szCs w:val="21"/>
                <w:highlight w:val="none"/>
                <w:lang w:val="en-US" w:eastAsia="zh-CN"/>
              </w:rPr>
              <w:t>1台</w:t>
            </w:r>
          </w:p>
          <w:p w14:paraId="3684CD3B">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2.电源适配器</w:t>
            </w:r>
            <w:r>
              <w:rPr>
                <w:rFonts w:hint="eastAsia" w:ascii="宋体" w:hAnsi="宋体" w:cs="宋体"/>
                <w:color w:val="auto"/>
                <w:sz w:val="21"/>
                <w:szCs w:val="21"/>
                <w:highlight w:val="none"/>
                <w:lang w:val="en-US" w:eastAsia="zh-CN"/>
              </w:rPr>
              <w:t>1台</w:t>
            </w:r>
          </w:p>
          <w:p w14:paraId="4F4E4C91">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3.管路蠕动模块</w:t>
            </w:r>
            <w:r>
              <w:rPr>
                <w:rFonts w:hint="eastAsia" w:ascii="宋体" w:hAnsi="宋体" w:cs="宋体"/>
                <w:color w:val="auto"/>
                <w:sz w:val="21"/>
                <w:szCs w:val="21"/>
                <w:highlight w:val="none"/>
                <w:lang w:val="en-US" w:eastAsia="zh-CN"/>
              </w:rPr>
              <w:t>1套</w:t>
            </w:r>
          </w:p>
          <w:p w14:paraId="5BDE7DCF">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4.面贴</w:t>
            </w:r>
            <w:r>
              <w:rPr>
                <w:rFonts w:hint="eastAsia" w:ascii="宋体" w:hAnsi="宋体" w:cs="宋体"/>
                <w:color w:val="auto"/>
                <w:sz w:val="21"/>
                <w:szCs w:val="21"/>
                <w:highlight w:val="none"/>
                <w:lang w:val="en-US" w:eastAsia="zh-CN"/>
              </w:rPr>
              <w:t>1套</w:t>
            </w:r>
          </w:p>
          <w:p w14:paraId="5BCA4A7F">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5.内置电池</w:t>
            </w:r>
            <w:r>
              <w:rPr>
                <w:rFonts w:hint="eastAsia" w:ascii="宋体" w:hAnsi="宋体" w:cs="宋体"/>
                <w:color w:val="auto"/>
                <w:sz w:val="21"/>
                <w:szCs w:val="21"/>
                <w:highlight w:val="none"/>
                <w:lang w:val="en-US" w:eastAsia="zh-CN"/>
              </w:rPr>
              <w:t>1块</w:t>
            </w:r>
          </w:p>
        </w:tc>
        <w:tc>
          <w:tcPr>
            <w:tcW w:w="1100" w:type="dxa"/>
            <w:tcBorders>
              <w:left w:val="single" w:color="auto" w:sz="4" w:space="0"/>
            </w:tcBorders>
            <w:shd w:val="clear" w:color="auto" w:fill="auto"/>
            <w:vAlign w:val="center"/>
          </w:tcPr>
          <w:p w14:paraId="6A87884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0.6</w:t>
            </w:r>
          </w:p>
        </w:tc>
      </w:tr>
      <w:tr w14:paraId="4BF8B3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52" w:type="dxa"/>
            <w:gridSpan w:val="7"/>
            <w:tcBorders>
              <w:top w:val="single" w:color="auto" w:sz="4" w:space="0"/>
              <w:left w:val="single" w:color="auto" w:sz="4" w:space="0"/>
              <w:bottom w:val="single" w:color="auto" w:sz="4" w:space="0"/>
              <w:right w:val="single" w:color="auto" w:sz="4" w:space="0"/>
            </w:tcBorders>
            <w:vAlign w:val="top"/>
          </w:tcPr>
          <w:p w14:paraId="382B764B">
            <w:pPr>
              <w:spacing w:line="44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▲一、商务要求</w:t>
            </w:r>
          </w:p>
        </w:tc>
      </w:tr>
      <w:tr w14:paraId="163B3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27" w:type="dxa"/>
            <w:gridSpan w:val="4"/>
            <w:tcBorders>
              <w:top w:val="single" w:color="auto" w:sz="4" w:space="0"/>
              <w:left w:val="single" w:color="auto" w:sz="4" w:space="0"/>
              <w:bottom w:val="single" w:color="auto" w:sz="4" w:space="0"/>
              <w:right w:val="single" w:color="auto" w:sz="4" w:space="0"/>
            </w:tcBorders>
            <w:vAlign w:val="center"/>
          </w:tcPr>
          <w:p w14:paraId="451F6156">
            <w:pPr>
              <w:spacing w:line="440" w:lineRule="exac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交付时间</w:t>
            </w:r>
            <w:r>
              <w:rPr>
                <w:rFonts w:hint="eastAsia" w:ascii="宋体" w:hAnsi="宋体" w:eastAsia="宋体" w:cs="宋体"/>
                <w:b w:val="0"/>
                <w:bCs w:val="0"/>
                <w:color w:val="auto"/>
                <w:sz w:val="21"/>
                <w:szCs w:val="21"/>
                <w:highlight w:val="none"/>
                <w:lang w:eastAsia="zh-CN"/>
              </w:rPr>
              <w:t>（合同履行时间）</w:t>
            </w:r>
            <w:r>
              <w:rPr>
                <w:rFonts w:hint="eastAsia" w:ascii="宋体" w:hAnsi="宋体" w:eastAsia="宋体" w:cs="宋体"/>
                <w:b w:val="0"/>
                <w:bCs w:val="0"/>
                <w:color w:val="auto"/>
                <w:sz w:val="21"/>
                <w:szCs w:val="21"/>
                <w:highlight w:val="none"/>
              </w:rPr>
              <w:t>和地点</w:t>
            </w:r>
          </w:p>
        </w:tc>
        <w:tc>
          <w:tcPr>
            <w:tcW w:w="7325" w:type="dxa"/>
            <w:gridSpan w:val="3"/>
            <w:tcBorders>
              <w:top w:val="single" w:color="auto" w:sz="4" w:space="0"/>
              <w:left w:val="single" w:color="auto" w:sz="4" w:space="0"/>
              <w:bottom w:val="single" w:color="auto" w:sz="4" w:space="0"/>
              <w:right w:val="single" w:color="auto" w:sz="4" w:space="0"/>
            </w:tcBorders>
            <w:vAlign w:val="center"/>
          </w:tcPr>
          <w:p w14:paraId="0C39D99E">
            <w:pPr>
              <w:spacing w:line="440" w:lineRule="exac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1.交付时间：</w:t>
            </w:r>
            <w:r>
              <w:rPr>
                <w:rFonts w:hint="eastAsia" w:ascii="宋体" w:hAnsi="宋体" w:cs="宋体"/>
                <w:b w:val="0"/>
                <w:bCs w:val="0"/>
                <w:color w:val="auto"/>
                <w:sz w:val="21"/>
                <w:szCs w:val="21"/>
                <w:highlight w:val="none"/>
                <w:lang w:eastAsia="zh-CN"/>
              </w:rPr>
              <w:t>收到采购人供货通知之日起60天内完成安装、调试、培训等全部工作，并交付使用（因采购人部分科室处于特殊装修阶段，具体进场时间以采购人通知为准，交付时间可根据采购人装修进度适当调整）。</w:t>
            </w:r>
          </w:p>
          <w:p w14:paraId="7337B8BD">
            <w:pPr>
              <w:widowControl w:val="0"/>
              <w:autoSpaceDE/>
              <w:autoSpaceDN/>
              <w:adjustRightInd/>
              <w:spacing w:line="440" w:lineRule="exac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bidi="ar-SA"/>
              </w:rPr>
              <w:t>2.交付地点：苍梧县中医医院采购人指定检查室或科室等</w:t>
            </w:r>
            <w:r>
              <w:rPr>
                <w:rFonts w:hint="eastAsia" w:ascii="宋体" w:hAnsi="宋体" w:cs="宋体"/>
                <w:b w:val="0"/>
                <w:bCs w:val="0"/>
                <w:color w:val="auto"/>
                <w:sz w:val="21"/>
                <w:szCs w:val="21"/>
                <w:highlight w:val="none"/>
                <w:lang w:val="en-US" w:eastAsia="zh-CN" w:bidi="ar-SA"/>
              </w:rPr>
              <w:t>。</w:t>
            </w:r>
          </w:p>
        </w:tc>
      </w:tr>
      <w:tr w14:paraId="738BB5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27" w:type="dxa"/>
            <w:gridSpan w:val="4"/>
            <w:tcBorders>
              <w:top w:val="single" w:color="auto" w:sz="4" w:space="0"/>
              <w:left w:val="single" w:color="auto" w:sz="4" w:space="0"/>
              <w:bottom w:val="single" w:color="auto" w:sz="4" w:space="0"/>
              <w:right w:val="single" w:color="auto" w:sz="4" w:space="0"/>
            </w:tcBorders>
            <w:vAlign w:val="center"/>
          </w:tcPr>
          <w:p w14:paraId="5AA0223F">
            <w:pPr>
              <w:spacing w:line="440" w:lineRule="exac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合同签订时间</w:t>
            </w:r>
          </w:p>
        </w:tc>
        <w:tc>
          <w:tcPr>
            <w:tcW w:w="7325" w:type="dxa"/>
            <w:gridSpan w:val="3"/>
            <w:tcBorders>
              <w:top w:val="single" w:color="auto" w:sz="4" w:space="0"/>
              <w:left w:val="single" w:color="auto" w:sz="4" w:space="0"/>
              <w:bottom w:val="single" w:color="auto" w:sz="4" w:space="0"/>
              <w:right w:val="single" w:color="auto" w:sz="4" w:space="0"/>
            </w:tcBorders>
            <w:vAlign w:val="center"/>
          </w:tcPr>
          <w:p w14:paraId="31F45FE6">
            <w:pPr>
              <w:widowControl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自中标通知书发出之日起15日内</w:t>
            </w:r>
          </w:p>
        </w:tc>
      </w:tr>
      <w:tr w14:paraId="4F3DE6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27" w:type="dxa"/>
            <w:gridSpan w:val="4"/>
            <w:tcBorders>
              <w:top w:val="single" w:color="auto" w:sz="4" w:space="0"/>
              <w:left w:val="single" w:color="auto" w:sz="4" w:space="0"/>
              <w:bottom w:val="single" w:color="auto" w:sz="4" w:space="0"/>
              <w:right w:val="single" w:color="auto" w:sz="4" w:space="0"/>
            </w:tcBorders>
            <w:vAlign w:val="center"/>
          </w:tcPr>
          <w:p w14:paraId="7179320B">
            <w:pPr>
              <w:spacing w:line="440" w:lineRule="exact"/>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rPr>
              <w:t>付款方式</w:t>
            </w:r>
          </w:p>
        </w:tc>
        <w:tc>
          <w:tcPr>
            <w:tcW w:w="7325" w:type="dxa"/>
            <w:gridSpan w:val="3"/>
            <w:tcBorders>
              <w:top w:val="single" w:color="auto" w:sz="4" w:space="0"/>
              <w:left w:val="single" w:color="auto" w:sz="4" w:space="0"/>
              <w:bottom w:val="single" w:color="auto" w:sz="4" w:space="0"/>
              <w:right w:val="single" w:color="auto" w:sz="4" w:space="0"/>
            </w:tcBorders>
            <w:vAlign w:val="center"/>
          </w:tcPr>
          <w:p w14:paraId="7AA8FD35">
            <w:pPr>
              <w:widowControl/>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资金来源为政府专项债，采购人根据上级拨付资金的情况进行付款，资金未拨付到位的，中标供应商不得要求采购人履行付款义务。待资金下达到位后，中标供应商应提供符合税法规定的全额增值税发票，并按以下方式进行结算。双方签订采购合同后，中标供应商将货物供应至采购人指定地点，支付到货设备合同金额的60%；设备完成安装后，支付至安装设备合同金额的80%；验收合格并入库后，支付至验收设备合同金额的95%；余下的5%合同总额，在项目验收合格满一年，且货物不存在质量问题、中标供应商无其他违约及违法情形时，采购人需在15个工作日内付清（不计利息）。</w:t>
            </w:r>
          </w:p>
          <w:p w14:paraId="28D324F8">
            <w:pPr>
              <w:widowControl/>
              <w:spacing w:line="440" w:lineRule="exac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合同签署的中标供应商名称、发票开具单位与收款单位必须保持一致。在合同执行过程中，中标供应商不得因其他不正当理由要求调整发票开具单位或收款单位，否则视为中标供应商违约。</w:t>
            </w:r>
          </w:p>
        </w:tc>
      </w:tr>
      <w:tr w14:paraId="00C498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27" w:type="dxa"/>
            <w:gridSpan w:val="4"/>
            <w:tcBorders>
              <w:top w:val="single" w:color="auto" w:sz="4" w:space="0"/>
              <w:left w:val="single" w:color="auto" w:sz="4" w:space="0"/>
              <w:bottom w:val="single" w:color="auto" w:sz="4" w:space="0"/>
              <w:right w:val="single" w:color="auto" w:sz="4" w:space="0"/>
            </w:tcBorders>
            <w:vAlign w:val="center"/>
          </w:tcPr>
          <w:p w14:paraId="094B8E27">
            <w:pPr>
              <w:widowControl/>
              <w:spacing w:line="440" w:lineRule="exact"/>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bidi="ar"/>
              </w:rPr>
              <w:t>质保期</w:t>
            </w:r>
          </w:p>
        </w:tc>
        <w:tc>
          <w:tcPr>
            <w:tcW w:w="7325" w:type="dxa"/>
            <w:gridSpan w:val="3"/>
            <w:tcBorders>
              <w:top w:val="single" w:color="auto" w:sz="4" w:space="0"/>
              <w:left w:val="single" w:color="auto" w:sz="4" w:space="0"/>
              <w:bottom w:val="single" w:color="auto" w:sz="4" w:space="0"/>
              <w:right w:val="single" w:color="auto" w:sz="4" w:space="0"/>
            </w:tcBorders>
            <w:vAlign w:val="center"/>
          </w:tcPr>
          <w:p w14:paraId="6275507C">
            <w:pPr>
              <w:widowControl/>
              <w:spacing w:line="440" w:lineRule="exact"/>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bidi="ar"/>
              </w:rPr>
              <w:t>按国家有关产品“三包”规定执行“三包”，质保期不得少于</w:t>
            </w:r>
            <w:r>
              <w:rPr>
                <w:rFonts w:hint="eastAsia" w:ascii="宋体" w:hAnsi="宋体" w:eastAsia="宋体" w:cs="宋体"/>
                <w:b w:val="0"/>
                <w:bCs w:val="0"/>
                <w:color w:val="auto"/>
                <w:kern w:val="0"/>
                <w:sz w:val="21"/>
                <w:szCs w:val="21"/>
                <w:highlight w:val="none"/>
                <w:lang w:val="en-US" w:eastAsia="zh-CN" w:bidi="ar"/>
              </w:rPr>
              <w:t>3年，分项若有规定的，从其规定。</w:t>
            </w:r>
          </w:p>
        </w:tc>
      </w:tr>
      <w:tr w14:paraId="1963E5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27" w:type="dxa"/>
            <w:gridSpan w:val="4"/>
            <w:tcBorders>
              <w:top w:val="single" w:color="auto" w:sz="4" w:space="0"/>
              <w:left w:val="single" w:color="auto" w:sz="4" w:space="0"/>
              <w:bottom w:val="single" w:color="auto" w:sz="4" w:space="0"/>
              <w:right w:val="single" w:color="auto" w:sz="4" w:space="0"/>
            </w:tcBorders>
            <w:vAlign w:val="center"/>
          </w:tcPr>
          <w:p w14:paraId="5D28EFA1">
            <w:pPr>
              <w:widowControl/>
              <w:spacing w:line="440" w:lineRule="exact"/>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bidi="ar"/>
              </w:rPr>
              <w:t>售后服务及培训要求</w:t>
            </w:r>
          </w:p>
        </w:tc>
        <w:tc>
          <w:tcPr>
            <w:tcW w:w="7325" w:type="dxa"/>
            <w:gridSpan w:val="3"/>
            <w:tcBorders>
              <w:top w:val="single" w:color="auto" w:sz="4" w:space="0"/>
              <w:left w:val="single" w:color="auto" w:sz="4" w:space="0"/>
              <w:bottom w:val="single" w:color="auto" w:sz="4" w:space="0"/>
              <w:right w:val="single" w:color="auto" w:sz="4" w:space="0"/>
            </w:tcBorders>
            <w:vAlign w:val="center"/>
          </w:tcPr>
          <w:p w14:paraId="61AD9212">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售后服务费用包含在报价中，售后服务内容如下： </w:t>
            </w:r>
          </w:p>
          <w:p w14:paraId="061D3DB7">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负责送货上门，</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安装调试至合格，负责培训。配置至少1名工程技术人员，随时提供安装、调试或维修等服务。配置专业技术人员提供技术培训，包括设备日常操作、工作原理、注意事项、简单故障排除、维护保养等方面的系统培训，保证使用人员正常操作设备的各种功能。时间、地点、人员由采购人确定，提前通知</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安排工程师到场。</w:t>
            </w:r>
          </w:p>
          <w:p w14:paraId="63D27495">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定期回访以及对设备维修、更换配件。</w:t>
            </w:r>
          </w:p>
          <w:p w14:paraId="75EFB53B">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应保证所供产品是全新的、未使用过的且是近</w:t>
            </w:r>
            <w:r>
              <w:rPr>
                <w:rFonts w:hint="eastAsia" w:ascii="宋体" w:hAnsi="宋体" w:cs="宋体"/>
                <w:b w:val="0"/>
                <w:bCs w:val="0"/>
                <w:color w:val="auto"/>
                <w:sz w:val="21"/>
                <w:szCs w:val="21"/>
                <w:highlight w:val="none"/>
                <w:lang w:val="en-US" w:eastAsia="zh-CN"/>
              </w:rPr>
              <w:t>半年</w:t>
            </w:r>
            <w:r>
              <w:rPr>
                <w:rFonts w:hint="eastAsia" w:ascii="宋体" w:hAnsi="宋体" w:eastAsia="宋体" w:cs="宋体"/>
                <w:b w:val="0"/>
                <w:bCs w:val="0"/>
                <w:color w:val="auto"/>
                <w:sz w:val="21"/>
                <w:szCs w:val="21"/>
                <w:highlight w:val="none"/>
              </w:rPr>
              <w:t>内生产的，并完全符合规定的质量、规格的要求。</w:t>
            </w:r>
          </w:p>
          <w:p w14:paraId="21CD1FAF">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便于售后问题的处理，响应时间＜4小时，接故障通知24小时内派合格的技术人员并携带工器具到达现场提供技术服务。</w:t>
            </w:r>
          </w:p>
          <w:p w14:paraId="25ABC732">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提供设备纸质版或电子版的操作规程和维护保养流程。</w:t>
            </w:r>
          </w:p>
          <w:p w14:paraId="4564802D">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设备如属于政府部门有强制检定要求的，</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应负责设备使用前的相关检定。</w:t>
            </w:r>
          </w:p>
          <w:p w14:paraId="69543934">
            <w:pPr>
              <w:widowControl/>
              <w:spacing w:line="440" w:lineRule="exact"/>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其余按厂家承诺。</w:t>
            </w:r>
          </w:p>
        </w:tc>
      </w:tr>
      <w:tr w14:paraId="19643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2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52F82FF">
            <w:pPr>
              <w:widowControl/>
              <w:spacing w:line="44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bidi="ar"/>
              </w:rPr>
              <w:t>投标报价要求</w:t>
            </w:r>
          </w:p>
        </w:tc>
        <w:tc>
          <w:tcPr>
            <w:tcW w:w="73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FAD59BC">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投标报价为采购人指定地点的现场交货价，包括：</w:t>
            </w:r>
          </w:p>
          <w:p w14:paraId="39C40F55">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货物的价格：</w:t>
            </w:r>
            <w:r>
              <w:rPr>
                <w:rFonts w:hint="eastAsia" w:ascii="宋体" w:hAnsi="宋体" w:eastAsia="宋体" w:cs="宋体"/>
                <w:b w:val="0"/>
                <w:bCs w:val="0"/>
                <w:color w:val="auto"/>
                <w:sz w:val="21"/>
                <w:szCs w:val="21"/>
                <w:highlight w:val="none"/>
                <w:lang w:val="en-US" w:eastAsia="zh-CN"/>
              </w:rPr>
              <w:t>包括</w:t>
            </w:r>
            <w:r>
              <w:rPr>
                <w:rFonts w:hint="eastAsia" w:ascii="宋体" w:hAnsi="宋体" w:eastAsia="宋体" w:cs="宋体"/>
                <w:b w:val="0"/>
                <w:bCs w:val="0"/>
                <w:color w:val="auto"/>
                <w:sz w:val="21"/>
                <w:szCs w:val="21"/>
                <w:highlight w:val="none"/>
              </w:rPr>
              <w:t>包装费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运费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装卸费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保险费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搬运费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安装费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调试费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检验</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计量检测</w:t>
            </w:r>
            <w:r>
              <w:rPr>
                <w:rFonts w:hint="eastAsia" w:ascii="宋体" w:hAnsi="宋体" w:eastAsia="宋体" w:cs="宋体"/>
                <w:b w:val="0"/>
                <w:bCs w:val="0"/>
                <w:color w:val="auto"/>
                <w:sz w:val="21"/>
                <w:szCs w:val="21"/>
                <w:highlight w:val="none"/>
              </w:rPr>
              <w:t>及检定验收费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售后服务费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培训费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质保期内无条件维修费，</w:t>
            </w:r>
            <w:r>
              <w:rPr>
                <w:rFonts w:hint="eastAsia" w:ascii="宋体" w:hAnsi="宋体" w:eastAsia="宋体" w:cs="宋体"/>
                <w:b w:val="0"/>
                <w:bCs w:val="0"/>
                <w:color w:val="auto"/>
                <w:sz w:val="21"/>
                <w:szCs w:val="21"/>
                <w:highlight w:val="none"/>
              </w:rPr>
              <w:t>税金等</w:t>
            </w:r>
            <w:r>
              <w:rPr>
                <w:rFonts w:hint="eastAsia" w:ascii="宋体" w:hAnsi="宋体" w:eastAsia="宋体" w:cs="宋体"/>
                <w:b w:val="0"/>
                <w:bCs w:val="0"/>
                <w:color w:val="auto"/>
                <w:sz w:val="21"/>
                <w:szCs w:val="21"/>
                <w:highlight w:val="none"/>
                <w:lang w:val="en-US" w:eastAsia="zh-CN"/>
              </w:rPr>
              <w:t>招标文件</w:t>
            </w:r>
            <w:r>
              <w:rPr>
                <w:rFonts w:hint="eastAsia" w:ascii="宋体" w:hAnsi="宋体" w:eastAsia="宋体" w:cs="宋体"/>
                <w:b w:val="0"/>
                <w:bCs w:val="0"/>
                <w:color w:val="auto"/>
                <w:sz w:val="21"/>
                <w:szCs w:val="21"/>
                <w:highlight w:val="none"/>
              </w:rPr>
              <w:t>和</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文件规定及合同包含的所有风险、责任等应有的全部费用</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凡是涉及</w:t>
            </w:r>
            <w:r>
              <w:rPr>
                <w:rFonts w:hint="eastAsia" w:ascii="宋体" w:hAnsi="宋体" w:eastAsia="宋体" w:cs="宋体"/>
                <w:b w:val="0"/>
                <w:bCs w:val="0"/>
                <w:color w:val="auto"/>
                <w:sz w:val="21"/>
                <w:szCs w:val="21"/>
                <w:highlight w:val="none"/>
              </w:rPr>
              <w:t>与医院信息系统</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如HIS系统等</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连接的接口问题，前述价款也包含</w:t>
            </w:r>
            <w:r>
              <w:rPr>
                <w:rFonts w:hint="eastAsia" w:ascii="宋体" w:hAnsi="宋体" w:eastAsia="宋体" w:cs="宋体"/>
                <w:b w:val="0"/>
                <w:bCs w:val="0"/>
                <w:color w:val="auto"/>
                <w:sz w:val="21"/>
                <w:szCs w:val="21"/>
                <w:highlight w:val="none"/>
                <w:lang w:val="en-US" w:eastAsia="zh-CN"/>
              </w:rPr>
              <w:t>双方</w:t>
            </w:r>
            <w:r>
              <w:rPr>
                <w:rFonts w:hint="eastAsia" w:ascii="宋体" w:hAnsi="宋体" w:eastAsia="宋体" w:cs="宋体"/>
                <w:b w:val="0"/>
                <w:bCs w:val="0"/>
                <w:color w:val="auto"/>
                <w:sz w:val="21"/>
                <w:szCs w:val="21"/>
                <w:highlight w:val="none"/>
              </w:rPr>
              <w:t>接口费用。</w:t>
            </w:r>
          </w:p>
          <w:p w14:paraId="2EB35FDF">
            <w:pPr>
              <w:widowControl/>
              <w:spacing w:line="440" w:lineRule="exact"/>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货物的标准附件、备品备件、专用工具的价格</w:t>
            </w:r>
            <w:r>
              <w:rPr>
                <w:rFonts w:hint="eastAsia" w:ascii="宋体" w:hAnsi="宋体" w:cs="宋体"/>
                <w:b w:val="0"/>
                <w:bCs w:val="0"/>
                <w:color w:val="auto"/>
                <w:sz w:val="21"/>
                <w:szCs w:val="21"/>
                <w:highlight w:val="none"/>
                <w:lang w:eastAsia="zh-CN"/>
              </w:rPr>
              <w:t>。</w:t>
            </w:r>
          </w:p>
          <w:p w14:paraId="71615BD2">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采购代理服务费、保险费和各项税金。</w:t>
            </w:r>
          </w:p>
          <w:p w14:paraId="46412727">
            <w:pPr>
              <w:widowControl/>
              <w:spacing w:line="44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注：投标人自行考虑完成项目所需的辅材、杂配件等数量，投标报价中应包含全部内容，中标后采购人不再另行支付额外费用。</w:t>
            </w:r>
          </w:p>
        </w:tc>
      </w:tr>
      <w:tr w14:paraId="7D093E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27" w:type="dxa"/>
            <w:gridSpan w:val="4"/>
            <w:tcBorders>
              <w:top w:val="single" w:color="auto" w:sz="4" w:space="0"/>
              <w:left w:val="single" w:color="auto" w:sz="4" w:space="0"/>
              <w:bottom w:val="single" w:color="auto" w:sz="4" w:space="0"/>
              <w:right w:val="single" w:color="auto" w:sz="4" w:space="0"/>
            </w:tcBorders>
            <w:vAlign w:val="center"/>
          </w:tcPr>
          <w:p w14:paraId="130311F0">
            <w:pPr>
              <w:widowControl/>
              <w:spacing w:line="440" w:lineRule="exact"/>
              <w:jc w:val="left"/>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验收标准</w:t>
            </w:r>
          </w:p>
        </w:tc>
        <w:tc>
          <w:tcPr>
            <w:tcW w:w="7325" w:type="dxa"/>
            <w:gridSpan w:val="3"/>
            <w:tcBorders>
              <w:top w:val="single" w:color="auto" w:sz="4" w:space="0"/>
              <w:left w:val="single" w:color="auto" w:sz="4" w:space="0"/>
              <w:bottom w:val="single" w:color="auto" w:sz="4" w:space="0"/>
              <w:right w:val="single" w:color="auto" w:sz="4" w:space="0"/>
            </w:tcBorders>
            <w:vAlign w:val="center"/>
          </w:tcPr>
          <w:p w14:paraId="41B48C12">
            <w:pPr>
              <w:spacing w:line="44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验收标准：符合现行国家相关标准、行业标准、地方标准或者其他标准、规范。</w:t>
            </w:r>
          </w:p>
          <w:p w14:paraId="0B1F0046">
            <w:pPr>
              <w:spacing w:line="44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.本项目采购人委托国家认可的第三方机构进行验收，并由其出具验收报告材料。</w:t>
            </w:r>
          </w:p>
          <w:p w14:paraId="65863B0F">
            <w:pPr>
              <w:spacing w:line="44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在货物交付验收时，由采购人委托</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rPr>
              <w:t>第三方验收小组对照招标文件的项目要求及技术需求，全面核对检验</w:t>
            </w:r>
            <w:r>
              <w:rPr>
                <w:rFonts w:hint="eastAsia" w:ascii="宋体" w:hAnsi="宋体" w:eastAsia="宋体" w:cs="宋体"/>
                <w:b w:val="0"/>
                <w:bCs w:val="0"/>
                <w:color w:val="auto"/>
                <w:sz w:val="21"/>
                <w:szCs w:val="21"/>
                <w:highlight w:val="none"/>
                <w:lang w:eastAsia="zh-CN"/>
              </w:rPr>
              <w:t>，如不符合招标文件的技术需求及要求以及提供虚假承诺的，按相关规定做违约处理，中标供应商</w:t>
            </w:r>
            <w:r>
              <w:rPr>
                <w:rFonts w:hint="eastAsia" w:ascii="宋体" w:hAnsi="宋体" w:eastAsia="宋体" w:cs="宋体"/>
                <w:b w:val="0"/>
                <w:bCs w:val="0"/>
                <w:color w:val="auto"/>
                <w:sz w:val="21"/>
                <w:szCs w:val="21"/>
                <w:highlight w:val="none"/>
              </w:rPr>
              <w:t>承担所有责任和费用，采购人保留进一步追究责任的权利。</w:t>
            </w:r>
          </w:p>
          <w:p w14:paraId="0E6B900E">
            <w:pPr>
              <w:spacing w:line="44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验收时间</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 </w:t>
            </w:r>
            <w:r>
              <w:rPr>
                <w:rFonts w:hint="eastAsia" w:ascii="宋体" w:hAnsi="宋体" w:cs="宋体"/>
                <w:b w:val="0"/>
                <w:bCs w:val="0"/>
                <w:color w:val="auto"/>
                <w:sz w:val="21"/>
                <w:szCs w:val="21"/>
                <w:highlight w:val="none"/>
                <w:lang w:eastAsia="zh-CN"/>
              </w:rPr>
              <w:t>采购人收到中标供应商验收申请之日起5个工作日内</w:t>
            </w:r>
            <w:r>
              <w:rPr>
                <w:rFonts w:hint="eastAsia" w:ascii="宋体" w:hAnsi="宋体" w:eastAsia="宋体" w:cs="宋体"/>
                <w:b w:val="0"/>
                <w:bCs w:val="0"/>
                <w:color w:val="auto"/>
                <w:sz w:val="21"/>
                <w:szCs w:val="21"/>
                <w:highlight w:val="none"/>
                <w:lang w:val="en-US" w:eastAsia="zh-CN"/>
              </w:rPr>
              <w:t>由</w:t>
            </w:r>
            <w:r>
              <w:rPr>
                <w:rFonts w:hint="eastAsia" w:ascii="宋体" w:hAnsi="宋体" w:eastAsia="宋体" w:cs="宋体"/>
                <w:b w:val="0"/>
                <w:bCs w:val="0"/>
                <w:color w:val="auto"/>
                <w:sz w:val="21"/>
                <w:szCs w:val="21"/>
                <w:highlight w:val="none"/>
              </w:rPr>
              <w:t>委托</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rPr>
              <w:t>第三方验收小组进行验收（如有特殊情况，按采购人指定的时间，另行验收）。</w:t>
            </w:r>
          </w:p>
          <w:p w14:paraId="7159F386">
            <w:pPr>
              <w:spacing w:line="44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验收地点：</w:t>
            </w:r>
            <w:r>
              <w:rPr>
                <w:rFonts w:hint="eastAsia" w:ascii="宋体" w:hAnsi="宋体" w:eastAsia="宋体" w:cs="宋体"/>
                <w:b w:val="0"/>
                <w:bCs w:val="0"/>
                <w:color w:val="auto"/>
                <w:sz w:val="21"/>
                <w:szCs w:val="21"/>
                <w:highlight w:val="none"/>
                <w:lang w:val="en-US" w:eastAsia="zh-CN"/>
              </w:rPr>
              <w:t>苍梧县中医医院内</w:t>
            </w:r>
            <w:r>
              <w:rPr>
                <w:rFonts w:hint="eastAsia" w:ascii="宋体" w:hAnsi="宋体" w:eastAsia="宋体" w:cs="宋体"/>
                <w:b w:val="0"/>
                <w:bCs w:val="0"/>
                <w:color w:val="auto"/>
                <w:sz w:val="21"/>
                <w:szCs w:val="21"/>
                <w:highlight w:val="none"/>
              </w:rPr>
              <w:t>。</w:t>
            </w:r>
          </w:p>
          <w:p w14:paraId="766C917E">
            <w:pPr>
              <w:spacing w:line="44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验收方式：</w:t>
            </w:r>
          </w:p>
          <w:p w14:paraId="4C61A2F9">
            <w:pPr>
              <w:spacing w:line="44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完成货物安装调试和培训后，书面向采购人提交验收申请。</w:t>
            </w:r>
          </w:p>
          <w:p w14:paraId="3C677206">
            <w:pPr>
              <w:spacing w:line="440" w:lineRule="exac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）采购人收到中标人验收申请之日起5个工作日</w:t>
            </w:r>
            <w:r>
              <w:rPr>
                <w:rFonts w:hint="eastAsia" w:ascii="宋体" w:hAnsi="宋体" w:cs="宋体"/>
                <w:b w:val="0"/>
                <w:bCs w:val="0"/>
                <w:color w:val="auto"/>
                <w:sz w:val="21"/>
                <w:szCs w:val="21"/>
                <w:highlight w:val="none"/>
                <w:lang w:val="en-US" w:eastAsia="zh-CN"/>
              </w:rPr>
              <w:t>内</w:t>
            </w:r>
            <w:r>
              <w:rPr>
                <w:rFonts w:hint="eastAsia" w:ascii="宋体" w:hAnsi="宋体" w:eastAsia="宋体" w:cs="宋体"/>
                <w:b w:val="0"/>
                <w:bCs w:val="0"/>
                <w:color w:val="auto"/>
                <w:sz w:val="21"/>
                <w:szCs w:val="21"/>
                <w:highlight w:val="none"/>
                <w:lang w:val="en-US" w:eastAsia="zh-CN"/>
              </w:rPr>
              <w:t>由</w:t>
            </w:r>
            <w:r>
              <w:rPr>
                <w:rFonts w:hint="eastAsia" w:ascii="宋体" w:hAnsi="宋体" w:eastAsia="宋体" w:cs="宋体"/>
                <w:b w:val="0"/>
                <w:bCs w:val="0"/>
                <w:color w:val="auto"/>
                <w:sz w:val="21"/>
                <w:szCs w:val="21"/>
                <w:highlight w:val="none"/>
              </w:rPr>
              <w:t>委托</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rPr>
              <w:t>第三方验收小组进行验收（如有特殊情况，按采购人指定的时间，另行验收）</w:t>
            </w:r>
            <w:r>
              <w:rPr>
                <w:rFonts w:hint="eastAsia" w:ascii="宋体" w:hAnsi="宋体" w:eastAsia="宋体" w:cs="宋体"/>
                <w:b w:val="0"/>
                <w:bCs w:val="0"/>
                <w:color w:val="auto"/>
                <w:sz w:val="21"/>
                <w:szCs w:val="21"/>
                <w:highlight w:val="none"/>
                <w:lang w:eastAsia="zh-CN"/>
              </w:rPr>
              <w:t>。</w:t>
            </w:r>
          </w:p>
          <w:p w14:paraId="6A26CF3F">
            <w:pPr>
              <w:spacing w:line="44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本项目验收由验收小组按照采购合同约定对每一项技术和商务要求的履约情况进行确认，作为验收依据；</w:t>
            </w:r>
          </w:p>
          <w:p w14:paraId="0D265A7C">
            <w:pPr>
              <w:spacing w:line="44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）验收结束后，验收小组出具采购验收书，验收书应当包括每一项技术和商务要求的履约情况，并列明项目总体评价，由验收小组、采购人和</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共同签署。</w:t>
            </w:r>
          </w:p>
          <w:p w14:paraId="789160CE">
            <w:pPr>
              <w:spacing w:line="44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）验收过程中所产生的一切费用均由</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承担。</w:t>
            </w:r>
            <w:r>
              <w:rPr>
                <w:rFonts w:hint="eastAsia" w:ascii="宋体" w:hAnsi="宋体" w:eastAsia="宋体" w:cs="宋体"/>
                <w:b w:val="0"/>
                <w:bCs w:val="0"/>
                <w:color w:val="auto"/>
                <w:sz w:val="21"/>
                <w:szCs w:val="21"/>
                <w:highlight w:val="none"/>
                <w:lang w:val="en-US" w:eastAsia="zh-CN"/>
              </w:rPr>
              <w:t>报价时应考虑相关费用。</w:t>
            </w:r>
          </w:p>
          <w:p w14:paraId="38EAAB47">
            <w:pPr>
              <w:spacing w:line="44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）验收书一式</w:t>
            </w:r>
            <w:r>
              <w:rPr>
                <w:rFonts w:hint="eastAsia" w:ascii="宋体" w:hAnsi="宋体" w:eastAsia="宋体" w:cs="宋体"/>
                <w:b w:val="0"/>
                <w:bCs w:val="0"/>
                <w:color w:val="auto"/>
                <w:sz w:val="21"/>
                <w:szCs w:val="21"/>
                <w:highlight w:val="none"/>
                <w:lang w:val="en-US" w:eastAsia="zh-CN"/>
              </w:rPr>
              <w:t>伍</w:t>
            </w:r>
            <w:r>
              <w:rPr>
                <w:rFonts w:hint="eastAsia" w:ascii="宋体" w:hAnsi="宋体" w:eastAsia="宋体" w:cs="宋体"/>
                <w:b w:val="0"/>
                <w:bCs w:val="0"/>
                <w:color w:val="auto"/>
                <w:sz w:val="21"/>
                <w:szCs w:val="21"/>
                <w:highlight w:val="none"/>
              </w:rPr>
              <w:t>份，双方各执两份</w:t>
            </w:r>
            <w:r>
              <w:rPr>
                <w:rFonts w:hint="eastAsia" w:ascii="宋体" w:hAnsi="宋体" w:eastAsia="宋体" w:cs="宋体"/>
                <w:b w:val="0"/>
                <w:bCs w:val="0"/>
                <w:color w:val="auto"/>
                <w:sz w:val="21"/>
                <w:szCs w:val="21"/>
                <w:highlight w:val="none"/>
                <w:lang w:eastAsia="zh-CN"/>
              </w:rPr>
              <w:t>，受托第三方机构一份</w:t>
            </w:r>
            <w:r>
              <w:rPr>
                <w:rFonts w:hint="eastAsia" w:ascii="宋体" w:hAnsi="宋体" w:eastAsia="宋体" w:cs="宋体"/>
                <w:b w:val="0"/>
                <w:bCs w:val="0"/>
                <w:color w:val="auto"/>
                <w:sz w:val="21"/>
                <w:szCs w:val="21"/>
                <w:highlight w:val="none"/>
              </w:rPr>
              <w:t xml:space="preserve">。 </w:t>
            </w:r>
          </w:p>
          <w:p w14:paraId="42DD2C50">
            <w:pPr>
              <w:spacing w:line="44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）验收结论不合格的，</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应自收到验收书后5日内及时予以解决。经</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对验收结论不合格的货物进行整改后，仍然达不到要求的，经双方协商，可按以下办法处理：</w:t>
            </w:r>
          </w:p>
          <w:p w14:paraId="0F93EC37">
            <w:pPr>
              <w:spacing w:line="440" w:lineRule="exact"/>
              <w:rPr>
                <w:rFonts w:hint="eastAsia" w:ascii="宋体" w:hAnsi="宋体" w:eastAsia="宋体" w:cs="宋体"/>
                <w:b w:val="0"/>
                <w:bCs w:val="0"/>
                <w:color w:val="auto"/>
                <w:sz w:val="21"/>
                <w:szCs w:val="21"/>
                <w:highlight w:val="none"/>
              </w:rPr>
            </w:pPr>
            <w:r>
              <w:rPr>
                <w:rFonts w:hint="default" w:ascii="Calibri" w:hAnsi="Calibri" w:eastAsia="宋体" w:cs="Calibri"/>
                <w:b w:val="0"/>
                <w:bCs w:val="0"/>
                <w:color w:val="auto"/>
                <w:sz w:val="21"/>
                <w:szCs w:val="21"/>
                <w:highlight w:val="none"/>
              </w:rPr>
              <w:t>①</w:t>
            </w:r>
            <w:r>
              <w:rPr>
                <w:rFonts w:hint="eastAsia" w:ascii="宋体" w:hAnsi="宋体" w:eastAsia="宋体" w:cs="宋体"/>
                <w:b w:val="0"/>
                <w:bCs w:val="0"/>
                <w:color w:val="auto"/>
                <w:sz w:val="21"/>
                <w:szCs w:val="21"/>
                <w:highlight w:val="none"/>
              </w:rPr>
              <w:t>更换：由</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承担所发生的全部费用；</w:t>
            </w:r>
          </w:p>
          <w:p w14:paraId="4ECEA822">
            <w:pPr>
              <w:spacing w:line="440" w:lineRule="exact"/>
              <w:rPr>
                <w:rFonts w:hint="eastAsia" w:ascii="宋体" w:hAnsi="宋体" w:eastAsia="宋体" w:cs="宋体"/>
                <w:b w:val="0"/>
                <w:bCs w:val="0"/>
                <w:color w:val="auto"/>
                <w:sz w:val="21"/>
                <w:szCs w:val="21"/>
                <w:highlight w:val="none"/>
              </w:rPr>
            </w:pPr>
            <w:r>
              <w:rPr>
                <w:rFonts w:hint="default" w:ascii="Calibri" w:hAnsi="Calibri" w:eastAsia="宋体" w:cs="Calibri"/>
                <w:b w:val="0"/>
                <w:bCs w:val="0"/>
                <w:color w:val="auto"/>
                <w:sz w:val="21"/>
                <w:szCs w:val="21"/>
                <w:highlight w:val="none"/>
              </w:rPr>
              <w:t>②</w:t>
            </w:r>
            <w:r>
              <w:rPr>
                <w:rFonts w:hint="eastAsia" w:ascii="宋体" w:hAnsi="宋体" w:eastAsia="宋体" w:cs="宋体"/>
                <w:b w:val="0"/>
                <w:bCs w:val="0"/>
                <w:color w:val="auto"/>
                <w:sz w:val="21"/>
                <w:szCs w:val="21"/>
                <w:highlight w:val="none"/>
              </w:rPr>
              <w:t>退货处理：</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应退还采购人支付的合同款，同时应承担与该货物相关的直接费用（运输、保险、检验、合同款利息及银行手续费等）。</w:t>
            </w:r>
          </w:p>
          <w:p w14:paraId="273FAB25">
            <w:pPr>
              <w:spacing w:line="440" w:lineRule="exact"/>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sz w:val="21"/>
                <w:szCs w:val="21"/>
                <w:highlight w:val="none"/>
                <w:lang w:val="en-US" w:eastAsia="zh-CN"/>
              </w:rPr>
              <w:t>6.履约验收其他事项：验收时，属于国家规定检定范围（首次计量检测等）内的设备，必须出具有效的鉴定报告，质检费用包含在投标报价中，由中标供应商支付。</w:t>
            </w:r>
          </w:p>
        </w:tc>
      </w:tr>
      <w:tr w14:paraId="22E673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52" w:type="dxa"/>
            <w:gridSpan w:val="7"/>
            <w:tcBorders>
              <w:top w:val="single" w:color="auto" w:sz="4" w:space="0"/>
              <w:left w:val="single" w:color="auto" w:sz="4" w:space="0"/>
              <w:bottom w:val="single" w:color="auto" w:sz="4" w:space="0"/>
              <w:right w:val="single" w:color="auto" w:sz="4" w:space="0"/>
            </w:tcBorders>
            <w:vAlign w:val="center"/>
          </w:tcPr>
          <w:p w14:paraId="12910212">
            <w:pPr>
              <w:spacing w:line="44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二、与实现项目目标相关的其他要求</w:t>
            </w:r>
          </w:p>
        </w:tc>
      </w:tr>
      <w:tr w14:paraId="3354C8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52" w:type="dxa"/>
            <w:gridSpan w:val="7"/>
            <w:tcBorders>
              <w:top w:val="single" w:color="auto" w:sz="4" w:space="0"/>
              <w:left w:val="single" w:color="auto" w:sz="4" w:space="0"/>
              <w:bottom w:val="single" w:color="auto" w:sz="4" w:space="0"/>
              <w:right w:val="single" w:color="auto" w:sz="4" w:space="0"/>
            </w:tcBorders>
            <w:vAlign w:val="top"/>
          </w:tcPr>
          <w:p w14:paraId="3C20B9B1">
            <w:pPr>
              <w:widowControl/>
              <w:spacing w:line="440" w:lineRule="exact"/>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bidi="ar"/>
              </w:rPr>
              <w:t>（</w:t>
            </w:r>
            <w:r>
              <w:rPr>
                <w:rFonts w:hint="eastAsia" w:ascii="宋体" w:hAnsi="宋体" w:eastAsia="宋体" w:cs="宋体"/>
                <w:b w:val="0"/>
                <w:bCs w:val="0"/>
                <w:color w:val="auto"/>
                <w:kern w:val="0"/>
                <w:sz w:val="21"/>
                <w:szCs w:val="21"/>
                <w:highlight w:val="none"/>
                <w:lang w:val="en-US" w:eastAsia="zh-CN" w:bidi="ar"/>
              </w:rPr>
              <w:t>一</w:t>
            </w:r>
            <w:r>
              <w:rPr>
                <w:rFonts w:hint="eastAsia" w:ascii="宋体" w:hAnsi="宋体" w:eastAsia="宋体" w:cs="宋体"/>
                <w:b w:val="0"/>
                <w:bCs w:val="0"/>
                <w:color w:val="auto"/>
                <w:kern w:val="0"/>
                <w:sz w:val="21"/>
                <w:szCs w:val="21"/>
                <w:highlight w:val="none"/>
                <w:lang w:bidi="ar"/>
              </w:rPr>
              <w:t>）政策性加分条件</w:t>
            </w:r>
          </w:p>
        </w:tc>
      </w:tr>
      <w:tr w14:paraId="196C6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52" w:type="dxa"/>
            <w:gridSpan w:val="7"/>
            <w:tcBorders>
              <w:top w:val="single" w:color="auto" w:sz="4" w:space="0"/>
              <w:left w:val="single" w:color="auto" w:sz="4" w:space="0"/>
              <w:bottom w:val="single" w:color="auto" w:sz="4" w:space="0"/>
              <w:right w:val="single" w:color="auto" w:sz="4" w:space="0"/>
            </w:tcBorders>
            <w:vAlign w:val="center"/>
          </w:tcPr>
          <w:p w14:paraId="7BD6229E">
            <w:pPr>
              <w:widowControl/>
              <w:spacing w:line="440" w:lineRule="exact"/>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bidi="ar"/>
              </w:rPr>
              <w:t>符合节能环保等国家政策要求</w:t>
            </w:r>
          </w:p>
        </w:tc>
      </w:tr>
      <w:tr w14:paraId="6A817A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52" w:type="dxa"/>
            <w:gridSpan w:val="7"/>
            <w:tcBorders>
              <w:top w:val="single" w:color="auto" w:sz="4" w:space="0"/>
              <w:left w:val="single" w:color="auto" w:sz="4" w:space="0"/>
              <w:bottom w:val="single" w:color="auto" w:sz="4" w:space="0"/>
              <w:right w:val="single" w:color="auto" w:sz="4" w:space="0"/>
            </w:tcBorders>
            <w:vAlign w:val="top"/>
          </w:tcPr>
          <w:p w14:paraId="18318F9E">
            <w:pPr>
              <w:spacing w:line="440" w:lineRule="exact"/>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bidi="ar"/>
              </w:rPr>
              <w:t>（</w:t>
            </w:r>
            <w:r>
              <w:rPr>
                <w:rFonts w:hint="eastAsia" w:ascii="宋体" w:hAnsi="宋体" w:eastAsia="宋体" w:cs="宋体"/>
                <w:b w:val="0"/>
                <w:bCs w:val="0"/>
                <w:color w:val="auto"/>
                <w:kern w:val="0"/>
                <w:sz w:val="21"/>
                <w:szCs w:val="21"/>
                <w:highlight w:val="none"/>
                <w:lang w:val="en-US" w:eastAsia="zh-CN" w:bidi="ar"/>
              </w:rPr>
              <w:t>二</w:t>
            </w:r>
            <w:r>
              <w:rPr>
                <w:rFonts w:hint="eastAsia" w:ascii="宋体" w:hAnsi="宋体" w:eastAsia="宋体" w:cs="宋体"/>
                <w:b w:val="0"/>
                <w:bCs w:val="0"/>
                <w:color w:val="auto"/>
                <w:kern w:val="0"/>
                <w:sz w:val="21"/>
                <w:szCs w:val="21"/>
                <w:highlight w:val="none"/>
                <w:lang w:bidi="ar"/>
              </w:rPr>
              <w:t>）进口产品说明</w:t>
            </w:r>
          </w:p>
        </w:tc>
      </w:tr>
      <w:tr w14:paraId="0EB5C0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27" w:type="dxa"/>
            <w:gridSpan w:val="4"/>
            <w:tcBorders>
              <w:top w:val="single" w:color="auto" w:sz="4" w:space="0"/>
              <w:left w:val="single" w:color="auto" w:sz="4" w:space="0"/>
              <w:bottom w:val="single" w:color="auto" w:sz="4" w:space="0"/>
              <w:right w:val="single" w:color="auto" w:sz="4" w:space="0"/>
            </w:tcBorders>
            <w:vAlign w:val="center"/>
          </w:tcPr>
          <w:p w14:paraId="03EB2093">
            <w:pPr>
              <w:spacing w:line="440" w:lineRule="exac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进口产品说明</w:t>
            </w:r>
          </w:p>
        </w:tc>
        <w:tc>
          <w:tcPr>
            <w:tcW w:w="7325" w:type="dxa"/>
            <w:gridSpan w:val="3"/>
            <w:tcBorders>
              <w:top w:val="single" w:color="auto" w:sz="4" w:space="0"/>
              <w:left w:val="single" w:color="auto" w:sz="4" w:space="0"/>
              <w:bottom w:val="single" w:color="auto" w:sz="4" w:space="0"/>
              <w:right w:val="single" w:color="auto" w:sz="4" w:space="0"/>
            </w:tcBorders>
            <w:vAlign w:val="top"/>
          </w:tcPr>
          <w:p w14:paraId="24F8C26E">
            <w:pPr>
              <w:spacing w:line="44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本分标货物不接受进口产品（即通过中国海关报关验放进入中国境内且</w:t>
            </w:r>
            <w:r>
              <w:rPr>
                <w:rFonts w:hint="eastAsia" w:ascii="宋体" w:hAnsi="宋体" w:eastAsia="宋体" w:cs="宋体"/>
                <w:b/>
                <w:bCs/>
                <w:color w:val="auto"/>
                <w:sz w:val="21"/>
                <w:szCs w:val="21"/>
                <w:highlight w:val="none"/>
                <w:lang w:eastAsia="zh-CN"/>
              </w:rPr>
              <w:t>产自境外的产品</w:t>
            </w:r>
            <w:r>
              <w:rPr>
                <w:rFonts w:hint="eastAsia" w:ascii="宋体" w:hAnsi="宋体" w:eastAsia="宋体" w:cs="宋体"/>
                <w:b/>
                <w:bCs/>
                <w:color w:val="auto"/>
                <w:sz w:val="21"/>
                <w:szCs w:val="21"/>
                <w:highlight w:val="none"/>
              </w:rPr>
              <w:t>）参与投标，</w:t>
            </w:r>
            <w:r>
              <w:rPr>
                <w:rFonts w:hint="eastAsia" w:ascii="宋体" w:hAnsi="宋体" w:eastAsia="宋体" w:cs="宋体"/>
                <w:b/>
                <w:bCs/>
                <w:color w:val="auto"/>
                <w:sz w:val="21"/>
                <w:szCs w:val="21"/>
                <w:highlight w:val="none"/>
                <w:lang w:eastAsia="zh-CN"/>
              </w:rPr>
              <w:t>如有进口产品参与投标的，其投标文件按无效处理</w:t>
            </w:r>
            <w:r>
              <w:rPr>
                <w:rFonts w:hint="eastAsia" w:ascii="宋体" w:hAnsi="宋体" w:eastAsia="宋体" w:cs="宋体"/>
                <w:b/>
                <w:bCs/>
                <w:color w:val="auto"/>
                <w:sz w:val="21"/>
                <w:szCs w:val="21"/>
                <w:highlight w:val="none"/>
              </w:rPr>
              <w:t>。</w:t>
            </w:r>
          </w:p>
        </w:tc>
      </w:tr>
      <w:tr w14:paraId="072614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52" w:type="dxa"/>
            <w:gridSpan w:val="7"/>
            <w:tcBorders>
              <w:top w:val="single" w:color="auto" w:sz="4" w:space="0"/>
              <w:left w:val="single" w:color="auto" w:sz="4" w:space="0"/>
              <w:bottom w:val="single" w:color="auto" w:sz="4" w:space="0"/>
              <w:right w:val="single" w:color="auto" w:sz="4" w:space="0"/>
            </w:tcBorders>
            <w:vAlign w:val="center"/>
          </w:tcPr>
          <w:p w14:paraId="57AAF340">
            <w:pPr>
              <w:spacing w:line="440" w:lineRule="exact"/>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bidi="ar"/>
              </w:rPr>
              <w:t>（</w:t>
            </w:r>
            <w:r>
              <w:rPr>
                <w:rFonts w:hint="eastAsia" w:ascii="宋体" w:hAnsi="宋体" w:eastAsia="宋体" w:cs="宋体"/>
                <w:b w:val="0"/>
                <w:bCs w:val="0"/>
                <w:color w:val="auto"/>
                <w:kern w:val="0"/>
                <w:sz w:val="21"/>
                <w:szCs w:val="21"/>
                <w:highlight w:val="none"/>
                <w:lang w:val="en-US" w:eastAsia="zh-CN" w:bidi="ar"/>
              </w:rPr>
              <w:t>三</w:t>
            </w:r>
            <w:r>
              <w:rPr>
                <w:rFonts w:hint="eastAsia" w:ascii="宋体" w:hAnsi="宋体" w:eastAsia="宋体" w:cs="宋体"/>
                <w:b w:val="0"/>
                <w:bCs w:val="0"/>
                <w:color w:val="auto"/>
                <w:kern w:val="0"/>
                <w:sz w:val="21"/>
                <w:szCs w:val="21"/>
                <w:highlight w:val="none"/>
                <w:lang w:bidi="ar"/>
              </w:rPr>
              <w:t>）其他要求</w:t>
            </w:r>
          </w:p>
        </w:tc>
      </w:tr>
      <w:tr w14:paraId="44388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27" w:type="dxa"/>
            <w:gridSpan w:val="4"/>
            <w:tcBorders>
              <w:top w:val="single" w:color="auto" w:sz="4" w:space="0"/>
              <w:left w:val="single" w:color="auto" w:sz="4" w:space="0"/>
              <w:bottom w:val="single" w:color="auto" w:sz="4" w:space="0"/>
              <w:right w:val="single" w:color="auto" w:sz="4" w:space="0"/>
            </w:tcBorders>
            <w:vAlign w:val="center"/>
          </w:tcPr>
          <w:p w14:paraId="6A182F22">
            <w:pPr>
              <w:spacing w:line="440" w:lineRule="exact"/>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bidi="ar"/>
              </w:rPr>
              <w:t>其他要求</w:t>
            </w:r>
          </w:p>
        </w:tc>
        <w:tc>
          <w:tcPr>
            <w:tcW w:w="7325" w:type="dxa"/>
            <w:gridSpan w:val="3"/>
            <w:tcBorders>
              <w:top w:val="single" w:color="auto" w:sz="4" w:space="0"/>
              <w:left w:val="single" w:color="auto" w:sz="4" w:space="0"/>
              <w:bottom w:val="single" w:color="auto" w:sz="4" w:space="0"/>
              <w:right w:val="single" w:color="auto" w:sz="4" w:space="0"/>
            </w:tcBorders>
            <w:vAlign w:val="top"/>
          </w:tcPr>
          <w:p w14:paraId="3AECA75D">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1.投标产品属医疗器械产品的需要在投标文件中提供该设备、配附件（如有）、耗材（如有）有效的医疗器械注册证，否则投标文件按无效处理。</w:t>
            </w:r>
          </w:p>
          <w:p w14:paraId="0E38A524">
            <w:pPr>
              <w:widowControl/>
              <w:spacing w:line="440" w:lineRule="exact"/>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2.为保证项目顺利实施，</w:t>
            </w:r>
            <w:r>
              <w:rPr>
                <w:rFonts w:hint="eastAsia" w:ascii="宋体" w:hAnsi="宋体" w:eastAsia="宋体" w:cs="宋体"/>
                <w:b w:val="0"/>
                <w:bCs w:val="0"/>
                <w:color w:val="auto"/>
                <w:sz w:val="21"/>
                <w:szCs w:val="21"/>
                <w:highlight w:val="none"/>
                <w:lang w:eastAsia="zh-CN"/>
              </w:rPr>
              <w:t>投标人可根据自身情况在投标文件中提供项目实施方案（</w:t>
            </w:r>
            <w:r>
              <w:rPr>
                <w:rFonts w:hint="eastAsia" w:ascii="宋体" w:hAnsi="宋体" w:eastAsia="宋体" w:cs="宋体"/>
                <w:b w:val="0"/>
                <w:bCs w:val="0"/>
                <w:color w:val="auto"/>
                <w:sz w:val="21"/>
                <w:szCs w:val="21"/>
                <w:highlight w:val="none"/>
                <w:lang w:val="en-US" w:eastAsia="zh-CN"/>
              </w:rPr>
              <w:t>包含对</w:t>
            </w:r>
            <w:r>
              <w:rPr>
                <w:rFonts w:hint="eastAsia" w:ascii="宋体" w:hAnsi="宋体" w:cs="宋体"/>
                <w:b w:val="0"/>
                <w:bCs w:val="0"/>
                <w:color w:val="auto"/>
                <w:sz w:val="21"/>
                <w:szCs w:val="21"/>
                <w:highlight w:val="none"/>
                <w:lang w:val="en-US" w:eastAsia="zh-CN"/>
              </w:rPr>
              <w:t>运输方案</w:t>
            </w:r>
            <w:r>
              <w:rPr>
                <w:rFonts w:hint="eastAsia" w:ascii="宋体" w:hAnsi="宋体" w:eastAsia="宋体" w:cs="宋体"/>
                <w:b w:val="0"/>
                <w:bCs w:val="0"/>
                <w:color w:val="auto"/>
                <w:sz w:val="21"/>
                <w:szCs w:val="21"/>
                <w:highlight w:val="none"/>
                <w:lang w:val="en-US" w:eastAsia="zh-CN"/>
              </w:rPr>
              <w:t>、具体实施流程、进度安排、安装调试和管理等</w:t>
            </w:r>
            <w:r>
              <w:rPr>
                <w:rFonts w:hint="eastAsia" w:ascii="宋体" w:hAnsi="宋体" w:eastAsia="宋体" w:cs="宋体"/>
                <w:b w:val="0"/>
                <w:bCs w:val="0"/>
                <w:color w:val="auto"/>
                <w:sz w:val="21"/>
                <w:szCs w:val="21"/>
                <w:highlight w:val="none"/>
                <w:lang w:eastAsia="zh-CN"/>
              </w:rPr>
              <w:t>）、售后服务方案（</w:t>
            </w:r>
            <w:r>
              <w:rPr>
                <w:rFonts w:hint="eastAsia" w:ascii="宋体" w:hAnsi="宋体" w:eastAsia="宋体" w:cs="宋体"/>
                <w:b w:val="0"/>
                <w:bCs w:val="0"/>
                <w:color w:val="auto"/>
                <w:sz w:val="21"/>
                <w:szCs w:val="21"/>
                <w:highlight w:val="none"/>
                <w:lang w:val="en-US" w:eastAsia="zh-CN"/>
              </w:rPr>
              <w:t>包含对质量保证措施、应急响应方案和排除故障响应时间、人员培训方案、质保期内的保养方案等</w:t>
            </w:r>
            <w:r>
              <w:rPr>
                <w:rFonts w:hint="eastAsia" w:ascii="宋体" w:hAnsi="宋体" w:eastAsia="宋体" w:cs="宋体"/>
                <w:b w:val="0"/>
                <w:bCs w:val="0"/>
                <w:color w:val="auto"/>
                <w:sz w:val="21"/>
                <w:szCs w:val="21"/>
                <w:highlight w:val="none"/>
                <w:lang w:eastAsia="zh-CN"/>
              </w:rPr>
              <w:t>）等内容</w:t>
            </w:r>
            <w:r>
              <w:rPr>
                <w:rFonts w:hint="eastAsia" w:ascii="宋体" w:hAnsi="宋体" w:eastAsia="宋体" w:cs="宋体"/>
                <w:b w:val="0"/>
                <w:bCs w:val="0"/>
                <w:color w:val="auto"/>
                <w:sz w:val="21"/>
                <w:szCs w:val="21"/>
                <w:highlight w:val="none"/>
              </w:rPr>
              <w:t>。</w:t>
            </w:r>
          </w:p>
        </w:tc>
      </w:tr>
    </w:tbl>
    <w:p w14:paraId="008AC29F">
      <w:pPr>
        <w:rPr>
          <w:color w:val="auto"/>
          <w:highlight w:val="none"/>
        </w:rPr>
      </w:pPr>
      <w:r>
        <w:rPr>
          <w:color w:val="auto"/>
          <w:highlight w:val="none"/>
        </w:rPr>
        <w:br w:type="page"/>
      </w:r>
    </w:p>
    <w:p w14:paraId="4001D548">
      <w:pPr>
        <w:spacing w:line="360" w:lineRule="auto"/>
        <w:ind w:firstLine="308" w:firstLineChars="147"/>
        <w:jc w:val="left"/>
        <w:rPr>
          <w:rFonts w:hint="eastAsia" w:ascii="宋体" w:hAnsi="宋体"/>
          <w:b/>
          <w:color w:val="auto"/>
          <w:szCs w:val="21"/>
          <w:highlight w:val="none"/>
        </w:rPr>
      </w:pPr>
      <w:r>
        <w:rPr>
          <w:rFonts w:hint="eastAsia" w:ascii="宋体" w:hAnsi="宋体" w:cs="Arial"/>
          <w:bCs/>
          <w:color w:val="auto"/>
          <w:szCs w:val="21"/>
          <w:highlight w:val="none"/>
          <w:u w:val="single"/>
        </w:rPr>
        <w:t xml:space="preserve"> </w:t>
      </w:r>
      <w:r>
        <w:rPr>
          <w:rFonts w:hint="eastAsia" w:ascii="宋体" w:hAnsi="宋体" w:cs="Arial"/>
          <w:bCs/>
          <w:color w:val="auto"/>
          <w:szCs w:val="21"/>
          <w:highlight w:val="none"/>
          <w:u w:val="single"/>
          <w:lang w:val="en-US" w:eastAsia="zh-CN"/>
        </w:rPr>
        <w:t>3</w:t>
      </w:r>
      <w:r>
        <w:rPr>
          <w:rFonts w:hint="eastAsia" w:ascii="宋体" w:hAnsi="宋体" w:cs="Arial"/>
          <w:bCs/>
          <w:color w:val="auto"/>
          <w:szCs w:val="21"/>
          <w:highlight w:val="none"/>
          <w:u w:val="single"/>
        </w:rPr>
        <w:t xml:space="preserve"> </w:t>
      </w:r>
      <w:r>
        <w:rPr>
          <w:rFonts w:hint="eastAsia" w:ascii="宋体" w:hAnsi="宋体"/>
          <w:b/>
          <w:color w:val="auto"/>
          <w:szCs w:val="21"/>
          <w:highlight w:val="none"/>
        </w:rPr>
        <w:t xml:space="preserve">分标（通用设备、外科设备）      </w:t>
      </w:r>
    </w:p>
    <w:p w14:paraId="515BBD73">
      <w:pPr>
        <w:spacing w:line="360" w:lineRule="auto"/>
        <w:ind w:firstLine="310" w:firstLineChars="147"/>
        <w:jc w:val="left"/>
        <w:rPr>
          <w:rFonts w:hint="eastAsia" w:ascii="宋体" w:hAnsi="宋体" w:cs="Arial"/>
          <w:bCs/>
          <w:color w:val="auto"/>
          <w:szCs w:val="21"/>
          <w:highlight w:val="none"/>
          <w:u w:val="single"/>
        </w:rPr>
      </w:pPr>
      <w:r>
        <w:rPr>
          <w:rFonts w:hint="eastAsia" w:ascii="宋体" w:hAnsi="宋体"/>
          <w:b/>
          <w:color w:val="auto"/>
          <w:szCs w:val="21"/>
          <w:highlight w:val="none"/>
        </w:rPr>
        <w:t>采购预算：</w:t>
      </w:r>
      <w:r>
        <w:rPr>
          <w:rFonts w:hint="eastAsia" w:ascii="宋体" w:hAnsi="宋体"/>
          <w:b/>
          <w:color w:val="auto"/>
          <w:szCs w:val="21"/>
          <w:highlight w:val="none"/>
          <w:u w:val="single"/>
          <w:lang w:val="en-US" w:eastAsia="zh-CN"/>
        </w:rPr>
        <w:t>2858100.00</w:t>
      </w:r>
      <w:r>
        <w:rPr>
          <w:rFonts w:hint="eastAsia" w:ascii="宋体" w:hAnsi="宋体" w:cs="Arial"/>
          <w:bCs/>
          <w:color w:val="auto"/>
          <w:szCs w:val="21"/>
          <w:highlight w:val="none"/>
          <w:u w:val="single"/>
        </w:rPr>
        <w:t>元</w:t>
      </w:r>
    </w:p>
    <w:p w14:paraId="0CBAEA93">
      <w:pPr>
        <w:spacing w:line="360" w:lineRule="auto"/>
        <w:ind w:firstLine="310" w:firstLineChars="147"/>
        <w:jc w:val="left"/>
        <w:rPr>
          <w:rFonts w:hint="eastAsia" w:ascii="宋体" w:hAnsi="宋体" w:cs="Arial"/>
          <w:bCs/>
          <w:color w:val="auto"/>
          <w:szCs w:val="21"/>
          <w:highlight w:val="none"/>
          <w:u w:val="single"/>
        </w:rPr>
      </w:pPr>
      <w:r>
        <w:rPr>
          <w:rFonts w:hint="eastAsia" w:ascii="宋体" w:hAnsi="宋体"/>
          <w:b/>
          <w:color w:val="auto"/>
          <w:szCs w:val="21"/>
          <w:highlight w:val="none"/>
        </w:rPr>
        <w:t>本分标的核心产品为下表的</w:t>
      </w:r>
      <w:r>
        <w:rPr>
          <w:rFonts w:hint="eastAsia" w:ascii="宋体" w:hAnsi="宋体"/>
          <w:b/>
          <w:color w:val="auto"/>
          <w:szCs w:val="21"/>
          <w:highlight w:val="none"/>
          <w:u w:val="single"/>
          <w:lang w:val="en-US" w:eastAsia="zh-CN"/>
        </w:rPr>
        <w:t xml:space="preserve"> </w:t>
      </w:r>
      <w:r>
        <w:rPr>
          <w:rFonts w:hint="eastAsia" w:asciiTheme="minorEastAsia" w:hAnsiTheme="minorEastAsia" w:eastAsiaTheme="minorEastAsia" w:cstheme="minorEastAsia"/>
          <w:b/>
          <w:bCs/>
          <w:i w:val="0"/>
          <w:iCs w:val="0"/>
          <w:color w:val="auto"/>
          <w:kern w:val="0"/>
          <w:sz w:val="21"/>
          <w:szCs w:val="21"/>
          <w:highlight w:val="none"/>
          <w:u w:val="single"/>
          <w:lang w:val="en-US" w:eastAsia="zh-CN" w:bidi="ar"/>
        </w:rPr>
        <w:t xml:space="preserve"> 体外冲击波碎石机</w:t>
      </w:r>
      <w:r>
        <w:rPr>
          <w:rFonts w:hint="eastAsia" w:asciiTheme="minorEastAsia" w:hAnsiTheme="minorEastAsia" w:eastAsiaTheme="minorEastAsia" w:cstheme="minorEastAsia"/>
          <w:i w:val="0"/>
          <w:iCs w:val="0"/>
          <w:color w:val="auto"/>
          <w:kern w:val="0"/>
          <w:sz w:val="21"/>
          <w:szCs w:val="21"/>
          <w:highlight w:val="none"/>
          <w:u w:val="single"/>
          <w:lang w:val="en-US" w:eastAsia="zh-CN" w:bidi="ar"/>
        </w:rPr>
        <w:t xml:space="preserve"> </w:t>
      </w:r>
      <w:r>
        <w:rPr>
          <w:rFonts w:hint="eastAsia" w:ascii="宋体" w:hAnsi="宋体" w:eastAsiaTheme="minorEastAsia"/>
          <w:b/>
          <w:color w:val="auto"/>
          <w:szCs w:val="21"/>
          <w:highlight w:val="none"/>
          <w:lang w:val="en-US" w:eastAsia="zh-CN"/>
        </w:rPr>
        <w:t xml:space="preserve"> </w:t>
      </w:r>
      <w:r>
        <w:rPr>
          <w:rFonts w:hint="eastAsia" w:ascii="宋体" w:hAnsi="宋体"/>
          <w:b/>
          <w:color w:val="auto"/>
          <w:szCs w:val="21"/>
          <w:highlight w:val="none"/>
        </w:rPr>
        <w:t>产品。</w:t>
      </w:r>
    </w:p>
    <w:tbl>
      <w:tblPr>
        <w:tblStyle w:val="46"/>
        <w:tblpPr w:leftFromText="180" w:rightFromText="180" w:vertAnchor="text" w:horzAnchor="page" w:tblpX="1290" w:tblpY="408"/>
        <w:tblOverlap w:val="never"/>
        <w:tblW w:w="92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850"/>
        <w:gridCol w:w="500"/>
        <w:gridCol w:w="10"/>
        <w:gridCol w:w="504"/>
        <w:gridCol w:w="5721"/>
        <w:gridCol w:w="1100"/>
      </w:tblGrid>
      <w:tr w14:paraId="08002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1620C004">
            <w:pPr>
              <w:tabs>
                <w:tab w:val="left" w:pos="180"/>
                <w:tab w:val="left" w:pos="1620"/>
              </w:tabs>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850" w:type="dxa"/>
            <w:vAlign w:val="center"/>
          </w:tcPr>
          <w:p w14:paraId="100EB894">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标的的名称</w:t>
            </w:r>
          </w:p>
        </w:tc>
        <w:tc>
          <w:tcPr>
            <w:tcW w:w="500" w:type="dxa"/>
            <w:tcBorders>
              <w:right w:val="single" w:color="auto" w:sz="4" w:space="0"/>
            </w:tcBorders>
            <w:vAlign w:val="center"/>
          </w:tcPr>
          <w:p w14:paraId="295BCE38">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数量</w:t>
            </w:r>
          </w:p>
        </w:tc>
        <w:tc>
          <w:tcPr>
            <w:tcW w:w="514" w:type="dxa"/>
            <w:gridSpan w:val="2"/>
            <w:tcBorders>
              <w:left w:val="single" w:color="auto" w:sz="4" w:space="0"/>
              <w:right w:val="single" w:color="auto" w:sz="4" w:space="0"/>
            </w:tcBorders>
            <w:vAlign w:val="center"/>
          </w:tcPr>
          <w:p w14:paraId="565D667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单位</w:t>
            </w:r>
          </w:p>
        </w:tc>
        <w:tc>
          <w:tcPr>
            <w:tcW w:w="5721" w:type="dxa"/>
            <w:tcBorders>
              <w:left w:val="single" w:color="auto" w:sz="4" w:space="0"/>
              <w:right w:val="single" w:color="auto" w:sz="4" w:space="0"/>
            </w:tcBorders>
            <w:vAlign w:val="center"/>
          </w:tcPr>
          <w:p w14:paraId="7E1826EF">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技术要求</w:t>
            </w:r>
          </w:p>
        </w:tc>
        <w:tc>
          <w:tcPr>
            <w:tcW w:w="1100" w:type="dxa"/>
            <w:tcBorders>
              <w:left w:val="single" w:color="auto" w:sz="4" w:space="0"/>
            </w:tcBorders>
            <w:vAlign w:val="center"/>
          </w:tcPr>
          <w:p w14:paraId="776A433D">
            <w:pPr>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控制单价（万元）</w:t>
            </w:r>
          </w:p>
        </w:tc>
      </w:tr>
      <w:tr w14:paraId="17394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9252" w:type="dxa"/>
            <w:gridSpan w:val="7"/>
            <w:vAlign w:val="center"/>
          </w:tcPr>
          <w:p w14:paraId="0ACE8FFE">
            <w:pPr>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通用设备</w:t>
            </w:r>
          </w:p>
        </w:tc>
      </w:tr>
      <w:tr w14:paraId="6CBB1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0DC33EDE">
            <w:pPr>
              <w:numPr>
                <w:ilvl w:val="0"/>
                <w:numId w:val="13"/>
              </w:numPr>
              <w:snapToGrid w:val="0"/>
              <w:spacing w:line="360" w:lineRule="auto"/>
              <w:jc w:val="center"/>
              <w:rPr>
                <w:rFonts w:hint="eastAsia" w:ascii="宋体" w:hAnsi="宋体" w:eastAsia="宋体" w:cs="宋体"/>
                <w:color w:val="auto"/>
                <w:sz w:val="21"/>
                <w:szCs w:val="21"/>
                <w:highlight w:val="none"/>
              </w:rPr>
            </w:pPr>
          </w:p>
        </w:tc>
        <w:tc>
          <w:tcPr>
            <w:tcW w:w="850" w:type="dxa"/>
            <w:vAlign w:val="center"/>
          </w:tcPr>
          <w:p w14:paraId="52769322">
            <w:pPr>
              <w:keepNext w:val="0"/>
              <w:keepLines w:val="0"/>
              <w:widowControl/>
              <w:suppressLineNumbers w:val="0"/>
              <w:jc w:val="both"/>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艾灸仪（红外光灸疗机）</w:t>
            </w:r>
          </w:p>
        </w:tc>
        <w:tc>
          <w:tcPr>
            <w:tcW w:w="500" w:type="dxa"/>
            <w:tcBorders>
              <w:right w:val="single" w:color="auto" w:sz="4" w:space="0"/>
            </w:tcBorders>
            <w:shd w:val="clear" w:color="auto" w:fill="auto"/>
            <w:vAlign w:val="center"/>
          </w:tcPr>
          <w:p w14:paraId="642F564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514" w:type="dxa"/>
            <w:gridSpan w:val="2"/>
            <w:tcBorders>
              <w:left w:val="single" w:color="auto" w:sz="4" w:space="0"/>
              <w:right w:val="single" w:color="auto" w:sz="4" w:space="0"/>
            </w:tcBorders>
            <w:vAlign w:val="center"/>
          </w:tcPr>
          <w:p w14:paraId="0546CCB8">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台</w:t>
            </w:r>
          </w:p>
        </w:tc>
        <w:tc>
          <w:tcPr>
            <w:tcW w:w="5721" w:type="dxa"/>
            <w:tcBorders>
              <w:left w:val="single" w:color="auto" w:sz="4" w:space="0"/>
              <w:right w:val="single" w:color="auto" w:sz="4" w:space="0"/>
            </w:tcBorders>
            <w:vAlign w:val="center"/>
          </w:tcPr>
          <w:p w14:paraId="610CF0C6">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02C6DB51">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1.技术参数：</w:t>
            </w:r>
          </w:p>
          <w:p w14:paraId="7FF67492">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1.1.电源：AC 220V，频率：50H</w:t>
            </w:r>
          </w:p>
          <w:p w14:paraId="6274ECC9">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1.2.额定输入功率：1000VA。</w:t>
            </w:r>
          </w:p>
          <w:p w14:paraId="0BDC0D33">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1.3.主机外形尺寸（长宽高）：455×405×980mm，允差±10%。</w:t>
            </w:r>
          </w:p>
          <w:p w14:paraId="59C47832">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1.4.输出通道：单通道。</w:t>
            </w:r>
          </w:p>
          <w:p w14:paraId="202FFEFD">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1.5.支架高度调节范围：460～1400mm，允差±30mm。</w:t>
            </w:r>
          </w:p>
          <w:p w14:paraId="1B501CA2">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1.6.显示方式：数码管显示。</w:t>
            </w:r>
          </w:p>
          <w:p w14:paraId="7D12BFA0">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▲1.7.治疗头：支持三维旋转方向；具有磁吸装置，确保在不同位置下盖子不掉落。</w:t>
            </w:r>
          </w:p>
          <w:p w14:paraId="6CFD935B">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1.8.艾灸能量裙，使艾灸集中于病灶，又避免暴露隐私。</w:t>
            </w:r>
          </w:p>
          <w:p w14:paraId="704E5DAA">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1.9.红外光波长范围：580nm～1050nm。</w:t>
            </w:r>
          </w:p>
          <w:p w14:paraId="44183248">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1.10.输出光功率：最大10W，允差±2W。</w:t>
            </w:r>
          </w:p>
          <w:p w14:paraId="601C0483">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1.11.光疗档位：1～3档可调。</w:t>
            </w:r>
          </w:p>
          <w:p w14:paraId="7580FD62">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1.12.光疗频率：on、60Hz、50Hz、25Hz、10Hz、5Hz共6档</w:t>
            </w:r>
          </w:p>
          <w:p w14:paraId="16FF8B08">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1.13.艾灸加热温度：100℃～160℃可调，允差±10℃，级差10℃。</w:t>
            </w:r>
          </w:p>
          <w:p w14:paraId="29257FC4">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1.14.工作时间：1min～99min可调，级差1min，允差±60s。</w:t>
            </w:r>
          </w:p>
          <w:p w14:paraId="3C9D54A4">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1.15.具有双重独立的温度保护装置。</w:t>
            </w:r>
          </w:p>
          <w:p w14:paraId="6D9E43C5">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▲1.16.红光和艾灸可单独或同时使用。</w:t>
            </w:r>
          </w:p>
          <w:p w14:paraId="7504E529">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1.17.具备防倾倒保护功能。</w:t>
            </w:r>
          </w:p>
          <w:p w14:paraId="4EE94827">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1.18.无烟灸疗，自动控温。</w:t>
            </w:r>
          </w:p>
          <w:p w14:paraId="59721F71">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w:t>
            </w:r>
            <w:r>
              <w:rPr>
                <w:rFonts w:hint="eastAsia" w:ascii="宋体" w:hAnsi="宋体" w:cs="宋体"/>
                <w:color w:val="auto"/>
                <w:sz w:val="21"/>
                <w:szCs w:val="21"/>
                <w:highlight w:val="none"/>
                <w:lang w:val="en-US" w:eastAsia="zh-CN"/>
              </w:rPr>
              <w:t>每台</w:t>
            </w:r>
            <w:r>
              <w:rPr>
                <w:rFonts w:hint="eastAsia" w:ascii="宋体" w:hAnsi="宋体" w:eastAsia="宋体" w:cs="宋体"/>
                <w:color w:val="auto"/>
                <w:sz w:val="21"/>
                <w:szCs w:val="21"/>
                <w:highlight w:val="none"/>
                <w:lang w:val="en-US" w:eastAsia="zh-CN"/>
              </w:rPr>
              <w:t>配置要求：</w:t>
            </w:r>
          </w:p>
          <w:p w14:paraId="316DF013">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1.主机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台</w:t>
            </w:r>
          </w:p>
          <w:p w14:paraId="201E8289">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2.电源线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根</w:t>
            </w:r>
          </w:p>
          <w:p w14:paraId="760F1534">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3.熔断器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个</w:t>
            </w:r>
          </w:p>
          <w:p w14:paraId="0EB93C06">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4.使用说明书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份</w:t>
            </w:r>
          </w:p>
          <w:p w14:paraId="5D003C7B">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5.合格证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份</w:t>
            </w:r>
          </w:p>
          <w:p w14:paraId="1C2C4EF0">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6.保修卡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份</w:t>
            </w:r>
          </w:p>
          <w:p w14:paraId="2B79D4B3">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7.装箱单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份</w:t>
            </w:r>
          </w:p>
          <w:p w14:paraId="7B17F2A8">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8.产品培训验收报告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份</w:t>
            </w:r>
          </w:p>
        </w:tc>
        <w:tc>
          <w:tcPr>
            <w:tcW w:w="1100" w:type="dxa"/>
            <w:tcBorders>
              <w:left w:val="single" w:color="auto" w:sz="4" w:space="0"/>
            </w:tcBorders>
            <w:shd w:val="clear" w:color="auto" w:fill="auto"/>
            <w:vAlign w:val="center"/>
          </w:tcPr>
          <w:p w14:paraId="238BF8E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w:t>
            </w:r>
          </w:p>
        </w:tc>
      </w:tr>
      <w:tr w14:paraId="25731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5AD3F6F9">
            <w:pPr>
              <w:numPr>
                <w:ilvl w:val="0"/>
                <w:numId w:val="13"/>
              </w:numPr>
              <w:snapToGrid w:val="0"/>
              <w:spacing w:line="360" w:lineRule="auto"/>
              <w:jc w:val="center"/>
              <w:rPr>
                <w:rFonts w:hint="eastAsia" w:ascii="宋体" w:hAnsi="宋体" w:eastAsia="宋体" w:cs="宋体"/>
                <w:color w:val="auto"/>
                <w:sz w:val="21"/>
                <w:szCs w:val="21"/>
                <w:highlight w:val="none"/>
              </w:rPr>
            </w:pPr>
          </w:p>
        </w:tc>
        <w:tc>
          <w:tcPr>
            <w:tcW w:w="850" w:type="dxa"/>
            <w:vAlign w:val="center"/>
          </w:tcPr>
          <w:p w14:paraId="04ECE4C0">
            <w:pPr>
              <w:keepNext w:val="0"/>
              <w:keepLines w:val="0"/>
              <w:widowControl/>
              <w:suppressLineNumbers w:val="0"/>
              <w:jc w:val="both"/>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低频经络治疗仪（高压低频脉冲治疗仪）</w:t>
            </w:r>
          </w:p>
        </w:tc>
        <w:tc>
          <w:tcPr>
            <w:tcW w:w="500" w:type="dxa"/>
            <w:tcBorders>
              <w:right w:val="single" w:color="auto" w:sz="4" w:space="0"/>
            </w:tcBorders>
            <w:shd w:val="clear" w:color="auto" w:fill="auto"/>
            <w:vAlign w:val="center"/>
          </w:tcPr>
          <w:p w14:paraId="770733F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gridSpan w:val="2"/>
            <w:tcBorders>
              <w:left w:val="single" w:color="auto" w:sz="4" w:space="0"/>
              <w:right w:val="single" w:color="auto" w:sz="4" w:space="0"/>
            </w:tcBorders>
            <w:vAlign w:val="center"/>
          </w:tcPr>
          <w:p w14:paraId="382678B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台</w:t>
            </w:r>
          </w:p>
        </w:tc>
        <w:tc>
          <w:tcPr>
            <w:tcW w:w="5721" w:type="dxa"/>
            <w:tcBorders>
              <w:left w:val="single" w:color="auto" w:sz="4" w:space="0"/>
              <w:right w:val="single" w:color="auto" w:sz="4" w:space="0"/>
            </w:tcBorders>
            <w:vAlign w:val="center"/>
          </w:tcPr>
          <w:p w14:paraId="6A2C343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一、功能性参数要求：</w:t>
            </w:r>
          </w:p>
          <w:p w14:paraId="54F5DEBC">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技术参数：</w:t>
            </w:r>
          </w:p>
          <w:p w14:paraId="11B2BBA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输出通道：≥6个。</w:t>
            </w:r>
          </w:p>
          <w:p w14:paraId="52248023">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额定输入功率：40VA。</w:t>
            </w:r>
          </w:p>
          <w:p w14:paraId="6D884DD2">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外形尺寸（长宽高）：420×360×230mm，允差±10%。</w:t>
            </w:r>
          </w:p>
          <w:p w14:paraId="28F82A9D">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治疗时间：0～99min可调，步长1min，允差±3min；治疗结束有蜂鸣音提示。</w:t>
            </w:r>
          </w:p>
          <w:p w14:paraId="741B5178">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单向脉冲方波频率范围：0.5～60Hz，脉宽范围：0.2～2.0ms。</w:t>
            </w:r>
          </w:p>
          <w:p w14:paraId="5A51F076">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输出强度：五档可调，最大脉冲幅度4000V，允差±15%，每档255级可调。</w:t>
            </w:r>
          </w:p>
          <w:p w14:paraId="3A890A4E">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强度自增：255级自增，允差±10%，自增时间：16s/级，允差±5s。</w:t>
            </w:r>
          </w:p>
          <w:p w14:paraId="2715F0BB">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浪涌：</w:t>
            </w:r>
          </w:p>
          <w:p w14:paraId="2AF78366">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浪涌频率：10～60Hz。</w:t>
            </w:r>
          </w:p>
          <w:p w14:paraId="2B5C347E">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浪涌脉宽：0.2～1.0ms。</w:t>
            </w:r>
          </w:p>
          <w:p w14:paraId="3DE4C5BB">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浪涌周期：3～6s。</w:t>
            </w:r>
          </w:p>
          <w:p w14:paraId="37CB4EDF">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极性转换方式：手动和自动。</w:t>
            </w:r>
          </w:p>
          <w:p w14:paraId="319C5753">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二、配置要求：</w:t>
            </w:r>
          </w:p>
          <w:p w14:paraId="06699350">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主机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台</w:t>
            </w:r>
          </w:p>
          <w:p w14:paraId="18E0E3BD">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电源线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条</w:t>
            </w:r>
          </w:p>
          <w:p w14:paraId="25974DB9">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熔断器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个</w:t>
            </w:r>
          </w:p>
          <w:p w14:paraId="62B88A83">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电极线 </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条</w:t>
            </w:r>
          </w:p>
          <w:p w14:paraId="41A663B1">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自粘电极片 </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个</w:t>
            </w:r>
          </w:p>
          <w:p w14:paraId="424B6451">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电极片Ф36 </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个</w:t>
            </w:r>
          </w:p>
          <w:p w14:paraId="430B5B6B">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电极片Ф26 </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个</w:t>
            </w:r>
          </w:p>
          <w:p w14:paraId="2B984902">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绑带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套</w:t>
            </w:r>
          </w:p>
          <w:p w14:paraId="00135447">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使用说明书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份</w:t>
            </w:r>
          </w:p>
          <w:p w14:paraId="27A79DC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合格证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份</w:t>
            </w:r>
          </w:p>
          <w:p w14:paraId="36604150">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保修卡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份</w:t>
            </w:r>
          </w:p>
          <w:p w14:paraId="27E6C59F">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装箱单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份</w:t>
            </w:r>
          </w:p>
          <w:p w14:paraId="29AFAF47">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产品培训验收报告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份</w:t>
            </w:r>
          </w:p>
        </w:tc>
        <w:tc>
          <w:tcPr>
            <w:tcW w:w="1100" w:type="dxa"/>
            <w:tcBorders>
              <w:left w:val="single" w:color="auto" w:sz="4" w:space="0"/>
            </w:tcBorders>
            <w:shd w:val="clear" w:color="auto" w:fill="auto"/>
            <w:vAlign w:val="center"/>
          </w:tcPr>
          <w:p w14:paraId="7003992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w:t>
            </w:r>
          </w:p>
        </w:tc>
      </w:tr>
      <w:tr w14:paraId="71DF0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7917D65C">
            <w:pPr>
              <w:numPr>
                <w:ilvl w:val="0"/>
                <w:numId w:val="13"/>
              </w:numPr>
              <w:snapToGrid w:val="0"/>
              <w:spacing w:line="360" w:lineRule="auto"/>
              <w:jc w:val="center"/>
              <w:rPr>
                <w:rFonts w:hint="eastAsia" w:ascii="宋体" w:hAnsi="宋体" w:eastAsia="宋体" w:cs="宋体"/>
                <w:color w:val="auto"/>
                <w:sz w:val="21"/>
                <w:szCs w:val="21"/>
                <w:highlight w:val="none"/>
              </w:rPr>
            </w:pPr>
          </w:p>
        </w:tc>
        <w:tc>
          <w:tcPr>
            <w:tcW w:w="850" w:type="dxa"/>
            <w:vAlign w:val="center"/>
          </w:tcPr>
          <w:p w14:paraId="417C7E40">
            <w:pPr>
              <w:keepNext w:val="0"/>
              <w:keepLines w:val="0"/>
              <w:widowControl/>
              <w:suppressLineNumbers w:val="0"/>
              <w:jc w:val="both"/>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电动拔罐仪（电动拔罐器）</w:t>
            </w:r>
          </w:p>
        </w:tc>
        <w:tc>
          <w:tcPr>
            <w:tcW w:w="500" w:type="dxa"/>
            <w:tcBorders>
              <w:right w:val="single" w:color="auto" w:sz="4" w:space="0"/>
            </w:tcBorders>
            <w:shd w:val="clear" w:color="auto" w:fill="auto"/>
            <w:vAlign w:val="center"/>
          </w:tcPr>
          <w:p w14:paraId="491F5CE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514" w:type="dxa"/>
            <w:gridSpan w:val="2"/>
            <w:tcBorders>
              <w:left w:val="single" w:color="auto" w:sz="4" w:space="0"/>
              <w:right w:val="single" w:color="auto" w:sz="4" w:space="0"/>
            </w:tcBorders>
            <w:vAlign w:val="center"/>
          </w:tcPr>
          <w:p w14:paraId="254BD9C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台</w:t>
            </w:r>
          </w:p>
        </w:tc>
        <w:tc>
          <w:tcPr>
            <w:tcW w:w="5721" w:type="dxa"/>
            <w:tcBorders>
              <w:left w:val="single" w:color="auto" w:sz="4" w:space="0"/>
              <w:right w:val="single" w:color="auto" w:sz="4" w:space="0"/>
            </w:tcBorders>
            <w:vAlign w:val="center"/>
          </w:tcPr>
          <w:p w14:paraId="47D5099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422EE21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1.设备功能</w:t>
            </w:r>
          </w:p>
          <w:p w14:paraId="23E1922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1.1.分体式≥10寸LCD彩色触摸屏操作。</w:t>
            </w:r>
          </w:p>
          <w:p w14:paraId="5B532F6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1.2.两路输出可同时满足4个以上穴位同时治疗。</w:t>
            </w:r>
          </w:p>
          <w:p w14:paraId="29D0C1B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▲1.3.具有中医九种基本体质和二十五种细分体质筛查及调理穴位提示。</w:t>
            </w:r>
          </w:p>
          <w:p w14:paraId="222603A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▲1.4.调节最大负压和最小负压值及循环周期值可实现按摩、刮痧功能。</w:t>
            </w:r>
          </w:p>
          <w:p w14:paraId="430FCCA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1.5.治疗时间：10～30分钟可调。</w:t>
            </w:r>
          </w:p>
          <w:p w14:paraId="76A921A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1.6.固定罐和游走罐可同步或异步操作功能。</w:t>
            </w:r>
          </w:p>
          <w:p w14:paraId="4B27765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1.7.内、外、妇、儿等科室40种疾病穴位指导功能。</w:t>
            </w:r>
          </w:p>
          <w:p w14:paraId="5D47A2D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▲1.8.设备具有物联网升级及运行计时功能。</w:t>
            </w:r>
          </w:p>
          <w:p w14:paraId="378313B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2.主要技术参数</w:t>
            </w:r>
          </w:p>
          <w:p w14:paraId="5F09FC7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2.10.极限值：70kPa±10%。</w:t>
            </w:r>
          </w:p>
          <w:p w14:paraId="73F03FA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2.2.罐体气压至操作极限持续30min，罐体不开裂、不变形。</w:t>
            </w:r>
          </w:p>
          <w:p w14:paraId="5FB6D50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2.3.气密性：在最大负压值连续满程抽吸状态下负压值不小于60kPa。</w:t>
            </w:r>
          </w:p>
          <w:p w14:paraId="1375A5D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2.4.负压监测即时显示，负压实测值与设定值的偏差应不大于±5kPa。</w:t>
            </w:r>
          </w:p>
          <w:p w14:paraId="5A69D54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▲2.5.600nm-750nm范围内的红光辐照强度不大于200mW/cm²。</w:t>
            </w:r>
          </w:p>
          <w:p w14:paraId="26908B2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▲2.6.具有固定罐、药罐、闪罐、游走</w:t>
            </w:r>
            <w:r>
              <w:rPr>
                <w:rFonts w:hint="eastAsia" w:ascii="宋体" w:hAnsi="宋体" w:cs="宋体"/>
                <w:color w:val="auto"/>
                <w:sz w:val="21"/>
                <w:szCs w:val="21"/>
                <w:highlight w:val="none"/>
                <w:lang w:val="en-US" w:eastAsia="zh-CN"/>
              </w:rPr>
              <w:t>罐等</w:t>
            </w:r>
            <w:r>
              <w:rPr>
                <w:rFonts w:hint="eastAsia" w:ascii="宋体" w:hAnsi="宋体" w:eastAsia="宋体" w:cs="宋体"/>
                <w:color w:val="auto"/>
                <w:sz w:val="21"/>
                <w:szCs w:val="21"/>
                <w:highlight w:val="none"/>
                <w:lang w:val="en-US" w:eastAsia="zh-CN"/>
              </w:rPr>
              <w:t>多种罐体配置及治疗模式。</w:t>
            </w:r>
          </w:p>
          <w:p w14:paraId="5E14E6E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2.7.噪声不超过60dB（A）。</w:t>
            </w:r>
          </w:p>
          <w:p w14:paraId="05850A4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w:t>
            </w:r>
            <w:r>
              <w:rPr>
                <w:rFonts w:hint="eastAsia" w:ascii="宋体" w:hAnsi="宋体" w:cs="宋体"/>
                <w:color w:val="auto"/>
                <w:sz w:val="21"/>
                <w:szCs w:val="21"/>
                <w:highlight w:val="none"/>
                <w:lang w:val="en-US" w:eastAsia="zh-CN"/>
              </w:rPr>
              <w:t>每台</w:t>
            </w:r>
            <w:r>
              <w:rPr>
                <w:rFonts w:hint="eastAsia" w:ascii="宋体" w:hAnsi="宋体" w:eastAsia="宋体" w:cs="宋体"/>
                <w:color w:val="auto"/>
                <w:sz w:val="21"/>
                <w:szCs w:val="21"/>
                <w:highlight w:val="none"/>
                <w:lang w:val="en-US" w:eastAsia="zh-CN"/>
              </w:rPr>
              <w:t>配置要求：</w:t>
            </w:r>
          </w:p>
          <w:p w14:paraId="4040E77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1.主机1台</w:t>
            </w:r>
          </w:p>
          <w:p w14:paraId="02C7AA9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2.气电导管2根</w:t>
            </w:r>
          </w:p>
          <w:p w14:paraId="65C44D3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3.罐体5个</w:t>
            </w:r>
          </w:p>
          <w:p w14:paraId="6701F8A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4.电源线1根</w:t>
            </w:r>
          </w:p>
          <w:p w14:paraId="6CCFD06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5.说明书1本</w:t>
            </w:r>
          </w:p>
          <w:p w14:paraId="1A24353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6.资质1套</w:t>
            </w:r>
          </w:p>
          <w:p w14:paraId="171F727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7.合格证1份</w:t>
            </w:r>
          </w:p>
          <w:p w14:paraId="002E293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8.保修卡1份</w:t>
            </w:r>
          </w:p>
          <w:p w14:paraId="706A681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9.装箱单1份</w:t>
            </w:r>
          </w:p>
        </w:tc>
        <w:tc>
          <w:tcPr>
            <w:tcW w:w="1100" w:type="dxa"/>
            <w:tcBorders>
              <w:left w:val="single" w:color="auto" w:sz="4" w:space="0"/>
            </w:tcBorders>
            <w:shd w:val="clear" w:color="auto" w:fill="auto"/>
            <w:vAlign w:val="center"/>
          </w:tcPr>
          <w:p w14:paraId="26C6222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1.25</w:t>
            </w:r>
          </w:p>
        </w:tc>
      </w:tr>
      <w:tr w14:paraId="6A95D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13FD1C35">
            <w:pPr>
              <w:numPr>
                <w:ilvl w:val="0"/>
                <w:numId w:val="13"/>
              </w:numPr>
              <w:snapToGrid w:val="0"/>
              <w:spacing w:line="360" w:lineRule="auto"/>
              <w:jc w:val="center"/>
              <w:rPr>
                <w:rFonts w:hint="eastAsia" w:ascii="宋体" w:hAnsi="宋体" w:eastAsia="宋体" w:cs="宋体"/>
                <w:color w:val="auto"/>
                <w:sz w:val="21"/>
                <w:szCs w:val="21"/>
                <w:highlight w:val="none"/>
              </w:rPr>
            </w:pPr>
          </w:p>
        </w:tc>
        <w:tc>
          <w:tcPr>
            <w:tcW w:w="850" w:type="dxa"/>
            <w:vAlign w:val="center"/>
          </w:tcPr>
          <w:p w14:paraId="58D5B283">
            <w:pPr>
              <w:keepNext w:val="0"/>
              <w:keepLines w:val="0"/>
              <w:widowControl/>
              <w:suppressLineNumbers w:val="0"/>
              <w:jc w:val="both"/>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干扰电治疗仪（立体动态干扰电治疗仪）</w:t>
            </w:r>
          </w:p>
        </w:tc>
        <w:tc>
          <w:tcPr>
            <w:tcW w:w="500" w:type="dxa"/>
            <w:tcBorders>
              <w:right w:val="single" w:color="auto" w:sz="4" w:space="0"/>
            </w:tcBorders>
            <w:shd w:val="clear" w:color="auto" w:fill="auto"/>
            <w:vAlign w:val="center"/>
          </w:tcPr>
          <w:p w14:paraId="66DB4A4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gridSpan w:val="2"/>
            <w:tcBorders>
              <w:left w:val="single" w:color="auto" w:sz="4" w:space="0"/>
              <w:right w:val="single" w:color="auto" w:sz="4" w:space="0"/>
            </w:tcBorders>
            <w:vAlign w:val="center"/>
          </w:tcPr>
          <w:p w14:paraId="4758947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台</w:t>
            </w:r>
          </w:p>
        </w:tc>
        <w:tc>
          <w:tcPr>
            <w:tcW w:w="5721" w:type="dxa"/>
            <w:tcBorders>
              <w:left w:val="single" w:color="auto" w:sz="4" w:space="0"/>
              <w:right w:val="single" w:color="auto" w:sz="4" w:space="0"/>
            </w:tcBorders>
            <w:vAlign w:val="center"/>
          </w:tcPr>
          <w:p w14:paraId="77B77E7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5D7E1A1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1.技术参数：</w:t>
            </w:r>
          </w:p>
          <w:p w14:paraId="7ABBFF4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1.1.额定输入功率：150VA。</w:t>
            </w:r>
          </w:p>
          <w:p w14:paraId="32C44DB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1.2.输出通道：一组二维/三维干扰电输出，支持单路中频输出。</w:t>
            </w:r>
          </w:p>
          <w:p w14:paraId="4DF2E88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1.3.治疗仪工作频率：2kHz、3kHz、4kHz、5kHz、6kHz分五档可选。</w:t>
            </w:r>
          </w:p>
          <w:p w14:paraId="6BDC862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1.4.输出波形：调制正弦波。</w:t>
            </w:r>
          </w:p>
          <w:p w14:paraId="5CC198D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1.5.调制波形：单向正弦波、单向方波、单向三角波、双向正弦波、双向方波、双向三角波六种波形。</w:t>
            </w:r>
          </w:p>
          <w:p w14:paraId="524CC3C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1.6.干涉波差频频率：1～200Hz。</w:t>
            </w:r>
          </w:p>
          <w:p w14:paraId="47DCE98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1.7.治疗仪每路最大输出电流有效值：60mA，允差±10%。</w:t>
            </w:r>
          </w:p>
          <w:p w14:paraId="5AF5DEA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1.8.治疗仪输出电流变化率应不大于10%。</w:t>
            </w:r>
          </w:p>
          <w:p w14:paraId="3BB87B6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1.9.调幅度：0%、25%、50%、75%、100%，允差±5%。</w:t>
            </w:r>
          </w:p>
          <w:p w14:paraId="3383FC3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 .调制频率：0～152Hz。</w:t>
            </w:r>
          </w:p>
          <w:p w14:paraId="2AEDCAC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1.11.电极种类：吸附电极、普通电极，吸附电极具有负压拔罐功能。</w:t>
            </w:r>
          </w:p>
          <w:p w14:paraId="34AC3C8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1.12.负压装置：具有负压装置，负压调节范围：-20kPa～-40kPa可调，级差5kPa，允差±10%。</w:t>
            </w:r>
          </w:p>
          <w:p w14:paraId="43FF4AF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1.13.处方模式：五种，IFC、IFCW、PMC、PMC2、可编程处方；具备干扰电疗法和调制中频电疗法。</w:t>
            </w:r>
          </w:p>
          <w:p w14:paraId="60A4DA6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1.14.治疗模式：五种，低、中、高、广域、低高，根据频率划分范围，针对不同疾病选择对应的治疗模式。</w:t>
            </w:r>
          </w:p>
          <w:p w14:paraId="6FCDEAB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1.15.动态节律：0（off）、1s、2s、3s、4s、5s、6s、7s、8s、9s分十档可选，允差±10%；动态位移应不超过动态节律的±30%。</w:t>
            </w:r>
          </w:p>
          <w:p w14:paraId="5D54A41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1.16.差频周期：1/F（随机变化）、15s、30s、60s分四档可选，选择15s、30s、60s时允差±10%。</w:t>
            </w:r>
          </w:p>
          <w:p w14:paraId="1E03E60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1.17.定时设置范围：1min～99min连续可调，级差1min，允差±5%。治疗仪治疗时间结束，有蜂鸣器提示声。</w:t>
            </w:r>
          </w:p>
          <w:p w14:paraId="522C544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1.18.内置4个固定处方和1个可编程处方。</w:t>
            </w:r>
          </w:p>
          <w:p w14:paraId="27AE6C9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1.19.一键飞梭旋钮，具有旋钮自动锁定功能。</w:t>
            </w:r>
          </w:p>
          <w:p w14:paraId="6EFC70C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1.20.治疗过程中吸附电极脱落报警且输出归零，防止击伤患者及无效治疗。</w:t>
            </w:r>
          </w:p>
          <w:p w14:paraId="40BE14C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1.21.多重安全保护：过电流保护、过电压保护、断路保护。</w:t>
            </w:r>
          </w:p>
          <w:p w14:paraId="5F4F781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二、配置要求：</w:t>
            </w:r>
          </w:p>
          <w:p w14:paraId="7C82A27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1.主机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台</w:t>
            </w:r>
          </w:p>
          <w:p w14:paraId="3415646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2.电源线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条</w:t>
            </w:r>
          </w:p>
          <w:p w14:paraId="022F9C9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3.熔断器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个</w:t>
            </w:r>
          </w:p>
          <w:p w14:paraId="427DE00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4.吸附电极线 </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根</w:t>
            </w:r>
          </w:p>
          <w:p w14:paraId="7003565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5.自粘电极线 </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根</w:t>
            </w:r>
          </w:p>
          <w:p w14:paraId="1DE0FA1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6.吸附碗 </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个</w:t>
            </w:r>
          </w:p>
          <w:p w14:paraId="35C03C9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7.自粘电极片 </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片</w:t>
            </w:r>
          </w:p>
          <w:p w14:paraId="31D880B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8.海绵 </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个</w:t>
            </w:r>
          </w:p>
          <w:p w14:paraId="08626ED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9.使用说明书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份</w:t>
            </w:r>
          </w:p>
          <w:p w14:paraId="7DE2FF7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10.合格证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份</w:t>
            </w:r>
          </w:p>
          <w:p w14:paraId="0EF6E67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11.保修卡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份</w:t>
            </w:r>
          </w:p>
          <w:p w14:paraId="6DBB695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12.产品培训验收报告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份</w:t>
            </w:r>
          </w:p>
          <w:p w14:paraId="5CCE0C9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13.装箱单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份</w:t>
            </w:r>
          </w:p>
        </w:tc>
        <w:tc>
          <w:tcPr>
            <w:tcW w:w="1100" w:type="dxa"/>
            <w:tcBorders>
              <w:left w:val="single" w:color="auto" w:sz="4" w:space="0"/>
            </w:tcBorders>
            <w:shd w:val="clear" w:color="auto" w:fill="auto"/>
            <w:vAlign w:val="center"/>
          </w:tcPr>
          <w:p w14:paraId="7EBD0D3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w:t>
            </w:r>
          </w:p>
        </w:tc>
      </w:tr>
      <w:tr w14:paraId="08356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29D52031">
            <w:pPr>
              <w:numPr>
                <w:ilvl w:val="0"/>
                <w:numId w:val="13"/>
              </w:numPr>
              <w:snapToGrid w:val="0"/>
              <w:spacing w:line="360" w:lineRule="auto"/>
              <w:jc w:val="center"/>
              <w:rPr>
                <w:rFonts w:hint="eastAsia" w:ascii="宋体" w:hAnsi="宋体" w:eastAsia="宋体" w:cs="宋体"/>
                <w:color w:val="auto"/>
                <w:sz w:val="21"/>
                <w:szCs w:val="21"/>
                <w:highlight w:val="none"/>
              </w:rPr>
            </w:pPr>
          </w:p>
        </w:tc>
        <w:tc>
          <w:tcPr>
            <w:tcW w:w="850" w:type="dxa"/>
            <w:vAlign w:val="center"/>
          </w:tcPr>
          <w:p w14:paraId="7CB0D104">
            <w:pPr>
              <w:keepNext w:val="0"/>
              <w:keepLines w:val="0"/>
              <w:widowControl/>
              <w:suppressLineNumbers w:val="0"/>
              <w:jc w:val="both"/>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红光治疗仪</w:t>
            </w:r>
          </w:p>
        </w:tc>
        <w:tc>
          <w:tcPr>
            <w:tcW w:w="500" w:type="dxa"/>
            <w:tcBorders>
              <w:right w:val="single" w:color="auto" w:sz="4" w:space="0"/>
            </w:tcBorders>
            <w:shd w:val="clear" w:color="auto" w:fill="auto"/>
            <w:vAlign w:val="center"/>
          </w:tcPr>
          <w:p w14:paraId="7A507D9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gridSpan w:val="2"/>
            <w:tcBorders>
              <w:left w:val="single" w:color="auto" w:sz="4" w:space="0"/>
              <w:right w:val="single" w:color="auto" w:sz="4" w:space="0"/>
            </w:tcBorders>
            <w:vAlign w:val="center"/>
          </w:tcPr>
          <w:p w14:paraId="05AA82D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台</w:t>
            </w:r>
          </w:p>
        </w:tc>
        <w:tc>
          <w:tcPr>
            <w:tcW w:w="5721" w:type="dxa"/>
            <w:tcBorders>
              <w:left w:val="single" w:color="auto" w:sz="4" w:space="0"/>
              <w:right w:val="single" w:color="auto" w:sz="4" w:space="0"/>
            </w:tcBorders>
            <w:vAlign w:val="center"/>
          </w:tcPr>
          <w:p w14:paraId="2FC6C3D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5DE658D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1.技术参数：</w:t>
            </w:r>
          </w:p>
          <w:p w14:paraId="6D5A1FC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1.1.光源类型：矩阵集成高功率半导体固态光源。</w:t>
            </w:r>
          </w:p>
          <w:p w14:paraId="791B63E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1.2.灯珠数量及排列方式：100颗灯珠每治疗头，10×10矩阵排布。</w:t>
            </w:r>
          </w:p>
          <w:p w14:paraId="7E14FA3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1.3.治疗时间：1～60min可调，步进1min。</w:t>
            </w:r>
          </w:p>
          <w:p w14:paraId="1718EB0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1.4.时间记忆：具备智能化时间记忆功能，根据临床医生操作习惯自动设定设备治疗时间一键启动，减少临床操作步骤及操作时间。</w:t>
            </w:r>
          </w:p>
          <w:p w14:paraId="5C5B856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1.5.能量调节方式：三级能量调节。</w:t>
            </w:r>
          </w:p>
          <w:p w14:paraId="2CAFFD8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1.5.1.第1档，有效红光辐照度为21mw/cm²，允差±25%。</w:t>
            </w:r>
          </w:p>
          <w:p w14:paraId="48DF73F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1.5.2.第2档，有效红光辐照度为34mW/cm²，允差±25%；</w:t>
            </w:r>
          </w:p>
          <w:p w14:paraId="794DBE4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1.5.3.第3档，有效红光辐照度为60mW/cm²，允差±25%。</w:t>
            </w:r>
          </w:p>
          <w:p w14:paraId="01602C1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1.6.波长范围：640nm±10nm（冷光源波段）。</w:t>
            </w:r>
          </w:p>
          <w:p w14:paraId="7CCDDFE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光功率密度：在距离光杯口15cm处测量时＞60mW/cm²。</w:t>
            </w:r>
          </w:p>
          <w:p w14:paraId="2016B7D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1.8.有效辐照面积：≥350cm²。</w:t>
            </w:r>
          </w:p>
          <w:p w14:paraId="52C3CE1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1.9.操作面板：≥7英寸电容液晶触摸屏、智能触控操作。</w:t>
            </w:r>
          </w:p>
          <w:p w14:paraId="1DEE1FC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1.10.辐照度均匀性：采用光学透镜式聚光设计，有效红光辐照度的均匀性＞0.7。</w:t>
            </w:r>
          </w:p>
          <w:p w14:paraId="4F3E604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▲1.11.皮肤温度动态管理：内置无线测温模块，实时监测及显示治疗面皮肤温度。可自主设置报警阈值，高于阈值自动停止输出并发出提示报警声音。</w:t>
            </w:r>
          </w:p>
          <w:p w14:paraId="30A75D6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1.12.支臂结构：2节支臂设计，可根据灯头重力无级调节支撑力度，保证治疗时光源稳定性。</w:t>
            </w:r>
          </w:p>
          <w:p w14:paraId="0846E75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1.13.支臂活动范围：支臂长度：700mm；垂直调节角度30°～160°；水平调节角度0～180°。</w:t>
            </w:r>
          </w:p>
          <w:p w14:paraId="0B307F1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1.14.输出通道：双通道输出，能同时治疗两个病人。采用三维立体灯头旋转设计。</w:t>
            </w:r>
          </w:p>
          <w:p w14:paraId="44E26E2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1.15.安全设计：防倾倒设计，倾倒自动断电。</w:t>
            </w:r>
          </w:p>
          <w:p w14:paraId="2E14BAF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1.16.漏电保护：具有自动漏电保护功能。</w:t>
            </w:r>
          </w:p>
          <w:p w14:paraId="55AF205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1.17.灯珠功率：100W。</w:t>
            </w:r>
          </w:p>
          <w:p w14:paraId="1559C5C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二、配置要求：</w:t>
            </w:r>
          </w:p>
          <w:p w14:paraId="66638D6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1.主机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台</w:t>
            </w:r>
          </w:p>
          <w:p w14:paraId="447D59D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2.熔断器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个</w:t>
            </w:r>
          </w:p>
          <w:p w14:paraId="1FAADDB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3.电源线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根</w:t>
            </w:r>
          </w:p>
          <w:p w14:paraId="5CA6AE4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4.支臂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个</w:t>
            </w:r>
          </w:p>
          <w:p w14:paraId="30BD736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5.辐射器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个</w:t>
            </w:r>
          </w:p>
          <w:p w14:paraId="3904638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6.束光罩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个</w:t>
            </w:r>
          </w:p>
          <w:p w14:paraId="3649744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7.防护眼罩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个</w:t>
            </w:r>
          </w:p>
          <w:p w14:paraId="6D031A5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8.防冲击护目镜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副</w:t>
            </w:r>
          </w:p>
          <w:p w14:paraId="67FD2FD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9.使用说明书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份</w:t>
            </w:r>
          </w:p>
          <w:p w14:paraId="349DC40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10.产品培训验收报告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份</w:t>
            </w:r>
          </w:p>
          <w:p w14:paraId="6098A0C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11.合格证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份</w:t>
            </w:r>
          </w:p>
          <w:p w14:paraId="2B41FBC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12.保修卡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份</w:t>
            </w:r>
          </w:p>
          <w:p w14:paraId="6F73E8F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13.装箱单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份</w:t>
            </w:r>
          </w:p>
        </w:tc>
        <w:tc>
          <w:tcPr>
            <w:tcW w:w="1100" w:type="dxa"/>
            <w:tcBorders>
              <w:left w:val="single" w:color="auto" w:sz="4" w:space="0"/>
            </w:tcBorders>
            <w:shd w:val="clear" w:color="auto" w:fill="auto"/>
            <w:vAlign w:val="center"/>
          </w:tcPr>
          <w:p w14:paraId="738E036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5.6</w:t>
            </w:r>
          </w:p>
        </w:tc>
      </w:tr>
      <w:tr w14:paraId="37E6A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3CD9E511">
            <w:pPr>
              <w:numPr>
                <w:ilvl w:val="0"/>
                <w:numId w:val="13"/>
              </w:numPr>
              <w:snapToGrid w:val="0"/>
              <w:spacing w:line="360" w:lineRule="auto"/>
              <w:jc w:val="center"/>
              <w:rPr>
                <w:rFonts w:hint="eastAsia" w:ascii="宋体" w:hAnsi="宋体" w:eastAsia="宋体" w:cs="宋体"/>
                <w:color w:val="auto"/>
                <w:sz w:val="21"/>
                <w:szCs w:val="21"/>
                <w:highlight w:val="none"/>
              </w:rPr>
            </w:pPr>
          </w:p>
        </w:tc>
        <w:tc>
          <w:tcPr>
            <w:tcW w:w="850" w:type="dxa"/>
            <w:vAlign w:val="center"/>
          </w:tcPr>
          <w:p w14:paraId="2020560A">
            <w:pPr>
              <w:keepNext w:val="0"/>
              <w:keepLines w:val="0"/>
              <w:widowControl/>
              <w:suppressLineNumbers w:val="0"/>
              <w:jc w:val="both"/>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红外光治疗仪（智能疼痛治疗仪）</w:t>
            </w:r>
          </w:p>
        </w:tc>
        <w:tc>
          <w:tcPr>
            <w:tcW w:w="500" w:type="dxa"/>
            <w:tcBorders>
              <w:right w:val="single" w:color="auto" w:sz="4" w:space="0"/>
            </w:tcBorders>
            <w:shd w:val="clear" w:color="auto" w:fill="auto"/>
            <w:vAlign w:val="center"/>
          </w:tcPr>
          <w:p w14:paraId="6683186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gridSpan w:val="2"/>
            <w:tcBorders>
              <w:left w:val="single" w:color="auto" w:sz="4" w:space="0"/>
              <w:right w:val="single" w:color="auto" w:sz="4" w:space="0"/>
            </w:tcBorders>
            <w:vAlign w:val="center"/>
          </w:tcPr>
          <w:p w14:paraId="7DF0EFA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台</w:t>
            </w:r>
          </w:p>
        </w:tc>
        <w:tc>
          <w:tcPr>
            <w:tcW w:w="5721" w:type="dxa"/>
            <w:tcBorders>
              <w:left w:val="single" w:color="auto" w:sz="4" w:space="0"/>
              <w:right w:val="single" w:color="auto" w:sz="4" w:space="0"/>
            </w:tcBorders>
            <w:vAlign w:val="center"/>
          </w:tcPr>
          <w:p w14:paraId="1153340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598BF2D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1.技术参数：</w:t>
            </w:r>
          </w:p>
          <w:p w14:paraId="4FB4EBF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1.1.额定输入功率：85VA。</w:t>
            </w:r>
          </w:p>
          <w:p w14:paraId="5E80838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1.2.两路输出：一路点状辐射器，一路三联面阵辐射器。</w:t>
            </w:r>
          </w:p>
          <w:p w14:paraId="420FA0A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1.3.输出波长：</w:t>
            </w:r>
          </w:p>
          <w:p w14:paraId="50EDCBA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1.3.1.点状辐射器输出波长：810nm，允差±5%。</w:t>
            </w:r>
          </w:p>
          <w:p w14:paraId="3684500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1.3.2.三联面阵辐射器输出光波长810nm/980nm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允差±5%。</w:t>
            </w:r>
          </w:p>
          <w:p w14:paraId="539C12F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1.4.输出光功率：允差±20%。</w:t>
            </w:r>
          </w:p>
          <w:p w14:paraId="106D3F9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1.4.1.点状辐射器的输出功率设定范围为0～500mW连续可调，单按按键级差1mW，长按按键级差10mW。点状辐射器最大输出功率≥500mW</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步进：1mW或10mW。</w:t>
            </w:r>
          </w:p>
          <w:p w14:paraId="01F3CDF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1.4.2.三联面阵辐射器上波长为810nm的输出功率设定范围为0～500mW可调，单按按键级差1mW，长按按键级差10mW。波长为980nm的输出功率设定范围为0～200mW可调，输出功率随810nm变化而变化，单按每5次级差为2mW，长按级差4mW。三联面阵辐射器参数：输出功率≥4200mW，步进：1mW或10mW。照射最大面积：≥80000mm²。</w:t>
            </w:r>
          </w:p>
          <w:p w14:paraId="561A086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1.5.智能控制，液晶显示，单路参数独立设定，可独立使用。</w:t>
            </w:r>
          </w:p>
          <w:p w14:paraId="14F88B9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1.6.定时范围：0～99min可调，级差1min，定时器显示误差±10%。</w:t>
            </w:r>
          </w:p>
          <w:p w14:paraId="7BF7D03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1.7.具有累计工作时长统计功能。</w:t>
            </w:r>
          </w:p>
          <w:p w14:paraId="6823D77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1.8.输出工作模式：连续模式、脉冲模式。</w:t>
            </w:r>
          </w:p>
          <w:p w14:paraId="17E0B55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1.9.输出光功率不稳定度±5%。</w:t>
            </w:r>
          </w:p>
          <w:p w14:paraId="6AB120E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1.10.治疗仪配有钥匙开关，顺时针方向旋转启动治疗仪。</w:t>
            </w:r>
          </w:p>
          <w:p w14:paraId="5A7B804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1.11.治疗仪配有紧急激光终止器，当需要立即停止激光输出时，可以按下终止器按钮，就可终止激光输出。</w:t>
            </w:r>
          </w:p>
          <w:p w14:paraId="3F3B8C2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1.12.点状辐射器可进行穴位压痛点的治疗。</w:t>
            </w:r>
          </w:p>
          <w:p w14:paraId="6ACC9AB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二、配置要求：</w:t>
            </w:r>
          </w:p>
          <w:p w14:paraId="149B7DA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1.主机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台</w:t>
            </w:r>
          </w:p>
          <w:p w14:paraId="2D53FF3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2.电源线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条</w:t>
            </w:r>
          </w:p>
          <w:p w14:paraId="26A46DA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3.导光棒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个</w:t>
            </w:r>
          </w:p>
          <w:p w14:paraId="19D34C2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4.钥匙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把</w:t>
            </w:r>
          </w:p>
          <w:p w14:paraId="68A9F52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5.眼罩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个</w:t>
            </w:r>
          </w:p>
          <w:p w14:paraId="1F10A23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6.熔断器（F3AL250V）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个</w:t>
            </w:r>
          </w:p>
          <w:p w14:paraId="49A6DBB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7.使用说明书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份</w:t>
            </w:r>
          </w:p>
          <w:p w14:paraId="3D09F1D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8.合格证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份</w:t>
            </w:r>
          </w:p>
          <w:p w14:paraId="2EA3D9A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9.产品培训验收报告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份</w:t>
            </w:r>
          </w:p>
          <w:p w14:paraId="01FBA1B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10.保修卡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份</w:t>
            </w:r>
          </w:p>
          <w:p w14:paraId="7DAF17F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11.装箱单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份</w:t>
            </w:r>
          </w:p>
        </w:tc>
        <w:tc>
          <w:tcPr>
            <w:tcW w:w="1100" w:type="dxa"/>
            <w:tcBorders>
              <w:left w:val="single" w:color="auto" w:sz="4" w:space="0"/>
            </w:tcBorders>
            <w:shd w:val="clear" w:color="auto" w:fill="auto"/>
            <w:vAlign w:val="center"/>
          </w:tcPr>
          <w:p w14:paraId="3137B16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9.3</w:t>
            </w:r>
          </w:p>
        </w:tc>
      </w:tr>
      <w:tr w14:paraId="46FCC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323F87CC">
            <w:pPr>
              <w:numPr>
                <w:ilvl w:val="0"/>
                <w:numId w:val="13"/>
              </w:numPr>
              <w:snapToGrid w:val="0"/>
              <w:spacing w:line="360" w:lineRule="auto"/>
              <w:jc w:val="center"/>
              <w:rPr>
                <w:rFonts w:hint="eastAsia" w:ascii="宋体" w:hAnsi="宋体" w:eastAsia="宋体" w:cs="宋体"/>
                <w:color w:val="auto"/>
                <w:sz w:val="21"/>
                <w:szCs w:val="21"/>
                <w:highlight w:val="none"/>
              </w:rPr>
            </w:pPr>
          </w:p>
        </w:tc>
        <w:tc>
          <w:tcPr>
            <w:tcW w:w="850" w:type="dxa"/>
            <w:vAlign w:val="center"/>
          </w:tcPr>
          <w:p w14:paraId="077BCAED">
            <w:pPr>
              <w:keepNext w:val="0"/>
              <w:keepLines w:val="0"/>
              <w:widowControl/>
              <w:suppressLineNumbers w:val="0"/>
              <w:jc w:val="both"/>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中药离子导入治疗仪（离子导入仪）</w:t>
            </w:r>
          </w:p>
        </w:tc>
        <w:tc>
          <w:tcPr>
            <w:tcW w:w="500" w:type="dxa"/>
            <w:tcBorders>
              <w:right w:val="single" w:color="auto" w:sz="4" w:space="0"/>
            </w:tcBorders>
            <w:shd w:val="clear" w:color="auto" w:fill="auto"/>
            <w:vAlign w:val="center"/>
          </w:tcPr>
          <w:p w14:paraId="06CF380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gridSpan w:val="2"/>
            <w:tcBorders>
              <w:left w:val="single" w:color="auto" w:sz="4" w:space="0"/>
              <w:right w:val="single" w:color="auto" w:sz="4" w:space="0"/>
            </w:tcBorders>
            <w:vAlign w:val="center"/>
          </w:tcPr>
          <w:p w14:paraId="6A4E587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台</w:t>
            </w:r>
          </w:p>
        </w:tc>
        <w:tc>
          <w:tcPr>
            <w:tcW w:w="5721" w:type="dxa"/>
            <w:tcBorders>
              <w:left w:val="single" w:color="auto" w:sz="4" w:space="0"/>
              <w:right w:val="single" w:color="auto" w:sz="4" w:space="0"/>
            </w:tcBorders>
            <w:vAlign w:val="center"/>
          </w:tcPr>
          <w:p w14:paraId="24D74E6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51F0A83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1.技术参数：</w:t>
            </w:r>
          </w:p>
          <w:p w14:paraId="422E27E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1.1.额定输入功率：140VA。</w:t>
            </w:r>
          </w:p>
          <w:p w14:paraId="0291574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1.2.主机尺寸：长645mm，宽365mm，高1060mm，允差±10%。</w:t>
            </w:r>
          </w:p>
          <w:p w14:paraId="5D2020D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1.3.电极片</w:t>
            </w:r>
          </w:p>
          <w:p w14:paraId="1371238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1.3.1.加热电极片：分两种型号长107mm，宽72mm和长85mm，宽55mm，允差±5%。</w:t>
            </w:r>
          </w:p>
          <w:p w14:paraId="3DCCAC0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1.3.2.电极线：长1800mm，允差±100mm。</w:t>
            </w:r>
          </w:p>
          <w:p w14:paraId="53AC30B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1.3.3.吸水加热电极片：长107mm，宽72mm，允差±5%。</w:t>
            </w:r>
          </w:p>
          <w:p w14:paraId="08D92BD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1.4.治疗模式</w:t>
            </w:r>
          </w:p>
          <w:p w14:paraId="11B21AF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1.4.1.具有“按摩”和“导入”两种治疗模式。</w:t>
            </w:r>
          </w:p>
          <w:p w14:paraId="07AA8D6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1.4.2.“按摩”状态输出对称脉冲波形，幅度差不大于2V。</w:t>
            </w:r>
          </w:p>
          <w:p w14:paraId="60D23E3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1.4.3.“导入”状态输出为非对称脉冲波形。</w:t>
            </w:r>
          </w:p>
          <w:p w14:paraId="1DBC8F2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1.5.输出通道：四通道输出。</w:t>
            </w:r>
          </w:p>
          <w:p w14:paraId="60C239F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1.6.中频载波波形：正弦波。</w:t>
            </w:r>
          </w:p>
          <w:p w14:paraId="7092261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1.7.调制波波形：方波。</w:t>
            </w:r>
          </w:p>
          <w:p w14:paraId="4DCA396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1.8.输出频率：</w:t>
            </w:r>
          </w:p>
          <w:p w14:paraId="3E5C12B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1.8.1.中频载波频率：2000Hz±10%。</w:t>
            </w:r>
          </w:p>
          <w:p w14:paraId="7666C33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1.8.2.调制波频率：75Hz±10%。</w:t>
            </w:r>
          </w:p>
          <w:p w14:paraId="463973C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1.9.调幅度：35%～65%。</w:t>
            </w:r>
          </w:p>
          <w:p w14:paraId="726314E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1.10.中频脉冲电压：中频脉冲最大输出峰值99V，允差±10%，分0～99级显示。</w:t>
            </w:r>
          </w:p>
          <w:p w14:paraId="150F268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1.11.定时范围：1～60min连续可调，开机默认值25min。</w:t>
            </w:r>
          </w:p>
          <w:p w14:paraId="5B76912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二、配置要求：</w:t>
            </w:r>
          </w:p>
          <w:p w14:paraId="236B28D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1.主机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台</w:t>
            </w:r>
          </w:p>
          <w:p w14:paraId="122CF4D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2.电源线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条</w:t>
            </w:r>
          </w:p>
          <w:p w14:paraId="20957A9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3.输出线 </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条</w:t>
            </w:r>
          </w:p>
          <w:p w14:paraId="26ACBFB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4.绑带 </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套</w:t>
            </w:r>
          </w:p>
          <w:p w14:paraId="498F253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5.绒布套 </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对</w:t>
            </w:r>
          </w:p>
          <w:p w14:paraId="1E90DA0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6.熔断器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个</w:t>
            </w:r>
          </w:p>
          <w:p w14:paraId="47EA614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7.吸水加热电极片 </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对</w:t>
            </w:r>
          </w:p>
          <w:p w14:paraId="56897DD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8.电极片 </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对</w:t>
            </w:r>
          </w:p>
          <w:p w14:paraId="6B8F704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9.使用说明书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份</w:t>
            </w:r>
          </w:p>
          <w:p w14:paraId="2D7A941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10.合格证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份</w:t>
            </w:r>
          </w:p>
          <w:p w14:paraId="1C30018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11.保修卡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份</w:t>
            </w:r>
          </w:p>
          <w:p w14:paraId="571534D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12.产品培训验收报告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份</w:t>
            </w:r>
          </w:p>
          <w:p w14:paraId="7916063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13.装箱单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份</w:t>
            </w:r>
          </w:p>
        </w:tc>
        <w:tc>
          <w:tcPr>
            <w:tcW w:w="1100" w:type="dxa"/>
            <w:tcBorders>
              <w:left w:val="single" w:color="auto" w:sz="4" w:space="0"/>
            </w:tcBorders>
            <w:shd w:val="clear" w:color="auto" w:fill="auto"/>
            <w:vAlign w:val="center"/>
          </w:tcPr>
          <w:p w14:paraId="166B717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w:t>
            </w:r>
          </w:p>
        </w:tc>
      </w:tr>
      <w:tr w14:paraId="2F27B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75AE166C">
            <w:pPr>
              <w:numPr>
                <w:ilvl w:val="0"/>
                <w:numId w:val="13"/>
              </w:numPr>
              <w:snapToGrid w:val="0"/>
              <w:spacing w:line="360" w:lineRule="auto"/>
              <w:jc w:val="center"/>
              <w:rPr>
                <w:rFonts w:hint="eastAsia" w:ascii="宋体" w:hAnsi="宋体" w:eastAsia="宋体" w:cs="宋体"/>
                <w:color w:val="auto"/>
                <w:sz w:val="21"/>
                <w:szCs w:val="21"/>
                <w:highlight w:val="none"/>
              </w:rPr>
            </w:pPr>
          </w:p>
        </w:tc>
        <w:tc>
          <w:tcPr>
            <w:tcW w:w="850" w:type="dxa"/>
            <w:vAlign w:val="center"/>
          </w:tcPr>
          <w:p w14:paraId="26ABD265">
            <w:pPr>
              <w:keepNext w:val="0"/>
              <w:keepLines w:val="0"/>
              <w:widowControl/>
              <w:suppressLineNumbers w:val="0"/>
              <w:jc w:val="both"/>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中医定向透药治疗仪（定向透药治疗仪）</w:t>
            </w:r>
          </w:p>
        </w:tc>
        <w:tc>
          <w:tcPr>
            <w:tcW w:w="500" w:type="dxa"/>
            <w:tcBorders>
              <w:right w:val="single" w:color="auto" w:sz="4" w:space="0"/>
            </w:tcBorders>
            <w:shd w:val="clear" w:color="auto" w:fill="auto"/>
            <w:vAlign w:val="center"/>
          </w:tcPr>
          <w:p w14:paraId="2E821B1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gridSpan w:val="2"/>
            <w:tcBorders>
              <w:left w:val="single" w:color="auto" w:sz="4" w:space="0"/>
              <w:right w:val="single" w:color="auto" w:sz="4" w:space="0"/>
            </w:tcBorders>
            <w:vAlign w:val="center"/>
          </w:tcPr>
          <w:p w14:paraId="3711042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台</w:t>
            </w:r>
          </w:p>
        </w:tc>
        <w:tc>
          <w:tcPr>
            <w:tcW w:w="5721" w:type="dxa"/>
            <w:tcBorders>
              <w:left w:val="single" w:color="auto" w:sz="4" w:space="0"/>
              <w:right w:val="single" w:color="auto" w:sz="4" w:space="0"/>
            </w:tcBorders>
            <w:vAlign w:val="center"/>
          </w:tcPr>
          <w:p w14:paraId="38ED55A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6DB4475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1.技术参数：</w:t>
            </w:r>
          </w:p>
          <w:p w14:paraId="5299FC4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1.1.输出通道：四通道。</w:t>
            </w:r>
          </w:p>
          <w:p w14:paraId="63E9139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1.2.外形尺寸（长宽高）：500×540×1140mm，允差±10%。</w:t>
            </w:r>
          </w:p>
          <w:p w14:paraId="5739B8F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1.3.额定输入功率：140VA。</w:t>
            </w:r>
          </w:p>
          <w:p w14:paraId="6238580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1.4.操作显示：10.1英寸液晶触摸屏。</w:t>
            </w:r>
          </w:p>
          <w:p w14:paraId="010C8CE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1.5.治疗模式：三种，导药按摩、导药、按摩模式。</w:t>
            </w:r>
          </w:p>
          <w:p w14:paraId="27F3716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1.6.中频载波频率：4000Hz，允差±10%。</w:t>
            </w:r>
          </w:p>
          <w:p w14:paraId="35AE704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1.7.中频载波波形：非对称方波。</w:t>
            </w:r>
          </w:p>
          <w:p w14:paraId="3E417F1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1.8.调制频率范围：0～150Hz，单一频率允差±10%或±1Hz取大值。</w:t>
            </w:r>
          </w:p>
          <w:p w14:paraId="5320C24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1.9.调制波波形：方波、正弦波、三角波、梯形波、锯齿波。</w:t>
            </w:r>
          </w:p>
          <w:p w14:paraId="4653ED5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 .调幅度：0%、100%，允差±5%。</w:t>
            </w:r>
          </w:p>
          <w:p w14:paraId="384500C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1.11.电刺激强度：0～99级可调。</w:t>
            </w:r>
          </w:p>
          <w:p w14:paraId="0803A7D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1.12.中频脉冲电压：导药模式最大峰值电压45V，允差±30%；按摩模式最大</w:t>
            </w:r>
            <w:r>
              <w:rPr>
                <w:rFonts w:hint="eastAsia" w:ascii="宋体" w:hAnsi="宋体" w:cs="宋体"/>
                <w:color w:val="auto"/>
                <w:sz w:val="21"/>
                <w:szCs w:val="21"/>
                <w:highlight w:val="none"/>
                <w:lang w:val="en-US" w:eastAsia="zh-CN"/>
              </w:rPr>
              <w:t>峰</w:t>
            </w:r>
            <w:r>
              <w:rPr>
                <w:rFonts w:hint="eastAsia" w:ascii="宋体" w:hAnsi="宋体" w:eastAsia="宋体" w:cs="宋体"/>
                <w:color w:val="auto"/>
                <w:sz w:val="21"/>
                <w:szCs w:val="21"/>
                <w:highlight w:val="none"/>
                <w:lang w:val="en-US" w:eastAsia="zh-CN"/>
              </w:rPr>
              <w:t>值电压90V，允差±30%。</w:t>
            </w:r>
          </w:p>
          <w:p w14:paraId="4C8AD9F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1.13.定时范围：1min～60min连续可调，开机默认值20min，允差±10s，治疗时间结束后，停止输出，并发出蜂鸣提示音。</w:t>
            </w:r>
          </w:p>
          <w:p w14:paraId="61ABA12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1.14.电极片辅助温热温度：43℃，允差±3℃。</w:t>
            </w:r>
          </w:p>
          <w:p w14:paraId="280C233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1.15.电致孔功能：</w:t>
            </w:r>
          </w:p>
          <w:p w14:paraId="34C9405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1.15.1.脉冲波群由6个脉冲宽度50μs，频率2kHz的脉冲组成，允差±20%。</w:t>
            </w:r>
          </w:p>
          <w:p w14:paraId="55B8470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1.15.2.电致孔输出最大峰值电压90V，允差±20%。</w:t>
            </w:r>
          </w:p>
          <w:p w14:paraId="77616C5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1.15.3.电致孔强度10可调。</w:t>
            </w:r>
          </w:p>
          <w:p w14:paraId="75743EA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1.16.中频按摩处方：</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20个。</w:t>
            </w:r>
          </w:p>
          <w:p w14:paraId="71FA94E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二、配置要求：</w:t>
            </w:r>
          </w:p>
          <w:p w14:paraId="6C57FC5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1.主机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台</w:t>
            </w:r>
          </w:p>
          <w:p w14:paraId="5C44FC8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2.电源线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条</w:t>
            </w:r>
          </w:p>
          <w:p w14:paraId="3A84C62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3.熔断器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个</w:t>
            </w:r>
          </w:p>
          <w:p w14:paraId="10E5AF2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4.电极线 </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条</w:t>
            </w:r>
          </w:p>
          <w:p w14:paraId="30A302B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5.绑带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套</w:t>
            </w:r>
          </w:p>
          <w:p w14:paraId="4F33D1B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6.绒布套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套</w:t>
            </w:r>
          </w:p>
          <w:p w14:paraId="5341CA0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7.吸水加热电极片 </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对</w:t>
            </w:r>
          </w:p>
          <w:p w14:paraId="4FA304A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8.电极片 </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对</w:t>
            </w:r>
          </w:p>
          <w:p w14:paraId="205AAB9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9.使用说明书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份</w:t>
            </w:r>
          </w:p>
          <w:p w14:paraId="1EF61B1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10.合格证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份</w:t>
            </w:r>
          </w:p>
          <w:p w14:paraId="31DA49F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11.保修卡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份</w:t>
            </w:r>
          </w:p>
          <w:p w14:paraId="0680F36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12.产品培训验收报告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份</w:t>
            </w:r>
          </w:p>
          <w:p w14:paraId="5296D81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13.装箱单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份</w:t>
            </w:r>
          </w:p>
        </w:tc>
        <w:tc>
          <w:tcPr>
            <w:tcW w:w="1100" w:type="dxa"/>
            <w:tcBorders>
              <w:left w:val="single" w:color="auto" w:sz="4" w:space="0"/>
            </w:tcBorders>
            <w:shd w:val="clear" w:color="auto" w:fill="auto"/>
            <w:vAlign w:val="center"/>
          </w:tcPr>
          <w:p w14:paraId="5FCB1E7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4.2</w:t>
            </w:r>
          </w:p>
        </w:tc>
      </w:tr>
      <w:tr w14:paraId="1B00C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593A2C75">
            <w:pPr>
              <w:numPr>
                <w:ilvl w:val="0"/>
                <w:numId w:val="13"/>
              </w:numPr>
              <w:snapToGrid w:val="0"/>
              <w:spacing w:line="360" w:lineRule="auto"/>
              <w:jc w:val="center"/>
              <w:rPr>
                <w:rFonts w:hint="eastAsia" w:ascii="宋体" w:hAnsi="宋体" w:eastAsia="宋体" w:cs="宋体"/>
                <w:color w:val="auto"/>
                <w:sz w:val="21"/>
                <w:szCs w:val="21"/>
                <w:highlight w:val="none"/>
              </w:rPr>
            </w:pPr>
          </w:p>
        </w:tc>
        <w:tc>
          <w:tcPr>
            <w:tcW w:w="850" w:type="dxa"/>
            <w:vAlign w:val="center"/>
          </w:tcPr>
          <w:p w14:paraId="4D168CF1">
            <w:pPr>
              <w:keepNext w:val="0"/>
              <w:keepLines w:val="0"/>
              <w:widowControl/>
              <w:suppressLineNumbers w:val="0"/>
              <w:jc w:val="both"/>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超声骨刀（口腔科）（超声骨刀机）</w:t>
            </w:r>
          </w:p>
        </w:tc>
        <w:tc>
          <w:tcPr>
            <w:tcW w:w="500" w:type="dxa"/>
            <w:tcBorders>
              <w:right w:val="single" w:color="auto" w:sz="4" w:space="0"/>
            </w:tcBorders>
            <w:shd w:val="clear" w:color="auto" w:fill="auto"/>
            <w:vAlign w:val="center"/>
          </w:tcPr>
          <w:p w14:paraId="1291261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514" w:type="dxa"/>
            <w:gridSpan w:val="2"/>
            <w:tcBorders>
              <w:left w:val="single" w:color="auto" w:sz="4" w:space="0"/>
              <w:right w:val="single" w:color="auto" w:sz="4" w:space="0"/>
            </w:tcBorders>
            <w:vAlign w:val="center"/>
          </w:tcPr>
          <w:p w14:paraId="4B71E3A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台</w:t>
            </w:r>
          </w:p>
        </w:tc>
        <w:tc>
          <w:tcPr>
            <w:tcW w:w="5721" w:type="dxa"/>
            <w:tcBorders>
              <w:left w:val="single" w:color="auto" w:sz="4" w:space="0"/>
              <w:right w:val="single" w:color="auto" w:sz="4" w:space="0"/>
            </w:tcBorders>
            <w:vAlign w:val="center"/>
          </w:tcPr>
          <w:p w14:paraId="4F6C271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5525D82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1.主要技术参数：</w:t>
            </w:r>
          </w:p>
          <w:p w14:paraId="63B7B30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1.1.电源电压：100V-240V~  50Hz/60Hz  120VA</w:t>
            </w:r>
          </w:p>
          <w:p w14:paraId="1ABAD2B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1.2.工作尖尖端主振幅：20~200μm</w:t>
            </w:r>
          </w:p>
          <w:p w14:paraId="2F9A5B3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1.3.工作尖尖端横向振幅：≤30μm</w:t>
            </w:r>
          </w:p>
          <w:p w14:paraId="0D48F95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1.4.工作尖振动频率：24.0 kHz ~29.5 kHz</w:t>
            </w:r>
          </w:p>
          <w:p w14:paraId="14EC485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1.5.保险丝：2×T1.6AL  250V</w:t>
            </w:r>
          </w:p>
          <w:p w14:paraId="1D237F0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1.6.蠕动泵流量：30~110mL/min</w:t>
            </w:r>
          </w:p>
          <w:p w14:paraId="6F2D8E1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▲1.7.导出的输出声功率：200~600mW</w:t>
            </w:r>
          </w:p>
          <w:p w14:paraId="3ECE23A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1.8.主声输出面积：&lt;10 mm² </w:t>
            </w:r>
          </w:p>
          <w:p w14:paraId="6D4034E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1.9.次级横振声输出面积：&lt;20 mm²</w:t>
            </w:r>
          </w:p>
          <w:p w14:paraId="1E9CCF6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1.10 .主机重量：3.1 kg    </w:t>
            </w:r>
          </w:p>
          <w:p w14:paraId="68AA4B5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1.11.多功能脚踏</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可控制功率、水量</w:t>
            </w:r>
          </w:p>
          <w:p w14:paraId="5F345EF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1.12.脚踏防水等级：</w:t>
            </w:r>
            <w:r>
              <w:rPr>
                <w:rFonts w:hint="eastAsia" w:ascii="宋体" w:hAnsi="宋体" w:cs="宋体"/>
                <w:color w:val="auto"/>
                <w:sz w:val="21"/>
                <w:szCs w:val="21"/>
                <w:highlight w:val="none"/>
                <w:lang w:val="en-US" w:eastAsia="zh-CN"/>
              </w:rPr>
              <w:t>不低于</w:t>
            </w:r>
            <w:r>
              <w:rPr>
                <w:rFonts w:hint="eastAsia" w:ascii="宋体" w:hAnsi="宋体" w:eastAsia="宋体" w:cs="宋体"/>
                <w:color w:val="auto"/>
                <w:sz w:val="21"/>
                <w:szCs w:val="21"/>
                <w:highlight w:val="none"/>
                <w:lang w:val="en-US" w:eastAsia="zh-CN"/>
              </w:rPr>
              <w:t xml:space="preserve">IPX8   </w:t>
            </w:r>
          </w:p>
          <w:p w14:paraId="3C04D53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1.13.可反复高温高压灭菌的供水泵管；</w:t>
            </w:r>
          </w:p>
          <w:p w14:paraId="147F821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▲1.14.可</w:t>
            </w:r>
            <w:r>
              <w:rPr>
                <w:rFonts w:hint="eastAsia" w:ascii="宋体" w:hAnsi="宋体" w:cs="宋体"/>
                <w:color w:val="auto"/>
                <w:sz w:val="21"/>
                <w:szCs w:val="21"/>
                <w:highlight w:val="none"/>
                <w:lang w:val="en-US" w:eastAsia="zh-CN"/>
              </w:rPr>
              <w:t>搭配的</w:t>
            </w:r>
            <w:r>
              <w:rPr>
                <w:rFonts w:hint="eastAsia" w:ascii="宋体" w:hAnsi="宋体" w:eastAsia="宋体" w:cs="宋体"/>
                <w:color w:val="auto"/>
                <w:sz w:val="21"/>
                <w:szCs w:val="21"/>
                <w:highlight w:val="none"/>
                <w:lang w:val="en-US" w:eastAsia="zh-CN"/>
              </w:rPr>
              <w:t>工作尖型号</w:t>
            </w:r>
            <w:r>
              <w:rPr>
                <w:rFonts w:hint="eastAsia" w:ascii="宋体" w:hAnsi="宋体" w:cs="宋体"/>
                <w:color w:val="auto"/>
                <w:sz w:val="21"/>
                <w:szCs w:val="21"/>
                <w:highlight w:val="none"/>
                <w:lang w:val="en-US" w:eastAsia="zh-CN"/>
              </w:rPr>
              <w:t>至少</w:t>
            </w:r>
            <w:r>
              <w:rPr>
                <w:rFonts w:hint="eastAsia" w:ascii="宋体" w:hAnsi="宋体" w:eastAsia="宋体" w:cs="宋体"/>
                <w:color w:val="auto"/>
                <w:sz w:val="21"/>
                <w:szCs w:val="21"/>
                <w:highlight w:val="none"/>
                <w:lang w:val="en-US" w:eastAsia="zh-CN"/>
              </w:rPr>
              <w:t xml:space="preserve">67种规格 </w:t>
            </w:r>
          </w:p>
          <w:p w14:paraId="63F9727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2.功能简介：</w:t>
            </w:r>
          </w:p>
          <w:p w14:paraId="37AACB1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2.1.中文显示液晶屏，显示当前功率档位、水量档位、模式等信息，通过按键可调整设置。</w:t>
            </w:r>
          </w:p>
          <w:p w14:paraId="6E3D995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2.2.只切骨不伤软组织，手术精确以微米计。</w:t>
            </w:r>
          </w:p>
          <w:p w14:paraId="48A7E68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2.3.采用自动搜频系统。</w:t>
            </w:r>
          </w:p>
          <w:p w14:paraId="590545B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2.4.采用微电脑全自动控制。</w:t>
            </w:r>
          </w:p>
          <w:p w14:paraId="258979A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2.5.采用故障报警系统。</w:t>
            </w:r>
          </w:p>
          <w:p w14:paraId="67BB092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2.6.手柄能耐</w:t>
            </w:r>
            <w:r>
              <w:rPr>
                <w:rFonts w:hint="eastAsia" w:ascii="宋体" w:hAnsi="宋体" w:cs="宋体"/>
                <w:color w:val="auto"/>
                <w:sz w:val="21"/>
                <w:szCs w:val="21"/>
                <w:highlight w:val="none"/>
                <w:lang w:val="en-US" w:eastAsia="zh-CN"/>
              </w:rPr>
              <w:t>至少</w:t>
            </w:r>
            <w:r>
              <w:rPr>
                <w:rFonts w:hint="eastAsia" w:ascii="宋体" w:hAnsi="宋体" w:eastAsia="宋体" w:cs="宋体"/>
                <w:color w:val="auto"/>
                <w:sz w:val="21"/>
                <w:szCs w:val="21"/>
                <w:highlight w:val="none"/>
                <w:lang w:val="en-US" w:eastAsia="zh-CN"/>
              </w:rPr>
              <w:t>134℃高温和0.22MPa高压消毒。</w:t>
            </w:r>
          </w:p>
          <w:p w14:paraId="4AF2034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2.7.静音供水，超声微动力下满足冷切割。</w:t>
            </w:r>
          </w:p>
          <w:p w14:paraId="3EEF1D5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二、配置要求：</w:t>
            </w:r>
          </w:p>
          <w:p w14:paraId="30477CA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1.1支带光接插式手柄</w:t>
            </w:r>
          </w:p>
          <w:p w14:paraId="09D0B61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2.7枚工作尖：</w:t>
            </w:r>
          </w:p>
          <w:p w14:paraId="6E6FEBD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US1工作尖1枚   </w:t>
            </w:r>
          </w:p>
          <w:p w14:paraId="5D4F56B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US2工作尖2枚  </w:t>
            </w:r>
          </w:p>
          <w:p w14:paraId="1934877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US4工作尖1枚   </w:t>
            </w:r>
          </w:p>
          <w:p w14:paraId="0291708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US5工作尖1枚  </w:t>
            </w:r>
          </w:p>
          <w:p w14:paraId="61F9E72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UL3工作尖1枚          </w:t>
            </w:r>
          </w:p>
          <w:p w14:paraId="2E27211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UC1工作尖1枚</w:t>
            </w:r>
          </w:p>
        </w:tc>
        <w:tc>
          <w:tcPr>
            <w:tcW w:w="1100" w:type="dxa"/>
            <w:tcBorders>
              <w:left w:val="single" w:color="auto" w:sz="4" w:space="0"/>
            </w:tcBorders>
            <w:shd w:val="clear" w:color="auto" w:fill="auto"/>
            <w:vAlign w:val="center"/>
          </w:tcPr>
          <w:p w14:paraId="2E8BC68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1.68</w:t>
            </w:r>
          </w:p>
        </w:tc>
      </w:tr>
      <w:tr w14:paraId="391FE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tcBorders>
              <w:bottom w:val="single" w:color="auto" w:sz="4" w:space="0"/>
            </w:tcBorders>
            <w:vAlign w:val="center"/>
          </w:tcPr>
          <w:p w14:paraId="731A2FAA">
            <w:pPr>
              <w:numPr>
                <w:ilvl w:val="0"/>
                <w:numId w:val="13"/>
              </w:numPr>
              <w:snapToGrid w:val="0"/>
              <w:spacing w:line="360" w:lineRule="auto"/>
              <w:jc w:val="center"/>
              <w:rPr>
                <w:rFonts w:hint="eastAsia" w:ascii="宋体" w:hAnsi="宋体" w:eastAsia="宋体" w:cs="宋体"/>
                <w:color w:val="auto"/>
                <w:sz w:val="21"/>
                <w:szCs w:val="21"/>
                <w:highlight w:val="none"/>
              </w:rPr>
            </w:pPr>
          </w:p>
        </w:tc>
        <w:tc>
          <w:tcPr>
            <w:tcW w:w="850" w:type="dxa"/>
            <w:vAlign w:val="center"/>
          </w:tcPr>
          <w:p w14:paraId="479F9B40">
            <w:pPr>
              <w:keepNext w:val="0"/>
              <w:keepLines w:val="0"/>
              <w:widowControl/>
              <w:suppressLineNumbers w:val="0"/>
              <w:jc w:val="both"/>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超声骨刀（骨伤科）（超声骨动力设备）</w:t>
            </w:r>
          </w:p>
        </w:tc>
        <w:tc>
          <w:tcPr>
            <w:tcW w:w="500" w:type="dxa"/>
            <w:tcBorders>
              <w:right w:val="single" w:color="auto" w:sz="4" w:space="0"/>
            </w:tcBorders>
            <w:shd w:val="clear" w:color="auto" w:fill="auto"/>
            <w:vAlign w:val="center"/>
          </w:tcPr>
          <w:p w14:paraId="37E18FF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514" w:type="dxa"/>
            <w:gridSpan w:val="2"/>
            <w:tcBorders>
              <w:left w:val="single" w:color="auto" w:sz="4" w:space="0"/>
              <w:right w:val="single" w:color="auto" w:sz="4" w:space="0"/>
            </w:tcBorders>
            <w:vAlign w:val="center"/>
          </w:tcPr>
          <w:p w14:paraId="2DEC404E">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套</w:t>
            </w:r>
          </w:p>
        </w:tc>
        <w:tc>
          <w:tcPr>
            <w:tcW w:w="5721" w:type="dxa"/>
            <w:tcBorders>
              <w:left w:val="single" w:color="auto" w:sz="4" w:space="0"/>
              <w:right w:val="single" w:color="auto" w:sz="4" w:space="0"/>
            </w:tcBorders>
            <w:vAlign w:val="center"/>
          </w:tcPr>
          <w:p w14:paraId="2945C42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311FD61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w:t>
            </w:r>
          </w:p>
          <w:p w14:paraId="42BB295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1.1.功能：利用超声波机械效应完成目标骨组织破坏同时避免损伤相邻软组织，可用于所有临床手术科室各种疗法中的切骨、磨骨和钻孔功能；</w:t>
            </w:r>
          </w:p>
          <w:p w14:paraId="1DC42E5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1.2.主声输出面积：普通骨刀刀头≤20mm²</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关节骨刀刀头≤100mm²</w:t>
            </w:r>
          </w:p>
          <w:p w14:paraId="473B62A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▲1.3.输出超声最大电功率：≤140W；</w:t>
            </w:r>
          </w:p>
          <w:p w14:paraId="18220C5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▲1.4.超声最大工作振幅：≤120μm；</w:t>
            </w:r>
          </w:p>
          <w:p w14:paraId="2A6507B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1.5.操作方式：触摸屏，界面显示：功率，脉冲和液流参数；</w:t>
            </w:r>
          </w:p>
          <w:p w14:paraId="3973C7D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1.6.安全特性：设备防电击类型和防电击程度为I类BF型，主机具有故障的自检功能，安全性能符合国内和国际标准；</w:t>
            </w:r>
          </w:p>
          <w:p w14:paraId="0ADAAE8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▲1.7.工作频率：39KHz±4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低噪音设计；</w:t>
            </w:r>
          </w:p>
          <w:p w14:paraId="634F58E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1.8.自由选择注水量：最大注水量120ml/min</w:t>
            </w:r>
            <w:r>
              <w:rPr>
                <w:rFonts w:hint="eastAsia" w:ascii="宋体" w:hAnsi="宋体" w:cs="宋体"/>
                <w:color w:val="auto"/>
                <w:sz w:val="21"/>
                <w:szCs w:val="21"/>
                <w:highlight w:val="none"/>
                <w:lang w:val="en-US" w:eastAsia="zh-CN"/>
              </w:rPr>
              <w:t>；</w:t>
            </w:r>
          </w:p>
          <w:p w14:paraId="7BAB735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1.9.故障自检系统，通过故障代码显示故障原因；</w:t>
            </w:r>
          </w:p>
          <w:p w14:paraId="0D9F508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1.10.蠕动泵：10档水量控制可调，由主机脚踏开关控制同步冲水；</w:t>
            </w:r>
          </w:p>
          <w:p w14:paraId="2FBECF1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1.11.显示和控制方式：通过触摸屏调节所有参数；</w:t>
            </w:r>
          </w:p>
          <w:p w14:paraId="012356C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1.12.LCD液晶显示屏≥6英寸；</w:t>
            </w:r>
          </w:p>
          <w:p w14:paraId="1ACF7E6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1.13.具有自动记录手术时间功能；</w:t>
            </w:r>
          </w:p>
          <w:p w14:paraId="2701723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▲1.14.主机具有“AUTO”操作按键，自动或关闭自动组织识别功能。</w:t>
            </w:r>
          </w:p>
          <w:p w14:paraId="2A143C2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1.15.可以支持普通骨刀手柄和关节骨刀手柄。</w:t>
            </w:r>
          </w:p>
          <w:p w14:paraId="1812BEE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2.手柄</w:t>
            </w:r>
          </w:p>
          <w:p w14:paraId="74EE164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2.1.手柄的水管连接方式：单独连接；</w:t>
            </w:r>
          </w:p>
          <w:p w14:paraId="44423DA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2.2.手柄装卸：手柄和刀头分离式设计，刀头能够快速拆卸安装，可在术中迅速更换刀头；</w:t>
            </w:r>
          </w:p>
          <w:p w14:paraId="4A84AD4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2.3.手柄的灭菌方式：所有手柄必须支持压力蒸汽方式灭菌；</w:t>
            </w:r>
          </w:p>
          <w:p w14:paraId="40275C6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2.4.钛合金材质手柄。</w:t>
            </w:r>
          </w:p>
          <w:p w14:paraId="656FF23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3.刀具</w:t>
            </w:r>
          </w:p>
          <w:p w14:paraId="22CA8E3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3.1.刀头安全性设计：钝性刀头设计，刀尖最薄处≥0.5mm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防止锐性划伤软组织；</w:t>
            </w:r>
          </w:p>
          <w:p w14:paraId="0E1F21D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▲3.2.切骨方式：切骨和磨骨使用同一手柄完成，术中更换刀头时无需更换手柄。</w:t>
            </w:r>
          </w:p>
          <w:p w14:paraId="08E64A7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3.3.超声刀头种类：适配骨科通道下及椎间孔镜下专用刀头；适配支持</w:t>
            </w:r>
            <w:r>
              <w:rPr>
                <w:rFonts w:hint="eastAsia" w:ascii="宋体" w:hAnsi="宋体" w:cs="宋体"/>
                <w:color w:val="auto"/>
                <w:sz w:val="21"/>
                <w:szCs w:val="21"/>
                <w:highlight w:val="none"/>
                <w:lang w:val="en-US" w:eastAsia="zh-CN"/>
              </w:rPr>
              <w:t>至少</w:t>
            </w:r>
            <w:r>
              <w:rPr>
                <w:rFonts w:hint="eastAsia" w:ascii="宋体" w:hAnsi="宋体" w:eastAsia="宋体" w:cs="宋体"/>
                <w:color w:val="auto"/>
                <w:sz w:val="21"/>
                <w:szCs w:val="21"/>
                <w:highlight w:val="none"/>
                <w:lang w:val="en-US" w:eastAsia="zh-CN"/>
              </w:rPr>
              <w:t>30种超声刀头形状，所有形状的刀头型号全部在NMPA注册证中列示；</w:t>
            </w:r>
          </w:p>
          <w:p w14:paraId="367D87A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3.4.具备关节、骨水泥用片形、伞形、铲形等刀头；</w:t>
            </w:r>
          </w:p>
          <w:p w14:paraId="521F83F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3.5.V形刀头，颈椎后路单开门/双开门等手术；</w:t>
            </w:r>
          </w:p>
          <w:p w14:paraId="78E60FE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3.6.铣钻形刀头，用于骨科打孔操作；</w:t>
            </w:r>
          </w:p>
          <w:p w14:paraId="42D1EE8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3.7.椎间孔镜下刀头，镜下贴近软组织操作。</w:t>
            </w:r>
          </w:p>
          <w:p w14:paraId="2461E8E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3.8.刀头可重复消毒使用，采用独立无菌包装</w:t>
            </w:r>
          </w:p>
          <w:p w14:paraId="50002E0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4.相关附件</w:t>
            </w:r>
          </w:p>
          <w:p w14:paraId="1ACDFE7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4.1.采用液流管套引导液流，透明，管状；</w:t>
            </w:r>
          </w:p>
          <w:p w14:paraId="58372C3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4.2.独立的脚踏开关，控制液流和输出，非对称脚踏开关，防止踩错开关；</w:t>
            </w:r>
          </w:p>
          <w:p w14:paraId="37CD43B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4.3.所有附件须全部支持高温高压灭菌消毒；</w:t>
            </w:r>
          </w:p>
          <w:p w14:paraId="1B00646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4.4.扳手：扭力扳手符合人体工程学设计。</w:t>
            </w:r>
          </w:p>
          <w:p w14:paraId="18B5F53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w:t>
            </w:r>
            <w:r>
              <w:rPr>
                <w:rFonts w:hint="eastAsia" w:ascii="宋体" w:hAnsi="宋体" w:cs="宋体"/>
                <w:color w:val="auto"/>
                <w:sz w:val="21"/>
                <w:szCs w:val="21"/>
                <w:highlight w:val="none"/>
                <w:lang w:val="en-US" w:eastAsia="zh-CN"/>
              </w:rPr>
              <w:t>每套</w:t>
            </w:r>
            <w:r>
              <w:rPr>
                <w:rFonts w:hint="eastAsia" w:ascii="宋体" w:hAnsi="宋体" w:eastAsia="宋体" w:cs="宋体"/>
                <w:color w:val="auto"/>
                <w:sz w:val="21"/>
                <w:szCs w:val="21"/>
                <w:highlight w:val="none"/>
                <w:lang w:val="en-US" w:eastAsia="zh-CN"/>
              </w:rPr>
              <w:t>配置要求：</w:t>
            </w:r>
          </w:p>
          <w:p w14:paraId="53B9ADC1">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1.多功能超声刀动力手柄1</w:t>
            </w:r>
            <w:r>
              <w:rPr>
                <w:rFonts w:hint="eastAsia" w:ascii="宋体" w:hAnsi="宋体" w:cs="宋体"/>
                <w:color w:val="auto"/>
                <w:sz w:val="21"/>
                <w:szCs w:val="21"/>
                <w:highlight w:val="none"/>
                <w:lang w:val="en-US" w:eastAsia="zh-CN"/>
              </w:rPr>
              <w:t>套</w:t>
            </w:r>
          </w:p>
          <w:p w14:paraId="7B94F0B7">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2.动力主机1</w:t>
            </w:r>
            <w:r>
              <w:rPr>
                <w:rFonts w:hint="eastAsia" w:ascii="宋体" w:hAnsi="宋体" w:cs="宋体"/>
                <w:color w:val="auto"/>
                <w:sz w:val="21"/>
                <w:szCs w:val="21"/>
                <w:highlight w:val="none"/>
                <w:lang w:val="en-US" w:eastAsia="zh-CN"/>
              </w:rPr>
              <w:t>台</w:t>
            </w:r>
          </w:p>
          <w:p w14:paraId="59ED4AF5">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3.脚踏开关1</w:t>
            </w:r>
            <w:r>
              <w:rPr>
                <w:rFonts w:hint="eastAsia" w:ascii="宋体" w:hAnsi="宋体" w:cs="宋体"/>
                <w:color w:val="auto"/>
                <w:sz w:val="21"/>
                <w:szCs w:val="21"/>
                <w:highlight w:val="none"/>
                <w:lang w:val="en-US" w:eastAsia="zh-CN"/>
              </w:rPr>
              <w:t>套</w:t>
            </w:r>
          </w:p>
          <w:p w14:paraId="37D1FB4B">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4.灭菌盒1</w:t>
            </w:r>
            <w:r>
              <w:rPr>
                <w:rFonts w:hint="eastAsia" w:ascii="宋体" w:hAnsi="宋体" w:cs="宋体"/>
                <w:color w:val="auto"/>
                <w:sz w:val="21"/>
                <w:szCs w:val="21"/>
                <w:highlight w:val="none"/>
                <w:lang w:val="en-US" w:eastAsia="zh-CN"/>
              </w:rPr>
              <w:t>个</w:t>
            </w:r>
          </w:p>
          <w:p w14:paraId="348C9012">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5.液流管套6</w:t>
            </w:r>
            <w:r>
              <w:rPr>
                <w:rFonts w:hint="eastAsia" w:ascii="宋体" w:hAnsi="宋体" w:cs="宋体"/>
                <w:color w:val="auto"/>
                <w:sz w:val="21"/>
                <w:szCs w:val="21"/>
                <w:highlight w:val="none"/>
                <w:lang w:val="en-US" w:eastAsia="zh-CN"/>
              </w:rPr>
              <w:t>套</w:t>
            </w:r>
          </w:p>
          <w:p w14:paraId="751ED0B5">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6.刀头扭力扳手1</w:t>
            </w:r>
            <w:r>
              <w:rPr>
                <w:rFonts w:hint="eastAsia" w:ascii="宋体" w:hAnsi="宋体" w:cs="宋体"/>
                <w:color w:val="auto"/>
                <w:sz w:val="21"/>
                <w:szCs w:val="21"/>
                <w:highlight w:val="none"/>
                <w:lang w:val="en-US" w:eastAsia="zh-CN"/>
              </w:rPr>
              <w:t>个</w:t>
            </w:r>
          </w:p>
          <w:p w14:paraId="51F7BFD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7.可复消刀头（有证）10把</w:t>
            </w:r>
          </w:p>
        </w:tc>
        <w:tc>
          <w:tcPr>
            <w:tcW w:w="1100" w:type="dxa"/>
            <w:tcBorders>
              <w:left w:val="single" w:color="auto" w:sz="4" w:space="0"/>
            </w:tcBorders>
            <w:shd w:val="clear" w:color="auto" w:fill="auto"/>
            <w:vAlign w:val="center"/>
          </w:tcPr>
          <w:p w14:paraId="290013B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76</w:t>
            </w:r>
          </w:p>
        </w:tc>
      </w:tr>
      <w:tr w14:paraId="424DA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tcBorders>
              <w:top w:val="single" w:color="auto" w:sz="4" w:space="0"/>
            </w:tcBorders>
            <w:vAlign w:val="center"/>
          </w:tcPr>
          <w:p w14:paraId="12826A64">
            <w:pPr>
              <w:numPr>
                <w:ilvl w:val="0"/>
                <w:numId w:val="13"/>
              </w:numPr>
              <w:snapToGrid w:val="0"/>
              <w:spacing w:line="360" w:lineRule="auto"/>
              <w:jc w:val="center"/>
              <w:rPr>
                <w:rFonts w:hint="eastAsia" w:ascii="宋体" w:hAnsi="宋体" w:eastAsia="宋体" w:cs="宋体"/>
                <w:color w:val="auto"/>
                <w:sz w:val="21"/>
                <w:szCs w:val="21"/>
                <w:highlight w:val="none"/>
              </w:rPr>
            </w:pPr>
          </w:p>
        </w:tc>
        <w:tc>
          <w:tcPr>
            <w:tcW w:w="850" w:type="dxa"/>
            <w:vAlign w:val="center"/>
          </w:tcPr>
          <w:p w14:paraId="4795C2B6">
            <w:pPr>
              <w:keepNext w:val="0"/>
              <w:keepLines w:val="0"/>
              <w:widowControl/>
              <w:suppressLineNumbers w:val="0"/>
              <w:jc w:val="both"/>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多功能治疗床（多体位医用诊疗床）</w:t>
            </w:r>
          </w:p>
        </w:tc>
        <w:tc>
          <w:tcPr>
            <w:tcW w:w="500" w:type="dxa"/>
            <w:tcBorders>
              <w:right w:val="single" w:color="auto" w:sz="4" w:space="0"/>
            </w:tcBorders>
            <w:shd w:val="clear" w:color="auto" w:fill="auto"/>
            <w:vAlign w:val="center"/>
          </w:tcPr>
          <w:p w14:paraId="283412F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514" w:type="dxa"/>
            <w:gridSpan w:val="2"/>
            <w:tcBorders>
              <w:left w:val="single" w:color="auto" w:sz="4" w:space="0"/>
              <w:right w:val="single" w:color="auto" w:sz="4" w:space="0"/>
            </w:tcBorders>
            <w:vAlign w:val="center"/>
          </w:tcPr>
          <w:p w14:paraId="5C25F11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张</w:t>
            </w:r>
          </w:p>
        </w:tc>
        <w:tc>
          <w:tcPr>
            <w:tcW w:w="5721" w:type="dxa"/>
            <w:tcBorders>
              <w:left w:val="single" w:color="auto" w:sz="4" w:space="0"/>
              <w:right w:val="single" w:color="auto" w:sz="4" w:space="0"/>
            </w:tcBorders>
            <w:vAlign w:val="center"/>
          </w:tcPr>
          <w:p w14:paraId="474684A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22F1911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1.技术参数：</w:t>
            </w:r>
          </w:p>
          <w:p w14:paraId="399BB8D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1.1.电源：a.c.220V±22V，频率：50Hz±1Hz，备用电池DC24。</w:t>
            </w:r>
          </w:p>
          <w:p w14:paraId="133C926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1.2.额定输入功率：190VA。</w:t>
            </w:r>
          </w:p>
          <w:p w14:paraId="212113B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1.3.最大起升重量：200kg，允差±10kg。</w:t>
            </w:r>
          </w:p>
          <w:p w14:paraId="0BD15E4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1.4.尺寸（长宽高）：1970×660×570mm，允差±3%。</w:t>
            </w:r>
          </w:p>
          <w:p w14:paraId="11E4F3A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1.5.升降功能：诊疗床的床面升降行程为0～300mm连续可调，允差±30mm。</w:t>
            </w:r>
          </w:p>
          <w:p w14:paraId="154D774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▲1.6.头部段面功能：相对水平面调节角度-20°～+30°连续可调，允差±3%。</w:t>
            </w:r>
          </w:p>
          <w:p w14:paraId="7ABC360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▲1.7.腰胸段面功能：相对水平面调节角度0°～+25°连续可调，允差±3%。</w:t>
            </w:r>
          </w:p>
          <w:p w14:paraId="2F5AD28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1.8.下身段面功能：相对水平面调节角度-25°～+40°连续可调，允差±3%。</w:t>
            </w:r>
          </w:p>
          <w:p w14:paraId="134AD9C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1.9.床面升降速度：≥10mm/s。</w:t>
            </w:r>
          </w:p>
          <w:p w14:paraId="2B1F630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 .配备有床腿调节地脚。</w:t>
            </w:r>
          </w:p>
          <w:p w14:paraId="1730E48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1.11.配有患者呼吸孔、海绵堵头及肩孔。</w:t>
            </w:r>
          </w:p>
          <w:p w14:paraId="623B93E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1.12.配备有电动脚踏开关进行电动升降，同时配备有手柄开关，可进行</w:t>
            </w:r>
            <w:r>
              <w:rPr>
                <w:rFonts w:hint="eastAsia" w:ascii="宋体" w:hAnsi="宋体" w:cs="宋体"/>
                <w:color w:val="auto"/>
                <w:sz w:val="21"/>
                <w:szCs w:val="21"/>
                <w:highlight w:val="none"/>
                <w:lang w:val="en-US" w:eastAsia="zh-CN"/>
              </w:rPr>
              <w:t>电动</w:t>
            </w:r>
            <w:r>
              <w:rPr>
                <w:rFonts w:hint="eastAsia" w:ascii="宋体" w:hAnsi="宋体" w:eastAsia="宋体" w:cs="宋体"/>
                <w:color w:val="auto"/>
                <w:sz w:val="21"/>
                <w:szCs w:val="21"/>
                <w:highlight w:val="none"/>
                <w:lang w:val="en-US" w:eastAsia="zh-CN"/>
              </w:rPr>
              <w:t>升降诊疗床面。</w:t>
            </w:r>
          </w:p>
          <w:p w14:paraId="678E17D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1.13.配备4个脚轮通过脚踏四联动装置锁定，压下脚踏四联动装置床面上升，四个脚轮着地，升起脚踏四联动装置床面下降，四个脚轮升起锁止。</w:t>
            </w:r>
          </w:p>
          <w:p w14:paraId="2A79557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1.14.床体头部、腿部段位活动由气弹簧控制。</w:t>
            </w:r>
          </w:p>
          <w:p w14:paraId="6F6722E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1.15.臀部段位由推杆电机电动控制升降</w:t>
            </w:r>
          </w:p>
          <w:p w14:paraId="1962A30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1.16.推杆电机最大推力为6000</w:t>
            </w:r>
          </w:p>
          <w:p w14:paraId="56433DB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w:t>
            </w:r>
            <w:r>
              <w:rPr>
                <w:rFonts w:hint="eastAsia" w:ascii="宋体" w:hAnsi="宋体" w:cs="宋体"/>
                <w:color w:val="auto"/>
                <w:sz w:val="21"/>
                <w:szCs w:val="21"/>
                <w:highlight w:val="none"/>
                <w:lang w:val="en-US" w:eastAsia="zh-CN"/>
              </w:rPr>
              <w:t>每张</w:t>
            </w:r>
            <w:r>
              <w:rPr>
                <w:rFonts w:hint="eastAsia" w:ascii="宋体" w:hAnsi="宋体" w:eastAsia="宋体" w:cs="宋体"/>
                <w:color w:val="auto"/>
                <w:sz w:val="21"/>
                <w:szCs w:val="21"/>
                <w:highlight w:val="none"/>
                <w:lang w:val="en-US" w:eastAsia="zh-CN"/>
              </w:rPr>
              <w:t>配置要求：</w:t>
            </w:r>
          </w:p>
          <w:p w14:paraId="7DDB3A1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1.主机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台</w:t>
            </w:r>
          </w:p>
          <w:p w14:paraId="5CB1993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2.脚轮 </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个</w:t>
            </w:r>
          </w:p>
          <w:p w14:paraId="73E65E4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3.熔断器 </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个</w:t>
            </w:r>
          </w:p>
          <w:p w14:paraId="498DF3D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4.电源线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根</w:t>
            </w:r>
          </w:p>
          <w:p w14:paraId="36F9B34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5.使用说明书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份</w:t>
            </w:r>
          </w:p>
          <w:p w14:paraId="2029F71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6.合格证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份</w:t>
            </w:r>
          </w:p>
          <w:p w14:paraId="075748B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7.保修卡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份</w:t>
            </w:r>
          </w:p>
          <w:p w14:paraId="0BECEFD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8.装箱单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份</w:t>
            </w:r>
          </w:p>
          <w:p w14:paraId="4D79ECE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9.产品培训验收报告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份</w:t>
            </w:r>
          </w:p>
        </w:tc>
        <w:tc>
          <w:tcPr>
            <w:tcW w:w="1100" w:type="dxa"/>
            <w:tcBorders>
              <w:left w:val="single" w:color="auto" w:sz="4" w:space="0"/>
            </w:tcBorders>
            <w:shd w:val="clear" w:color="auto" w:fill="auto"/>
            <w:vAlign w:val="center"/>
          </w:tcPr>
          <w:p w14:paraId="5B4BBAA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w:t>
            </w:r>
          </w:p>
        </w:tc>
      </w:tr>
      <w:tr w14:paraId="3E26A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3870F962">
            <w:pPr>
              <w:numPr>
                <w:ilvl w:val="0"/>
                <w:numId w:val="13"/>
              </w:numPr>
              <w:snapToGrid w:val="0"/>
              <w:spacing w:line="360" w:lineRule="auto"/>
              <w:jc w:val="center"/>
              <w:rPr>
                <w:rFonts w:hint="eastAsia" w:ascii="宋体" w:hAnsi="宋体" w:eastAsia="宋体" w:cs="宋体"/>
                <w:color w:val="auto"/>
                <w:sz w:val="21"/>
                <w:szCs w:val="21"/>
                <w:highlight w:val="none"/>
              </w:rPr>
            </w:pPr>
          </w:p>
        </w:tc>
        <w:tc>
          <w:tcPr>
            <w:tcW w:w="850" w:type="dxa"/>
            <w:shd w:val="clear" w:color="auto" w:fill="auto"/>
            <w:vAlign w:val="center"/>
          </w:tcPr>
          <w:p w14:paraId="5D2806BF">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空气消毒机（空气消毒器）</w:t>
            </w:r>
          </w:p>
        </w:tc>
        <w:tc>
          <w:tcPr>
            <w:tcW w:w="500" w:type="dxa"/>
            <w:tcBorders>
              <w:right w:val="single" w:color="auto" w:sz="4" w:space="0"/>
            </w:tcBorders>
            <w:shd w:val="clear" w:color="auto" w:fill="auto"/>
            <w:vAlign w:val="center"/>
          </w:tcPr>
          <w:p w14:paraId="072AB37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gridSpan w:val="2"/>
            <w:tcBorders>
              <w:left w:val="single" w:color="auto" w:sz="4" w:space="0"/>
              <w:right w:val="single" w:color="auto" w:sz="4" w:space="0"/>
            </w:tcBorders>
            <w:vAlign w:val="center"/>
          </w:tcPr>
          <w:p w14:paraId="1FDD0F0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台</w:t>
            </w:r>
          </w:p>
        </w:tc>
        <w:tc>
          <w:tcPr>
            <w:tcW w:w="5721" w:type="dxa"/>
            <w:tcBorders>
              <w:left w:val="single" w:color="auto" w:sz="4" w:space="0"/>
              <w:right w:val="single" w:color="auto" w:sz="4" w:space="0"/>
            </w:tcBorders>
            <w:vAlign w:val="center"/>
          </w:tcPr>
          <w:p w14:paraId="0DC13A6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5EDDAC5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1.技术参数：</w:t>
            </w:r>
          </w:p>
          <w:p w14:paraId="4970D27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1.1.应用场所：用于医院</w:t>
            </w:r>
            <w:r>
              <w:rPr>
                <w:rFonts w:hint="eastAsia" w:ascii="宋体" w:hAnsi="宋体" w:cs="宋体"/>
                <w:color w:val="auto"/>
                <w:sz w:val="21"/>
                <w:szCs w:val="21"/>
                <w:highlight w:val="none"/>
                <w:lang w:val="en-US" w:eastAsia="zh-CN"/>
              </w:rPr>
              <w:t>Ⅱ</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Ⅲ类</w:t>
            </w:r>
            <w:r>
              <w:rPr>
                <w:rFonts w:hint="eastAsia" w:ascii="宋体" w:hAnsi="宋体" w:eastAsia="宋体" w:cs="宋体"/>
                <w:color w:val="auto"/>
                <w:sz w:val="21"/>
                <w:szCs w:val="21"/>
                <w:highlight w:val="none"/>
                <w:lang w:val="en-US" w:eastAsia="zh-CN"/>
              </w:rPr>
              <w:t>环境，如诊疗室、病房、办公室、普通手术室等。</w:t>
            </w:r>
          </w:p>
          <w:p w14:paraId="2DE1EBB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1.2.默认消毒方式：等离子体消毒方式</w:t>
            </w:r>
          </w:p>
          <w:p w14:paraId="10E64D4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1.3.循环风量（m³/h）≥1000</w:t>
            </w:r>
          </w:p>
          <w:p w14:paraId="59DDCB5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1.4.适用范围（m³）≤125</w:t>
            </w:r>
          </w:p>
          <w:p w14:paraId="286D9D1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1.5.消毒效果：模拟现场试验，白色葡萄球菌杀灭率≥99%；现场试验，空气中自然菌的杀灭率≥90%</w:t>
            </w:r>
          </w:p>
          <w:p w14:paraId="1C068AA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1.6.人机共存：动态消毒机，可在人机共存的环境中使用，且无二次污染。</w:t>
            </w:r>
          </w:p>
          <w:p w14:paraId="6F8FCA4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1.7.温湿度监测：通过温湿度传感器可以监测设备周围的摄氏温度和相对湿度情况。</w:t>
            </w:r>
          </w:p>
          <w:p w14:paraId="40FD081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1.8.多挡风速可调，共三个</w:t>
            </w:r>
            <w:r>
              <w:rPr>
                <w:rFonts w:hint="eastAsia" w:ascii="宋体" w:hAnsi="宋体" w:cs="宋体"/>
                <w:color w:val="auto"/>
                <w:sz w:val="21"/>
                <w:szCs w:val="21"/>
                <w:highlight w:val="none"/>
                <w:lang w:val="en-US" w:eastAsia="zh-CN"/>
              </w:rPr>
              <w:t>档位</w:t>
            </w:r>
            <w:r>
              <w:rPr>
                <w:rFonts w:hint="eastAsia" w:ascii="宋体" w:hAnsi="宋体" w:eastAsia="宋体" w:cs="宋体"/>
                <w:color w:val="auto"/>
                <w:sz w:val="21"/>
                <w:szCs w:val="21"/>
                <w:highlight w:val="none"/>
                <w:lang w:val="en-US" w:eastAsia="zh-CN"/>
              </w:rPr>
              <w:t>，可随意调节</w:t>
            </w:r>
          </w:p>
          <w:p w14:paraId="167043F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1.9.智能提示功能：具备故障报警、滤网过期提示功能。</w:t>
            </w:r>
          </w:p>
          <w:p w14:paraId="212D56D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1.10.材质：整体模具成型。</w:t>
            </w:r>
          </w:p>
          <w:p w14:paraId="2CB39B5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1.11.安装方式：壁挂式设计。</w:t>
            </w:r>
          </w:p>
          <w:p w14:paraId="4B72F20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1.12.噪声dB（A）≤55</w:t>
            </w:r>
          </w:p>
          <w:p w14:paraId="09E490A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1.13.多种工作模式</w:t>
            </w:r>
          </w:p>
          <w:p w14:paraId="1EC9584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1.13.1.自动模式：根据空气质量和尘埃粒子传感器检测的数据，判断空气净化消毒器是否运行</w:t>
            </w:r>
            <w:r>
              <w:rPr>
                <w:rFonts w:hint="eastAsia" w:ascii="宋体" w:hAnsi="宋体" w:cs="宋体"/>
                <w:color w:val="auto"/>
                <w:sz w:val="21"/>
                <w:szCs w:val="21"/>
                <w:highlight w:val="none"/>
                <w:lang w:val="en-US" w:eastAsia="zh-CN"/>
              </w:rPr>
              <w:t>。</w:t>
            </w:r>
          </w:p>
          <w:p w14:paraId="05902E7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1.13.2.手动模式：在该模式下用户可以随时启停空气净化消毒，消毒时间可以在消毒过程中更改，最长运行8小时，最短运行0.5小时</w:t>
            </w:r>
            <w:r>
              <w:rPr>
                <w:rFonts w:hint="eastAsia" w:ascii="宋体" w:hAnsi="宋体" w:cs="宋体"/>
                <w:color w:val="auto"/>
                <w:sz w:val="21"/>
                <w:szCs w:val="21"/>
                <w:highlight w:val="none"/>
                <w:lang w:val="en-US" w:eastAsia="zh-CN"/>
              </w:rPr>
              <w:t>。</w:t>
            </w:r>
          </w:p>
          <w:p w14:paraId="30AE988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1.13.3.定时模式：根据用户所设定的时间来启停净化消毒，可以设置多达5组定时时间。</w:t>
            </w:r>
          </w:p>
          <w:p w14:paraId="3F8B3C3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1.14.操作方式：遥控器远程操控，操作灵敏，内容显示清晰、明亮，外观新颖美观。</w:t>
            </w:r>
          </w:p>
          <w:p w14:paraId="67588EC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1.15.传感器：</w:t>
            </w:r>
            <w:r>
              <w:rPr>
                <w:rFonts w:hint="eastAsia" w:ascii="宋体" w:hAnsi="宋体" w:cs="宋体"/>
                <w:color w:val="auto"/>
                <w:sz w:val="21"/>
                <w:szCs w:val="21"/>
                <w:highlight w:val="none"/>
                <w:lang w:val="en-US" w:eastAsia="zh-CN"/>
              </w:rPr>
              <w:t>具备</w:t>
            </w:r>
            <w:r>
              <w:rPr>
                <w:rFonts w:hint="eastAsia" w:ascii="宋体" w:hAnsi="宋体" w:eastAsia="宋体" w:cs="宋体"/>
                <w:color w:val="auto"/>
                <w:sz w:val="21"/>
                <w:szCs w:val="21"/>
                <w:highlight w:val="none"/>
                <w:lang w:val="en-US" w:eastAsia="zh-CN"/>
              </w:rPr>
              <w:t>空气质量传感器、尘埃粒子传感器等，可实时自动检测室内环境状况，自动运行。</w:t>
            </w:r>
          </w:p>
          <w:p w14:paraId="0AA4299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1.16.环境检测：</w:t>
            </w:r>
            <w:r>
              <w:rPr>
                <w:rFonts w:hint="eastAsia" w:ascii="宋体" w:hAnsi="宋体" w:cs="宋体"/>
                <w:color w:val="auto"/>
                <w:sz w:val="21"/>
                <w:szCs w:val="21"/>
                <w:highlight w:val="none"/>
                <w:lang w:val="en-US" w:eastAsia="zh-CN"/>
              </w:rPr>
              <w:t>支持</w:t>
            </w:r>
            <w:r>
              <w:rPr>
                <w:rFonts w:hint="eastAsia" w:ascii="宋体" w:hAnsi="宋体" w:eastAsia="宋体" w:cs="宋体"/>
                <w:color w:val="auto"/>
                <w:sz w:val="21"/>
                <w:szCs w:val="21"/>
                <w:highlight w:val="none"/>
                <w:lang w:val="en-US" w:eastAsia="zh-CN"/>
              </w:rPr>
              <w:t>对空气质量、尘埃粒子进行检测，能对室内空气质量进行自动评级</w:t>
            </w:r>
            <w:r>
              <w:rPr>
                <w:rFonts w:hint="eastAsia" w:ascii="宋体" w:hAnsi="宋体" w:cs="宋体"/>
                <w:color w:val="auto"/>
                <w:sz w:val="21"/>
                <w:szCs w:val="21"/>
                <w:highlight w:val="none"/>
                <w:lang w:val="en-US" w:eastAsia="zh-CN"/>
              </w:rPr>
              <w:t>。</w:t>
            </w:r>
          </w:p>
          <w:p w14:paraId="4C835F9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1.17.报警提示：具有滤网过期、风机故障等提示报警</w:t>
            </w:r>
            <w:r>
              <w:rPr>
                <w:rFonts w:hint="eastAsia" w:ascii="宋体" w:hAnsi="宋体" w:cs="宋体"/>
                <w:color w:val="auto"/>
                <w:sz w:val="21"/>
                <w:szCs w:val="21"/>
                <w:highlight w:val="none"/>
                <w:lang w:val="en-US" w:eastAsia="zh-CN"/>
              </w:rPr>
              <w:t>。</w:t>
            </w:r>
          </w:p>
          <w:p w14:paraId="036BC3B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1.18.显示方式：液晶屏显示。</w:t>
            </w:r>
          </w:p>
          <w:p w14:paraId="2FFF0FB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1.19.等离子密度分布</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1.22</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vertAlign w:val="superscript"/>
                <w:lang w:val="en-US" w:eastAsia="zh-CN"/>
              </w:rPr>
              <w:t>18</w:t>
            </w:r>
            <w:r>
              <w:rPr>
                <w:rFonts w:hint="eastAsia" w:ascii="宋体" w:hAnsi="宋体" w:eastAsia="宋体" w:cs="宋体"/>
                <w:color w:val="auto"/>
                <w:sz w:val="21"/>
                <w:szCs w:val="21"/>
                <w:highlight w:val="none"/>
                <w:lang w:val="en-US" w:eastAsia="zh-CN"/>
              </w:rPr>
              <w:t>～5.07</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vertAlign w:val="superscript"/>
                <w:lang w:val="en-US" w:eastAsia="zh-CN"/>
              </w:rPr>
              <w:t>18</w:t>
            </w:r>
            <w:r>
              <w:rPr>
                <w:rFonts w:hint="eastAsia" w:ascii="宋体" w:hAnsi="宋体" w:eastAsia="宋体" w:cs="宋体"/>
                <w:color w:val="auto"/>
                <w:sz w:val="21"/>
                <w:szCs w:val="21"/>
                <w:highlight w:val="none"/>
                <w:lang w:val="en-US" w:eastAsia="zh-CN"/>
              </w:rPr>
              <w:t>m³。</w:t>
            </w:r>
          </w:p>
          <w:p w14:paraId="198FD02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.电源要求</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AC220V50Hz</w:t>
            </w:r>
          </w:p>
          <w:p w14:paraId="79F9669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lang w:val="en-US" w:eastAsia="zh-CN"/>
              </w:rPr>
              <w:t>.额定功率（W）≤50</w:t>
            </w:r>
          </w:p>
          <w:p w14:paraId="3C7EA88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.净重（</w:t>
            </w:r>
            <w:r>
              <w:rPr>
                <w:rFonts w:hint="eastAsia" w:ascii="宋体" w:hAnsi="宋体" w:cs="宋体"/>
                <w:color w:val="auto"/>
                <w:sz w:val="21"/>
                <w:szCs w:val="21"/>
                <w:highlight w:val="none"/>
                <w:lang w:val="en-US" w:eastAsia="zh-CN"/>
              </w:rPr>
              <w:t>kg</w:t>
            </w:r>
            <w:r>
              <w:rPr>
                <w:rFonts w:hint="eastAsia" w:ascii="宋体" w:hAnsi="宋体" w:eastAsia="宋体" w:cs="宋体"/>
                <w:color w:val="auto"/>
                <w:sz w:val="21"/>
                <w:szCs w:val="21"/>
                <w:highlight w:val="none"/>
                <w:lang w:val="en-US" w:eastAsia="zh-CN"/>
              </w:rPr>
              <w:t>）≤16</w:t>
            </w:r>
          </w:p>
          <w:p w14:paraId="42A05AE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二、配置要求：</w:t>
            </w:r>
          </w:p>
          <w:p w14:paraId="61C9362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1.空气消毒器1台</w:t>
            </w:r>
          </w:p>
          <w:p w14:paraId="0A28B36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2.遥控器1部</w:t>
            </w:r>
          </w:p>
          <w:p w14:paraId="107D252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3.电源线1根</w:t>
            </w:r>
          </w:p>
          <w:p w14:paraId="49BAE0F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4.熔断器1个</w:t>
            </w:r>
          </w:p>
          <w:p w14:paraId="4D9EF5A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5.安装板1个</w:t>
            </w:r>
          </w:p>
          <w:p w14:paraId="591F014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6.膨胀螺钉（M6×100）8个</w:t>
            </w:r>
          </w:p>
          <w:p w14:paraId="0DD155A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7.胀塞8个</w:t>
            </w:r>
          </w:p>
          <w:p w14:paraId="658C87A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8.说明书1本</w:t>
            </w:r>
          </w:p>
          <w:p w14:paraId="723A692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9.合格证1份</w:t>
            </w:r>
          </w:p>
          <w:p w14:paraId="3A9FC62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10.保修卡1份</w:t>
            </w:r>
          </w:p>
          <w:p w14:paraId="7BDC4E7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11.装箱单1份</w:t>
            </w:r>
          </w:p>
          <w:p w14:paraId="6C9DD81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12.验收单2份</w:t>
            </w:r>
          </w:p>
          <w:p w14:paraId="3C1C99E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13.设备反馈单1份</w:t>
            </w:r>
          </w:p>
          <w:p w14:paraId="0071F90C">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w:t>
            </w:r>
            <w:r>
              <w:rPr>
                <w:rFonts w:hint="eastAsia" w:ascii="宋体" w:hAnsi="宋体" w:eastAsia="宋体" w:cs="宋体"/>
                <w:b/>
                <w:bCs/>
                <w:color w:val="auto"/>
                <w:sz w:val="21"/>
                <w:szCs w:val="21"/>
                <w:highlight w:val="none"/>
                <w:lang w:val="en-US" w:eastAsia="zh-CN"/>
                <w14:ligatures w14:val="none"/>
              </w:rPr>
              <w:t>产品符合相关医疗卫生标准和规范，需要在投标文件中提供①生产企业卫生许可证扫描件（ 生产项目：消毒器械类）②产品卫生安全评价报告或者新消毒产品卫生许可批件</w:t>
            </w:r>
            <w:r>
              <w:rPr>
                <w:rFonts w:hint="eastAsia" w:ascii="宋体" w:hAnsi="宋体" w:cs="宋体"/>
                <w:b/>
                <w:bCs/>
                <w:color w:val="auto"/>
                <w:sz w:val="21"/>
                <w:szCs w:val="21"/>
                <w:highlight w:val="none"/>
                <w:lang w:val="en-US" w:eastAsia="zh-CN"/>
                <w14:ligatures w14:val="none"/>
              </w:rPr>
              <w:t>扫描件</w:t>
            </w:r>
            <w:r>
              <w:rPr>
                <w:rFonts w:hint="eastAsia" w:ascii="宋体" w:hAnsi="宋体" w:eastAsia="宋体" w:cs="宋体"/>
                <w:b/>
                <w:bCs/>
                <w:color w:val="auto"/>
                <w:sz w:val="21"/>
                <w:szCs w:val="21"/>
                <w:highlight w:val="none"/>
                <w:lang w:val="en-US" w:eastAsia="zh-CN"/>
                <w14:ligatures w14:val="none"/>
              </w:rPr>
              <w:t>， 以上有效证件的扫描件须加盖原件持有者的印章。</w:t>
            </w:r>
          </w:p>
        </w:tc>
        <w:tc>
          <w:tcPr>
            <w:tcW w:w="1100" w:type="dxa"/>
            <w:tcBorders>
              <w:left w:val="single" w:color="auto" w:sz="4" w:space="0"/>
            </w:tcBorders>
            <w:shd w:val="clear" w:color="auto" w:fill="auto"/>
            <w:vAlign w:val="center"/>
          </w:tcPr>
          <w:p w14:paraId="5B99903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0.55</w:t>
            </w:r>
          </w:p>
        </w:tc>
      </w:tr>
      <w:tr w14:paraId="5A13E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2F0DFA4E">
            <w:pPr>
              <w:numPr>
                <w:ilvl w:val="0"/>
                <w:numId w:val="13"/>
              </w:numPr>
              <w:snapToGrid w:val="0"/>
              <w:spacing w:line="360" w:lineRule="auto"/>
              <w:jc w:val="center"/>
              <w:rPr>
                <w:rFonts w:hint="eastAsia" w:ascii="宋体" w:hAnsi="宋体" w:eastAsia="宋体" w:cs="宋体"/>
                <w:color w:val="auto"/>
                <w:sz w:val="21"/>
                <w:szCs w:val="21"/>
                <w:highlight w:val="none"/>
              </w:rPr>
            </w:pPr>
          </w:p>
        </w:tc>
        <w:tc>
          <w:tcPr>
            <w:tcW w:w="850" w:type="dxa"/>
            <w:tcBorders>
              <w:bottom w:val="single" w:color="auto" w:sz="4" w:space="0"/>
            </w:tcBorders>
            <w:shd w:val="clear" w:color="auto" w:fill="auto"/>
            <w:vAlign w:val="center"/>
          </w:tcPr>
          <w:p w14:paraId="75BB9B37">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输液泵</w:t>
            </w:r>
          </w:p>
        </w:tc>
        <w:tc>
          <w:tcPr>
            <w:tcW w:w="500" w:type="dxa"/>
            <w:tcBorders>
              <w:right w:val="single" w:color="auto" w:sz="4" w:space="0"/>
            </w:tcBorders>
            <w:shd w:val="clear" w:color="auto" w:fill="auto"/>
            <w:vAlign w:val="center"/>
          </w:tcPr>
          <w:p w14:paraId="7D5B81E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w:t>
            </w:r>
          </w:p>
        </w:tc>
        <w:tc>
          <w:tcPr>
            <w:tcW w:w="514" w:type="dxa"/>
            <w:gridSpan w:val="2"/>
            <w:tcBorders>
              <w:left w:val="single" w:color="auto" w:sz="4" w:space="0"/>
              <w:right w:val="single" w:color="auto" w:sz="4" w:space="0"/>
            </w:tcBorders>
            <w:vAlign w:val="center"/>
          </w:tcPr>
          <w:p w14:paraId="1E35234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台</w:t>
            </w:r>
          </w:p>
        </w:tc>
        <w:tc>
          <w:tcPr>
            <w:tcW w:w="5721" w:type="dxa"/>
            <w:tcBorders>
              <w:left w:val="single" w:color="auto" w:sz="4" w:space="0"/>
              <w:right w:val="single" w:color="auto" w:sz="4" w:space="0"/>
            </w:tcBorders>
            <w:vAlign w:val="center"/>
          </w:tcPr>
          <w:p w14:paraId="2314505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601CBFF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1.技术参数：</w:t>
            </w:r>
          </w:p>
          <w:p w14:paraId="54879B4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▲1.1.显示：4.2寸大屏幕高清晰彩色LCD液晶显示，数值显示有小数位防错设计。</w:t>
            </w:r>
          </w:p>
          <w:p w14:paraId="51B2980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1.2.屏幕显示内容：输液状态、无线图标、电源及静音指示图标、阻塞等级、实时压力显示、输液器品牌、报警显示、输液速度、预置量、输液累计量、剩余时间等。</w:t>
            </w:r>
          </w:p>
          <w:p w14:paraId="251A65C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▲1.3.输液器规格：输液器档位1-6档可选。</w:t>
            </w:r>
          </w:p>
          <w:p w14:paraId="58F3EA0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1.4.输液速度：流速范围：1ml/h～1100ml/h，可按1ml/h递增或递减。</w:t>
            </w:r>
          </w:p>
          <w:p w14:paraId="49723B3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1.5.流速误差：±5%（普通输液器），</w:t>
            </w:r>
            <w:r>
              <w:rPr>
                <w:rFonts w:hint="eastAsia" w:ascii="宋体" w:hAnsi="宋体" w:cs="宋体"/>
                <w:color w:val="auto"/>
                <w:sz w:val="21"/>
                <w:szCs w:val="21"/>
                <w:highlight w:val="none"/>
                <w:lang w:val="en-US" w:eastAsia="zh-CN"/>
              </w:rPr>
              <w:t>配置</w:t>
            </w:r>
            <w:r>
              <w:rPr>
                <w:rFonts w:hint="eastAsia" w:ascii="宋体" w:hAnsi="宋体" w:eastAsia="宋体" w:cs="宋体"/>
                <w:color w:val="auto"/>
                <w:sz w:val="21"/>
                <w:szCs w:val="21"/>
                <w:highlight w:val="none"/>
                <w:lang w:val="en-US" w:eastAsia="zh-CN"/>
              </w:rPr>
              <w:t>泵内恒温装置，确保低温环境和使用弹性差的输液器的情况下，输液精度达到±3%。</w:t>
            </w:r>
          </w:p>
          <w:p w14:paraId="20EFC1A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1.6.预置量范围：1ml~9999ml，以1ml递增或递减。</w:t>
            </w:r>
          </w:p>
          <w:p w14:paraId="21B985B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1.7.输液量误差：±5%（普通输液器）。</w:t>
            </w:r>
          </w:p>
          <w:p w14:paraId="3C53C7B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1.8.快排快输速度：快排、快输操作过程中输液泵运行速度为700ml/h。</w:t>
            </w:r>
          </w:p>
          <w:p w14:paraId="65A994D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1.9.保持静脉开放（KVO）速度：4ml/h，当输液速度大于KVO速度时，输液完成以KVO速度运行；当输液速度小于KVO速度时，输液完成</w:t>
            </w:r>
            <w:r>
              <w:rPr>
                <w:rFonts w:hint="eastAsia" w:ascii="宋体" w:hAnsi="宋体" w:cs="宋体"/>
                <w:color w:val="auto"/>
                <w:sz w:val="21"/>
                <w:szCs w:val="21"/>
                <w:highlight w:val="none"/>
                <w:lang w:val="en-US" w:eastAsia="zh-CN"/>
              </w:rPr>
              <w:t>时</w:t>
            </w:r>
            <w:r>
              <w:rPr>
                <w:rFonts w:hint="eastAsia" w:ascii="宋体" w:hAnsi="宋体" w:eastAsia="宋体" w:cs="宋体"/>
                <w:color w:val="auto"/>
                <w:sz w:val="21"/>
                <w:szCs w:val="21"/>
                <w:highlight w:val="none"/>
                <w:lang w:val="en-US" w:eastAsia="zh-CN"/>
              </w:rPr>
              <w:t>发出报警，输液速度不变</w:t>
            </w:r>
            <w:r>
              <w:rPr>
                <w:rFonts w:hint="eastAsia" w:ascii="宋体" w:hAnsi="宋体" w:cs="宋体"/>
                <w:color w:val="auto"/>
                <w:sz w:val="21"/>
                <w:szCs w:val="21"/>
                <w:highlight w:val="none"/>
                <w:lang w:val="en-US" w:eastAsia="zh-CN"/>
              </w:rPr>
              <w:t>。</w:t>
            </w:r>
          </w:p>
          <w:p w14:paraId="29FBAF9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1.10.气泡灵敏度：输液器中的气泡大于40μL，用声音文字发光报警提示。</w:t>
            </w:r>
          </w:p>
          <w:p w14:paraId="34C2083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1.11.阻塞灵敏度三档可选：1档0.06MPa～0.1MPa，2档0.1MPa～0.14MPa，三档0.14MPa～0.18MPa。</w:t>
            </w:r>
          </w:p>
          <w:p w14:paraId="347F6BB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1.12.报警功能：气泡报警、阻塞报警、输完报警、开门报警、欠压报警、速度异常报警、遗忘操作报警。</w:t>
            </w:r>
          </w:p>
          <w:p w14:paraId="7A1B417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1.13.报警优先级具有高、中、低三级，高优先级：阻塞报警、气泡报警、开门报警、速度异常报警、电池耗尽报警；中级报警：输液完成；低级报警：欠压报警、遗忘操作报警。</w:t>
            </w:r>
          </w:p>
          <w:p w14:paraId="74D8212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1.14.其他功能：</w:t>
            </w:r>
          </w:p>
          <w:p w14:paraId="04D51E4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1.14.1.具有输液累计量显示和累计量清零功能；</w:t>
            </w:r>
          </w:p>
          <w:p w14:paraId="03406BB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1.14.2.具有交流电停止自动切换机内电池，给电池充电功能；</w:t>
            </w:r>
          </w:p>
          <w:p w14:paraId="726F522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1.14.3.具有快排、快输功能：停止状态下双击快排键为快排功能，用于排除管路中的气泡；启动状态下双击快排键为快输功能，用于对患者的快速输液；</w:t>
            </w:r>
          </w:p>
          <w:p w14:paraId="03C6102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▲1.14.4.具有“滴数/分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毫升/小时”与“时间-预置量”三种输液速度设置方式；</w:t>
            </w:r>
          </w:p>
          <w:p w14:paraId="4C22F4A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1.14.5.具有报警声消除功能，即静音功能。部分报警音在消除2分钟内再次启动；</w:t>
            </w:r>
          </w:p>
          <w:p w14:paraId="7E9D45E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1.14.6.具有开机自检功能：输液泵上电后，系统进行自检；</w:t>
            </w:r>
          </w:p>
          <w:p w14:paraId="2676C59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1.14.7.具有记忆功能：输液泵可对关机前最后一次正确输液参数进行记录，并可保留8年以上；</w:t>
            </w:r>
          </w:p>
          <w:p w14:paraId="594DCB6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▲1.14.8.动态压力指示功能：在输液过程中可以动态实时显示当前压力值的变化。</w:t>
            </w:r>
          </w:p>
          <w:p w14:paraId="2B9B66A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1.15.安全分类：</w:t>
            </w:r>
            <w:r>
              <w:rPr>
                <w:rFonts w:hint="eastAsia" w:ascii="宋体" w:hAnsi="宋体" w:cs="宋体"/>
                <w:color w:val="auto"/>
                <w:sz w:val="21"/>
                <w:szCs w:val="21"/>
                <w:highlight w:val="none"/>
                <w:lang w:val="en-US" w:eastAsia="zh-CN"/>
              </w:rPr>
              <w:t>不低于</w:t>
            </w:r>
            <w:r>
              <w:rPr>
                <w:rFonts w:hint="eastAsia" w:ascii="宋体" w:hAnsi="宋体" w:eastAsia="宋体" w:cs="宋体"/>
                <w:color w:val="auto"/>
                <w:sz w:val="21"/>
                <w:szCs w:val="21"/>
                <w:highlight w:val="none"/>
                <w:lang w:val="en-US" w:eastAsia="zh-CN"/>
              </w:rPr>
              <w:t>Ⅱ类、带内部电源的BF型普通设备，防水等级：</w:t>
            </w:r>
            <w:r>
              <w:rPr>
                <w:rFonts w:hint="eastAsia" w:ascii="宋体" w:hAnsi="宋体" w:cs="宋体"/>
                <w:color w:val="auto"/>
                <w:sz w:val="21"/>
                <w:szCs w:val="21"/>
                <w:highlight w:val="none"/>
                <w:lang w:val="en-US" w:eastAsia="zh-CN"/>
              </w:rPr>
              <w:t>不低于</w:t>
            </w:r>
            <w:r>
              <w:rPr>
                <w:rFonts w:hint="eastAsia" w:ascii="宋体" w:hAnsi="宋体" w:eastAsia="宋体" w:cs="宋体"/>
                <w:color w:val="auto"/>
                <w:sz w:val="21"/>
                <w:szCs w:val="21"/>
                <w:highlight w:val="none"/>
                <w:lang w:val="en-US" w:eastAsia="zh-CN"/>
              </w:rPr>
              <w:t>IPX3。</w:t>
            </w:r>
          </w:p>
          <w:p w14:paraId="503D5F7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1.16.工作条件：环境温度：5℃～40℃、相对湿度：10%～90%、大气压力：860hpa-1060hpa。</w:t>
            </w:r>
          </w:p>
          <w:p w14:paraId="43FF0DC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1.17.贮运条件：储存温度：-20℃～+55℃、相对湿度：10%～90%、大气压力：500hPa～1060hPa。</w:t>
            </w:r>
          </w:p>
          <w:p w14:paraId="6F9FD44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1.18.使用电源：交流输入：220V～50Hz，内部电池：11.1V2000mAh。</w:t>
            </w:r>
          </w:p>
          <w:p w14:paraId="184F857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1.19.内部电池工作时间：充电完成后，在25ml/h流速下连续工作不小于3小时。</w:t>
            </w:r>
          </w:p>
          <w:p w14:paraId="591FFB1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1.20.外形尺寸(±</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mm)：174(长)×126（宽）×215（高）。</w:t>
            </w:r>
          </w:p>
          <w:p w14:paraId="3900A78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1.21.重量：净重约1.7kg。</w:t>
            </w:r>
          </w:p>
          <w:p w14:paraId="75E3B93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1.22.设备输入功率：28VA。</w:t>
            </w:r>
          </w:p>
          <w:p w14:paraId="1BB4668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w:t>
            </w:r>
            <w:r>
              <w:rPr>
                <w:rFonts w:hint="eastAsia" w:ascii="宋体" w:hAnsi="宋体" w:cs="宋体"/>
                <w:color w:val="auto"/>
                <w:sz w:val="21"/>
                <w:szCs w:val="21"/>
                <w:highlight w:val="none"/>
                <w:lang w:val="en-US" w:eastAsia="zh-CN"/>
              </w:rPr>
              <w:t>每台</w:t>
            </w:r>
            <w:r>
              <w:rPr>
                <w:rFonts w:hint="eastAsia" w:ascii="宋体" w:hAnsi="宋体" w:eastAsia="宋体" w:cs="宋体"/>
                <w:color w:val="auto"/>
                <w:sz w:val="21"/>
                <w:szCs w:val="21"/>
                <w:highlight w:val="none"/>
                <w:lang w:val="en-US" w:eastAsia="zh-CN"/>
              </w:rPr>
              <w:t>配置要求：</w:t>
            </w:r>
          </w:p>
          <w:p w14:paraId="571E399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1.输液泵1台</w:t>
            </w:r>
          </w:p>
          <w:p w14:paraId="1AC0C52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2.电源线1条</w:t>
            </w:r>
          </w:p>
          <w:p w14:paraId="1A7B02F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3.保修卡1份</w:t>
            </w:r>
          </w:p>
          <w:p w14:paraId="5AC3FE3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4.合格证1份</w:t>
            </w:r>
          </w:p>
          <w:p w14:paraId="3C23AD9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5.装箱清单1份</w:t>
            </w:r>
          </w:p>
          <w:p w14:paraId="6A8FE35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6.使用说明书1份</w:t>
            </w:r>
          </w:p>
          <w:p w14:paraId="2D6FBE1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7.操作指示卡1份</w:t>
            </w:r>
          </w:p>
        </w:tc>
        <w:tc>
          <w:tcPr>
            <w:tcW w:w="1100" w:type="dxa"/>
            <w:tcBorders>
              <w:left w:val="single" w:color="auto" w:sz="4" w:space="0"/>
            </w:tcBorders>
            <w:shd w:val="clear" w:color="auto" w:fill="auto"/>
            <w:vAlign w:val="center"/>
          </w:tcPr>
          <w:p w14:paraId="263EB21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0.56</w:t>
            </w:r>
          </w:p>
        </w:tc>
      </w:tr>
      <w:tr w14:paraId="307DD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39172735">
            <w:pPr>
              <w:numPr>
                <w:ilvl w:val="0"/>
                <w:numId w:val="13"/>
              </w:numPr>
              <w:snapToGrid w:val="0"/>
              <w:spacing w:line="360" w:lineRule="auto"/>
              <w:jc w:val="center"/>
              <w:rPr>
                <w:rFonts w:hint="eastAsia" w:ascii="宋体" w:hAnsi="宋体" w:eastAsia="宋体" w:cs="宋体"/>
                <w:color w:val="auto"/>
                <w:sz w:val="21"/>
                <w:szCs w:val="21"/>
                <w:highlight w:val="none"/>
              </w:rPr>
            </w:pPr>
          </w:p>
        </w:tc>
        <w:tc>
          <w:tcPr>
            <w:tcW w:w="850" w:type="dxa"/>
            <w:tcBorders>
              <w:top w:val="single" w:color="auto" w:sz="4" w:space="0"/>
            </w:tcBorders>
            <w:shd w:val="clear" w:color="auto" w:fill="auto"/>
            <w:vAlign w:val="center"/>
          </w:tcPr>
          <w:p w14:paraId="6F5973D1">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微量注射泵（单泵）</w:t>
            </w:r>
          </w:p>
        </w:tc>
        <w:tc>
          <w:tcPr>
            <w:tcW w:w="500" w:type="dxa"/>
            <w:tcBorders>
              <w:right w:val="single" w:color="auto" w:sz="4" w:space="0"/>
            </w:tcBorders>
            <w:shd w:val="clear" w:color="auto" w:fill="auto"/>
            <w:vAlign w:val="center"/>
          </w:tcPr>
          <w:p w14:paraId="22AA4DB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w:t>
            </w:r>
          </w:p>
        </w:tc>
        <w:tc>
          <w:tcPr>
            <w:tcW w:w="514" w:type="dxa"/>
            <w:gridSpan w:val="2"/>
            <w:tcBorders>
              <w:left w:val="single" w:color="auto" w:sz="4" w:space="0"/>
              <w:right w:val="single" w:color="auto" w:sz="4" w:space="0"/>
            </w:tcBorders>
            <w:vAlign w:val="center"/>
          </w:tcPr>
          <w:p w14:paraId="2DA47217">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台</w:t>
            </w:r>
          </w:p>
        </w:tc>
        <w:tc>
          <w:tcPr>
            <w:tcW w:w="5721" w:type="dxa"/>
            <w:tcBorders>
              <w:left w:val="single" w:color="auto" w:sz="4" w:space="0"/>
              <w:right w:val="single" w:color="auto" w:sz="4" w:space="0"/>
            </w:tcBorders>
            <w:vAlign w:val="center"/>
          </w:tcPr>
          <w:p w14:paraId="31733CC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227631F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1.技术参数：</w:t>
            </w:r>
          </w:p>
          <w:p w14:paraId="2808FA3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1.1.注射器规格：可自动识别5mL、10mL、20mL、30mL、50mL的注射器。</w:t>
            </w:r>
          </w:p>
          <w:p w14:paraId="5DE1407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▲1.2.内置</w:t>
            </w:r>
            <w:r>
              <w:rPr>
                <w:rFonts w:hint="eastAsia" w:ascii="宋体" w:hAnsi="宋体" w:cs="宋体"/>
                <w:color w:val="auto"/>
                <w:sz w:val="21"/>
                <w:szCs w:val="21"/>
                <w:highlight w:val="none"/>
                <w:lang w:val="en-US" w:eastAsia="zh-CN"/>
              </w:rPr>
              <w:t>至少</w:t>
            </w:r>
            <w:r>
              <w:rPr>
                <w:rFonts w:hint="eastAsia" w:ascii="宋体" w:hAnsi="宋体" w:eastAsia="宋体" w:cs="宋体"/>
                <w:color w:val="auto"/>
                <w:sz w:val="21"/>
                <w:szCs w:val="21"/>
                <w:highlight w:val="none"/>
                <w:lang w:val="en-US" w:eastAsia="zh-CN"/>
              </w:rPr>
              <w:t>29种注射器品牌，</w:t>
            </w:r>
            <w:r>
              <w:rPr>
                <w:rFonts w:hint="eastAsia" w:ascii="宋体" w:hAnsi="宋体" w:cs="宋体"/>
                <w:color w:val="auto"/>
                <w:sz w:val="21"/>
                <w:szCs w:val="21"/>
                <w:highlight w:val="none"/>
                <w:lang w:val="en-US" w:eastAsia="zh-CN"/>
              </w:rPr>
              <w:t>支持</w:t>
            </w:r>
            <w:r>
              <w:rPr>
                <w:rFonts w:hint="eastAsia" w:ascii="宋体" w:hAnsi="宋体" w:eastAsia="宋体" w:cs="宋体"/>
                <w:color w:val="auto"/>
                <w:sz w:val="21"/>
                <w:szCs w:val="21"/>
                <w:highlight w:val="none"/>
                <w:lang w:val="en-US" w:eastAsia="zh-CN"/>
              </w:rPr>
              <w:t>自定义。</w:t>
            </w:r>
          </w:p>
          <w:p w14:paraId="4AF0BF0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▲1.3.流速范围：</w:t>
            </w:r>
          </w:p>
          <w:p w14:paraId="2CA76BA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5ml注射器：0.1mL/h～100mL/h</w:t>
            </w:r>
            <w:r>
              <w:rPr>
                <w:rFonts w:hint="eastAsia" w:ascii="宋体" w:hAnsi="宋体" w:cs="宋体"/>
                <w:color w:val="auto"/>
                <w:sz w:val="21"/>
                <w:szCs w:val="21"/>
                <w:highlight w:val="none"/>
                <w:lang w:val="en-US" w:eastAsia="zh-CN"/>
              </w:rPr>
              <w:t>；</w:t>
            </w:r>
          </w:p>
          <w:p w14:paraId="071E665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10mL注射器：0.1mL/h～300mL/h；</w:t>
            </w:r>
          </w:p>
          <w:p w14:paraId="43EB1AE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20mL注射器：0.1mL/h～600mL/h；</w:t>
            </w:r>
          </w:p>
          <w:p w14:paraId="0300AF8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30mL注射器：0.1mL/h～900mL/h；</w:t>
            </w:r>
          </w:p>
          <w:p w14:paraId="7086EF1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50mL注射器：0.1mL/h～1300mL/h，</w:t>
            </w:r>
          </w:p>
          <w:p w14:paraId="43BFCF5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可按0.1mL/h递增或递减</w:t>
            </w:r>
          </w:p>
          <w:p w14:paraId="7E98B7F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1.4.流速误差：±2%。</w:t>
            </w:r>
          </w:p>
          <w:p w14:paraId="0ED64ED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1.5.预置量范围：0ml～9999ml，＜1000ml以0.1ml步进，＞1000ml以1ml步进。</w:t>
            </w:r>
          </w:p>
          <w:p w14:paraId="5A95242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1.6.快速输注：</w:t>
            </w:r>
          </w:p>
          <w:p w14:paraId="4762F2F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5ml注射器：100ml/h</w:t>
            </w:r>
          </w:p>
          <w:p w14:paraId="4251470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10ml注射器</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100ml/h~300ml/h</w:t>
            </w:r>
          </w:p>
          <w:p w14:paraId="7C15144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20ml注射器</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100ml/h~600ml/h</w:t>
            </w:r>
          </w:p>
          <w:p w14:paraId="583836D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30ml注射器</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100ml/h~900ml/h</w:t>
            </w:r>
          </w:p>
          <w:p w14:paraId="59D9EEB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50/60ml注射器</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100ml/h~1300ml/h</w:t>
            </w:r>
          </w:p>
          <w:p w14:paraId="3CFB912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▲1.7.注射模式：简易模式、速度模式、时间容量模式、体重模式。</w:t>
            </w:r>
          </w:p>
          <w:p w14:paraId="3122625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2.4寸液晶屏显示，全数字键盘输入。</w:t>
            </w:r>
          </w:p>
          <w:p w14:paraId="7A2B01F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1.9.液晶屏显示内容：输注速度、预置量、累计量、注射器规格和品牌、当前运行状态、剩余时间、阻塞等级、报警信息。</w:t>
            </w:r>
          </w:p>
          <w:p w14:paraId="123E549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1.10.保持静脉开放（KVO）速度：0.1-1ml/h，速度可调。</w:t>
            </w:r>
          </w:p>
          <w:p w14:paraId="087EEC7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1.11.报警功能：注射完成报警、电池欠压报警、阻塞报警、接近注射完成报警、注射器脱落报警、遗忘操作报警。</w:t>
            </w:r>
          </w:p>
          <w:p w14:paraId="425D212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1.12.阻塞压力范围：低、中、高三档可选，分别为：0.02Mpa-0.07Mpa，0.05Mpa-0.10Mpa，0.08Mpa-0.14Mpa</w:t>
            </w:r>
          </w:p>
          <w:p w14:paraId="27C8916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1.13.其他功能：</w:t>
            </w:r>
          </w:p>
          <w:p w14:paraId="45B9FC1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自检功能：开机时自动检测关键部件，存在异常时报警或提示用户</w:t>
            </w:r>
          </w:p>
          <w:p w14:paraId="0C58A8E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预置量功能：按需要设置输注量；</w:t>
            </w:r>
          </w:p>
          <w:p w14:paraId="5A9DA44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快速输注：运行过程中可实现按量快速给药；</w:t>
            </w:r>
          </w:p>
          <w:p w14:paraId="50A2F4E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交直流自动切换：当外接交流断电时可以自动切换到内部电池；</w:t>
            </w:r>
          </w:p>
          <w:p w14:paraId="4072DEC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恒速输注功能：时间模式下，设定注射完成时间和注射的药量；速度模式下，按速度单位设置速度；</w:t>
            </w:r>
          </w:p>
          <w:p w14:paraId="19D2902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无线监护：可以与监护系统相连</w:t>
            </w:r>
            <w:r>
              <w:rPr>
                <w:rFonts w:hint="eastAsia" w:ascii="宋体" w:hAnsi="宋体" w:cs="宋体"/>
                <w:color w:val="auto"/>
                <w:sz w:val="21"/>
                <w:szCs w:val="21"/>
                <w:highlight w:val="none"/>
                <w:lang w:val="en-US" w:eastAsia="zh-CN"/>
              </w:rPr>
              <w:t>（支持后续选配升级）</w:t>
            </w:r>
          </w:p>
          <w:p w14:paraId="5053ABC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各个通道可拆可分，并自带卡槽，无需任何辅助性条件组合成多道注射泵</w:t>
            </w:r>
          </w:p>
          <w:p w14:paraId="2A62108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1.14.使用电源：交流输入：220V～50Hz，内部电池：11.1V2000mAh。</w:t>
            </w:r>
          </w:p>
          <w:p w14:paraId="3937BFE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1.15.内置电池工作时间：电池充足电的情况下，30ml/h注射流速，可连续工作约3小时</w:t>
            </w:r>
          </w:p>
          <w:p w14:paraId="3F8E980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1.16.工作环境温度：5℃～40℃、相对湿度：20%-90%、大气压力：86KPa～106KPa。</w:t>
            </w:r>
          </w:p>
          <w:p w14:paraId="7D65363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1.17.存储环境：相对湿度：10%～90%，温度条件：-20℃～+55℃，</w:t>
            </w:r>
            <w:r>
              <w:rPr>
                <w:rFonts w:hint="eastAsia" w:ascii="宋体" w:hAnsi="宋体" w:cs="宋体"/>
                <w:color w:val="auto"/>
                <w:sz w:val="21"/>
                <w:szCs w:val="21"/>
                <w:highlight w:val="none"/>
                <w:lang w:val="en-US" w:eastAsia="zh-CN"/>
              </w:rPr>
              <w:t>大气压力</w:t>
            </w:r>
            <w:r>
              <w:rPr>
                <w:rFonts w:hint="eastAsia" w:ascii="宋体" w:hAnsi="宋体" w:eastAsia="宋体" w:cs="宋体"/>
                <w:color w:val="auto"/>
                <w:sz w:val="21"/>
                <w:szCs w:val="21"/>
                <w:highlight w:val="none"/>
                <w:lang w:val="en-US" w:eastAsia="zh-CN"/>
              </w:rPr>
              <w:t>500hPa～1060hPa。</w:t>
            </w:r>
          </w:p>
          <w:p w14:paraId="07E4069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1.18.设备输入功率：25VA。</w:t>
            </w:r>
          </w:p>
          <w:p w14:paraId="315E77F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1.19.外形尺寸(±</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mm)：245(长)×120（宽）×115（高）。</w:t>
            </w:r>
          </w:p>
          <w:p w14:paraId="14524D5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1.20.重量：净重1.7kg。</w:t>
            </w:r>
          </w:p>
          <w:p w14:paraId="510E327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1.21.安全分类：</w:t>
            </w:r>
            <w:r>
              <w:rPr>
                <w:rFonts w:hint="eastAsia" w:ascii="宋体" w:hAnsi="宋体" w:cs="宋体"/>
                <w:color w:val="auto"/>
                <w:sz w:val="21"/>
                <w:szCs w:val="21"/>
                <w:highlight w:val="none"/>
                <w:lang w:val="en-US" w:eastAsia="zh-CN"/>
              </w:rPr>
              <w:t>不低于</w:t>
            </w:r>
            <w:r>
              <w:rPr>
                <w:rFonts w:hint="eastAsia" w:ascii="宋体" w:hAnsi="宋体" w:eastAsia="宋体" w:cs="宋体"/>
                <w:color w:val="auto"/>
                <w:sz w:val="21"/>
                <w:szCs w:val="21"/>
                <w:highlight w:val="none"/>
                <w:lang w:val="en-US" w:eastAsia="zh-CN"/>
              </w:rPr>
              <w:t>Ⅱ类和带内部电源的BF型，防进液等级：</w:t>
            </w:r>
            <w:r>
              <w:rPr>
                <w:rFonts w:hint="eastAsia" w:ascii="宋体" w:hAnsi="宋体" w:cs="宋体"/>
                <w:color w:val="auto"/>
                <w:sz w:val="21"/>
                <w:szCs w:val="21"/>
                <w:highlight w:val="none"/>
                <w:lang w:val="en-US" w:eastAsia="zh-CN"/>
              </w:rPr>
              <w:t>不低于</w:t>
            </w:r>
            <w:r>
              <w:rPr>
                <w:rFonts w:hint="eastAsia" w:ascii="宋体" w:hAnsi="宋体" w:eastAsia="宋体" w:cs="宋体"/>
                <w:color w:val="auto"/>
                <w:sz w:val="21"/>
                <w:szCs w:val="21"/>
                <w:highlight w:val="none"/>
                <w:lang w:val="en-US" w:eastAsia="zh-CN"/>
              </w:rPr>
              <w:t>IPX3。</w:t>
            </w:r>
          </w:p>
          <w:p w14:paraId="24E7FDE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w:t>
            </w:r>
            <w:r>
              <w:rPr>
                <w:rFonts w:hint="eastAsia" w:ascii="宋体" w:hAnsi="宋体" w:cs="宋体"/>
                <w:color w:val="auto"/>
                <w:sz w:val="21"/>
                <w:szCs w:val="21"/>
                <w:highlight w:val="none"/>
                <w:lang w:val="en-US" w:eastAsia="zh-CN"/>
              </w:rPr>
              <w:t>每台</w:t>
            </w:r>
            <w:r>
              <w:rPr>
                <w:rFonts w:hint="eastAsia" w:ascii="宋体" w:hAnsi="宋体" w:eastAsia="宋体" w:cs="宋体"/>
                <w:color w:val="auto"/>
                <w:sz w:val="21"/>
                <w:szCs w:val="21"/>
                <w:highlight w:val="none"/>
                <w:lang w:val="en-US" w:eastAsia="zh-CN"/>
              </w:rPr>
              <w:t>配置要求：</w:t>
            </w:r>
          </w:p>
          <w:p w14:paraId="568906C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1.注射泵1台</w:t>
            </w:r>
          </w:p>
          <w:p w14:paraId="10A40C5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2.电源线1条</w:t>
            </w:r>
          </w:p>
          <w:p w14:paraId="5FC3599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3.保修卡1个</w:t>
            </w:r>
          </w:p>
          <w:p w14:paraId="276ECC8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4.合格证1份</w:t>
            </w:r>
          </w:p>
          <w:p w14:paraId="2BEAAAC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5.装箱清单1份</w:t>
            </w:r>
          </w:p>
          <w:p w14:paraId="442BEFA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6.使用说明书1本</w:t>
            </w:r>
          </w:p>
        </w:tc>
        <w:tc>
          <w:tcPr>
            <w:tcW w:w="1100" w:type="dxa"/>
            <w:tcBorders>
              <w:left w:val="single" w:color="auto" w:sz="4" w:space="0"/>
            </w:tcBorders>
            <w:shd w:val="clear" w:color="auto" w:fill="auto"/>
            <w:vAlign w:val="center"/>
          </w:tcPr>
          <w:p w14:paraId="39827D4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0.4</w:t>
            </w:r>
          </w:p>
        </w:tc>
      </w:tr>
      <w:tr w14:paraId="45945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5B3F0DF9">
            <w:pPr>
              <w:numPr>
                <w:ilvl w:val="0"/>
                <w:numId w:val="13"/>
              </w:numPr>
              <w:snapToGrid w:val="0"/>
              <w:spacing w:line="360" w:lineRule="auto"/>
              <w:jc w:val="center"/>
              <w:rPr>
                <w:rFonts w:hint="eastAsia" w:ascii="宋体" w:hAnsi="宋体" w:eastAsia="宋体" w:cs="宋体"/>
                <w:color w:val="auto"/>
                <w:sz w:val="21"/>
                <w:szCs w:val="21"/>
                <w:highlight w:val="none"/>
              </w:rPr>
            </w:pPr>
          </w:p>
        </w:tc>
        <w:tc>
          <w:tcPr>
            <w:tcW w:w="850" w:type="dxa"/>
            <w:shd w:val="clear" w:color="auto" w:fill="auto"/>
            <w:vAlign w:val="center"/>
          </w:tcPr>
          <w:p w14:paraId="0061BAC1">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微量注射泵（双泵）</w:t>
            </w:r>
          </w:p>
        </w:tc>
        <w:tc>
          <w:tcPr>
            <w:tcW w:w="500" w:type="dxa"/>
            <w:tcBorders>
              <w:right w:val="single" w:color="auto" w:sz="4" w:space="0"/>
            </w:tcBorders>
            <w:shd w:val="clear" w:color="auto" w:fill="auto"/>
            <w:vAlign w:val="center"/>
          </w:tcPr>
          <w:p w14:paraId="0FF4D26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w:t>
            </w:r>
          </w:p>
        </w:tc>
        <w:tc>
          <w:tcPr>
            <w:tcW w:w="514" w:type="dxa"/>
            <w:gridSpan w:val="2"/>
            <w:tcBorders>
              <w:left w:val="single" w:color="auto" w:sz="4" w:space="0"/>
              <w:right w:val="single" w:color="auto" w:sz="4" w:space="0"/>
            </w:tcBorders>
            <w:vAlign w:val="center"/>
          </w:tcPr>
          <w:p w14:paraId="3A92B8A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台</w:t>
            </w:r>
          </w:p>
        </w:tc>
        <w:tc>
          <w:tcPr>
            <w:tcW w:w="5721" w:type="dxa"/>
            <w:tcBorders>
              <w:left w:val="single" w:color="auto" w:sz="4" w:space="0"/>
              <w:right w:val="single" w:color="auto" w:sz="4" w:space="0"/>
            </w:tcBorders>
            <w:vAlign w:val="center"/>
          </w:tcPr>
          <w:p w14:paraId="3250686A">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一、功能性参数要求：</w:t>
            </w:r>
          </w:p>
          <w:p w14:paraId="784D44C6">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1.技术参数：</w:t>
            </w:r>
          </w:p>
          <w:p w14:paraId="2101B9C7">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1.1.注射泵可自动识别各类品牌注射器规格，支持自定义两种品牌注射器，适用于国内外生产的5ml、10ml、20ml、30ml、50/60ml普通已注册注射器。</w:t>
            </w:r>
          </w:p>
          <w:p w14:paraId="5DED8C13">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1.2.全彩双屏显示，两通道可同时运行，其中一通道修改操作，不影响另一通道的运行。</w:t>
            </w:r>
          </w:p>
          <w:p w14:paraId="3CBF09A5">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▲1.3.流速范围</w:t>
            </w:r>
          </w:p>
          <w:p w14:paraId="04AC95FF">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5mL注射器：0.1mL/h～100mL/h；10mL注射器：0.1mL/h～400mL/h；20mL注射器：0.1mL/h～700mL/h；30mL注射器：0.1mL/h～1000mL/h；50mL/60mL注射器：0.1mL/h～2000mL/h</w:t>
            </w:r>
          </w:p>
          <w:p w14:paraId="7EDD4232">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流速范围最小可按0.1mL/h变化，A、B通道的参数可以单独设定。</w:t>
            </w:r>
          </w:p>
          <w:p w14:paraId="231EF9AF">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1.4.流速误差≤±2%。</w:t>
            </w:r>
          </w:p>
          <w:p w14:paraId="499259A4">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1.5.预置量范围：0.1mL～9999.9mL使用键盘输入最小可按0.1mL变化。</w:t>
            </w:r>
          </w:p>
          <w:p w14:paraId="72931E3D">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1.6.丸剂量注射速度：</w:t>
            </w:r>
          </w:p>
          <w:p w14:paraId="726490E7">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5mL注射器：100mL/h；10mL注射器：100mL/h～400mL/h；20ml注射器：100mL/h～700mL/h；30mL注射器：100mL/h～1000mL/h；50mL/60mL注射器：100mL/h～2000mL/h</w:t>
            </w:r>
          </w:p>
          <w:p w14:paraId="14C22212">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除5ml注射器不可变外，其他规格注射器丸剂量注射速度使用键盘输入最小可按1mL/h变化。</w:t>
            </w:r>
          </w:p>
          <w:p w14:paraId="2DE16203">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丸剂量范围：1mL～20mL最小可按0.1mL变化；丸剂量误差：≤±2%。</w:t>
            </w:r>
          </w:p>
          <w:p w14:paraId="57F5E2E5">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▲1.7.快排功能：5mL注射器：100mL/h；10mL注射器：100mL/h～400mL/h；20ml注射器：100mL/h～700mL/h；30mL注射器：100mL/h～1000mL/h；50mL/60mL注射器：100mL/h～2000mL/h；快排功能最小可按1mL/h变化。</w:t>
            </w:r>
          </w:p>
          <w:p w14:paraId="2A902CEC">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1.8.阻塞档位：阻塞档位有高、中、低三档可调整，对应的产生阻塞报警压力范围为：低：0.05MPa±0.02MPa；中：0.09MPa±0.02MPa；高：0.13MPa±0.02MPa。</w:t>
            </w:r>
          </w:p>
          <w:p w14:paraId="0F697244">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▲1.9.保持静脉开放（KVO）速度：速度范围：0.1mL/h～5.0mL/h，输入最小可按0.1mL/h变化</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KVO流速误差≤±2%</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当注射速度大于KVO速度时，注射完成报警的同时转为KVO速度运行；当注射速度小于KVO速度时，注射完成</w:t>
            </w:r>
            <w:r>
              <w:rPr>
                <w:rFonts w:hint="eastAsia" w:ascii="宋体" w:hAnsi="宋体" w:cs="宋体"/>
                <w:color w:val="auto"/>
                <w:sz w:val="21"/>
                <w:szCs w:val="21"/>
                <w:highlight w:val="none"/>
                <w:lang w:val="en-US" w:eastAsia="zh-CN"/>
              </w:rPr>
              <w:t>时</w:t>
            </w:r>
            <w:r>
              <w:rPr>
                <w:rFonts w:hint="default" w:ascii="宋体" w:hAnsi="宋体" w:eastAsia="宋体" w:cs="宋体"/>
                <w:color w:val="auto"/>
                <w:sz w:val="21"/>
                <w:szCs w:val="21"/>
                <w:highlight w:val="none"/>
                <w:lang w:val="en-US" w:eastAsia="zh-CN"/>
              </w:rPr>
              <w:t>发出报警，注射速度不变。</w:t>
            </w:r>
          </w:p>
          <w:p w14:paraId="2E584C77">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1.10.声光报警：高亮报警灯柱，支持10类报警：阻塞报警、将近完成报警、操作遗忘报警、注射脱落报警、注射完成报警、欠压报警、电池电量耗尽报警、电机异常报警、安装错误报警、交流掉电报警。</w:t>
            </w:r>
          </w:p>
          <w:p w14:paraId="45227B5E">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▲1.11.操作设置：采用数字键盘功能，选中需要修改的参数，摁下相应数字，保存即可完成修改。</w:t>
            </w:r>
          </w:p>
          <w:p w14:paraId="50318796">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▲1.12.工作模式：速度模式、药量时间、体重模式、间歇模式、微量模式、级联设置。</w:t>
            </w:r>
          </w:p>
          <w:p w14:paraId="23623BB3">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1.13.在线滴定功能：安全不中断输液而更改速率。</w:t>
            </w:r>
          </w:p>
          <w:p w14:paraId="5CB6D1F2">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1.14.注射器自动识别：注射泵对装载各适用品牌的注射器规格均可自动识别。</w:t>
            </w:r>
          </w:p>
          <w:p w14:paraId="5842BDF8">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1.15.交直流自动切换：交流连接可给电池充电，交流断电自动转换为机内电池。</w:t>
            </w:r>
          </w:p>
          <w:p w14:paraId="7B53CB6A">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1.16.累计量显示：注射泵在不关机的情况下，可对所有注射的药液进行累计并显示。</w:t>
            </w:r>
          </w:p>
          <w:p w14:paraId="6E76B1A1">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1.17.阻塞压力释放功能：注射泵发生阻塞报警时，注射泵可对阻塞压力进行部分释放。</w:t>
            </w:r>
          </w:p>
          <w:p w14:paraId="2AD9E116">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1.18.静音功能：选择静音按键，可对报警声音进行消音或临时静音。</w:t>
            </w:r>
          </w:p>
          <w:p w14:paraId="38960AE9">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1.19.速度超范围控制：当所设定的速度大于使用注射器所允许的最大速度时，将自动以该注射器所允许的最大速度运行。</w:t>
            </w:r>
          </w:p>
          <w:p w14:paraId="6A84B3ED">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1.20.动态压力显示：在使用中可用条形图实时示意注射管路内部压力变化。</w:t>
            </w:r>
          </w:p>
          <w:p w14:paraId="5063E31F">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1.21.残留提示：注射泵按设置参数注射完成后，如注射器内仍有药液残留，会对操作者提示“药液残留”。</w:t>
            </w:r>
          </w:p>
          <w:p w14:paraId="496A14FE">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1.22.记忆功能：注射泵可以对最后一次运行的设定参数进行储存。</w:t>
            </w:r>
          </w:p>
          <w:p w14:paraId="0CC6FA11">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1.23.通道休眠功能：未参与注射工作的通道会进入休眠模式。</w:t>
            </w:r>
          </w:p>
          <w:p w14:paraId="47C3F2B9">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1.24.历史记录功能：注射泵可对使用数据进行记录。</w:t>
            </w:r>
          </w:p>
          <w:p w14:paraId="70B5FE1F">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1.25.报警音量多级可调：根据用户的使用环境可对报警音进行调整。</w:t>
            </w:r>
          </w:p>
          <w:p w14:paraId="1F36A51C">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1.26.夜间模式/省电模式：可切换到夜间模式，在此模式下报警音减小、显示屏亮度降低，可降低功耗。</w:t>
            </w:r>
          </w:p>
          <w:p w14:paraId="16A7267D">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1.27.防虹吸功能：按下推头按钮，使推头卡爪卡到注射器手柄，松开推头按钮，推头组卡住，药液不会出现虹吸和回流现象。</w:t>
            </w:r>
          </w:p>
          <w:p w14:paraId="45D58A34">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1.28.开机自检功能：注射泵可以在开机时进行自检，项目为：指示灯、喇叭、电源、软件版本、系统时间和电机，其中电机检测到异常时无法正常开机使用。</w:t>
            </w:r>
          </w:p>
          <w:p w14:paraId="4D5AE60C">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1.29.键盘锁功能：注射泵在运行状态下具有按键锁功能，按键锁时间可设置，设置范围为0～10分钟（min），29.使用键盘最小可按1min变化（0表示关闭按键锁功能）。</w:t>
            </w:r>
          </w:p>
          <w:p w14:paraId="7B1788F4">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1.30.内部电池充电完成后，注射泵以5mL/h的速度进行注射：单通道可连续工作不小于8小时，双通道可连续工作不小于5小时。</w:t>
            </w:r>
          </w:p>
          <w:p w14:paraId="68CB9125">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1.31.重量：约2.9kg</w:t>
            </w:r>
          </w:p>
          <w:p w14:paraId="6D474A24">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1.32.外观尺寸（</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5</w:t>
            </w:r>
            <w:r>
              <w:rPr>
                <w:rFonts w:hint="default" w:ascii="宋体" w:hAnsi="宋体" w:eastAsia="宋体" w:cs="宋体"/>
                <w:color w:val="auto"/>
                <w:sz w:val="21"/>
                <w:szCs w:val="21"/>
                <w:highlight w:val="none"/>
                <w:lang w:val="en-US" w:eastAsia="zh-CN"/>
              </w:rPr>
              <w:t>mm)：250（长）×130（宽）×200（高）</w:t>
            </w:r>
          </w:p>
          <w:p w14:paraId="2D0332C4">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1.33.工作环境：环境温度：5℃～40℃；相对湿度：30%～80%（无结露）；大气压力：700hPa～1060hPa。</w:t>
            </w:r>
          </w:p>
          <w:p w14:paraId="58722AF6">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1.34.贮运环境：环境温度：-20℃～+55℃；相对湿度：100%～90%；大气压力：500hPa～1060hPa。</w:t>
            </w:r>
          </w:p>
          <w:p w14:paraId="0C301036">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1.35.使用电源：交流输入：AC100～240V；50/60Hz。内部电池：DC10.8V。</w:t>
            </w:r>
          </w:p>
          <w:p w14:paraId="1F98127D">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1.36.输入功率</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≤40VA。</w:t>
            </w:r>
          </w:p>
          <w:p w14:paraId="3881CBFA">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1.37.安全分类：</w:t>
            </w:r>
            <w:r>
              <w:rPr>
                <w:rFonts w:hint="eastAsia" w:ascii="宋体" w:hAnsi="宋体" w:cs="宋体"/>
                <w:color w:val="auto"/>
                <w:sz w:val="21"/>
                <w:szCs w:val="21"/>
                <w:highlight w:val="none"/>
                <w:lang w:val="en-US" w:eastAsia="zh-CN"/>
              </w:rPr>
              <w:t>Ⅱ</w:t>
            </w:r>
            <w:r>
              <w:rPr>
                <w:rFonts w:hint="default" w:ascii="宋体" w:hAnsi="宋体" w:eastAsia="宋体" w:cs="宋体"/>
                <w:color w:val="auto"/>
                <w:sz w:val="21"/>
                <w:szCs w:val="21"/>
                <w:highlight w:val="none"/>
                <w:lang w:val="en-US" w:eastAsia="zh-CN"/>
              </w:rPr>
              <w:t>类CF型，防进液等级</w:t>
            </w:r>
            <w:r>
              <w:rPr>
                <w:rFonts w:hint="eastAsia" w:ascii="宋体" w:hAnsi="宋体" w:cs="宋体"/>
                <w:color w:val="auto"/>
                <w:sz w:val="21"/>
                <w:szCs w:val="21"/>
                <w:highlight w:val="none"/>
                <w:lang w:val="en-US" w:eastAsia="zh-CN"/>
              </w:rPr>
              <w:t>不低于</w:t>
            </w:r>
            <w:r>
              <w:rPr>
                <w:rFonts w:hint="default" w:ascii="宋体" w:hAnsi="宋体" w:eastAsia="宋体" w:cs="宋体"/>
                <w:color w:val="auto"/>
                <w:sz w:val="21"/>
                <w:szCs w:val="21"/>
                <w:highlight w:val="none"/>
                <w:lang w:val="en-US" w:eastAsia="zh-CN"/>
              </w:rPr>
              <w:t>IPX3</w:t>
            </w:r>
          </w:p>
          <w:p w14:paraId="38E2B739">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二、</w:t>
            </w:r>
            <w:r>
              <w:rPr>
                <w:rFonts w:hint="eastAsia" w:ascii="宋体" w:hAnsi="宋体" w:cs="宋体"/>
                <w:color w:val="auto"/>
                <w:sz w:val="21"/>
                <w:szCs w:val="21"/>
                <w:highlight w:val="none"/>
                <w:lang w:val="en-US" w:eastAsia="zh-CN"/>
              </w:rPr>
              <w:t>每台</w:t>
            </w:r>
            <w:r>
              <w:rPr>
                <w:rFonts w:hint="default" w:ascii="宋体" w:hAnsi="宋体" w:eastAsia="宋体" w:cs="宋体"/>
                <w:color w:val="auto"/>
                <w:sz w:val="21"/>
                <w:szCs w:val="21"/>
                <w:highlight w:val="none"/>
                <w:lang w:val="en-US" w:eastAsia="zh-CN"/>
              </w:rPr>
              <w:t>配置要求：</w:t>
            </w:r>
          </w:p>
          <w:p w14:paraId="47561B07">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1.注射泵主机1台</w:t>
            </w:r>
          </w:p>
          <w:p w14:paraId="29C8FB15">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2.电源线1条</w:t>
            </w:r>
          </w:p>
          <w:p w14:paraId="1CE174A0">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3.保修卡1份</w:t>
            </w:r>
          </w:p>
          <w:p w14:paraId="58C49EDA">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4.合格证1份</w:t>
            </w:r>
          </w:p>
          <w:p w14:paraId="098510E3">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5.装箱清单1份</w:t>
            </w:r>
          </w:p>
          <w:p w14:paraId="17AFBB60">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6.使用说明书1份</w:t>
            </w:r>
          </w:p>
          <w:p w14:paraId="7324EB68">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7.操作指示卡1份</w:t>
            </w:r>
          </w:p>
        </w:tc>
        <w:tc>
          <w:tcPr>
            <w:tcW w:w="1100" w:type="dxa"/>
            <w:tcBorders>
              <w:left w:val="single" w:color="auto" w:sz="4" w:space="0"/>
            </w:tcBorders>
            <w:shd w:val="clear" w:color="auto" w:fill="auto"/>
            <w:vAlign w:val="center"/>
          </w:tcPr>
          <w:p w14:paraId="2757BAA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0.6</w:t>
            </w:r>
          </w:p>
        </w:tc>
      </w:tr>
      <w:tr w14:paraId="64A5F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10832271">
            <w:pPr>
              <w:numPr>
                <w:ilvl w:val="0"/>
                <w:numId w:val="13"/>
              </w:numPr>
              <w:snapToGrid w:val="0"/>
              <w:spacing w:line="360" w:lineRule="auto"/>
              <w:jc w:val="center"/>
              <w:rPr>
                <w:rFonts w:hint="eastAsia" w:ascii="宋体" w:hAnsi="宋体" w:eastAsia="宋体" w:cs="宋体"/>
                <w:color w:val="auto"/>
                <w:sz w:val="21"/>
                <w:szCs w:val="21"/>
                <w:highlight w:val="none"/>
              </w:rPr>
            </w:pPr>
          </w:p>
        </w:tc>
        <w:tc>
          <w:tcPr>
            <w:tcW w:w="850" w:type="dxa"/>
            <w:shd w:val="clear" w:color="auto" w:fill="auto"/>
            <w:vAlign w:val="center"/>
          </w:tcPr>
          <w:p w14:paraId="74101249">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微量注射泵（三泵）</w:t>
            </w:r>
          </w:p>
        </w:tc>
        <w:tc>
          <w:tcPr>
            <w:tcW w:w="500" w:type="dxa"/>
            <w:tcBorders>
              <w:right w:val="single" w:color="auto" w:sz="4" w:space="0"/>
            </w:tcBorders>
            <w:shd w:val="clear" w:color="auto" w:fill="auto"/>
            <w:vAlign w:val="center"/>
          </w:tcPr>
          <w:p w14:paraId="7EFDBB3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514" w:type="dxa"/>
            <w:gridSpan w:val="2"/>
            <w:tcBorders>
              <w:left w:val="single" w:color="auto" w:sz="4" w:space="0"/>
              <w:right w:val="single" w:color="auto" w:sz="4" w:space="0"/>
            </w:tcBorders>
            <w:vAlign w:val="center"/>
          </w:tcPr>
          <w:p w14:paraId="209F7EB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台</w:t>
            </w:r>
          </w:p>
        </w:tc>
        <w:tc>
          <w:tcPr>
            <w:tcW w:w="5721" w:type="dxa"/>
            <w:tcBorders>
              <w:left w:val="single" w:color="auto" w:sz="4" w:space="0"/>
              <w:right w:val="single" w:color="auto" w:sz="4" w:space="0"/>
            </w:tcBorders>
            <w:vAlign w:val="center"/>
          </w:tcPr>
          <w:p w14:paraId="441A816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4C53E9F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1.技术参数：</w:t>
            </w:r>
          </w:p>
          <w:p w14:paraId="432A133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1.1.注射器规格：可自动识别5mL、10mL、20mL、30mL、50mL的注射器。</w:t>
            </w:r>
          </w:p>
          <w:p w14:paraId="5F02AA5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▲1.2.内置</w:t>
            </w:r>
            <w:r>
              <w:rPr>
                <w:rFonts w:hint="eastAsia" w:ascii="宋体" w:hAnsi="宋体" w:cs="宋体"/>
                <w:color w:val="auto"/>
                <w:sz w:val="21"/>
                <w:szCs w:val="21"/>
                <w:highlight w:val="none"/>
                <w:lang w:val="en-US" w:eastAsia="zh-CN"/>
              </w:rPr>
              <w:t>至少</w:t>
            </w:r>
            <w:r>
              <w:rPr>
                <w:rFonts w:hint="eastAsia" w:ascii="宋体" w:hAnsi="宋体" w:eastAsia="宋体" w:cs="宋体"/>
                <w:color w:val="auto"/>
                <w:sz w:val="21"/>
                <w:szCs w:val="21"/>
                <w:highlight w:val="none"/>
                <w:lang w:val="en-US" w:eastAsia="zh-CN"/>
              </w:rPr>
              <w:t>29种注射器品牌，</w:t>
            </w:r>
            <w:r>
              <w:rPr>
                <w:rFonts w:hint="eastAsia" w:ascii="宋体" w:hAnsi="宋体" w:cs="宋体"/>
                <w:color w:val="auto"/>
                <w:sz w:val="21"/>
                <w:szCs w:val="21"/>
                <w:highlight w:val="none"/>
                <w:lang w:val="en-US" w:eastAsia="zh-CN"/>
              </w:rPr>
              <w:t>支持</w:t>
            </w:r>
            <w:r>
              <w:rPr>
                <w:rFonts w:hint="eastAsia" w:ascii="宋体" w:hAnsi="宋体" w:eastAsia="宋体" w:cs="宋体"/>
                <w:color w:val="auto"/>
                <w:sz w:val="21"/>
                <w:szCs w:val="21"/>
                <w:highlight w:val="none"/>
                <w:lang w:val="en-US" w:eastAsia="zh-CN"/>
              </w:rPr>
              <w:t>自定义。</w:t>
            </w:r>
          </w:p>
          <w:p w14:paraId="14B52C3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▲1.3.流速范围：</w:t>
            </w:r>
          </w:p>
          <w:p w14:paraId="2566C8B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5ml注射器：0.1mL/h～100mL/h</w:t>
            </w:r>
            <w:r>
              <w:rPr>
                <w:rFonts w:hint="eastAsia" w:ascii="宋体" w:hAnsi="宋体" w:cs="宋体"/>
                <w:color w:val="auto"/>
                <w:sz w:val="21"/>
                <w:szCs w:val="21"/>
                <w:highlight w:val="none"/>
                <w:lang w:val="en-US" w:eastAsia="zh-CN"/>
              </w:rPr>
              <w:t>；</w:t>
            </w:r>
          </w:p>
          <w:p w14:paraId="05E72BE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10mL注射器：0.1mL/h～300mL/h；</w:t>
            </w:r>
          </w:p>
          <w:p w14:paraId="30E5B16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20mL注射器：0.1mL/h～600mL/h；</w:t>
            </w:r>
          </w:p>
          <w:p w14:paraId="1C1DE82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30mL注射器：0.1mL/h～900mL/h；</w:t>
            </w:r>
          </w:p>
          <w:p w14:paraId="0869EAD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50mL注射器：0.1mL/h～1300mL/h，</w:t>
            </w:r>
          </w:p>
          <w:p w14:paraId="1493A2E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可按0.1mL/h递增或递减</w:t>
            </w:r>
          </w:p>
          <w:p w14:paraId="21EDEC0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1.4.流速误差：±2%。</w:t>
            </w:r>
          </w:p>
          <w:p w14:paraId="26D92D6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1.5.预置量范围：0ml～9999ml，＜1000ml以0.1ml步进，＞1000ml以1ml步进。</w:t>
            </w:r>
          </w:p>
          <w:p w14:paraId="573BD56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1.6.快速输注：</w:t>
            </w:r>
          </w:p>
          <w:p w14:paraId="1B4FACF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5ml注射器：100ml/h</w:t>
            </w:r>
          </w:p>
          <w:p w14:paraId="32635CB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10ml注射器</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100ml/h~300ml/h</w:t>
            </w:r>
          </w:p>
          <w:p w14:paraId="659B0FB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20ml注射器</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100ml/h~600ml/h</w:t>
            </w:r>
          </w:p>
          <w:p w14:paraId="467475A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30ml注射器</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100ml/h~900ml/h</w:t>
            </w:r>
          </w:p>
          <w:p w14:paraId="36BC575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50/60ml注射器</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100ml/h~1300ml/h</w:t>
            </w:r>
          </w:p>
          <w:p w14:paraId="1CC1C84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▲1.7.注射模式：简易模式、速度模式、时间容量模式、体重模式。</w:t>
            </w:r>
          </w:p>
          <w:p w14:paraId="38400ED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2.4寸液晶屏显示，全数字键盘输入。</w:t>
            </w:r>
          </w:p>
          <w:p w14:paraId="500A38A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1.9.液晶屏显示内容：输注速度、预置量、累计量、注射器规格和品牌、当前运行状态、剩余时间、阻塞等级、报警信息。</w:t>
            </w:r>
          </w:p>
          <w:p w14:paraId="30A2F45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1.10.保持静脉开放（KVO）速度：0.1-1ml/h，速度可调。</w:t>
            </w:r>
          </w:p>
          <w:p w14:paraId="1FCE187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1.11.报警功能：注射完成报警、电池欠压报警、阻塞报警、接近注射完成报警、注射器脱落报警、遗忘操作报警。</w:t>
            </w:r>
          </w:p>
          <w:p w14:paraId="3741C27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1.12.阻塞压力范围：低、中、高三档可选，分别为：0.02MPa-0.07MPa，0.05MPa-0.10MPa，0.08MPa-0.14MPa</w:t>
            </w:r>
          </w:p>
          <w:p w14:paraId="1E29146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1.13.其他功能：</w:t>
            </w:r>
          </w:p>
          <w:p w14:paraId="52F8B4D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自检功能：开机时自动检测关键部件，存在异常时报警或提示用户</w:t>
            </w:r>
          </w:p>
          <w:p w14:paraId="1D8B0F8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预置量功能：按需要设置输注量；</w:t>
            </w:r>
          </w:p>
          <w:p w14:paraId="10C82CF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快速输注：运行过程中可实现按量快速给药；</w:t>
            </w:r>
          </w:p>
          <w:p w14:paraId="2A19177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交直流自动切换：当外接交流断电时可以自动切换到内部电池；</w:t>
            </w:r>
          </w:p>
          <w:p w14:paraId="239ABC6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恒速输注功能：时间模式下，设定注射完成时间和注射的药量；速度模式下，按速度单位设置速度；</w:t>
            </w:r>
          </w:p>
          <w:p w14:paraId="6429C59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无线监护：可以与监护系统相连</w:t>
            </w:r>
            <w:r>
              <w:rPr>
                <w:rFonts w:hint="eastAsia" w:ascii="宋体" w:hAnsi="宋体" w:cs="宋体"/>
                <w:color w:val="auto"/>
                <w:sz w:val="21"/>
                <w:szCs w:val="21"/>
                <w:highlight w:val="none"/>
                <w:lang w:val="en-US" w:eastAsia="zh-CN"/>
              </w:rPr>
              <w:t>（支持后续选配升级）</w:t>
            </w:r>
          </w:p>
          <w:p w14:paraId="2E4C102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各个通道可拆可分，并自带卡槽，无需任何辅助性条件组合成多道注射泵</w:t>
            </w:r>
          </w:p>
          <w:p w14:paraId="77CB56E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1.14.使用电源：交流输入：220V～50Hz，内部电池：11.1V2000mAh。</w:t>
            </w:r>
          </w:p>
          <w:p w14:paraId="4967ED9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1.15.内置电池工作时间：电池充足电的情况下，30ml/h注射流速，可连续工作约3小时</w:t>
            </w:r>
          </w:p>
          <w:p w14:paraId="5CCDC4D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1.16.工作环境温度：5℃～40℃、相对湿度：20%-90%、大气压力：86KPa～106KPa。</w:t>
            </w:r>
          </w:p>
          <w:p w14:paraId="2B1B001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1.17.存储环境：相对湿度：10%～90%，温度条件：-20℃～+55℃，</w:t>
            </w:r>
            <w:r>
              <w:rPr>
                <w:rFonts w:hint="eastAsia" w:ascii="宋体" w:hAnsi="宋体" w:cs="宋体"/>
                <w:color w:val="auto"/>
                <w:sz w:val="21"/>
                <w:szCs w:val="21"/>
                <w:highlight w:val="none"/>
                <w:lang w:val="en-US" w:eastAsia="zh-CN"/>
              </w:rPr>
              <w:t>大气压力</w:t>
            </w:r>
            <w:r>
              <w:rPr>
                <w:rFonts w:hint="eastAsia" w:ascii="宋体" w:hAnsi="宋体" w:eastAsia="宋体" w:cs="宋体"/>
                <w:color w:val="auto"/>
                <w:sz w:val="21"/>
                <w:szCs w:val="21"/>
                <w:highlight w:val="none"/>
                <w:lang w:val="en-US" w:eastAsia="zh-CN"/>
              </w:rPr>
              <w:t>500hPa～1060hPa。</w:t>
            </w:r>
          </w:p>
          <w:p w14:paraId="661AB14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1.18.设备输入功率：25VA。</w:t>
            </w:r>
          </w:p>
          <w:p w14:paraId="505725C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1.19.外形尺寸(±</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mm)：245(长)×120（宽）×115（高）。</w:t>
            </w:r>
          </w:p>
          <w:p w14:paraId="0E1676F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1.20.重量：净重约5.2kg。</w:t>
            </w:r>
          </w:p>
          <w:p w14:paraId="1D5D33C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1.21.安全分类：Ⅱ类和带内部电源的BF型，防进液等级：</w:t>
            </w:r>
            <w:r>
              <w:rPr>
                <w:rFonts w:hint="eastAsia" w:ascii="宋体" w:hAnsi="宋体" w:cs="宋体"/>
                <w:color w:val="auto"/>
                <w:sz w:val="21"/>
                <w:szCs w:val="21"/>
                <w:highlight w:val="none"/>
                <w:lang w:val="en-US" w:eastAsia="zh-CN"/>
              </w:rPr>
              <w:t>不低于</w:t>
            </w:r>
            <w:r>
              <w:rPr>
                <w:rFonts w:hint="eastAsia" w:ascii="宋体" w:hAnsi="宋体" w:eastAsia="宋体" w:cs="宋体"/>
                <w:color w:val="auto"/>
                <w:sz w:val="21"/>
                <w:szCs w:val="21"/>
                <w:highlight w:val="none"/>
                <w:lang w:val="en-US" w:eastAsia="zh-CN"/>
              </w:rPr>
              <w:t>IPX3。</w:t>
            </w:r>
          </w:p>
          <w:p w14:paraId="31E1545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w:t>
            </w:r>
            <w:r>
              <w:rPr>
                <w:rFonts w:hint="eastAsia" w:ascii="宋体" w:hAnsi="宋体" w:cs="宋体"/>
                <w:color w:val="auto"/>
                <w:sz w:val="21"/>
                <w:szCs w:val="21"/>
                <w:highlight w:val="none"/>
                <w:lang w:val="en-US" w:eastAsia="zh-CN"/>
              </w:rPr>
              <w:t>每台</w:t>
            </w:r>
            <w:r>
              <w:rPr>
                <w:rFonts w:hint="eastAsia" w:ascii="宋体" w:hAnsi="宋体" w:eastAsia="宋体" w:cs="宋体"/>
                <w:color w:val="auto"/>
                <w:sz w:val="21"/>
                <w:szCs w:val="21"/>
                <w:highlight w:val="none"/>
                <w:lang w:val="en-US" w:eastAsia="zh-CN"/>
              </w:rPr>
              <w:t>配置要求：</w:t>
            </w:r>
          </w:p>
          <w:p w14:paraId="279938F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1.注射泵3台</w:t>
            </w:r>
          </w:p>
          <w:p w14:paraId="6C888AE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2.电源线3条</w:t>
            </w:r>
          </w:p>
          <w:p w14:paraId="1DB509F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3.保修卡3个</w:t>
            </w:r>
          </w:p>
          <w:p w14:paraId="3CA91EA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4.合格证3份</w:t>
            </w:r>
          </w:p>
          <w:p w14:paraId="2A99397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5.装箱清单3份</w:t>
            </w:r>
          </w:p>
          <w:p w14:paraId="2949178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6.使用说明书3本</w:t>
            </w:r>
          </w:p>
        </w:tc>
        <w:tc>
          <w:tcPr>
            <w:tcW w:w="1100" w:type="dxa"/>
            <w:tcBorders>
              <w:left w:val="single" w:color="auto" w:sz="4" w:space="0"/>
            </w:tcBorders>
            <w:shd w:val="clear" w:color="auto" w:fill="auto"/>
            <w:vAlign w:val="center"/>
          </w:tcPr>
          <w:p w14:paraId="508C44A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r>
      <w:tr w14:paraId="61DA5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66BAF2B3">
            <w:pPr>
              <w:numPr>
                <w:ilvl w:val="0"/>
                <w:numId w:val="13"/>
              </w:numPr>
              <w:snapToGrid w:val="0"/>
              <w:spacing w:line="360" w:lineRule="auto"/>
              <w:jc w:val="center"/>
              <w:rPr>
                <w:rFonts w:hint="eastAsia" w:ascii="宋体" w:hAnsi="宋体" w:eastAsia="宋体" w:cs="宋体"/>
                <w:color w:val="auto"/>
                <w:sz w:val="21"/>
                <w:szCs w:val="21"/>
                <w:highlight w:val="none"/>
              </w:rPr>
            </w:pPr>
          </w:p>
        </w:tc>
        <w:tc>
          <w:tcPr>
            <w:tcW w:w="850" w:type="dxa"/>
            <w:shd w:val="clear" w:color="auto" w:fill="auto"/>
            <w:vAlign w:val="center"/>
          </w:tcPr>
          <w:p w14:paraId="4DEDFD75">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医用冰箱（医用冷藏保存箱）</w:t>
            </w:r>
          </w:p>
        </w:tc>
        <w:tc>
          <w:tcPr>
            <w:tcW w:w="500" w:type="dxa"/>
            <w:tcBorders>
              <w:right w:val="single" w:color="auto" w:sz="4" w:space="0"/>
            </w:tcBorders>
            <w:shd w:val="clear" w:color="auto" w:fill="auto"/>
            <w:vAlign w:val="center"/>
          </w:tcPr>
          <w:p w14:paraId="59B64A8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514" w:type="dxa"/>
            <w:gridSpan w:val="2"/>
            <w:tcBorders>
              <w:left w:val="single" w:color="auto" w:sz="4" w:space="0"/>
              <w:right w:val="single" w:color="auto" w:sz="4" w:space="0"/>
            </w:tcBorders>
            <w:vAlign w:val="center"/>
          </w:tcPr>
          <w:p w14:paraId="7B2DBB1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台</w:t>
            </w:r>
          </w:p>
        </w:tc>
        <w:tc>
          <w:tcPr>
            <w:tcW w:w="5721" w:type="dxa"/>
            <w:tcBorders>
              <w:left w:val="single" w:color="auto" w:sz="4" w:space="0"/>
              <w:right w:val="single" w:color="auto" w:sz="4" w:space="0"/>
            </w:tcBorders>
            <w:vAlign w:val="center"/>
          </w:tcPr>
          <w:p w14:paraId="2526AD5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38C08DA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1.技术参数：</w:t>
            </w:r>
          </w:p>
          <w:p w14:paraId="2B40E3A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1.1.样式：立式。</w:t>
            </w:r>
          </w:p>
          <w:p w14:paraId="6815374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1.2.容积：≥416L。</w:t>
            </w:r>
          </w:p>
          <w:p w14:paraId="2F8700E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1.3.净重：120kg，允差±10%。</w:t>
            </w:r>
          </w:p>
          <w:p w14:paraId="4395161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1.4.额定功率：330W。</w:t>
            </w:r>
          </w:p>
          <w:p w14:paraId="41F92DD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1.5.耗电量：4.23kW.h/24h。</w:t>
            </w:r>
          </w:p>
          <w:p w14:paraId="6997772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1.6.噪音值：50dB。</w:t>
            </w:r>
          </w:p>
          <w:p w14:paraId="444691F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1.7.气候类型：SN/N。</w:t>
            </w:r>
          </w:p>
          <w:p w14:paraId="66ED305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1.8.制冷方式：风冷。</w:t>
            </w:r>
          </w:p>
          <w:p w14:paraId="45DF101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1.9.箱内温度：2℃～8℃。</w:t>
            </w:r>
          </w:p>
          <w:p w14:paraId="014B056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1.10.工作条件：环境温度10～32℃，电源220V/50Hz。</w:t>
            </w:r>
          </w:p>
          <w:p w14:paraId="70D86F3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1.11.外部尺寸（宽</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深</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高）：785</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552</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1927（mm）</w:t>
            </w:r>
            <w:r>
              <w:rPr>
                <w:rFonts w:hint="eastAsia" w:ascii="宋体" w:hAnsi="宋体" w:cs="宋体"/>
                <w:color w:val="auto"/>
                <w:sz w:val="21"/>
                <w:szCs w:val="21"/>
                <w:highlight w:val="none"/>
                <w:lang w:val="en-US" w:eastAsia="zh-CN"/>
              </w:rPr>
              <w:t>，允差10%</w:t>
            </w:r>
            <w:r>
              <w:rPr>
                <w:rFonts w:hint="eastAsia" w:ascii="宋体" w:hAnsi="宋体" w:eastAsia="宋体" w:cs="宋体"/>
                <w:color w:val="auto"/>
                <w:sz w:val="21"/>
                <w:szCs w:val="21"/>
                <w:highlight w:val="none"/>
                <w:lang w:val="en-US" w:eastAsia="zh-CN"/>
              </w:rPr>
              <w:t>。</w:t>
            </w:r>
          </w:p>
          <w:p w14:paraId="5BF2576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1.12.内部尺寸（宽</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深</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高）：685</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429</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1380（mm），允差10%。</w:t>
            </w:r>
          </w:p>
          <w:p w14:paraId="280D71A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1.13.外部材料：喷涂钢板。</w:t>
            </w:r>
          </w:p>
          <w:p w14:paraId="0D2FD81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1.14.内部材料：喷涂钢板。</w:t>
            </w:r>
          </w:p>
          <w:p w14:paraId="511B363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1.15.隔热层：无CFC高密度聚氨酯发泡。</w:t>
            </w:r>
          </w:p>
          <w:p w14:paraId="3D154D9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▲1.16.门体数量：1扇。</w:t>
            </w:r>
          </w:p>
          <w:p w14:paraId="6869E7D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▲1.17.门体结构：双层中空钢化玻璃门，中间充惰性气体；带电加热膜，防止表面凝露。</w:t>
            </w:r>
          </w:p>
          <w:p w14:paraId="1FB58D6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1.18.网架：5层，可调高度，浸塑材质，带标识条。</w:t>
            </w:r>
          </w:p>
          <w:p w14:paraId="323E8F0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1.19.脚轮：4个脚轮；2个定向轮，2个万向轮带锁止设计，用户可根据需要移动箱体；具备2个调平脚，可固定箱体。</w:t>
            </w:r>
          </w:p>
          <w:p w14:paraId="1577FD7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1.20.测试孔：1个，</w:t>
            </w:r>
            <w:r>
              <w:rPr>
                <w:rFonts w:hint="eastAsia" w:ascii="宋体" w:hAnsi="宋体" w:cs="宋体"/>
                <w:color w:val="auto"/>
                <w:sz w:val="21"/>
                <w:szCs w:val="21"/>
                <w:highlight w:val="none"/>
                <w:lang w:val="en-US" w:eastAsia="zh-CN"/>
              </w:rPr>
              <w:t>用于</w:t>
            </w:r>
            <w:r>
              <w:rPr>
                <w:rFonts w:hint="eastAsia" w:ascii="宋体" w:hAnsi="宋体" w:eastAsia="宋体" w:cs="宋体"/>
                <w:color w:val="auto"/>
                <w:sz w:val="21"/>
                <w:szCs w:val="21"/>
                <w:highlight w:val="none"/>
                <w:lang w:val="en-US" w:eastAsia="zh-CN"/>
              </w:rPr>
              <w:t>安装温湿度记录仪。</w:t>
            </w:r>
          </w:p>
          <w:p w14:paraId="4957EF5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1.21.冷凝器：机舱内置丝管冷凝器。</w:t>
            </w:r>
          </w:p>
          <w:p w14:paraId="7584B83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1.22.蒸发器：翅片式蒸发器。</w:t>
            </w:r>
          </w:p>
          <w:p w14:paraId="274CBCA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1.23.风机类型：采用罩极风机。</w:t>
            </w:r>
          </w:p>
          <w:p w14:paraId="5186D51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1.24.制冷剂：采用绿色环保制冷剂。</w:t>
            </w:r>
          </w:p>
          <w:p w14:paraId="03F4370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1.25.压缩机：数量1个。</w:t>
            </w:r>
          </w:p>
          <w:p w14:paraId="41EDDE6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1.26.感温盒：温度传感器置于模拟液中，反映物品实际存储温度。</w:t>
            </w:r>
          </w:p>
          <w:p w14:paraId="4EA53AD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1.27.风道设计：循环风冷背吹技术，避免因储存物品的阻挡导致通风不畅或温度不均匀。</w:t>
            </w:r>
          </w:p>
          <w:p w14:paraId="4E5B532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1.28.制冷系统：制冷系统设计，通过强制风冷循环系统实现均匀的温度布局，同时保证温度波动，实现样本储存温度的稳定；翅片式蒸发器配合独特的循环风冷背吹技术设计，保证箱内无霜</w:t>
            </w:r>
            <w:r>
              <w:rPr>
                <w:rFonts w:hint="eastAsia" w:ascii="宋体" w:hAnsi="宋体" w:cs="宋体"/>
                <w:color w:val="auto"/>
                <w:sz w:val="21"/>
                <w:szCs w:val="21"/>
                <w:highlight w:val="none"/>
                <w:lang w:val="en-US" w:eastAsia="zh-CN"/>
              </w:rPr>
              <w:t>。</w:t>
            </w:r>
          </w:p>
          <w:p w14:paraId="38CDEA0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1.29.温度控制：微电脑控制系统，LED数码显示温度数据，可确保精确稳定的运行；精准的电子温度控制及显示，精度达到0.1℃。</w:t>
            </w:r>
          </w:p>
          <w:p w14:paraId="69058B4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1.30.显示方式：LED数码显示屏，可显示箱内温度及各种报警信息。</w:t>
            </w:r>
          </w:p>
          <w:p w14:paraId="20D4D51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1.31.报警系统：高低温报警、传感器故障报警、断电报警、开关门异常报警。</w:t>
            </w:r>
          </w:p>
          <w:p w14:paraId="65FF711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1.32.报警方式：具备声音蜂鸣和灯光闪烁的报警方式。</w:t>
            </w:r>
          </w:p>
          <w:p w14:paraId="739A7B7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1.33.电器安全：</w:t>
            </w:r>
          </w:p>
          <w:p w14:paraId="0D463E1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▲1.33.1.备用电池确保断电后报警48小时；</w:t>
            </w:r>
          </w:p>
          <w:p w14:paraId="24C8022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1.33.2.温控器探头故障安全运行模式；</w:t>
            </w:r>
          </w:p>
          <w:p w14:paraId="1CDA650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1.33.3.键盘锁定、密码保护功能，防止随意调整运行参数；</w:t>
            </w:r>
          </w:p>
          <w:p w14:paraId="64F3B36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1.33.4.断电保护：</w:t>
            </w:r>
            <w:r>
              <w:rPr>
                <w:rFonts w:hint="eastAsia"/>
                <w:color w:val="auto"/>
                <w:highlight w:val="none"/>
                <w:lang w:val="en-US" w:eastAsia="zh-CN"/>
              </w:rPr>
              <w:t>具备</w:t>
            </w:r>
            <w:r>
              <w:rPr>
                <w:rFonts w:hint="eastAsia" w:ascii="宋体" w:hAnsi="宋体" w:eastAsia="宋体" w:cs="宋体"/>
                <w:color w:val="auto"/>
                <w:sz w:val="21"/>
                <w:szCs w:val="21"/>
                <w:highlight w:val="none"/>
                <w:lang w:val="en-US" w:eastAsia="zh-CN"/>
              </w:rPr>
              <w:t>设备延时启动功能</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使设备在恢复期间延时数分钟启动；</w:t>
            </w:r>
          </w:p>
          <w:p w14:paraId="26770FD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1.33.5.宽电压带适用，在187V～242V范围内正常使用。</w:t>
            </w:r>
          </w:p>
          <w:p w14:paraId="55DCFCF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1.34.特色功能：</w:t>
            </w:r>
          </w:p>
          <w:p w14:paraId="6FD71AF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1.34.1.标配1个暗锁设计，防止开关门异常；</w:t>
            </w:r>
          </w:p>
          <w:p w14:paraId="2A96B3E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1.34.2.内设LED冷光源照明灯；</w:t>
            </w:r>
          </w:p>
          <w:p w14:paraId="2441DC9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1.34.3.标配1个测试孔；</w:t>
            </w:r>
          </w:p>
          <w:p w14:paraId="2C39893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1.34.4.可调节的浸塑网架设计。</w:t>
            </w:r>
          </w:p>
          <w:p w14:paraId="0B83230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1.35.</w:t>
            </w:r>
            <w:r>
              <w:rPr>
                <w:rFonts w:hint="eastAsia" w:ascii="宋体" w:hAnsi="宋体" w:cs="宋体"/>
                <w:color w:val="auto"/>
                <w:sz w:val="21"/>
                <w:szCs w:val="21"/>
                <w:highlight w:val="none"/>
                <w:lang w:val="en-US" w:eastAsia="zh-CN"/>
              </w:rPr>
              <w:t>支持后续升级选配</w:t>
            </w:r>
            <w:r>
              <w:rPr>
                <w:rFonts w:hint="eastAsia" w:ascii="宋体" w:hAnsi="宋体" w:eastAsia="宋体" w:cs="宋体"/>
                <w:color w:val="auto"/>
                <w:sz w:val="21"/>
                <w:szCs w:val="21"/>
                <w:highlight w:val="none"/>
                <w:lang w:val="en-US" w:eastAsia="zh-CN"/>
              </w:rPr>
              <w:t>温度记录仪、热敏</w:t>
            </w:r>
            <w:r>
              <w:rPr>
                <w:rFonts w:hint="eastAsia" w:ascii="宋体" w:hAnsi="宋体" w:cs="宋体"/>
                <w:color w:val="auto"/>
                <w:sz w:val="21"/>
                <w:szCs w:val="21"/>
                <w:highlight w:val="none"/>
                <w:lang w:val="en-US" w:eastAsia="zh-CN"/>
              </w:rPr>
              <w:t>报告输出装置</w:t>
            </w:r>
            <w:r>
              <w:rPr>
                <w:rFonts w:hint="eastAsia" w:ascii="宋体" w:hAnsi="宋体" w:eastAsia="宋体" w:cs="宋体"/>
                <w:color w:val="auto"/>
                <w:sz w:val="21"/>
                <w:szCs w:val="21"/>
                <w:highlight w:val="none"/>
                <w:lang w:val="en-US" w:eastAsia="zh-CN"/>
              </w:rPr>
              <w:t>、防水插座等</w:t>
            </w:r>
          </w:p>
          <w:p w14:paraId="60E6995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.售后质保：整机质保五年。</w:t>
            </w:r>
          </w:p>
          <w:p w14:paraId="04A5D4D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w:t>
            </w:r>
            <w:r>
              <w:rPr>
                <w:rFonts w:hint="eastAsia" w:ascii="宋体" w:hAnsi="宋体" w:cs="宋体"/>
                <w:color w:val="auto"/>
                <w:sz w:val="21"/>
                <w:szCs w:val="21"/>
                <w:highlight w:val="none"/>
                <w:lang w:val="en-US" w:eastAsia="zh-CN"/>
              </w:rPr>
              <w:t>每台</w:t>
            </w:r>
            <w:r>
              <w:rPr>
                <w:rFonts w:hint="eastAsia" w:ascii="宋体" w:hAnsi="宋体" w:eastAsia="宋体" w:cs="宋体"/>
                <w:color w:val="auto"/>
                <w:sz w:val="21"/>
                <w:szCs w:val="21"/>
                <w:highlight w:val="none"/>
                <w:lang w:val="en-US" w:eastAsia="zh-CN"/>
              </w:rPr>
              <w:t>配置要求：</w:t>
            </w:r>
          </w:p>
          <w:p w14:paraId="66630F32">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1.生产许可证1</w:t>
            </w:r>
            <w:r>
              <w:rPr>
                <w:rFonts w:hint="eastAsia" w:ascii="宋体" w:hAnsi="宋体" w:cs="宋体"/>
                <w:color w:val="auto"/>
                <w:sz w:val="21"/>
                <w:szCs w:val="21"/>
                <w:highlight w:val="none"/>
                <w:lang w:val="en-US" w:eastAsia="zh-CN"/>
              </w:rPr>
              <w:t>份</w:t>
            </w:r>
          </w:p>
          <w:p w14:paraId="3816928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医疗器械产品</w:t>
            </w:r>
            <w:r>
              <w:rPr>
                <w:rFonts w:hint="eastAsia" w:ascii="宋体" w:hAnsi="宋体" w:eastAsia="宋体" w:cs="宋体"/>
                <w:color w:val="auto"/>
                <w:sz w:val="21"/>
                <w:szCs w:val="21"/>
                <w:highlight w:val="none"/>
                <w:lang w:val="en-US" w:eastAsia="zh-CN"/>
              </w:rPr>
              <w:t>注册证1份</w:t>
            </w:r>
          </w:p>
          <w:p w14:paraId="60A946D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3.保修卡1份</w:t>
            </w:r>
          </w:p>
          <w:p w14:paraId="57546D1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4.说明书1份</w:t>
            </w:r>
          </w:p>
          <w:p w14:paraId="5AA0E1A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5.搁架5个</w:t>
            </w:r>
          </w:p>
          <w:p w14:paraId="4CCF8A74">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6.卡扣20</w:t>
            </w:r>
            <w:r>
              <w:rPr>
                <w:rFonts w:hint="eastAsia" w:ascii="宋体" w:hAnsi="宋体" w:cs="宋体"/>
                <w:color w:val="auto"/>
                <w:sz w:val="21"/>
                <w:szCs w:val="21"/>
                <w:highlight w:val="none"/>
                <w:lang w:val="en-US" w:eastAsia="zh-CN"/>
              </w:rPr>
              <w:t>个</w:t>
            </w:r>
          </w:p>
          <w:p w14:paraId="5D293B35">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7.标价条5</w:t>
            </w:r>
            <w:r>
              <w:rPr>
                <w:rFonts w:hint="eastAsia" w:ascii="宋体" w:hAnsi="宋体" w:cs="宋体"/>
                <w:color w:val="auto"/>
                <w:sz w:val="21"/>
                <w:szCs w:val="21"/>
                <w:highlight w:val="none"/>
                <w:lang w:val="en-US" w:eastAsia="zh-CN"/>
              </w:rPr>
              <w:t>条</w:t>
            </w:r>
          </w:p>
          <w:p w14:paraId="4F9BED58">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8.钥匙2</w:t>
            </w:r>
            <w:r>
              <w:rPr>
                <w:rFonts w:hint="eastAsia" w:ascii="宋体" w:hAnsi="宋体" w:cs="宋体"/>
                <w:color w:val="auto"/>
                <w:sz w:val="21"/>
                <w:szCs w:val="21"/>
                <w:highlight w:val="none"/>
                <w:lang w:val="en-US" w:eastAsia="zh-CN"/>
              </w:rPr>
              <w:t>条</w:t>
            </w:r>
          </w:p>
          <w:p w14:paraId="4ED47CD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9.限位件2个</w:t>
            </w:r>
          </w:p>
          <w:p w14:paraId="21E94889">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10.电源线1</w:t>
            </w:r>
            <w:r>
              <w:rPr>
                <w:rFonts w:hint="eastAsia" w:ascii="宋体" w:hAnsi="宋体" w:cs="宋体"/>
                <w:color w:val="auto"/>
                <w:sz w:val="21"/>
                <w:szCs w:val="21"/>
                <w:highlight w:val="none"/>
                <w:lang w:val="en-US" w:eastAsia="zh-CN"/>
              </w:rPr>
              <w:t>条</w:t>
            </w:r>
          </w:p>
        </w:tc>
        <w:tc>
          <w:tcPr>
            <w:tcW w:w="1100" w:type="dxa"/>
            <w:tcBorders>
              <w:left w:val="single" w:color="auto" w:sz="4" w:space="0"/>
            </w:tcBorders>
            <w:shd w:val="clear" w:color="auto" w:fill="auto"/>
            <w:vAlign w:val="center"/>
          </w:tcPr>
          <w:p w14:paraId="49FD5A6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w:t>
            </w:r>
          </w:p>
        </w:tc>
      </w:tr>
      <w:tr w14:paraId="1452D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trPr>
        <w:tc>
          <w:tcPr>
            <w:tcW w:w="9252" w:type="dxa"/>
            <w:gridSpan w:val="7"/>
            <w:vAlign w:val="center"/>
          </w:tcPr>
          <w:p w14:paraId="3FB8C85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color w:val="auto"/>
                <w:sz w:val="21"/>
                <w:szCs w:val="21"/>
                <w:highlight w:val="none"/>
                <w:lang w:val="en-US" w:eastAsia="zh-CN"/>
              </w:rPr>
              <w:t>外科</w:t>
            </w:r>
          </w:p>
        </w:tc>
      </w:tr>
      <w:tr w14:paraId="04501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5D3D1B6F">
            <w:pPr>
              <w:numPr>
                <w:ilvl w:val="0"/>
                <w:numId w:val="14"/>
              </w:numPr>
              <w:snapToGrid w:val="0"/>
              <w:spacing w:line="360" w:lineRule="auto"/>
              <w:jc w:val="center"/>
              <w:rPr>
                <w:rFonts w:hint="eastAsia" w:ascii="宋体" w:hAnsi="宋体" w:eastAsia="宋体" w:cs="宋体"/>
                <w:color w:val="auto"/>
                <w:sz w:val="21"/>
                <w:szCs w:val="21"/>
                <w:highlight w:val="none"/>
              </w:rPr>
            </w:pPr>
          </w:p>
        </w:tc>
        <w:tc>
          <w:tcPr>
            <w:tcW w:w="850" w:type="dxa"/>
            <w:shd w:val="clear" w:color="auto" w:fill="auto"/>
            <w:vAlign w:val="center"/>
          </w:tcPr>
          <w:p w14:paraId="52765287">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简易手术床（电动手术台）</w:t>
            </w:r>
          </w:p>
        </w:tc>
        <w:tc>
          <w:tcPr>
            <w:tcW w:w="500" w:type="dxa"/>
            <w:tcBorders>
              <w:right w:val="single" w:color="auto" w:sz="4" w:space="0"/>
            </w:tcBorders>
            <w:shd w:val="clear" w:color="auto" w:fill="auto"/>
            <w:vAlign w:val="center"/>
          </w:tcPr>
          <w:p w14:paraId="310ED74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514" w:type="dxa"/>
            <w:gridSpan w:val="2"/>
            <w:tcBorders>
              <w:left w:val="single" w:color="auto" w:sz="4" w:space="0"/>
              <w:right w:val="single" w:color="auto" w:sz="4" w:space="0"/>
            </w:tcBorders>
            <w:vAlign w:val="center"/>
          </w:tcPr>
          <w:p w14:paraId="0112444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张</w:t>
            </w:r>
          </w:p>
        </w:tc>
        <w:tc>
          <w:tcPr>
            <w:tcW w:w="5721" w:type="dxa"/>
            <w:tcBorders>
              <w:left w:val="single" w:color="auto" w:sz="4" w:space="0"/>
              <w:right w:val="single" w:color="auto" w:sz="4" w:space="0"/>
            </w:tcBorders>
            <w:vAlign w:val="center"/>
          </w:tcPr>
          <w:p w14:paraId="1856CC0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0163816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1.主要技术参数</w:t>
            </w:r>
          </w:p>
          <w:p w14:paraId="0134CCB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.电动液压驱动系统：液压系统全部选用电动液压系统。台面的升降、前后倾、左右倾，平移，背板上下折活动均由系统控制，头板、腿板为手动操作。</w:t>
            </w:r>
          </w:p>
          <w:p w14:paraId="64D1872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.手术床底座外罩，升降立柱外罩、床框及金属配件均采用SUS#304不锈钢材料制作。</w:t>
            </w:r>
          </w:p>
          <w:p w14:paraId="0D9DAF9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.手术床具有电动刹车功能。</w:t>
            </w:r>
          </w:p>
          <w:p w14:paraId="56205D7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.手术床配</w:t>
            </w:r>
            <w:r>
              <w:rPr>
                <w:rFonts w:hint="eastAsia" w:ascii="宋体" w:hAnsi="宋体" w:cs="宋体"/>
                <w:color w:val="auto"/>
                <w:sz w:val="21"/>
                <w:szCs w:val="21"/>
                <w:highlight w:val="none"/>
                <w:lang w:val="en-US" w:eastAsia="zh-CN"/>
              </w:rPr>
              <w:t>备</w:t>
            </w:r>
            <w:r>
              <w:rPr>
                <w:rFonts w:hint="eastAsia" w:ascii="宋体" w:hAnsi="宋体" w:eastAsia="宋体" w:cs="宋体"/>
                <w:color w:val="auto"/>
                <w:sz w:val="21"/>
                <w:szCs w:val="21"/>
                <w:highlight w:val="none"/>
                <w:lang w:val="en-US" w:eastAsia="zh-CN"/>
              </w:rPr>
              <w:t>充电电池，确保手术床在无外源电供电状态下工作，同时具有交流电源供电功能。</w:t>
            </w:r>
          </w:p>
          <w:p w14:paraId="348D820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.床身可前后水平移动≥300mm。整床可透X光线。采用台湾高精密直线轨道，运行平稳无间隙。</w:t>
            </w:r>
          </w:p>
          <w:p w14:paraId="4D81B88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床垫：采用记忆海绵床垫，缓解患者压力点，防止术后褥疮发生；床垫材质符合安全标准，表面具有抗菌功能（尤其是对金色葡萄球菌、大肠杆菌、铜绿假单胞菌等抗菌率达到了＞99.99%）且易清洁，符合手术室消毒要求。</w:t>
            </w:r>
          </w:p>
          <w:p w14:paraId="60EB501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.整机设计符合国家医用</w:t>
            </w:r>
            <w:r>
              <w:rPr>
                <w:rFonts w:hint="eastAsia" w:ascii="宋体" w:hAnsi="宋体" w:cs="宋体"/>
                <w:color w:val="auto"/>
                <w:sz w:val="21"/>
                <w:szCs w:val="21"/>
                <w:highlight w:val="none"/>
                <w:lang w:val="en-US" w:eastAsia="zh-CN"/>
              </w:rPr>
              <w:t>电气</w:t>
            </w:r>
            <w:r>
              <w:rPr>
                <w:rFonts w:hint="eastAsia" w:ascii="宋体" w:hAnsi="宋体" w:eastAsia="宋体" w:cs="宋体"/>
                <w:color w:val="auto"/>
                <w:sz w:val="21"/>
                <w:szCs w:val="21"/>
                <w:highlight w:val="none"/>
                <w:lang w:val="en-US" w:eastAsia="zh-CN"/>
              </w:rPr>
              <w:t>安全标准，配</w:t>
            </w:r>
            <w:r>
              <w:rPr>
                <w:rFonts w:hint="eastAsia" w:ascii="宋体" w:hAnsi="宋体" w:cs="宋体"/>
                <w:color w:val="auto"/>
                <w:sz w:val="21"/>
                <w:szCs w:val="21"/>
                <w:highlight w:val="none"/>
                <w:lang w:val="en-US" w:eastAsia="zh-CN"/>
              </w:rPr>
              <w:t>备</w:t>
            </w:r>
            <w:r>
              <w:rPr>
                <w:rFonts w:hint="eastAsia" w:ascii="宋体" w:hAnsi="宋体" w:eastAsia="宋体" w:cs="宋体"/>
                <w:color w:val="auto"/>
                <w:sz w:val="21"/>
                <w:szCs w:val="21"/>
                <w:highlight w:val="none"/>
                <w:lang w:val="en-US" w:eastAsia="zh-CN"/>
              </w:rPr>
              <w:t>功能的附件，以适合不同手术的需要。</w:t>
            </w:r>
          </w:p>
          <w:p w14:paraId="151BBC2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w:t>
            </w:r>
            <w:r>
              <w:rPr>
                <w:rFonts w:hint="eastAsia"/>
                <w:color w:val="auto"/>
                <w:highlight w:val="none"/>
                <w:lang w:val="en-US" w:eastAsia="zh-CN"/>
              </w:rPr>
              <w:t>支持后续升级选配</w:t>
            </w:r>
            <w:r>
              <w:rPr>
                <w:rFonts w:hint="eastAsia" w:ascii="宋体" w:hAnsi="宋体" w:eastAsia="宋体" w:cs="宋体"/>
                <w:color w:val="auto"/>
                <w:sz w:val="21"/>
                <w:szCs w:val="21"/>
                <w:highlight w:val="none"/>
                <w:lang w:val="en-US" w:eastAsia="zh-CN"/>
              </w:rPr>
              <w:t>同品牌骨科牵引器。</w:t>
            </w:r>
          </w:p>
          <w:p w14:paraId="02C4475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.床台具备急停开关，突遇手术床故障时，一键即可切断电源，停止床台所有动作；</w:t>
            </w:r>
          </w:p>
          <w:p w14:paraId="777D8D2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.标配一键水平复位、FLEXPosition和RE-FLEXPosition体位，30秒自动锁定</w:t>
            </w:r>
            <w:r>
              <w:rPr>
                <w:rFonts w:hint="eastAsia" w:ascii="宋体" w:hAnsi="宋体" w:cs="宋体"/>
                <w:color w:val="auto"/>
                <w:sz w:val="21"/>
                <w:szCs w:val="21"/>
                <w:highlight w:val="none"/>
                <w:lang w:val="en-US" w:eastAsia="zh-CN"/>
              </w:rPr>
              <w:t>。</w:t>
            </w:r>
          </w:p>
          <w:p w14:paraId="6C57131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.床台腿板采用分体式设计，行程中任意位置均可定位；</w:t>
            </w:r>
          </w:p>
          <w:p w14:paraId="4C9703F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2.性能项</w:t>
            </w:r>
          </w:p>
          <w:p w14:paraId="14657A2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▲2.1.双起背旋转结构</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五段床身设计，分为：头部段、背部段、内置腰桥、臀部段、腿部段。</w:t>
            </w:r>
          </w:p>
          <w:p w14:paraId="2D36833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▲2.2.关键升降立柱部分：手术床升降立柱≥3节，承重具有二倍的安全系数，采用方形立柱升降，八只固定紧锁件。</w:t>
            </w:r>
          </w:p>
          <w:p w14:paraId="3D53FD2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▲2.3.手术床底座部分采用T型结构设计，不锈钢分体式底座装，稳固，易于清洁与消毒，T型底座后端处宽度</w:t>
            </w:r>
            <w:r>
              <w:rPr>
                <w:rFonts w:hint="eastAsia" w:ascii="宋体" w:hAnsi="宋体" w:cs="宋体"/>
                <w:color w:val="auto"/>
                <w:sz w:val="21"/>
                <w:szCs w:val="21"/>
                <w:highlight w:val="none"/>
                <w:lang w:val="en-US" w:eastAsia="zh-CN"/>
              </w:rPr>
              <w:t>约</w:t>
            </w:r>
            <w:r>
              <w:rPr>
                <w:rFonts w:hint="eastAsia" w:ascii="宋体" w:hAnsi="宋体" w:eastAsia="宋体" w:cs="宋体"/>
                <w:color w:val="auto"/>
                <w:sz w:val="21"/>
                <w:szCs w:val="21"/>
                <w:highlight w:val="none"/>
                <w:lang w:val="en-US" w:eastAsia="zh-CN"/>
              </w:rPr>
              <w:t>550mm，</w:t>
            </w:r>
            <w:r>
              <w:rPr>
                <w:rFonts w:hint="eastAsia" w:ascii="宋体" w:hAnsi="宋体" w:cs="宋体"/>
                <w:color w:val="auto"/>
                <w:sz w:val="21"/>
                <w:szCs w:val="21"/>
                <w:highlight w:val="none"/>
                <w:lang w:val="en-US" w:eastAsia="zh-CN"/>
              </w:rPr>
              <w:t>前端</w:t>
            </w:r>
            <w:r>
              <w:rPr>
                <w:rFonts w:hint="eastAsia" w:ascii="宋体" w:hAnsi="宋体" w:eastAsia="宋体" w:cs="宋体"/>
                <w:color w:val="auto"/>
                <w:sz w:val="21"/>
                <w:szCs w:val="21"/>
                <w:highlight w:val="none"/>
                <w:lang w:val="en-US" w:eastAsia="zh-CN"/>
              </w:rPr>
              <w:t>宽度</w:t>
            </w:r>
            <w:r>
              <w:rPr>
                <w:rFonts w:hint="eastAsia" w:ascii="宋体" w:hAnsi="宋体" w:cs="宋体"/>
                <w:color w:val="auto"/>
                <w:sz w:val="21"/>
                <w:szCs w:val="21"/>
                <w:highlight w:val="none"/>
                <w:lang w:val="en-US" w:eastAsia="zh-CN"/>
              </w:rPr>
              <w:t>约</w:t>
            </w:r>
            <w:r>
              <w:rPr>
                <w:rFonts w:hint="eastAsia" w:ascii="宋体" w:hAnsi="宋体" w:eastAsia="宋体" w:cs="宋体"/>
                <w:color w:val="auto"/>
                <w:sz w:val="21"/>
                <w:szCs w:val="21"/>
                <w:highlight w:val="none"/>
                <w:lang w:val="en-US" w:eastAsia="zh-CN"/>
              </w:rPr>
              <w:t>380mm，全长</w:t>
            </w:r>
            <w:r>
              <w:rPr>
                <w:rFonts w:hint="eastAsia" w:ascii="宋体" w:hAnsi="宋体" w:cs="宋体"/>
                <w:color w:val="auto"/>
                <w:sz w:val="21"/>
                <w:szCs w:val="21"/>
                <w:highlight w:val="none"/>
                <w:lang w:val="en-US" w:eastAsia="zh-CN"/>
              </w:rPr>
              <w:t>约</w:t>
            </w:r>
            <w:r>
              <w:rPr>
                <w:rFonts w:hint="eastAsia" w:ascii="宋体" w:hAnsi="宋体" w:eastAsia="宋体" w:cs="宋体"/>
                <w:color w:val="auto"/>
                <w:sz w:val="21"/>
                <w:szCs w:val="21"/>
                <w:highlight w:val="none"/>
                <w:lang w:val="en-US" w:eastAsia="zh-CN"/>
              </w:rPr>
              <w:t>1080mm，底座厚度</w:t>
            </w:r>
            <w:r>
              <w:rPr>
                <w:rFonts w:hint="eastAsia" w:ascii="宋体" w:hAnsi="宋体" w:cs="宋体"/>
                <w:color w:val="auto"/>
                <w:sz w:val="21"/>
                <w:szCs w:val="21"/>
                <w:highlight w:val="none"/>
                <w:lang w:val="en-US" w:eastAsia="zh-CN"/>
              </w:rPr>
              <w:t>至少</w:t>
            </w:r>
            <w:r>
              <w:rPr>
                <w:rFonts w:hint="eastAsia" w:ascii="宋体" w:hAnsi="宋体" w:eastAsia="宋体" w:cs="宋体"/>
                <w:color w:val="auto"/>
                <w:sz w:val="21"/>
                <w:szCs w:val="21"/>
                <w:highlight w:val="none"/>
                <w:lang w:val="en-US" w:eastAsia="zh-CN"/>
              </w:rPr>
              <w:t>150mm。</w:t>
            </w:r>
          </w:p>
          <w:p w14:paraId="4C1A9D1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▲2.4.手术床采用方框式床框连接。手术床在承重350kg时手术台无抖动卡顿的现象。</w:t>
            </w:r>
          </w:p>
          <w:p w14:paraId="3973250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▲2.5.头板：可上折90°、下折90°。</w:t>
            </w:r>
          </w:p>
          <w:p w14:paraId="68185CC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2.6.技术指标：</w:t>
            </w:r>
          </w:p>
          <w:p w14:paraId="5442D9B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2.6.1.手术台长度2050±50mm</w:t>
            </w:r>
          </w:p>
          <w:p w14:paraId="7FF5AD7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2.6.2.手术台台面宽度550mm±5mm</w:t>
            </w:r>
          </w:p>
          <w:p w14:paraId="7C47776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2.6.3.头板长度≥260mm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宽度≥375mm</w:t>
            </w:r>
          </w:p>
          <w:p w14:paraId="11779EF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2.6.4.背板长度≥480mm</w:t>
            </w:r>
          </w:p>
          <w:p w14:paraId="1A8E181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2.6.5.腰桥长度≥100mm</w:t>
            </w:r>
          </w:p>
          <w:p w14:paraId="26AC11A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2.6.6.分体式腿板，每个腿板长度≥520mm.宽度≥270mm</w:t>
            </w:r>
          </w:p>
          <w:p w14:paraId="4CB3B44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2.6.7.电源电压</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220V±10%50Hz</w:t>
            </w:r>
          </w:p>
          <w:p w14:paraId="2A6C40C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2.6.8.功率</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500VA</w:t>
            </w:r>
          </w:p>
          <w:p w14:paraId="604FAA8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2.6.9.手术台功能调节范围：</w:t>
            </w:r>
          </w:p>
          <w:p w14:paraId="266C51B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2.6.9.1.前后倾≥26°（电动）±5°</w:t>
            </w:r>
          </w:p>
          <w:p w14:paraId="7DD2463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2.6.9.2.左右倾≥21°（电动）±5°</w:t>
            </w:r>
          </w:p>
          <w:p w14:paraId="2A6C15D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2.6.9.3.前后水平移动≥300mm（电动）</w:t>
            </w:r>
          </w:p>
          <w:p w14:paraId="47EB1F7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2.6.9.4.背板上折≥80°（电动）</w:t>
            </w:r>
          </w:p>
          <w:p w14:paraId="213F267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2.6.9.5.背板下折≥40°（电动）</w:t>
            </w:r>
          </w:p>
          <w:p w14:paraId="076B1C3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2.6.9.6.腰桥升降高度≥120mm（手动）</w:t>
            </w:r>
          </w:p>
          <w:p w14:paraId="519548C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2.6.9.7.腿板上折≥15°下折≥90°，水平外展≥90°（手动）</w:t>
            </w:r>
          </w:p>
          <w:p w14:paraId="54D9D74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2.6.9.8.手术台最低及最高(680-1030mm)±50mm（电动）</w:t>
            </w:r>
          </w:p>
          <w:p w14:paraId="41D4604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2.6.9.10.手术床行程≥350mm</w:t>
            </w:r>
          </w:p>
          <w:p w14:paraId="0C96175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二、配置要求：</w:t>
            </w:r>
          </w:p>
          <w:p w14:paraId="134124A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1.SUS#304全不锈钢五段床体1台</w:t>
            </w:r>
          </w:p>
          <w:p w14:paraId="6763F62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2.肩托1对</w:t>
            </w:r>
          </w:p>
          <w:p w14:paraId="163DAC0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3.肩托滑块固定器1对</w:t>
            </w:r>
          </w:p>
          <w:p w14:paraId="7121FBA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4.腰托1对</w:t>
            </w:r>
          </w:p>
          <w:p w14:paraId="7AB977D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5.腰托滑块固定器1对</w:t>
            </w:r>
          </w:p>
          <w:p w14:paraId="15A4F98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6.优质进口动力系统1套</w:t>
            </w:r>
          </w:p>
          <w:p w14:paraId="77B07F1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7.有线遥控器1个</w:t>
            </w:r>
          </w:p>
          <w:p w14:paraId="1849CC9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8.托脚架2件</w:t>
            </w:r>
          </w:p>
          <w:p w14:paraId="338775F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9.托脚架滑块固定器2件</w:t>
            </w:r>
          </w:p>
          <w:p w14:paraId="1175F97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10.托手架2件</w:t>
            </w:r>
          </w:p>
          <w:p w14:paraId="2FC1416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11.托手架滑块固定器2件</w:t>
            </w:r>
          </w:p>
          <w:p w14:paraId="58E89B8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12.6CM厚记忆海绵床垫1套</w:t>
            </w:r>
          </w:p>
          <w:p w14:paraId="66C9B2B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13.麻醉屏架1付</w:t>
            </w:r>
          </w:p>
          <w:p w14:paraId="37EA0FD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14.麻醉屏风架滑块固定器1个</w:t>
            </w:r>
          </w:p>
        </w:tc>
        <w:tc>
          <w:tcPr>
            <w:tcW w:w="1100" w:type="dxa"/>
            <w:tcBorders>
              <w:left w:val="single" w:color="auto" w:sz="4" w:space="0"/>
            </w:tcBorders>
            <w:shd w:val="clear" w:color="auto" w:fill="auto"/>
            <w:vAlign w:val="center"/>
          </w:tcPr>
          <w:p w14:paraId="30CD58A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w:t>
            </w:r>
          </w:p>
        </w:tc>
      </w:tr>
      <w:tr w14:paraId="26B79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77659BD9">
            <w:pPr>
              <w:numPr>
                <w:ilvl w:val="0"/>
                <w:numId w:val="14"/>
              </w:numPr>
              <w:snapToGrid w:val="0"/>
              <w:spacing w:line="360" w:lineRule="auto"/>
              <w:jc w:val="center"/>
              <w:rPr>
                <w:rFonts w:hint="eastAsia" w:ascii="宋体" w:hAnsi="宋体" w:eastAsia="宋体" w:cs="宋体"/>
                <w:color w:val="auto"/>
                <w:sz w:val="21"/>
                <w:szCs w:val="21"/>
                <w:highlight w:val="none"/>
              </w:rPr>
            </w:pPr>
          </w:p>
        </w:tc>
        <w:tc>
          <w:tcPr>
            <w:tcW w:w="850" w:type="dxa"/>
            <w:shd w:val="clear" w:color="auto" w:fill="auto"/>
            <w:vAlign w:val="center"/>
          </w:tcPr>
          <w:p w14:paraId="01713D6E">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体外冲击波碎石机</w:t>
            </w:r>
          </w:p>
        </w:tc>
        <w:tc>
          <w:tcPr>
            <w:tcW w:w="500" w:type="dxa"/>
            <w:tcBorders>
              <w:right w:val="single" w:color="auto" w:sz="4" w:space="0"/>
            </w:tcBorders>
            <w:shd w:val="clear" w:color="auto" w:fill="auto"/>
            <w:vAlign w:val="center"/>
          </w:tcPr>
          <w:p w14:paraId="3F298E6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gridSpan w:val="2"/>
            <w:tcBorders>
              <w:left w:val="single" w:color="auto" w:sz="4" w:space="0"/>
              <w:right w:val="single" w:color="auto" w:sz="4" w:space="0"/>
            </w:tcBorders>
            <w:vAlign w:val="center"/>
          </w:tcPr>
          <w:p w14:paraId="1F49D2D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台</w:t>
            </w:r>
          </w:p>
        </w:tc>
        <w:tc>
          <w:tcPr>
            <w:tcW w:w="5721" w:type="dxa"/>
            <w:tcBorders>
              <w:left w:val="single" w:color="auto" w:sz="4" w:space="0"/>
              <w:right w:val="single" w:color="auto" w:sz="4" w:space="0"/>
            </w:tcBorders>
            <w:vAlign w:val="center"/>
          </w:tcPr>
          <w:p w14:paraId="1BC3B15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0401B4F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1.机器特点：</w:t>
            </w:r>
          </w:p>
          <w:p w14:paraId="6E79149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1.1.上置直线定位</w:t>
            </w:r>
          </w:p>
          <w:p w14:paraId="35178A0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1.2.液电冲击波源</w:t>
            </w:r>
          </w:p>
          <w:p w14:paraId="0C1F860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1.2.1.电源条件：</w:t>
            </w:r>
          </w:p>
          <w:p w14:paraId="625AC0D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1.2.1.1.电源相数：单相</w:t>
            </w:r>
          </w:p>
          <w:p w14:paraId="281EA78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1.2.1.2.电源电压：（AC）220V±10%</w:t>
            </w:r>
          </w:p>
          <w:p w14:paraId="05713E8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1.2.1.3.电源频率：50Hz±2%</w:t>
            </w:r>
          </w:p>
          <w:p w14:paraId="0C8DD76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1.2.1.4.输入功率：1000W</w:t>
            </w:r>
          </w:p>
          <w:p w14:paraId="4D51EBC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1.2.1.5.电流：5A</w:t>
            </w:r>
          </w:p>
          <w:p w14:paraId="7BF3D81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1.2.2.冲击波发生器：</w:t>
            </w:r>
          </w:p>
          <w:p w14:paraId="2A00366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1.2.2.1.高压放电范围：4～8kV（可调）冲击波能量4.8～19.2J；</w:t>
            </w:r>
          </w:p>
          <w:p w14:paraId="1BE525F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▲1.2.2.2.触发方式：自动触发、心电触发；呼吸同步触发</w:t>
            </w:r>
          </w:p>
          <w:p w14:paraId="2E3FC08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1.2.2.3.冲击脉冲间隙</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慢档1.2秒，快档1.0秒；</w:t>
            </w:r>
          </w:p>
          <w:p w14:paraId="54055F4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▲1.2.2.4.冲击脉冲计数方式：加法计数，数码管数字显示，设有复零、超出1000次自动停止功能。</w:t>
            </w:r>
          </w:p>
          <w:p w14:paraId="71610E0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1.2.3.冲击波源第二焦点指标</w:t>
            </w:r>
          </w:p>
          <w:p w14:paraId="642574E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1.2.3.1.第二焦点冲击波：</w:t>
            </w:r>
          </w:p>
          <w:p w14:paraId="63F2FD8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峰值20—60MPa</w:t>
            </w:r>
          </w:p>
          <w:p w14:paraId="2C4CADD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脉宽≤1μS</w:t>
            </w:r>
          </w:p>
          <w:p w14:paraId="10D21E4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前沿≤0.5μS</w:t>
            </w:r>
          </w:p>
          <w:p w14:paraId="1DBA5C7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1.2.3.2.第二焦点冲击波聚焦范围：径向≤±7mm轴向≤±17mm</w:t>
            </w:r>
          </w:p>
          <w:p w14:paraId="59FDB36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▲1.2.3.3.第二焦点与反射体上端口平面距离：110～115mm</w:t>
            </w:r>
          </w:p>
          <w:p w14:paraId="07BCBBE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1.2.3.4.实际焦点与监视器定位标志的偏差：≤3mm。</w:t>
            </w:r>
          </w:p>
          <w:p w14:paraId="6C86DA9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1.2.4.反射体（以下简称缸）：</w:t>
            </w:r>
          </w:p>
          <w:p w14:paraId="53DCA88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1.2.4.1.缸面直径150mm</w:t>
            </w:r>
          </w:p>
          <w:p w14:paraId="2A78CA5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1.2.4.2.缸面到第二焦点距离110～115mm</w:t>
            </w:r>
          </w:p>
          <w:p w14:paraId="55155EB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1.2.5.B超定位系统：</w:t>
            </w:r>
          </w:p>
          <w:p w14:paraId="552089F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1.2.5.1.B超定位架长165mm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宽18mm</w:t>
            </w:r>
          </w:p>
          <w:p w14:paraId="4050DD7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1.2.5.2.B超探头架可调范围：50—150mm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顺环旋转360度，整体向上提90度。</w:t>
            </w:r>
          </w:p>
          <w:p w14:paraId="70154C4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1.2.6.治疗床（平式）</w:t>
            </w:r>
          </w:p>
          <w:p w14:paraId="24312F5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1.2.6.1.尺寸</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10mm）</w:t>
            </w:r>
            <w:r>
              <w:rPr>
                <w:rFonts w:hint="eastAsia" w:ascii="宋体" w:hAnsi="宋体" w:eastAsia="宋体" w:cs="宋体"/>
                <w:color w:val="auto"/>
                <w:sz w:val="21"/>
                <w:szCs w:val="21"/>
                <w:highlight w:val="none"/>
                <w:lang w:val="en-US" w:eastAsia="zh-CN"/>
              </w:rPr>
              <w:t>：1950mm×780mm（长×宽）</w:t>
            </w:r>
          </w:p>
          <w:p w14:paraId="3F20D18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1.2.6.2.前后行程：250mm±</w:t>
            </w:r>
            <w:r>
              <w:rPr>
                <w:rFonts w:hint="eastAsia" w:ascii="宋体" w:hAnsi="宋体" w:cs="宋体"/>
                <w:color w:val="auto"/>
                <w:sz w:val="21"/>
                <w:szCs w:val="21"/>
                <w:highlight w:val="none"/>
                <w:lang w:val="en-US" w:eastAsia="zh-CN"/>
              </w:rPr>
              <w:t>5mm</w:t>
            </w:r>
          </w:p>
          <w:p w14:paraId="475DD07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1.2.6.3.左右行程：300mm±</w:t>
            </w:r>
            <w:r>
              <w:rPr>
                <w:rFonts w:hint="eastAsia" w:ascii="宋体" w:hAnsi="宋体" w:cs="宋体"/>
                <w:color w:val="auto"/>
                <w:sz w:val="21"/>
                <w:szCs w:val="21"/>
                <w:highlight w:val="none"/>
                <w:lang w:val="en-US" w:eastAsia="zh-CN"/>
              </w:rPr>
              <w:t>5mm</w:t>
            </w:r>
          </w:p>
          <w:p w14:paraId="7CFD29D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1.2.6.4.治疗床载重达：135kg±</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kg</w:t>
            </w:r>
          </w:p>
          <w:p w14:paraId="0630958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▲1.2.7.立柱（可调式）</w:t>
            </w:r>
          </w:p>
          <w:p w14:paraId="42B50BA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1.2.7.1.尺寸</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10mm）</w:t>
            </w:r>
            <w:r>
              <w:rPr>
                <w:rFonts w:hint="eastAsia" w:ascii="宋体" w:hAnsi="宋体" w:eastAsia="宋体" w:cs="宋体"/>
                <w:color w:val="auto"/>
                <w:sz w:val="21"/>
                <w:szCs w:val="21"/>
                <w:highlight w:val="none"/>
                <w:lang w:val="en-US" w:eastAsia="zh-CN"/>
              </w:rPr>
              <w:t>：1850×950×250mm(长×宽×高)</w:t>
            </w:r>
          </w:p>
          <w:p w14:paraId="4FCE734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1.2.7.2.上下行程：300mm±</w:t>
            </w:r>
            <w:r>
              <w:rPr>
                <w:rFonts w:hint="eastAsia" w:ascii="宋体" w:hAnsi="宋体" w:cs="宋体"/>
                <w:color w:val="auto"/>
                <w:sz w:val="21"/>
                <w:szCs w:val="21"/>
                <w:highlight w:val="none"/>
                <w:lang w:val="en-US" w:eastAsia="zh-CN"/>
              </w:rPr>
              <w:t>5mm</w:t>
            </w:r>
          </w:p>
          <w:p w14:paraId="625B9FF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2.全数字超声显像诊断仪技术参数</w:t>
            </w:r>
          </w:p>
          <w:p w14:paraId="2818F84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2.1.应用范围：配碎石机专用型超声，用于腹部、泌尿科、外周血管和小器官等的临床诊断。</w:t>
            </w:r>
          </w:p>
          <w:p w14:paraId="03D9E99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2.2.基本参数</w:t>
            </w:r>
          </w:p>
          <w:p w14:paraId="0D266F6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▲2.2.1.设备物理特性：</w:t>
            </w:r>
            <w:r>
              <w:rPr>
                <w:rFonts w:hint="eastAsia" w:ascii="宋体" w:hAnsi="宋体" w:cs="宋体"/>
                <w:color w:val="auto"/>
                <w:sz w:val="21"/>
                <w:szCs w:val="21"/>
                <w:highlight w:val="none"/>
                <w:lang w:val="en-US" w:eastAsia="zh-CN"/>
              </w:rPr>
              <w:t>配备</w:t>
            </w:r>
            <w:r>
              <w:rPr>
                <w:rFonts w:hint="eastAsia" w:ascii="宋体" w:hAnsi="宋体" w:eastAsia="宋体" w:cs="宋体"/>
                <w:color w:val="auto"/>
                <w:sz w:val="21"/>
                <w:szCs w:val="21"/>
                <w:highlight w:val="none"/>
                <w:lang w:val="en-US" w:eastAsia="zh-CN"/>
              </w:rPr>
              <w:t>碎石机专用型超声主机，主机钢材外壳结构，屏蔽碎石机的辐射</w:t>
            </w:r>
            <w:r>
              <w:rPr>
                <w:rFonts w:hint="eastAsia" w:ascii="宋体" w:hAnsi="宋体" w:cs="宋体"/>
                <w:color w:val="auto"/>
                <w:sz w:val="21"/>
                <w:szCs w:val="21"/>
                <w:highlight w:val="none"/>
                <w:lang w:val="en-US" w:eastAsia="zh-CN"/>
              </w:rPr>
              <w:t>。</w:t>
            </w:r>
          </w:p>
          <w:p w14:paraId="5691CD5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▲2.2.2.配碎石机专用凸阵探头：</w:t>
            </w:r>
          </w:p>
          <w:p w14:paraId="4F21233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2.2.2.1.超宽频、高密度、五个基波中心频率(2.5MHz、3.0MHz、3.5MHz、4.5MHz、6.0MHz)可视可调</w:t>
            </w:r>
            <w:r>
              <w:rPr>
                <w:rFonts w:hint="eastAsia" w:ascii="宋体" w:hAnsi="宋体" w:cs="宋体"/>
                <w:color w:val="auto"/>
                <w:sz w:val="21"/>
                <w:szCs w:val="21"/>
                <w:highlight w:val="none"/>
                <w:lang w:val="en-US" w:eastAsia="zh-CN"/>
              </w:rPr>
              <w:t>。</w:t>
            </w:r>
          </w:p>
          <w:p w14:paraId="0DE2802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2.2.2.2.显示角度：30°-75°可视可调。</w:t>
            </w:r>
          </w:p>
          <w:p w14:paraId="5578F49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2.2.2.3.探头阵元数：</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128</w:t>
            </w:r>
          </w:p>
          <w:p w14:paraId="481E2A7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2.2.3.显示器：</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15寸超声专用液晶显示器</w:t>
            </w:r>
          </w:p>
          <w:p w14:paraId="20B8724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2.2.4.显示模式：B、2B、4B、M、B/M、ZOOMB</w:t>
            </w:r>
          </w:p>
          <w:p w14:paraId="3D4ECBD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2.2.5.探头插座：2个，电子切换</w:t>
            </w:r>
          </w:p>
          <w:p w14:paraId="355D249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2.2.6.探测深度：3cm—25.5cm可视可调</w:t>
            </w:r>
          </w:p>
          <w:p w14:paraId="71A4B7F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2.2.7.分辨力：横向分辨率：≤2mm、纵向分辨率：≤1mm</w:t>
            </w:r>
          </w:p>
          <w:p w14:paraId="63A871A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▲2.2.8.动态范围：36-180dB，</w:t>
            </w:r>
            <w:r>
              <w:rPr>
                <w:rFonts w:hint="eastAsia" w:ascii="宋体" w:hAnsi="宋体" w:cs="宋体"/>
                <w:color w:val="auto"/>
                <w:sz w:val="21"/>
                <w:szCs w:val="21"/>
                <w:highlight w:val="none"/>
                <w:lang w:val="en-US" w:eastAsia="zh-CN"/>
              </w:rPr>
              <w:t>可视可调</w:t>
            </w:r>
          </w:p>
          <w:p w14:paraId="30F789C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2.2.9.TGC（分段增益）：</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8段</w:t>
            </w:r>
          </w:p>
          <w:p w14:paraId="35F5C5F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2.2.10.灰阶：</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256灰阶</w:t>
            </w:r>
          </w:p>
          <w:p w14:paraId="09A154B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2.2.11.自定义快捷键设置功能：具有7个以上按键可由用户自定义使用功能</w:t>
            </w:r>
          </w:p>
          <w:p w14:paraId="1A9E3C8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2.2.12.系统预设置功能：各种脏器可根据需要在系统中预设检测数据</w:t>
            </w:r>
          </w:p>
          <w:p w14:paraId="57A6C56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2.2.13.测量与计算：B型，距离面积、周长、体积、角度；M型，距离、时间、心率、斜率</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心功能测量软件包、产科测量软件包</w:t>
            </w:r>
          </w:p>
          <w:p w14:paraId="10C5814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2.2.14.泌尿系统测量软件包：肾脏、膀胱、前列腺、精囊、尿残余测量软件包并自动生成报告</w:t>
            </w:r>
          </w:p>
          <w:p w14:paraId="109F73D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2.2.15.配碎石机专用软件：具有定位中线与动态测量功能，方便碎石定位及测量，同时具有穿刺引导线与穿刺软件包，可做经皮穿刺引导。</w:t>
            </w:r>
          </w:p>
          <w:p w14:paraId="2A33AF7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3.基本配置</w:t>
            </w:r>
          </w:p>
          <w:p w14:paraId="1383290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3.1.主机：全数字超声显像诊断仪主机1台</w:t>
            </w:r>
          </w:p>
          <w:p w14:paraId="6A4ED1B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3.2.探头配置：配碎石机专用凸阵</w:t>
            </w:r>
            <w:r>
              <w:rPr>
                <w:rFonts w:hint="eastAsia" w:ascii="宋体" w:hAnsi="宋体" w:cs="宋体"/>
                <w:color w:val="auto"/>
                <w:sz w:val="21"/>
                <w:szCs w:val="21"/>
                <w:highlight w:val="none"/>
                <w:lang w:val="en-US" w:eastAsia="zh-CN"/>
              </w:rPr>
              <w:t>探头</w:t>
            </w:r>
            <w:r>
              <w:rPr>
                <w:rFonts w:hint="eastAsia" w:ascii="宋体" w:hAnsi="宋体" w:eastAsia="宋体" w:cs="宋体"/>
                <w:color w:val="auto"/>
                <w:sz w:val="21"/>
                <w:szCs w:val="21"/>
                <w:highlight w:val="none"/>
                <w:lang w:val="en-US" w:eastAsia="zh-CN"/>
              </w:rPr>
              <w:t>1只</w:t>
            </w:r>
          </w:p>
          <w:p w14:paraId="7B16D23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3.3.显示器</w:t>
            </w:r>
            <w:r>
              <w:rPr>
                <w:rFonts w:hint="eastAsia" w:ascii="宋体" w:hAnsi="宋体" w:cs="宋体"/>
                <w:color w:val="auto"/>
                <w:sz w:val="21"/>
                <w:szCs w:val="21"/>
                <w:highlight w:val="none"/>
                <w:lang w:val="en-US" w:eastAsia="zh-CN"/>
              </w:rPr>
              <w:t>：</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15寸超声专用液晶显示器</w:t>
            </w:r>
          </w:p>
          <w:p w14:paraId="44DE7FA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二、配置要求：</w:t>
            </w:r>
          </w:p>
          <w:p w14:paraId="6E03E00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1.整机：一套（分别为立柱一个、主机箱一个、控制台一个</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碎石专用台式B超一台）</w:t>
            </w:r>
          </w:p>
          <w:p w14:paraId="39A7EFD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2.配件</w:t>
            </w:r>
          </w:p>
          <w:p w14:paraId="602F32C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2.1.大软水管1条</w:t>
            </w:r>
          </w:p>
          <w:p w14:paraId="1DEF8EA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2.2.小软水管1条</w:t>
            </w:r>
          </w:p>
          <w:p w14:paraId="39225E0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2.3.喉扣4个</w:t>
            </w:r>
          </w:p>
          <w:p w14:paraId="78B3E46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2.4.电源线1条</w:t>
            </w:r>
          </w:p>
          <w:p w14:paraId="5779B87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2.5.控制台固定旋钮2个</w:t>
            </w:r>
          </w:p>
          <w:p w14:paraId="1E9B688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2.6.控制台固定铁片2个</w:t>
            </w:r>
          </w:p>
          <w:p w14:paraId="0878A53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2.7.说明书1本</w:t>
            </w:r>
          </w:p>
          <w:p w14:paraId="59AF3B7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3.消耗品</w:t>
            </w:r>
          </w:p>
          <w:p w14:paraId="40D2D5F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3.1.皮囊3个，皮囊胶圈5个</w:t>
            </w:r>
          </w:p>
          <w:p w14:paraId="130EAC9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3.2.电极50支，电极座1个，电极座胶圈5个。</w:t>
            </w:r>
          </w:p>
          <w:p w14:paraId="46759FC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3.3.卡具（电极专用卡具1把，电极座专用卡具1把。铜球卡具1把。）</w:t>
            </w:r>
          </w:p>
          <w:p w14:paraId="5FDF404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3.4.30K电阻2个</w:t>
            </w:r>
          </w:p>
          <w:p w14:paraId="0B290EC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3.5.5A保险管5个，焊锡丝1扎，细导线1扎，4700uf电容1个</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10A二极管2个</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4007二极管10个</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自锁开关2个</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无锁开关2个</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24V继电器1个</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大行程开关1个</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上下行程开关1个</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备用螺丝、螺母、接线耳、扎线若</w:t>
            </w:r>
          </w:p>
        </w:tc>
        <w:tc>
          <w:tcPr>
            <w:tcW w:w="1100" w:type="dxa"/>
            <w:tcBorders>
              <w:left w:val="single" w:color="auto" w:sz="4" w:space="0"/>
            </w:tcBorders>
            <w:shd w:val="clear" w:color="auto" w:fill="auto"/>
            <w:vAlign w:val="center"/>
          </w:tcPr>
          <w:p w14:paraId="613A7BC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w:t>
            </w:r>
          </w:p>
        </w:tc>
      </w:tr>
      <w:tr w14:paraId="46117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52144F3C">
            <w:pPr>
              <w:numPr>
                <w:ilvl w:val="0"/>
                <w:numId w:val="14"/>
              </w:numPr>
              <w:snapToGrid w:val="0"/>
              <w:spacing w:line="360" w:lineRule="auto"/>
              <w:jc w:val="center"/>
              <w:rPr>
                <w:rFonts w:hint="eastAsia" w:ascii="宋体" w:hAnsi="宋体" w:eastAsia="宋体" w:cs="宋体"/>
                <w:color w:val="auto"/>
                <w:sz w:val="21"/>
                <w:szCs w:val="21"/>
                <w:highlight w:val="none"/>
              </w:rPr>
            </w:pPr>
          </w:p>
        </w:tc>
        <w:tc>
          <w:tcPr>
            <w:tcW w:w="850" w:type="dxa"/>
            <w:shd w:val="clear" w:color="auto" w:fill="auto"/>
            <w:vAlign w:val="center"/>
          </w:tcPr>
          <w:p w14:paraId="6A05E6FF">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空气波压力治疗仪（单机）</w:t>
            </w:r>
          </w:p>
        </w:tc>
        <w:tc>
          <w:tcPr>
            <w:tcW w:w="500" w:type="dxa"/>
            <w:tcBorders>
              <w:right w:val="single" w:color="auto" w:sz="4" w:space="0"/>
            </w:tcBorders>
            <w:shd w:val="clear" w:color="auto" w:fill="auto"/>
            <w:vAlign w:val="center"/>
          </w:tcPr>
          <w:p w14:paraId="72A67DD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gridSpan w:val="2"/>
            <w:tcBorders>
              <w:left w:val="single" w:color="auto" w:sz="4" w:space="0"/>
              <w:right w:val="single" w:color="auto" w:sz="4" w:space="0"/>
            </w:tcBorders>
            <w:vAlign w:val="center"/>
          </w:tcPr>
          <w:p w14:paraId="4732D6E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台</w:t>
            </w:r>
          </w:p>
        </w:tc>
        <w:tc>
          <w:tcPr>
            <w:tcW w:w="5721" w:type="dxa"/>
            <w:tcBorders>
              <w:left w:val="single" w:color="auto" w:sz="4" w:space="0"/>
              <w:right w:val="single" w:color="auto" w:sz="4" w:space="0"/>
            </w:tcBorders>
            <w:vAlign w:val="center"/>
          </w:tcPr>
          <w:p w14:paraId="3B56F02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一、功能性参数要求：</w:t>
            </w:r>
          </w:p>
          <w:p w14:paraId="67A5C4E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1.操作显示：</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8英寸液晶触摸屏，设备显示屏可以显示当前程序下的工作压力、模式、治疗时间、治疗区域等参数，支持一键飞梭。</w:t>
            </w:r>
          </w:p>
          <w:p w14:paraId="2A1926F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2.气囊腔数：单侧6腔气囊，双侧12腔气囊，配备双下肢气囊、腰部气囊、上肢气囊。</w:t>
            </w:r>
          </w:p>
          <w:p w14:paraId="7439CBE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3.设备可同时、间歇、按顺序充放气。</w:t>
            </w:r>
          </w:p>
          <w:p w14:paraId="578FFF4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▲4.循环压力治疗压强范围：0kPa～36kPa（0mmHg～270mmHg），步进1kPa。</w:t>
            </w:r>
          </w:p>
          <w:p w14:paraId="09920E8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5.压强单位显示方式：支持kPa和mmHg两种压强单位的显示切换。</w:t>
            </w:r>
          </w:p>
          <w:p w14:paraId="41F763A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▲6.加热功能：双通道加热，配备腿部加热套和臂部加热套，具有双重温度保护功能。</w:t>
            </w:r>
          </w:p>
          <w:p w14:paraId="25ECBD2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7.加热套：</w:t>
            </w:r>
          </w:p>
          <w:p w14:paraId="236EADB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7.1.加热套尺寸</w:t>
            </w:r>
          </w:p>
          <w:p w14:paraId="2D00EC1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腿部加热套：长736mm，宽540mm，允差±10%。</w:t>
            </w:r>
          </w:p>
          <w:p w14:paraId="2BB083E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臂部加热套：长540mm，宽390mm，允差±10%。</w:t>
            </w:r>
          </w:p>
          <w:p w14:paraId="344F910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7.2.加热套连接线长：2000mm，允差±10%。</w:t>
            </w:r>
          </w:p>
          <w:p w14:paraId="51FDABE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7.3.加热套加热温度：36℃，温度允差±3℃。</w:t>
            </w:r>
          </w:p>
          <w:p w14:paraId="675BD96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▲8.温度均匀性：有效加热区域表面温度的平均值与每个测试点之间的差值应不超过±2.5℃。</w:t>
            </w:r>
          </w:p>
          <w:p w14:paraId="2744E5D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▲9.加热保护：加热套具有两路独立的超温保护装置。当治疗仪加热套温度超过36℃时，第一路保护装置应动作，切断输出，保护装置动作温度不得超过工作温度设定值±3℃。</w:t>
            </w:r>
          </w:p>
          <w:p w14:paraId="529FC9F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10.第一路保护装置失效时，造成治疗仪加热套最高温度升高到60℃时，第二路保护装置应动作，5分钟内切断输出且不可自动恢复。</w:t>
            </w:r>
          </w:p>
          <w:p w14:paraId="0C3E90B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11.工作噪声：正常工作时噪声≤60dB(A)。</w:t>
            </w:r>
          </w:p>
          <w:p w14:paraId="42AE943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12.单腔调压：可针对每个腔体单独调节压力设定。</w:t>
            </w:r>
          </w:p>
          <w:p w14:paraId="4865B1A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13.零压跳过：在有创面或压力治疗禁忌的部位，可选择关闭该位置的气囊压力。</w:t>
            </w:r>
          </w:p>
          <w:p w14:paraId="4D42A6B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▲14.治疗时间：1min～20h可调。</w:t>
            </w:r>
          </w:p>
          <w:p w14:paraId="37CD2A5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15.连续治疗：可设置连续运行工作模式。</w:t>
            </w:r>
          </w:p>
          <w:p w14:paraId="679B089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16.充气循环间隔：1s～99s。</w:t>
            </w:r>
          </w:p>
          <w:p w14:paraId="0D63D25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17.压力保持：0s～20s。</w:t>
            </w:r>
          </w:p>
          <w:p w14:paraId="7B5FFC3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18.治疗模式：</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30种治疗模式，含</w:t>
            </w:r>
            <w:r>
              <w:rPr>
                <w:rFonts w:hint="eastAsia" w:ascii="宋体" w:hAnsi="宋体" w:cs="宋体"/>
                <w:color w:val="auto"/>
                <w:sz w:val="21"/>
                <w:szCs w:val="21"/>
                <w:highlight w:val="none"/>
                <w:lang w:val="en-US" w:eastAsia="zh-CN"/>
              </w:rPr>
              <w:t>至少</w:t>
            </w:r>
            <w:r>
              <w:rPr>
                <w:rFonts w:hint="eastAsia" w:ascii="宋体" w:hAnsi="宋体" w:eastAsia="宋体" w:cs="宋体"/>
                <w:color w:val="auto"/>
                <w:sz w:val="21"/>
                <w:szCs w:val="21"/>
                <w:highlight w:val="none"/>
                <w:lang w:val="en-US" w:eastAsia="zh-CN"/>
              </w:rPr>
              <w:t>10种固定治疗模式和</w:t>
            </w:r>
            <w:r>
              <w:rPr>
                <w:rFonts w:hint="eastAsia" w:ascii="宋体" w:hAnsi="宋体" w:cs="宋体"/>
                <w:color w:val="auto"/>
                <w:sz w:val="21"/>
                <w:szCs w:val="21"/>
                <w:highlight w:val="none"/>
                <w:lang w:val="en-US" w:eastAsia="zh-CN"/>
              </w:rPr>
              <w:t>至少</w:t>
            </w:r>
            <w:r>
              <w:rPr>
                <w:rFonts w:hint="eastAsia" w:ascii="宋体" w:hAnsi="宋体" w:eastAsia="宋体" w:cs="宋体"/>
                <w:color w:val="auto"/>
                <w:sz w:val="21"/>
                <w:szCs w:val="21"/>
                <w:highlight w:val="none"/>
                <w:lang w:val="en-US" w:eastAsia="zh-CN"/>
              </w:rPr>
              <w:t>20种自定义收藏模式。</w:t>
            </w:r>
          </w:p>
          <w:p w14:paraId="1ECD7A1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19.逆序加压：可设定从近心端向远心端</w:t>
            </w:r>
            <w:r>
              <w:rPr>
                <w:rFonts w:hint="eastAsia" w:ascii="宋体" w:hAnsi="宋体" w:cs="宋体"/>
                <w:color w:val="auto"/>
                <w:sz w:val="21"/>
                <w:szCs w:val="21"/>
                <w:highlight w:val="none"/>
                <w:lang w:val="en-US" w:eastAsia="zh-CN"/>
              </w:rPr>
              <w:t>顺序</w:t>
            </w:r>
            <w:r>
              <w:rPr>
                <w:rFonts w:hint="eastAsia" w:ascii="宋体" w:hAnsi="宋体" w:eastAsia="宋体" w:cs="宋体"/>
                <w:color w:val="auto"/>
                <w:sz w:val="21"/>
                <w:szCs w:val="21"/>
                <w:highlight w:val="none"/>
                <w:lang w:val="en-US" w:eastAsia="zh-CN"/>
              </w:rPr>
              <w:t>加压模式，预防由于动脉供血不足引起的肢体远端血液循环障碍。</w:t>
            </w:r>
          </w:p>
          <w:p w14:paraId="5146150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20.过压保护：设备具有过压保护报警功能，当传递到肢体的最大治疗压强超过120%时自动报警，并立即停止治疗。</w:t>
            </w:r>
          </w:p>
          <w:p w14:paraId="7298F5A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21.自动泄压：达到阈值时、突然断电或中断治疗时，气囊可自动泄压。</w:t>
            </w:r>
          </w:p>
          <w:p w14:paraId="54F1260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22.安全保护：配备紧急功能开关，遇到紧急情况可以进行紧急停止。</w:t>
            </w:r>
          </w:p>
          <w:p w14:paraId="6885AFF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▲23.血液回盈：具备血液回盈侦测提示功能。</w:t>
            </w:r>
          </w:p>
          <w:p w14:paraId="5551CC0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24.梯度治疗：支持对肢体形成梯度加压。</w:t>
            </w:r>
          </w:p>
          <w:p w14:paraId="25603A1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▲25.低频（小脑顶核）电刺激功能：六种输出模式，治疗波形包含但不限于单向方波、疏密双向对称方波、双向对称方波、三角波、锯齿波。</w:t>
            </w:r>
          </w:p>
          <w:p w14:paraId="712D3DB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26.低频电刺激输出脉冲宽度：模式一到模式五脉宽为0.6ms，模式六为变脉宽，脉宽变化范围：500us～1500us，允差±15%。</w:t>
            </w:r>
          </w:p>
          <w:p w14:paraId="6A787AC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27.低频电刺激幅度值：输出脉冲强度：0～42Vpp，允差±10%，分0～99级可调(负载电阻500Ω)。</w:t>
            </w:r>
          </w:p>
          <w:p w14:paraId="3F9AC6B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28.低频电刺激输出电流：输出电流有效值不大于50mA（r.m.s）(负载电阻500Ω)。</w:t>
            </w:r>
          </w:p>
          <w:p w14:paraId="49A0E36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29.中频（肢体）电刺激功能：双路输出，35个治疗处方可选，治疗强度0～99级可调。</w:t>
            </w:r>
          </w:p>
          <w:p w14:paraId="737BF64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30.中频电刺激调制方式：连续、断续、变频</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交替调制。</w:t>
            </w:r>
          </w:p>
          <w:p w14:paraId="217D20F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31.中频电刺激调幅度：0、25%、50%、75%、100%，允差±5%。</w:t>
            </w:r>
          </w:p>
          <w:p w14:paraId="6BE0C5A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32.输出电流稳定度：在不同负载下的输出电流变化率应≤±10%。</w:t>
            </w:r>
          </w:p>
          <w:p w14:paraId="07E6C54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33.输入功率：240VA。</w:t>
            </w:r>
          </w:p>
          <w:p w14:paraId="7FBC0B6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34.设备为立式一体机。</w:t>
            </w:r>
          </w:p>
          <w:p w14:paraId="42EC7AA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36.电磁兼容：电磁兼容应符合YY 9706.102-2021</w:t>
            </w:r>
            <w:r>
              <w:rPr>
                <w:rFonts w:hint="eastAsia" w:ascii="宋体" w:hAnsi="宋体" w:cs="宋体"/>
                <w:color w:val="auto"/>
                <w:sz w:val="21"/>
                <w:szCs w:val="21"/>
                <w:highlight w:val="none"/>
                <w:lang w:val="en-US" w:eastAsia="zh-CN"/>
              </w:rPr>
              <w:t>《医用电气设备第1-2部分:基本安全和基本性能的通用要求并列标准:电磁兼容要求和试验》</w:t>
            </w:r>
            <w:r>
              <w:rPr>
                <w:rFonts w:hint="eastAsia" w:ascii="宋体" w:hAnsi="宋体" w:eastAsia="宋体" w:cs="宋体"/>
                <w:color w:val="auto"/>
                <w:sz w:val="21"/>
                <w:szCs w:val="21"/>
                <w:highlight w:val="none"/>
                <w:lang w:val="en-US" w:eastAsia="zh-CN"/>
              </w:rPr>
              <w:t>、YY 9706.210-2021</w:t>
            </w:r>
            <w:r>
              <w:rPr>
                <w:rFonts w:hint="eastAsia" w:ascii="宋体" w:hAnsi="宋体" w:cs="宋体"/>
                <w:color w:val="auto"/>
                <w:sz w:val="21"/>
                <w:szCs w:val="21"/>
                <w:highlight w:val="none"/>
                <w:lang w:val="en-US" w:eastAsia="zh-CN"/>
              </w:rPr>
              <w:t>《医用电气设备第2-10部分：神经和肌肉刺激器的基本安全和基本性能的专用要求》</w:t>
            </w:r>
            <w:r>
              <w:rPr>
                <w:rFonts w:hint="eastAsia" w:ascii="宋体" w:hAnsi="宋体" w:eastAsia="宋体" w:cs="宋体"/>
                <w:color w:val="auto"/>
                <w:sz w:val="21"/>
                <w:szCs w:val="21"/>
                <w:highlight w:val="none"/>
                <w:lang w:val="en-US" w:eastAsia="zh-CN"/>
              </w:rPr>
              <w:t>的要求。</w:t>
            </w:r>
          </w:p>
          <w:p w14:paraId="7AFE759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37.适用范围：适用于预防静脉血栓形成，减轻肢体水肿，脑血管意外、脑外伤、脑手术后引起的肢体功能障碍和外周非栓塞性脉管炎的辅助治疗。</w:t>
            </w:r>
          </w:p>
          <w:p w14:paraId="74B26D9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二、配置要求：</w:t>
            </w:r>
          </w:p>
          <w:p w14:paraId="0DA5F24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台</w:t>
            </w:r>
          </w:p>
          <w:p w14:paraId="028754F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2.电源线</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条</w:t>
            </w:r>
          </w:p>
          <w:p w14:paraId="6F2EAEF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3.熔断器</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个</w:t>
            </w:r>
          </w:p>
          <w:p w14:paraId="0D014ED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4.下肢护套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对</w:t>
            </w:r>
          </w:p>
          <w:p w14:paraId="5B26E54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5.腰部护套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个</w:t>
            </w:r>
          </w:p>
          <w:p w14:paraId="6A3BF9F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6.上肢护套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个</w:t>
            </w:r>
          </w:p>
          <w:p w14:paraId="52EB6AD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7.脚底刺激板</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对</w:t>
            </w:r>
          </w:p>
          <w:p w14:paraId="47567FB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8.一次性脚套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对</w:t>
            </w:r>
          </w:p>
          <w:p w14:paraId="7A933B3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9.输出线</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条</w:t>
            </w:r>
          </w:p>
          <w:p w14:paraId="2B8B82F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10.中频电极片</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对</w:t>
            </w:r>
          </w:p>
          <w:p w14:paraId="2F29825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11.月牙形电极片</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对</w:t>
            </w:r>
          </w:p>
          <w:p w14:paraId="0E6A673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12.一拖二延长管</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条</w:t>
            </w:r>
          </w:p>
          <w:p w14:paraId="6DBCE02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13.一拖一延长管</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条</w:t>
            </w:r>
          </w:p>
          <w:p w14:paraId="067C80B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14.自粘电极片</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片</w:t>
            </w:r>
          </w:p>
          <w:p w14:paraId="00EC53C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15.转换线</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条</w:t>
            </w:r>
          </w:p>
          <w:p w14:paraId="293D151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16.功能开关</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个</w:t>
            </w:r>
          </w:p>
          <w:p w14:paraId="59A0FA8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17.腿部加热套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个</w:t>
            </w:r>
          </w:p>
          <w:p w14:paraId="70179CA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18.臂部加热套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个</w:t>
            </w:r>
          </w:p>
          <w:p w14:paraId="08092C4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19.中频绑带</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套</w:t>
            </w:r>
          </w:p>
          <w:p w14:paraId="6B9DA95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20.中频电极片布套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套</w:t>
            </w:r>
          </w:p>
          <w:p w14:paraId="4B5B581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21.合格证</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份</w:t>
            </w:r>
          </w:p>
          <w:p w14:paraId="1D86FA7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22.保修卡</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份</w:t>
            </w:r>
          </w:p>
          <w:p w14:paraId="3C8060A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23.产品培训验收报告</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份</w:t>
            </w:r>
          </w:p>
          <w:p w14:paraId="33336AC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24.使用说明书</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份</w:t>
            </w:r>
          </w:p>
          <w:p w14:paraId="30D63AC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25.装箱单</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份</w:t>
            </w:r>
          </w:p>
        </w:tc>
        <w:tc>
          <w:tcPr>
            <w:tcW w:w="1100" w:type="dxa"/>
            <w:tcBorders>
              <w:left w:val="single" w:color="auto" w:sz="4" w:space="0"/>
            </w:tcBorders>
            <w:shd w:val="clear" w:color="auto" w:fill="auto"/>
            <w:vAlign w:val="center"/>
          </w:tcPr>
          <w:p w14:paraId="00CC7A6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r>
      <w:tr w14:paraId="479B46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52" w:type="dxa"/>
            <w:gridSpan w:val="7"/>
            <w:tcBorders>
              <w:top w:val="single" w:color="auto" w:sz="4" w:space="0"/>
              <w:left w:val="single" w:color="auto" w:sz="4" w:space="0"/>
              <w:bottom w:val="single" w:color="auto" w:sz="4" w:space="0"/>
              <w:right w:val="single" w:color="auto" w:sz="4" w:space="0"/>
            </w:tcBorders>
            <w:vAlign w:val="top"/>
          </w:tcPr>
          <w:p w14:paraId="0D62A17E">
            <w:pPr>
              <w:spacing w:line="44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▲一、商务要求</w:t>
            </w:r>
          </w:p>
        </w:tc>
      </w:tr>
      <w:tr w14:paraId="20277F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27" w:type="dxa"/>
            <w:gridSpan w:val="4"/>
            <w:tcBorders>
              <w:top w:val="single" w:color="auto" w:sz="4" w:space="0"/>
              <w:left w:val="single" w:color="auto" w:sz="4" w:space="0"/>
              <w:bottom w:val="single" w:color="auto" w:sz="4" w:space="0"/>
              <w:right w:val="single" w:color="auto" w:sz="4" w:space="0"/>
            </w:tcBorders>
            <w:vAlign w:val="center"/>
          </w:tcPr>
          <w:p w14:paraId="2AFC782E">
            <w:pPr>
              <w:spacing w:line="440" w:lineRule="exac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交付时间</w:t>
            </w:r>
            <w:r>
              <w:rPr>
                <w:rFonts w:hint="eastAsia" w:ascii="宋体" w:hAnsi="宋体" w:eastAsia="宋体" w:cs="宋体"/>
                <w:b w:val="0"/>
                <w:bCs w:val="0"/>
                <w:color w:val="auto"/>
                <w:sz w:val="21"/>
                <w:szCs w:val="21"/>
                <w:highlight w:val="none"/>
                <w:lang w:eastAsia="zh-CN"/>
              </w:rPr>
              <w:t>（合同履行时间）</w:t>
            </w:r>
            <w:r>
              <w:rPr>
                <w:rFonts w:hint="eastAsia" w:ascii="宋体" w:hAnsi="宋体" w:eastAsia="宋体" w:cs="宋体"/>
                <w:b w:val="0"/>
                <w:bCs w:val="0"/>
                <w:color w:val="auto"/>
                <w:sz w:val="21"/>
                <w:szCs w:val="21"/>
                <w:highlight w:val="none"/>
              </w:rPr>
              <w:t>和地点</w:t>
            </w:r>
          </w:p>
        </w:tc>
        <w:tc>
          <w:tcPr>
            <w:tcW w:w="7325" w:type="dxa"/>
            <w:gridSpan w:val="3"/>
            <w:tcBorders>
              <w:top w:val="single" w:color="auto" w:sz="4" w:space="0"/>
              <w:left w:val="single" w:color="auto" w:sz="4" w:space="0"/>
              <w:bottom w:val="single" w:color="auto" w:sz="4" w:space="0"/>
              <w:right w:val="single" w:color="auto" w:sz="4" w:space="0"/>
            </w:tcBorders>
            <w:vAlign w:val="center"/>
          </w:tcPr>
          <w:p w14:paraId="3EB2A099">
            <w:pPr>
              <w:spacing w:line="440" w:lineRule="exac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1.交付时间：</w:t>
            </w:r>
            <w:r>
              <w:rPr>
                <w:rFonts w:hint="eastAsia" w:ascii="宋体" w:hAnsi="宋体" w:cs="宋体"/>
                <w:b w:val="0"/>
                <w:bCs w:val="0"/>
                <w:color w:val="auto"/>
                <w:sz w:val="21"/>
                <w:szCs w:val="21"/>
                <w:highlight w:val="none"/>
                <w:lang w:eastAsia="zh-CN"/>
              </w:rPr>
              <w:t>收到采购人供货通知之日起60天内完成安装、调试、培训等全部工作，并交付使用（因采购人部分科室处于特殊装修阶段，具体进场时间以采购人通知为准，交付时间可根据采购人装修进度适当调整）。</w:t>
            </w:r>
          </w:p>
          <w:p w14:paraId="538B3094">
            <w:pPr>
              <w:widowControl w:val="0"/>
              <w:autoSpaceDE/>
              <w:autoSpaceDN/>
              <w:adjustRightInd/>
              <w:spacing w:line="440" w:lineRule="exac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bidi="ar-SA"/>
              </w:rPr>
              <w:t>2.交付地点：苍梧县中医医院采购人指定检查室或科室等。</w:t>
            </w:r>
          </w:p>
        </w:tc>
      </w:tr>
      <w:tr w14:paraId="136CDE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27" w:type="dxa"/>
            <w:gridSpan w:val="4"/>
            <w:tcBorders>
              <w:top w:val="single" w:color="auto" w:sz="4" w:space="0"/>
              <w:left w:val="single" w:color="auto" w:sz="4" w:space="0"/>
              <w:bottom w:val="single" w:color="auto" w:sz="4" w:space="0"/>
              <w:right w:val="single" w:color="auto" w:sz="4" w:space="0"/>
            </w:tcBorders>
            <w:vAlign w:val="center"/>
          </w:tcPr>
          <w:p w14:paraId="3573A164">
            <w:pPr>
              <w:spacing w:line="440" w:lineRule="exac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合同签订时间</w:t>
            </w:r>
          </w:p>
        </w:tc>
        <w:tc>
          <w:tcPr>
            <w:tcW w:w="7325" w:type="dxa"/>
            <w:gridSpan w:val="3"/>
            <w:tcBorders>
              <w:top w:val="single" w:color="auto" w:sz="4" w:space="0"/>
              <w:left w:val="single" w:color="auto" w:sz="4" w:space="0"/>
              <w:bottom w:val="single" w:color="auto" w:sz="4" w:space="0"/>
              <w:right w:val="single" w:color="auto" w:sz="4" w:space="0"/>
            </w:tcBorders>
            <w:vAlign w:val="center"/>
          </w:tcPr>
          <w:p w14:paraId="6FDCBB78">
            <w:pPr>
              <w:widowControl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自中标通知书发出之日起15日内</w:t>
            </w:r>
          </w:p>
        </w:tc>
      </w:tr>
      <w:tr w14:paraId="1C249F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27" w:type="dxa"/>
            <w:gridSpan w:val="4"/>
            <w:tcBorders>
              <w:top w:val="single" w:color="auto" w:sz="4" w:space="0"/>
              <w:left w:val="single" w:color="auto" w:sz="4" w:space="0"/>
              <w:bottom w:val="single" w:color="auto" w:sz="4" w:space="0"/>
              <w:right w:val="single" w:color="auto" w:sz="4" w:space="0"/>
            </w:tcBorders>
            <w:vAlign w:val="center"/>
          </w:tcPr>
          <w:p w14:paraId="05FFB2E7">
            <w:pPr>
              <w:spacing w:line="440" w:lineRule="exact"/>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rPr>
              <w:t>付款方式</w:t>
            </w:r>
          </w:p>
        </w:tc>
        <w:tc>
          <w:tcPr>
            <w:tcW w:w="7325" w:type="dxa"/>
            <w:gridSpan w:val="3"/>
            <w:tcBorders>
              <w:top w:val="single" w:color="auto" w:sz="4" w:space="0"/>
              <w:left w:val="single" w:color="auto" w:sz="4" w:space="0"/>
              <w:bottom w:val="single" w:color="auto" w:sz="4" w:space="0"/>
              <w:right w:val="single" w:color="auto" w:sz="4" w:space="0"/>
            </w:tcBorders>
            <w:vAlign w:val="center"/>
          </w:tcPr>
          <w:p w14:paraId="1D358FCD">
            <w:pPr>
              <w:widowControl/>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资金来源为政府专项债，采购人根据上级拨付资金的情况进行付款，资金未拨付到位的，中标供应商不得要求采购人履行付款义务。待资金下达到位后，中标供应商应提供符合税法规定的全额增值税发票，并按以下方式进行结算。双方签订采购合同后，中标供应商将货物供应至采购人指定地点，支付到货设备合同金额的60%；设备完成安装后，支付至安装设备合同金额的80%；验收合格并入库后，支付至验收设备合同金额的95%；余下的5%合同总额，在项目验收合格满一年，且货物不存在质量问题、中标供应商无其他违约及违法情形时，采购人需在15个工作日内付清（不计利息）。</w:t>
            </w:r>
          </w:p>
          <w:p w14:paraId="75DA3552">
            <w:pPr>
              <w:widowControl/>
              <w:spacing w:line="440" w:lineRule="exac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合同签署的中标供应商名称、发票开具单位与收款单位必须保持一致。在合同执行过程中，中标供应商不得因其他不正当理由要求调整发票开具单位或收款单位，否则视为中标供应商违约。</w:t>
            </w:r>
          </w:p>
        </w:tc>
      </w:tr>
      <w:tr w14:paraId="0A5CD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27" w:type="dxa"/>
            <w:gridSpan w:val="4"/>
            <w:tcBorders>
              <w:top w:val="single" w:color="auto" w:sz="4" w:space="0"/>
              <w:left w:val="single" w:color="auto" w:sz="4" w:space="0"/>
              <w:bottom w:val="single" w:color="auto" w:sz="4" w:space="0"/>
              <w:right w:val="single" w:color="auto" w:sz="4" w:space="0"/>
            </w:tcBorders>
            <w:vAlign w:val="center"/>
          </w:tcPr>
          <w:p w14:paraId="23A04B3E">
            <w:pPr>
              <w:widowControl/>
              <w:spacing w:line="440" w:lineRule="exact"/>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bidi="ar"/>
              </w:rPr>
              <w:t>质保期</w:t>
            </w:r>
          </w:p>
        </w:tc>
        <w:tc>
          <w:tcPr>
            <w:tcW w:w="7325" w:type="dxa"/>
            <w:gridSpan w:val="3"/>
            <w:tcBorders>
              <w:top w:val="single" w:color="auto" w:sz="4" w:space="0"/>
              <w:left w:val="single" w:color="auto" w:sz="4" w:space="0"/>
              <w:bottom w:val="single" w:color="auto" w:sz="4" w:space="0"/>
              <w:right w:val="single" w:color="auto" w:sz="4" w:space="0"/>
            </w:tcBorders>
            <w:vAlign w:val="center"/>
          </w:tcPr>
          <w:p w14:paraId="11D6F6CA">
            <w:pPr>
              <w:widowControl/>
              <w:spacing w:line="440" w:lineRule="exact"/>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bidi="ar"/>
              </w:rPr>
              <w:t>按国家有关产品“三包”规定执行“三包”，质保期不得少于</w:t>
            </w:r>
            <w:r>
              <w:rPr>
                <w:rFonts w:hint="eastAsia" w:ascii="宋体" w:hAnsi="宋体" w:eastAsia="宋体" w:cs="宋体"/>
                <w:b w:val="0"/>
                <w:bCs w:val="0"/>
                <w:color w:val="auto"/>
                <w:kern w:val="0"/>
                <w:sz w:val="21"/>
                <w:szCs w:val="21"/>
                <w:highlight w:val="none"/>
                <w:lang w:val="en-US" w:eastAsia="zh-CN" w:bidi="ar"/>
              </w:rPr>
              <w:t>3年，分项若有规定的，从其规定。</w:t>
            </w:r>
          </w:p>
        </w:tc>
      </w:tr>
      <w:tr w14:paraId="4E524D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27" w:type="dxa"/>
            <w:gridSpan w:val="4"/>
            <w:tcBorders>
              <w:top w:val="single" w:color="auto" w:sz="4" w:space="0"/>
              <w:left w:val="single" w:color="auto" w:sz="4" w:space="0"/>
              <w:bottom w:val="single" w:color="auto" w:sz="4" w:space="0"/>
              <w:right w:val="single" w:color="auto" w:sz="4" w:space="0"/>
            </w:tcBorders>
            <w:vAlign w:val="center"/>
          </w:tcPr>
          <w:p w14:paraId="7B588361">
            <w:pPr>
              <w:widowControl/>
              <w:spacing w:line="440" w:lineRule="exact"/>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bidi="ar"/>
              </w:rPr>
              <w:t>售后服务及培训要求</w:t>
            </w:r>
          </w:p>
        </w:tc>
        <w:tc>
          <w:tcPr>
            <w:tcW w:w="7325" w:type="dxa"/>
            <w:gridSpan w:val="3"/>
            <w:tcBorders>
              <w:top w:val="single" w:color="auto" w:sz="4" w:space="0"/>
              <w:left w:val="single" w:color="auto" w:sz="4" w:space="0"/>
              <w:bottom w:val="single" w:color="auto" w:sz="4" w:space="0"/>
              <w:right w:val="single" w:color="auto" w:sz="4" w:space="0"/>
            </w:tcBorders>
            <w:vAlign w:val="center"/>
          </w:tcPr>
          <w:p w14:paraId="21EE6BC8">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售后服务费用包含在报价中，售后服务内容如下： </w:t>
            </w:r>
          </w:p>
          <w:p w14:paraId="0DC23E00">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负责送货上门，</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安装调试至合格，负责培训。配置至少1名工程技术人员，随时提供安装、调试或维修等服务。配置专业技术人员提供技术培训，包括设备日常操作、工作原理、注意事项、简单故障排除、维护保养等方面的系统培训，保证使用人员正常操作设备的各种功能。时间、地点、人员由采购人确定，提前通知</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安排工程师到场。</w:t>
            </w:r>
          </w:p>
          <w:p w14:paraId="2E977C9C">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定期回访以及对设备维修、更换配件。</w:t>
            </w:r>
          </w:p>
          <w:p w14:paraId="50E3CF9F">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应保证所供产品是全新的、未使用过的且是近</w:t>
            </w:r>
            <w:r>
              <w:rPr>
                <w:rFonts w:hint="eastAsia" w:ascii="宋体" w:hAnsi="宋体" w:cs="宋体"/>
                <w:b w:val="0"/>
                <w:bCs w:val="0"/>
                <w:color w:val="auto"/>
                <w:sz w:val="21"/>
                <w:szCs w:val="21"/>
                <w:highlight w:val="none"/>
                <w:lang w:val="en-US" w:eastAsia="zh-CN"/>
              </w:rPr>
              <w:t>半年</w:t>
            </w:r>
            <w:r>
              <w:rPr>
                <w:rFonts w:hint="eastAsia" w:ascii="宋体" w:hAnsi="宋体" w:eastAsia="宋体" w:cs="宋体"/>
                <w:b w:val="0"/>
                <w:bCs w:val="0"/>
                <w:color w:val="auto"/>
                <w:sz w:val="21"/>
                <w:szCs w:val="21"/>
                <w:highlight w:val="none"/>
              </w:rPr>
              <w:t>内生产的，并完全符合规定的质量、规格的要求。</w:t>
            </w:r>
          </w:p>
          <w:p w14:paraId="1284220A">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便于售后问题的处理，响应时间＜4小时，接故障通知24小时内派合格的技术人员并携带工器具到达现场提供技术服务。</w:t>
            </w:r>
          </w:p>
          <w:p w14:paraId="19324AA9">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提供设备纸质版或电子版的操作规程和维护保养流程。</w:t>
            </w:r>
          </w:p>
          <w:p w14:paraId="7D9AA9EC">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设备如属于政府部门有强制检定要求的，</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应负责设备使用前的相关检定。</w:t>
            </w:r>
          </w:p>
          <w:p w14:paraId="20609A6B">
            <w:pPr>
              <w:widowControl/>
              <w:spacing w:line="440" w:lineRule="exact"/>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其余按厂家承诺。</w:t>
            </w:r>
          </w:p>
        </w:tc>
      </w:tr>
      <w:tr w14:paraId="7FE161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2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90911B">
            <w:pPr>
              <w:widowControl/>
              <w:spacing w:line="44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bidi="ar"/>
              </w:rPr>
              <w:t>投标报价要求</w:t>
            </w:r>
          </w:p>
        </w:tc>
        <w:tc>
          <w:tcPr>
            <w:tcW w:w="73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EF6247">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投标报价为采购人指定地点的现场交货价，包括：</w:t>
            </w:r>
          </w:p>
          <w:p w14:paraId="49D1FF18">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货物的价格：</w:t>
            </w:r>
            <w:r>
              <w:rPr>
                <w:rFonts w:hint="eastAsia" w:ascii="宋体" w:hAnsi="宋体" w:eastAsia="宋体" w:cs="宋体"/>
                <w:b w:val="0"/>
                <w:bCs w:val="0"/>
                <w:color w:val="auto"/>
                <w:sz w:val="21"/>
                <w:szCs w:val="21"/>
                <w:highlight w:val="none"/>
                <w:lang w:val="en-US" w:eastAsia="zh-CN"/>
              </w:rPr>
              <w:t>包括</w:t>
            </w:r>
            <w:r>
              <w:rPr>
                <w:rFonts w:hint="eastAsia" w:ascii="宋体" w:hAnsi="宋体" w:eastAsia="宋体" w:cs="宋体"/>
                <w:b w:val="0"/>
                <w:bCs w:val="0"/>
                <w:color w:val="auto"/>
                <w:sz w:val="21"/>
                <w:szCs w:val="21"/>
                <w:highlight w:val="none"/>
              </w:rPr>
              <w:t>包装费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运费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装卸费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保险费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搬运费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安装费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调试费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检验</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计量检测</w:t>
            </w:r>
            <w:r>
              <w:rPr>
                <w:rFonts w:hint="eastAsia" w:ascii="宋体" w:hAnsi="宋体" w:eastAsia="宋体" w:cs="宋体"/>
                <w:b w:val="0"/>
                <w:bCs w:val="0"/>
                <w:color w:val="auto"/>
                <w:sz w:val="21"/>
                <w:szCs w:val="21"/>
                <w:highlight w:val="none"/>
              </w:rPr>
              <w:t>及检定验收费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售后服务费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培训费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质保期内无条件维修费，</w:t>
            </w:r>
            <w:r>
              <w:rPr>
                <w:rFonts w:hint="eastAsia" w:ascii="宋体" w:hAnsi="宋体" w:eastAsia="宋体" w:cs="宋体"/>
                <w:b w:val="0"/>
                <w:bCs w:val="0"/>
                <w:color w:val="auto"/>
                <w:sz w:val="21"/>
                <w:szCs w:val="21"/>
                <w:highlight w:val="none"/>
              </w:rPr>
              <w:t>税金等</w:t>
            </w:r>
            <w:r>
              <w:rPr>
                <w:rFonts w:hint="eastAsia" w:ascii="宋体" w:hAnsi="宋体" w:eastAsia="宋体" w:cs="宋体"/>
                <w:b w:val="0"/>
                <w:bCs w:val="0"/>
                <w:color w:val="auto"/>
                <w:sz w:val="21"/>
                <w:szCs w:val="21"/>
                <w:highlight w:val="none"/>
                <w:lang w:val="en-US" w:eastAsia="zh-CN"/>
              </w:rPr>
              <w:t>招标文件</w:t>
            </w:r>
            <w:r>
              <w:rPr>
                <w:rFonts w:hint="eastAsia" w:ascii="宋体" w:hAnsi="宋体" w:eastAsia="宋体" w:cs="宋体"/>
                <w:b w:val="0"/>
                <w:bCs w:val="0"/>
                <w:color w:val="auto"/>
                <w:sz w:val="21"/>
                <w:szCs w:val="21"/>
                <w:highlight w:val="none"/>
              </w:rPr>
              <w:t>和</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文件规定及合同包含的所有风险、责任等应有的全部费用</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凡是涉及</w:t>
            </w:r>
            <w:r>
              <w:rPr>
                <w:rFonts w:hint="eastAsia" w:ascii="宋体" w:hAnsi="宋体" w:eastAsia="宋体" w:cs="宋体"/>
                <w:b w:val="0"/>
                <w:bCs w:val="0"/>
                <w:color w:val="auto"/>
                <w:sz w:val="21"/>
                <w:szCs w:val="21"/>
                <w:highlight w:val="none"/>
              </w:rPr>
              <w:t>与医院信息系统</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如HIS系统等</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连接的接口问题，前述价款也包含</w:t>
            </w:r>
            <w:r>
              <w:rPr>
                <w:rFonts w:hint="eastAsia" w:ascii="宋体" w:hAnsi="宋体" w:eastAsia="宋体" w:cs="宋体"/>
                <w:b w:val="0"/>
                <w:bCs w:val="0"/>
                <w:color w:val="auto"/>
                <w:sz w:val="21"/>
                <w:szCs w:val="21"/>
                <w:highlight w:val="none"/>
                <w:lang w:val="en-US" w:eastAsia="zh-CN"/>
              </w:rPr>
              <w:t>双方</w:t>
            </w:r>
            <w:r>
              <w:rPr>
                <w:rFonts w:hint="eastAsia" w:ascii="宋体" w:hAnsi="宋体" w:eastAsia="宋体" w:cs="宋体"/>
                <w:b w:val="0"/>
                <w:bCs w:val="0"/>
                <w:color w:val="auto"/>
                <w:sz w:val="21"/>
                <w:szCs w:val="21"/>
                <w:highlight w:val="none"/>
              </w:rPr>
              <w:t>接口费用。</w:t>
            </w:r>
          </w:p>
          <w:p w14:paraId="22A8C6D0">
            <w:pPr>
              <w:widowControl/>
              <w:spacing w:line="440" w:lineRule="exact"/>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货物的标准附件、备品备件、专用工具的价格</w:t>
            </w:r>
            <w:r>
              <w:rPr>
                <w:rFonts w:hint="eastAsia" w:ascii="宋体" w:hAnsi="宋体" w:cs="宋体"/>
                <w:b w:val="0"/>
                <w:bCs w:val="0"/>
                <w:color w:val="auto"/>
                <w:sz w:val="21"/>
                <w:szCs w:val="21"/>
                <w:highlight w:val="none"/>
                <w:lang w:eastAsia="zh-CN"/>
              </w:rPr>
              <w:t>。</w:t>
            </w:r>
          </w:p>
          <w:p w14:paraId="653911A2">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采购代理服务费、保险费和各项税金。</w:t>
            </w:r>
          </w:p>
          <w:p w14:paraId="57DA4800">
            <w:pPr>
              <w:widowControl/>
              <w:spacing w:line="44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注：投标人自行考虑完成项目所需的辅材、杂配件等数量，投标报价中应包含全部内容，中标后采购人不再另行支付额外费用。</w:t>
            </w:r>
          </w:p>
        </w:tc>
      </w:tr>
      <w:tr w14:paraId="16F247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27" w:type="dxa"/>
            <w:gridSpan w:val="4"/>
            <w:tcBorders>
              <w:top w:val="single" w:color="auto" w:sz="4" w:space="0"/>
              <w:left w:val="single" w:color="auto" w:sz="4" w:space="0"/>
              <w:bottom w:val="single" w:color="auto" w:sz="4" w:space="0"/>
              <w:right w:val="single" w:color="auto" w:sz="4" w:space="0"/>
            </w:tcBorders>
            <w:vAlign w:val="center"/>
          </w:tcPr>
          <w:p w14:paraId="5F4E5420">
            <w:pPr>
              <w:widowControl/>
              <w:spacing w:line="440" w:lineRule="exact"/>
              <w:jc w:val="left"/>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验收标准</w:t>
            </w:r>
          </w:p>
        </w:tc>
        <w:tc>
          <w:tcPr>
            <w:tcW w:w="7325" w:type="dxa"/>
            <w:gridSpan w:val="3"/>
            <w:tcBorders>
              <w:top w:val="single" w:color="auto" w:sz="4" w:space="0"/>
              <w:left w:val="single" w:color="auto" w:sz="4" w:space="0"/>
              <w:bottom w:val="single" w:color="auto" w:sz="4" w:space="0"/>
              <w:right w:val="single" w:color="auto" w:sz="4" w:space="0"/>
            </w:tcBorders>
            <w:vAlign w:val="center"/>
          </w:tcPr>
          <w:p w14:paraId="09E21893">
            <w:pPr>
              <w:spacing w:line="44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验收标准：符合现行国家相关标准、行业标准、地方标准或者其他标准、规范。</w:t>
            </w:r>
          </w:p>
          <w:p w14:paraId="34D984B6">
            <w:pPr>
              <w:spacing w:line="44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.本项目采购人委托国家认可的第三方机构进行验收，并由其出具验收报告材料。</w:t>
            </w:r>
          </w:p>
          <w:p w14:paraId="20E7DF3E">
            <w:pPr>
              <w:spacing w:line="44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在货物交付验收时，由采购人委托</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rPr>
              <w:t>第三方验收小组对照招标文件的项目要求及技术需求，全面核对检验</w:t>
            </w:r>
            <w:r>
              <w:rPr>
                <w:rFonts w:hint="eastAsia" w:ascii="宋体" w:hAnsi="宋体" w:eastAsia="宋体" w:cs="宋体"/>
                <w:b w:val="0"/>
                <w:bCs w:val="0"/>
                <w:color w:val="auto"/>
                <w:sz w:val="21"/>
                <w:szCs w:val="21"/>
                <w:highlight w:val="none"/>
                <w:lang w:eastAsia="zh-CN"/>
              </w:rPr>
              <w:t>，如不符合招标文件的技术需求及要求以及提供虚假承诺的，按相关规定做违约处理，中标供应商</w:t>
            </w:r>
            <w:r>
              <w:rPr>
                <w:rFonts w:hint="eastAsia" w:ascii="宋体" w:hAnsi="宋体" w:eastAsia="宋体" w:cs="宋体"/>
                <w:b w:val="0"/>
                <w:bCs w:val="0"/>
                <w:color w:val="auto"/>
                <w:sz w:val="21"/>
                <w:szCs w:val="21"/>
                <w:highlight w:val="none"/>
              </w:rPr>
              <w:t>承担所有责任和费用，采购人保留进一步追究责任的权利。</w:t>
            </w:r>
          </w:p>
          <w:p w14:paraId="502D4238">
            <w:pPr>
              <w:spacing w:line="44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验收时间</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 </w:t>
            </w:r>
            <w:r>
              <w:rPr>
                <w:rFonts w:hint="eastAsia" w:ascii="宋体" w:hAnsi="宋体" w:cs="宋体"/>
                <w:b w:val="0"/>
                <w:bCs w:val="0"/>
                <w:color w:val="auto"/>
                <w:sz w:val="21"/>
                <w:szCs w:val="21"/>
                <w:highlight w:val="none"/>
                <w:lang w:eastAsia="zh-CN"/>
              </w:rPr>
              <w:t>采购人收到中标供应商验收申请之日起5个工作日内</w:t>
            </w:r>
            <w:r>
              <w:rPr>
                <w:rFonts w:hint="eastAsia" w:ascii="宋体" w:hAnsi="宋体" w:eastAsia="宋体" w:cs="宋体"/>
                <w:b w:val="0"/>
                <w:bCs w:val="0"/>
                <w:color w:val="auto"/>
                <w:sz w:val="21"/>
                <w:szCs w:val="21"/>
                <w:highlight w:val="none"/>
                <w:lang w:val="en-US" w:eastAsia="zh-CN"/>
              </w:rPr>
              <w:t>由</w:t>
            </w:r>
            <w:r>
              <w:rPr>
                <w:rFonts w:hint="eastAsia" w:ascii="宋体" w:hAnsi="宋体" w:eastAsia="宋体" w:cs="宋体"/>
                <w:b w:val="0"/>
                <w:bCs w:val="0"/>
                <w:color w:val="auto"/>
                <w:sz w:val="21"/>
                <w:szCs w:val="21"/>
                <w:highlight w:val="none"/>
              </w:rPr>
              <w:t>委托</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rPr>
              <w:t>第三方验收小组进行验收（如有特殊情况，按采购人指定的时间，另行验收）。</w:t>
            </w:r>
          </w:p>
          <w:p w14:paraId="74224A87">
            <w:pPr>
              <w:spacing w:line="44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验收地点：</w:t>
            </w:r>
            <w:r>
              <w:rPr>
                <w:rFonts w:hint="eastAsia" w:ascii="宋体" w:hAnsi="宋体" w:eastAsia="宋体" w:cs="宋体"/>
                <w:b w:val="0"/>
                <w:bCs w:val="0"/>
                <w:color w:val="auto"/>
                <w:sz w:val="21"/>
                <w:szCs w:val="21"/>
                <w:highlight w:val="none"/>
                <w:lang w:val="en-US" w:eastAsia="zh-CN"/>
              </w:rPr>
              <w:t>苍梧县中医医院内</w:t>
            </w:r>
            <w:r>
              <w:rPr>
                <w:rFonts w:hint="eastAsia" w:ascii="宋体" w:hAnsi="宋体" w:eastAsia="宋体" w:cs="宋体"/>
                <w:b w:val="0"/>
                <w:bCs w:val="0"/>
                <w:color w:val="auto"/>
                <w:sz w:val="21"/>
                <w:szCs w:val="21"/>
                <w:highlight w:val="none"/>
              </w:rPr>
              <w:t>。</w:t>
            </w:r>
          </w:p>
          <w:p w14:paraId="5CFFECE4">
            <w:pPr>
              <w:spacing w:line="44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验收方式：</w:t>
            </w:r>
          </w:p>
          <w:p w14:paraId="4151854F">
            <w:pPr>
              <w:spacing w:line="44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完成货物安装调试和培训后，书面向采购人提交验收申请。</w:t>
            </w:r>
          </w:p>
          <w:p w14:paraId="5D44CE27">
            <w:pPr>
              <w:spacing w:line="440" w:lineRule="exac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）采购人收到中标人验收申请之日起5个工作日</w:t>
            </w:r>
            <w:r>
              <w:rPr>
                <w:rFonts w:hint="eastAsia" w:ascii="宋体" w:hAnsi="宋体" w:cs="宋体"/>
                <w:b w:val="0"/>
                <w:bCs w:val="0"/>
                <w:color w:val="auto"/>
                <w:sz w:val="21"/>
                <w:szCs w:val="21"/>
                <w:highlight w:val="none"/>
                <w:lang w:val="en-US" w:eastAsia="zh-CN"/>
              </w:rPr>
              <w:t>内</w:t>
            </w:r>
            <w:r>
              <w:rPr>
                <w:rFonts w:hint="eastAsia" w:ascii="宋体" w:hAnsi="宋体" w:eastAsia="宋体" w:cs="宋体"/>
                <w:b w:val="0"/>
                <w:bCs w:val="0"/>
                <w:color w:val="auto"/>
                <w:sz w:val="21"/>
                <w:szCs w:val="21"/>
                <w:highlight w:val="none"/>
                <w:lang w:val="en-US" w:eastAsia="zh-CN"/>
              </w:rPr>
              <w:t>由</w:t>
            </w:r>
            <w:r>
              <w:rPr>
                <w:rFonts w:hint="eastAsia" w:ascii="宋体" w:hAnsi="宋体" w:eastAsia="宋体" w:cs="宋体"/>
                <w:b w:val="0"/>
                <w:bCs w:val="0"/>
                <w:color w:val="auto"/>
                <w:sz w:val="21"/>
                <w:szCs w:val="21"/>
                <w:highlight w:val="none"/>
              </w:rPr>
              <w:t>委托</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rPr>
              <w:t>第三方验收小组进行验收（如有特殊情况，按采购人指定的时间，另行验收）</w:t>
            </w:r>
            <w:r>
              <w:rPr>
                <w:rFonts w:hint="eastAsia" w:ascii="宋体" w:hAnsi="宋体" w:eastAsia="宋体" w:cs="宋体"/>
                <w:b w:val="0"/>
                <w:bCs w:val="0"/>
                <w:color w:val="auto"/>
                <w:sz w:val="21"/>
                <w:szCs w:val="21"/>
                <w:highlight w:val="none"/>
                <w:lang w:eastAsia="zh-CN"/>
              </w:rPr>
              <w:t>。</w:t>
            </w:r>
          </w:p>
          <w:p w14:paraId="71CE69D1">
            <w:pPr>
              <w:spacing w:line="44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本项目验收由验收小组按照采购合同约定对每一项技术和商务要求的履约情况进行确认，作为验收依据；</w:t>
            </w:r>
          </w:p>
          <w:p w14:paraId="1CFEEB98">
            <w:pPr>
              <w:spacing w:line="44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）验收结束后，验收小组出具采购验收书，验收书应当包括每一项技术和商务要求的履约情况，并列明项目总体评价，由验收小组、采购人和</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共同签署。</w:t>
            </w:r>
          </w:p>
          <w:p w14:paraId="6AD819F9">
            <w:pPr>
              <w:spacing w:line="44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）验收过程中所产生的一切费用均由</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承担。</w:t>
            </w:r>
            <w:r>
              <w:rPr>
                <w:rFonts w:hint="eastAsia" w:ascii="宋体" w:hAnsi="宋体" w:eastAsia="宋体" w:cs="宋体"/>
                <w:b w:val="0"/>
                <w:bCs w:val="0"/>
                <w:color w:val="auto"/>
                <w:sz w:val="21"/>
                <w:szCs w:val="21"/>
                <w:highlight w:val="none"/>
                <w:lang w:val="en-US" w:eastAsia="zh-CN"/>
              </w:rPr>
              <w:t>报价时应考虑相关费用。</w:t>
            </w:r>
          </w:p>
          <w:p w14:paraId="701CD468">
            <w:pPr>
              <w:spacing w:line="44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）验收书一式</w:t>
            </w:r>
            <w:r>
              <w:rPr>
                <w:rFonts w:hint="eastAsia" w:ascii="宋体" w:hAnsi="宋体" w:eastAsia="宋体" w:cs="宋体"/>
                <w:b w:val="0"/>
                <w:bCs w:val="0"/>
                <w:color w:val="auto"/>
                <w:sz w:val="21"/>
                <w:szCs w:val="21"/>
                <w:highlight w:val="none"/>
                <w:lang w:val="en-US" w:eastAsia="zh-CN"/>
              </w:rPr>
              <w:t>伍</w:t>
            </w:r>
            <w:r>
              <w:rPr>
                <w:rFonts w:hint="eastAsia" w:ascii="宋体" w:hAnsi="宋体" w:eastAsia="宋体" w:cs="宋体"/>
                <w:b w:val="0"/>
                <w:bCs w:val="0"/>
                <w:color w:val="auto"/>
                <w:sz w:val="21"/>
                <w:szCs w:val="21"/>
                <w:highlight w:val="none"/>
              </w:rPr>
              <w:t>份，双方各执两份</w:t>
            </w:r>
            <w:r>
              <w:rPr>
                <w:rFonts w:hint="eastAsia" w:ascii="宋体" w:hAnsi="宋体" w:eastAsia="宋体" w:cs="宋体"/>
                <w:b w:val="0"/>
                <w:bCs w:val="0"/>
                <w:color w:val="auto"/>
                <w:sz w:val="21"/>
                <w:szCs w:val="21"/>
                <w:highlight w:val="none"/>
                <w:lang w:eastAsia="zh-CN"/>
              </w:rPr>
              <w:t>，受托第三方机构一份</w:t>
            </w:r>
            <w:r>
              <w:rPr>
                <w:rFonts w:hint="eastAsia" w:ascii="宋体" w:hAnsi="宋体" w:eastAsia="宋体" w:cs="宋体"/>
                <w:b w:val="0"/>
                <w:bCs w:val="0"/>
                <w:color w:val="auto"/>
                <w:sz w:val="21"/>
                <w:szCs w:val="21"/>
                <w:highlight w:val="none"/>
              </w:rPr>
              <w:t xml:space="preserve">。 </w:t>
            </w:r>
          </w:p>
          <w:p w14:paraId="020BD2A3">
            <w:pPr>
              <w:spacing w:line="44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）验收结论不合格的，</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应自收到验收书后5日内及时予以解决。经</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对验收结论不合格的货物进行整改后，仍然达不到要求的，经双方协商，可按以下办法处理：</w:t>
            </w:r>
          </w:p>
          <w:p w14:paraId="3AE696B4">
            <w:pPr>
              <w:spacing w:line="440" w:lineRule="exact"/>
              <w:rPr>
                <w:rFonts w:hint="eastAsia" w:ascii="宋体" w:hAnsi="宋体" w:eastAsia="宋体" w:cs="宋体"/>
                <w:b w:val="0"/>
                <w:bCs w:val="0"/>
                <w:color w:val="auto"/>
                <w:sz w:val="21"/>
                <w:szCs w:val="21"/>
                <w:highlight w:val="none"/>
              </w:rPr>
            </w:pPr>
            <w:r>
              <w:rPr>
                <w:rFonts w:hint="default" w:ascii="Calibri" w:hAnsi="Calibri" w:eastAsia="宋体" w:cs="Calibri"/>
                <w:b w:val="0"/>
                <w:bCs w:val="0"/>
                <w:color w:val="auto"/>
                <w:sz w:val="21"/>
                <w:szCs w:val="21"/>
                <w:highlight w:val="none"/>
              </w:rPr>
              <w:t>①</w:t>
            </w:r>
            <w:r>
              <w:rPr>
                <w:rFonts w:hint="eastAsia" w:ascii="宋体" w:hAnsi="宋体" w:eastAsia="宋体" w:cs="宋体"/>
                <w:b w:val="0"/>
                <w:bCs w:val="0"/>
                <w:color w:val="auto"/>
                <w:sz w:val="21"/>
                <w:szCs w:val="21"/>
                <w:highlight w:val="none"/>
              </w:rPr>
              <w:t>更换：由</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承担所发生的全部费用；</w:t>
            </w:r>
          </w:p>
          <w:p w14:paraId="70C5435A">
            <w:pPr>
              <w:spacing w:line="440" w:lineRule="exact"/>
              <w:rPr>
                <w:rFonts w:hint="eastAsia" w:ascii="宋体" w:hAnsi="宋体" w:eastAsia="宋体" w:cs="宋体"/>
                <w:b w:val="0"/>
                <w:bCs w:val="0"/>
                <w:color w:val="auto"/>
                <w:sz w:val="21"/>
                <w:szCs w:val="21"/>
                <w:highlight w:val="none"/>
              </w:rPr>
            </w:pPr>
            <w:r>
              <w:rPr>
                <w:rFonts w:hint="default" w:ascii="Calibri" w:hAnsi="Calibri" w:eastAsia="宋体" w:cs="Calibri"/>
                <w:b w:val="0"/>
                <w:bCs w:val="0"/>
                <w:color w:val="auto"/>
                <w:sz w:val="21"/>
                <w:szCs w:val="21"/>
                <w:highlight w:val="none"/>
              </w:rPr>
              <w:t>②</w:t>
            </w:r>
            <w:r>
              <w:rPr>
                <w:rFonts w:hint="eastAsia" w:ascii="宋体" w:hAnsi="宋体" w:eastAsia="宋体" w:cs="宋体"/>
                <w:b w:val="0"/>
                <w:bCs w:val="0"/>
                <w:color w:val="auto"/>
                <w:sz w:val="21"/>
                <w:szCs w:val="21"/>
                <w:highlight w:val="none"/>
              </w:rPr>
              <w:t>退货处理：</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应退还采购人支付的合同款，同时应承担与该货物相关的直接费用（运输、保险、检验、合同款利息及银行手续费等）。</w:t>
            </w:r>
          </w:p>
          <w:p w14:paraId="2FAAC637">
            <w:pPr>
              <w:spacing w:line="440" w:lineRule="exact"/>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sz w:val="21"/>
                <w:szCs w:val="21"/>
                <w:highlight w:val="none"/>
                <w:lang w:val="en-US" w:eastAsia="zh-CN"/>
              </w:rPr>
              <w:t>6.履约验收其他事项：验收时，属于国家规定检定范围（首次计量检测等）内的设备，必须出具有效的鉴定报告，质检费用包含在投标报价中，由中标供应商支付。</w:t>
            </w:r>
          </w:p>
        </w:tc>
      </w:tr>
      <w:tr w14:paraId="67DD1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52" w:type="dxa"/>
            <w:gridSpan w:val="7"/>
            <w:tcBorders>
              <w:top w:val="single" w:color="auto" w:sz="4" w:space="0"/>
              <w:left w:val="single" w:color="auto" w:sz="4" w:space="0"/>
              <w:bottom w:val="single" w:color="auto" w:sz="4" w:space="0"/>
              <w:right w:val="single" w:color="auto" w:sz="4" w:space="0"/>
            </w:tcBorders>
            <w:vAlign w:val="center"/>
          </w:tcPr>
          <w:p w14:paraId="62494EAB">
            <w:pPr>
              <w:spacing w:line="44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二、与实现项目目标相关的其他要求</w:t>
            </w:r>
          </w:p>
        </w:tc>
      </w:tr>
      <w:tr w14:paraId="1F794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52" w:type="dxa"/>
            <w:gridSpan w:val="7"/>
            <w:tcBorders>
              <w:top w:val="single" w:color="auto" w:sz="4" w:space="0"/>
              <w:left w:val="single" w:color="auto" w:sz="4" w:space="0"/>
              <w:bottom w:val="single" w:color="auto" w:sz="4" w:space="0"/>
              <w:right w:val="single" w:color="auto" w:sz="4" w:space="0"/>
            </w:tcBorders>
            <w:vAlign w:val="top"/>
          </w:tcPr>
          <w:p w14:paraId="3DC574E9">
            <w:pPr>
              <w:widowControl/>
              <w:spacing w:line="440" w:lineRule="exact"/>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bidi="ar"/>
              </w:rPr>
              <w:t>（</w:t>
            </w:r>
            <w:r>
              <w:rPr>
                <w:rFonts w:hint="eastAsia" w:ascii="宋体" w:hAnsi="宋体" w:eastAsia="宋体" w:cs="宋体"/>
                <w:b w:val="0"/>
                <w:bCs w:val="0"/>
                <w:color w:val="auto"/>
                <w:kern w:val="0"/>
                <w:sz w:val="21"/>
                <w:szCs w:val="21"/>
                <w:highlight w:val="none"/>
                <w:lang w:val="en-US" w:eastAsia="zh-CN" w:bidi="ar"/>
              </w:rPr>
              <w:t>一</w:t>
            </w:r>
            <w:r>
              <w:rPr>
                <w:rFonts w:hint="eastAsia" w:ascii="宋体" w:hAnsi="宋体" w:eastAsia="宋体" w:cs="宋体"/>
                <w:b w:val="0"/>
                <w:bCs w:val="0"/>
                <w:color w:val="auto"/>
                <w:kern w:val="0"/>
                <w:sz w:val="21"/>
                <w:szCs w:val="21"/>
                <w:highlight w:val="none"/>
                <w:lang w:bidi="ar"/>
              </w:rPr>
              <w:t>）政策性加分条件</w:t>
            </w:r>
          </w:p>
        </w:tc>
      </w:tr>
      <w:tr w14:paraId="0AA278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52" w:type="dxa"/>
            <w:gridSpan w:val="7"/>
            <w:tcBorders>
              <w:top w:val="single" w:color="auto" w:sz="4" w:space="0"/>
              <w:left w:val="single" w:color="auto" w:sz="4" w:space="0"/>
              <w:bottom w:val="single" w:color="auto" w:sz="4" w:space="0"/>
              <w:right w:val="single" w:color="auto" w:sz="4" w:space="0"/>
            </w:tcBorders>
            <w:vAlign w:val="center"/>
          </w:tcPr>
          <w:p w14:paraId="6DDDFF2B">
            <w:pPr>
              <w:widowControl/>
              <w:spacing w:line="440" w:lineRule="exact"/>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bidi="ar"/>
              </w:rPr>
              <w:t>符合节能环保等国家政策要求</w:t>
            </w:r>
          </w:p>
        </w:tc>
      </w:tr>
      <w:tr w14:paraId="69B1B7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52" w:type="dxa"/>
            <w:gridSpan w:val="7"/>
            <w:tcBorders>
              <w:top w:val="single" w:color="auto" w:sz="4" w:space="0"/>
              <w:left w:val="single" w:color="auto" w:sz="4" w:space="0"/>
              <w:bottom w:val="single" w:color="auto" w:sz="4" w:space="0"/>
              <w:right w:val="single" w:color="auto" w:sz="4" w:space="0"/>
            </w:tcBorders>
            <w:vAlign w:val="top"/>
          </w:tcPr>
          <w:p w14:paraId="2974958E">
            <w:pPr>
              <w:spacing w:line="440" w:lineRule="exact"/>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bidi="ar"/>
              </w:rPr>
              <w:t>（</w:t>
            </w:r>
            <w:r>
              <w:rPr>
                <w:rFonts w:hint="eastAsia" w:ascii="宋体" w:hAnsi="宋体" w:eastAsia="宋体" w:cs="宋体"/>
                <w:b w:val="0"/>
                <w:bCs w:val="0"/>
                <w:color w:val="auto"/>
                <w:kern w:val="0"/>
                <w:sz w:val="21"/>
                <w:szCs w:val="21"/>
                <w:highlight w:val="none"/>
                <w:lang w:val="en-US" w:eastAsia="zh-CN" w:bidi="ar"/>
              </w:rPr>
              <w:t>二</w:t>
            </w:r>
            <w:r>
              <w:rPr>
                <w:rFonts w:hint="eastAsia" w:ascii="宋体" w:hAnsi="宋体" w:eastAsia="宋体" w:cs="宋体"/>
                <w:b w:val="0"/>
                <w:bCs w:val="0"/>
                <w:color w:val="auto"/>
                <w:kern w:val="0"/>
                <w:sz w:val="21"/>
                <w:szCs w:val="21"/>
                <w:highlight w:val="none"/>
                <w:lang w:bidi="ar"/>
              </w:rPr>
              <w:t>）进口产品说明</w:t>
            </w:r>
          </w:p>
        </w:tc>
      </w:tr>
      <w:tr w14:paraId="444648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27" w:type="dxa"/>
            <w:gridSpan w:val="4"/>
            <w:tcBorders>
              <w:top w:val="single" w:color="auto" w:sz="4" w:space="0"/>
              <w:left w:val="single" w:color="auto" w:sz="4" w:space="0"/>
              <w:bottom w:val="single" w:color="auto" w:sz="4" w:space="0"/>
              <w:right w:val="single" w:color="auto" w:sz="4" w:space="0"/>
            </w:tcBorders>
            <w:vAlign w:val="center"/>
          </w:tcPr>
          <w:p w14:paraId="3833805B">
            <w:pPr>
              <w:spacing w:line="440" w:lineRule="exac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进口产品说明</w:t>
            </w:r>
          </w:p>
        </w:tc>
        <w:tc>
          <w:tcPr>
            <w:tcW w:w="7325" w:type="dxa"/>
            <w:gridSpan w:val="3"/>
            <w:tcBorders>
              <w:top w:val="single" w:color="auto" w:sz="4" w:space="0"/>
              <w:left w:val="single" w:color="auto" w:sz="4" w:space="0"/>
              <w:bottom w:val="single" w:color="auto" w:sz="4" w:space="0"/>
              <w:right w:val="single" w:color="auto" w:sz="4" w:space="0"/>
            </w:tcBorders>
            <w:vAlign w:val="top"/>
          </w:tcPr>
          <w:p w14:paraId="003E8669">
            <w:pPr>
              <w:spacing w:line="44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本分标货物不接受进口产品（即通过中国海关报关验放进入中国境内且</w:t>
            </w:r>
            <w:r>
              <w:rPr>
                <w:rFonts w:hint="eastAsia" w:ascii="宋体" w:hAnsi="宋体" w:eastAsia="宋体" w:cs="宋体"/>
                <w:b/>
                <w:bCs/>
                <w:color w:val="auto"/>
                <w:sz w:val="21"/>
                <w:szCs w:val="21"/>
                <w:highlight w:val="none"/>
                <w:lang w:eastAsia="zh-CN"/>
              </w:rPr>
              <w:t>产自境外的产品</w:t>
            </w:r>
            <w:r>
              <w:rPr>
                <w:rFonts w:hint="eastAsia" w:ascii="宋体" w:hAnsi="宋体" w:eastAsia="宋体" w:cs="宋体"/>
                <w:b/>
                <w:bCs/>
                <w:color w:val="auto"/>
                <w:sz w:val="21"/>
                <w:szCs w:val="21"/>
                <w:highlight w:val="none"/>
              </w:rPr>
              <w:t>）参与投标，</w:t>
            </w:r>
            <w:r>
              <w:rPr>
                <w:rFonts w:hint="eastAsia" w:ascii="宋体" w:hAnsi="宋体" w:eastAsia="宋体" w:cs="宋体"/>
                <w:b/>
                <w:bCs/>
                <w:color w:val="auto"/>
                <w:sz w:val="21"/>
                <w:szCs w:val="21"/>
                <w:highlight w:val="none"/>
                <w:lang w:eastAsia="zh-CN"/>
              </w:rPr>
              <w:t>如有进口产品参与投标的，其投标文件按无效处理</w:t>
            </w:r>
            <w:r>
              <w:rPr>
                <w:rFonts w:hint="eastAsia" w:ascii="宋体" w:hAnsi="宋体" w:eastAsia="宋体" w:cs="宋体"/>
                <w:b/>
                <w:bCs/>
                <w:color w:val="auto"/>
                <w:sz w:val="21"/>
                <w:szCs w:val="21"/>
                <w:highlight w:val="none"/>
              </w:rPr>
              <w:t>。</w:t>
            </w:r>
          </w:p>
        </w:tc>
      </w:tr>
      <w:tr w14:paraId="5F9928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52" w:type="dxa"/>
            <w:gridSpan w:val="7"/>
            <w:tcBorders>
              <w:top w:val="single" w:color="auto" w:sz="4" w:space="0"/>
              <w:left w:val="single" w:color="auto" w:sz="4" w:space="0"/>
              <w:bottom w:val="single" w:color="auto" w:sz="4" w:space="0"/>
              <w:right w:val="single" w:color="auto" w:sz="4" w:space="0"/>
            </w:tcBorders>
            <w:vAlign w:val="center"/>
          </w:tcPr>
          <w:p w14:paraId="2E523A8F">
            <w:pPr>
              <w:spacing w:line="440" w:lineRule="exact"/>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bidi="ar"/>
              </w:rPr>
              <w:t>（</w:t>
            </w:r>
            <w:r>
              <w:rPr>
                <w:rFonts w:hint="eastAsia" w:ascii="宋体" w:hAnsi="宋体" w:eastAsia="宋体" w:cs="宋体"/>
                <w:b w:val="0"/>
                <w:bCs w:val="0"/>
                <w:color w:val="auto"/>
                <w:kern w:val="0"/>
                <w:sz w:val="21"/>
                <w:szCs w:val="21"/>
                <w:highlight w:val="none"/>
                <w:lang w:val="en-US" w:eastAsia="zh-CN" w:bidi="ar"/>
              </w:rPr>
              <w:t>三</w:t>
            </w:r>
            <w:r>
              <w:rPr>
                <w:rFonts w:hint="eastAsia" w:ascii="宋体" w:hAnsi="宋体" w:eastAsia="宋体" w:cs="宋体"/>
                <w:b w:val="0"/>
                <w:bCs w:val="0"/>
                <w:color w:val="auto"/>
                <w:kern w:val="0"/>
                <w:sz w:val="21"/>
                <w:szCs w:val="21"/>
                <w:highlight w:val="none"/>
                <w:lang w:bidi="ar"/>
              </w:rPr>
              <w:t>）其他要求</w:t>
            </w:r>
          </w:p>
        </w:tc>
      </w:tr>
      <w:tr w14:paraId="0950D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27" w:type="dxa"/>
            <w:gridSpan w:val="4"/>
            <w:tcBorders>
              <w:top w:val="single" w:color="auto" w:sz="4" w:space="0"/>
              <w:left w:val="single" w:color="auto" w:sz="4" w:space="0"/>
              <w:bottom w:val="single" w:color="auto" w:sz="4" w:space="0"/>
              <w:right w:val="single" w:color="auto" w:sz="4" w:space="0"/>
            </w:tcBorders>
            <w:vAlign w:val="center"/>
          </w:tcPr>
          <w:p w14:paraId="66BD4006">
            <w:pPr>
              <w:spacing w:line="440" w:lineRule="exact"/>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bidi="ar"/>
              </w:rPr>
              <w:t>其他要求</w:t>
            </w:r>
          </w:p>
        </w:tc>
        <w:tc>
          <w:tcPr>
            <w:tcW w:w="7325" w:type="dxa"/>
            <w:gridSpan w:val="3"/>
            <w:tcBorders>
              <w:top w:val="single" w:color="auto" w:sz="4" w:space="0"/>
              <w:left w:val="single" w:color="auto" w:sz="4" w:space="0"/>
              <w:bottom w:val="single" w:color="auto" w:sz="4" w:space="0"/>
              <w:right w:val="single" w:color="auto" w:sz="4" w:space="0"/>
            </w:tcBorders>
            <w:vAlign w:val="top"/>
          </w:tcPr>
          <w:p w14:paraId="1B0C8B18">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1.投标产品</w:t>
            </w:r>
            <w:r>
              <w:rPr>
                <w:rFonts w:hint="eastAsia" w:ascii="宋体" w:hAnsi="宋体" w:cs="宋体"/>
                <w:b/>
                <w:bCs/>
                <w:color w:val="auto"/>
                <w:sz w:val="21"/>
                <w:szCs w:val="21"/>
                <w:highlight w:val="none"/>
                <w:lang w:val="en-US" w:eastAsia="zh-CN"/>
              </w:rPr>
              <w:t>如</w:t>
            </w:r>
            <w:r>
              <w:rPr>
                <w:rFonts w:hint="eastAsia" w:ascii="宋体" w:hAnsi="宋体" w:eastAsia="宋体" w:cs="宋体"/>
                <w:b/>
                <w:bCs/>
                <w:color w:val="auto"/>
                <w:sz w:val="21"/>
                <w:szCs w:val="21"/>
                <w:highlight w:val="none"/>
                <w:lang w:val="en-US" w:eastAsia="zh-CN"/>
              </w:rPr>
              <w:t>属医疗器械产品的需要在投标文件中提供该设备、配附件（如有）、耗材（如有）有效的医疗器械注册证，否则投标文件按无效处理。</w:t>
            </w:r>
          </w:p>
          <w:p w14:paraId="3C064928">
            <w:pPr>
              <w:widowControl/>
              <w:spacing w:line="440" w:lineRule="exact"/>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2.为保证项目顺利实施，</w:t>
            </w:r>
            <w:r>
              <w:rPr>
                <w:rFonts w:hint="eastAsia" w:ascii="宋体" w:hAnsi="宋体" w:eastAsia="宋体" w:cs="宋体"/>
                <w:b w:val="0"/>
                <w:bCs w:val="0"/>
                <w:color w:val="auto"/>
                <w:sz w:val="21"/>
                <w:szCs w:val="21"/>
                <w:highlight w:val="none"/>
                <w:lang w:eastAsia="zh-CN"/>
              </w:rPr>
              <w:t>投标人可根据自身情况在投标文件中提供项目实施方案（</w:t>
            </w:r>
            <w:r>
              <w:rPr>
                <w:rFonts w:hint="eastAsia" w:ascii="宋体" w:hAnsi="宋体" w:eastAsia="宋体" w:cs="宋体"/>
                <w:b w:val="0"/>
                <w:bCs w:val="0"/>
                <w:color w:val="auto"/>
                <w:sz w:val="21"/>
                <w:szCs w:val="21"/>
                <w:highlight w:val="none"/>
                <w:lang w:val="en-US" w:eastAsia="zh-CN"/>
              </w:rPr>
              <w:t>包含对</w:t>
            </w:r>
            <w:r>
              <w:rPr>
                <w:rFonts w:hint="eastAsia" w:ascii="宋体" w:hAnsi="宋体" w:cs="宋体"/>
                <w:b w:val="0"/>
                <w:bCs w:val="0"/>
                <w:color w:val="auto"/>
                <w:sz w:val="21"/>
                <w:szCs w:val="21"/>
                <w:highlight w:val="none"/>
                <w:lang w:val="en-US" w:eastAsia="zh-CN"/>
              </w:rPr>
              <w:t>运输方案</w:t>
            </w:r>
            <w:r>
              <w:rPr>
                <w:rFonts w:hint="eastAsia" w:ascii="宋体" w:hAnsi="宋体" w:eastAsia="宋体" w:cs="宋体"/>
                <w:b w:val="0"/>
                <w:bCs w:val="0"/>
                <w:color w:val="auto"/>
                <w:sz w:val="21"/>
                <w:szCs w:val="21"/>
                <w:highlight w:val="none"/>
                <w:lang w:val="en-US" w:eastAsia="zh-CN"/>
              </w:rPr>
              <w:t>、具体实施流程、进度安排、安装调试和管理等</w:t>
            </w:r>
            <w:r>
              <w:rPr>
                <w:rFonts w:hint="eastAsia" w:ascii="宋体" w:hAnsi="宋体" w:eastAsia="宋体" w:cs="宋体"/>
                <w:b w:val="0"/>
                <w:bCs w:val="0"/>
                <w:color w:val="auto"/>
                <w:sz w:val="21"/>
                <w:szCs w:val="21"/>
                <w:highlight w:val="none"/>
                <w:lang w:eastAsia="zh-CN"/>
              </w:rPr>
              <w:t>）、售后服务方案（</w:t>
            </w:r>
            <w:r>
              <w:rPr>
                <w:rFonts w:hint="eastAsia" w:ascii="宋体" w:hAnsi="宋体" w:eastAsia="宋体" w:cs="宋体"/>
                <w:b w:val="0"/>
                <w:bCs w:val="0"/>
                <w:color w:val="auto"/>
                <w:sz w:val="21"/>
                <w:szCs w:val="21"/>
                <w:highlight w:val="none"/>
                <w:lang w:val="en-US" w:eastAsia="zh-CN"/>
              </w:rPr>
              <w:t>包含对质量保证措施、应急响应方案和排除故障响应时间、人员培训方案、质保期内的保养方案等</w:t>
            </w:r>
            <w:r>
              <w:rPr>
                <w:rFonts w:hint="eastAsia" w:ascii="宋体" w:hAnsi="宋体" w:eastAsia="宋体" w:cs="宋体"/>
                <w:b w:val="0"/>
                <w:bCs w:val="0"/>
                <w:color w:val="auto"/>
                <w:sz w:val="21"/>
                <w:szCs w:val="21"/>
                <w:highlight w:val="none"/>
                <w:lang w:eastAsia="zh-CN"/>
              </w:rPr>
              <w:t>）等内容</w:t>
            </w:r>
            <w:r>
              <w:rPr>
                <w:rFonts w:hint="eastAsia" w:ascii="宋体" w:hAnsi="宋体" w:eastAsia="宋体" w:cs="宋体"/>
                <w:b w:val="0"/>
                <w:bCs w:val="0"/>
                <w:color w:val="auto"/>
                <w:sz w:val="21"/>
                <w:szCs w:val="21"/>
                <w:highlight w:val="none"/>
              </w:rPr>
              <w:t>。</w:t>
            </w:r>
          </w:p>
        </w:tc>
      </w:tr>
    </w:tbl>
    <w:p w14:paraId="3AA992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highlight w:val="none"/>
          <w:lang w:val="en-US" w:eastAsia="zh-CN"/>
        </w:rPr>
      </w:pPr>
      <w:r>
        <w:rPr>
          <w:color w:val="auto"/>
          <w:highlight w:val="none"/>
        </w:rPr>
        <w:br w:type="page"/>
      </w:r>
      <w:r>
        <w:rPr>
          <w:rFonts w:hint="eastAsia"/>
          <w:b w:val="0"/>
          <w:bCs w:val="0"/>
          <w:color w:val="auto"/>
          <w:highlight w:val="none"/>
          <w:u w:val="single"/>
          <w:lang w:val="en-US" w:eastAsia="zh-CN"/>
        </w:rPr>
        <w:t xml:space="preserve"> 4 </w:t>
      </w:r>
      <w:r>
        <w:rPr>
          <w:rFonts w:hint="eastAsia"/>
          <w:b/>
          <w:bCs/>
          <w:color w:val="auto"/>
          <w:highlight w:val="none"/>
          <w:lang w:val="en-US" w:eastAsia="zh-CN"/>
        </w:rPr>
        <w:t>分标（急诊科-救护车）</w:t>
      </w:r>
    </w:p>
    <w:p w14:paraId="2C64998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highlight w:val="none"/>
          <w:lang w:val="en-US" w:eastAsia="zh-CN"/>
        </w:rPr>
      </w:pPr>
      <w:r>
        <w:rPr>
          <w:rFonts w:hint="eastAsia" w:ascii="宋体" w:hAnsi="宋体" w:eastAsia="宋体" w:cs="Times New Roman"/>
          <w:b/>
          <w:color w:val="auto"/>
          <w:szCs w:val="21"/>
          <w:highlight w:val="none"/>
          <w:lang w:val="en-US" w:eastAsia="zh-CN"/>
        </w:rPr>
        <w:t>采购预算：350000.00元</w:t>
      </w:r>
    </w:p>
    <w:tbl>
      <w:tblPr>
        <w:tblStyle w:val="46"/>
        <w:tblW w:w="90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909"/>
        <w:gridCol w:w="462"/>
        <w:gridCol w:w="3"/>
        <w:gridCol w:w="120"/>
        <w:gridCol w:w="401"/>
        <w:gridCol w:w="304"/>
        <w:gridCol w:w="5041"/>
        <w:gridCol w:w="1257"/>
      </w:tblGrid>
      <w:tr w14:paraId="44CA9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567" w:type="dxa"/>
            <w:noWrap w:val="0"/>
            <w:vAlign w:val="center"/>
          </w:tcPr>
          <w:p w14:paraId="2978D31B">
            <w:pPr>
              <w:tabs>
                <w:tab w:val="left" w:pos="180"/>
                <w:tab w:val="left" w:pos="1620"/>
              </w:tabs>
              <w:spacing w:line="440" w:lineRule="exact"/>
              <w:jc w:val="center"/>
              <w:rPr>
                <w:rFonts w:hint="eastAsia" w:ascii="宋体" w:hAnsi="宋体" w:eastAsia="宋体" w:cs="宋体"/>
                <w:color w:val="auto"/>
                <w:szCs w:val="21"/>
                <w:highlight w:val="none"/>
              </w:rPr>
            </w:pPr>
            <w:r>
              <w:rPr>
                <w:rFonts w:hint="eastAsia" w:ascii="宋体" w:hAnsi="宋体" w:eastAsia="宋体" w:cs="Times New Roman"/>
                <w:b/>
                <w:bCs/>
                <w:color w:val="auto"/>
                <w:szCs w:val="21"/>
                <w:highlight w:val="none"/>
              </w:rPr>
              <w:t>序号</w:t>
            </w:r>
          </w:p>
        </w:tc>
        <w:tc>
          <w:tcPr>
            <w:tcW w:w="909" w:type="dxa"/>
            <w:noWrap w:val="0"/>
            <w:vAlign w:val="center"/>
          </w:tcPr>
          <w:p w14:paraId="13A68927">
            <w:pPr>
              <w:tabs>
                <w:tab w:val="left" w:pos="180"/>
                <w:tab w:val="left" w:pos="1620"/>
              </w:tabs>
              <w:spacing w:line="440" w:lineRule="exact"/>
              <w:jc w:val="center"/>
              <w:rPr>
                <w:rFonts w:hint="eastAsia" w:ascii="宋体" w:hAnsi="宋体" w:eastAsia="宋体" w:cs="Arial"/>
                <w:color w:val="auto"/>
                <w:szCs w:val="21"/>
                <w:highlight w:val="none"/>
              </w:rPr>
            </w:pPr>
            <w:r>
              <w:rPr>
                <w:rFonts w:hint="eastAsia" w:ascii="宋体" w:hAnsi="宋体" w:eastAsia="宋体" w:cs="Times New Roman"/>
                <w:b/>
                <w:bCs/>
                <w:color w:val="auto"/>
                <w:szCs w:val="21"/>
                <w:highlight w:val="none"/>
              </w:rPr>
              <w:t>标的</w:t>
            </w:r>
            <w:r>
              <w:rPr>
                <w:rFonts w:hint="eastAsia" w:ascii="宋体" w:hAnsi="宋体" w:eastAsia="宋体" w:cs="Times New Roman"/>
                <w:b/>
                <w:bCs/>
                <w:color w:val="auto"/>
                <w:szCs w:val="21"/>
                <w:highlight w:val="none"/>
                <w:lang w:val="en-US" w:eastAsia="zh-CN"/>
              </w:rPr>
              <w:t>的</w:t>
            </w:r>
            <w:r>
              <w:rPr>
                <w:rFonts w:hint="eastAsia" w:ascii="宋体" w:hAnsi="宋体" w:eastAsia="宋体" w:cs="Times New Roman"/>
                <w:b/>
                <w:bCs/>
                <w:color w:val="auto"/>
                <w:szCs w:val="21"/>
                <w:highlight w:val="none"/>
              </w:rPr>
              <w:t>名称</w:t>
            </w:r>
          </w:p>
        </w:tc>
        <w:tc>
          <w:tcPr>
            <w:tcW w:w="585" w:type="dxa"/>
            <w:gridSpan w:val="3"/>
            <w:tcBorders>
              <w:right w:val="single" w:color="auto" w:sz="4" w:space="0"/>
            </w:tcBorders>
            <w:noWrap w:val="0"/>
            <w:vAlign w:val="center"/>
          </w:tcPr>
          <w:p w14:paraId="79037096">
            <w:pPr>
              <w:tabs>
                <w:tab w:val="left" w:pos="180"/>
                <w:tab w:val="left" w:pos="1620"/>
              </w:tabs>
              <w:spacing w:line="440" w:lineRule="exact"/>
              <w:jc w:val="center"/>
              <w:rPr>
                <w:rFonts w:hint="eastAsia" w:ascii="宋体" w:hAnsi="宋体" w:eastAsia="宋体" w:cs="宋体"/>
                <w:color w:val="auto"/>
                <w:szCs w:val="21"/>
                <w:highlight w:val="none"/>
              </w:rPr>
            </w:pPr>
            <w:r>
              <w:rPr>
                <w:rFonts w:hint="eastAsia" w:ascii="宋体" w:hAnsi="宋体" w:eastAsia="宋体" w:cs="Times New Roman"/>
                <w:b/>
                <w:bCs/>
                <w:color w:val="auto"/>
                <w:szCs w:val="21"/>
                <w:highlight w:val="none"/>
              </w:rPr>
              <w:t>数量</w:t>
            </w:r>
          </w:p>
        </w:tc>
        <w:tc>
          <w:tcPr>
            <w:tcW w:w="705" w:type="dxa"/>
            <w:gridSpan w:val="2"/>
            <w:tcBorders>
              <w:left w:val="single" w:color="auto" w:sz="4" w:space="0"/>
            </w:tcBorders>
            <w:noWrap w:val="0"/>
            <w:vAlign w:val="center"/>
          </w:tcPr>
          <w:p w14:paraId="265BE7E9">
            <w:pPr>
              <w:tabs>
                <w:tab w:val="left" w:pos="180"/>
                <w:tab w:val="left" w:pos="1620"/>
              </w:tabs>
              <w:spacing w:line="440" w:lineRule="exact"/>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单位</w:t>
            </w:r>
          </w:p>
        </w:tc>
        <w:tc>
          <w:tcPr>
            <w:tcW w:w="5041" w:type="dxa"/>
            <w:noWrap w:val="0"/>
            <w:vAlign w:val="center"/>
          </w:tcPr>
          <w:p w14:paraId="614EAE57">
            <w:pPr>
              <w:tabs>
                <w:tab w:val="left" w:pos="180"/>
                <w:tab w:val="left" w:pos="1620"/>
              </w:tabs>
              <w:spacing w:line="440" w:lineRule="exact"/>
              <w:jc w:val="center"/>
              <w:rPr>
                <w:rFonts w:hint="default" w:ascii="宋体" w:hAnsi="宋体" w:eastAsia="宋体" w:cs="Times New Roman"/>
                <w:b/>
                <w:bCs/>
                <w:color w:val="auto"/>
                <w:szCs w:val="21"/>
                <w:highlight w:val="none"/>
                <w:lang w:val="en-US" w:eastAsia="zh-CN"/>
              </w:rPr>
            </w:pPr>
            <w:r>
              <w:rPr>
                <w:rFonts w:hint="default" w:ascii="宋体" w:hAnsi="宋体" w:eastAsia="宋体" w:cs="Times New Roman"/>
                <w:b/>
                <w:bCs/>
                <w:color w:val="auto"/>
                <w:szCs w:val="21"/>
                <w:highlight w:val="none"/>
                <w:lang w:val="en-US" w:eastAsia="zh-CN"/>
              </w:rPr>
              <w:t>技术要求</w:t>
            </w:r>
          </w:p>
        </w:tc>
        <w:tc>
          <w:tcPr>
            <w:tcW w:w="1257" w:type="dxa"/>
            <w:noWrap w:val="0"/>
            <w:vAlign w:val="center"/>
          </w:tcPr>
          <w:p w14:paraId="5F2248DD">
            <w:pPr>
              <w:tabs>
                <w:tab w:val="left" w:pos="180"/>
                <w:tab w:val="left" w:pos="1620"/>
              </w:tabs>
              <w:spacing w:line="440" w:lineRule="exact"/>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控制单价（万元）</w:t>
            </w:r>
          </w:p>
        </w:tc>
      </w:tr>
      <w:tr w14:paraId="5FCBE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67" w:type="dxa"/>
            <w:noWrap w:val="0"/>
            <w:vAlign w:val="center"/>
          </w:tcPr>
          <w:p w14:paraId="3D9D3443">
            <w:pPr>
              <w:snapToGrid w:val="0"/>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09" w:type="dxa"/>
            <w:noWrap w:val="0"/>
            <w:vAlign w:val="center"/>
          </w:tcPr>
          <w:p w14:paraId="329CC0B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救护车</w:t>
            </w:r>
          </w:p>
        </w:tc>
        <w:tc>
          <w:tcPr>
            <w:tcW w:w="585" w:type="dxa"/>
            <w:gridSpan w:val="3"/>
            <w:tcBorders>
              <w:right w:val="single" w:color="auto" w:sz="4" w:space="0"/>
            </w:tcBorders>
            <w:noWrap w:val="0"/>
            <w:vAlign w:val="center"/>
          </w:tcPr>
          <w:p w14:paraId="32C0A406">
            <w:pPr>
              <w:keepNext w:val="0"/>
              <w:keepLines w:val="0"/>
              <w:widowControl/>
              <w:suppressLineNumbers w:val="0"/>
              <w:jc w:val="center"/>
              <w:textAlignment w:val="center"/>
              <w:rPr>
                <w:rFonts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05" w:type="dxa"/>
            <w:gridSpan w:val="2"/>
            <w:tcBorders>
              <w:left w:val="single" w:color="auto" w:sz="4" w:space="0"/>
            </w:tcBorders>
            <w:noWrap w:val="0"/>
            <w:vAlign w:val="center"/>
          </w:tcPr>
          <w:p w14:paraId="53BF273D">
            <w:pPr>
              <w:keepNext w:val="0"/>
              <w:keepLines w:val="0"/>
              <w:widowControl/>
              <w:suppressLineNumbers w:val="0"/>
              <w:jc w:val="center"/>
              <w:textAlignment w:val="center"/>
              <w:rPr>
                <w:rFonts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辆</w:t>
            </w:r>
          </w:p>
        </w:tc>
        <w:tc>
          <w:tcPr>
            <w:tcW w:w="5041" w:type="dxa"/>
            <w:noWrap w:val="0"/>
            <w:vAlign w:val="center"/>
          </w:tcPr>
          <w:p w14:paraId="0ED60DD7">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一、功能性参数要求：</w:t>
            </w:r>
          </w:p>
          <w:p w14:paraId="3B07C4A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1.救护车功能：主要为转运、救治、监护抢救重症病人</w:t>
            </w:r>
          </w:p>
          <w:p w14:paraId="721007B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2.产品公告：投标人所投的整车产品交付前须是已列入</w:t>
            </w:r>
            <w:r>
              <w:rPr>
                <w:rFonts w:hint="eastAsia" w:ascii="宋体" w:hAnsi="宋体" w:cs="宋体"/>
                <w:i w:val="0"/>
                <w:iCs w:val="0"/>
                <w:color w:val="auto"/>
                <w:kern w:val="0"/>
                <w:sz w:val="21"/>
                <w:szCs w:val="21"/>
                <w:highlight w:val="none"/>
                <w:u w:val="none"/>
                <w:lang w:val="en-US" w:eastAsia="zh-CN" w:bidi="ar"/>
              </w:rPr>
              <w:t>国家发展和改革委员会</w:t>
            </w:r>
            <w:r>
              <w:rPr>
                <w:rFonts w:hint="default" w:ascii="宋体" w:hAnsi="宋体" w:eastAsia="宋体" w:cs="宋体"/>
                <w:i w:val="0"/>
                <w:iCs w:val="0"/>
                <w:color w:val="auto"/>
                <w:kern w:val="0"/>
                <w:sz w:val="21"/>
                <w:szCs w:val="21"/>
                <w:highlight w:val="none"/>
                <w:u w:val="none"/>
                <w:lang w:val="en-US" w:eastAsia="zh-CN" w:bidi="ar"/>
              </w:rPr>
              <w:t>或工信部发布的《车辆生产企业及产品公告目录》中列明的</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救护车</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车型，公告批次证明文件以工业和信息化部或发改委网站上含网址打印出来的公告为准。</w:t>
            </w:r>
            <w:r>
              <w:rPr>
                <w:rFonts w:hint="eastAsia" w:ascii="宋体" w:hAnsi="宋体" w:cs="宋体"/>
                <w:b/>
                <w:bCs/>
                <w:i w:val="0"/>
                <w:iCs w:val="0"/>
                <w:color w:val="auto"/>
                <w:kern w:val="0"/>
                <w:sz w:val="21"/>
                <w:szCs w:val="21"/>
                <w:highlight w:val="none"/>
                <w:u w:val="none"/>
                <w:lang w:val="en-US" w:eastAsia="zh-CN" w:bidi="ar"/>
              </w:rPr>
              <w:t>（须在投标文</w:t>
            </w:r>
            <w:r>
              <w:rPr>
                <w:rFonts w:hint="eastAsia" w:ascii="宋体" w:hAnsi="宋体" w:eastAsia="宋体" w:cs="宋体"/>
                <w:b/>
                <w:bCs/>
                <w:i w:val="0"/>
                <w:iCs w:val="0"/>
                <w:color w:val="auto"/>
                <w:kern w:val="0"/>
                <w:sz w:val="21"/>
                <w:szCs w:val="21"/>
                <w:highlight w:val="none"/>
                <w:u w:val="none"/>
                <w:lang w:val="en-US" w:eastAsia="zh-CN" w:bidi="ar"/>
              </w:rPr>
              <w:t>件中提供查询网址链接，可以不用提供网站查询截图，供货时</w:t>
            </w:r>
            <w:r>
              <w:rPr>
                <w:rFonts w:hint="eastAsia" w:ascii="宋体" w:hAnsi="宋体" w:cs="宋体"/>
                <w:b/>
                <w:bCs/>
                <w:i w:val="0"/>
                <w:iCs w:val="0"/>
                <w:color w:val="auto"/>
                <w:kern w:val="0"/>
                <w:sz w:val="21"/>
                <w:szCs w:val="21"/>
                <w:highlight w:val="none"/>
                <w:u w:val="none"/>
                <w:lang w:val="en-US" w:eastAsia="zh-CN" w:bidi="ar"/>
              </w:rPr>
              <w:t>核查证明文件）</w:t>
            </w:r>
          </w:p>
          <w:p w14:paraId="4A083917">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3.基本要求：符合现行机动车安全技术国标要求，且在中华人民共和国工业和信息化部现行《道路机动车辆生产企业及产品》公告中具有救护车公告目录，能在所在地公安交通管理部门办理救护车登记注册手续。</w:t>
            </w:r>
          </w:p>
          <w:p w14:paraId="51724F8D">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4.排放标准：国六</w:t>
            </w:r>
          </w:p>
          <w:p w14:paraId="66CBB3A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5.燃油类型：柴油</w:t>
            </w:r>
          </w:p>
          <w:p w14:paraId="155B1CE4">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6.驱动</w:t>
            </w:r>
            <w:r>
              <w:rPr>
                <w:rFonts w:hint="eastAsia" w:ascii="宋体" w:hAnsi="宋体" w:cs="宋体"/>
                <w:i w:val="0"/>
                <w:iCs w:val="0"/>
                <w:color w:val="auto"/>
                <w:kern w:val="0"/>
                <w:sz w:val="21"/>
                <w:szCs w:val="21"/>
                <w:highlight w:val="none"/>
                <w:u w:val="none"/>
                <w:lang w:val="en-US" w:eastAsia="zh-CN" w:bidi="ar"/>
              </w:rPr>
              <w:t>方式</w:t>
            </w:r>
            <w:r>
              <w:rPr>
                <w:rFonts w:hint="default" w:ascii="宋体" w:hAnsi="宋体" w:eastAsia="宋体" w:cs="宋体"/>
                <w:i w:val="0"/>
                <w:iCs w:val="0"/>
                <w:color w:val="auto"/>
                <w:kern w:val="0"/>
                <w:sz w:val="21"/>
                <w:szCs w:val="21"/>
                <w:highlight w:val="none"/>
                <w:u w:val="none"/>
                <w:lang w:val="en-US" w:eastAsia="zh-CN" w:bidi="ar"/>
              </w:rPr>
              <w:t>：前置后驱</w:t>
            </w:r>
          </w:p>
          <w:p w14:paraId="321D6E75">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7.</w:t>
            </w:r>
            <w:r>
              <w:rPr>
                <w:rFonts w:hint="default" w:ascii="宋体" w:hAnsi="宋体" w:eastAsia="宋体" w:cs="宋体"/>
                <w:i w:val="0"/>
                <w:iCs w:val="0"/>
                <w:color w:val="auto"/>
                <w:kern w:val="0"/>
                <w:sz w:val="21"/>
                <w:szCs w:val="21"/>
                <w:highlight w:val="none"/>
                <w:u w:val="none"/>
                <w:lang w:val="en-US" w:eastAsia="zh-CN" w:bidi="ar"/>
              </w:rPr>
              <w:t>制动器类型：前：盘式/后：盘式</w:t>
            </w:r>
          </w:p>
          <w:p w14:paraId="4351CDDD">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8</w:t>
            </w:r>
            <w:r>
              <w:rPr>
                <w:rFonts w:hint="default" w:ascii="宋体" w:hAnsi="宋体" w:eastAsia="宋体" w:cs="宋体"/>
                <w:i w:val="0"/>
                <w:iCs w:val="0"/>
                <w:color w:val="auto"/>
                <w:kern w:val="0"/>
                <w:sz w:val="21"/>
                <w:szCs w:val="21"/>
                <w:highlight w:val="none"/>
                <w:u w:val="none"/>
                <w:lang w:val="en-US" w:eastAsia="zh-CN" w:bidi="ar"/>
              </w:rPr>
              <w:t>.变速箱：手动挡、6个前进档，1个倒挡</w:t>
            </w:r>
          </w:p>
          <w:p w14:paraId="785877A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9</w:t>
            </w:r>
            <w:r>
              <w:rPr>
                <w:rFonts w:hint="default" w:ascii="宋体" w:hAnsi="宋体" w:eastAsia="宋体" w:cs="宋体"/>
                <w:i w:val="0"/>
                <w:iCs w:val="0"/>
                <w:color w:val="auto"/>
                <w:kern w:val="0"/>
                <w:sz w:val="21"/>
                <w:szCs w:val="21"/>
                <w:highlight w:val="none"/>
                <w:u w:val="none"/>
                <w:lang w:val="en-US" w:eastAsia="zh-CN" w:bidi="ar"/>
              </w:rPr>
              <w:t>.车辆总长(mm)：5950≤长≤5999</w:t>
            </w:r>
          </w:p>
          <w:p w14:paraId="787B7EB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10</w:t>
            </w:r>
            <w:r>
              <w:rPr>
                <w:rFonts w:hint="default" w:ascii="宋体" w:hAnsi="宋体" w:eastAsia="宋体" w:cs="宋体"/>
                <w:i w:val="0"/>
                <w:iCs w:val="0"/>
                <w:color w:val="auto"/>
                <w:kern w:val="0"/>
                <w:sz w:val="21"/>
                <w:szCs w:val="21"/>
                <w:highlight w:val="none"/>
                <w:u w:val="none"/>
                <w:lang w:val="en-US" w:eastAsia="zh-CN" w:bidi="ar"/>
              </w:rPr>
              <w:t>.车辆总宽(mm)：2100≤宽≤2200</w:t>
            </w:r>
          </w:p>
          <w:p w14:paraId="7E959DE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1</w:t>
            </w:r>
            <w:r>
              <w:rPr>
                <w:rFonts w:hint="default" w:ascii="宋体" w:hAnsi="宋体" w:eastAsia="宋体" w:cs="宋体"/>
                <w:i w:val="0"/>
                <w:iCs w:val="0"/>
                <w:color w:val="auto"/>
                <w:kern w:val="0"/>
                <w:sz w:val="21"/>
                <w:szCs w:val="21"/>
                <w:highlight w:val="none"/>
                <w:u w:val="none"/>
                <w:lang w:val="en-US" w:eastAsia="zh-CN" w:bidi="ar"/>
              </w:rPr>
              <w:t>.车辆总高(mm)：2800≤高≤2850</w:t>
            </w:r>
          </w:p>
          <w:p w14:paraId="49FF62E4">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2</w:t>
            </w:r>
            <w:r>
              <w:rPr>
                <w:rFonts w:hint="default" w:ascii="宋体" w:hAnsi="宋体" w:eastAsia="宋体" w:cs="宋体"/>
                <w:i w:val="0"/>
                <w:iCs w:val="0"/>
                <w:color w:val="auto"/>
                <w:kern w:val="0"/>
                <w:sz w:val="21"/>
                <w:szCs w:val="21"/>
                <w:highlight w:val="none"/>
                <w:u w:val="none"/>
                <w:lang w:val="en-US" w:eastAsia="zh-CN" w:bidi="ar"/>
              </w:rPr>
              <w:t>.救护舱尺寸(mm)：≥3300×1800×1800</w:t>
            </w:r>
          </w:p>
          <w:p w14:paraId="5533FC1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3</w:t>
            </w:r>
            <w:r>
              <w:rPr>
                <w:rFonts w:hint="default" w:ascii="宋体" w:hAnsi="宋体" w:eastAsia="宋体" w:cs="宋体"/>
                <w:i w:val="0"/>
                <w:iCs w:val="0"/>
                <w:color w:val="auto"/>
                <w:kern w:val="0"/>
                <w:sz w:val="21"/>
                <w:szCs w:val="21"/>
                <w:highlight w:val="none"/>
                <w:u w:val="none"/>
                <w:lang w:val="en-US" w:eastAsia="zh-CN" w:bidi="ar"/>
              </w:rPr>
              <w:t>.总质量(kg)：≥4495</w:t>
            </w:r>
          </w:p>
          <w:p w14:paraId="16F7D96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4</w:t>
            </w:r>
            <w:r>
              <w:rPr>
                <w:rFonts w:hint="default" w:ascii="宋体" w:hAnsi="宋体" w:eastAsia="宋体" w:cs="宋体"/>
                <w:i w:val="0"/>
                <w:iCs w:val="0"/>
                <w:color w:val="auto"/>
                <w:kern w:val="0"/>
                <w:sz w:val="21"/>
                <w:szCs w:val="21"/>
                <w:highlight w:val="none"/>
                <w:u w:val="none"/>
                <w:lang w:val="en-US" w:eastAsia="zh-CN" w:bidi="ar"/>
              </w:rPr>
              <w:t>.整备质量(kg)：≥2950</w:t>
            </w:r>
          </w:p>
          <w:p w14:paraId="75E5C4B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5</w:t>
            </w:r>
            <w:r>
              <w:rPr>
                <w:rFonts w:hint="default" w:ascii="宋体" w:hAnsi="宋体" w:eastAsia="宋体" w:cs="宋体"/>
                <w:i w:val="0"/>
                <w:iCs w:val="0"/>
                <w:color w:val="auto"/>
                <w:kern w:val="0"/>
                <w:sz w:val="21"/>
                <w:szCs w:val="21"/>
                <w:highlight w:val="none"/>
                <w:u w:val="none"/>
                <w:lang w:val="en-US" w:eastAsia="zh-CN" w:bidi="ar"/>
              </w:rPr>
              <w:t>.轴距(mm)：≥3750</w:t>
            </w:r>
          </w:p>
          <w:p w14:paraId="1670164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16.</w:t>
            </w:r>
            <w:r>
              <w:rPr>
                <w:rFonts w:hint="default" w:ascii="宋体" w:hAnsi="宋体" w:eastAsia="宋体" w:cs="宋体"/>
                <w:i w:val="0"/>
                <w:iCs w:val="0"/>
                <w:color w:val="auto"/>
                <w:kern w:val="0"/>
                <w:sz w:val="21"/>
                <w:szCs w:val="21"/>
                <w:highlight w:val="none"/>
                <w:u w:val="none"/>
                <w:lang w:val="en-US" w:eastAsia="zh-CN" w:bidi="ar"/>
              </w:rPr>
              <w:t>最高车速（km/h）：≥150</w:t>
            </w:r>
          </w:p>
          <w:p w14:paraId="087085E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7</w:t>
            </w:r>
            <w:r>
              <w:rPr>
                <w:rFonts w:hint="default" w:ascii="宋体" w:hAnsi="宋体" w:eastAsia="宋体" w:cs="宋体"/>
                <w:i w:val="0"/>
                <w:iCs w:val="0"/>
                <w:color w:val="auto"/>
                <w:kern w:val="0"/>
                <w:sz w:val="21"/>
                <w:szCs w:val="21"/>
                <w:highlight w:val="none"/>
                <w:u w:val="none"/>
                <w:lang w:val="en-US" w:eastAsia="zh-CN" w:bidi="ar"/>
              </w:rPr>
              <w:t>.接近角/离去角：≥19/20(°)</w:t>
            </w:r>
          </w:p>
          <w:p w14:paraId="0EF7A7A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8</w:t>
            </w:r>
            <w:r>
              <w:rPr>
                <w:rFonts w:hint="default" w:ascii="宋体" w:hAnsi="宋体" w:eastAsia="宋体" w:cs="宋体"/>
                <w:i w:val="0"/>
                <w:iCs w:val="0"/>
                <w:color w:val="auto"/>
                <w:kern w:val="0"/>
                <w:sz w:val="21"/>
                <w:szCs w:val="21"/>
                <w:highlight w:val="none"/>
                <w:u w:val="none"/>
                <w:lang w:val="en-US" w:eastAsia="zh-CN" w:bidi="ar"/>
              </w:rPr>
              <w:t>.油箱容积(L)：≥80</w:t>
            </w:r>
          </w:p>
          <w:p w14:paraId="5BE07DC2">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9</w:t>
            </w:r>
            <w:r>
              <w:rPr>
                <w:rFonts w:hint="default" w:ascii="宋体" w:hAnsi="宋体" w:eastAsia="宋体" w:cs="宋体"/>
                <w:i w:val="0"/>
                <w:iCs w:val="0"/>
                <w:color w:val="auto"/>
                <w:kern w:val="0"/>
                <w:sz w:val="21"/>
                <w:szCs w:val="21"/>
                <w:highlight w:val="none"/>
                <w:u w:val="none"/>
                <w:lang w:val="en-US" w:eastAsia="zh-CN" w:bidi="ar"/>
              </w:rPr>
              <w:t>.排量(ml)：≥2296</w:t>
            </w:r>
          </w:p>
          <w:p w14:paraId="7115DD3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20</w:t>
            </w:r>
            <w:r>
              <w:rPr>
                <w:rFonts w:hint="default" w:ascii="宋体" w:hAnsi="宋体" w:eastAsia="宋体" w:cs="宋体"/>
                <w:i w:val="0"/>
                <w:iCs w:val="0"/>
                <w:color w:val="auto"/>
                <w:kern w:val="0"/>
                <w:sz w:val="21"/>
                <w:szCs w:val="21"/>
                <w:highlight w:val="none"/>
                <w:u w:val="none"/>
                <w:lang w:val="en-US" w:eastAsia="zh-CN" w:bidi="ar"/>
              </w:rPr>
              <w:t>.进气形式：涡轮增压</w:t>
            </w:r>
          </w:p>
          <w:p w14:paraId="5FA2928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21</w:t>
            </w:r>
            <w:r>
              <w:rPr>
                <w:rFonts w:hint="default" w:ascii="宋体" w:hAnsi="宋体" w:eastAsia="宋体" w:cs="宋体"/>
                <w:i w:val="0"/>
                <w:iCs w:val="0"/>
                <w:color w:val="auto"/>
                <w:kern w:val="0"/>
                <w:sz w:val="21"/>
                <w:szCs w:val="21"/>
                <w:highlight w:val="none"/>
                <w:u w:val="none"/>
                <w:lang w:val="en-US" w:eastAsia="zh-CN" w:bidi="ar"/>
              </w:rPr>
              <w:t>.额定功率</w:t>
            </w:r>
            <w:r>
              <w:rPr>
                <w:rFonts w:hint="eastAsia" w:ascii="宋体" w:hAnsi="宋体" w:cs="宋体"/>
                <w:i w:val="0"/>
                <w:iCs w:val="0"/>
                <w:color w:val="auto"/>
                <w:kern w:val="0"/>
                <w:sz w:val="21"/>
                <w:szCs w:val="21"/>
                <w:highlight w:val="none"/>
                <w:u w:val="none"/>
                <w:lang w:val="en-US" w:eastAsia="zh-CN" w:bidi="ar"/>
              </w:rPr>
              <w:t>kW：</w:t>
            </w:r>
            <w:r>
              <w:rPr>
                <w:rFonts w:hint="default" w:ascii="宋体" w:hAnsi="宋体" w:eastAsia="宋体" w:cs="宋体"/>
                <w:i w:val="0"/>
                <w:iCs w:val="0"/>
                <w:color w:val="auto"/>
                <w:kern w:val="0"/>
                <w:sz w:val="21"/>
                <w:szCs w:val="21"/>
                <w:highlight w:val="none"/>
                <w:u w:val="none"/>
                <w:lang w:val="en-US" w:eastAsia="zh-CN" w:bidi="ar"/>
              </w:rPr>
              <w:t>≥128</w:t>
            </w:r>
          </w:p>
          <w:p w14:paraId="4CB544A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2</w:t>
            </w:r>
            <w:r>
              <w:rPr>
                <w:rFonts w:hint="default" w:ascii="宋体" w:hAnsi="宋体" w:eastAsia="宋体" w:cs="宋体"/>
                <w:i w:val="0"/>
                <w:iCs w:val="0"/>
                <w:color w:val="auto"/>
                <w:kern w:val="0"/>
                <w:sz w:val="21"/>
                <w:szCs w:val="21"/>
                <w:highlight w:val="none"/>
                <w:u w:val="none"/>
                <w:lang w:val="en-US" w:eastAsia="zh-CN" w:bidi="ar"/>
              </w:rPr>
              <w:t>.最大扭矩Nm/rpm</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≥430</w:t>
            </w:r>
          </w:p>
          <w:p w14:paraId="79C3615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3</w:t>
            </w:r>
            <w:r>
              <w:rPr>
                <w:rFonts w:hint="default" w:ascii="宋体" w:hAnsi="宋体" w:eastAsia="宋体" w:cs="宋体"/>
                <w:i w:val="0"/>
                <w:iCs w:val="0"/>
                <w:color w:val="auto"/>
                <w:kern w:val="0"/>
                <w:sz w:val="21"/>
                <w:szCs w:val="21"/>
                <w:highlight w:val="none"/>
                <w:u w:val="none"/>
                <w:lang w:val="en-US" w:eastAsia="zh-CN" w:bidi="ar"/>
              </w:rPr>
              <w:t>.悬架系统(前/后)：前：麦弗逊式独立悬架/后：霍奇基斯悬架</w:t>
            </w:r>
          </w:p>
          <w:p w14:paraId="339F6768">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4</w:t>
            </w:r>
            <w:r>
              <w:rPr>
                <w:rFonts w:hint="default" w:ascii="宋体" w:hAnsi="宋体" w:eastAsia="宋体" w:cs="宋体"/>
                <w:i w:val="0"/>
                <w:iCs w:val="0"/>
                <w:color w:val="auto"/>
                <w:kern w:val="0"/>
                <w:sz w:val="21"/>
                <w:szCs w:val="21"/>
                <w:highlight w:val="none"/>
                <w:u w:val="none"/>
                <w:lang w:val="en-US" w:eastAsia="zh-CN" w:bidi="ar"/>
              </w:rPr>
              <w:t>.防抱死制动系统：前盘后盘，ABS，EBD</w:t>
            </w:r>
          </w:p>
          <w:p w14:paraId="73570CE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5</w:t>
            </w:r>
            <w:r>
              <w:rPr>
                <w:rFonts w:hint="default" w:ascii="宋体" w:hAnsi="宋体" w:eastAsia="宋体" w:cs="宋体"/>
                <w:i w:val="0"/>
                <w:iCs w:val="0"/>
                <w:color w:val="auto"/>
                <w:kern w:val="0"/>
                <w:sz w:val="21"/>
                <w:szCs w:val="21"/>
                <w:highlight w:val="none"/>
                <w:u w:val="none"/>
                <w:lang w:val="en-US" w:eastAsia="zh-CN" w:bidi="ar"/>
              </w:rPr>
              <w:t>.轮胎规格：195/75R16C</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轮胎数：6</w:t>
            </w:r>
          </w:p>
          <w:p w14:paraId="0E56BA27">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6</w:t>
            </w:r>
            <w:r>
              <w:rPr>
                <w:rFonts w:hint="default" w:ascii="宋体" w:hAnsi="宋体" w:eastAsia="宋体" w:cs="宋体"/>
                <w:i w:val="0"/>
                <w:iCs w:val="0"/>
                <w:color w:val="auto"/>
                <w:kern w:val="0"/>
                <w:sz w:val="21"/>
                <w:szCs w:val="21"/>
                <w:highlight w:val="none"/>
                <w:u w:val="none"/>
                <w:lang w:val="en-US" w:eastAsia="zh-CN" w:bidi="ar"/>
              </w:rPr>
              <w:t>.后尾门</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后尾门为180°对开尾门</w:t>
            </w:r>
          </w:p>
          <w:p w14:paraId="232B497D">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7</w:t>
            </w:r>
            <w:r>
              <w:rPr>
                <w:rFonts w:hint="default" w:ascii="宋体" w:hAnsi="宋体" w:eastAsia="宋体" w:cs="宋体"/>
                <w:i w:val="0"/>
                <w:iCs w:val="0"/>
                <w:color w:val="auto"/>
                <w:kern w:val="0"/>
                <w:sz w:val="21"/>
                <w:szCs w:val="21"/>
                <w:highlight w:val="none"/>
                <w:u w:val="none"/>
                <w:lang w:val="en-US" w:eastAsia="zh-CN" w:bidi="ar"/>
              </w:rPr>
              <w:t>.安全气囊</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驾驶室安全气囊</w:t>
            </w:r>
          </w:p>
          <w:p w14:paraId="636F4AB8">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8</w:t>
            </w:r>
            <w:r>
              <w:rPr>
                <w:rFonts w:hint="default" w:ascii="宋体" w:hAnsi="宋体" w:eastAsia="宋体" w:cs="宋体"/>
                <w:i w:val="0"/>
                <w:iCs w:val="0"/>
                <w:color w:val="auto"/>
                <w:kern w:val="0"/>
                <w:sz w:val="21"/>
                <w:szCs w:val="21"/>
                <w:highlight w:val="none"/>
                <w:u w:val="none"/>
                <w:lang w:val="en-US" w:eastAsia="zh-CN" w:bidi="ar"/>
              </w:rPr>
              <w:t>.最大乘员数（含驾驶员）：≥7</w:t>
            </w:r>
          </w:p>
          <w:p w14:paraId="3F4CAA5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9</w:t>
            </w:r>
            <w:r>
              <w:rPr>
                <w:rFonts w:hint="default" w:ascii="宋体" w:hAnsi="宋体" w:eastAsia="宋体" w:cs="宋体"/>
                <w:i w:val="0"/>
                <w:iCs w:val="0"/>
                <w:color w:val="auto"/>
                <w:kern w:val="0"/>
                <w:sz w:val="21"/>
                <w:szCs w:val="21"/>
                <w:highlight w:val="none"/>
                <w:u w:val="none"/>
                <w:lang w:val="en-US" w:eastAsia="zh-CN" w:bidi="ar"/>
              </w:rPr>
              <w:t>.医疗舱内饰顶：采用轻型环保材料，防水、防霉、抗菌且环保</w:t>
            </w:r>
            <w:r>
              <w:rPr>
                <w:rFonts w:hint="eastAsia" w:ascii="宋体" w:hAnsi="宋体" w:cs="宋体"/>
                <w:i w:val="0"/>
                <w:iCs w:val="0"/>
                <w:color w:val="auto"/>
                <w:kern w:val="0"/>
                <w:sz w:val="21"/>
                <w:szCs w:val="21"/>
                <w:highlight w:val="none"/>
                <w:u w:val="none"/>
                <w:lang w:val="en-US" w:eastAsia="zh-CN" w:bidi="ar"/>
              </w:rPr>
              <w:t>。</w:t>
            </w:r>
          </w:p>
          <w:p w14:paraId="2DACDF88">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30</w:t>
            </w:r>
            <w:r>
              <w:rPr>
                <w:rFonts w:hint="default" w:ascii="宋体" w:hAnsi="宋体" w:eastAsia="宋体" w:cs="宋体"/>
                <w:i w:val="0"/>
                <w:iCs w:val="0"/>
                <w:color w:val="auto"/>
                <w:kern w:val="0"/>
                <w:sz w:val="21"/>
                <w:szCs w:val="21"/>
                <w:highlight w:val="none"/>
                <w:u w:val="none"/>
                <w:lang w:val="en-US" w:eastAsia="zh-CN" w:bidi="ar"/>
              </w:rPr>
              <w:t>.隔断：将医疗舱与驾驶舱用中隔墙完全隔离，中隔墙表面采用环保材料制作，中隔墙上方有可开启的透明观察窗。</w:t>
            </w:r>
          </w:p>
          <w:p w14:paraId="3E065BB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31</w:t>
            </w:r>
            <w:r>
              <w:rPr>
                <w:rFonts w:hint="default" w:ascii="宋体" w:hAnsi="宋体" w:eastAsia="宋体" w:cs="宋体"/>
                <w:i w:val="0"/>
                <w:iCs w:val="0"/>
                <w:color w:val="auto"/>
                <w:kern w:val="0"/>
                <w:sz w:val="21"/>
                <w:szCs w:val="21"/>
                <w:highlight w:val="none"/>
                <w:u w:val="none"/>
                <w:lang w:val="en-US" w:eastAsia="zh-CN" w:bidi="ar"/>
              </w:rPr>
              <w:t>.舱内隔断后组合柜</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柜体采用PVC高密度轻型环保材料，无异味；柜面设计3cm挡边可做护士操作平台。</w:t>
            </w:r>
          </w:p>
          <w:p w14:paraId="537EBF4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2</w:t>
            </w:r>
            <w:r>
              <w:rPr>
                <w:rFonts w:hint="default" w:ascii="宋体" w:hAnsi="宋体" w:eastAsia="宋体" w:cs="宋体"/>
                <w:i w:val="0"/>
                <w:iCs w:val="0"/>
                <w:color w:val="auto"/>
                <w:kern w:val="0"/>
                <w:sz w:val="21"/>
                <w:szCs w:val="21"/>
                <w:highlight w:val="none"/>
                <w:u w:val="none"/>
                <w:lang w:val="en-US" w:eastAsia="zh-CN" w:bidi="ar"/>
              </w:rPr>
              <w:t>.医疗舱左侧顶部多用医药吊柜</w:t>
            </w:r>
            <w:r>
              <w:rPr>
                <w:rFonts w:hint="eastAsia" w:ascii="宋体" w:hAnsi="宋体" w:cs="宋体"/>
                <w:i w:val="0"/>
                <w:iCs w:val="0"/>
                <w:color w:val="auto"/>
                <w:kern w:val="0"/>
                <w:sz w:val="21"/>
                <w:szCs w:val="21"/>
                <w:highlight w:val="none"/>
                <w:u w:val="none"/>
                <w:lang w:val="en-US" w:eastAsia="zh-CN" w:bidi="ar"/>
              </w:rPr>
              <w:t>：</w:t>
            </w:r>
          </w:p>
          <w:p w14:paraId="31AF21F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在</w:t>
            </w:r>
            <w:r>
              <w:rPr>
                <w:rFonts w:hint="default" w:ascii="宋体" w:hAnsi="宋体" w:eastAsia="宋体" w:cs="宋体"/>
                <w:i w:val="0"/>
                <w:iCs w:val="0"/>
                <w:color w:val="auto"/>
                <w:kern w:val="0"/>
                <w:sz w:val="21"/>
                <w:szCs w:val="21"/>
                <w:highlight w:val="none"/>
                <w:u w:val="none"/>
                <w:lang w:val="en-US" w:eastAsia="zh-CN" w:bidi="ar"/>
              </w:rPr>
              <w:t>左侧顶部配置多功能医药吊柜</w:t>
            </w:r>
            <w:r>
              <w:rPr>
                <w:rFonts w:hint="eastAsia" w:ascii="宋体" w:hAnsi="宋体" w:cs="宋体"/>
                <w:i w:val="0"/>
                <w:iCs w:val="0"/>
                <w:color w:val="auto"/>
                <w:kern w:val="0"/>
                <w:sz w:val="21"/>
                <w:szCs w:val="21"/>
                <w:highlight w:val="none"/>
                <w:u w:val="none"/>
                <w:lang w:val="en-US" w:eastAsia="zh-CN" w:bidi="ar"/>
              </w:rPr>
              <w:t>，具体要求如下：</w:t>
            </w:r>
          </w:p>
          <w:p w14:paraId="7FEB09F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2</w:t>
            </w:r>
            <w:r>
              <w:rPr>
                <w:rFonts w:hint="default" w:ascii="宋体" w:hAnsi="宋体" w:eastAsia="宋体" w:cs="宋体"/>
                <w:i w:val="0"/>
                <w:iCs w:val="0"/>
                <w:color w:val="auto"/>
                <w:kern w:val="0"/>
                <w:sz w:val="21"/>
                <w:szCs w:val="21"/>
                <w:highlight w:val="none"/>
                <w:u w:val="none"/>
                <w:lang w:val="en-US" w:eastAsia="zh-CN" w:bidi="ar"/>
              </w:rPr>
              <w:t>.1.柜体采用PVC高密度轻型环保材料，无异味；</w:t>
            </w:r>
          </w:p>
          <w:p w14:paraId="30E98805">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2</w:t>
            </w:r>
            <w:r>
              <w:rPr>
                <w:rFonts w:hint="default" w:ascii="宋体" w:hAnsi="宋体" w:eastAsia="宋体" w:cs="宋体"/>
                <w:i w:val="0"/>
                <w:iCs w:val="0"/>
                <w:color w:val="auto"/>
                <w:kern w:val="0"/>
                <w:sz w:val="21"/>
                <w:szCs w:val="21"/>
                <w:highlight w:val="none"/>
                <w:u w:val="none"/>
                <w:lang w:val="en-US" w:eastAsia="zh-CN" w:bidi="ar"/>
              </w:rPr>
              <w:t>.2.柜门采用防蓝光、抗辐射蓝色有机材料推拉门，推拉</w:t>
            </w:r>
            <w:r>
              <w:rPr>
                <w:rFonts w:hint="eastAsia" w:ascii="宋体" w:hAnsi="宋体" w:cs="宋体"/>
                <w:i w:val="0"/>
                <w:iCs w:val="0"/>
                <w:color w:val="auto"/>
                <w:kern w:val="0"/>
                <w:sz w:val="21"/>
                <w:szCs w:val="21"/>
                <w:highlight w:val="none"/>
                <w:u w:val="none"/>
                <w:lang w:val="en-US" w:eastAsia="zh-CN" w:bidi="ar"/>
              </w:rPr>
              <w:t>门</w:t>
            </w:r>
            <w:r>
              <w:rPr>
                <w:rFonts w:hint="default" w:ascii="宋体" w:hAnsi="宋体" w:eastAsia="宋体" w:cs="宋体"/>
                <w:i w:val="0"/>
                <w:iCs w:val="0"/>
                <w:color w:val="auto"/>
                <w:kern w:val="0"/>
                <w:sz w:val="21"/>
                <w:szCs w:val="21"/>
                <w:highlight w:val="none"/>
                <w:u w:val="none"/>
                <w:lang w:val="en-US" w:eastAsia="zh-CN" w:bidi="ar"/>
              </w:rPr>
              <w:t>采用交叉卡槽固定，推拉顺滑的同时确保行车时无异响；</w:t>
            </w:r>
          </w:p>
          <w:p w14:paraId="289A37EB">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2</w:t>
            </w:r>
            <w:r>
              <w:rPr>
                <w:rFonts w:hint="default" w:ascii="宋体" w:hAnsi="宋体" w:eastAsia="宋体" w:cs="宋体"/>
                <w:i w:val="0"/>
                <w:iCs w:val="0"/>
                <w:color w:val="auto"/>
                <w:kern w:val="0"/>
                <w:sz w:val="21"/>
                <w:szCs w:val="21"/>
                <w:highlight w:val="none"/>
                <w:u w:val="none"/>
                <w:lang w:val="en-US" w:eastAsia="zh-CN" w:bidi="ar"/>
              </w:rPr>
              <w:t>.3.柜体内可分类存放药品、麻醉包、一次性医疗卫生用品等</w:t>
            </w:r>
            <w:r>
              <w:rPr>
                <w:rFonts w:hint="eastAsia" w:ascii="宋体" w:hAnsi="宋体" w:cs="宋体"/>
                <w:i w:val="0"/>
                <w:iCs w:val="0"/>
                <w:color w:val="auto"/>
                <w:kern w:val="0"/>
                <w:sz w:val="21"/>
                <w:szCs w:val="21"/>
                <w:highlight w:val="none"/>
                <w:u w:val="none"/>
                <w:lang w:val="en-US" w:eastAsia="zh-CN" w:bidi="ar"/>
              </w:rPr>
              <w:t>；</w:t>
            </w:r>
          </w:p>
          <w:p w14:paraId="459EAC91">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3</w:t>
            </w:r>
            <w:r>
              <w:rPr>
                <w:rFonts w:hint="default" w:ascii="宋体" w:hAnsi="宋体" w:eastAsia="宋体" w:cs="宋体"/>
                <w:i w:val="0"/>
                <w:iCs w:val="0"/>
                <w:color w:val="auto"/>
                <w:kern w:val="0"/>
                <w:sz w:val="21"/>
                <w:szCs w:val="21"/>
                <w:highlight w:val="none"/>
                <w:u w:val="none"/>
                <w:lang w:val="en-US" w:eastAsia="zh-CN" w:bidi="ar"/>
              </w:rPr>
              <w:t>.医疗舱左侧落地长条医疗柜</w:t>
            </w:r>
            <w:r>
              <w:rPr>
                <w:rFonts w:hint="eastAsia" w:ascii="宋体" w:hAnsi="宋体" w:cs="宋体"/>
                <w:i w:val="0"/>
                <w:iCs w:val="0"/>
                <w:color w:val="auto"/>
                <w:kern w:val="0"/>
                <w:sz w:val="21"/>
                <w:szCs w:val="21"/>
                <w:highlight w:val="none"/>
                <w:u w:val="none"/>
                <w:lang w:val="en-US" w:eastAsia="zh-CN" w:bidi="ar"/>
              </w:rPr>
              <w:t>：</w:t>
            </w:r>
          </w:p>
          <w:p w14:paraId="0B1A2E2D">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在</w:t>
            </w:r>
            <w:r>
              <w:rPr>
                <w:rFonts w:hint="default" w:ascii="宋体" w:hAnsi="宋体" w:eastAsia="宋体" w:cs="宋体"/>
                <w:i w:val="0"/>
                <w:iCs w:val="0"/>
                <w:color w:val="auto"/>
                <w:kern w:val="0"/>
                <w:sz w:val="21"/>
                <w:szCs w:val="21"/>
                <w:highlight w:val="none"/>
                <w:u w:val="none"/>
                <w:lang w:val="en-US" w:eastAsia="zh-CN" w:bidi="ar"/>
              </w:rPr>
              <w:t>左后侧底部配置多功能长条医疗柜，具体要求如下：</w:t>
            </w:r>
          </w:p>
          <w:p w14:paraId="70AEF5B5">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3</w:t>
            </w:r>
            <w:r>
              <w:rPr>
                <w:rFonts w:hint="default" w:ascii="宋体" w:hAnsi="宋体" w:eastAsia="宋体" w:cs="宋体"/>
                <w:i w:val="0"/>
                <w:iCs w:val="0"/>
                <w:color w:val="auto"/>
                <w:kern w:val="0"/>
                <w:sz w:val="21"/>
                <w:szCs w:val="21"/>
                <w:highlight w:val="none"/>
                <w:u w:val="none"/>
                <w:lang w:val="en-US" w:eastAsia="zh-CN" w:bidi="ar"/>
              </w:rPr>
              <w:t>.1.柜体采用PVC高密度轻型环保材料，无异味；</w:t>
            </w:r>
          </w:p>
          <w:p w14:paraId="6B655FC1">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3</w:t>
            </w:r>
            <w:r>
              <w:rPr>
                <w:rFonts w:hint="default" w:ascii="宋体" w:hAnsi="宋体" w:eastAsia="宋体" w:cs="宋体"/>
                <w:i w:val="0"/>
                <w:iCs w:val="0"/>
                <w:color w:val="auto"/>
                <w:kern w:val="0"/>
                <w:sz w:val="21"/>
                <w:szCs w:val="21"/>
                <w:highlight w:val="none"/>
                <w:u w:val="none"/>
                <w:lang w:val="en-US" w:eastAsia="zh-CN" w:bidi="ar"/>
              </w:rPr>
              <w:t>.2.柜门采用防蓝光、抗辐射蓝色有机材料推拉门，推拉</w:t>
            </w:r>
            <w:r>
              <w:rPr>
                <w:rFonts w:hint="eastAsia" w:ascii="宋体" w:hAnsi="宋体" w:cs="宋体"/>
                <w:i w:val="0"/>
                <w:iCs w:val="0"/>
                <w:color w:val="auto"/>
                <w:kern w:val="0"/>
                <w:sz w:val="21"/>
                <w:szCs w:val="21"/>
                <w:highlight w:val="none"/>
                <w:u w:val="none"/>
                <w:lang w:val="en-US" w:eastAsia="zh-CN" w:bidi="ar"/>
              </w:rPr>
              <w:t>门</w:t>
            </w:r>
            <w:r>
              <w:rPr>
                <w:rFonts w:hint="default" w:ascii="宋体" w:hAnsi="宋体" w:eastAsia="宋体" w:cs="宋体"/>
                <w:i w:val="0"/>
                <w:iCs w:val="0"/>
                <w:color w:val="auto"/>
                <w:kern w:val="0"/>
                <w:sz w:val="21"/>
                <w:szCs w:val="21"/>
                <w:highlight w:val="none"/>
                <w:u w:val="none"/>
                <w:lang w:val="en-US" w:eastAsia="zh-CN" w:bidi="ar"/>
              </w:rPr>
              <w:t>采用交叉卡槽固定，推拉顺滑的同时确保行车时无异响；</w:t>
            </w:r>
          </w:p>
          <w:p w14:paraId="4ACEEE0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3</w:t>
            </w:r>
            <w:r>
              <w:rPr>
                <w:rFonts w:hint="default" w:ascii="宋体" w:hAnsi="宋体" w:eastAsia="宋体" w:cs="宋体"/>
                <w:i w:val="0"/>
                <w:iCs w:val="0"/>
                <w:color w:val="auto"/>
                <w:kern w:val="0"/>
                <w:sz w:val="21"/>
                <w:szCs w:val="21"/>
                <w:highlight w:val="none"/>
                <w:u w:val="none"/>
                <w:lang w:val="en-US" w:eastAsia="zh-CN" w:bidi="ar"/>
              </w:rPr>
              <w:t>.3.柜体内可放置药品及大型、重型等医疗设备及用品；</w:t>
            </w:r>
          </w:p>
          <w:p w14:paraId="6EE1AB07">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3</w:t>
            </w:r>
            <w:r>
              <w:rPr>
                <w:rFonts w:hint="default" w:ascii="宋体" w:hAnsi="宋体" w:eastAsia="宋体" w:cs="宋体"/>
                <w:i w:val="0"/>
                <w:iCs w:val="0"/>
                <w:color w:val="auto"/>
                <w:kern w:val="0"/>
                <w:sz w:val="21"/>
                <w:szCs w:val="21"/>
                <w:highlight w:val="none"/>
                <w:u w:val="none"/>
                <w:lang w:val="en-US" w:eastAsia="zh-CN" w:bidi="ar"/>
              </w:rPr>
              <w:t>.4.柜体上表面设置设备摆放平台，边缘向上突出3CM。平台上方可放置多台医疗设备。</w:t>
            </w:r>
          </w:p>
          <w:p w14:paraId="1C18D8D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4</w:t>
            </w:r>
            <w:r>
              <w:rPr>
                <w:rFonts w:hint="default" w:ascii="宋体" w:hAnsi="宋体" w:eastAsia="宋体" w:cs="宋体"/>
                <w:i w:val="0"/>
                <w:iCs w:val="0"/>
                <w:color w:val="auto"/>
                <w:kern w:val="0"/>
                <w:sz w:val="21"/>
                <w:szCs w:val="21"/>
                <w:highlight w:val="none"/>
                <w:u w:val="none"/>
                <w:lang w:val="en-US" w:eastAsia="zh-CN" w:bidi="ar"/>
              </w:rPr>
              <w:t>.医疗舱左侧尾部立式双10L氧气瓶柜：</w:t>
            </w:r>
          </w:p>
          <w:p w14:paraId="771EBEB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4</w:t>
            </w:r>
            <w:r>
              <w:rPr>
                <w:rFonts w:hint="default" w:ascii="宋体" w:hAnsi="宋体" w:eastAsia="宋体" w:cs="宋体"/>
                <w:i w:val="0"/>
                <w:iCs w:val="0"/>
                <w:color w:val="auto"/>
                <w:kern w:val="0"/>
                <w:sz w:val="21"/>
                <w:szCs w:val="21"/>
                <w:highlight w:val="none"/>
                <w:u w:val="none"/>
                <w:lang w:val="en-US" w:eastAsia="zh-CN" w:bidi="ar"/>
              </w:rPr>
              <w:t>.1.配置氧气瓶底座；</w:t>
            </w:r>
          </w:p>
          <w:p w14:paraId="29C74E3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4</w:t>
            </w:r>
            <w:r>
              <w:rPr>
                <w:rFonts w:hint="default" w:ascii="宋体" w:hAnsi="宋体" w:eastAsia="宋体" w:cs="宋体"/>
                <w:i w:val="0"/>
                <w:iCs w:val="0"/>
                <w:color w:val="auto"/>
                <w:kern w:val="0"/>
                <w:sz w:val="21"/>
                <w:szCs w:val="21"/>
                <w:highlight w:val="none"/>
                <w:u w:val="none"/>
                <w:lang w:val="en-US" w:eastAsia="zh-CN" w:bidi="ar"/>
              </w:rPr>
              <w:t>.2.固定支架：预埋支架固定装置，支架采用钢制螺纹式固定方式。</w:t>
            </w:r>
          </w:p>
          <w:p w14:paraId="435B3AB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5</w:t>
            </w:r>
            <w:r>
              <w:rPr>
                <w:rFonts w:hint="default" w:ascii="宋体" w:hAnsi="宋体" w:eastAsia="宋体" w:cs="宋体"/>
                <w:i w:val="0"/>
                <w:iCs w:val="0"/>
                <w:color w:val="auto"/>
                <w:kern w:val="0"/>
                <w:sz w:val="21"/>
                <w:szCs w:val="21"/>
                <w:highlight w:val="none"/>
                <w:u w:val="none"/>
                <w:lang w:val="en-US" w:eastAsia="zh-CN" w:bidi="ar"/>
              </w:rPr>
              <w:t>.输液挂钩：在医疗舱顶部安装2组折叠式输液挂钩</w:t>
            </w:r>
          </w:p>
          <w:p w14:paraId="3FCF818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6</w:t>
            </w:r>
            <w:r>
              <w:rPr>
                <w:rFonts w:hint="default" w:ascii="宋体" w:hAnsi="宋体" w:eastAsia="宋体" w:cs="宋体"/>
                <w:i w:val="0"/>
                <w:iCs w:val="0"/>
                <w:color w:val="auto"/>
                <w:kern w:val="0"/>
                <w:sz w:val="21"/>
                <w:szCs w:val="21"/>
                <w:highlight w:val="none"/>
                <w:u w:val="none"/>
                <w:lang w:val="en-US" w:eastAsia="zh-CN" w:bidi="ar"/>
              </w:rPr>
              <w:t>.医用地板</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采用蓝色轻体地面装饰材料（重量轻，环保，可二次回收利用），防水、防腐、耐磨、抗菌，材料符合GB/T30512-2014《汽车禁用物质要求》要求，未检出镉、铅、汞及六价铬等物质；</w:t>
            </w:r>
          </w:p>
          <w:p w14:paraId="1A01A7DB">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7</w:t>
            </w:r>
            <w:r>
              <w:rPr>
                <w:rFonts w:hint="default" w:ascii="宋体" w:hAnsi="宋体" w:eastAsia="宋体" w:cs="宋体"/>
                <w:i w:val="0"/>
                <w:iCs w:val="0"/>
                <w:color w:val="auto"/>
                <w:kern w:val="0"/>
                <w:sz w:val="21"/>
                <w:szCs w:val="21"/>
                <w:highlight w:val="none"/>
                <w:u w:val="none"/>
                <w:lang w:val="en-US" w:eastAsia="zh-CN" w:bidi="ar"/>
              </w:rPr>
              <w:t>.隔音材料：医疗舱车体侧围、顶部采用EVA隔音材料，降低医疗舱噪音；</w:t>
            </w:r>
          </w:p>
          <w:p w14:paraId="7A83884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8</w:t>
            </w:r>
            <w:r>
              <w:rPr>
                <w:rFonts w:hint="default" w:ascii="宋体" w:hAnsi="宋体" w:eastAsia="宋体" w:cs="宋体"/>
                <w:i w:val="0"/>
                <w:iCs w:val="0"/>
                <w:color w:val="auto"/>
                <w:kern w:val="0"/>
                <w:sz w:val="21"/>
                <w:szCs w:val="21"/>
                <w:highlight w:val="none"/>
                <w:u w:val="none"/>
                <w:lang w:val="en-US" w:eastAsia="zh-CN" w:bidi="ar"/>
              </w:rPr>
              <w:t>.综合布线，集中控制：汽车低压电线束：符合国家汽车行业标准QC/T29106-2014</w:t>
            </w:r>
            <w:r>
              <w:rPr>
                <w:rFonts w:hint="eastAsia" w:ascii="宋体" w:hAnsi="宋体" w:cs="宋体"/>
                <w:i w:val="0"/>
                <w:iCs w:val="0"/>
                <w:color w:val="auto"/>
                <w:kern w:val="0"/>
                <w:sz w:val="21"/>
                <w:szCs w:val="21"/>
                <w:highlight w:val="none"/>
                <w:u w:val="none"/>
                <w:lang w:val="en-US" w:eastAsia="zh-CN" w:bidi="ar"/>
              </w:rPr>
              <w:t>《汽车电线束技术条件》</w:t>
            </w:r>
            <w:r>
              <w:rPr>
                <w:rFonts w:hint="default" w:ascii="宋体" w:hAnsi="宋体" w:eastAsia="宋体" w:cs="宋体"/>
                <w:i w:val="0"/>
                <w:iCs w:val="0"/>
                <w:color w:val="auto"/>
                <w:kern w:val="0"/>
                <w:sz w:val="21"/>
                <w:szCs w:val="21"/>
                <w:highlight w:val="none"/>
                <w:u w:val="none"/>
                <w:lang w:val="en-US" w:eastAsia="zh-CN" w:bidi="ar"/>
              </w:rPr>
              <w:t>；</w:t>
            </w:r>
          </w:p>
          <w:p w14:paraId="004C62B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9</w:t>
            </w:r>
            <w:r>
              <w:rPr>
                <w:rFonts w:hint="default" w:ascii="宋体" w:hAnsi="宋体" w:eastAsia="宋体" w:cs="宋体"/>
                <w:i w:val="0"/>
                <w:iCs w:val="0"/>
                <w:color w:val="auto"/>
                <w:kern w:val="0"/>
                <w:sz w:val="21"/>
                <w:szCs w:val="21"/>
                <w:highlight w:val="none"/>
                <w:u w:val="none"/>
                <w:lang w:val="en-US" w:eastAsia="zh-CN" w:bidi="ar"/>
              </w:rPr>
              <w:t>.中央集成供电控制系统：</w:t>
            </w:r>
          </w:p>
          <w:p w14:paraId="13FEC18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9</w:t>
            </w:r>
            <w:r>
              <w:rPr>
                <w:rFonts w:hint="default" w:ascii="宋体" w:hAnsi="宋体" w:eastAsia="宋体" w:cs="宋体"/>
                <w:i w:val="0"/>
                <w:iCs w:val="0"/>
                <w:color w:val="auto"/>
                <w:kern w:val="0"/>
                <w:sz w:val="21"/>
                <w:szCs w:val="21"/>
                <w:highlight w:val="none"/>
                <w:u w:val="none"/>
                <w:lang w:val="en-US" w:eastAsia="zh-CN" w:bidi="ar"/>
              </w:rPr>
              <w:t>.1.中央集成供电控制系统部分的具有电磁兼容认证；</w:t>
            </w:r>
          </w:p>
          <w:p w14:paraId="18AB2522">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9</w:t>
            </w:r>
            <w:r>
              <w:rPr>
                <w:rFonts w:hint="default" w:ascii="宋体" w:hAnsi="宋体" w:eastAsia="宋体" w:cs="宋体"/>
                <w:i w:val="0"/>
                <w:iCs w:val="0"/>
                <w:color w:val="auto"/>
                <w:kern w:val="0"/>
                <w:sz w:val="21"/>
                <w:szCs w:val="21"/>
                <w:highlight w:val="none"/>
                <w:u w:val="none"/>
                <w:lang w:val="en-US" w:eastAsia="zh-CN" w:bidi="ar"/>
              </w:rPr>
              <w:t>.2.整车车辆中央集成控制供电系统</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在车辆启动状态下，可实现24小时不间断供电，可输出220V，不小于1000W正弦波电源可供医疗设备使用，并在相应的位置安置12V电源插座、220V电源插座。在总开关关闭后所有用电器应与主、副电瓶断开，防止漏电，以保证蓄电池保存充足电力。</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cs="宋体"/>
                <w:b/>
                <w:bCs/>
                <w:i w:val="0"/>
                <w:iCs w:val="0"/>
                <w:color w:val="auto"/>
                <w:kern w:val="0"/>
                <w:sz w:val="21"/>
                <w:szCs w:val="21"/>
                <w:highlight w:val="none"/>
                <w:u w:val="none"/>
                <w:lang w:val="en-US" w:eastAsia="zh-CN" w:bidi="ar"/>
              </w:rPr>
              <w:t>在投标文件中提供国家认可的有资质的第三方检测机构出具的</w:t>
            </w:r>
            <w:r>
              <w:rPr>
                <w:rFonts w:hint="default" w:ascii="宋体" w:hAnsi="宋体" w:eastAsia="宋体" w:cs="宋体"/>
                <w:b/>
                <w:bCs/>
                <w:i w:val="0"/>
                <w:iCs w:val="0"/>
                <w:color w:val="auto"/>
                <w:kern w:val="0"/>
                <w:sz w:val="21"/>
                <w:szCs w:val="21"/>
                <w:highlight w:val="none"/>
                <w:u w:val="none"/>
                <w:lang w:val="en-US" w:eastAsia="zh-CN" w:bidi="ar"/>
              </w:rPr>
              <w:t>车辆中央控制供电系统第三方检测报告，</w:t>
            </w:r>
            <w:r>
              <w:rPr>
                <w:rFonts w:hint="eastAsia" w:ascii="宋体" w:hAnsi="宋体" w:cs="宋体"/>
                <w:b/>
                <w:bCs/>
                <w:i w:val="0"/>
                <w:iCs w:val="0"/>
                <w:color w:val="auto"/>
                <w:kern w:val="0"/>
                <w:sz w:val="21"/>
                <w:szCs w:val="21"/>
                <w:highlight w:val="none"/>
                <w:u w:val="none"/>
                <w:lang w:val="en-US" w:eastAsia="zh-CN" w:bidi="ar"/>
              </w:rPr>
              <w:t>检测内容需包括：</w:t>
            </w:r>
            <w:r>
              <w:rPr>
                <w:rFonts w:hint="default" w:ascii="宋体" w:hAnsi="宋体" w:eastAsia="宋体" w:cs="宋体"/>
                <w:b/>
                <w:bCs/>
                <w:i w:val="0"/>
                <w:iCs w:val="0"/>
                <w:color w:val="auto"/>
                <w:kern w:val="0"/>
                <w:sz w:val="21"/>
                <w:szCs w:val="21"/>
                <w:highlight w:val="none"/>
                <w:u w:val="none"/>
                <w:lang w:val="en-US" w:eastAsia="zh-CN" w:bidi="ar"/>
              </w:rPr>
              <w:t>检测过程中交流输入端到可触及外壳实验电压不低于1500V未击穿、具有中央集成供电系统电气安全认证</w:t>
            </w:r>
            <w:r>
              <w:rPr>
                <w:rFonts w:hint="eastAsia" w:ascii="宋体" w:hAnsi="宋体" w:cs="宋体"/>
                <w:b/>
                <w:bCs/>
                <w:i w:val="0"/>
                <w:iCs w:val="0"/>
                <w:color w:val="auto"/>
                <w:kern w:val="0"/>
                <w:sz w:val="21"/>
                <w:szCs w:val="21"/>
                <w:highlight w:val="none"/>
                <w:u w:val="none"/>
                <w:lang w:val="en-US" w:eastAsia="zh-CN" w:bidi="ar"/>
              </w:rPr>
              <w:t>，否则视为负偏离</w:t>
            </w:r>
            <w:r>
              <w:rPr>
                <w:rFonts w:hint="eastAsia" w:ascii="宋体" w:hAnsi="宋体" w:cs="宋体"/>
                <w:i w:val="0"/>
                <w:iCs w:val="0"/>
                <w:color w:val="auto"/>
                <w:kern w:val="0"/>
                <w:sz w:val="21"/>
                <w:szCs w:val="21"/>
                <w:highlight w:val="none"/>
                <w:u w:val="none"/>
                <w:lang w:val="en-US" w:eastAsia="zh-CN" w:bidi="ar"/>
              </w:rPr>
              <w:t>）</w:t>
            </w:r>
          </w:p>
          <w:p w14:paraId="6A61ACDB">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9</w:t>
            </w:r>
            <w:r>
              <w:rPr>
                <w:rFonts w:hint="default" w:ascii="宋体" w:hAnsi="宋体" w:eastAsia="宋体" w:cs="宋体"/>
                <w:i w:val="0"/>
                <w:iCs w:val="0"/>
                <w:color w:val="auto"/>
                <w:kern w:val="0"/>
                <w:sz w:val="21"/>
                <w:szCs w:val="21"/>
                <w:highlight w:val="none"/>
                <w:u w:val="none"/>
                <w:lang w:val="en-US" w:eastAsia="zh-CN" w:bidi="ar"/>
              </w:rPr>
              <w:t>.3.插拔力、过电流强度、耐低温、盐雾、燃烧特性、耐温变化性能符合QC/T707-2004</w:t>
            </w:r>
            <w:r>
              <w:rPr>
                <w:rFonts w:hint="eastAsia" w:ascii="宋体" w:hAnsi="宋体" w:cs="宋体"/>
                <w:i w:val="0"/>
                <w:iCs w:val="0"/>
                <w:color w:val="auto"/>
                <w:kern w:val="0"/>
                <w:sz w:val="21"/>
                <w:szCs w:val="21"/>
                <w:highlight w:val="none"/>
                <w:u w:val="none"/>
                <w:lang w:val="en-US" w:eastAsia="zh-CN" w:bidi="ar"/>
              </w:rPr>
              <w:t>《车用中央电气接线盒技术条件》</w:t>
            </w:r>
            <w:r>
              <w:rPr>
                <w:rFonts w:hint="default" w:ascii="宋体" w:hAnsi="宋体" w:eastAsia="宋体" w:cs="宋体"/>
                <w:i w:val="0"/>
                <w:iCs w:val="0"/>
                <w:color w:val="auto"/>
                <w:kern w:val="0"/>
                <w:sz w:val="21"/>
                <w:szCs w:val="21"/>
                <w:highlight w:val="none"/>
                <w:u w:val="none"/>
                <w:lang w:val="en-US" w:eastAsia="zh-CN" w:bidi="ar"/>
              </w:rPr>
              <w:t>标准检验</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盐雾试验48h，表面未出现起泡、腐蚀斑点，金属部件未出现腐蚀现象。（</w:t>
            </w:r>
            <w:r>
              <w:rPr>
                <w:rFonts w:hint="eastAsia" w:ascii="宋体" w:hAnsi="宋体" w:eastAsia="宋体" w:cs="宋体"/>
                <w:b/>
                <w:bCs/>
                <w:color w:val="auto"/>
                <w:sz w:val="21"/>
                <w:szCs w:val="21"/>
                <w:highlight w:val="none"/>
                <w:lang w:val="en-US" w:eastAsia="zh-CN"/>
              </w:rPr>
              <w:t>须在投标文件中提供符合以上参数</w:t>
            </w:r>
            <w:r>
              <w:rPr>
                <w:rFonts w:hint="eastAsia" w:ascii="宋体" w:hAnsi="宋体" w:cs="宋体"/>
                <w:b/>
                <w:bCs/>
                <w:color w:val="auto"/>
                <w:sz w:val="21"/>
                <w:szCs w:val="21"/>
                <w:highlight w:val="none"/>
                <w:lang w:val="en-US" w:eastAsia="zh-CN"/>
              </w:rPr>
              <w:t>的</w:t>
            </w:r>
            <w:r>
              <w:rPr>
                <w:rFonts w:hint="eastAsia" w:ascii="宋体" w:hAnsi="宋体" w:eastAsia="宋体" w:cs="宋体"/>
                <w:b/>
                <w:bCs/>
                <w:color w:val="auto"/>
                <w:sz w:val="21"/>
                <w:szCs w:val="21"/>
                <w:highlight w:val="none"/>
                <w:lang w:val="en-US" w:eastAsia="zh-CN"/>
              </w:rPr>
              <w:t>国家认可的有资质的第三方检测机构出具的检测报告复印件并加盖投标人公章或电子签章</w:t>
            </w:r>
            <w:r>
              <w:rPr>
                <w:rFonts w:hint="eastAsia" w:ascii="宋体" w:hAnsi="宋体" w:cs="宋体"/>
                <w:b/>
                <w:bCs/>
                <w:color w:val="auto"/>
                <w:sz w:val="21"/>
                <w:szCs w:val="21"/>
                <w:highlight w:val="none"/>
                <w:lang w:val="en-US" w:eastAsia="zh-CN"/>
              </w:rPr>
              <w:t>，否则视为负偏离</w:t>
            </w:r>
            <w:r>
              <w:rPr>
                <w:rFonts w:hint="default" w:ascii="宋体" w:hAnsi="宋体" w:eastAsia="宋体" w:cs="宋体"/>
                <w:i w:val="0"/>
                <w:iCs w:val="0"/>
                <w:color w:val="auto"/>
                <w:kern w:val="0"/>
                <w:sz w:val="21"/>
                <w:szCs w:val="21"/>
                <w:highlight w:val="none"/>
                <w:u w:val="none"/>
                <w:lang w:val="en-US" w:eastAsia="zh-CN" w:bidi="ar"/>
              </w:rPr>
              <w:t>）</w:t>
            </w:r>
          </w:p>
          <w:p w14:paraId="2933952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40</w:t>
            </w:r>
            <w:r>
              <w:rPr>
                <w:rFonts w:hint="default" w:ascii="宋体" w:hAnsi="宋体" w:eastAsia="宋体" w:cs="宋体"/>
                <w:i w:val="0"/>
                <w:iCs w:val="0"/>
                <w:color w:val="auto"/>
                <w:kern w:val="0"/>
                <w:sz w:val="21"/>
                <w:szCs w:val="21"/>
                <w:highlight w:val="none"/>
                <w:u w:val="none"/>
                <w:lang w:val="en-US" w:eastAsia="zh-CN" w:bidi="ar"/>
              </w:rPr>
              <w:t>.逆变系统：≥1000W正弦波逆变电源，集成了多种功能：</w:t>
            </w:r>
          </w:p>
          <w:p w14:paraId="3AE2397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40</w:t>
            </w:r>
            <w:r>
              <w:rPr>
                <w:rFonts w:hint="default" w:ascii="宋体" w:hAnsi="宋体" w:eastAsia="宋体" w:cs="宋体"/>
                <w:i w:val="0"/>
                <w:iCs w:val="0"/>
                <w:color w:val="auto"/>
                <w:kern w:val="0"/>
                <w:sz w:val="21"/>
                <w:szCs w:val="21"/>
                <w:highlight w:val="none"/>
                <w:u w:val="none"/>
                <w:lang w:val="en-US" w:eastAsia="zh-CN" w:bidi="ar"/>
              </w:rPr>
              <w:t>.1.工频纯正弦波逆变电源，输入输出完全隔离设计确保用电安全市电自启动4段式智能充电器，自动切换装置。</w:t>
            </w:r>
          </w:p>
          <w:p w14:paraId="73DE4DAB">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40</w:t>
            </w:r>
            <w:r>
              <w:rPr>
                <w:rFonts w:hint="default" w:ascii="宋体" w:hAnsi="宋体" w:eastAsia="宋体" w:cs="宋体"/>
                <w:i w:val="0"/>
                <w:iCs w:val="0"/>
                <w:color w:val="auto"/>
                <w:kern w:val="0"/>
                <w:sz w:val="21"/>
                <w:szCs w:val="21"/>
                <w:highlight w:val="none"/>
                <w:u w:val="none"/>
                <w:lang w:val="en-US" w:eastAsia="zh-CN" w:bidi="ar"/>
              </w:rPr>
              <w:t>.2.智能8段式自动充电方案。（</w:t>
            </w:r>
            <w:r>
              <w:rPr>
                <w:rFonts w:hint="default" w:ascii="宋体" w:hAnsi="宋体" w:eastAsia="宋体" w:cs="宋体"/>
                <w:b/>
                <w:bCs/>
                <w:i w:val="0"/>
                <w:iCs w:val="0"/>
                <w:color w:val="auto"/>
                <w:kern w:val="0"/>
                <w:sz w:val="21"/>
                <w:szCs w:val="21"/>
                <w:highlight w:val="none"/>
                <w:u w:val="none"/>
                <w:lang w:val="en-US" w:eastAsia="zh-CN" w:bidi="ar"/>
              </w:rPr>
              <w:t>须在投标文件中提供符合以上参数的</w:t>
            </w:r>
            <w:r>
              <w:rPr>
                <w:rFonts w:hint="eastAsia" w:ascii="宋体" w:hAnsi="宋体" w:cs="宋体"/>
                <w:b/>
                <w:bCs/>
                <w:i w:val="0"/>
                <w:iCs w:val="0"/>
                <w:color w:val="auto"/>
                <w:kern w:val="0"/>
                <w:sz w:val="21"/>
                <w:szCs w:val="21"/>
                <w:highlight w:val="none"/>
                <w:u w:val="none"/>
                <w:lang w:val="en-US" w:eastAsia="zh-CN" w:bidi="ar"/>
              </w:rPr>
              <w:t>证明材料，包括但不限于产品彩页、功能截图、</w:t>
            </w:r>
            <w:r>
              <w:rPr>
                <w:rFonts w:hint="default" w:ascii="宋体" w:hAnsi="宋体" w:eastAsia="宋体" w:cs="宋体"/>
                <w:b/>
                <w:bCs/>
                <w:i w:val="0"/>
                <w:iCs w:val="0"/>
                <w:color w:val="auto"/>
                <w:kern w:val="0"/>
                <w:sz w:val="21"/>
                <w:szCs w:val="21"/>
                <w:highlight w:val="none"/>
                <w:u w:val="none"/>
                <w:lang w:val="en-US" w:eastAsia="zh-CN" w:bidi="ar"/>
              </w:rPr>
              <w:t>国家认可的有资质的第三方检测机构出具的检测报告</w:t>
            </w:r>
            <w:r>
              <w:rPr>
                <w:rFonts w:hint="eastAsia" w:ascii="宋体" w:hAnsi="宋体" w:cs="宋体"/>
                <w:b/>
                <w:bCs/>
                <w:i w:val="0"/>
                <w:iCs w:val="0"/>
                <w:color w:val="auto"/>
                <w:kern w:val="0"/>
                <w:sz w:val="21"/>
                <w:szCs w:val="21"/>
                <w:highlight w:val="none"/>
                <w:u w:val="none"/>
                <w:lang w:val="en-US" w:eastAsia="zh-CN" w:bidi="ar"/>
              </w:rPr>
              <w:t>等，</w:t>
            </w:r>
            <w:r>
              <w:rPr>
                <w:rFonts w:hint="default" w:ascii="宋体" w:hAnsi="宋体" w:eastAsia="宋体" w:cs="宋体"/>
                <w:b/>
                <w:bCs/>
                <w:i w:val="0"/>
                <w:iCs w:val="0"/>
                <w:color w:val="auto"/>
                <w:kern w:val="0"/>
                <w:sz w:val="21"/>
                <w:szCs w:val="21"/>
                <w:highlight w:val="none"/>
                <w:u w:val="none"/>
                <w:lang w:val="en-US" w:eastAsia="zh-CN" w:bidi="ar"/>
              </w:rPr>
              <w:t>加盖投标人公章或电子签章，否则视为负偏离</w:t>
            </w:r>
            <w:r>
              <w:rPr>
                <w:rFonts w:hint="default" w:ascii="宋体" w:hAnsi="宋体" w:eastAsia="宋体" w:cs="宋体"/>
                <w:i w:val="0"/>
                <w:iCs w:val="0"/>
                <w:color w:val="auto"/>
                <w:kern w:val="0"/>
                <w:sz w:val="21"/>
                <w:szCs w:val="21"/>
                <w:highlight w:val="none"/>
                <w:u w:val="none"/>
                <w:lang w:val="en-US" w:eastAsia="zh-CN" w:bidi="ar"/>
              </w:rPr>
              <w:t>）</w:t>
            </w:r>
          </w:p>
          <w:p w14:paraId="48CA9C44">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40</w:t>
            </w:r>
            <w:r>
              <w:rPr>
                <w:rFonts w:hint="default" w:ascii="宋体" w:hAnsi="宋体" w:eastAsia="宋体" w:cs="宋体"/>
                <w:i w:val="0"/>
                <w:iCs w:val="0"/>
                <w:color w:val="auto"/>
                <w:kern w:val="0"/>
                <w:sz w:val="21"/>
                <w:szCs w:val="21"/>
                <w:highlight w:val="none"/>
                <w:u w:val="none"/>
                <w:lang w:val="en-US" w:eastAsia="zh-CN" w:bidi="ar"/>
              </w:rPr>
              <w:t>.3.静态功耗</w:t>
            </w:r>
          </w:p>
          <w:p w14:paraId="53C1CB1D">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40</w:t>
            </w:r>
            <w:r>
              <w:rPr>
                <w:rFonts w:hint="default" w:ascii="宋体" w:hAnsi="宋体" w:eastAsia="宋体" w:cs="宋体"/>
                <w:i w:val="0"/>
                <w:iCs w:val="0"/>
                <w:color w:val="auto"/>
                <w:kern w:val="0"/>
                <w:sz w:val="21"/>
                <w:szCs w:val="21"/>
                <w:highlight w:val="none"/>
                <w:u w:val="none"/>
                <w:lang w:val="en-US" w:eastAsia="zh-CN" w:bidi="ar"/>
              </w:rPr>
              <w:t>.4.多重保护功能，设有交流和直流输入高低压保护、过载保护、温度保护、输出短路等</w:t>
            </w:r>
          </w:p>
          <w:p w14:paraId="5BA1E32D">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40</w:t>
            </w:r>
            <w:r>
              <w:rPr>
                <w:rFonts w:hint="default" w:ascii="宋体" w:hAnsi="宋体" w:eastAsia="宋体" w:cs="宋体"/>
                <w:i w:val="0"/>
                <w:iCs w:val="0"/>
                <w:color w:val="auto"/>
                <w:kern w:val="0"/>
                <w:sz w:val="21"/>
                <w:szCs w:val="21"/>
                <w:highlight w:val="none"/>
                <w:u w:val="none"/>
                <w:lang w:val="en-US" w:eastAsia="zh-CN" w:bidi="ar"/>
              </w:rPr>
              <w:t>.5.内置交流旁路继电器（传输时间＜5ms）</w:t>
            </w:r>
          </w:p>
          <w:p w14:paraId="121FD43D">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40</w:t>
            </w:r>
            <w:r>
              <w:rPr>
                <w:rFonts w:hint="default" w:ascii="宋体" w:hAnsi="宋体" w:eastAsia="宋体" w:cs="宋体"/>
                <w:i w:val="0"/>
                <w:iCs w:val="0"/>
                <w:color w:val="auto"/>
                <w:kern w:val="0"/>
                <w:sz w:val="21"/>
                <w:szCs w:val="21"/>
                <w:highlight w:val="none"/>
                <w:u w:val="none"/>
                <w:lang w:val="en-US" w:eastAsia="zh-CN" w:bidi="ar"/>
              </w:rPr>
              <w:t>.6.超宽市电输入电压（165~265VAC）</w:t>
            </w:r>
          </w:p>
          <w:p w14:paraId="11B7222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40</w:t>
            </w:r>
            <w:r>
              <w:rPr>
                <w:rFonts w:hint="default" w:ascii="宋体" w:hAnsi="宋体" w:eastAsia="宋体" w:cs="宋体"/>
                <w:i w:val="0"/>
                <w:iCs w:val="0"/>
                <w:color w:val="auto"/>
                <w:kern w:val="0"/>
                <w:sz w:val="21"/>
                <w:szCs w:val="21"/>
                <w:highlight w:val="none"/>
                <w:u w:val="none"/>
                <w:lang w:val="en-US" w:eastAsia="zh-CN" w:bidi="ar"/>
              </w:rPr>
              <w:t>.7.与其他车载设备兼容。</w:t>
            </w:r>
          </w:p>
          <w:p w14:paraId="7FD7528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40</w:t>
            </w:r>
            <w:r>
              <w:rPr>
                <w:rFonts w:hint="default" w:ascii="宋体" w:hAnsi="宋体" w:eastAsia="宋体" w:cs="宋体"/>
                <w:i w:val="0"/>
                <w:iCs w:val="0"/>
                <w:color w:val="auto"/>
                <w:kern w:val="0"/>
                <w:sz w:val="21"/>
                <w:szCs w:val="21"/>
                <w:highlight w:val="none"/>
                <w:u w:val="none"/>
                <w:lang w:val="en-US" w:eastAsia="zh-CN" w:bidi="ar"/>
              </w:rPr>
              <w:t>.8.车辆振动测试：针对车载环境采用加固型设计，并采用防拽式连接方式，防止因汽车振动等原因而造成接线及电子元器件松动，通过国家级第三方检测机构的专业车载振动检测。</w:t>
            </w:r>
          </w:p>
          <w:p w14:paraId="6EFC0C2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40</w:t>
            </w:r>
            <w:r>
              <w:rPr>
                <w:rFonts w:hint="default" w:ascii="宋体" w:hAnsi="宋体" w:eastAsia="宋体" w:cs="宋体"/>
                <w:i w:val="0"/>
                <w:iCs w:val="0"/>
                <w:color w:val="auto"/>
                <w:kern w:val="0"/>
                <w:sz w:val="21"/>
                <w:szCs w:val="21"/>
                <w:highlight w:val="none"/>
                <w:u w:val="none"/>
                <w:lang w:val="en-US" w:eastAsia="zh-CN" w:bidi="ar"/>
              </w:rPr>
              <w:t>.9.为保证产品质量，逆变器输出波形为正弦波时，谐波分量应＜3%，逆变器效率应≥90%（</w:t>
            </w:r>
            <w:r>
              <w:rPr>
                <w:rFonts w:hint="eastAsia" w:ascii="宋体" w:hAnsi="宋体" w:eastAsia="宋体" w:cs="宋体"/>
                <w:b/>
                <w:bCs/>
                <w:color w:val="auto"/>
                <w:sz w:val="21"/>
                <w:szCs w:val="21"/>
                <w:highlight w:val="none"/>
                <w:lang w:val="en-US" w:eastAsia="zh-CN"/>
              </w:rPr>
              <w:t>须在投标文件中提供符合以上参数</w:t>
            </w:r>
            <w:r>
              <w:rPr>
                <w:rFonts w:hint="eastAsia" w:ascii="宋体" w:hAnsi="宋体" w:cs="宋体"/>
                <w:b/>
                <w:bCs/>
                <w:color w:val="auto"/>
                <w:sz w:val="21"/>
                <w:szCs w:val="21"/>
                <w:highlight w:val="none"/>
                <w:lang w:val="en-US" w:eastAsia="zh-CN"/>
              </w:rPr>
              <w:t>的</w:t>
            </w:r>
            <w:r>
              <w:rPr>
                <w:rFonts w:hint="eastAsia" w:ascii="宋体" w:hAnsi="宋体" w:eastAsia="宋体" w:cs="宋体"/>
                <w:b/>
                <w:bCs/>
                <w:color w:val="auto"/>
                <w:sz w:val="21"/>
                <w:szCs w:val="21"/>
                <w:highlight w:val="none"/>
                <w:lang w:val="en-US" w:eastAsia="zh-CN"/>
              </w:rPr>
              <w:t>国家认可的有资质的第三方检测机构出具的检测报告复印件并加盖投标人公章或电子签章，否则视为负偏离</w:t>
            </w:r>
            <w:r>
              <w:rPr>
                <w:rFonts w:hint="default" w:ascii="宋体" w:hAnsi="宋体" w:eastAsia="宋体" w:cs="宋体"/>
                <w:i w:val="0"/>
                <w:iCs w:val="0"/>
                <w:color w:val="auto"/>
                <w:kern w:val="0"/>
                <w:sz w:val="21"/>
                <w:szCs w:val="21"/>
                <w:highlight w:val="none"/>
                <w:u w:val="none"/>
                <w:lang w:val="en-US" w:eastAsia="zh-CN" w:bidi="ar"/>
              </w:rPr>
              <w:t>）</w:t>
            </w:r>
          </w:p>
          <w:p w14:paraId="5D41CA5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41</w:t>
            </w:r>
            <w:r>
              <w:rPr>
                <w:rFonts w:hint="default" w:ascii="宋体" w:hAnsi="宋体" w:eastAsia="宋体" w:cs="宋体"/>
                <w:i w:val="0"/>
                <w:iCs w:val="0"/>
                <w:color w:val="auto"/>
                <w:kern w:val="0"/>
                <w:sz w:val="21"/>
                <w:szCs w:val="21"/>
                <w:highlight w:val="none"/>
                <w:u w:val="none"/>
                <w:lang w:val="en-US" w:eastAsia="zh-CN" w:bidi="ar"/>
              </w:rPr>
              <w:t>.交/直流插座</w:t>
            </w:r>
            <w:r>
              <w:rPr>
                <w:rFonts w:hint="eastAsia" w:ascii="宋体" w:hAnsi="宋体" w:cs="宋体"/>
                <w:i w:val="0"/>
                <w:iCs w:val="0"/>
                <w:color w:val="auto"/>
                <w:kern w:val="0"/>
                <w:sz w:val="21"/>
                <w:szCs w:val="21"/>
                <w:highlight w:val="none"/>
                <w:u w:val="none"/>
                <w:lang w:val="en-US" w:eastAsia="zh-CN" w:bidi="ar"/>
              </w:rPr>
              <w:t>：220V交流</w:t>
            </w:r>
            <w:r>
              <w:rPr>
                <w:rFonts w:hint="default" w:ascii="宋体" w:hAnsi="宋体" w:eastAsia="宋体" w:cs="宋体"/>
                <w:i w:val="0"/>
                <w:iCs w:val="0"/>
                <w:color w:val="auto"/>
                <w:kern w:val="0"/>
                <w:sz w:val="21"/>
                <w:szCs w:val="21"/>
                <w:highlight w:val="none"/>
                <w:u w:val="none"/>
                <w:lang w:val="en-US" w:eastAsia="zh-CN" w:bidi="ar"/>
              </w:rPr>
              <w:t>组合插座、可接三/二孔的多功能插座≥4组，12V直流插座≥2组</w:t>
            </w:r>
          </w:p>
          <w:p w14:paraId="7B41B582">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42</w:t>
            </w:r>
            <w:r>
              <w:rPr>
                <w:rFonts w:hint="default" w:ascii="宋体" w:hAnsi="宋体" w:eastAsia="宋体" w:cs="宋体"/>
                <w:i w:val="0"/>
                <w:iCs w:val="0"/>
                <w:color w:val="auto"/>
                <w:kern w:val="0"/>
                <w:sz w:val="21"/>
                <w:szCs w:val="21"/>
                <w:highlight w:val="none"/>
                <w:u w:val="none"/>
                <w:lang w:val="en-US" w:eastAsia="zh-CN" w:bidi="ar"/>
              </w:rPr>
              <w:t>.紫外线消毒灯</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采用紫外线消毒灯，杀菌有效空间≥10立方米，并可定时延时控制</w:t>
            </w:r>
            <w:r>
              <w:rPr>
                <w:rFonts w:hint="eastAsia" w:ascii="宋体" w:hAnsi="宋体" w:cs="宋体"/>
                <w:i w:val="0"/>
                <w:iCs w:val="0"/>
                <w:color w:val="auto"/>
                <w:kern w:val="0"/>
                <w:sz w:val="21"/>
                <w:szCs w:val="21"/>
                <w:highlight w:val="none"/>
                <w:u w:val="none"/>
                <w:lang w:val="en-US" w:eastAsia="zh-CN" w:bidi="ar"/>
              </w:rPr>
              <w:t>。</w:t>
            </w:r>
          </w:p>
          <w:p w14:paraId="0EF9A61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43</w:t>
            </w:r>
            <w:r>
              <w:rPr>
                <w:rFonts w:hint="default" w:ascii="宋体" w:hAnsi="宋体" w:eastAsia="宋体" w:cs="宋体"/>
                <w:i w:val="0"/>
                <w:iCs w:val="0"/>
                <w:color w:val="auto"/>
                <w:kern w:val="0"/>
                <w:sz w:val="21"/>
                <w:szCs w:val="21"/>
                <w:highlight w:val="none"/>
                <w:u w:val="none"/>
                <w:lang w:val="en-US" w:eastAsia="zh-CN" w:bidi="ar"/>
              </w:rPr>
              <w:t>.医疗舱空气杀菌灯：</w:t>
            </w:r>
          </w:p>
          <w:p w14:paraId="68317F21">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3</w:t>
            </w:r>
            <w:r>
              <w:rPr>
                <w:rFonts w:hint="default" w:ascii="宋体" w:hAnsi="宋体" w:eastAsia="宋体" w:cs="宋体"/>
                <w:i w:val="0"/>
                <w:iCs w:val="0"/>
                <w:color w:val="auto"/>
                <w:kern w:val="0"/>
                <w:sz w:val="21"/>
                <w:szCs w:val="21"/>
                <w:highlight w:val="none"/>
                <w:u w:val="none"/>
                <w:lang w:val="en-US" w:eastAsia="zh-CN" w:bidi="ar"/>
              </w:rPr>
              <w:t>.1.人机共存：采用空气吸入式对流杀菌，紫外线</w:t>
            </w:r>
            <w:r>
              <w:rPr>
                <w:rFonts w:hint="eastAsia" w:ascii="宋体" w:hAnsi="宋体" w:cs="宋体"/>
                <w:i w:val="0"/>
                <w:iCs w:val="0"/>
                <w:color w:val="auto"/>
                <w:kern w:val="0"/>
                <w:sz w:val="21"/>
                <w:szCs w:val="21"/>
                <w:highlight w:val="none"/>
                <w:u w:val="none"/>
                <w:lang w:val="en-US" w:eastAsia="zh-CN" w:bidi="ar"/>
              </w:rPr>
              <w:t>无泄漏</w:t>
            </w:r>
            <w:r>
              <w:rPr>
                <w:rFonts w:hint="default" w:ascii="宋体" w:hAnsi="宋体" w:eastAsia="宋体" w:cs="宋体"/>
                <w:i w:val="0"/>
                <w:iCs w:val="0"/>
                <w:color w:val="auto"/>
                <w:kern w:val="0"/>
                <w:sz w:val="21"/>
                <w:szCs w:val="21"/>
                <w:highlight w:val="none"/>
                <w:u w:val="none"/>
                <w:lang w:val="en-US" w:eastAsia="zh-CN" w:bidi="ar"/>
              </w:rPr>
              <w:t>，在车内有人的情</w:t>
            </w:r>
            <w:r>
              <w:rPr>
                <w:rFonts w:hint="eastAsia" w:ascii="宋体" w:hAnsi="宋体" w:cs="宋体"/>
                <w:i w:val="0"/>
                <w:iCs w:val="0"/>
                <w:color w:val="auto"/>
                <w:kern w:val="0"/>
                <w:sz w:val="21"/>
                <w:szCs w:val="21"/>
                <w:highlight w:val="none"/>
                <w:u w:val="none"/>
                <w:lang w:val="en-US" w:eastAsia="zh-CN" w:bidi="ar"/>
              </w:rPr>
              <w:t>况下</w:t>
            </w:r>
            <w:r>
              <w:rPr>
                <w:rFonts w:hint="default" w:ascii="宋体" w:hAnsi="宋体" w:eastAsia="宋体" w:cs="宋体"/>
                <w:i w:val="0"/>
                <w:iCs w:val="0"/>
                <w:color w:val="auto"/>
                <w:kern w:val="0"/>
                <w:sz w:val="21"/>
                <w:szCs w:val="21"/>
                <w:highlight w:val="none"/>
                <w:u w:val="none"/>
                <w:lang w:val="en-US" w:eastAsia="zh-CN" w:bidi="ar"/>
              </w:rPr>
              <w:t>可以开启杀菌消毒，实时保持车内环境无毒、无病菌；</w:t>
            </w:r>
          </w:p>
          <w:p w14:paraId="591B515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43</w:t>
            </w:r>
            <w:r>
              <w:rPr>
                <w:rFonts w:hint="default" w:ascii="宋体" w:hAnsi="宋体" w:eastAsia="宋体" w:cs="宋体"/>
                <w:i w:val="0"/>
                <w:iCs w:val="0"/>
                <w:color w:val="auto"/>
                <w:kern w:val="0"/>
                <w:sz w:val="21"/>
                <w:szCs w:val="21"/>
                <w:highlight w:val="none"/>
                <w:u w:val="none"/>
                <w:lang w:val="en-US" w:eastAsia="zh-CN" w:bidi="ar"/>
              </w:rPr>
              <w:t>.2.进气方式：侧面进风，下部出风，提高单位时间杀菌效率，循环风量</w:t>
            </w:r>
            <w:r>
              <w:rPr>
                <w:rFonts w:hint="default" w:ascii="Arial" w:hAnsi="Arial" w:eastAsia="宋体" w:cs="Arial"/>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13.8m³/h；</w:t>
            </w:r>
          </w:p>
          <w:p w14:paraId="4D086528">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3</w:t>
            </w:r>
            <w:r>
              <w:rPr>
                <w:rFonts w:hint="default" w:ascii="宋体" w:hAnsi="宋体" w:eastAsia="宋体" w:cs="宋体"/>
                <w:i w:val="0"/>
                <w:iCs w:val="0"/>
                <w:color w:val="auto"/>
                <w:kern w:val="0"/>
                <w:sz w:val="21"/>
                <w:szCs w:val="21"/>
                <w:highlight w:val="none"/>
                <w:u w:val="none"/>
                <w:lang w:val="en-US" w:eastAsia="zh-CN" w:bidi="ar"/>
              </w:rPr>
              <w:t>.3.杀菌体积：</w:t>
            </w:r>
            <w:r>
              <w:rPr>
                <w:rFonts w:hint="default" w:ascii="Arial" w:hAnsi="Arial" w:eastAsia="宋体" w:cs="Arial"/>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15.6m³；</w:t>
            </w:r>
          </w:p>
          <w:p w14:paraId="2C657D4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3</w:t>
            </w:r>
            <w:r>
              <w:rPr>
                <w:rFonts w:hint="default" w:ascii="宋体" w:hAnsi="宋体" w:eastAsia="宋体" w:cs="宋体"/>
                <w:i w:val="0"/>
                <w:iCs w:val="0"/>
                <w:color w:val="auto"/>
                <w:kern w:val="0"/>
                <w:sz w:val="21"/>
                <w:szCs w:val="21"/>
                <w:highlight w:val="none"/>
                <w:u w:val="none"/>
                <w:lang w:val="en-US" w:eastAsia="zh-CN" w:bidi="ar"/>
              </w:rPr>
              <w:t>.4.工作噪音：</w:t>
            </w:r>
            <w:r>
              <w:rPr>
                <w:rFonts w:hint="default" w:ascii="Arial" w:hAnsi="Arial" w:eastAsia="宋体" w:cs="Arial"/>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35dB（</w:t>
            </w:r>
            <w:r>
              <w:rPr>
                <w:rFonts w:hint="eastAsia" w:ascii="宋体" w:hAnsi="宋体" w:eastAsia="宋体" w:cs="宋体"/>
                <w:b/>
                <w:bCs/>
                <w:color w:val="auto"/>
                <w:sz w:val="21"/>
                <w:szCs w:val="21"/>
                <w:highlight w:val="none"/>
                <w:lang w:val="en-US" w:eastAsia="zh-CN"/>
              </w:rPr>
              <w:t>须在投标文件中提供符合以上参数</w:t>
            </w:r>
            <w:r>
              <w:rPr>
                <w:rFonts w:hint="eastAsia" w:ascii="宋体" w:hAnsi="宋体" w:cs="宋体"/>
                <w:b/>
                <w:bCs/>
                <w:color w:val="auto"/>
                <w:sz w:val="21"/>
                <w:szCs w:val="21"/>
                <w:highlight w:val="none"/>
                <w:lang w:val="en-US" w:eastAsia="zh-CN"/>
              </w:rPr>
              <w:t>的</w:t>
            </w:r>
            <w:r>
              <w:rPr>
                <w:rFonts w:hint="eastAsia" w:ascii="宋体" w:hAnsi="宋体" w:eastAsia="宋体" w:cs="宋体"/>
                <w:b/>
                <w:bCs/>
                <w:color w:val="auto"/>
                <w:sz w:val="21"/>
                <w:szCs w:val="21"/>
                <w:highlight w:val="none"/>
                <w:lang w:val="en-US" w:eastAsia="zh-CN"/>
              </w:rPr>
              <w:t>国家认可的有资质的第三方检测机构出具的检测报告复印件并加盖投标人公章或电子签章，否则视为负偏离</w:t>
            </w:r>
            <w:r>
              <w:rPr>
                <w:rFonts w:hint="default" w:ascii="宋体" w:hAnsi="宋体" w:eastAsia="宋体" w:cs="宋体"/>
                <w:i w:val="0"/>
                <w:iCs w:val="0"/>
                <w:color w:val="auto"/>
                <w:kern w:val="0"/>
                <w:sz w:val="21"/>
                <w:szCs w:val="21"/>
                <w:highlight w:val="none"/>
                <w:u w:val="none"/>
                <w:lang w:val="en-US" w:eastAsia="zh-CN" w:bidi="ar"/>
              </w:rPr>
              <w:t>）；</w:t>
            </w:r>
          </w:p>
          <w:p w14:paraId="6BCFE78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3</w:t>
            </w:r>
            <w:r>
              <w:rPr>
                <w:rFonts w:hint="default" w:ascii="宋体" w:hAnsi="宋体" w:eastAsia="宋体" w:cs="宋体"/>
                <w:i w:val="0"/>
                <w:iCs w:val="0"/>
                <w:color w:val="auto"/>
                <w:kern w:val="0"/>
                <w:sz w:val="21"/>
                <w:szCs w:val="21"/>
                <w:highlight w:val="none"/>
                <w:u w:val="none"/>
                <w:lang w:val="en-US" w:eastAsia="zh-CN" w:bidi="ar"/>
              </w:rPr>
              <w:t>.5.紫外线灯珠寿命：10000小时紫外线维持率</w:t>
            </w:r>
            <w:r>
              <w:rPr>
                <w:rFonts w:hint="default" w:ascii="Arial" w:hAnsi="Arial" w:eastAsia="宋体" w:cs="Arial"/>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70%；</w:t>
            </w:r>
          </w:p>
          <w:p w14:paraId="14DBA6F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3</w:t>
            </w:r>
            <w:r>
              <w:rPr>
                <w:rFonts w:hint="default" w:ascii="宋体" w:hAnsi="宋体" w:eastAsia="宋体" w:cs="宋体"/>
                <w:i w:val="0"/>
                <w:iCs w:val="0"/>
                <w:color w:val="auto"/>
                <w:kern w:val="0"/>
                <w:sz w:val="21"/>
                <w:szCs w:val="21"/>
                <w:highlight w:val="none"/>
                <w:u w:val="none"/>
                <w:lang w:val="en-US" w:eastAsia="zh-CN" w:bidi="ar"/>
              </w:rPr>
              <w:t>.6.甲型流感病毒去除率（MDCK细胞）：</w:t>
            </w:r>
            <w:r>
              <w:rPr>
                <w:rFonts w:hint="default" w:ascii="Arial" w:hAnsi="Arial" w:eastAsia="宋体" w:cs="Arial"/>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99.99%（</w:t>
            </w:r>
            <w:r>
              <w:rPr>
                <w:rFonts w:hint="eastAsia" w:ascii="宋体" w:hAnsi="宋体" w:eastAsia="宋体" w:cs="宋体"/>
                <w:b/>
                <w:bCs/>
                <w:color w:val="auto"/>
                <w:sz w:val="21"/>
                <w:szCs w:val="21"/>
                <w:highlight w:val="none"/>
                <w:lang w:val="en-US" w:eastAsia="zh-CN"/>
              </w:rPr>
              <w:t>须在投标文件中提供符合以上参数</w:t>
            </w:r>
            <w:r>
              <w:rPr>
                <w:rFonts w:hint="eastAsia" w:ascii="宋体" w:hAnsi="宋体" w:cs="宋体"/>
                <w:b/>
                <w:bCs/>
                <w:color w:val="auto"/>
                <w:sz w:val="21"/>
                <w:szCs w:val="21"/>
                <w:highlight w:val="none"/>
                <w:lang w:val="en-US" w:eastAsia="zh-CN"/>
              </w:rPr>
              <w:t>的</w:t>
            </w:r>
            <w:r>
              <w:rPr>
                <w:rFonts w:hint="eastAsia" w:ascii="宋体" w:hAnsi="宋体" w:eastAsia="宋体" w:cs="宋体"/>
                <w:b/>
                <w:bCs/>
                <w:color w:val="auto"/>
                <w:sz w:val="21"/>
                <w:szCs w:val="21"/>
                <w:highlight w:val="none"/>
                <w:lang w:val="en-US" w:eastAsia="zh-CN"/>
              </w:rPr>
              <w:t>国家认可的有资质的第三方检测机构出具的检测报告复印件并加盖投标人公章或电子签章，否则视为负偏离</w:t>
            </w:r>
            <w:r>
              <w:rPr>
                <w:rFonts w:hint="default" w:ascii="宋体" w:hAnsi="宋体" w:eastAsia="宋体" w:cs="宋体"/>
                <w:i w:val="0"/>
                <w:iCs w:val="0"/>
                <w:color w:val="auto"/>
                <w:kern w:val="0"/>
                <w:sz w:val="21"/>
                <w:szCs w:val="21"/>
                <w:highlight w:val="none"/>
                <w:u w:val="none"/>
                <w:lang w:val="en-US" w:eastAsia="zh-CN" w:bidi="ar"/>
              </w:rPr>
              <w:t>）；</w:t>
            </w:r>
          </w:p>
          <w:p w14:paraId="6D9B7318">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3</w:t>
            </w:r>
            <w:r>
              <w:rPr>
                <w:rFonts w:hint="default" w:ascii="宋体" w:hAnsi="宋体" w:eastAsia="宋体" w:cs="宋体"/>
                <w:i w:val="0"/>
                <w:iCs w:val="0"/>
                <w:color w:val="auto"/>
                <w:kern w:val="0"/>
                <w:sz w:val="21"/>
                <w:szCs w:val="21"/>
                <w:highlight w:val="none"/>
                <w:u w:val="none"/>
                <w:lang w:val="en-US" w:eastAsia="zh-CN" w:bidi="ar"/>
              </w:rPr>
              <w:t>.7.白色葡萄球菌杀灭率：</w:t>
            </w:r>
            <w:r>
              <w:rPr>
                <w:rFonts w:hint="default" w:ascii="Arial" w:hAnsi="Arial" w:eastAsia="宋体" w:cs="Arial"/>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99.9%；</w:t>
            </w:r>
          </w:p>
          <w:p w14:paraId="2F73EB01">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3</w:t>
            </w:r>
            <w:r>
              <w:rPr>
                <w:rFonts w:hint="default" w:ascii="宋体" w:hAnsi="宋体" w:eastAsia="宋体" w:cs="宋体"/>
                <w:i w:val="0"/>
                <w:iCs w:val="0"/>
                <w:color w:val="auto"/>
                <w:kern w:val="0"/>
                <w:sz w:val="21"/>
                <w:szCs w:val="21"/>
                <w:highlight w:val="none"/>
                <w:u w:val="none"/>
                <w:lang w:val="en-US" w:eastAsia="zh-CN" w:bidi="ar"/>
              </w:rPr>
              <w:t>.8.产品尺寸：</w:t>
            </w:r>
            <w:r>
              <w:rPr>
                <w:rFonts w:hint="default" w:ascii="Arial" w:hAnsi="Arial" w:eastAsia="宋体" w:cs="Arial"/>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167mm</w:t>
            </w:r>
            <w:r>
              <w:rPr>
                <w:rFonts w:hint="default" w:ascii="Arial" w:hAnsi="Arial" w:eastAsia="宋体" w:cs="Arial"/>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96mm；</w:t>
            </w:r>
          </w:p>
          <w:p w14:paraId="62DB3D52">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3</w:t>
            </w:r>
            <w:r>
              <w:rPr>
                <w:rFonts w:hint="default" w:ascii="宋体" w:hAnsi="宋体" w:eastAsia="宋体" w:cs="宋体"/>
                <w:i w:val="0"/>
                <w:iCs w:val="0"/>
                <w:color w:val="auto"/>
                <w:kern w:val="0"/>
                <w:sz w:val="21"/>
                <w:szCs w:val="21"/>
                <w:highlight w:val="none"/>
                <w:u w:val="none"/>
                <w:lang w:val="en-US" w:eastAsia="zh-CN" w:bidi="ar"/>
              </w:rPr>
              <w:t>.9.功率：照明灯</w:t>
            </w:r>
            <w:r>
              <w:rPr>
                <w:rFonts w:hint="default" w:ascii="Arial" w:hAnsi="Arial" w:eastAsia="宋体" w:cs="Arial"/>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10W，紫外灯（含风扇）</w:t>
            </w:r>
            <w:r>
              <w:rPr>
                <w:rFonts w:hint="default" w:ascii="Arial" w:hAnsi="Arial" w:eastAsia="宋体" w:cs="Arial"/>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8W。</w:t>
            </w:r>
          </w:p>
          <w:p w14:paraId="15E3772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4</w:t>
            </w:r>
            <w:r>
              <w:rPr>
                <w:rFonts w:hint="default" w:ascii="宋体" w:hAnsi="宋体" w:eastAsia="宋体" w:cs="宋体"/>
                <w:i w:val="0"/>
                <w:iCs w:val="0"/>
                <w:color w:val="auto"/>
                <w:kern w:val="0"/>
                <w:sz w:val="21"/>
                <w:szCs w:val="21"/>
                <w:highlight w:val="none"/>
                <w:u w:val="none"/>
                <w:lang w:val="en-US" w:eastAsia="zh-CN" w:bidi="ar"/>
              </w:rPr>
              <w:t>.顶部照明灯</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医疗舱配备长条LED照明灯≥4组，亮度应保证患者仰卧于担架车上不刺眼，同时满足急救人员对患者病情观察的需要，一盏为门控灯。后尾部场外照明灯</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12V、10W投光灯、正白光</w:t>
            </w:r>
            <w:r>
              <w:rPr>
                <w:rFonts w:hint="eastAsia" w:ascii="宋体" w:hAnsi="宋体" w:cs="宋体"/>
                <w:i w:val="0"/>
                <w:iCs w:val="0"/>
                <w:color w:val="auto"/>
                <w:kern w:val="0"/>
                <w:sz w:val="21"/>
                <w:szCs w:val="21"/>
                <w:highlight w:val="none"/>
                <w:u w:val="none"/>
                <w:lang w:val="en-US" w:eastAsia="zh-CN" w:bidi="ar"/>
              </w:rPr>
              <w:t>。</w:t>
            </w:r>
          </w:p>
          <w:p w14:paraId="502A3E84">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5</w:t>
            </w:r>
            <w:r>
              <w:rPr>
                <w:rFonts w:hint="default" w:ascii="宋体" w:hAnsi="宋体" w:eastAsia="宋体" w:cs="宋体"/>
                <w:i w:val="0"/>
                <w:iCs w:val="0"/>
                <w:color w:val="auto"/>
                <w:kern w:val="0"/>
                <w:sz w:val="21"/>
                <w:szCs w:val="21"/>
                <w:highlight w:val="none"/>
                <w:u w:val="none"/>
                <w:lang w:val="en-US" w:eastAsia="zh-CN" w:bidi="ar"/>
              </w:rPr>
              <w:t>.调压双表减压阀：</w:t>
            </w:r>
          </w:p>
          <w:p w14:paraId="7DDA0DF4">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5</w:t>
            </w:r>
            <w:r>
              <w:rPr>
                <w:rFonts w:hint="default" w:ascii="宋体" w:hAnsi="宋体" w:eastAsia="宋体" w:cs="宋体"/>
                <w:i w:val="0"/>
                <w:iCs w:val="0"/>
                <w:color w:val="auto"/>
                <w:kern w:val="0"/>
                <w:sz w:val="21"/>
                <w:szCs w:val="21"/>
                <w:highlight w:val="none"/>
                <w:u w:val="none"/>
                <w:lang w:val="en-US" w:eastAsia="zh-CN" w:bidi="ar"/>
              </w:rPr>
              <w:t>.1.减压阀在12mpa-15mpa的压力作用下，各连接部分密封不漏气。</w:t>
            </w:r>
          </w:p>
          <w:p w14:paraId="4B74AA1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5</w:t>
            </w:r>
            <w:r>
              <w:rPr>
                <w:rFonts w:hint="default" w:ascii="宋体" w:hAnsi="宋体" w:eastAsia="宋体" w:cs="宋体"/>
                <w:i w:val="0"/>
                <w:iCs w:val="0"/>
                <w:color w:val="auto"/>
                <w:kern w:val="0"/>
                <w:sz w:val="21"/>
                <w:szCs w:val="21"/>
                <w:highlight w:val="none"/>
                <w:u w:val="none"/>
                <w:lang w:val="en-US" w:eastAsia="zh-CN" w:bidi="ar"/>
              </w:rPr>
              <w:t>.2.减压阀在输入2MPa～15MPa的压力时，输出压力在0MPa～0.6MPa压力范围内自由调节。</w:t>
            </w:r>
          </w:p>
          <w:p w14:paraId="2BC15A9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5</w:t>
            </w:r>
            <w:r>
              <w:rPr>
                <w:rFonts w:hint="default" w:ascii="宋体" w:hAnsi="宋体" w:eastAsia="宋体" w:cs="宋体"/>
                <w:i w:val="0"/>
                <w:iCs w:val="0"/>
                <w:color w:val="auto"/>
                <w:kern w:val="0"/>
                <w:sz w:val="21"/>
                <w:szCs w:val="21"/>
                <w:highlight w:val="none"/>
                <w:u w:val="none"/>
                <w:lang w:val="en-US" w:eastAsia="zh-CN" w:bidi="ar"/>
              </w:rPr>
              <w:t>.3.减压阀输出压力0.4MPa时，输出流量应不小于70L/min。</w:t>
            </w:r>
          </w:p>
          <w:p w14:paraId="3ADF49D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5</w:t>
            </w:r>
            <w:r>
              <w:rPr>
                <w:rFonts w:hint="default" w:ascii="宋体" w:hAnsi="宋体" w:eastAsia="宋体" w:cs="宋体"/>
                <w:i w:val="0"/>
                <w:iCs w:val="0"/>
                <w:color w:val="auto"/>
                <w:kern w:val="0"/>
                <w:sz w:val="21"/>
                <w:szCs w:val="21"/>
                <w:highlight w:val="none"/>
                <w:u w:val="none"/>
                <w:lang w:val="en-US" w:eastAsia="zh-CN" w:bidi="ar"/>
              </w:rPr>
              <w:t>.4.减压阀的输出压力升至0.7MPa～0.9MPa时，安全阀即自动排气。</w:t>
            </w:r>
          </w:p>
          <w:p w14:paraId="366FF802">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5</w:t>
            </w:r>
            <w:r>
              <w:rPr>
                <w:rFonts w:hint="default" w:ascii="宋体" w:hAnsi="宋体" w:eastAsia="宋体" w:cs="宋体"/>
                <w:i w:val="0"/>
                <w:iCs w:val="0"/>
                <w:color w:val="auto"/>
                <w:kern w:val="0"/>
                <w:sz w:val="21"/>
                <w:szCs w:val="21"/>
                <w:highlight w:val="none"/>
                <w:u w:val="none"/>
                <w:lang w:val="en-US" w:eastAsia="zh-CN" w:bidi="ar"/>
              </w:rPr>
              <w:t>.5.氧气压力表应符合GB1226的规定，精度为≥2.5级。</w:t>
            </w:r>
          </w:p>
          <w:p w14:paraId="64CDE105">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5</w:t>
            </w:r>
            <w:r>
              <w:rPr>
                <w:rFonts w:hint="default" w:ascii="宋体" w:hAnsi="宋体" w:eastAsia="宋体" w:cs="宋体"/>
                <w:i w:val="0"/>
                <w:iCs w:val="0"/>
                <w:color w:val="auto"/>
                <w:kern w:val="0"/>
                <w:sz w:val="21"/>
                <w:szCs w:val="21"/>
                <w:highlight w:val="none"/>
                <w:u w:val="none"/>
                <w:lang w:val="en-US" w:eastAsia="zh-CN" w:bidi="ar"/>
              </w:rPr>
              <w:t>.6.减压阀调压钮调节轻便，松紧适宜；顺时针旋转，压力升高，逆时针旋转，压力降低，应有标记指示，当逆时针旋转至极限时，调压钮不能旋出，且无氧气输出。</w:t>
            </w:r>
          </w:p>
          <w:p w14:paraId="530317FD">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5</w:t>
            </w:r>
            <w:r>
              <w:rPr>
                <w:rFonts w:hint="default" w:ascii="宋体" w:hAnsi="宋体" w:eastAsia="宋体" w:cs="宋体"/>
                <w:i w:val="0"/>
                <w:iCs w:val="0"/>
                <w:color w:val="auto"/>
                <w:kern w:val="0"/>
                <w:sz w:val="21"/>
                <w:szCs w:val="21"/>
                <w:highlight w:val="none"/>
                <w:u w:val="none"/>
                <w:lang w:val="en-US" w:eastAsia="zh-CN" w:bidi="ar"/>
              </w:rPr>
              <w:t>.7.减压阀的整机外观应光滑，色泽均匀，花纹清晰一致，不得有露底、起层、起泡、剥落、开裂、发白等明显影响美观的缺陷。</w:t>
            </w:r>
          </w:p>
          <w:p w14:paraId="7F9B72A8">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5</w:t>
            </w:r>
            <w:r>
              <w:rPr>
                <w:rFonts w:hint="default" w:ascii="宋体" w:hAnsi="宋体" w:eastAsia="宋体" w:cs="宋体"/>
                <w:i w:val="0"/>
                <w:iCs w:val="0"/>
                <w:color w:val="auto"/>
                <w:kern w:val="0"/>
                <w:sz w:val="21"/>
                <w:szCs w:val="21"/>
                <w:highlight w:val="none"/>
                <w:u w:val="none"/>
                <w:lang w:val="en-US" w:eastAsia="zh-CN" w:bidi="ar"/>
              </w:rPr>
              <w:t>.8.减压阀的高压部分在承受≥22.5MPa持续3min的水压试验后，高压部分应无永久变形。（（</w:t>
            </w:r>
            <w:r>
              <w:rPr>
                <w:rFonts w:hint="eastAsia" w:ascii="宋体" w:hAnsi="宋体" w:eastAsia="宋体" w:cs="宋体"/>
                <w:b/>
                <w:bCs/>
                <w:color w:val="auto"/>
                <w:sz w:val="21"/>
                <w:szCs w:val="21"/>
                <w:highlight w:val="none"/>
                <w:lang w:val="en-US" w:eastAsia="zh-CN"/>
              </w:rPr>
              <w:t>须在投标文件中提供符合以上参数</w:t>
            </w:r>
            <w:r>
              <w:rPr>
                <w:rFonts w:hint="eastAsia" w:ascii="宋体" w:hAnsi="宋体" w:cs="宋体"/>
                <w:b/>
                <w:bCs/>
                <w:color w:val="auto"/>
                <w:sz w:val="21"/>
                <w:szCs w:val="21"/>
                <w:highlight w:val="none"/>
                <w:lang w:val="en-US" w:eastAsia="zh-CN"/>
              </w:rPr>
              <w:t>的</w:t>
            </w:r>
            <w:r>
              <w:rPr>
                <w:rFonts w:hint="eastAsia" w:ascii="宋体" w:hAnsi="宋体" w:eastAsia="宋体" w:cs="宋体"/>
                <w:b/>
                <w:bCs/>
                <w:color w:val="auto"/>
                <w:sz w:val="21"/>
                <w:szCs w:val="21"/>
                <w:highlight w:val="none"/>
                <w:lang w:val="en-US" w:eastAsia="zh-CN"/>
              </w:rPr>
              <w:t>国家认可的有资质的第三方检测机构出具的检测报告复印件并加盖投标人公章或电子签章，否则视为负偏离</w:t>
            </w:r>
            <w:r>
              <w:rPr>
                <w:rFonts w:hint="default" w:ascii="宋体" w:hAnsi="宋体" w:eastAsia="宋体" w:cs="宋体"/>
                <w:i w:val="0"/>
                <w:iCs w:val="0"/>
                <w:color w:val="auto"/>
                <w:kern w:val="0"/>
                <w:sz w:val="21"/>
                <w:szCs w:val="21"/>
                <w:highlight w:val="none"/>
                <w:u w:val="none"/>
                <w:lang w:val="en-US" w:eastAsia="zh-CN" w:bidi="ar"/>
              </w:rPr>
              <w:t>）</w:t>
            </w:r>
          </w:p>
          <w:p w14:paraId="32014F4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6</w:t>
            </w:r>
            <w:r>
              <w:rPr>
                <w:rFonts w:hint="default" w:ascii="宋体" w:hAnsi="宋体" w:eastAsia="宋体" w:cs="宋体"/>
                <w:i w:val="0"/>
                <w:iCs w:val="0"/>
                <w:color w:val="auto"/>
                <w:kern w:val="0"/>
                <w:sz w:val="21"/>
                <w:szCs w:val="21"/>
                <w:highlight w:val="none"/>
                <w:u w:val="none"/>
                <w:lang w:val="en-US" w:eastAsia="zh-CN" w:bidi="ar"/>
              </w:rPr>
              <w:t>.氧气瓶及湿化器：2个氧气瓶10L</w:t>
            </w:r>
            <w:r>
              <w:rPr>
                <w:rFonts w:hint="eastAsia" w:ascii="宋体" w:hAnsi="宋体" w:cs="宋体"/>
                <w:i w:val="0"/>
                <w:iCs w:val="0"/>
                <w:color w:val="auto"/>
                <w:kern w:val="0"/>
                <w:sz w:val="21"/>
                <w:szCs w:val="21"/>
                <w:highlight w:val="none"/>
                <w:u w:val="none"/>
                <w:lang w:val="en-US" w:eastAsia="zh-CN" w:bidi="ar"/>
              </w:rPr>
              <w:t>/个，</w:t>
            </w:r>
            <w:r>
              <w:rPr>
                <w:rFonts w:hint="default" w:ascii="宋体" w:hAnsi="宋体" w:eastAsia="宋体" w:cs="宋体"/>
                <w:i w:val="0"/>
                <w:iCs w:val="0"/>
                <w:color w:val="auto"/>
                <w:kern w:val="0"/>
                <w:sz w:val="21"/>
                <w:szCs w:val="21"/>
                <w:highlight w:val="none"/>
                <w:u w:val="none"/>
                <w:lang w:val="en-US" w:eastAsia="zh-CN" w:bidi="ar"/>
              </w:rPr>
              <w:t>钢质无缝≥2套，含固定支架</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湿化器快速转换接口</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插头体总成</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湿化器</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节阀和湿化杯连为一体，湿化杯可以360°旋转</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吸氧用终端（1个）连接湿化器，呼吸机用的终端（1个）连接呼吸机专用接头</w:t>
            </w:r>
          </w:p>
          <w:p w14:paraId="21EFFD1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7</w:t>
            </w:r>
            <w:r>
              <w:rPr>
                <w:rFonts w:hint="default" w:ascii="宋体" w:hAnsi="宋体" w:eastAsia="宋体" w:cs="宋体"/>
                <w:i w:val="0"/>
                <w:iCs w:val="0"/>
                <w:color w:val="auto"/>
                <w:kern w:val="0"/>
                <w:sz w:val="21"/>
                <w:szCs w:val="21"/>
                <w:highlight w:val="none"/>
                <w:u w:val="none"/>
                <w:lang w:val="en-US" w:eastAsia="zh-CN" w:bidi="ar"/>
              </w:rPr>
              <w:t>.空调系统：前驾驶室后医疗舱空调系统独立控制、可调节风速大小；暖风系统：后医疗舱暖风独立控制、可调节风速大小，控制医疗舱内温度高低</w:t>
            </w:r>
            <w:r>
              <w:rPr>
                <w:rFonts w:hint="eastAsia" w:ascii="宋体" w:hAnsi="宋体" w:cs="宋体"/>
                <w:i w:val="0"/>
                <w:iCs w:val="0"/>
                <w:color w:val="auto"/>
                <w:kern w:val="0"/>
                <w:sz w:val="21"/>
                <w:szCs w:val="21"/>
                <w:highlight w:val="none"/>
                <w:u w:val="none"/>
                <w:lang w:val="en-US" w:eastAsia="zh-CN" w:bidi="ar"/>
              </w:rPr>
              <w:t>。</w:t>
            </w:r>
          </w:p>
          <w:p w14:paraId="374E923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8</w:t>
            </w:r>
            <w:r>
              <w:rPr>
                <w:rFonts w:hint="default" w:ascii="宋体" w:hAnsi="宋体" w:eastAsia="宋体" w:cs="宋体"/>
                <w:i w:val="0"/>
                <w:iCs w:val="0"/>
                <w:color w:val="auto"/>
                <w:kern w:val="0"/>
                <w:sz w:val="21"/>
                <w:szCs w:val="21"/>
                <w:highlight w:val="none"/>
                <w:u w:val="none"/>
                <w:lang w:val="en-US" w:eastAsia="zh-CN" w:bidi="ar"/>
              </w:rPr>
              <w:t>.排风系统</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换气和吸气双功能，双向换气扇车厢内换气次数≥20次/小时，排气量＞7.5m³/min</w:t>
            </w:r>
          </w:p>
          <w:p w14:paraId="5D44A40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9</w:t>
            </w:r>
            <w:r>
              <w:rPr>
                <w:rFonts w:hint="default" w:ascii="宋体" w:hAnsi="宋体" w:eastAsia="宋体" w:cs="宋体"/>
                <w:i w:val="0"/>
                <w:iCs w:val="0"/>
                <w:color w:val="auto"/>
                <w:kern w:val="0"/>
                <w:sz w:val="21"/>
                <w:szCs w:val="21"/>
                <w:highlight w:val="none"/>
                <w:u w:val="none"/>
                <w:lang w:val="en-US" w:eastAsia="zh-CN" w:bidi="ar"/>
              </w:rPr>
              <w:t>.护士、家属座椅</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单人座位数：≥3个座位，配安全带；隔断后折叠座椅≥1个座位，配安全带；（须</w:t>
            </w:r>
            <w:r>
              <w:rPr>
                <w:rFonts w:hint="eastAsia" w:ascii="宋体" w:hAnsi="宋体" w:cs="宋体"/>
                <w:b/>
                <w:bCs/>
                <w:i w:val="0"/>
                <w:iCs w:val="0"/>
                <w:color w:val="auto"/>
                <w:kern w:val="0"/>
                <w:sz w:val="21"/>
                <w:szCs w:val="21"/>
                <w:highlight w:val="none"/>
                <w:u w:val="none"/>
                <w:lang w:val="en-US" w:eastAsia="zh-CN" w:bidi="ar"/>
              </w:rPr>
              <w:t>在投标文件中</w:t>
            </w:r>
            <w:r>
              <w:rPr>
                <w:rFonts w:hint="default" w:ascii="宋体" w:hAnsi="宋体" w:eastAsia="宋体" w:cs="宋体"/>
                <w:b/>
                <w:bCs/>
                <w:i w:val="0"/>
                <w:iCs w:val="0"/>
                <w:color w:val="auto"/>
                <w:kern w:val="0"/>
                <w:sz w:val="21"/>
                <w:szCs w:val="21"/>
                <w:highlight w:val="none"/>
                <w:u w:val="none"/>
                <w:lang w:val="en-US" w:eastAsia="zh-CN" w:bidi="ar"/>
              </w:rPr>
              <w:t>提供产品公告座椅布局照片证明</w:t>
            </w:r>
            <w:r>
              <w:rPr>
                <w:rFonts w:hint="eastAsia" w:ascii="宋体" w:hAnsi="宋体" w:cs="宋体"/>
                <w:b/>
                <w:bCs/>
                <w:i w:val="0"/>
                <w:iCs w:val="0"/>
                <w:color w:val="auto"/>
                <w:kern w:val="0"/>
                <w:sz w:val="21"/>
                <w:szCs w:val="21"/>
                <w:highlight w:val="none"/>
                <w:u w:val="none"/>
                <w:lang w:val="en-US" w:eastAsia="zh-CN" w:bidi="ar"/>
              </w:rPr>
              <w:t>材料并加盖投标人公章或电子签章，否则视为负偏离</w:t>
            </w:r>
            <w:r>
              <w:rPr>
                <w:rFonts w:hint="default" w:ascii="宋体" w:hAnsi="宋体" w:eastAsia="宋体" w:cs="宋体"/>
                <w:i w:val="0"/>
                <w:iCs w:val="0"/>
                <w:color w:val="auto"/>
                <w:kern w:val="0"/>
                <w:sz w:val="21"/>
                <w:szCs w:val="21"/>
                <w:highlight w:val="none"/>
                <w:u w:val="none"/>
                <w:lang w:val="en-US" w:eastAsia="zh-CN" w:bidi="ar"/>
              </w:rPr>
              <w:t>）</w:t>
            </w:r>
          </w:p>
          <w:p w14:paraId="27EEC85B">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50</w:t>
            </w:r>
            <w:r>
              <w:rPr>
                <w:rFonts w:hint="default" w:ascii="宋体" w:hAnsi="宋体" w:eastAsia="宋体" w:cs="宋体"/>
                <w:i w:val="0"/>
                <w:iCs w:val="0"/>
                <w:color w:val="auto"/>
                <w:kern w:val="0"/>
                <w:sz w:val="21"/>
                <w:szCs w:val="21"/>
                <w:highlight w:val="none"/>
                <w:u w:val="none"/>
                <w:lang w:val="en-US" w:eastAsia="zh-CN" w:bidi="ar"/>
              </w:rPr>
              <w:t>.自动上车担架配套设施</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采用不锈钢材料制作，辅助担架上下车</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铲式担架</w:t>
            </w:r>
            <w:r>
              <w:rPr>
                <w:rFonts w:hint="eastAsia" w:ascii="宋体" w:hAnsi="宋体" w:cs="宋体"/>
                <w:i w:val="0"/>
                <w:iCs w:val="0"/>
                <w:color w:val="auto"/>
                <w:kern w:val="0"/>
                <w:sz w:val="21"/>
                <w:szCs w:val="21"/>
                <w:highlight w:val="none"/>
                <w:u w:val="none"/>
                <w:lang w:val="en-US" w:eastAsia="zh-CN" w:bidi="ar"/>
              </w:rPr>
              <w:t>，过床板1个，楼梯担架1个，软布担架1个。</w:t>
            </w:r>
          </w:p>
          <w:p w14:paraId="033A669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51</w:t>
            </w:r>
            <w:r>
              <w:rPr>
                <w:rFonts w:hint="default" w:ascii="宋体" w:hAnsi="宋体" w:eastAsia="宋体" w:cs="宋体"/>
                <w:i w:val="0"/>
                <w:iCs w:val="0"/>
                <w:color w:val="auto"/>
                <w:kern w:val="0"/>
                <w:sz w:val="21"/>
                <w:szCs w:val="21"/>
                <w:highlight w:val="none"/>
                <w:u w:val="none"/>
                <w:lang w:val="en-US" w:eastAsia="zh-CN" w:bidi="ar"/>
              </w:rPr>
              <w:t>.警灯</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车顶前部采用三段分体U型嵌入式警灯，警灯不超过原车高度</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w:t>
            </w:r>
            <w:r>
              <w:rPr>
                <w:rFonts w:hint="eastAsia" w:ascii="宋体" w:hAnsi="宋体" w:cs="宋体"/>
                <w:b/>
                <w:bCs/>
                <w:i w:val="0"/>
                <w:iCs w:val="0"/>
                <w:color w:val="auto"/>
                <w:kern w:val="0"/>
                <w:sz w:val="21"/>
                <w:szCs w:val="21"/>
                <w:highlight w:val="none"/>
                <w:u w:val="none"/>
                <w:lang w:val="en-US" w:eastAsia="zh-CN" w:bidi="ar"/>
              </w:rPr>
              <w:t>须</w:t>
            </w:r>
            <w:r>
              <w:rPr>
                <w:rFonts w:hint="default" w:ascii="宋体" w:hAnsi="宋体" w:eastAsia="宋体" w:cs="宋体"/>
                <w:b/>
                <w:bCs/>
                <w:i w:val="0"/>
                <w:iCs w:val="0"/>
                <w:color w:val="auto"/>
                <w:kern w:val="0"/>
                <w:sz w:val="21"/>
                <w:szCs w:val="21"/>
                <w:highlight w:val="none"/>
                <w:u w:val="none"/>
                <w:lang w:val="en-US" w:eastAsia="zh-CN" w:bidi="ar"/>
              </w:rPr>
              <w:t>在投标文件中提供公告照片及实物照片佐证材料并加盖投标人公章或电子签章，否则视为负偏离</w:t>
            </w:r>
            <w:r>
              <w:rPr>
                <w:rFonts w:hint="default" w:ascii="宋体" w:hAnsi="宋体" w:eastAsia="宋体" w:cs="宋体"/>
                <w:i w:val="0"/>
                <w:iCs w:val="0"/>
                <w:color w:val="auto"/>
                <w:kern w:val="0"/>
                <w:sz w:val="21"/>
                <w:szCs w:val="21"/>
                <w:highlight w:val="none"/>
                <w:u w:val="none"/>
                <w:lang w:val="en-US" w:eastAsia="zh-CN" w:bidi="ar"/>
              </w:rPr>
              <w:t>）</w:t>
            </w:r>
          </w:p>
          <w:p w14:paraId="4B08D611">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2</w:t>
            </w:r>
            <w:r>
              <w:rPr>
                <w:rFonts w:hint="default" w:ascii="宋体" w:hAnsi="宋体" w:eastAsia="宋体" w:cs="宋体"/>
                <w:i w:val="0"/>
                <w:iCs w:val="0"/>
                <w:color w:val="auto"/>
                <w:kern w:val="0"/>
                <w:sz w:val="21"/>
                <w:szCs w:val="21"/>
                <w:highlight w:val="none"/>
                <w:u w:val="none"/>
                <w:lang w:val="en-US" w:eastAsia="zh-CN" w:bidi="ar"/>
              </w:rPr>
              <w:t>.尾部爆闪警示灯</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配置高亮度蓝色爆闪警灯2个</w:t>
            </w:r>
          </w:p>
          <w:p w14:paraId="69AF5608">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3</w:t>
            </w:r>
            <w:r>
              <w:rPr>
                <w:rFonts w:hint="default" w:ascii="宋体" w:hAnsi="宋体" w:eastAsia="宋体" w:cs="宋体"/>
                <w:i w:val="0"/>
                <w:iCs w:val="0"/>
                <w:color w:val="auto"/>
                <w:kern w:val="0"/>
                <w:sz w:val="21"/>
                <w:szCs w:val="21"/>
                <w:highlight w:val="none"/>
                <w:u w:val="none"/>
                <w:lang w:val="en-US" w:eastAsia="zh-CN" w:bidi="ar"/>
              </w:rPr>
              <w:t>.左右两侧安装爆闪警示灯：配置高亮度蓝白爆闪警灯2组（蓝白为1组）</w:t>
            </w:r>
          </w:p>
          <w:p w14:paraId="46F50961">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4</w:t>
            </w:r>
            <w:r>
              <w:rPr>
                <w:rFonts w:hint="default" w:ascii="宋体" w:hAnsi="宋体" w:eastAsia="宋体" w:cs="宋体"/>
                <w:i w:val="0"/>
                <w:iCs w:val="0"/>
                <w:color w:val="auto"/>
                <w:kern w:val="0"/>
                <w:sz w:val="21"/>
                <w:szCs w:val="21"/>
                <w:highlight w:val="none"/>
                <w:u w:val="none"/>
                <w:lang w:val="en-US" w:eastAsia="zh-CN" w:bidi="ar"/>
              </w:rPr>
              <w:t>.驾驶室安装警报、警灯控制器</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驾驶室控制</w:t>
            </w:r>
          </w:p>
          <w:p w14:paraId="2130BCB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5</w:t>
            </w:r>
            <w:r>
              <w:rPr>
                <w:rFonts w:hint="default" w:ascii="宋体" w:hAnsi="宋体" w:eastAsia="宋体" w:cs="宋体"/>
                <w:i w:val="0"/>
                <w:iCs w:val="0"/>
                <w:color w:val="auto"/>
                <w:kern w:val="0"/>
                <w:sz w:val="21"/>
                <w:szCs w:val="21"/>
                <w:highlight w:val="none"/>
                <w:u w:val="none"/>
                <w:lang w:val="en-US" w:eastAsia="zh-CN" w:bidi="ar"/>
              </w:rPr>
              <w:t>.医疗舱玻璃窗膜</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医疗舱左侧车窗玻璃贴深灰色太阳膜</w:t>
            </w:r>
          </w:p>
          <w:p w14:paraId="3C98E9B7">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6</w:t>
            </w:r>
            <w:r>
              <w:rPr>
                <w:rFonts w:hint="default" w:ascii="宋体" w:hAnsi="宋体" w:eastAsia="宋体" w:cs="宋体"/>
                <w:i w:val="0"/>
                <w:iCs w:val="0"/>
                <w:color w:val="auto"/>
                <w:kern w:val="0"/>
                <w:sz w:val="21"/>
                <w:szCs w:val="21"/>
                <w:highlight w:val="none"/>
                <w:u w:val="none"/>
                <w:lang w:val="en-US" w:eastAsia="zh-CN" w:bidi="ar"/>
              </w:rPr>
              <w:t>.车身外观：前保险杠、车身侧围、尾门采用车身彩条，前引擎盖、左右前门采用反光膜急救标识；</w:t>
            </w:r>
          </w:p>
          <w:p w14:paraId="5A1FDFB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7</w:t>
            </w:r>
            <w:r>
              <w:rPr>
                <w:rFonts w:hint="default" w:ascii="宋体" w:hAnsi="宋体" w:eastAsia="宋体" w:cs="宋体"/>
                <w:i w:val="0"/>
                <w:iCs w:val="0"/>
                <w:color w:val="auto"/>
                <w:kern w:val="0"/>
                <w:sz w:val="21"/>
                <w:szCs w:val="21"/>
                <w:highlight w:val="none"/>
                <w:u w:val="none"/>
                <w:lang w:val="en-US" w:eastAsia="zh-CN" w:bidi="ar"/>
              </w:rPr>
              <w:t>.顶部安全扶手：在医疗舱顶部安装1根长条形扶手，在中门上车处安装一根扶手。</w:t>
            </w:r>
          </w:p>
          <w:p w14:paraId="7045912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8</w:t>
            </w:r>
            <w:r>
              <w:rPr>
                <w:rFonts w:hint="default" w:ascii="宋体" w:hAnsi="宋体" w:eastAsia="宋体" w:cs="宋体"/>
                <w:i w:val="0"/>
                <w:iCs w:val="0"/>
                <w:color w:val="auto"/>
                <w:kern w:val="0"/>
                <w:sz w:val="21"/>
                <w:szCs w:val="21"/>
                <w:highlight w:val="none"/>
                <w:u w:val="none"/>
                <w:lang w:val="en-US" w:eastAsia="zh-CN" w:bidi="ar"/>
              </w:rPr>
              <w:t>.驾驶室、医疗舱对讲系统：在驾驶舱和医疗舱各安装1个话麦。</w:t>
            </w:r>
          </w:p>
          <w:p w14:paraId="71CCD08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9</w:t>
            </w:r>
            <w:r>
              <w:rPr>
                <w:rFonts w:hint="default" w:ascii="宋体" w:hAnsi="宋体" w:eastAsia="宋体" w:cs="宋体"/>
                <w:i w:val="0"/>
                <w:iCs w:val="0"/>
                <w:color w:val="auto"/>
                <w:kern w:val="0"/>
                <w:sz w:val="21"/>
                <w:szCs w:val="21"/>
                <w:highlight w:val="none"/>
                <w:u w:val="none"/>
                <w:lang w:val="en-US" w:eastAsia="zh-CN" w:bidi="ar"/>
              </w:rPr>
              <w:t>.中拉门推拉窗：两段式推拉玻璃窗</w:t>
            </w:r>
          </w:p>
          <w:p w14:paraId="55E27FC8">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60</w:t>
            </w:r>
            <w:r>
              <w:rPr>
                <w:rFonts w:hint="default" w:ascii="宋体" w:hAnsi="宋体" w:eastAsia="宋体" w:cs="宋体"/>
                <w:i w:val="0"/>
                <w:iCs w:val="0"/>
                <w:color w:val="auto"/>
                <w:kern w:val="0"/>
                <w:sz w:val="21"/>
                <w:szCs w:val="21"/>
                <w:highlight w:val="none"/>
                <w:u w:val="none"/>
                <w:lang w:val="en-US" w:eastAsia="zh-CN" w:bidi="ar"/>
              </w:rPr>
              <w:t>.钢质污物桶：不锈钢、5L</w:t>
            </w:r>
          </w:p>
          <w:p w14:paraId="1D96E51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61</w:t>
            </w:r>
            <w:r>
              <w:rPr>
                <w:rFonts w:hint="default" w:ascii="宋体" w:hAnsi="宋体" w:eastAsia="宋体" w:cs="宋体"/>
                <w:i w:val="0"/>
                <w:iCs w:val="0"/>
                <w:color w:val="auto"/>
                <w:kern w:val="0"/>
                <w:sz w:val="21"/>
                <w:szCs w:val="21"/>
                <w:highlight w:val="none"/>
                <w:u w:val="none"/>
                <w:lang w:val="en-US" w:eastAsia="zh-CN" w:bidi="ar"/>
              </w:rPr>
              <w:t>.专用灭火器：医疗舱配备1套1kg干粉式灭火器，安全锤</w:t>
            </w:r>
          </w:p>
          <w:p w14:paraId="1D9D4B9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6</w:t>
            </w:r>
            <w:r>
              <w:rPr>
                <w:rFonts w:hint="eastAsia" w:ascii="宋体" w:hAnsi="宋体" w:cs="宋体"/>
                <w:i w:val="0"/>
                <w:iCs w:val="0"/>
                <w:color w:val="auto"/>
                <w:kern w:val="0"/>
                <w:sz w:val="21"/>
                <w:szCs w:val="21"/>
                <w:highlight w:val="none"/>
                <w:u w:val="none"/>
                <w:lang w:val="en-US" w:eastAsia="zh-CN" w:bidi="ar"/>
              </w:rPr>
              <w:t>2</w:t>
            </w:r>
            <w:r>
              <w:rPr>
                <w:rFonts w:hint="default" w:ascii="宋体" w:hAnsi="宋体" w:eastAsia="宋体" w:cs="宋体"/>
                <w:i w:val="0"/>
                <w:iCs w:val="0"/>
                <w:color w:val="auto"/>
                <w:kern w:val="0"/>
                <w:sz w:val="21"/>
                <w:szCs w:val="21"/>
                <w:highlight w:val="none"/>
                <w:u w:val="none"/>
                <w:lang w:val="en-US" w:eastAsia="zh-CN" w:bidi="ar"/>
              </w:rPr>
              <w:t>.多媒体导航后视一体机</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多媒体导航后视</w:t>
            </w:r>
          </w:p>
          <w:p w14:paraId="123FDAE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6</w:t>
            </w:r>
            <w:r>
              <w:rPr>
                <w:rFonts w:hint="eastAsia" w:ascii="宋体" w:hAnsi="宋体" w:cs="宋体"/>
                <w:i w:val="0"/>
                <w:iCs w:val="0"/>
                <w:color w:val="auto"/>
                <w:kern w:val="0"/>
                <w:sz w:val="21"/>
                <w:szCs w:val="21"/>
                <w:highlight w:val="none"/>
                <w:u w:val="none"/>
                <w:lang w:val="en-US" w:eastAsia="zh-CN" w:bidi="ar"/>
              </w:rPr>
              <w:t>3</w:t>
            </w:r>
            <w:r>
              <w:rPr>
                <w:rFonts w:hint="default" w:ascii="宋体" w:hAnsi="宋体" w:eastAsia="宋体" w:cs="宋体"/>
                <w:i w:val="0"/>
                <w:iCs w:val="0"/>
                <w:color w:val="auto"/>
                <w:kern w:val="0"/>
                <w:sz w:val="21"/>
                <w:szCs w:val="21"/>
                <w:highlight w:val="none"/>
                <w:u w:val="none"/>
                <w:lang w:val="en-US" w:eastAsia="zh-CN" w:bidi="ar"/>
              </w:rPr>
              <w:t>.医疗舱配备空气净化臭氧消毒机1台，可对医疗舱内＞99.90%白色葡萄球菌进行消杀，对＞90.00%的空气自然菌进行消杀</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检测依据为</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消毒技术规范2002年版2.1.3</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；消毒机在30m³的试验舱内，开机60分钟后，舱内臭氧浓度≥44.62mg/m³。（</w:t>
            </w:r>
            <w:r>
              <w:rPr>
                <w:rFonts w:hint="eastAsia" w:ascii="宋体" w:hAnsi="宋体" w:cs="宋体"/>
                <w:b/>
                <w:bCs/>
                <w:i w:val="0"/>
                <w:iCs w:val="0"/>
                <w:color w:val="auto"/>
                <w:kern w:val="0"/>
                <w:sz w:val="21"/>
                <w:szCs w:val="21"/>
                <w:highlight w:val="none"/>
                <w:u w:val="none"/>
                <w:lang w:val="en-US" w:eastAsia="zh-CN" w:bidi="ar"/>
              </w:rPr>
              <w:t>须在投标</w:t>
            </w:r>
            <w:r>
              <w:rPr>
                <w:rFonts w:hint="default" w:ascii="宋体" w:hAnsi="宋体" w:eastAsia="宋体" w:cs="宋体"/>
                <w:b/>
                <w:bCs/>
                <w:i w:val="0"/>
                <w:iCs w:val="0"/>
                <w:color w:val="auto"/>
                <w:kern w:val="0"/>
                <w:sz w:val="21"/>
                <w:szCs w:val="21"/>
                <w:highlight w:val="none"/>
                <w:u w:val="none"/>
                <w:lang w:val="en-US" w:eastAsia="zh-CN" w:bidi="ar"/>
              </w:rPr>
              <w:t>文件中提供国家认可的</w:t>
            </w:r>
            <w:r>
              <w:rPr>
                <w:rFonts w:hint="eastAsia" w:ascii="宋体" w:hAnsi="宋体" w:cs="宋体"/>
                <w:b/>
                <w:bCs/>
                <w:i w:val="0"/>
                <w:iCs w:val="0"/>
                <w:color w:val="auto"/>
                <w:kern w:val="0"/>
                <w:sz w:val="21"/>
                <w:szCs w:val="21"/>
                <w:highlight w:val="none"/>
                <w:u w:val="none"/>
                <w:lang w:val="en-US" w:eastAsia="zh-CN" w:bidi="ar"/>
              </w:rPr>
              <w:t>有资质的</w:t>
            </w:r>
            <w:r>
              <w:rPr>
                <w:rFonts w:hint="default" w:ascii="宋体" w:hAnsi="宋体" w:eastAsia="宋体" w:cs="宋体"/>
                <w:b/>
                <w:bCs/>
                <w:i w:val="0"/>
                <w:iCs w:val="0"/>
                <w:color w:val="auto"/>
                <w:kern w:val="0"/>
                <w:sz w:val="21"/>
                <w:szCs w:val="21"/>
                <w:highlight w:val="none"/>
                <w:u w:val="none"/>
                <w:lang w:val="en-US" w:eastAsia="zh-CN" w:bidi="ar"/>
              </w:rPr>
              <w:t>第三方检测机构出具的满足要求的检测报告复印件</w:t>
            </w:r>
            <w:r>
              <w:rPr>
                <w:rFonts w:hint="eastAsia" w:ascii="宋体" w:hAnsi="宋体" w:cs="宋体"/>
                <w:b/>
                <w:bCs/>
                <w:i w:val="0"/>
                <w:iCs w:val="0"/>
                <w:color w:val="auto"/>
                <w:kern w:val="0"/>
                <w:sz w:val="21"/>
                <w:szCs w:val="21"/>
                <w:highlight w:val="none"/>
                <w:u w:val="none"/>
                <w:lang w:val="en-US" w:eastAsia="zh-CN" w:bidi="ar"/>
              </w:rPr>
              <w:t>加盖投标人公章或电子签章</w:t>
            </w:r>
            <w:r>
              <w:rPr>
                <w:rFonts w:hint="default" w:ascii="宋体" w:hAnsi="宋体" w:eastAsia="宋体" w:cs="宋体"/>
                <w:b/>
                <w:bCs/>
                <w:i w:val="0"/>
                <w:iCs w:val="0"/>
                <w:color w:val="auto"/>
                <w:kern w:val="0"/>
                <w:sz w:val="21"/>
                <w:szCs w:val="21"/>
                <w:highlight w:val="none"/>
                <w:u w:val="none"/>
                <w:lang w:val="en-US" w:eastAsia="zh-CN" w:bidi="ar"/>
              </w:rPr>
              <w:t>，检测依据GB28232-2020</w:t>
            </w:r>
            <w:r>
              <w:rPr>
                <w:rFonts w:hint="eastAsia" w:ascii="宋体" w:hAnsi="宋体" w:cs="宋体"/>
                <w:b/>
                <w:bCs/>
                <w:i w:val="0"/>
                <w:iCs w:val="0"/>
                <w:color w:val="auto"/>
                <w:kern w:val="0"/>
                <w:sz w:val="21"/>
                <w:szCs w:val="21"/>
                <w:highlight w:val="none"/>
                <w:u w:val="none"/>
                <w:lang w:val="en-US" w:eastAsia="zh-CN" w:bidi="ar"/>
              </w:rPr>
              <w:t>《</w:t>
            </w:r>
            <w:r>
              <w:rPr>
                <w:rFonts w:hint="default" w:ascii="宋体" w:hAnsi="宋体" w:eastAsia="宋体" w:cs="宋体"/>
                <w:b/>
                <w:bCs/>
                <w:i w:val="0"/>
                <w:iCs w:val="0"/>
                <w:color w:val="auto"/>
                <w:kern w:val="0"/>
                <w:sz w:val="21"/>
                <w:szCs w:val="21"/>
                <w:highlight w:val="none"/>
                <w:u w:val="none"/>
                <w:lang w:val="en-US" w:eastAsia="zh-CN" w:bidi="ar"/>
              </w:rPr>
              <w:t>臭氧消毒器卫生要求</w:t>
            </w:r>
            <w:r>
              <w:rPr>
                <w:rFonts w:hint="eastAsia" w:ascii="宋体" w:hAnsi="宋体" w:cs="宋体"/>
                <w:b/>
                <w:bCs/>
                <w:i w:val="0"/>
                <w:iCs w:val="0"/>
                <w:color w:val="auto"/>
                <w:kern w:val="0"/>
                <w:sz w:val="21"/>
                <w:szCs w:val="21"/>
                <w:highlight w:val="none"/>
                <w:u w:val="none"/>
                <w:lang w:val="en-US" w:eastAsia="zh-CN" w:bidi="ar"/>
              </w:rPr>
              <w:t>》，否则视为负偏离</w:t>
            </w:r>
            <w:r>
              <w:rPr>
                <w:rFonts w:hint="eastAsia" w:ascii="宋体" w:hAnsi="宋体" w:cs="宋体"/>
                <w:i w:val="0"/>
                <w:iCs w:val="0"/>
                <w:color w:val="auto"/>
                <w:kern w:val="0"/>
                <w:sz w:val="21"/>
                <w:szCs w:val="21"/>
                <w:highlight w:val="none"/>
                <w:u w:val="none"/>
                <w:lang w:val="en-US" w:eastAsia="zh-CN" w:bidi="ar"/>
              </w:rPr>
              <w:t>）</w:t>
            </w:r>
          </w:p>
          <w:p w14:paraId="1C9209B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6</w:t>
            </w:r>
            <w:r>
              <w:rPr>
                <w:rFonts w:hint="eastAsia" w:ascii="宋体" w:hAnsi="宋体" w:cs="宋体"/>
                <w:i w:val="0"/>
                <w:iCs w:val="0"/>
                <w:color w:val="auto"/>
                <w:kern w:val="0"/>
                <w:sz w:val="21"/>
                <w:szCs w:val="21"/>
                <w:highlight w:val="none"/>
                <w:u w:val="none"/>
                <w:lang w:val="en-US" w:eastAsia="zh-CN" w:bidi="ar"/>
              </w:rPr>
              <w:t>4</w:t>
            </w:r>
            <w:r>
              <w:rPr>
                <w:rFonts w:hint="default" w:ascii="宋体" w:hAnsi="宋体" w:eastAsia="宋体" w:cs="宋体"/>
                <w:i w:val="0"/>
                <w:iCs w:val="0"/>
                <w:color w:val="auto"/>
                <w:kern w:val="0"/>
                <w:sz w:val="21"/>
                <w:szCs w:val="21"/>
                <w:highlight w:val="none"/>
                <w:u w:val="none"/>
                <w:lang w:val="en-US" w:eastAsia="zh-CN" w:bidi="ar"/>
              </w:rPr>
              <w:t>.车载专用急救箱1套：</w:t>
            </w:r>
          </w:p>
          <w:p w14:paraId="1425106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64.1.外观：外箱应色泽均匀，表面光洁，放置平稳；箱内胶合处不可有胶痕外漏；铝合金边框与转角接口处，不可出现锋棱；布兜应缝制整齐，布料边与缝制线应平行，针线间距（6-8针/英寸）应一致，包边整齐，踩线不外露，无多余的线头等。</w:t>
            </w:r>
          </w:p>
          <w:p w14:paraId="5AE0D7D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64.2.尺寸：31cm×20cm×19cm，允差+5mm。</w:t>
            </w:r>
          </w:p>
          <w:p w14:paraId="16E99C65">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64.3.材质：中纤板，内衬420D灰色牛津布，铝合金型材框架，</w:t>
            </w:r>
            <w:r>
              <w:rPr>
                <w:rFonts w:hint="eastAsia" w:ascii="宋体" w:hAnsi="宋体" w:cs="宋体"/>
                <w:i w:val="0"/>
                <w:iCs w:val="0"/>
                <w:color w:val="auto"/>
                <w:kern w:val="0"/>
                <w:sz w:val="21"/>
                <w:szCs w:val="21"/>
                <w:highlight w:val="none"/>
                <w:u w:val="none"/>
                <w:lang w:val="en-US" w:eastAsia="zh-CN" w:bidi="ar"/>
              </w:rPr>
              <w:t>铜质</w:t>
            </w:r>
            <w:r>
              <w:rPr>
                <w:rFonts w:hint="default" w:ascii="宋体" w:hAnsi="宋体" w:eastAsia="宋体" w:cs="宋体"/>
                <w:i w:val="0"/>
                <w:iCs w:val="0"/>
                <w:color w:val="auto"/>
                <w:kern w:val="0"/>
                <w:sz w:val="21"/>
                <w:szCs w:val="21"/>
                <w:highlight w:val="none"/>
                <w:u w:val="none"/>
                <w:lang w:val="en-US" w:eastAsia="zh-CN" w:bidi="ar"/>
              </w:rPr>
              <w:t>锁芯，金属包角，医用级PP托盘。</w:t>
            </w:r>
          </w:p>
          <w:p w14:paraId="319362D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64.4.结构：铝箱分为上中下三层，上盖布兜，中层磨砂半透明隔层，下层为中纤板底部。箱体设有提手，肩带。</w:t>
            </w:r>
          </w:p>
          <w:p w14:paraId="553E80D5">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64.5.箱体性能指标：（</w:t>
            </w:r>
            <w:r>
              <w:rPr>
                <w:rFonts w:hint="default" w:ascii="宋体" w:hAnsi="宋体" w:eastAsia="宋体" w:cs="宋体"/>
                <w:b/>
                <w:bCs/>
                <w:i w:val="0"/>
                <w:iCs w:val="0"/>
                <w:color w:val="auto"/>
                <w:kern w:val="0"/>
                <w:sz w:val="21"/>
                <w:szCs w:val="21"/>
                <w:highlight w:val="none"/>
                <w:u w:val="none"/>
                <w:lang w:val="en-US" w:eastAsia="zh-CN" w:bidi="ar"/>
              </w:rPr>
              <w:t>以下①、②参数</w:t>
            </w:r>
            <w:r>
              <w:rPr>
                <w:rFonts w:hint="eastAsia" w:ascii="宋体" w:hAnsi="宋体" w:cs="宋体"/>
                <w:b/>
                <w:bCs/>
                <w:i w:val="0"/>
                <w:iCs w:val="0"/>
                <w:color w:val="auto"/>
                <w:kern w:val="0"/>
                <w:sz w:val="21"/>
                <w:szCs w:val="21"/>
                <w:highlight w:val="none"/>
                <w:u w:val="none"/>
                <w:lang w:val="en-US" w:eastAsia="zh-CN" w:bidi="ar"/>
              </w:rPr>
              <w:t>须</w:t>
            </w:r>
            <w:r>
              <w:rPr>
                <w:rFonts w:hint="default" w:ascii="宋体" w:hAnsi="宋体" w:eastAsia="宋体" w:cs="宋体"/>
                <w:b/>
                <w:bCs/>
                <w:i w:val="0"/>
                <w:iCs w:val="0"/>
                <w:color w:val="auto"/>
                <w:kern w:val="0"/>
                <w:sz w:val="21"/>
                <w:szCs w:val="21"/>
                <w:highlight w:val="none"/>
                <w:u w:val="none"/>
                <w:lang w:val="en-US" w:eastAsia="zh-CN" w:bidi="ar"/>
              </w:rPr>
              <w:t>在</w:t>
            </w:r>
            <w:r>
              <w:rPr>
                <w:rFonts w:hint="eastAsia" w:ascii="宋体" w:hAnsi="宋体" w:cs="宋体"/>
                <w:b/>
                <w:bCs/>
                <w:i w:val="0"/>
                <w:iCs w:val="0"/>
                <w:color w:val="auto"/>
                <w:kern w:val="0"/>
                <w:sz w:val="21"/>
                <w:szCs w:val="21"/>
                <w:highlight w:val="none"/>
                <w:u w:val="none"/>
                <w:lang w:val="en-US" w:eastAsia="zh-CN" w:bidi="ar"/>
              </w:rPr>
              <w:t>投标</w:t>
            </w:r>
            <w:r>
              <w:rPr>
                <w:rFonts w:hint="default" w:ascii="宋体" w:hAnsi="宋体" w:eastAsia="宋体" w:cs="宋体"/>
                <w:b/>
                <w:bCs/>
                <w:i w:val="0"/>
                <w:iCs w:val="0"/>
                <w:color w:val="auto"/>
                <w:kern w:val="0"/>
                <w:sz w:val="21"/>
                <w:szCs w:val="21"/>
                <w:highlight w:val="none"/>
                <w:u w:val="none"/>
                <w:lang w:val="en-US" w:eastAsia="zh-CN" w:bidi="ar"/>
              </w:rPr>
              <w:t>文件中提供国家认可的</w:t>
            </w:r>
            <w:r>
              <w:rPr>
                <w:rFonts w:hint="eastAsia" w:ascii="宋体" w:hAnsi="宋体" w:cs="宋体"/>
                <w:b/>
                <w:bCs/>
                <w:i w:val="0"/>
                <w:iCs w:val="0"/>
                <w:color w:val="auto"/>
                <w:kern w:val="0"/>
                <w:sz w:val="21"/>
                <w:szCs w:val="21"/>
                <w:highlight w:val="none"/>
                <w:u w:val="none"/>
                <w:lang w:val="en-US" w:eastAsia="zh-CN" w:bidi="ar"/>
              </w:rPr>
              <w:t>有资质的</w:t>
            </w:r>
            <w:r>
              <w:rPr>
                <w:rFonts w:hint="default" w:ascii="宋体" w:hAnsi="宋体" w:eastAsia="宋体" w:cs="宋体"/>
                <w:b/>
                <w:bCs/>
                <w:i w:val="0"/>
                <w:iCs w:val="0"/>
                <w:color w:val="auto"/>
                <w:kern w:val="0"/>
                <w:sz w:val="21"/>
                <w:szCs w:val="21"/>
                <w:highlight w:val="none"/>
                <w:u w:val="none"/>
                <w:lang w:val="en-US" w:eastAsia="zh-CN" w:bidi="ar"/>
              </w:rPr>
              <w:t>第三方检测机构出具的满足要求的检测报告复印件加盖投标人公章或电子签章，否则视为负偏离</w:t>
            </w:r>
            <w:r>
              <w:rPr>
                <w:rFonts w:hint="default" w:ascii="宋体" w:hAnsi="宋体" w:eastAsia="宋体" w:cs="宋体"/>
                <w:i w:val="0"/>
                <w:iCs w:val="0"/>
                <w:color w:val="auto"/>
                <w:kern w:val="0"/>
                <w:sz w:val="21"/>
                <w:szCs w:val="21"/>
                <w:highlight w:val="none"/>
                <w:u w:val="none"/>
                <w:lang w:val="en-US" w:eastAsia="zh-CN" w:bidi="ar"/>
              </w:rPr>
              <w:t>）</w:t>
            </w:r>
          </w:p>
          <w:p w14:paraId="3DC6D30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①铝合金型材符合</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（1）抗拉强度≥175MPa（2）规定非比例延伸强度≥130MPa（3）断后伸长率≥6。</w:t>
            </w:r>
          </w:p>
          <w:p w14:paraId="1B85C9C5">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②中纤板面板符合</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（1）甲醛释放量≤8mg/100g（2）符合GB6675.4-2014《玩具安全第4部分：特定元素的迁移》的标准。</w:t>
            </w:r>
          </w:p>
          <w:p w14:paraId="13439E82">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6</w:t>
            </w:r>
            <w:r>
              <w:rPr>
                <w:rFonts w:hint="eastAsia" w:ascii="宋体" w:hAnsi="宋体" w:cs="宋体"/>
                <w:i w:val="0"/>
                <w:iCs w:val="0"/>
                <w:color w:val="auto"/>
                <w:kern w:val="0"/>
                <w:sz w:val="21"/>
                <w:szCs w:val="21"/>
                <w:highlight w:val="none"/>
                <w:u w:val="none"/>
                <w:lang w:val="en-US" w:eastAsia="zh-CN" w:bidi="ar"/>
              </w:rPr>
              <w:t>5.</w:t>
            </w:r>
            <w:r>
              <w:rPr>
                <w:rFonts w:hint="default" w:ascii="宋体" w:hAnsi="宋体" w:eastAsia="宋体" w:cs="宋体"/>
                <w:i w:val="0"/>
                <w:iCs w:val="0"/>
                <w:color w:val="auto"/>
                <w:kern w:val="0"/>
                <w:sz w:val="21"/>
                <w:szCs w:val="21"/>
                <w:highlight w:val="none"/>
                <w:u w:val="none"/>
                <w:lang w:val="en-US" w:eastAsia="zh-CN" w:bidi="ar"/>
              </w:rPr>
              <w:t>车载除菌液专用雾化器（含除菌液）</w:t>
            </w:r>
          </w:p>
          <w:p w14:paraId="5B2AC462">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6</w:t>
            </w:r>
            <w:r>
              <w:rPr>
                <w:rFonts w:hint="eastAsia" w:ascii="宋体" w:hAnsi="宋体" w:cs="宋体"/>
                <w:i w:val="0"/>
                <w:iCs w:val="0"/>
                <w:color w:val="auto"/>
                <w:kern w:val="0"/>
                <w:sz w:val="21"/>
                <w:szCs w:val="21"/>
                <w:highlight w:val="none"/>
                <w:u w:val="none"/>
                <w:lang w:val="en-US" w:eastAsia="zh-CN" w:bidi="ar"/>
              </w:rPr>
              <w:t>5</w:t>
            </w:r>
            <w:r>
              <w:rPr>
                <w:rFonts w:hint="default" w:ascii="宋体" w:hAnsi="宋体" w:eastAsia="宋体" w:cs="宋体"/>
                <w:i w:val="0"/>
                <w:iCs w:val="0"/>
                <w:color w:val="auto"/>
                <w:kern w:val="0"/>
                <w:sz w:val="21"/>
                <w:szCs w:val="21"/>
                <w:highlight w:val="none"/>
                <w:u w:val="none"/>
                <w:lang w:val="en-US" w:eastAsia="zh-CN" w:bidi="ar"/>
              </w:rPr>
              <w:t>.1.尺寸：≥37</w:t>
            </w:r>
            <w:r>
              <w:rPr>
                <w:rFonts w:hint="default" w:ascii="Arial" w:hAnsi="Arial" w:eastAsia="宋体" w:cs="Arial"/>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24</w:t>
            </w:r>
            <w:r>
              <w:rPr>
                <w:rFonts w:hint="default" w:ascii="Arial" w:hAnsi="Arial" w:eastAsia="宋体" w:cs="Arial"/>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37cm，电压：220V，重量：≤2.8</w:t>
            </w:r>
            <w:r>
              <w:rPr>
                <w:rFonts w:hint="eastAsia" w:ascii="宋体" w:hAnsi="宋体" w:cs="宋体"/>
                <w:i w:val="0"/>
                <w:iCs w:val="0"/>
                <w:color w:val="auto"/>
                <w:kern w:val="0"/>
                <w:sz w:val="21"/>
                <w:szCs w:val="21"/>
                <w:highlight w:val="none"/>
                <w:u w:val="none"/>
                <w:lang w:val="en-US" w:eastAsia="zh-CN" w:bidi="ar"/>
              </w:rPr>
              <w:t>kg</w:t>
            </w:r>
            <w:r>
              <w:rPr>
                <w:rFonts w:hint="default" w:ascii="宋体" w:hAnsi="宋体" w:eastAsia="宋体" w:cs="宋体"/>
                <w:i w:val="0"/>
                <w:iCs w:val="0"/>
                <w:color w:val="auto"/>
                <w:kern w:val="0"/>
                <w:sz w:val="21"/>
                <w:szCs w:val="21"/>
                <w:highlight w:val="none"/>
                <w:u w:val="none"/>
                <w:lang w:val="en-US" w:eastAsia="zh-CN" w:bidi="ar"/>
              </w:rPr>
              <w:t>，功率：≥900W，喷头材质：全铜。绝缘材料高温塑压一次成型手提，具备定时功能（</w:t>
            </w:r>
            <w:r>
              <w:rPr>
                <w:rFonts w:hint="default" w:ascii="宋体" w:hAnsi="宋体" w:eastAsia="宋体" w:cs="宋体"/>
                <w:b/>
                <w:bCs/>
                <w:i w:val="0"/>
                <w:iCs w:val="0"/>
                <w:color w:val="auto"/>
                <w:kern w:val="0"/>
                <w:sz w:val="21"/>
                <w:szCs w:val="21"/>
                <w:highlight w:val="none"/>
                <w:u w:val="none"/>
                <w:lang w:val="en-US" w:eastAsia="zh-CN" w:bidi="ar"/>
              </w:rPr>
              <w:t>须在投标文件中提供符合以上参数的</w:t>
            </w:r>
            <w:r>
              <w:rPr>
                <w:rFonts w:hint="eastAsia" w:ascii="宋体" w:hAnsi="宋体" w:cs="宋体"/>
                <w:b/>
                <w:bCs/>
                <w:i w:val="0"/>
                <w:iCs w:val="0"/>
                <w:color w:val="auto"/>
                <w:kern w:val="0"/>
                <w:sz w:val="21"/>
                <w:szCs w:val="21"/>
                <w:highlight w:val="none"/>
                <w:u w:val="none"/>
                <w:lang w:val="en-US" w:eastAsia="zh-CN" w:bidi="ar"/>
              </w:rPr>
              <w:t>证明材料，包括但不限于产品彩页、功能截图、</w:t>
            </w:r>
            <w:r>
              <w:rPr>
                <w:rFonts w:hint="default" w:ascii="宋体" w:hAnsi="宋体" w:eastAsia="宋体" w:cs="宋体"/>
                <w:b/>
                <w:bCs/>
                <w:i w:val="0"/>
                <w:iCs w:val="0"/>
                <w:color w:val="auto"/>
                <w:kern w:val="0"/>
                <w:sz w:val="21"/>
                <w:szCs w:val="21"/>
                <w:highlight w:val="none"/>
                <w:u w:val="none"/>
                <w:lang w:val="en-US" w:eastAsia="zh-CN" w:bidi="ar"/>
              </w:rPr>
              <w:t>国家认可的有资质的第三方检测机构出具的检测报告</w:t>
            </w:r>
            <w:r>
              <w:rPr>
                <w:rFonts w:hint="eastAsia" w:ascii="宋体" w:hAnsi="宋体" w:cs="宋体"/>
                <w:b/>
                <w:bCs/>
                <w:i w:val="0"/>
                <w:iCs w:val="0"/>
                <w:color w:val="auto"/>
                <w:kern w:val="0"/>
                <w:sz w:val="21"/>
                <w:szCs w:val="21"/>
                <w:highlight w:val="none"/>
                <w:u w:val="none"/>
                <w:lang w:val="en-US" w:eastAsia="zh-CN" w:bidi="ar"/>
              </w:rPr>
              <w:t>等，</w:t>
            </w:r>
            <w:r>
              <w:rPr>
                <w:rFonts w:hint="default" w:ascii="宋体" w:hAnsi="宋体" w:eastAsia="宋体" w:cs="宋体"/>
                <w:b/>
                <w:bCs/>
                <w:i w:val="0"/>
                <w:iCs w:val="0"/>
                <w:color w:val="auto"/>
                <w:kern w:val="0"/>
                <w:sz w:val="21"/>
                <w:szCs w:val="21"/>
                <w:highlight w:val="none"/>
                <w:u w:val="none"/>
                <w:lang w:val="en-US" w:eastAsia="zh-CN" w:bidi="ar"/>
              </w:rPr>
              <w:t>加盖投标人公章或电子签章，否则视为负偏离</w:t>
            </w:r>
            <w:r>
              <w:rPr>
                <w:rFonts w:hint="default" w:ascii="宋体" w:hAnsi="宋体" w:eastAsia="宋体" w:cs="宋体"/>
                <w:i w:val="0"/>
                <w:iCs w:val="0"/>
                <w:color w:val="auto"/>
                <w:kern w:val="0"/>
                <w:sz w:val="21"/>
                <w:szCs w:val="21"/>
                <w:highlight w:val="none"/>
                <w:u w:val="none"/>
                <w:lang w:val="en-US" w:eastAsia="zh-CN" w:bidi="ar"/>
              </w:rPr>
              <w:t>）。</w:t>
            </w:r>
          </w:p>
          <w:p w14:paraId="48F439CD">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b/>
                <w:bCs/>
                <w:i w:val="0"/>
                <w:iCs w:val="0"/>
                <w:color w:val="auto"/>
                <w:kern w:val="0"/>
                <w:sz w:val="21"/>
                <w:szCs w:val="21"/>
                <w:highlight w:val="none"/>
                <w:u w:val="none"/>
                <w:lang w:val="en-US" w:eastAsia="zh-CN" w:bidi="ar"/>
              </w:rPr>
              <w:t>为保证产品电气安全及可靠性，需提供</w:t>
            </w:r>
            <w:r>
              <w:rPr>
                <w:rFonts w:hint="eastAsia" w:ascii="宋体" w:hAnsi="宋体" w:cs="宋体"/>
                <w:b/>
                <w:bCs/>
                <w:i w:val="0"/>
                <w:iCs w:val="0"/>
                <w:color w:val="auto"/>
                <w:kern w:val="0"/>
                <w:sz w:val="21"/>
                <w:szCs w:val="21"/>
                <w:highlight w:val="none"/>
                <w:u w:val="none"/>
                <w:lang w:val="en-US" w:eastAsia="zh-CN" w:bidi="ar"/>
              </w:rPr>
              <w:t>国家认可的有资质的第三方检测机构出具的</w:t>
            </w:r>
            <w:r>
              <w:rPr>
                <w:rFonts w:hint="default" w:ascii="宋体" w:hAnsi="宋体" w:eastAsia="宋体" w:cs="宋体"/>
                <w:b/>
                <w:bCs/>
                <w:i w:val="0"/>
                <w:iCs w:val="0"/>
                <w:color w:val="auto"/>
                <w:kern w:val="0"/>
                <w:sz w:val="21"/>
                <w:szCs w:val="21"/>
                <w:highlight w:val="none"/>
                <w:u w:val="none"/>
                <w:lang w:val="en-US" w:eastAsia="zh-CN" w:bidi="ar"/>
              </w:rPr>
              <w:t>产品标签耐久性、冷热冲击、高低温恒定湿热试验</w:t>
            </w:r>
            <w:r>
              <w:rPr>
                <w:rFonts w:hint="eastAsia" w:ascii="宋体" w:hAnsi="宋体" w:cs="宋体"/>
                <w:b/>
                <w:bCs/>
                <w:i w:val="0"/>
                <w:iCs w:val="0"/>
                <w:color w:val="auto"/>
                <w:kern w:val="0"/>
                <w:sz w:val="21"/>
                <w:szCs w:val="21"/>
                <w:highlight w:val="none"/>
                <w:u w:val="none"/>
                <w:lang w:val="en-US" w:eastAsia="zh-CN" w:bidi="ar"/>
              </w:rPr>
              <w:t>的</w:t>
            </w:r>
            <w:r>
              <w:rPr>
                <w:rFonts w:hint="default" w:ascii="宋体" w:hAnsi="宋体" w:eastAsia="宋体" w:cs="宋体"/>
                <w:b/>
                <w:bCs/>
                <w:i w:val="0"/>
                <w:iCs w:val="0"/>
                <w:color w:val="auto"/>
                <w:kern w:val="0"/>
                <w:sz w:val="21"/>
                <w:szCs w:val="21"/>
                <w:highlight w:val="none"/>
                <w:u w:val="none"/>
                <w:lang w:val="en-US" w:eastAsia="zh-CN" w:bidi="ar"/>
              </w:rPr>
              <w:t>检测报告，满足GB/T2423.1-2008环境试验第2部分、GB/T2423.2-2008环境试验第2部分和GB/T2423.5-2019环境试验第2部分检测结果</w:t>
            </w:r>
            <w:r>
              <w:rPr>
                <w:rFonts w:hint="eastAsia" w:ascii="宋体" w:hAnsi="宋体" w:cs="宋体"/>
                <w:b/>
                <w:bCs/>
                <w:i w:val="0"/>
                <w:iCs w:val="0"/>
                <w:color w:val="auto"/>
                <w:kern w:val="0"/>
                <w:sz w:val="21"/>
                <w:szCs w:val="21"/>
                <w:highlight w:val="none"/>
                <w:u w:val="none"/>
                <w:lang w:val="en-US" w:eastAsia="zh-CN" w:bidi="ar"/>
              </w:rPr>
              <w:t>，复印件加盖投标人公章或电子签章，否则视为负偏离</w:t>
            </w:r>
            <w:r>
              <w:rPr>
                <w:rFonts w:hint="default" w:ascii="宋体" w:hAnsi="宋体" w:eastAsia="宋体" w:cs="宋体"/>
                <w:b/>
                <w:bCs/>
                <w:i w:val="0"/>
                <w:iCs w:val="0"/>
                <w:color w:val="auto"/>
                <w:kern w:val="0"/>
                <w:sz w:val="21"/>
                <w:szCs w:val="21"/>
                <w:highlight w:val="none"/>
                <w:u w:val="none"/>
                <w:lang w:val="en-US" w:eastAsia="zh-CN" w:bidi="ar"/>
              </w:rPr>
              <w:t>。</w:t>
            </w:r>
          </w:p>
          <w:p w14:paraId="579B8667">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6</w:t>
            </w:r>
            <w:r>
              <w:rPr>
                <w:rFonts w:hint="eastAsia" w:ascii="宋体" w:hAnsi="宋体" w:cs="宋体"/>
                <w:i w:val="0"/>
                <w:iCs w:val="0"/>
                <w:color w:val="auto"/>
                <w:kern w:val="0"/>
                <w:sz w:val="21"/>
                <w:szCs w:val="21"/>
                <w:highlight w:val="none"/>
                <w:u w:val="none"/>
                <w:lang w:val="en-US" w:eastAsia="zh-CN" w:bidi="ar"/>
              </w:rPr>
              <w:t>5</w:t>
            </w:r>
            <w:r>
              <w:rPr>
                <w:rFonts w:hint="default" w:ascii="宋体" w:hAnsi="宋体" w:eastAsia="宋体" w:cs="宋体"/>
                <w:i w:val="0"/>
                <w:iCs w:val="0"/>
                <w:color w:val="auto"/>
                <w:kern w:val="0"/>
                <w:sz w:val="21"/>
                <w:szCs w:val="21"/>
                <w:highlight w:val="none"/>
                <w:u w:val="none"/>
                <w:lang w:val="en-US" w:eastAsia="zh-CN" w:bidi="ar"/>
              </w:rPr>
              <w:t>.2.雾化液杀菌率</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对大肠杆菌10min</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99.6%、金黄色葡萄球菌10min</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99.7%、铜绿假单胞菌10min</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99.4%、</w:t>
            </w:r>
            <w:r>
              <w:rPr>
                <w:rFonts w:hint="eastAsia" w:ascii="宋体" w:hAnsi="宋体" w:cs="宋体"/>
                <w:i w:val="0"/>
                <w:iCs w:val="0"/>
                <w:color w:val="auto"/>
                <w:kern w:val="0"/>
                <w:sz w:val="21"/>
                <w:szCs w:val="21"/>
                <w:highlight w:val="none"/>
                <w:u w:val="none"/>
                <w:lang w:val="en-US" w:eastAsia="zh-CN" w:bidi="ar"/>
              </w:rPr>
              <w:t>白念珠菌</w:t>
            </w:r>
            <w:r>
              <w:rPr>
                <w:rFonts w:hint="default" w:ascii="宋体" w:hAnsi="宋体" w:eastAsia="宋体" w:cs="宋体"/>
                <w:i w:val="0"/>
                <w:iCs w:val="0"/>
                <w:color w:val="auto"/>
                <w:kern w:val="0"/>
                <w:sz w:val="21"/>
                <w:szCs w:val="21"/>
                <w:highlight w:val="none"/>
                <w:u w:val="none"/>
                <w:lang w:val="en-US" w:eastAsia="zh-CN" w:bidi="ar"/>
              </w:rPr>
              <w:t>10min</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99.4。</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cs="宋体"/>
                <w:b/>
                <w:bCs/>
                <w:i w:val="0"/>
                <w:iCs w:val="0"/>
                <w:color w:val="auto"/>
                <w:kern w:val="0"/>
                <w:sz w:val="21"/>
                <w:szCs w:val="21"/>
                <w:highlight w:val="none"/>
                <w:u w:val="none"/>
                <w:lang w:val="en-US" w:eastAsia="zh-CN" w:bidi="ar"/>
              </w:rPr>
              <w:t>须</w:t>
            </w:r>
            <w:r>
              <w:rPr>
                <w:rFonts w:hint="default" w:ascii="宋体" w:hAnsi="宋体" w:eastAsia="宋体" w:cs="宋体"/>
                <w:b/>
                <w:bCs/>
                <w:i w:val="0"/>
                <w:iCs w:val="0"/>
                <w:color w:val="auto"/>
                <w:kern w:val="0"/>
                <w:sz w:val="21"/>
                <w:szCs w:val="21"/>
                <w:highlight w:val="none"/>
                <w:u w:val="none"/>
                <w:lang w:val="en-US" w:eastAsia="zh-CN" w:bidi="ar"/>
              </w:rPr>
              <w:t>在</w:t>
            </w:r>
            <w:r>
              <w:rPr>
                <w:rFonts w:hint="eastAsia" w:ascii="宋体" w:hAnsi="宋体" w:cs="宋体"/>
                <w:b/>
                <w:bCs/>
                <w:i w:val="0"/>
                <w:iCs w:val="0"/>
                <w:color w:val="auto"/>
                <w:kern w:val="0"/>
                <w:sz w:val="21"/>
                <w:szCs w:val="21"/>
                <w:highlight w:val="none"/>
                <w:u w:val="none"/>
                <w:lang w:val="en-US" w:eastAsia="zh-CN" w:bidi="ar"/>
              </w:rPr>
              <w:t>投标</w:t>
            </w:r>
            <w:r>
              <w:rPr>
                <w:rFonts w:hint="default" w:ascii="宋体" w:hAnsi="宋体" w:eastAsia="宋体" w:cs="宋体"/>
                <w:b/>
                <w:bCs/>
                <w:i w:val="0"/>
                <w:iCs w:val="0"/>
                <w:color w:val="auto"/>
                <w:kern w:val="0"/>
                <w:sz w:val="21"/>
                <w:szCs w:val="21"/>
                <w:highlight w:val="none"/>
                <w:u w:val="none"/>
                <w:lang w:val="en-US" w:eastAsia="zh-CN" w:bidi="ar"/>
              </w:rPr>
              <w:t>文件中提供满足</w:t>
            </w:r>
            <w:r>
              <w:rPr>
                <w:rFonts w:hint="eastAsia" w:ascii="宋体" w:hAnsi="宋体" w:cs="宋体"/>
                <w:b/>
                <w:bCs/>
                <w:i w:val="0"/>
                <w:iCs w:val="0"/>
                <w:color w:val="auto"/>
                <w:kern w:val="0"/>
                <w:sz w:val="21"/>
                <w:szCs w:val="21"/>
                <w:highlight w:val="none"/>
                <w:u w:val="none"/>
                <w:lang w:val="en-US" w:eastAsia="zh-CN" w:bidi="ar"/>
              </w:rPr>
              <w:t>以上参数</w:t>
            </w:r>
            <w:r>
              <w:rPr>
                <w:rFonts w:hint="default" w:ascii="宋体" w:hAnsi="宋体" w:eastAsia="宋体" w:cs="宋体"/>
                <w:b/>
                <w:bCs/>
                <w:i w:val="0"/>
                <w:iCs w:val="0"/>
                <w:color w:val="auto"/>
                <w:kern w:val="0"/>
                <w:sz w:val="21"/>
                <w:szCs w:val="21"/>
                <w:highlight w:val="none"/>
                <w:u w:val="none"/>
                <w:lang w:val="en-US" w:eastAsia="zh-CN" w:bidi="ar"/>
              </w:rPr>
              <w:t>要求国家认可的</w:t>
            </w:r>
            <w:r>
              <w:rPr>
                <w:rFonts w:hint="eastAsia" w:ascii="宋体" w:hAnsi="宋体" w:cs="宋体"/>
                <w:b/>
                <w:bCs/>
                <w:i w:val="0"/>
                <w:iCs w:val="0"/>
                <w:color w:val="auto"/>
                <w:kern w:val="0"/>
                <w:sz w:val="21"/>
                <w:szCs w:val="21"/>
                <w:highlight w:val="none"/>
                <w:u w:val="none"/>
                <w:lang w:val="en-US" w:eastAsia="zh-CN" w:bidi="ar"/>
              </w:rPr>
              <w:t>有资质的</w:t>
            </w:r>
            <w:r>
              <w:rPr>
                <w:rFonts w:hint="default" w:ascii="宋体" w:hAnsi="宋体" w:eastAsia="宋体" w:cs="宋体"/>
                <w:b/>
                <w:bCs/>
                <w:i w:val="0"/>
                <w:iCs w:val="0"/>
                <w:color w:val="auto"/>
                <w:kern w:val="0"/>
                <w:sz w:val="21"/>
                <w:szCs w:val="21"/>
                <w:highlight w:val="none"/>
                <w:u w:val="none"/>
                <w:lang w:val="en-US" w:eastAsia="zh-CN" w:bidi="ar"/>
              </w:rPr>
              <w:t>第三方检测机构出具的检测报告复印件加盖投标人公章或电子签章</w:t>
            </w:r>
            <w:r>
              <w:rPr>
                <w:rFonts w:hint="eastAsia" w:ascii="宋体" w:hAnsi="宋体" w:cs="宋体"/>
                <w:b/>
                <w:bCs/>
                <w:i w:val="0"/>
                <w:iCs w:val="0"/>
                <w:color w:val="auto"/>
                <w:kern w:val="0"/>
                <w:sz w:val="21"/>
                <w:szCs w:val="21"/>
                <w:highlight w:val="none"/>
                <w:u w:val="none"/>
                <w:lang w:val="en-US" w:eastAsia="zh-CN" w:bidi="ar"/>
              </w:rPr>
              <w:t>，否则视为负偏离</w:t>
            </w:r>
            <w:r>
              <w:rPr>
                <w:rFonts w:hint="eastAsia" w:ascii="宋体" w:hAnsi="宋体" w:cs="宋体"/>
                <w:i w:val="0"/>
                <w:iCs w:val="0"/>
                <w:color w:val="auto"/>
                <w:kern w:val="0"/>
                <w:sz w:val="21"/>
                <w:szCs w:val="21"/>
                <w:highlight w:val="none"/>
                <w:u w:val="none"/>
                <w:lang w:val="en-US" w:eastAsia="zh-CN" w:bidi="ar"/>
              </w:rPr>
              <w:t>）</w:t>
            </w:r>
          </w:p>
          <w:p w14:paraId="5A7D583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二、配置要求：</w:t>
            </w:r>
          </w:p>
          <w:p w14:paraId="53A90BE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1.ABS、ESP电子稳定程序</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有</w:t>
            </w:r>
          </w:p>
          <w:p w14:paraId="4299BE1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2.事件数据记录系统（EDR）</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有</w:t>
            </w:r>
          </w:p>
          <w:p w14:paraId="323C3674">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3.前组合大灯：有</w:t>
            </w:r>
          </w:p>
          <w:p w14:paraId="7140C5F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4.前雾灯：有</w:t>
            </w:r>
          </w:p>
          <w:p w14:paraId="2359CED2">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5.倒车镜：有</w:t>
            </w:r>
          </w:p>
          <w:p w14:paraId="6B0F57B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6.后组合大灯：有</w:t>
            </w:r>
          </w:p>
          <w:p w14:paraId="7E41BEE2">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7.后雾灯：有</w:t>
            </w:r>
          </w:p>
          <w:p w14:paraId="281AF3F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8.高位刹车灯：有</w:t>
            </w:r>
          </w:p>
          <w:p w14:paraId="515B1407">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9.后牌照灯：有</w:t>
            </w:r>
          </w:p>
          <w:p w14:paraId="6AA0B62D">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10.日间行车灯：有</w:t>
            </w:r>
          </w:p>
          <w:p w14:paraId="0761644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11.驾驶室门</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旋转外掀式，左右各一扇，带电动窗</w:t>
            </w:r>
          </w:p>
          <w:p w14:paraId="5F6200B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12.中乘客门</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车身右侧中部，手动侧滑门1扇，带一体式推拉玻璃窗</w:t>
            </w:r>
          </w:p>
          <w:p w14:paraId="526B5902">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13.驾驶室组合仪表</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有</w:t>
            </w:r>
          </w:p>
          <w:p w14:paraId="7D8C602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14.中控屏</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12.3寸触控液晶屏，原车导航后视一体</w:t>
            </w:r>
          </w:p>
          <w:p w14:paraId="741ABE14">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15.多功能方向盘</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有</w:t>
            </w:r>
          </w:p>
          <w:p w14:paraId="55C31344">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16.驾驶室内顶灯：有</w:t>
            </w:r>
          </w:p>
          <w:p w14:paraId="4A15789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17.驾驶室冷风</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有，原厂标配</w:t>
            </w:r>
          </w:p>
          <w:p w14:paraId="5092CFA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18.驾驶室暖风</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有，原厂标配</w:t>
            </w:r>
          </w:p>
          <w:p w14:paraId="60F6CBC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19.驾驶室顶部组合开关</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有</w:t>
            </w:r>
          </w:p>
          <w:p w14:paraId="0B0DD57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20.中控锁</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有</w:t>
            </w:r>
          </w:p>
          <w:p w14:paraId="1AA60307">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21.驾驶室座椅</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3座椅，带安全带</w:t>
            </w:r>
          </w:p>
          <w:p w14:paraId="68BFD53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22.倒车雷达：有</w:t>
            </w:r>
          </w:p>
          <w:p w14:paraId="79B40552">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23.备胎：有</w:t>
            </w:r>
          </w:p>
          <w:p w14:paraId="17D51B9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24.随车工具：1套，千斤顶，三角反光警示牌，反光背心</w:t>
            </w:r>
          </w:p>
          <w:p w14:paraId="6C6D435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25.</w:t>
            </w:r>
            <w:r>
              <w:rPr>
                <w:rFonts w:hint="eastAsia" w:ascii="宋体" w:hAnsi="宋体" w:cs="宋体"/>
                <w:i w:val="0"/>
                <w:iCs w:val="0"/>
                <w:color w:val="auto"/>
                <w:kern w:val="0"/>
                <w:sz w:val="21"/>
                <w:szCs w:val="21"/>
                <w:highlight w:val="none"/>
                <w:u w:val="none"/>
                <w:lang w:val="en-US" w:eastAsia="zh-CN" w:bidi="ar"/>
              </w:rPr>
              <w:t>医</w:t>
            </w:r>
            <w:r>
              <w:rPr>
                <w:rFonts w:hint="default" w:ascii="宋体" w:hAnsi="宋体" w:eastAsia="宋体" w:cs="宋体"/>
                <w:i w:val="0"/>
                <w:iCs w:val="0"/>
                <w:color w:val="auto"/>
                <w:kern w:val="0"/>
                <w:sz w:val="21"/>
                <w:szCs w:val="21"/>
                <w:highlight w:val="none"/>
                <w:u w:val="none"/>
                <w:lang w:val="en-US" w:eastAsia="zh-CN" w:bidi="ar"/>
              </w:rPr>
              <w:t>疗舱配备空气净化臭氧消毒机1台</w:t>
            </w:r>
          </w:p>
          <w:p w14:paraId="07ADF928">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26.车载专用急救箱1套</w:t>
            </w:r>
          </w:p>
          <w:p w14:paraId="30BB7A1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27.车载除菌液专用雾化器（含除菌液）1台</w:t>
            </w:r>
          </w:p>
        </w:tc>
        <w:tc>
          <w:tcPr>
            <w:tcW w:w="1257" w:type="dxa"/>
            <w:noWrap w:val="0"/>
            <w:vAlign w:val="center"/>
          </w:tcPr>
          <w:p w14:paraId="2EFA5D94">
            <w:pPr>
              <w:keepNext w:val="0"/>
              <w:keepLines w:val="0"/>
              <w:pageBreakBefore w:val="0"/>
              <w:kinsoku/>
              <w:wordWrap/>
              <w:overflowPunct/>
              <w:topLinePunct w:val="0"/>
              <w:bidi w:val="0"/>
              <w:spacing w:line="360" w:lineRule="auto"/>
              <w:ind w:left="0" w:leftChars="0" w:firstLine="0" w:firstLineChars="0"/>
              <w:jc w:val="center"/>
              <w:textAlignment w:val="auto"/>
              <w:rPr>
                <w:rFonts w:hint="default"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35</w:t>
            </w:r>
          </w:p>
        </w:tc>
      </w:tr>
      <w:tr w14:paraId="641834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64" w:type="dxa"/>
            <w:gridSpan w:val="9"/>
            <w:tcBorders>
              <w:top w:val="single" w:color="auto" w:sz="4" w:space="0"/>
              <w:left w:val="single" w:color="auto" w:sz="4" w:space="0"/>
              <w:bottom w:val="single" w:color="auto" w:sz="4" w:space="0"/>
              <w:right w:val="single" w:color="auto" w:sz="4" w:space="0"/>
            </w:tcBorders>
            <w:noWrap w:val="0"/>
            <w:vAlign w:val="top"/>
          </w:tcPr>
          <w:p w14:paraId="2BAB406A">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r>
              <w:rPr>
                <w:rFonts w:hint="eastAsia" w:ascii="宋体" w:hAnsi="宋体" w:eastAsia="宋体" w:cs="宋体"/>
                <w:b/>
                <w:color w:val="auto"/>
                <w:szCs w:val="21"/>
                <w:highlight w:val="none"/>
              </w:rPr>
              <w:t>商务要求</w:t>
            </w:r>
          </w:p>
        </w:tc>
      </w:tr>
      <w:tr w14:paraId="755050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6"/>
            <w:tcBorders>
              <w:top w:val="single" w:color="auto" w:sz="4" w:space="0"/>
              <w:left w:val="single" w:color="auto" w:sz="4" w:space="0"/>
              <w:bottom w:val="single" w:color="auto" w:sz="4" w:space="0"/>
              <w:right w:val="single" w:color="auto" w:sz="4" w:space="0"/>
            </w:tcBorders>
            <w:noWrap w:val="0"/>
            <w:vAlign w:val="center"/>
          </w:tcPr>
          <w:p w14:paraId="65B56DA4">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交付时间和地点</w:t>
            </w:r>
          </w:p>
        </w:tc>
        <w:tc>
          <w:tcPr>
            <w:tcW w:w="6602" w:type="dxa"/>
            <w:gridSpan w:val="3"/>
            <w:tcBorders>
              <w:top w:val="single" w:color="auto" w:sz="4" w:space="0"/>
              <w:left w:val="single" w:color="auto" w:sz="4" w:space="0"/>
              <w:bottom w:val="single" w:color="auto" w:sz="4" w:space="0"/>
              <w:right w:val="single" w:color="auto" w:sz="4" w:space="0"/>
            </w:tcBorders>
            <w:noWrap w:val="0"/>
            <w:vAlign w:val="center"/>
          </w:tcPr>
          <w:p w14:paraId="3F19C984">
            <w:pPr>
              <w:spacing w:line="440" w:lineRule="exac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1.交付时间：</w:t>
            </w:r>
            <w:r>
              <w:rPr>
                <w:rFonts w:hint="eastAsia" w:ascii="宋体" w:hAnsi="宋体" w:eastAsia="宋体" w:cs="宋体"/>
                <w:color w:val="auto"/>
                <w:szCs w:val="21"/>
                <w:highlight w:val="none"/>
                <w:lang w:val="en-US" w:eastAsia="zh-CN"/>
              </w:rPr>
              <w:t>自签订合同之日起30日内车辆验收合格且完成车辆上牌入户。</w:t>
            </w:r>
          </w:p>
          <w:p w14:paraId="4052364C">
            <w:pPr>
              <w:widowControl w:val="0"/>
              <w:autoSpaceDE/>
              <w:autoSpaceDN/>
              <w:adjustRightInd/>
              <w:spacing w:line="440" w:lineRule="exac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2.交付地点：苍梧县中医医院采购人指定</w:t>
            </w:r>
            <w:r>
              <w:rPr>
                <w:rFonts w:hint="eastAsia" w:ascii="宋体" w:hAnsi="宋体" w:cs="宋体"/>
                <w:color w:val="auto"/>
                <w:sz w:val="21"/>
                <w:szCs w:val="21"/>
                <w:highlight w:val="none"/>
                <w:lang w:val="en-US" w:eastAsia="zh-CN" w:bidi="ar-SA"/>
              </w:rPr>
              <w:t>地点</w:t>
            </w:r>
            <w:r>
              <w:rPr>
                <w:rFonts w:hint="eastAsia" w:ascii="宋体" w:hAnsi="宋体" w:eastAsia="宋体" w:cs="宋体"/>
                <w:color w:val="auto"/>
                <w:sz w:val="21"/>
                <w:szCs w:val="21"/>
                <w:highlight w:val="none"/>
                <w:lang w:val="en-US" w:eastAsia="zh-CN" w:bidi="ar-SA"/>
              </w:rPr>
              <w:t>。</w:t>
            </w:r>
          </w:p>
        </w:tc>
      </w:tr>
      <w:tr w14:paraId="0AEC0D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6"/>
            <w:tcBorders>
              <w:top w:val="single" w:color="auto" w:sz="4" w:space="0"/>
              <w:left w:val="single" w:color="auto" w:sz="4" w:space="0"/>
              <w:bottom w:val="single" w:color="auto" w:sz="4" w:space="0"/>
              <w:right w:val="single" w:color="auto" w:sz="4" w:space="0"/>
            </w:tcBorders>
            <w:noWrap w:val="0"/>
            <w:vAlign w:val="center"/>
          </w:tcPr>
          <w:p w14:paraId="7608228B">
            <w:pPr>
              <w:spacing w:line="44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合同签订时间</w:t>
            </w:r>
          </w:p>
        </w:tc>
        <w:tc>
          <w:tcPr>
            <w:tcW w:w="6602" w:type="dxa"/>
            <w:gridSpan w:val="3"/>
            <w:tcBorders>
              <w:top w:val="single" w:color="auto" w:sz="4" w:space="0"/>
              <w:left w:val="single" w:color="auto" w:sz="4" w:space="0"/>
              <w:bottom w:val="single" w:color="auto" w:sz="4" w:space="0"/>
              <w:right w:val="single" w:color="auto" w:sz="4" w:space="0"/>
            </w:tcBorders>
            <w:noWrap w:val="0"/>
            <w:vAlign w:val="center"/>
          </w:tcPr>
          <w:p w14:paraId="2992A097">
            <w:pPr>
              <w:widowControl w:val="0"/>
              <w:spacing w:line="4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自中标通知书发出之日起15日内</w:t>
            </w:r>
          </w:p>
        </w:tc>
      </w:tr>
      <w:tr w14:paraId="357CF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6"/>
            <w:tcBorders>
              <w:top w:val="single" w:color="auto" w:sz="4" w:space="0"/>
              <w:left w:val="single" w:color="auto" w:sz="4" w:space="0"/>
              <w:bottom w:val="single" w:color="auto" w:sz="4" w:space="0"/>
              <w:right w:val="single" w:color="auto" w:sz="4" w:space="0"/>
            </w:tcBorders>
            <w:noWrap w:val="0"/>
            <w:vAlign w:val="center"/>
          </w:tcPr>
          <w:p w14:paraId="00AFEEF6">
            <w:pPr>
              <w:spacing w:line="44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付款方式</w:t>
            </w:r>
          </w:p>
        </w:tc>
        <w:tc>
          <w:tcPr>
            <w:tcW w:w="6602" w:type="dxa"/>
            <w:gridSpan w:val="3"/>
            <w:tcBorders>
              <w:top w:val="single" w:color="auto" w:sz="4" w:space="0"/>
              <w:left w:val="single" w:color="auto" w:sz="4" w:space="0"/>
              <w:bottom w:val="single" w:color="auto" w:sz="4" w:space="0"/>
              <w:right w:val="single" w:color="auto" w:sz="4" w:space="0"/>
            </w:tcBorders>
            <w:noWrap w:val="0"/>
            <w:vAlign w:val="center"/>
          </w:tcPr>
          <w:p w14:paraId="6C95377F">
            <w:pPr>
              <w:widowControl/>
              <w:spacing w:line="440" w:lineRule="exac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本项目资金来源为政府专项债，采购人根据上级拨付资金的情况进行付款，资金未拨付到位的，中标供应商不得要求采购人履行付款义务。待资金下达到位后，中标供应商应提供符合税法规定的全额增值税发票，并按以下方式进行结算。双方签订采购合同后，中标供应商将货物供应至采购人指定地点，支付合同金额的60%；完成安装后，支付至合同金额的80%；验收合格并入库后，支付至合同金额的95%；余下的5%合同总额，在项目验收合格满一年，且货物不存在质量问题、中标供应商无其他违约及违法情形时，采购人需在15个工作日内付清（不计利息）。</w:t>
            </w:r>
          </w:p>
          <w:p w14:paraId="4A4A57C4">
            <w:pPr>
              <w:widowControl/>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合同签署的中标供应商名称、发票开具单位与收款单位必须保持一致。在合同执行过程中，中标供应商不得因其他不正当理由要求调整发票开具单位或收款单位，否则视为中标供应商违约。</w:t>
            </w:r>
          </w:p>
        </w:tc>
      </w:tr>
      <w:tr w14:paraId="1ABDB2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6"/>
            <w:tcBorders>
              <w:top w:val="single" w:color="auto" w:sz="4" w:space="0"/>
              <w:left w:val="single" w:color="auto" w:sz="4" w:space="0"/>
              <w:bottom w:val="single" w:color="auto" w:sz="4" w:space="0"/>
              <w:right w:val="single" w:color="auto" w:sz="4" w:space="0"/>
            </w:tcBorders>
            <w:noWrap w:val="0"/>
            <w:vAlign w:val="center"/>
          </w:tcPr>
          <w:p w14:paraId="2052C11C">
            <w:pPr>
              <w:widowControl/>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w:t>
            </w:r>
          </w:p>
        </w:tc>
        <w:tc>
          <w:tcPr>
            <w:tcW w:w="6602" w:type="dxa"/>
            <w:gridSpan w:val="3"/>
            <w:tcBorders>
              <w:top w:val="single" w:color="auto" w:sz="4" w:space="0"/>
              <w:left w:val="single" w:color="auto" w:sz="4" w:space="0"/>
              <w:bottom w:val="single" w:color="auto" w:sz="4" w:space="0"/>
              <w:right w:val="single" w:color="auto" w:sz="4" w:space="0"/>
            </w:tcBorders>
            <w:noWrap w:val="0"/>
            <w:vAlign w:val="center"/>
          </w:tcPr>
          <w:p w14:paraId="45ED405B">
            <w:pPr>
              <w:widowControl/>
              <w:spacing w:line="440" w:lineRule="exact"/>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按照国家特种专业技术用车“三包”规定执行，整车质保至少3年或15万公里（以先到者为准），具体部件质保期以质保手册为准。</w:t>
            </w:r>
            <w:r>
              <w:rPr>
                <w:rFonts w:hint="eastAsia" w:ascii="宋体" w:hAnsi="宋体" w:eastAsia="宋体" w:cs="宋体"/>
                <w:color w:val="auto"/>
                <w:kern w:val="0"/>
                <w:szCs w:val="21"/>
                <w:highlight w:val="none"/>
                <w:lang w:bidi="ar"/>
              </w:rPr>
              <w:t>在质保期内，</w:t>
            </w:r>
            <w:r>
              <w:rPr>
                <w:rFonts w:hint="eastAsia" w:ascii="宋体" w:hAnsi="宋体" w:eastAsia="宋体" w:cs="宋体"/>
                <w:color w:val="auto"/>
                <w:kern w:val="0"/>
                <w:szCs w:val="21"/>
                <w:highlight w:val="none"/>
                <w:lang w:eastAsia="zh-CN" w:bidi="ar"/>
              </w:rPr>
              <w:t>不收取</w:t>
            </w:r>
            <w:r>
              <w:rPr>
                <w:rFonts w:hint="eastAsia" w:ascii="宋体" w:hAnsi="宋体" w:eastAsia="宋体" w:cs="宋体"/>
                <w:color w:val="auto"/>
                <w:kern w:val="0"/>
                <w:szCs w:val="21"/>
                <w:highlight w:val="none"/>
                <w:lang w:bidi="ar"/>
              </w:rPr>
              <w:t>设备零配件及其维修的费用；保修期后维护和维修厂家以最优惠的价格提供服务。</w:t>
            </w:r>
          </w:p>
        </w:tc>
      </w:tr>
      <w:tr w14:paraId="3E9F4C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6"/>
            <w:tcBorders>
              <w:top w:val="single" w:color="auto" w:sz="4" w:space="0"/>
              <w:left w:val="single" w:color="auto" w:sz="4" w:space="0"/>
              <w:bottom w:val="single" w:color="auto" w:sz="4" w:space="0"/>
              <w:right w:val="single" w:color="auto" w:sz="4" w:space="0"/>
            </w:tcBorders>
            <w:noWrap w:val="0"/>
            <w:vAlign w:val="center"/>
          </w:tcPr>
          <w:p w14:paraId="009DC600">
            <w:pPr>
              <w:widowControl/>
              <w:spacing w:line="440" w:lineRule="exact"/>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bidi="ar"/>
              </w:rPr>
              <w:t>售后服务及培训要求</w:t>
            </w:r>
          </w:p>
        </w:tc>
        <w:tc>
          <w:tcPr>
            <w:tcW w:w="6602" w:type="dxa"/>
            <w:gridSpan w:val="3"/>
            <w:tcBorders>
              <w:top w:val="single" w:color="auto" w:sz="4" w:space="0"/>
              <w:left w:val="single" w:color="auto" w:sz="4" w:space="0"/>
              <w:bottom w:val="single" w:color="auto" w:sz="4" w:space="0"/>
              <w:right w:val="single" w:color="auto" w:sz="4" w:space="0"/>
            </w:tcBorders>
            <w:noWrap w:val="0"/>
            <w:vAlign w:val="center"/>
          </w:tcPr>
          <w:p w14:paraId="4F0A24CA">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售后服务费用包含在报价中，售后服务内容如下： </w:t>
            </w:r>
          </w:p>
          <w:p w14:paraId="66389D97">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负责送货上门，</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安装调试至合格，负责培训。配置至少1名工程技术人员，随时提供安装、调试或维修等服务。配置专业技术人员提供技术培训，包括设备日常操作、工作原理、注意事项、简单故障排除、维护保养等方面的系统培训，保证使用人员正常操作设备的各种功能。时间、地点、人员由采购人确定，提前通知</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安排工程师到场。</w:t>
            </w:r>
          </w:p>
          <w:p w14:paraId="7465AC22">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定期回访以及对设备维修、更换配件。</w:t>
            </w:r>
          </w:p>
          <w:p w14:paraId="5AA38887">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应保证所供产品是全新的、未使用过的且是近</w:t>
            </w:r>
            <w:r>
              <w:rPr>
                <w:rFonts w:hint="eastAsia" w:ascii="宋体" w:hAnsi="宋体" w:cs="宋体"/>
                <w:b w:val="0"/>
                <w:bCs w:val="0"/>
                <w:color w:val="auto"/>
                <w:sz w:val="21"/>
                <w:szCs w:val="21"/>
                <w:highlight w:val="none"/>
                <w:lang w:val="en-US" w:eastAsia="zh-CN"/>
              </w:rPr>
              <w:t>半年</w:t>
            </w:r>
            <w:r>
              <w:rPr>
                <w:rFonts w:hint="eastAsia" w:ascii="宋体" w:hAnsi="宋体" w:eastAsia="宋体" w:cs="宋体"/>
                <w:b w:val="0"/>
                <w:bCs w:val="0"/>
                <w:color w:val="auto"/>
                <w:sz w:val="21"/>
                <w:szCs w:val="21"/>
                <w:highlight w:val="none"/>
              </w:rPr>
              <w:t>内生产的，并完全符合规定的质量、规格的要求。</w:t>
            </w:r>
          </w:p>
          <w:p w14:paraId="428A4230">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便于售后问题的处理，响应时间＜4小时，接故障通知24小时内派合格的技术人员并携带工器具到达现场提供技术服务。</w:t>
            </w:r>
          </w:p>
          <w:p w14:paraId="1BAC3B15">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提供设备纸质版或电子版的操作规程和维护保养流程。</w:t>
            </w:r>
          </w:p>
          <w:p w14:paraId="3B79C566">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设备如属于政府部门有强制检定要求的，</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应负责设备使用前的相关检定。</w:t>
            </w:r>
          </w:p>
          <w:p w14:paraId="2F173C86">
            <w:pPr>
              <w:widowControl/>
              <w:spacing w:line="440" w:lineRule="exact"/>
              <w:jc w:val="left"/>
              <w:rPr>
                <w:rFonts w:hint="eastAsia" w:ascii="宋体" w:hAnsi="宋体" w:eastAsia="宋体" w:cs="宋体"/>
                <w:bCs/>
                <w:color w:val="auto"/>
                <w:szCs w:val="21"/>
                <w:highlight w:val="none"/>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其余按厂家承诺。</w:t>
            </w:r>
          </w:p>
        </w:tc>
      </w:tr>
      <w:tr w14:paraId="61B0C0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6"/>
            <w:tcBorders>
              <w:top w:val="single" w:color="auto" w:sz="4" w:space="0"/>
              <w:left w:val="single" w:color="auto" w:sz="4" w:space="0"/>
              <w:bottom w:val="single" w:color="auto" w:sz="4" w:space="0"/>
              <w:right w:val="single" w:color="auto" w:sz="4" w:space="0"/>
            </w:tcBorders>
            <w:noWrap w:val="0"/>
            <w:vAlign w:val="center"/>
          </w:tcPr>
          <w:p w14:paraId="2F7F72B9">
            <w:pPr>
              <w:widowControl/>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投标报价要求</w:t>
            </w:r>
          </w:p>
        </w:tc>
        <w:tc>
          <w:tcPr>
            <w:tcW w:w="6602" w:type="dxa"/>
            <w:gridSpan w:val="3"/>
            <w:tcBorders>
              <w:top w:val="single" w:color="auto" w:sz="4" w:space="0"/>
              <w:left w:val="single" w:color="auto" w:sz="4" w:space="0"/>
              <w:bottom w:val="single" w:color="auto" w:sz="4" w:space="0"/>
              <w:right w:val="single" w:color="auto" w:sz="4" w:space="0"/>
            </w:tcBorders>
            <w:noWrap w:val="0"/>
            <w:vAlign w:val="center"/>
          </w:tcPr>
          <w:p w14:paraId="2DF3ED07">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投标报价为采购人指定地点的现场交货价，包括：</w:t>
            </w:r>
          </w:p>
          <w:p w14:paraId="1BB42E0A">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货物的价格：</w:t>
            </w:r>
            <w:r>
              <w:rPr>
                <w:rFonts w:hint="eastAsia" w:ascii="宋体" w:hAnsi="宋体" w:eastAsia="宋体" w:cs="宋体"/>
                <w:b w:val="0"/>
                <w:bCs w:val="0"/>
                <w:color w:val="auto"/>
                <w:sz w:val="21"/>
                <w:szCs w:val="21"/>
                <w:highlight w:val="none"/>
                <w:lang w:val="en-US" w:eastAsia="zh-CN"/>
              </w:rPr>
              <w:t>包括</w:t>
            </w:r>
            <w:r>
              <w:rPr>
                <w:rFonts w:hint="eastAsia" w:ascii="宋体" w:hAnsi="宋体" w:eastAsia="宋体" w:cs="宋体"/>
                <w:b w:val="0"/>
                <w:bCs w:val="0"/>
                <w:color w:val="auto"/>
                <w:sz w:val="21"/>
                <w:szCs w:val="21"/>
                <w:highlight w:val="none"/>
              </w:rPr>
              <w:t>包装费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运费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装卸费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保险费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搬运费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安装费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调试费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检验</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计量检测</w:t>
            </w:r>
            <w:r>
              <w:rPr>
                <w:rFonts w:hint="eastAsia" w:ascii="宋体" w:hAnsi="宋体" w:eastAsia="宋体" w:cs="宋体"/>
                <w:b w:val="0"/>
                <w:bCs w:val="0"/>
                <w:color w:val="auto"/>
                <w:sz w:val="21"/>
                <w:szCs w:val="21"/>
                <w:highlight w:val="none"/>
              </w:rPr>
              <w:t>及检定验收费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售后服务费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培训费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质保期内无条件维修费，</w:t>
            </w:r>
            <w:r>
              <w:rPr>
                <w:rFonts w:hint="eastAsia" w:ascii="宋体" w:hAnsi="宋体" w:eastAsia="宋体" w:cs="宋体"/>
                <w:b w:val="0"/>
                <w:bCs w:val="0"/>
                <w:color w:val="auto"/>
                <w:sz w:val="21"/>
                <w:szCs w:val="21"/>
                <w:highlight w:val="none"/>
              </w:rPr>
              <w:t>税金等</w:t>
            </w:r>
            <w:r>
              <w:rPr>
                <w:rFonts w:hint="eastAsia" w:ascii="宋体" w:hAnsi="宋体" w:eastAsia="宋体" w:cs="宋体"/>
                <w:b w:val="0"/>
                <w:bCs w:val="0"/>
                <w:color w:val="auto"/>
                <w:sz w:val="21"/>
                <w:szCs w:val="21"/>
                <w:highlight w:val="none"/>
                <w:lang w:val="en-US" w:eastAsia="zh-CN"/>
              </w:rPr>
              <w:t>招标文件</w:t>
            </w:r>
            <w:r>
              <w:rPr>
                <w:rFonts w:hint="eastAsia" w:ascii="宋体" w:hAnsi="宋体" w:eastAsia="宋体" w:cs="宋体"/>
                <w:b w:val="0"/>
                <w:bCs w:val="0"/>
                <w:color w:val="auto"/>
                <w:sz w:val="21"/>
                <w:szCs w:val="21"/>
                <w:highlight w:val="none"/>
              </w:rPr>
              <w:t>和</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文件规定及合同包含的所有风险、责任等应有的全部费用</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凡是涉及</w:t>
            </w:r>
            <w:r>
              <w:rPr>
                <w:rFonts w:hint="eastAsia" w:ascii="宋体" w:hAnsi="宋体" w:eastAsia="宋体" w:cs="宋体"/>
                <w:b w:val="0"/>
                <w:bCs w:val="0"/>
                <w:color w:val="auto"/>
                <w:sz w:val="21"/>
                <w:szCs w:val="21"/>
                <w:highlight w:val="none"/>
              </w:rPr>
              <w:t>与医院信息系统</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如HIS系统等</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连接的接口问题，前述价款也包含</w:t>
            </w:r>
            <w:r>
              <w:rPr>
                <w:rFonts w:hint="eastAsia" w:ascii="宋体" w:hAnsi="宋体" w:eastAsia="宋体" w:cs="宋体"/>
                <w:b w:val="0"/>
                <w:bCs w:val="0"/>
                <w:color w:val="auto"/>
                <w:sz w:val="21"/>
                <w:szCs w:val="21"/>
                <w:highlight w:val="none"/>
                <w:lang w:val="en-US" w:eastAsia="zh-CN"/>
              </w:rPr>
              <w:t>双方</w:t>
            </w:r>
            <w:r>
              <w:rPr>
                <w:rFonts w:hint="eastAsia" w:ascii="宋体" w:hAnsi="宋体" w:eastAsia="宋体" w:cs="宋体"/>
                <w:b w:val="0"/>
                <w:bCs w:val="0"/>
                <w:color w:val="auto"/>
                <w:sz w:val="21"/>
                <w:szCs w:val="21"/>
                <w:highlight w:val="none"/>
              </w:rPr>
              <w:t>接口费用。</w:t>
            </w:r>
          </w:p>
          <w:p w14:paraId="0FBCB58A">
            <w:pPr>
              <w:widowControl/>
              <w:spacing w:line="440" w:lineRule="exact"/>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货物的标准附件、备品备件、专用工具的价格</w:t>
            </w:r>
            <w:r>
              <w:rPr>
                <w:rFonts w:hint="eastAsia" w:ascii="宋体" w:hAnsi="宋体" w:cs="宋体"/>
                <w:b w:val="0"/>
                <w:bCs w:val="0"/>
                <w:color w:val="auto"/>
                <w:sz w:val="21"/>
                <w:szCs w:val="21"/>
                <w:highlight w:val="none"/>
                <w:lang w:eastAsia="zh-CN"/>
              </w:rPr>
              <w:t>。</w:t>
            </w:r>
          </w:p>
          <w:p w14:paraId="51080266">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采购代理服务费、保险费和各项税金。</w:t>
            </w:r>
          </w:p>
          <w:p w14:paraId="535D709B">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投标人自行考虑完成项目所需的辅材、杂配件等数量，投标报价中应包含全部内容，中标后采购人不再另行支付额外费用。</w:t>
            </w:r>
          </w:p>
          <w:p w14:paraId="24AD902A">
            <w:pPr>
              <w:widowControl/>
              <w:spacing w:line="440" w:lineRule="exact"/>
              <w:jc w:val="left"/>
              <w:rPr>
                <w:rFonts w:hint="eastAsia" w:ascii="宋体" w:hAnsi="宋体" w:eastAsia="宋体" w:cs="宋体"/>
                <w:bCs/>
                <w:color w:val="auto"/>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报价不包含上牌入户</w:t>
            </w:r>
            <w:r>
              <w:rPr>
                <w:rFonts w:hint="eastAsia" w:ascii="宋体" w:hAnsi="宋体" w:eastAsia="宋体" w:cs="宋体"/>
                <w:b w:val="0"/>
                <w:bCs w:val="0"/>
                <w:color w:val="auto"/>
                <w:sz w:val="21"/>
                <w:szCs w:val="21"/>
                <w:highlight w:val="none"/>
                <w:lang w:val="en-US" w:eastAsia="zh-CN"/>
              </w:rPr>
              <w:t>过程中产生</w:t>
            </w:r>
            <w:r>
              <w:rPr>
                <w:rFonts w:hint="eastAsia" w:ascii="宋体" w:hAnsi="宋体" w:eastAsia="宋体" w:cs="宋体"/>
                <w:b w:val="0"/>
                <w:bCs w:val="0"/>
                <w:color w:val="auto"/>
                <w:sz w:val="21"/>
                <w:szCs w:val="21"/>
                <w:highlight w:val="none"/>
                <w:lang w:eastAsia="zh-CN"/>
              </w:rPr>
              <w:t>费用（如交强险，车船税，入户费，购置税等）。</w:t>
            </w:r>
          </w:p>
        </w:tc>
      </w:tr>
      <w:tr w14:paraId="5CE3CC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6"/>
            <w:tcBorders>
              <w:top w:val="single" w:color="auto" w:sz="4" w:space="0"/>
              <w:left w:val="single" w:color="auto" w:sz="4" w:space="0"/>
              <w:bottom w:val="single" w:color="auto" w:sz="4" w:space="0"/>
              <w:right w:val="single" w:color="auto" w:sz="4" w:space="0"/>
            </w:tcBorders>
            <w:noWrap w:val="0"/>
            <w:vAlign w:val="center"/>
          </w:tcPr>
          <w:p w14:paraId="717F3B96">
            <w:pPr>
              <w:widowControl/>
              <w:spacing w:line="440" w:lineRule="exact"/>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验收标准</w:t>
            </w:r>
          </w:p>
        </w:tc>
        <w:tc>
          <w:tcPr>
            <w:tcW w:w="660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DC9E390">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验收标准：符合现行国家相关标准、行业标准、地方标准或者其他标准、规范。</w:t>
            </w:r>
          </w:p>
          <w:p w14:paraId="1A02DE41">
            <w:pPr>
              <w:spacing w:line="440" w:lineRule="exac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2</w:t>
            </w:r>
            <w:r>
              <w:rPr>
                <w:rFonts w:hint="eastAsia" w:asciiTheme="minorEastAsia" w:hAnsiTheme="minorEastAsia" w:eastAsiaTheme="minorEastAsia" w:cstheme="minorEastAsia"/>
                <w:b w:val="0"/>
                <w:bCs w:val="0"/>
                <w:color w:val="auto"/>
                <w:sz w:val="21"/>
                <w:szCs w:val="21"/>
                <w:highlight w:val="none"/>
                <w:lang w:val="en-US" w:eastAsia="zh-CN"/>
              </w:rPr>
              <w:t>.本项目采购人委托国家认可的第三方机构进行验收，并由其出具验收报告材料。</w:t>
            </w:r>
          </w:p>
          <w:p w14:paraId="32E77DA8">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在货物交付验收时，由采购人委托</w:t>
            </w:r>
            <w:r>
              <w:rPr>
                <w:rFonts w:hint="eastAsia" w:asciiTheme="minorEastAsia" w:hAnsiTheme="minorEastAsia" w:eastAsiaTheme="minorEastAsia" w:cstheme="minorEastAsia"/>
                <w:b w:val="0"/>
                <w:bCs w:val="0"/>
                <w:color w:val="auto"/>
                <w:sz w:val="21"/>
                <w:szCs w:val="21"/>
                <w:highlight w:val="none"/>
                <w:lang w:val="en-US" w:eastAsia="zh-CN"/>
              </w:rPr>
              <w:t>的</w:t>
            </w:r>
            <w:r>
              <w:rPr>
                <w:rFonts w:hint="eastAsia" w:asciiTheme="minorEastAsia" w:hAnsiTheme="minorEastAsia" w:eastAsiaTheme="minorEastAsia" w:cstheme="minorEastAsia"/>
                <w:b w:val="0"/>
                <w:bCs w:val="0"/>
                <w:color w:val="auto"/>
                <w:sz w:val="21"/>
                <w:szCs w:val="21"/>
                <w:highlight w:val="none"/>
              </w:rPr>
              <w:t>第三方验收小组对照招标文件的项目要求及技术需求，全面核对检验</w:t>
            </w:r>
            <w:r>
              <w:rPr>
                <w:rFonts w:hint="eastAsia" w:asciiTheme="minorEastAsia" w:hAnsiTheme="minorEastAsia" w:eastAsiaTheme="minorEastAsia" w:cstheme="minorEastAsia"/>
                <w:b w:val="0"/>
                <w:bCs w:val="0"/>
                <w:color w:val="auto"/>
                <w:sz w:val="21"/>
                <w:szCs w:val="21"/>
                <w:highlight w:val="none"/>
                <w:lang w:eastAsia="zh-CN"/>
              </w:rPr>
              <w:t>，如不符合招标文件的技术需求及要求以及提供虚假承诺的，按相关规定做违约处理，中标供应商</w:t>
            </w:r>
            <w:r>
              <w:rPr>
                <w:rFonts w:hint="eastAsia" w:asciiTheme="minorEastAsia" w:hAnsiTheme="minorEastAsia" w:eastAsiaTheme="minorEastAsia" w:cstheme="minorEastAsia"/>
                <w:b w:val="0"/>
                <w:bCs w:val="0"/>
                <w:color w:val="auto"/>
                <w:sz w:val="21"/>
                <w:szCs w:val="21"/>
                <w:highlight w:val="none"/>
              </w:rPr>
              <w:t>承担所有责任和费用，采购人保留进一步追究责任的权利。</w:t>
            </w:r>
          </w:p>
          <w:p w14:paraId="73EFF9B9">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验收时间</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 xml:space="preserve"> </w:t>
            </w:r>
            <w:r>
              <w:rPr>
                <w:rFonts w:hint="eastAsia" w:asciiTheme="minorEastAsia" w:hAnsiTheme="minorEastAsia" w:eastAsiaTheme="minorEastAsia" w:cstheme="minorEastAsia"/>
                <w:b w:val="0"/>
                <w:bCs w:val="0"/>
                <w:color w:val="auto"/>
                <w:sz w:val="21"/>
                <w:szCs w:val="21"/>
                <w:highlight w:val="none"/>
                <w:lang w:eastAsia="zh-CN"/>
              </w:rPr>
              <w:t>采购人收到中标供应商验收申请之日起5个工作日内</w:t>
            </w:r>
            <w:r>
              <w:rPr>
                <w:rFonts w:hint="eastAsia" w:asciiTheme="minorEastAsia" w:hAnsiTheme="minorEastAsia" w:eastAsiaTheme="minorEastAsia" w:cstheme="minorEastAsia"/>
                <w:b w:val="0"/>
                <w:bCs w:val="0"/>
                <w:color w:val="auto"/>
                <w:sz w:val="21"/>
                <w:szCs w:val="21"/>
                <w:highlight w:val="none"/>
                <w:lang w:val="en-US" w:eastAsia="zh-CN"/>
              </w:rPr>
              <w:t>由</w:t>
            </w:r>
            <w:r>
              <w:rPr>
                <w:rFonts w:hint="eastAsia" w:asciiTheme="minorEastAsia" w:hAnsiTheme="minorEastAsia" w:eastAsiaTheme="minorEastAsia" w:cstheme="minorEastAsia"/>
                <w:b w:val="0"/>
                <w:bCs w:val="0"/>
                <w:color w:val="auto"/>
                <w:sz w:val="21"/>
                <w:szCs w:val="21"/>
                <w:highlight w:val="none"/>
              </w:rPr>
              <w:t>委托</w:t>
            </w:r>
            <w:r>
              <w:rPr>
                <w:rFonts w:hint="eastAsia" w:asciiTheme="minorEastAsia" w:hAnsiTheme="minorEastAsia" w:eastAsiaTheme="minorEastAsia" w:cstheme="minorEastAsia"/>
                <w:b w:val="0"/>
                <w:bCs w:val="0"/>
                <w:color w:val="auto"/>
                <w:sz w:val="21"/>
                <w:szCs w:val="21"/>
                <w:highlight w:val="none"/>
                <w:lang w:val="en-US" w:eastAsia="zh-CN"/>
              </w:rPr>
              <w:t>的</w:t>
            </w:r>
            <w:r>
              <w:rPr>
                <w:rFonts w:hint="eastAsia" w:asciiTheme="minorEastAsia" w:hAnsiTheme="minorEastAsia" w:eastAsiaTheme="minorEastAsia" w:cstheme="minorEastAsia"/>
                <w:b w:val="0"/>
                <w:bCs w:val="0"/>
                <w:color w:val="auto"/>
                <w:sz w:val="21"/>
                <w:szCs w:val="21"/>
                <w:highlight w:val="none"/>
              </w:rPr>
              <w:t>第三方验收小组进行验收（如有特殊情况，按采购人指定的时间，另行验收）。</w:t>
            </w:r>
          </w:p>
          <w:p w14:paraId="519F4FCE">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4</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验收地点：</w:t>
            </w:r>
            <w:r>
              <w:rPr>
                <w:rFonts w:hint="eastAsia" w:asciiTheme="minorEastAsia" w:hAnsiTheme="minorEastAsia" w:eastAsiaTheme="minorEastAsia" w:cstheme="minorEastAsia"/>
                <w:b w:val="0"/>
                <w:bCs w:val="0"/>
                <w:color w:val="auto"/>
                <w:sz w:val="21"/>
                <w:szCs w:val="21"/>
                <w:highlight w:val="none"/>
                <w:lang w:val="en-US" w:eastAsia="zh-CN"/>
              </w:rPr>
              <w:t>苍梧县中医医院内</w:t>
            </w:r>
            <w:r>
              <w:rPr>
                <w:rFonts w:hint="eastAsia" w:asciiTheme="minorEastAsia" w:hAnsiTheme="minorEastAsia" w:eastAsiaTheme="minorEastAsia" w:cstheme="minorEastAsia"/>
                <w:b w:val="0"/>
                <w:bCs w:val="0"/>
                <w:color w:val="auto"/>
                <w:sz w:val="21"/>
                <w:szCs w:val="21"/>
                <w:highlight w:val="none"/>
              </w:rPr>
              <w:t>。</w:t>
            </w:r>
          </w:p>
          <w:p w14:paraId="7C9CB01C">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5</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验收方式：</w:t>
            </w:r>
          </w:p>
          <w:p w14:paraId="6B9CAA4E">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完成货物安装调试和培训后，书面向采购人提交验收申请。</w:t>
            </w:r>
          </w:p>
          <w:p w14:paraId="3010170C">
            <w:pPr>
              <w:spacing w:line="440" w:lineRule="exac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）采购人收到中标人验收申请之日起5个工作日</w:t>
            </w:r>
            <w:r>
              <w:rPr>
                <w:rFonts w:hint="eastAsia" w:asciiTheme="minorEastAsia" w:hAnsiTheme="minorEastAsia" w:eastAsiaTheme="minorEastAsia" w:cstheme="minorEastAsia"/>
                <w:b w:val="0"/>
                <w:bCs w:val="0"/>
                <w:color w:val="auto"/>
                <w:sz w:val="21"/>
                <w:szCs w:val="21"/>
                <w:highlight w:val="none"/>
                <w:lang w:val="en-US" w:eastAsia="zh-CN"/>
              </w:rPr>
              <w:t>内由</w:t>
            </w:r>
            <w:r>
              <w:rPr>
                <w:rFonts w:hint="eastAsia" w:asciiTheme="minorEastAsia" w:hAnsiTheme="minorEastAsia" w:eastAsiaTheme="minorEastAsia" w:cstheme="minorEastAsia"/>
                <w:b w:val="0"/>
                <w:bCs w:val="0"/>
                <w:color w:val="auto"/>
                <w:sz w:val="21"/>
                <w:szCs w:val="21"/>
                <w:highlight w:val="none"/>
              </w:rPr>
              <w:t>委托</w:t>
            </w:r>
            <w:r>
              <w:rPr>
                <w:rFonts w:hint="eastAsia" w:asciiTheme="minorEastAsia" w:hAnsiTheme="minorEastAsia" w:eastAsiaTheme="minorEastAsia" w:cstheme="minorEastAsia"/>
                <w:b w:val="0"/>
                <w:bCs w:val="0"/>
                <w:color w:val="auto"/>
                <w:sz w:val="21"/>
                <w:szCs w:val="21"/>
                <w:highlight w:val="none"/>
                <w:lang w:val="en-US" w:eastAsia="zh-CN"/>
              </w:rPr>
              <w:t>的</w:t>
            </w:r>
            <w:r>
              <w:rPr>
                <w:rFonts w:hint="eastAsia" w:asciiTheme="minorEastAsia" w:hAnsiTheme="minorEastAsia" w:eastAsiaTheme="minorEastAsia" w:cstheme="minorEastAsia"/>
                <w:b w:val="0"/>
                <w:bCs w:val="0"/>
                <w:color w:val="auto"/>
                <w:sz w:val="21"/>
                <w:szCs w:val="21"/>
                <w:highlight w:val="none"/>
              </w:rPr>
              <w:t>第三方验收小组进行验收（如有特殊情况，按采购人指定的时间，另行验收）</w:t>
            </w:r>
            <w:r>
              <w:rPr>
                <w:rFonts w:hint="eastAsia" w:asciiTheme="minorEastAsia" w:hAnsiTheme="minorEastAsia" w:eastAsiaTheme="minorEastAsia" w:cstheme="minorEastAsia"/>
                <w:b w:val="0"/>
                <w:bCs w:val="0"/>
                <w:color w:val="auto"/>
                <w:sz w:val="21"/>
                <w:szCs w:val="21"/>
                <w:highlight w:val="none"/>
                <w:lang w:eastAsia="zh-CN"/>
              </w:rPr>
              <w:t>。</w:t>
            </w:r>
          </w:p>
          <w:p w14:paraId="5B8E51E0">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rPr>
              <w:t>本项目验收由验收小组按照采购合同约定对每一项技术和商务要求的履约情况进行确认，作为验收依据；</w:t>
            </w:r>
          </w:p>
          <w:p w14:paraId="3C4BECA6">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）验收结束后，验收小组出具采购验收书，验收书应当包括每一项技术和商务要求的履约情况，并列明项目总体评价，由验收小组、采购人和</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共同签署。</w:t>
            </w:r>
          </w:p>
          <w:p w14:paraId="34C3C0F0">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）验收过程中所产生的一切费用均由</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承担。</w:t>
            </w:r>
            <w:r>
              <w:rPr>
                <w:rFonts w:hint="eastAsia" w:asciiTheme="minorEastAsia" w:hAnsiTheme="minorEastAsia" w:eastAsiaTheme="minorEastAsia" w:cstheme="minorEastAsia"/>
                <w:b w:val="0"/>
                <w:bCs w:val="0"/>
                <w:color w:val="auto"/>
                <w:sz w:val="21"/>
                <w:szCs w:val="21"/>
                <w:highlight w:val="none"/>
                <w:lang w:val="en-US" w:eastAsia="zh-CN"/>
              </w:rPr>
              <w:t>报价时应考虑相关费用。</w:t>
            </w:r>
          </w:p>
          <w:p w14:paraId="32DF93FF">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）验收书一式</w:t>
            </w:r>
            <w:r>
              <w:rPr>
                <w:rFonts w:hint="eastAsia" w:asciiTheme="minorEastAsia" w:hAnsiTheme="minorEastAsia" w:eastAsiaTheme="minorEastAsia" w:cstheme="minorEastAsia"/>
                <w:b w:val="0"/>
                <w:bCs w:val="0"/>
                <w:color w:val="auto"/>
                <w:sz w:val="21"/>
                <w:szCs w:val="21"/>
                <w:highlight w:val="none"/>
                <w:lang w:val="en-US" w:eastAsia="zh-CN"/>
              </w:rPr>
              <w:t>伍</w:t>
            </w:r>
            <w:r>
              <w:rPr>
                <w:rFonts w:hint="eastAsia" w:asciiTheme="minorEastAsia" w:hAnsiTheme="minorEastAsia" w:eastAsiaTheme="minorEastAsia" w:cstheme="minorEastAsia"/>
                <w:b w:val="0"/>
                <w:bCs w:val="0"/>
                <w:color w:val="auto"/>
                <w:sz w:val="21"/>
                <w:szCs w:val="21"/>
                <w:highlight w:val="none"/>
              </w:rPr>
              <w:t>份，双方各执两份</w:t>
            </w:r>
            <w:r>
              <w:rPr>
                <w:rFonts w:hint="eastAsia" w:asciiTheme="minorEastAsia" w:hAnsiTheme="minorEastAsia" w:eastAsiaTheme="minorEastAsia" w:cstheme="minorEastAsia"/>
                <w:b w:val="0"/>
                <w:bCs w:val="0"/>
                <w:color w:val="auto"/>
                <w:sz w:val="21"/>
                <w:szCs w:val="21"/>
                <w:highlight w:val="none"/>
                <w:lang w:eastAsia="zh-CN"/>
              </w:rPr>
              <w:t>，受托第三方机构一份</w:t>
            </w:r>
            <w:r>
              <w:rPr>
                <w:rFonts w:hint="eastAsia" w:asciiTheme="minorEastAsia" w:hAnsiTheme="minorEastAsia" w:eastAsiaTheme="minorEastAsia" w:cstheme="minorEastAsia"/>
                <w:b w:val="0"/>
                <w:bCs w:val="0"/>
                <w:color w:val="auto"/>
                <w:sz w:val="21"/>
                <w:szCs w:val="21"/>
                <w:highlight w:val="none"/>
              </w:rPr>
              <w:t xml:space="preserve">。 </w:t>
            </w:r>
          </w:p>
          <w:p w14:paraId="53AEC849">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7</w:t>
            </w:r>
            <w:r>
              <w:rPr>
                <w:rFonts w:hint="eastAsia" w:asciiTheme="minorEastAsia" w:hAnsiTheme="minorEastAsia" w:eastAsiaTheme="minorEastAsia" w:cstheme="minorEastAsia"/>
                <w:b w:val="0"/>
                <w:bCs w:val="0"/>
                <w:color w:val="auto"/>
                <w:sz w:val="21"/>
                <w:szCs w:val="21"/>
                <w:highlight w:val="none"/>
              </w:rPr>
              <w:t>）验收结论不合格的，</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应自收到验收书后5日内及时予以解决。经</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对验收结论不合格的货物进行整改后，仍然达不到要求的，经双方协商，可按以下办法处理：</w:t>
            </w:r>
          </w:p>
          <w:p w14:paraId="0F8088F1">
            <w:pPr>
              <w:spacing w:line="440" w:lineRule="exact"/>
              <w:rPr>
                <w:rFonts w:hint="eastAsia" w:asciiTheme="minorEastAsia" w:hAnsiTheme="minorEastAsia" w:eastAsiaTheme="minorEastAsia" w:cstheme="minorEastAsia"/>
                <w:b w:val="0"/>
                <w:bCs w:val="0"/>
                <w:color w:val="auto"/>
                <w:sz w:val="21"/>
                <w:szCs w:val="21"/>
                <w:highlight w:val="none"/>
              </w:rPr>
            </w:pPr>
            <w:r>
              <w:rPr>
                <w:rFonts w:hint="default" w:ascii="Calibri" w:hAnsi="Calibri" w:cs="Calibri" w:eastAsiaTheme="minorEastAsia"/>
                <w:b w:val="0"/>
                <w:bCs w:val="0"/>
                <w:color w:val="auto"/>
                <w:sz w:val="21"/>
                <w:szCs w:val="21"/>
                <w:highlight w:val="none"/>
              </w:rPr>
              <w:t>①</w:t>
            </w:r>
            <w:r>
              <w:rPr>
                <w:rFonts w:hint="eastAsia" w:asciiTheme="minorEastAsia" w:hAnsiTheme="minorEastAsia" w:eastAsiaTheme="minorEastAsia" w:cstheme="minorEastAsia"/>
                <w:b w:val="0"/>
                <w:bCs w:val="0"/>
                <w:color w:val="auto"/>
                <w:sz w:val="21"/>
                <w:szCs w:val="21"/>
                <w:highlight w:val="none"/>
              </w:rPr>
              <w:t>更换：由</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承担所发生的全部费用；</w:t>
            </w:r>
          </w:p>
          <w:p w14:paraId="3B0982A4">
            <w:pPr>
              <w:spacing w:line="440" w:lineRule="exact"/>
              <w:rPr>
                <w:rFonts w:hint="eastAsia" w:asciiTheme="minorEastAsia" w:hAnsiTheme="minorEastAsia" w:eastAsiaTheme="minorEastAsia" w:cstheme="minorEastAsia"/>
                <w:b w:val="0"/>
                <w:bCs w:val="0"/>
                <w:color w:val="auto"/>
                <w:sz w:val="21"/>
                <w:szCs w:val="21"/>
                <w:highlight w:val="none"/>
              </w:rPr>
            </w:pPr>
            <w:r>
              <w:rPr>
                <w:rFonts w:hint="default" w:ascii="Calibri" w:hAnsi="Calibri" w:cs="Calibri" w:eastAsiaTheme="minorEastAsia"/>
                <w:b w:val="0"/>
                <w:bCs w:val="0"/>
                <w:color w:val="auto"/>
                <w:sz w:val="21"/>
                <w:szCs w:val="21"/>
                <w:highlight w:val="none"/>
              </w:rPr>
              <w:t>②</w:t>
            </w:r>
            <w:r>
              <w:rPr>
                <w:rFonts w:hint="eastAsia" w:asciiTheme="minorEastAsia" w:hAnsiTheme="minorEastAsia" w:eastAsiaTheme="minorEastAsia" w:cstheme="minorEastAsia"/>
                <w:b w:val="0"/>
                <w:bCs w:val="0"/>
                <w:color w:val="auto"/>
                <w:sz w:val="21"/>
                <w:szCs w:val="21"/>
                <w:highlight w:val="none"/>
              </w:rPr>
              <w:t>退货处理：</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应退还采购人支付的合同款，同时应承担与该货物相关的直接费用（运输、保险、检验、合同款利息及银行手续费等）。</w:t>
            </w:r>
          </w:p>
          <w:p w14:paraId="0CAB78D0">
            <w:pPr>
              <w:spacing w:line="440" w:lineRule="exact"/>
              <w:rPr>
                <w:rFonts w:hint="eastAsia" w:ascii="宋体" w:hAnsi="宋体" w:eastAsia="宋体" w:cs="宋体"/>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6.履约验收其他事项：验收时，属于国家规定检定范围（首次计量检测等）内的设备，必须出具有效的鉴定报告，质检费用包含在投标报价中，由中标供应商支付。</w:t>
            </w:r>
          </w:p>
        </w:tc>
      </w:tr>
      <w:tr w14:paraId="4B1A1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64" w:type="dxa"/>
            <w:gridSpan w:val="9"/>
            <w:tcBorders>
              <w:top w:val="single" w:color="auto" w:sz="4" w:space="0"/>
              <w:left w:val="single" w:color="auto" w:sz="4" w:space="0"/>
              <w:bottom w:val="single" w:color="auto" w:sz="4" w:space="0"/>
              <w:right w:val="single" w:color="auto" w:sz="4" w:space="0"/>
            </w:tcBorders>
            <w:noWrap w:val="0"/>
            <w:vAlign w:val="center"/>
          </w:tcPr>
          <w:p w14:paraId="148C458A">
            <w:pPr>
              <w:spacing w:line="4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二、与实现项目目标相关的其他要求</w:t>
            </w:r>
          </w:p>
        </w:tc>
      </w:tr>
      <w:tr w14:paraId="793E00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64" w:type="dxa"/>
            <w:gridSpan w:val="9"/>
            <w:tcBorders>
              <w:top w:val="single" w:color="auto" w:sz="4" w:space="0"/>
              <w:left w:val="single" w:color="auto" w:sz="4" w:space="0"/>
              <w:bottom w:val="single" w:color="auto" w:sz="4" w:space="0"/>
              <w:right w:val="single" w:color="auto" w:sz="4" w:space="0"/>
            </w:tcBorders>
            <w:noWrap w:val="0"/>
            <w:vAlign w:val="top"/>
          </w:tcPr>
          <w:p w14:paraId="415799CC">
            <w:pPr>
              <w:widowControl/>
              <w:spacing w:line="440" w:lineRule="exact"/>
              <w:jc w:val="left"/>
              <w:rPr>
                <w:rFonts w:hint="eastAsia" w:ascii="宋体" w:hAnsi="宋体" w:eastAsia="宋体" w:cs="宋体"/>
                <w:b/>
                <w:color w:val="auto"/>
                <w:szCs w:val="21"/>
                <w:highlight w:val="none"/>
              </w:rPr>
            </w:pPr>
            <w:r>
              <w:rPr>
                <w:rFonts w:hint="eastAsia" w:ascii="宋体" w:hAnsi="宋体" w:eastAsia="宋体" w:cs="宋体"/>
                <w:b w:val="0"/>
                <w:bCs w:val="0"/>
                <w:color w:val="auto"/>
                <w:kern w:val="0"/>
                <w:sz w:val="21"/>
                <w:szCs w:val="21"/>
                <w:highlight w:val="none"/>
                <w:lang w:bidi="ar"/>
              </w:rPr>
              <w:t>（</w:t>
            </w:r>
            <w:r>
              <w:rPr>
                <w:rFonts w:hint="eastAsia" w:ascii="宋体" w:hAnsi="宋体" w:eastAsia="宋体" w:cs="宋体"/>
                <w:b w:val="0"/>
                <w:bCs w:val="0"/>
                <w:color w:val="auto"/>
                <w:kern w:val="0"/>
                <w:sz w:val="21"/>
                <w:szCs w:val="21"/>
                <w:highlight w:val="none"/>
                <w:lang w:val="en-US" w:eastAsia="zh-CN" w:bidi="ar"/>
              </w:rPr>
              <w:t>一</w:t>
            </w:r>
            <w:r>
              <w:rPr>
                <w:rFonts w:hint="eastAsia" w:ascii="宋体" w:hAnsi="宋体" w:eastAsia="宋体" w:cs="宋体"/>
                <w:b w:val="0"/>
                <w:bCs w:val="0"/>
                <w:color w:val="auto"/>
                <w:kern w:val="0"/>
                <w:sz w:val="21"/>
                <w:szCs w:val="21"/>
                <w:highlight w:val="none"/>
                <w:lang w:bidi="ar"/>
              </w:rPr>
              <w:t>）政策性加分条件</w:t>
            </w:r>
          </w:p>
        </w:tc>
      </w:tr>
      <w:tr w14:paraId="29BBC0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64" w:type="dxa"/>
            <w:gridSpan w:val="9"/>
            <w:tcBorders>
              <w:top w:val="single" w:color="auto" w:sz="4" w:space="0"/>
              <w:left w:val="single" w:color="auto" w:sz="4" w:space="0"/>
              <w:bottom w:val="single" w:color="auto" w:sz="4" w:space="0"/>
              <w:right w:val="single" w:color="auto" w:sz="4" w:space="0"/>
            </w:tcBorders>
            <w:noWrap w:val="0"/>
            <w:vAlign w:val="center"/>
          </w:tcPr>
          <w:p w14:paraId="6BF9C93D">
            <w:pPr>
              <w:widowControl/>
              <w:spacing w:line="440" w:lineRule="exact"/>
              <w:jc w:val="left"/>
              <w:rPr>
                <w:rFonts w:hint="eastAsia" w:ascii="宋体" w:hAnsi="宋体" w:eastAsia="宋体" w:cs="宋体"/>
                <w:color w:val="auto"/>
                <w:szCs w:val="21"/>
                <w:highlight w:val="none"/>
              </w:rPr>
            </w:pPr>
            <w:r>
              <w:rPr>
                <w:rFonts w:hint="eastAsia" w:ascii="宋体" w:hAnsi="宋体" w:eastAsia="宋体" w:cs="宋体"/>
                <w:b w:val="0"/>
                <w:bCs w:val="0"/>
                <w:color w:val="auto"/>
                <w:kern w:val="0"/>
                <w:sz w:val="21"/>
                <w:szCs w:val="21"/>
                <w:highlight w:val="none"/>
                <w:lang w:bidi="ar"/>
              </w:rPr>
              <w:t>符合节能环保等国家政策要求</w:t>
            </w:r>
          </w:p>
        </w:tc>
      </w:tr>
      <w:tr w14:paraId="20B08F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64" w:type="dxa"/>
            <w:gridSpan w:val="9"/>
            <w:tcBorders>
              <w:top w:val="single" w:color="auto" w:sz="4" w:space="0"/>
              <w:left w:val="single" w:color="auto" w:sz="4" w:space="0"/>
              <w:bottom w:val="single" w:color="auto" w:sz="4" w:space="0"/>
              <w:right w:val="single" w:color="auto" w:sz="4" w:space="0"/>
            </w:tcBorders>
            <w:noWrap w:val="0"/>
            <w:vAlign w:val="top"/>
          </w:tcPr>
          <w:p w14:paraId="0B7A091F">
            <w:pPr>
              <w:spacing w:line="440" w:lineRule="exact"/>
              <w:rPr>
                <w:rFonts w:hint="eastAsia" w:ascii="宋体" w:hAnsi="宋体" w:eastAsia="宋体" w:cs="宋体"/>
                <w:color w:val="auto"/>
                <w:kern w:val="0"/>
                <w:szCs w:val="21"/>
                <w:highlight w:val="none"/>
                <w:lang w:bidi="ar"/>
              </w:rPr>
            </w:pPr>
            <w:r>
              <w:rPr>
                <w:rFonts w:hint="eastAsia" w:ascii="宋体" w:hAnsi="宋体" w:eastAsia="宋体" w:cs="宋体"/>
                <w:b w:val="0"/>
                <w:bCs w:val="0"/>
                <w:color w:val="auto"/>
                <w:kern w:val="0"/>
                <w:sz w:val="21"/>
                <w:szCs w:val="21"/>
                <w:highlight w:val="none"/>
                <w:lang w:bidi="ar"/>
              </w:rPr>
              <w:t>（</w:t>
            </w:r>
            <w:r>
              <w:rPr>
                <w:rFonts w:hint="eastAsia" w:ascii="宋体" w:hAnsi="宋体" w:eastAsia="宋体" w:cs="宋体"/>
                <w:b w:val="0"/>
                <w:bCs w:val="0"/>
                <w:color w:val="auto"/>
                <w:kern w:val="0"/>
                <w:sz w:val="21"/>
                <w:szCs w:val="21"/>
                <w:highlight w:val="none"/>
                <w:lang w:val="en-US" w:eastAsia="zh-CN" w:bidi="ar"/>
              </w:rPr>
              <w:t>二</w:t>
            </w:r>
            <w:r>
              <w:rPr>
                <w:rFonts w:hint="eastAsia" w:ascii="宋体" w:hAnsi="宋体" w:eastAsia="宋体" w:cs="宋体"/>
                <w:b w:val="0"/>
                <w:bCs w:val="0"/>
                <w:color w:val="auto"/>
                <w:kern w:val="0"/>
                <w:sz w:val="21"/>
                <w:szCs w:val="21"/>
                <w:highlight w:val="none"/>
                <w:lang w:bidi="ar"/>
              </w:rPr>
              <w:t>）进口产品说明</w:t>
            </w:r>
          </w:p>
        </w:tc>
      </w:tr>
      <w:tr w14:paraId="5CECB2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41" w:type="dxa"/>
            <w:gridSpan w:val="4"/>
            <w:tcBorders>
              <w:top w:val="single" w:color="auto" w:sz="4" w:space="0"/>
              <w:left w:val="single" w:color="auto" w:sz="4" w:space="0"/>
              <w:bottom w:val="single" w:color="auto" w:sz="4" w:space="0"/>
              <w:right w:val="single" w:color="auto" w:sz="4" w:space="0"/>
            </w:tcBorders>
            <w:noWrap w:val="0"/>
            <w:vAlign w:val="center"/>
          </w:tcPr>
          <w:p w14:paraId="13A72B03">
            <w:pPr>
              <w:spacing w:line="440" w:lineRule="exact"/>
              <w:rPr>
                <w:rFonts w:hint="eastAsia" w:ascii="宋体" w:hAnsi="宋体" w:eastAsia="宋体" w:cs="宋体"/>
                <w:bCs/>
                <w:color w:val="auto"/>
                <w:szCs w:val="21"/>
                <w:highlight w:val="none"/>
              </w:rPr>
            </w:pPr>
            <w:r>
              <w:rPr>
                <w:rFonts w:hint="eastAsia" w:ascii="宋体" w:hAnsi="宋体" w:eastAsia="宋体" w:cs="宋体"/>
                <w:b w:val="0"/>
                <w:bCs w:val="0"/>
                <w:color w:val="auto"/>
                <w:sz w:val="21"/>
                <w:szCs w:val="21"/>
                <w:highlight w:val="none"/>
              </w:rPr>
              <w:t>进口产品说明</w:t>
            </w:r>
          </w:p>
        </w:tc>
        <w:tc>
          <w:tcPr>
            <w:tcW w:w="7123" w:type="dxa"/>
            <w:gridSpan w:val="5"/>
            <w:tcBorders>
              <w:top w:val="single" w:color="auto" w:sz="4" w:space="0"/>
              <w:left w:val="single" w:color="auto" w:sz="4" w:space="0"/>
              <w:bottom w:val="single" w:color="auto" w:sz="4" w:space="0"/>
              <w:right w:val="single" w:color="auto" w:sz="4" w:space="0"/>
            </w:tcBorders>
            <w:noWrap w:val="0"/>
            <w:vAlign w:val="top"/>
          </w:tcPr>
          <w:p w14:paraId="4916FDB0">
            <w:pPr>
              <w:spacing w:line="440" w:lineRule="exact"/>
              <w:rPr>
                <w:color w:val="auto"/>
                <w:highlight w:val="none"/>
              </w:rPr>
            </w:pPr>
            <w:r>
              <w:rPr>
                <w:rFonts w:hint="eastAsia" w:ascii="宋体" w:hAnsi="宋体" w:eastAsia="宋体" w:cs="宋体"/>
                <w:b/>
                <w:bCs/>
                <w:color w:val="auto"/>
                <w:sz w:val="21"/>
                <w:szCs w:val="21"/>
                <w:highlight w:val="none"/>
              </w:rPr>
              <w:t>本分标货物不接受进口产品（即通过中国海关报关验放进入中国境内且</w:t>
            </w:r>
            <w:r>
              <w:rPr>
                <w:rFonts w:hint="eastAsia" w:ascii="宋体" w:hAnsi="宋体" w:eastAsia="宋体" w:cs="宋体"/>
                <w:b/>
                <w:bCs/>
                <w:color w:val="auto"/>
                <w:sz w:val="21"/>
                <w:szCs w:val="21"/>
                <w:highlight w:val="none"/>
                <w:lang w:eastAsia="zh-CN"/>
              </w:rPr>
              <w:t>产自境外的产品</w:t>
            </w:r>
            <w:r>
              <w:rPr>
                <w:rFonts w:hint="eastAsia" w:ascii="宋体" w:hAnsi="宋体" w:eastAsia="宋体" w:cs="宋体"/>
                <w:b/>
                <w:bCs/>
                <w:color w:val="auto"/>
                <w:sz w:val="21"/>
                <w:szCs w:val="21"/>
                <w:highlight w:val="none"/>
              </w:rPr>
              <w:t>）参与投标，</w:t>
            </w:r>
            <w:r>
              <w:rPr>
                <w:rFonts w:hint="eastAsia" w:ascii="宋体" w:hAnsi="宋体" w:eastAsia="宋体" w:cs="宋体"/>
                <w:b/>
                <w:bCs/>
                <w:color w:val="auto"/>
                <w:sz w:val="21"/>
                <w:szCs w:val="21"/>
                <w:highlight w:val="none"/>
                <w:lang w:eastAsia="zh-CN"/>
              </w:rPr>
              <w:t>如有进口产品参与投标的，其投标文件按无效处理</w:t>
            </w:r>
            <w:r>
              <w:rPr>
                <w:rFonts w:hint="eastAsia" w:ascii="宋体" w:hAnsi="宋体" w:eastAsia="宋体" w:cs="宋体"/>
                <w:b/>
                <w:bCs/>
                <w:color w:val="auto"/>
                <w:sz w:val="21"/>
                <w:szCs w:val="21"/>
                <w:highlight w:val="none"/>
              </w:rPr>
              <w:t>。</w:t>
            </w:r>
          </w:p>
        </w:tc>
      </w:tr>
      <w:tr w14:paraId="7CA13D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64" w:type="dxa"/>
            <w:gridSpan w:val="9"/>
            <w:tcBorders>
              <w:top w:val="single" w:color="auto" w:sz="4" w:space="0"/>
              <w:left w:val="single" w:color="auto" w:sz="4" w:space="0"/>
              <w:bottom w:val="single" w:color="auto" w:sz="4" w:space="0"/>
              <w:right w:val="single" w:color="auto" w:sz="4" w:space="0"/>
            </w:tcBorders>
            <w:noWrap w:val="0"/>
            <w:vAlign w:val="center"/>
          </w:tcPr>
          <w:p w14:paraId="2AC1E72C">
            <w:pPr>
              <w:spacing w:line="440" w:lineRule="exac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三</w:t>
            </w:r>
            <w:r>
              <w:rPr>
                <w:rFonts w:hint="eastAsia" w:ascii="宋体" w:hAnsi="宋体" w:eastAsia="宋体" w:cs="宋体"/>
                <w:color w:val="auto"/>
                <w:kern w:val="0"/>
                <w:szCs w:val="21"/>
                <w:highlight w:val="none"/>
                <w:lang w:bidi="ar"/>
              </w:rPr>
              <w:t>）其他要求</w:t>
            </w:r>
          </w:p>
        </w:tc>
      </w:tr>
      <w:tr w14:paraId="462F44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8" w:type="dxa"/>
            <w:gridSpan w:val="3"/>
            <w:tcBorders>
              <w:top w:val="single" w:color="auto" w:sz="4" w:space="0"/>
              <w:left w:val="single" w:color="auto" w:sz="4" w:space="0"/>
              <w:bottom w:val="single" w:color="auto" w:sz="4" w:space="0"/>
              <w:right w:val="single" w:color="auto" w:sz="4" w:space="0"/>
            </w:tcBorders>
            <w:noWrap w:val="0"/>
            <w:vAlign w:val="center"/>
          </w:tcPr>
          <w:p w14:paraId="710DC099">
            <w:pPr>
              <w:spacing w:line="44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其他要求</w:t>
            </w:r>
          </w:p>
        </w:tc>
        <w:tc>
          <w:tcPr>
            <w:tcW w:w="7126" w:type="dxa"/>
            <w:gridSpan w:val="6"/>
            <w:tcBorders>
              <w:top w:val="single" w:color="auto" w:sz="4" w:space="0"/>
              <w:left w:val="single" w:color="auto" w:sz="4" w:space="0"/>
              <w:bottom w:val="single" w:color="auto" w:sz="4" w:space="0"/>
              <w:right w:val="single" w:color="auto" w:sz="4" w:space="0"/>
            </w:tcBorders>
            <w:noWrap w:val="0"/>
            <w:vAlign w:val="top"/>
          </w:tcPr>
          <w:p w14:paraId="77E67C6D">
            <w:pPr>
              <w:widowControl/>
              <w:numPr>
                <w:ilvl w:val="-1"/>
                <w:numId w:val="0"/>
              </w:numPr>
              <w:spacing w:line="440" w:lineRule="exact"/>
              <w:ind w:left="0" w:firstLine="0"/>
              <w:jc w:val="left"/>
              <w:rPr>
                <w:rFonts w:hint="eastAsia" w:ascii="宋体" w:hAnsi="宋体" w:eastAsia="宋体" w:cs="宋体"/>
                <w:bCs/>
                <w:color w:val="auto"/>
                <w:szCs w:val="21"/>
                <w:highlight w:val="none"/>
              </w:rPr>
            </w:pPr>
            <w:r>
              <w:rPr>
                <w:rFonts w:hint="eastAsia" w:ascii="宋体" w:hAnsi="宋体" w:eastAsia="宋体" w:cs="宋体"/>
                <w:b w:val="0"/>
                <w:bCs/>
                <w:color w:val="auto"/>
                <w:szCs w:val="21"/>
                <w:highlight w:val="none"/>
              </w:rPr>
              <w:t>1.为保</w:t>
            </w:r>
            <w:r>
              <w:rPr>
                <w:rFonts w:hint="eastAsia" w:ascii="宋体" w:hAnsi="宋体" w:eastAsia="宋体" w:cs="宋体"/>
                <w:bCs/>
                <w:color w:val="auto"/>
                <w:szCs w:val="21"/>
                <w:highlight w:val="none"/>
              </w:rPr>
              <w:t>证项目顺利实施，</w:t>
            </w:r>
            <w:r>
              <w:rPr>
                <w:rFonts w:hint="eastAsia" w:ascii="宋体" w:hAnsi="宋体" w:eastAsia="宋体" w:cs="宋体"/>
                <w:bCs/>
                <w:color w:val="auto"/>
                <w:szCs w:val="21"/>
                <w:highlight w:val="none"/>
                <w:lang w:eastAsia="zh-CN"/>
              </w:rPr>
              <w:t>投标人可根据自身情况在投标文件中提供项目实施方案</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包括但不限于对项目实施的理解、具体实施流程、进度安排、供货及安装调试方案、质量保证措施等</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lang w:eastAsia="zh-CN"/>
              </w:rPr>
              <w:t>、设计方案</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包括但不限于救护车内部改装设计图纸、救护车性能方案说明、救护车的改装工艺等</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lang w:eastAsia="zh-CN"/>
              </w:rPr>
              <w:t>售后服务方案</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包括但不限于售后服务流程、应急响应方案和排除故障响应时间、人员培训方案、质保期内的备品备件及保养方案等</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lang w:eastAsia="zh-CN"/>
              </w:rPr>
              <w:t>等内容</w:t>
            </w:r>
            <w:r>
              <w:rPr>
                <w:rFonts w:hint="eastAsia" w:ascii="宋体" w:hAnsi="宋体" w:eastAsia="宋体" w:cs="宋体"/>
                <w:bCs/>
                <w:color w:val="auto"/>
                <w:szCs w:val="21"/>
                <w:highlight w:val="none"/>
              </w:rPr>
              <w:t>。</w:t>
            </w:r>
          </w:p>
          <w:p w14:paraId="2BC01E66">
            <w:pPr>
              <w:widowControl/>
              <w:numPr>
                <w:ilvl w:val="-1"/>
                <w:numId w:val="0"/>
              </w:numPr>
              <w:spacing w:line="440" w:lineRule="exact"/>
              <w:ind w:left="0" w:firstLine="0"/>
              <w:jc w:val="left"/>
              <w:rPr>
                <w:rFonts w:hint="eastAsia" w:ascii="宋体" w:hAnsi="宋体" w:eastAsia="宋体" w:cs="宋体"/>
                <w:bCs/>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投标人必须承担安装调试和提供设备使用说明书等其他类似的义务。</w:t>
            </w:r>
          </w:p>
        </w:tc>
      </w:tr>
    </w:tbl>
    <w:p w14:paraId="524608CD">
      <w:pPr>
        <w:rPr>
          <w:color w:val="auto"/>
          <w:highlight w:val="none"/>
        </w:rPr>
      </w:pPr>
      <w:r>
        <w:rPr>
          <w:color w:val="auto"/>
          <w:highlight w:val="none"/>
        </w:rPr>
        <w:br w:type="page"/>
      </w:r>
    </w:p>
    <w:p w14:paraId="16C5D496">
      <w:pPr>
        <w:rPr>
          <w:color w:val="auto"/>
          <w:highlight w:val="none"/>
        </w:rPr>
      </w:pPr>
    </w:p>
    <w:p w14:paraId="664B1F9A">
      <w:pPr>
        <w:pStyle w:val="17"/>
        <w:rPr>
          <w:rFonts w:hint="eastAsia" w:ascii="Arial Unicode MS" w:hAnsi="Arial Unicode MS" w:eastAsia="Arial Unicode MS" w:cs="Arial Unicode MS"/>
          <w:color w:val="auto"/>
          <w:highlight w:val="none"/>
        </w:rPr>
      </w:pPr>
      <w:r>
        <w:rPr>
          <w:rFonts w:hint="eastAsia"/>
          <w:color w:val="auto"/>
          <w:highlight w:val="none"/>
        </w:rPr>
        <w:t>附件1：</w:t>
      </w:r>
    </w:p>
    <w:p w14:paraId="7F42F446">
      <w:pPr>
        <w:spacing w:before="7"/>
        <w:rPr>
          <w:rFonts w:hint="eastAsia" w:ascii="Arial Unicode MS" w:hAnsi="Arial Unicode MS" w:eastAsia="Arial Unicode MS" w:cs="Arial Unicode MS"/>
          <w:color w:val="auto"/>
          <w:sz w:val="17"/>
          <w:szCs w:val="17"/>
          <w:highlight w:val="none"/>
        </w:rPr>
      </w:pPr>
    </w:p>
    <w:p w14:paraId="7D4F4998">
      <w:pPr>
        <w:spacing w:line="528" w:lineRule="exact"/>
        <w:ind w:left="1871"/>
        <w:rPr>
          <w:rFonts w:hint="eastAsia" w:ascii="Arial Unicode MS" w:hAnsi="Arial Unicode MS" w:eastAsia="Arial Unicode MS" w:cs="Arial Unicode MS"/>
          <w:color w:val="auto"/>
          <w:sz w:val="40"/>
          <w:szCs w:val="40"/>
          <w:highlight w:val="none"/>
        </w:rPr>
      </w:pPr>
      <w:r>
        <w:rPr>
          <w:rFonts w:hint="eastAsia" w:ascii="方正小标宋简体" w:hAnsi="方正小标宋简体" w:eastAsia="方正小标宋简体" w:cs="方正小标宋简体"/>
          <w:color w:val="auto"/>
          <w:sz w:val="44"/>
          <w:szCs w:val="44"/>
          <w:highlight w:val="none"/>
        </w:rPr>
        <w:t>节能产品政府采购品目清单</w:t>
      </w:r>
    </w:p>
    <w:tbl>
      <w:tblPr>
        <w:tblStyle w:val="4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22"/>
        <w:gridCol w:w="1496"/>
        <w:gridCol w:w="1481"/>
        <w:gridCol w:w="3452"/>
      </w:tblGrid>
      <w:tr w14:paraId="0C50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31C00A6">
            <w:pPr>
              <w:jc w:val="center"/>
              <w:rPr>
                <w:rFonts w:ascii="Calibri" w:hAnsi="Calibri"/>
                <w:color w:val="auto"/>
                <w:szCs w:val="22"/>
                <w:highlight w:val="none"/>
              </w:rPr>
            </w:pPr>
            <w:r>
              <w:rPr>
                <w:rFonts w:hint="eastAsia" w:ascii="宋体" w:hAnsi="宋体" w:cs="宋体"/>
                <w:b/>
                <w:bCs/>
                <w:color w:val="auto"/>
                <w:w w:val="99"/>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3F9C82B5">
            <w:pPr>
              <w:jc w:val="center"/>
              <w:rPr>
                <w:rFonts w:ascii="Calibri" w:hAnsi="Calibri"/>
                <w:color w:val="auto"/>
                <w:szCs w:val="22"/>
                <w:highlight w:val="none"/>
              </w:rPr>
            </w:pPr>
            <w:r>
              <w:rPr>
                <w:rFonts w:hint="eastAsia" w:ascii="宋体" w:hAnsi="宋体" w:cs="宋体"/>
                <w:b/>
                <w:bCs/>
                <w:color w:val="auto"/>
                <w:w w:val="99"/>
                <w:highlight w:val="none"/>
              </w:rPr>
              <w:t>名称</w:t>
            </w:r>
          </w:p>
        </w:tc>
        <w:tc>
          <w:tcPr>
            <w:tcW w:w="3452" w:type="dxa"/>
            <w:tcBorders>
              <w:top w:val="single" w:color="000000" w:sz="4" w:space="0"/>
              <w:left w:val="single" w:color="000000" w:sz="4" w:space="0"/>
              <w:bottom w:val="single" w:color="000000" w:sz="4" w:space="0"/>
              <w:right w:val="single" w:color="000000" w:sz="4" w:space="0"/>
            </w:tcBorders>
            <w:vAlign w:val="center"/>
          </w:tcPr>
          <w:p w14:paraId="60AD2242">
            <w:pPr>
              <w:jc w:val="center"/>
              <w:rPr>
                <w:rFonts w:ascii="Calibri" w:hAnsi="Calibri"/>
                <w:color w:val="auto"/>
                <w:szCs w:val="22"/>
                <w:highlight w:val="none"/>
              </w:rPr>
            </w:pPr>
            <w:r>
              <w:rPr>
                <w:rFonts w:hint="eastAsia" w:ascii="宋体" w:hAnsi="宋体" w:cs="宋体"/>
                <w:b/>
                <w:bCs/>
                <w:color w:val="auto"/>
                <w:w w:val="99"/>
                <w:highlight w:val="none"/>
              </w:rPr>
              <w:t>依据的标准</w:t>
            </w:r>
          </w:p>
        </w:tc>
      </w:tr>
      <w:tr w14:paraId="5707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2ACA8A08">
            <w:pPr>
              <w:jc w:val="center"/>
              <w:rPr>
                <w:rFonts w:hint="eastAsia" w:ascii="宋体" w:hAnsi="宋体"/>
                <w:color w:val="auto"/>
                <w:szCs w:val="21"/>
                <w:highlight w:val="none"/>
              </w:rPr>
            </w:pPr>
            <w:r>
              <w:rPr>
                <w:rFonts w:hint="eastAsia" w:ascii="宋体" w:hAnsi="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3684231">
            <w:pPr>
              <w:jc w:val="center"/>
              <w:rPr>
                <w:rFonts w:hint="eastAsia" w:ascii="宋体" w:hAnsi="宋体"/>
                <w:color w:val="auto"/>
                <w:szCs w:val="21"/>
                <w:highlight w:val="none"/>
              </w:rPr>
            </w:pPr>
            <w:r>
              <w:rPr>
                <w:rFonts w:hint="eastAsia" w:ascii="宋体" w:hAnsi="宋体" w:cs="仿宋_GB2312"/>
                <w:color w:val="auto"/>
                <w:szCs w:val="21"/>
                <w:highlight w:val="none"/>
              </w:rPr>
              <w:t>A02010100</w:t>
            </w:r>
            <w:r>
              <w:rPr>
                <w:rFonts w:hint="eastAsia" w:ascii="宋体" w:hAnsi="宋体" w:cs="宋体"/>
                <w:color w:val="auto"/>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38487426">
            <w:pPr>
              <w:pStyle w:val="105"/>
              <w:spacing w:before="93"/>
              <w:ind w:left="7"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A02010105</w:t>
            </w:r>
            <w:r>
              <w:rPr>
                <w:rFonts w:hint="eastAsia" w:ascii="宋体" w:hAnsi="宋体" w:cs="宋体"/>
                <w:color w:val="auto"/>
                <w:w w:val="99"/>
                <w:kern w:val="2"/>
                <w:sz w:val="21"/>
                <w:szCs w:val="21"/>
                <w:highlight w:val="none"/>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B32E679">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B219CF6">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762E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449A24F">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E02BECC">
            <w:pPr>
              <w:widowControl/>
              <w:jc w:val="left"/>
              <w:rPr>
                <w:rFonts w:hint="eastAsia"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A2F9F05">
            <w:pPr>
              <w:pStyle w:val="105"/>
              <w:spacing w:before="44"/>
              <w:ind w:left="7"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A02010108</w:t>
            </w:r>
            <w:r>
              <w:rPr>
                <w:rFonts w:hint="eastAsia" w:ascii="宋体" w:hAnsi="宋体" w:cs="宋体"/>
                <w:color w:val="auto"/>
                <w:w w:val="99"/>
                <w:kern w:val="2"/>
                <w:sz w:val="21"/>
                <w:szCs w:val="21"/>
                <w:highlight w:val="none"/>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6FC45F68">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01D10E2">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16FC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76A5C90">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846EA56">
            <w:pPr>
              <w:widowControl/>
              <w:jc w:val="left"/>
              <w:rPr>
                <w:rFonts w:hint="eastAsia"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DDABFCE">
            <w:pPr>
              <w:pStyle w:val="105"/>
              <w:spacing w:before="64"/>
              <w:ind w:left="7" w:right="5"/>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w:t>
            </w:r>
            <w:r>
              <w:rPr>
                <w:rFonts w:hint="eastAsia" w:ascii="宋体" w:hAnsi="宋体" w:cs="仿宋_GB2312"/>
                <w:color w:val="auto"/>
                <w:kern w:val="2"/>
                <w:sz w:val="21"/>
                <w:szCs w:val="21"/>
                <w:highlight w:val="none"/>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74F716C">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AEA246B">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0460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A4978B3">
            <w:pPr>
              <w:jc w:val="center"/>
              <w:rPr>
                <w:rFonts w:hint="eastAsia" w:ascii="宋体" w:hAnsi="宋体"/>
                <w:color w:val="auto"/>
                <w:szCs w:val="21"/>
                <w:highlight w:val="none"/>
              </w:rPr>
            </w:pPr>
            <w:r>
              <w:rPr>
                <w:rFonts w:hint="eastAsia" w:ascii="宋体" w:hAnsi="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718C282">
            <w:pPr>
              <w:pStyle w:val="105"/>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A02020000</w:t>
            </w:r>
            <w:r>
              <w:rPr>
                <w:rFonts w:hint="eastAsia" w:ascii="宋体" w:hAnsi="宋体" w:cs="宋体"/>
                <w:color w:val="auto"/>
                <w:w w:val="99"/>
                <w:kern w:val="2"/>
                <w:sz w:val="21"/>
                <w:szCs w:val="21"/>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25E59765">
            <w:pPr>
              <w:jc w:val="center"/>
              <w:rPr>
                <w:rFonts w:hint="eastAsia" w:ascii="宋体" w:hAnsi="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Arial"/>
                <w:color w:val="auto"/>
                <w:szCs w:val="21"/>
                <w:highlight w:val="none"/>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4EF1B14">
            <w:pPr>
              <w:jc w:val="center"/>
              <w:rPr>
                <w:rFonts w:hint="eastAsia" w:ascii="宋体" w:hAnsi="宋体"/>
                <w:color w:val="auto"/>
                <w:szCs w:val="21"/>
                <w:highlight w:val="none"/>
              </w:rPr>
            </w:pPr>
            <w:r>
              <w:rPr>
                <w:rFonts w:hint="eastAsia" w:ascii="宋体" w:hAnsi="宋体"/>
                <w:color w:val="auto"/>
                <w:szCs w:val="21"/>
                <w:highlight w:val="none"/>
              </w:rPr>
              <w:t>A02021001 A3黑白打印机</w:t>
            </w:r>
          </w:p>
        </w:tc>
        <w:tc>
          <w:tcPr>
            <w:tcW w:w="3452" w:type="dxa"/>
            <w:tcBorders>
              <w:top w:val="single" w:color="000000" w:sz="4" w:space="0"/>
              <w:left w:val="single" w:color="000000" w:sz="4" w:space="0"/>
              <w:bottom w:val="single" w:color="000000" w:sz="4" w:space="0"/>
              <w:right w:val="single" w:color="000000" w:sz="4" w:space="0"/>
            </w:tcBorders>
          </w:tcPr>
          <w:p w14:paraId="07E38CDF">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0EB7F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4E3BA95">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36A2D03">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5B86C0C">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F259C5D">
            <w:pPr>
              <w:jc w:val="center"/>
              <w:rPr>
                <w:rFonts w:hint="eastAsia" w:ascii="宋体" w:hAnsi="宋体"/>
                <w:color w:val="auto"/>
                <w:szCs w:val="21"/>
                <w:highlight w:val="none"/>
              </w:rPr>
            </w:pPr>
            <w:r>
              <w:rPr>
                <w:rFonts w:hint="eastAsia" w:ascii="宋体" w:hAnsi="宋体"/>
                <w:color w:val="auto"/>
                <w:szCs w:val="21"/>
                <w:highlight w:val="none"/>
              </w:rPr>
              <w:t>A02021002 A3彩色打印机</w:t>
            </w:r>
          </w:p>
        </w:tc>
        <w:tc>
          <w:tcPr>
            <w:tcW w:w="3452" w:type="dxa"/>
            <w:tcBorders>
              <w:top w:val="single" w:color="000000" w:sz="4" w:space="0"/>
              <w:left w:val="single" w:color="000000" w:sz="4" w:space="0"/>
              <w:bottom w:val="single" w:color="000000" w:sz="4" w:space="0"/>
              <w:right w:val="single" w:color="000000" w:sz="4" w:space="0"/>
            </w:tcBorders>
          </w:tcPr>
          <w:p w14:paraId="409D1CB7">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590F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AECA743">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599421C">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3E6BE48">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7AD95AB">
            <w:pPr>
              <w:jc w:val="center"/>
              <w:rPr>
                <w:rFonts w:hint="eastAsia" w:ascii="宋体" w:hAnsi="宋体"/>
                <w:color w:val="auto"/>
                <w:szCs w:val="21"/>
                <w:highlight w:val="none"/>
              </w:rPr>
            </w:pPr>
            <w:r>
              <w:rPr>
                <w:rFonts w:hint="eastAsia" w:ascii="宋体" w:hAnsi="宋体"/>
                <w:color w:val="auto"/>
                <w:szCs w:val="21"/>
                <w:highlight w:val="none"/>
              </w:rPr>
              <w:t>A02021003 A4黑白打印机</w:t>
            </w:r>
          </w:p>
        </w:tc>
        <w:tc>
          <w:tcPr>
            <w:tcW w:w="3452" w:type="dxa"/>
            <w:tcBorders>
              <w:top w:val="single" w:color="000000" w:sz="4" w:space="0"/>
              <w:left w:val="single" w:color="000000" w:sz="4" w:space="0"/>
              <w:bottom w:val="single" w:color="000000" w:sz="4" w:space="0"/>
              <w:right w:val="single" w:color="000000" w:sz="4" w:space="0"/>
            </w:tcBorders>
          </w:tcPr>
          <w:p w14:paraId="5941E8E5">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15D6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1853553">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2EB2A81">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EDBB418">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F293F2E">
            <w:pPr>
              <w:jc w:val="center"/>
              <w:rPr>
                <w:rFonts w:hint="eastAsia" w:ascii="宋体" w:hAnsi="宋体"/>
                <w:color w:val="auto"/>
                <w:szCs w:val="21"/>
                <w:highlight w:val="none"/>
              </w:rPr>
            </w:pPr>
            <w:r>
              <w:rPr>
                <w:rFonts w:hint="eastAsia" w:ascii="宋体" w:hAnsi="宋体"/>
                <w:color w:val="auto"/>
                <w:szCs w:val="21"/>
                <w:highlight w:val="none"/>
              </w:rPr>
              <w:t>A02021004 A4彩色打印机</w:t>
            </w:r>
          </w:p>
        </w:tc>
        <w:tc>
          <w:tcPr>
            <w:tcW w:w="3452" w:type="dxa"/>
            <w:tcBorders>
              <w:top w:val="single" w:color="000000" w:sz="4" w:space="0"/>
              <w:left w:val="single" w:color="000000" w:sz="4" w:space="0"/>
              <w:bottom w:val="single" w:color="000000" w:sz="4" w:space="0"/>
              <w:right w:val="single" w:color="000000" w:sz="4" w:space="0"/>
            </w:tcBorders>
          </w:tcPr>
          <w:p w14:paraId="5EA8C3E6">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0B47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35235C1">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BEA500E">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F49BCEE">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CF391BD">
            <w:pPr>
              <w:jc w:val="center"/>
              <w:rPr>
                <w:rFonts w:hint="eastAsia" w:ascii="宋体" w:hAnsi="宋体"/>
                <w:color w:val="auto"/>
                <w:szCs w:val="21"/>
                <w:highlight w:val="none"/>
              </w:rPr>
            </w:pPr>
            <w:r>
              <w:rPr>
                <w:rFonts w:hint="eastAsia" w:ascii="宋体" w:hAnsi="宋体"/>
                <w:color w:val="auto"/>
                <w:szCs w:val="21"/>
                <w:highlight w:val="none"/>
              </w:rPr>
              <w:t>A02021005 3D打印机</w:t>
            </w:r>
          </w:p>
        </w:tc>
        <w:tc>
          <w:tcPr>
            <w:tcW w:w="3452" w:type="dxa"/>
            <w:tcBorders>
              <w:top w:val="single" w:color="000000" w:sz="4" w:space="0"/>
              <w:left w:val="single" w:color="000000" w:sz="4" w:space="0"/>
              <w:bottom w:val="single" w:color="000000" w:sz="4" w:space="0"/>
              <w:right w:val="single" w:color="000000" w:sz="4" w:space="0"/>
            </w:tcBorders>
          </w:tcPr>
          <w:p w14:paraId="43AC6418">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1721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C918202">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17D6F73">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08684F6">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35F2D81">
            <w:pPr>
              <w:jc w:val="center"/>
              <w:rPr>
                <w:rFonts w:hint="eastAsia" w:ascii="宋体" w:hAnsi="宋体"/>
                <w:color w:val="auto"/>
                <w:szCs w:val="21"/>
                <w:highlight w:val="none"/>
              </w:rPr>
            </w:pPr>
            <w:r>
              <w:rPr>
                <w:rFonts w:hint="eastAsia" w:ascii="宋体" w:hAnsi="宋体"/>
                <w:color w:val="auto"/>
                <w:szCs w:val="21"/>
                <w:highlight w:val="none"/>
              </w:rPr>
              <w:t>A02021006票据打印机</w:t>
            </w:r>
          </w:p>
        </w:tc>
        <w:tc>
          <w:tcPr>
            <w:tcW w:w="3452" w:type="dxa"/>
            <w:tcBorders>
              <w:top w:val="single" w:color="000000" w:sz="4" w:space="0"/>
              <w:left w:val="single" w:color="000000" w:sz="4" w:space="0"/>
              <w:bottom w:val="single" w:color="000000" w:sz="4" w:space="0"/>
              <w:right w:val="single" w:color="000000" w:sz="4" w:space="0"/>
            </w:tcBorders>
          </w:tcPr>
          <w:p w14:paraId="21C52E32">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6144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8B5765C">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8DF935B">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4F0127A">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95077E8">
            <w:pPr>
              <w:jc w:val="center"/>
              <w:rPr>
                <w:rFonts w:hint="eastAsia" w:ascii="宋体" w:hAnsi="宋体"/>
                <w:color w:val="auto"/>
                <w:szCs w:val="21"/>
                <w:highlight w:val="none"/>
              </w:rPr>
            </w:pPr>
            <w:r>
              <w:rPr>
                <w:rFonts w:hint="eastAsia" w:ascii="宋体" w:hAnsi="宋体"/>
                <w:color w:val="auto"/>
                <w:szCs w:val="21"/>
                <w:highlight w:val="none"/>
              </w:rPr>
              <w:t>A02021007条码打印机</w:t>
            </w:r>
          </w:p>
        </w:tc>
        <w:tc>
          <w:tcPr>
            <w:tcW w:w="3452" w:type="dxa"/>
            <w:tcBorders>
              <w:top w:val="single" w:color="000000" w:sz="4" w:space="0"/>
              <w:left w:val="single" w:color="000000" w:sz="4" w:space="0"/>
              <w:bottom w:val="single" w:color="000000" w:sz="4" w:space="0"/>
              <w:right w:val="single" w:color="000000" w:sz="4" w:space="0"/>
            </w:tcBorders>
          </w:tcPr>
          <w:p w14:paraId="245A714B">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000CD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1B48D20">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870B251">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1CB71C2">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3BE3823">
            <w:pPr>
              <w:jc w:val="center"/>
              <w:rPr>
                <w:rFonts w:hint="eastAsia" w:ascii="宋体" w:hAnsi="宋体"/>
                <w:color w:val="auto"/>
                <w:szCs w:val="21"/>
                <w:highlight w:val="none"/>
              </w:rPr>
            </w:pPr>
            <w:r>
              <w:rPr>
                <w:rFonts w:hint="eastAsia" w:ascii="宋体" w:hAnsi="宋体"/>
                <w:color w:val="auto"/>
                <w:szCs w:val="21"/>
                <w:highlight w:val="none"/>
              </w:rPr>
              <w:t>A02021008地址打印机</w:t>
            </w:r>
          </w:p>
        </w:tc>
        <w:tc>
          <w:tcPr>
            <w:tcW w:w="3452" w:type="dxa"/>
            <w:tcBorders>
              <w:top w:val="single" w:color="000000" w:sz="4" w:space="0"/>
              <w:left w:val="single" w:color="000000" w:sz="4" w:space="0"/>
              <w:bottom w:val="single" w:color="000000" w:sz="4" w:space="0"/>
              <w:right w:val="single" w:color="000000" w:sz="4" w:space="0"/>
            </w:tcBorders>
          </w:tcPr>
          <w:p w14:paraId="1FB1F253">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15EB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F860C51">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7F32A8E">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82E4289">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50E5820">
            <w:pPr>
              <w:jc w:val="center"/>
              <w:rPr>
                <w:rFonts w:hint="eastAsia" w:ascii="宋体" w:hAnsi="宋体"/>
                <w:color w:val="auto"/>
                <w:szCs w:val="21"/>
                <w:highlight w:val="none"/>
              </w:rPr>
            </w:pPr>
            <w:r>
              <w:rPr>
                <w:rFonts w:hint="eastAsia" w:ascii="宋体" w:hAnsi="宋体"/>
                <w:color w:val="auto"/>
                <w:szCs w:val="21"/>
                <w:highlight w:val="none"/>
              </w:rPr>
              <w:t>A02021099其他打印机</w:t>
            </w:r>
          </w:p>
        </w:tc>
        <w:tc>
          <w:tcPr>
            <w:tcW w:w="3452" w:type="dxa"/>
            <w:tcBorders>
              <w:top w:val="single" w:color="000000" w:sz="4" w:space="0"/>
              <w:left w:val="single" w:color="000000" w:sz="4" w:space="0"/>
              <w:bottom w:val="single" w:color="000000" w:sz="4" w:space="0"/>
              <w:right w:val="single" w:color="000000" w:sz="4" w:space="0"/>
            </w:tcBorders>
          </w:tcPr>
          <w:p w14:paraId="5AD6196A">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2FEC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57E80B3">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1FD9203">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E06D2BA">
            <w:pPr>
              <w:jc w:val="center"/>
              <w:rPr>
                <w:rFonts w:hint="eastAsia" w:ascii="宋体" w:hAnsi="宋体"/>
                <w:color w:val="auto"/>
                <w:szCs w:val="21"/>
                <w:highlight w:val="none"/>
              </w:rPr>
            </w:pPr>
            <w:r>
              <w:rPr>
                <w:rFonts w:hint="eastAsia" w:ascii="宋体" w:hAnsi="宋体"/>
                <w:color w:val="auto"/>
                <w:szCs w:val="21"/>
                <w:highlight w:val="none"/>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56FB0E36">
            <w:pPr>
              <w:jc w:val="center"/>
              <w:rPr>
                <w:rFonts w:hint="eastAsia" w:ascii="宋体" w:hAnsi="宋体"/>
                <w:color w:val="auto"/>
                <w:szCs w:val="21"/>
                <w:highlight w:val="none"/>
              </w:rPr>
            </w:pPr>
            <w:r>
              <w:rPr>
                <w:rFonts w:hint="eastAsia" w:ascii="宋体" w:hAnsi="宋体" w:cs="宋体"/>
                <w:color w:val="auto"/>
                <w:w w:val="99"/>
                <w:szCs w:val="21"/>
                <w:highlight w:val="none"/>
              </w:rPr>
              <w:t>★</w:t>
            </w:r>
            <w:r>
              <w:rPr>
                <w:rFonts w:hint="eastAsia" w:ascii="宋体" w:hAnsi="宋体"/>
                <w:color w:val="auto"/>
                <w:szCs w:val="21"/>
                <w:highlight w:val="none"/>
              </w:rPr>
              <w:t>A02021104液晶显示器</w:t>
            </w:r>
          </w:p>
        </w:tc>
        <w:tc>
          <w:tcPr>
            <w:tcW w:w="3452" w:type="dxa"/>
            <w:tcBorders>
              <w:top w:val="single" w:color="000000" w:sz="4" w:space="0"/>
              <w:left w:val="single" w:color="000000" w:sz="4" w:space="0"/>
              <w:bottom w:val="single" w:color="000000" w:sz="4" w:space="0"/>
              <w:right w:val="single" w:color="000000" w:sz="4" w:space="0"/>
            </w:tcBorders>
            <w:vAlign w:val="center"/>
          </w:tcPr>
          <w:p w14:paraId="1AC34165">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《计算机显示器能效限定值及能效等级》（GB21520）</w:t>
            </w:r>
          </w:p>
        </w:tc>
      </w:tr>
      <w:tr w14:paraId="28EB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AB8E2B8">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F5DDE6B">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9BA3977">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C13C472">
            <w:pPr>
              <w:jc w:val="center"/>
              <w:rPr>
                <w:rFonts w:hint="eastAsia" w:ascii="宋体" w:hAnsi="宋体"/>
                <w:color w:val="auto"/>
                <w:szCs w:val="21"/>
                <w:highlight w:val="none"/>
              </w:rPr>
            </w:pPr>
            <w:r>
              <w:rPr>
                <w:rFonts w:hint="eastAsia" w:ascii="宋体" w:hAnsi="宋体"/>
                <w:color w:val="auto"/>
                <w:szCs w:val="21"/>
                <w:highlight w:val="none"/>
              </w:rPr>
              <w:t>A02021118扫描仪</w:t>
            </w:r>
          </w:p>
        </w:tc>
        <w:tc>
          <w:tcPr>
            <w:tcW w:w="3452" w:type="dxa"/>
            <w:tcBorders>
              <w:top w:val="single" w:color="000000" w:sz="4" w:space="0"/>
              <w:left w:val="single" w:color="000000" w:sz="4" w:space="0"/>
              <w:bottom w:val="single" w:color="000000" w:sz="4" w:space="0"/>
              <w:right w:val="single" w:color="000000" w:sz="4" w:space="0"/>
            </w:tcBorders>
            <w:vAlign w:val="center"/>
          </w:tcPr>
          <w:p w14:paraId="60006FDC">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参照《复印机、打印机和传真机能效限定值及能效等级》（GB21521）中打印速度为15页/分的针式打印机相关要求</w:t>
            </w:r>
          </w:p>
        </w:tc>
      </w:tr>
      <w:tr w14:paraId="041E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25E72C1">
            <w:pPr>
              <w:jc w:val="center"/>
              <w:rPr>
                <w:rFonts w:hint="eastAsia" w:ascii="宋体" w:hAnsi="宋体"/>
                <w:color w:val="auto"/>
                <w:szCs w:val="21"/>
                <w:highlight w:val="none"/>
              </w:rPr>
            </w:pPr>
            <w:r>
              <w:rPr>
                <w:rFonts w:hint="eastAsia" w:ascii="宋体" w:hAnsi="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4C4A2E19">
            <w:pPr>
              <w:jc w:val="center"/>
              <w:rPr>
                <w:rFonts w:hint="eastAsia" w:ascii="宋体" w:hAnsi="宋体"/>
                <w:color w:val="auto"/>
                <w:szCs w:val="21"/>
                <w:highlight w:val="none"/>
              </w:rPr>
            </w:pPr>
            <w:r>
              <w:rPr>
                <w:rFonts w:hint="eastAsia" w:ascii="宋体" w:hAnsi="宋体"/>
                <w:color w:val="auto"/>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7E28F2C0">
            <w:pPr>
              <w:jc w:val="center"/>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ED7175C">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336B23F2">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《投影机能效限定值及能效等级》（GB32028）</w:t>
            </w:r>
          </w:p>
        </w:tc>
      </w:tr>
      <w:tr w14:paraId="3FCA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B80ECE9">
            <w:pPr>
              <w:jc w:val="center"/>
              <w:rPr>
                <w:rFonts w:hint="eastAsia" w:ascii="宋体" w:hAnsi="宋体"/>
                <w:color w:val="auto"/>
                <w:szCs w:val="21"/>
                <w:highlight w:val="none"/>
              </w:rPr>
            </w:pPr>
            <w:r>
              <w:rPr>
                <w:rFonts w:hint="eastAsia" w:ascii="宋体" w:hAnsi="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4BD2D078">
            <w:pPr>
              <w:pStyle w:val="105"/>
              <w:spacing w:before="66"/>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A02020400</w:t>
            </w:r>
            <w:r>
              <w:rPr>
                <w:rFonts w:hint="eastAsia" w:ascii="宋体" w:hAnsi="宋体" w:cs="宋体"/>
                <w:color w:val="auto"/>
                <w:w w:val="99"/>
                <w:kern w:val="2"/>
                <w:sz w:val="21"/>
                <w:szCs w:val="21"/>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7307281E">
            <w:pPr>
              <w:jc w:val="center"/>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7A65164">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54311CF7">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2559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6557573">
            <w:pPr>
              <w:pStyle w:val="105"/>
              <w:spacing w:before="160"/>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0987CAA7">
            <w:pPr>
              <w:pStyle w:val="105"/>
              <w:spacing w:before="160"/>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A02051900</w:t>
            </w:r>
            <w:r>
              <w:rPr>
                <w:rFonts w:hint="eastAsia" w:ascii="宋体" w:hAnsi="宋体" w:cs="宋体"/>
                <w:color w:val="auto"/>
                <w:w w:val="99"/>
                <w:kern w:val="2"/>
                <w:sz w:val="21"/>
                <w:szCs w:val="21"/>
                <w:highlight w:val="none"/>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473412CA">
            <w:pPr>
              <w:pStyle w:val="105"/>
              <w:spacing w:before="160"/>
              <w:ind w:left="7"/>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05</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22625F5D">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59DF12E">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《清水离心泵能效限定值及节能评价值》（GB19762）</w:t>
            </w:r>
          </w:p>
        </w:tc>
      </w:tr>
      <w:tr w14:paraId="1B73D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52414B56">
            <w:pPr>
              <w:jc w:val="center"/>
              <w:rPr>
                <w:rFonts w:hint="eastAsia" w:ascii="宋体" w:hAnsi="宋体"/>
                <w:color w:val="auto"/>
                <w:szCs w:val="21"/>
                <w:highlight w:val="none"/>
              </w:rPr>
            </w:pPr>
            <w:r>
              <w:rPr>
                <w:rFonts w:hint="eastAsia" w:ascii="宋体" w:hAnsi="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8C1DB82">
            <w:pPr>
              <w:pStyle w:val="105"/>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A02052300</w:t>
            </w:r>
            <w:r>
              <w:rPr>
                <w:rFonts w:hint="eastAsia" w:ascii="宋体" w:hAnsi="宋体" w:cs="宋体"/>
                <w:color w:val="auto"/>
                <w:w w:val="99"/>
                <w:kern w:val="2"/>
                <w:sz w:val="21"/>
                <w:szCs w:val="21"/>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EBE3ED1">
            <w:pPr>
              <w:pStyle w:val="105"/>
              <w:spacing w:line="276" w:lineRule="auto"/>
              <w:ind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52</w:t>
            </w:r>
            <w:r>
              <w:rPr>
                <w:rFonts w:hint="eastAsia" w:ascii="宋体" w:hAnsi="宋体" w:cs="宋体"/>
                <w:color w:val="auto"/>
                <w:spacing w:val="1"/>
                <w:w w:val="99"/>
                <w:kern w:val="2"/>
                <w:sz w:val="21"/>
                <w:szCs w:val="21"/>
                <w:highlight w:val="none"/>
              </w:rPr>
              <w:t>3</w:t>
            </w:r>
            <w:r>
              <w:rPr>
                <w:rFonts w:hint="eastAsia" w:ascii="宋体" w:hAnsi="宋体" w:cs="宋体"/>
                <w:color w:val="auto"/>
                <w:w w:val="99"/>
                <w:kern w:val="2"/>
                <w:sz w:val="21"/>
                <w:szCs w:val="21"/>
                <w:highlight w:val="none"/>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C053320">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冷水机组</w:t>
            </w:r>
          </w:p>
        </w:tc>
        <w:tc>
          <w:tcPr>
            <w:tcW w:w="3452" w:type="dxa"/>
            <w:tcBorders>
              <w:top w:val="single" w:color="000000" w:sz="4" w:space="0"/>
              <w:left w:val="single" w:color="000000" w:sz="4" w:space="0"/>
              <w:bottom w:val="single" w:color="000000" w:sz="4" w:space="0"/>
              <w:right w:val="single" w:color="000000" w:sz="4" w:space="0"/>
            </w:tcBorders>
          </w:tcPr>
          <w:p w14:paraId="282112D8">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《冷水机组能效限定值及能效等级》（GB19577），《低环境温度空气源热泵（冷水）机组能效限定值及能效等级》（GB37480）</w:t>
            </w:r>
          </w:p>
        </w:tc>
      </w:tr>
      <w:tr w14:paraId="1238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8D093DD">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D2F7562">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D62777D">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7DB72BD">
            <w:pPr>
              <w:jc w:val="center"/>
              <w:rPr>
                <w:rFonts w:hint="eastAsia" w:ascii="宋体" w:hAnsi="宋体"/>
                <w:color w:val="auto"/>
                <w:szCs w:val="21"/>
                <w:highlight w:val="none"/>
              </w:rPr>
            </w:pPr>
            <w:r>
              <w:rPr>
                <w:rFonts w:hint="eastAsia" w:ascii="宋体" w:hAnsi="宋体"/>
                <w:color w:val="auto"/>
                <w:szCs w:val="21"/>
                <w:highlight w:val="none"/>
              </w:rPr>
              <w:t>溴化锂吸收式冷水机组</w:t>
            </w:r>
          </w:p>
        </w:tc>
        <w:tc>
          <w:tcPr>
            <w:tcW w:w="3452" w:type="dxa"/>
            <w:tcBorders>
              <w:top w:val="single" w:color="000000" w:sz="4" w:space="0"/>
              <w:left w:val="single" w:color="000000" w:sz="4" w:space="0"/>
              <w:bottom w:val="single" w:color="000000" w:sz="4" w:space="0"/>
              <w:right w:val="single" w:color="000000" w:sz="4" w:space="0"/>
            </w:tcBorders>
            <w:vAlign w:val="center"/>
          </w:tcPr>
          <w:p w14:paraId="4DAFBE5E">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《溴化锂吸收式冷水机组能效限</w:t>
            </w:r>
          </w:p>
          <w:p w14:paraId="684CC583">
            <w:pPr>
              <w:spacing w:before="131" w:line="276" w:lineRule="auto"/>
              <w:ind w:right="4"/>
              <w:rPr>
                <w:rFonts w:hint="eastAsia" w:ascii="宋体" w:hAnsi="宋体" w:cs="宋体"/>
                <w:color w:val="auto"/>
                <w:spacing w:val="10"/>
                <w:szCs w:val="21"/>
                <w:highlight w:val="none"/>
              </w:rPr>
            </w:pPr>
            <w:r>
              <w:rPr>
                <w:rFonts w:hint="eastAsia" w:ascii="宋体" w:hAnsi="宋体" w:cs="宋体"/>
                <w:color w:val="auto"/>
                <w:spacing w:val="10"/>
                <w:szCs w:val="21"/>
                <w:highlight w:val="none"/>
              </w:rPr>
              <w:t>定值及能效等级》（GB29540）</w:t>
            </w:r>
          </w:p>
        </w:tc>
      </w:tr>
      <w:tr w14:paraId="37B8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AACA8A3">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E0D780F">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DFB3D28">
            <w:pPr>
              <w:pStyle w:val="105"/>
              <w:spacing w:line="276" w:lineRule="auto"/>
              <w:ind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37B28C65">
            <w:pPr>
              <w:pStyle w:val="105"/>
              <w:spacing w:before="4" w:line="276" w:lineRule="auto"/>
              <w:ind w:left="7" w:right="7"/>
              <w:jc w:val="center"/>
              <w:rPr>
                <w:rFonts w:hint="eastAsia"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tcPr>
          <w:p w14:paraId="7E74AECF">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49534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659CA70">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BB39FE4">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6611AFB">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CCFCE7D">
            <w:pPr>
              <w:jc w:val="center"/>
              <w:rPr>
                <w:rFonts w:hint="eastAsia" w:ascii="宋体" w:hAnsi="宋体"/>
                <w:color w:val="auto"/>
                <w:szCs w:val="21"/>
                <w:highlight w:val="none"/>
              </w:rPr>
            </w:pPr>
            <w:r>
              <w:rPr>
                <w:rFonts w:hint="eastAsia" w:ascii="宋体" w:hAnsi="宋体" w:cs="宋体"/>
                <w:color w:val="auto"/>
                <w:w w:val="99"/>
                <w:szCs w:val="21"/>
                <w:highlight w:val="none"/>
              </w:rPr>
              <w:t>单元式空气调节机</w:t>
            </w:r>
          </w:p>
        </w:tc>
        <w:tc>
          <w:tcPr>
            <w:tcW w:w="3452" w:type="dxa"/>
            <w:tcBorders>
              <w:top w:val="single" w:color="000000" w:sz="4" w:space="0"/>
              <w:left w:val="single" w:color="000000" w:sz="4" w:space="0"/>
              <w:bottom w:val="single" w:color="000000" w:sz="4" w:space="0"/>
              <w:right w:val="single" w:color="000000" w:sz="4" w:space="0"/>
            </w:tcBorders>
          </w:tcPr>
          <w:p w14:paraId="2D65CD94">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《单元式空气调节机能效限定值及能效等级》（GB19576）《风管送风式空调机组能效限定值及能效等级》（GB37479）</w:t>
            </w:r>
          </w:p>
        </w:tc>
      </w:tr>
      <w:tr w14:paraId="0979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8C8B893">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3C20D45">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FE58F30">
            <w:pPr>
              <w:pStyle w:val="105"/>
              <w:spacing w:before="83"/>
              <w:ind w:left="7"/>
              <w:jc w:val="center"/>
              <w:rPr>
                <w:rFonts w:hint="eastAsia"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32ED7B18">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机房空调</w:t>
            </w:r>
          </w:p>
        </w:tc>
        <w:tc>
          <w:tcPr>
            <w:tcW w:w="3452" w:type="dxa"/>
            <w:tcBorders>
              <w:top w:val="single" w:color="000000" w:sz="4" w:space="0"/>
              <w:left w:val="single" w:color="000000" w:sz="4" w:space="0"/>
              <w:bottom w:val="single" w:color="000000" w:sz="4" w:space="0"/>
              <w:right w:val="single" w:color="000000" w:sz="4" w:space="0"/>
            </w:tcBorders>
          </w:tcPr>
          <w:p w14:paraId="68553415">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w:t>
            </w:r>
          </w:p>
          <w:p w14:paraId="591BC89F">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及能效等级》（GB19576）</w:t>
            </w:r>
          </w:p>
        </w:tc>
      </w:tr>
      <w:tr w14:paraId="5F8D7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E511D74">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B01DE44">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BE1AE11">
            <w:pPr>
              <w:pStyle w:val="105"/>
              <w:spacing w:line="254" w:lineRule="exact"/>
              <w:ind w:left="7"/>
              <w:jc w:val="center"/>
              <w:rPr>
                <w:rFonts w:hint="eastAsia"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A02052399其他制冷</w:t>
            </w:r>
          </w:p>
          <w:p w14:paraId="70F02C92">
            <w:pPr>
              <w:pStyle w:val="105"/>
              <w:spacing w:line="254" w:lineRule="exact"/>
              <w:ind w:left="7"/>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34DFFF2C">
            <w:pPr>
              <w:widowControl/>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3452" w:type="dxa"/>
            <w:tcBorders>
              <w:top w:val="single" w:color="000000" w:sz="4" w:space="0"/>
              <w:left w:val="single" w:color="000000" w:sz="4" w:space="0"/>
              <w:bottom w:val="single" w:color="000000" w:sz="4" w:space="0"/>
              <w:right w:val="single" w:color="000000" w:sz="4" w:space="0"/>
            </w:tcBorders>
          </w:tcPr>
          <w:p w14:paraId="539E76A8">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《机械通风冷却塔第1部分：中小型开式冷却塔》（GB/T7190.1）</w:t>
            </w:r>
          </w:p>
          <w:p w14:paraId="3A59CB9B">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《机械通风冷却塔第2部分：大型开式冷却塔》（GB/T7190.2）</w:t>
            </w:r>
          </w:p>
        </w:tc>
      </w:tr>
      <w:tr w14:paraId="589E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2D7BB69">
            <w:pPr>
              <w:pStyle w:val="105"/>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3FBB299C">
            <w:pPr>
              <w:pStyle w:val="105"/>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A02060100</w:t>
            </w:r>
            <w:r>
              <w:rPr>
                <w:rFonts w:hint="eastAsia" w:ascii="宋体" w:hAnsi="宋体" w:cs="宋体"/>
                <w:color w:val="auto"/>
                <w:w w:val="99"/>
                <w:kern w:val="2"/>
                <w:sz w:val="21"/>
                <w:szCs w:val="21"/>
                <w:highlight w:val="none"/>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3DD7ADB2">
            <w:pPr>
              <w:jc w:val="center"/>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A137D83">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E5CA484">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《中小型三相异步电动机能效限定值及能效等级》（GB18613）</w:t>
            </w:r>
          </w:p>
        </w:tc>
      </w:tr>
      <w:tr w14:paraId="341C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399CD9C">
            <w:pPr>
              <w:pStyle w:val="105"/>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509756DA">
            <w:pPr>
              <w:pStyle w:val="105"/>
              <w:spacing w:before="30"/>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A02060200</w:t>
            </w:r>
            <w:r>
              <w:rPr>
                <w:rFonts w:hint="eastAsia" w:ascii="宋体" w:hAnsi="宋体" w:cs="宋体"/>
                <w:color w:val="auto"/>
                <w:w w:val="99"/>
                <w:kern w:val="2"/>
                <w:sz w:val="21"/>
                <w:szCs w:val="21"/>
                <w:highlight w:val="none"/>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38E16B95">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021F5B3F">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F7F5846">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《三相配电变压器能效限定值及能效等级》（GB 20052）</w:t>
            </w:r>
          </w:p>
        </w:tc>
      </w:tr>
      <w:tr w14:paraId="6DE0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92C7D38">
            <w:pPr>
              <w:pStyle w:val="105"/>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6DD3C2F1">
            <w:pPr>
              <w:pStyle w:val="105"/>
              <w:spacing w:before="126"/>
              <w:ind w:left="7"/>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432BFBF9">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4239CAC4">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4514B16">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《管形荧光灯镇流器能效限定值及能效等级》（GB17896）</w:t>
            </w:r>
          </w:p>
        </w:tc>
      </w:tr>
      <w:tr w14:paraId="1189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FA7A4F6">
            <w:pPr>
              <w:pStyle w:val="105"/>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223A2EF0">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53D3F9D9">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2F5C7419">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8CDD9CC">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《家用电冰箱耗电量限定值及能效等级》（GB12021.2）</w:t>
            </w:r>
          </w:p>
        </w:tc>
      </w:tr>
      <w:tr w14:paraId="52A8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F8D9742">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9848820">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0EA5BE4">
            <w:pPr>
              <w:pStyle w:val="105"/>
              <w:spacing w:before="171"/>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A02061804</w:t>
            </w:r>
            <w:r>
              <w:rPr>
                <w:rFonts w:hint="eastAsia" w:ascii="宋体" w:hAnsi="宋体" w:cs="宋体"/>
                <w:color w:val="auto"/>
                <w:w w:val="99"/>
                <w:kern w:val="2"/>
                <w:sz w:val="21"/>
                <w:szCs w:val="21"/>
                <w:highlight w:val="none"/>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64461A28">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房间空气调节器</w:t>
            </w:r>
          </w:p>
        </w:tc>
        <w:tc>
          <w:tcPr>
            <w:tcW w:w="3452" w:type="dxa"/>
            <w:tcBorders>
              <w:top w:val="single" w:color="000000" w:sz="4" w:space="0"/>
              <w:left w:val="single" w:color="000000" w:sz="4" w:space="0"/>
              <w:bottom w:val="single" w:color="000000" w:sz="4" w:space="0"/>
              <w:right w:val="single" w:color="000000" w:sz="4" w:space="0"/>
            </w:tcBorders>
          </w:tcPr>
          <w:p w14:paraId="7EFF74DB">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《房间空气调节器能效限定值及能效等级》（GB21455-2019）</w:t>
            </w:r>
          </w:p>
        </w:tc>
      </w:tr>
      <w:tr w14:paraId="720A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1EC94E4">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2B26779">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5411010">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0825780">
            <w:pPr>
              <w:pStyle w:val="105"/>
              <w:spacing w:before="4" w:line="276" w:lineRule="auto"/>
              <w:ind w:left="7" w:right="7"/>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tcPr>
          <w:p w14:paraId="2820A536">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6E0D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79D32BE">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9858151">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D1E5A01">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0C86530">
            <w:pPr>
              <w:pStyle w:val="105"/>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tcPr>
          <w:p w14:paraId="4A90EA56">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《单元式空气调节机能效限定值及能源效率等级》（GB19576）《风管送风式空调机组能效限定值及能效等级》（GB37479）</w:t>
            </w:r>
          </w:p>
        </w:tc>
      </w:tr>
      <w:tr w14:paraId="3F77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AE26931">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B2125D2">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5217808">
            <w:pPr>
              <w:pStyle w:val="105"/>
              <w:spacing w:before="162"/>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A02061810</w:t>
            </w:r>
            <w:r>
              <w:rPr>
                <w:rFonts w:hint="eastAsia" w:ascii="宋体" w:hAnsi="宋体" w:cs="宋体"/>
                <w:color w:val="auto"/>
                <w:w w:val="99"/>
                <w:kern w:val="2"/>
                <w:sz w:val="21"/>
                <w:szCs w:val="21"/>
                <w:highlight w:val="none"/>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6C6AE4D">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516815B">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《电动洗衣机能效水效限定值及等级》（GB12021.4）</w:t>
            </w:r>
          </w:p>
        </w:tc>
      </w:tr>
      <w:tr w14:paraId="593E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AC40969">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F628F0D">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92A4F9F">
            <w:pPr>
              <w:pStyle w:val="105"/>
              <w:spacing w:before="161"/>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A02061819</w:t>
            </w:r>
            <w:r>
              <w:rPr>
                <w:rFonts w:hint="eastAsia" w:ascii="宋体" w:hAnsi="宋体" w:cs="宋体"/>
                <w:color w:val="auto"/>
                <w:w w:val="99"/>
                <w:kern w:val="2"/>
                <w:sz w:val="21"/>
                <w:szCs w:val="21"/>
                <w:highlight w:val="none"/>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DDAF6B1">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7829479B">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《储水式电热水器能效限定值及能效等级》（GB21519）</w:t>
            </w:r>
          </w:p>
        </w:tc>
      </w:tr>
      <w:tr w14:paraId="60A8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9EB63A3">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B2D63A7">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C759E53">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D26D5A3">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燃气热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5145DD33">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《家用燃气快速热水器和燃气采暖热水炉能效限定值及能效等级》（GB20665）</w:t>
            </w:r>
          </w:p>
        </w:tc>
      </w:tr>
      <w:tr w14:paraId="2D40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F162687">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FA47823">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D5FA586">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85B44BD">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热泵热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0088BFC6">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《热泵热水机（器）能效限定值及能效等级》（GB29541）</w:t>
            </w:r>
          </w:p>
        </w:tc>
      </w:tr>
      <w:tr w14:paraId="2D7E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FC74F6B">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187C98C">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DAAFB11">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2C4C7BA">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太阳能</w:t>
            </w:r>
            <w:r>
              <w:rPr>
                <w:rFonts w:hint="eastAsia" w:ascii="宋体" w:hAnsi="宋体" w:cs="宋体"/>
                <w:color w:val="auto"/>
                <w:spacing w:val="2"/>
                <w:w w:val="99"/>
                <w:kern w:val="2"/>
                <w:sz w:val="21"/>
                <w:szCs w:val="21"/>
                <w:highlight w:val="none"/>
              </w:rPr>
              <w:t>热</w:t>
            </w:r>
            <w:r>
              <w:rPr>
                <w:rFonts w:hint="eastAsia" w:ascii="宋体" w:hAnsi="宋体" w:cs="宋体"/>
                <w:color w:val="auto"/>
                <w:w w:val="99"/>
                <w:kern w:val="2"/>
                <w:sz w:val="21"/>
                <w:szCs w:val="21"/>
                <w:highlight w:val="none"/>
              </w:rPr>
              <w:t>水系统</w:t>
            </w:r>
          </w:p>
        </w:tc>
        <w:tc>
          <w:tcPr>
            <w:tcW w:w="3452" w:type="dxa"/>
            <w:tcBorders>
              <w:top w:val="single" w:color="000000" w:sz="4" w:space="0"/>
              <w:left w:val="single" w:color="000000" w:sz="4" w:space="0"/>
              <w:bottom w:val="single" w:color="000000" w:sz="4" w:space="0"/>
              <w:right w:val="single" w:color="000000" w:sz="4" w:space="0"/>
            </w:tcBorders>
          </w:tcPr>
          <w:p w14:paraId="24D1570B">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《家用太阳能热水系统能效限定值及能效等级》（GB26969）</w:t>
            </w:r>
          </w:p>
        </w:tc>
      </w:tr>
      <w:tr w14:paraId="440E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568C5AD6">
            <w:pPr>
              <w:pStyle w:val="105"/>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304F508">
            <w:pPr>
              <w:pStyle w:val="105"/>
              <w:spacing w:before="157"/>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06</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639798EA">
            <w:pPr>
              <w:pStyle w:val="105"/>
              <w:spacing w:before="133" w:line="276" w:lineRule="auto"/>
              <w:ind w:left="7" w:right="7"/>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7BB94AB9">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B66AE85">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《普通照明用双端荧光灯能效限定值及能效等级》（GB19043）</w:t>
            </w:r>
          </w:p>
        </w:tc>
      </w:tr>
      <w:tr w14:paraId="619D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90D42D4">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5834060">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AE71752">
            <w:pPr>
              <w:pStyle w:val="105"/>
              <w:spacing w:before="92" w:line="276" w:lineRule="auto"/>
              <w:ind w:left="7" w:right="2"/>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w:t>
            </w:r>
            <w:r>
              <w:rPr>
                <w:rFonts w:hint="eastAsia" w:ascii="宋体" w:hAnsi="宋体" w:cs="宋体"/>
                <w:color w:val="auto"/>
                <w:spacing w:val="12"/>
                <w:w w:val="99"/>
                <w:kern w:val="2"/>
                <w:sz w:val="21"/>
                <w:szCs w:val="21"/>
                <w:highlight w:val="none"/>
              </w:rPr>
              <w:t>道</w:t>
            </w:r>
            <w:r>
              <w:rPr>
                <w:rFonts w:hint="eastAsia" w:ascii="宋体" w:hAnsi="宋体" w:cs="宋体"/>
                <w:color w:val="auto"/>
                <w:spacing w:val="9"/>
                <w:w w:val="99"/>
                <w:kern w:val="2"/>
                <w:sz w:val="21"/>
                <w:szCs w:val="21"/>
                <w:highlight w:val="none"/>
              </w:rPr>
              <w:t>路</w:t>
            </w:r>
            <w:r>
              <w:rPr>
                <w:rFonts w:hint="eastAsia" w:ascii="宋体" w:hAnsi="宋体" w:cs="宋体"/>
                <w:color w:val="auto"/>
                <w:spacing w:val="13"/>
                <w:w w:val="99"/>
                <w:kern w:val="2"/>
                <w:sz w:val="21"/>
                <w:szCs w:val="21"/>
                <w:highlight w:val="none"/>
              </w:rPr>
              <w:t>/</w:t>
            </w:r>
            <w:r>
              <w:rPr>
                <w:rFonts w:hint="eastAsia" w:ascii="宋体" w:hAnsi="宋体" w:cs="宋体"/>
                <w:color w:val="auto"/>
                <w:spacing w:val="12"/>
                <w:w w:val="99"/>
                <w:kern w:val="2"/>
                <w:sz w:val="21"/>
                <w:szCs w:val="21"/>
                <w:highlight w:val="none"/>
              </w:rPr>
              <w:t>隧道照</w:t>
            </w:r>
            <w:r>
              <w:rPr>
                <w:rFonts w:hint="eastAsia" w:ascii="宋体" w:hAnsi="宋体" w:cs="宋体"/>
                <w:color w:val="auto"/>
                <w:w w:val="99"/>
                <w:kern w:val="2"/>
                <w:sz w:val="21"/>
                <w:szCs w:val="21"/>
                <w:highlight w:val="none"/>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2E05897B">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2C512D9">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《道路和隧道照明用LED灯具能效限定值及能效等级》（GB37478</w:t>
            </w:r>
            <w:r>
              <w:rPr>
                <w:rFonts w:ascii="宋体" w:hAnsi="宋体" w:cs="宋体"/>
                <w:color w:val="auto"/>
                <w:spacing w:val="10"/>
                <w:kern w:val="2"/>
                <w:sz w:val="21"/>
                <w:szCs w:val="21"/>
                <w:highlight w:val="none"/>
                <w:lang w:eastAsia="zh-CN"/>
              </w:rPr>
              <w:t>）</w:t>
            </w:r>
          </w:p>
        </w:tc>
      </w:tr>
      <w:tr w14:paraId="7491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A6FF735">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3649198">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D593A21">
            <w:pPr>
              <w:pStyle w:val="105"/>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7A874368">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46B6610">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37A5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F67CB1B">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2FF0499">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2EECCDA">
            <w:pPr>
              <w:pStyle w:val="105"/>
              <w:spacing w:line="276" w:lineRule="auto"/>
              <w:ind w:right="7"/>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w:t>
            </w:r>
            <w:r>
              <w:rPr>
                <w:rFonts w:hint="eastAsia" w:ascii="宋体" w:hAnsi="宋体" w:cs="宋体"/>
                <w:color w:val="auto"/>
                <w:spacing w:val="24"/>
                <w:w w:val="99"/>
                <w:kern w:val="2"/>
                <w:sz w:val="21"/>
                <w:szCs w:val="21"/>
                <w:highlight w:val="none"/>
                <w:lang w:eastAsia="zh-CN"/>
              </w:rPr>
              <w:t>通</w:t>
            </w:r>
            <w:r>
              <w:rPr>
                <w:rFonts w:hint="eastAsia" w:ascii="宋体" w:hAnsi="宋体" w:cs="宋体"/>
                <w:color w:val="auto"/>
                <w:w w:val="99"/>
                <w:kern w:val="2"/>
                <w:sz w:val="21"/>
                <w:szCs w:val="21"/>
                <w:highlight w:val="none"/>
                <w:lang w:eastAsia="zh-CN"/>
              </w:rPr>
              <w:t>照明用非</w:t>
            </w:r>
            <w:r>
              <w:rPr>
                <w:rFonts w:hint="eastAsia" w:ascii="宋体" w:hAnsi="宋体" w:cs="宋体"/>
                <w:color w:val="auto"/>
                <w:spacing w:val="24"/>
                <w:w w:val="99"/>
                <w:kern w:val="2"/>
                <w:sz w:val="21"/>
                <w:szCs w:val="21"/>
                <w:highlight w:val="none"/>
                <w:lang w:eastAsia="zh-CN"/>
              </w:rPr>
              <w:t>定</w:t>
            </w:r>
            <w:r>
              <w:rPr>
                <w:rFonts w:hint="eastAsia" w:ascii="宋体" w:hAnsi="宋体" w:cs="宋体"/>
                <w:color w:val="auto"/>
                <w:w w:val="99"/>
                <w:kern w:val="2"/>
                <w:sz w:val="21"/>
                <w:szCs w:val="21"/>
                <w:highlight w:val="none"/>
                <w:lang w:eastAsia="zh-CN"/>
              </w:rPr>
              <w:t>向自镇流</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2F486C76">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5ACFDE6">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3C26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193F61D">
            <w:pPr>
              <w:pStyle w:val="105"/>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58E41381">
            <w:pPr>
              <w:pStyle w:val="105"/>
              <w:spacing w:before="81"/>
              <w:ind w:left="7"/>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0165CECD">
            <w:pPr>
              <w:pStyle w:val="105"/>
              <w:spacing w:before="81" w:line="276" w:lineRule="auto"/>
              <w:ind w:left="7" w:right="5"/>
              <w:jc w:val="center"/>
              <w:rPr>
                <w:rFonts w:hint="eastAsia" w:ascii="宋体" w:hAnsi="宋体" w:cs="宋体"/>
                <w:color w:val="auto"/>
                <w:kern w:val="2"/>
                <w:sz w:val="21"/>
                <w:szCs w:val="21"/>
                <w:highlight w:val="none"/>
                <w:lang w:eastAsia="zh-CN"/>
              </w:rPr>
            </w:pPr>
            <w:r>
              <w:rPr>
                <w:rFonts w:hint="eastAsia" w:ascii="宋体" w:hAnsi="宋体" w:cs="宋体"/>
                <w:color w:val="auto"/>
                <w:spacing w:val="1"/>
                <w:w w:val="99"/>
                <w:kern w:val="2"/>
                <w:sz w:val="21"/>
                <w:szCs w:val="21"/>
                <w:highlight w:val="none"/>
                <w:lang w:eastAsia="zh-CN"/>
              </w:rPr>
              <w:t>A02</w:t>
            </w:r>
            <w:r>
              <w:rPr>
                <w:rFonts w:hint="eastAsia" w:ascii="宋体" w:hAnsi="宋体" w:cs="宋体"/>
                <w:color w:val="auto"/>
                <w:w w:val="99"/>
                <w:kern w:val="2"/>
                <w:sz w:val="21"/>
                <w:szCs w:val="21"/>
                <w:highlight w:val="none"/>
                <w:lang w:eastAsia="zh-CN"/>
              </w:rPr>
              <w:t>09</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001普通电视设备（</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4F2B263">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C734B72">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《平板电视能效限定值及能效等级》（GB24850）</w:t>
            </w:r>
          </w:p>
        </w:tc>
      </w:tr>
      <w:tr w14:paraId="3968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395AE63">
            <w:pPr>
              <w:pStyle w:val="105"/>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1EE15F50">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56B6E96A">
            <w:pPr>
              <w:pStyle w:val="105"/>
              <w:spacing w:line="276" w:lineRule="auto"/>
              <w:ind w:right="5"/>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09</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5D15252C">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监视器</w:t>
            </w:r>
          </w:p>
        </w:tc>
        <w:tc>
          <w:tcPr>
            <w:tcW w:w="3452" w:type="dxa"/>
            <w:tcBorders>
              <w:top w:val="single" w:color="000000" w:sz="4" w:space="0"/>
              <w:left w:val="single" w:color="000000" w:sz="4" w:space="0"/>
              <w:bottom w:val="single" w:color="000000" w:sz="4" w:space="0"/>
              <w:right w:val="single" w:color="000000" w:sz="4" w:space="0"/>
            </w:tcBorders>
          </w:tcPr>
          <w:p w14:paraId="1B1479B6">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5F7A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C7519A7">
            <w:pPr>
              <w:pStyle w:val="105"/>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460595B7">
            <w:pPr>
              <w:pStyle w:val="105"/>
              <w:spacing w:before="76"/>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A02241000</w:t>
            </w:r>
            <w:r>
              <w:rPr>
                <w:rFonts w:hint="eastAsia" w:ascii="宋体" w:hAnsi="宋体" w:cs="宋体"/>
                <w:color w:val="auto"/>
                <w:w w:val="99"/>
                <w:kern w:val="2"/>
                <w:sz w:val="21"/>
                <w:szCs w:val="21"/>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40CED14B">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商用燃</w:t>
            </w:r>
            <w:r>
              <w:rPr>
                <w:rFonts w:hint="eastAsia" w:ascii="宋体" w:hAnsi="宋体" w:cs="宋体"/>
                <w:color w:val="auto"/>
                <w:spacing w:val="2"/>
                <w:w w:val="99"/>
                <w:kern w:val="2"/>
                <w:sz w:val="21"/>
                <w:szCs w:val="21"/>
                <w:highlight w:val="none"/>
              </w:rPr>
              <w:t>气</w:t>
            </w:r>
            <w:r>
              <w:rPr>
                <w:rFonts w:hint="eastAsia" w:ascii="宋体" w:hAnsi="宋体" w:cs="宋体"/>
                <w:color w:val="auto"/>
                <w:w w:val="99"/>
                <w:kern w:val="2"/>
                <w:sz w:val="21"/>
                <w:szCs w:val="21"/>
                <w:highlight w:val="none"/>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27187365">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E27FC6D">
            <w:pPr>
              <w:pStyle w:val="105"/>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《商用燃气灶具能效限定值及能效等级》（GB30531）</w:t>
            </w:r>
          </w:p>
        </w:tc>
      </w:tr>
      <w:tr w14:paraId="2C8F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2A6EE5F3">
            <w:pPr>
              <w:jc w:val="center"/>
              <w:rPr>
                <w:rFonts w:hint="eastAsia" w:ascii="宋体" w:hAnsi="宋体"/>
                <w:color w:val="auto"/>
                <w:szCs w:val="21"/>
                <w:highlight w:val="none"/>
              </w:rPr>
            </w:pPr>
            <w:r>
              <w:rPr>
                <w:rFonts w:hint="eastAsia" w:ascii="宋体" w:hAnsi="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1B5B6B7">
            <w:pPr>
              <w:pStyle w:val="105"/>
              <w:jc w:val="center"/>
              <w:rPr>
                <w:rFonts w:hint="eastAsia"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A05020105</w:t>
            </w:r>
            <w:r>
              <w:rPr>
                <w:rFonts w:hint="eastAsia" w:ascii="宋体" w:hAnsi="宋体" w:cs="宋体"/>
                <w:color w:val="auto"/>
                <w:w w:val="99"/>
                <w:kern w:val="2"/>
                <w:sz w:val="21"/>
                <w:szCs w:val="21"/>
                <w:highlight w:val="none"/>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456CFA47">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4D1D1945">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7A74819">
            <w:pPr>
              <w:pStyle w:val="105"/>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《坐便器水效限定值及水效等级》</w:t>
            </w:r>
          </w:p>
          <w:p w14:paraId="1AB744B3">
            <w:pPr>
              <w:pStyle w:val="105"/>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(GB25502)</w:t>
            </w:r>
          </w:p>
        </w:tc>
      </w:tr>
      <w:tr w14:paraId="2425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E0469FF">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66EC7DB">
            <w:pPr>
              <w:widowControl/>
              <w:jc w:val="left"/>
              <w:rPr>
                <w:rFonts w:hint="eastAsia"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91304A4">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4D181CAF">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EA8F64C">
            <w:pPr>
              <w:pStyle w:val="105"/>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《蹲便器用水效率限定值及用水效率等级》（GB30717）</w:t>
            </w:r>
          </w:p>
        </w:tc>
      </w:tr>
      <w:tr w14:paraId="7C12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27E7747">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F69EA20">
            <w:pPr>
              <w:widowControl/>
              <w:jc w:val="left"/>
              <w:rPr>
                <w:rFonts w:hint="eastAsia" w:ascii="宋体" w:hAnsi="宋体" w:cs="宋体"/>
                <w:color w:val="auto"/>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9D29A6D">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1AC2646C">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55099CC">
            <w:pPr>
              <w:pStyle w:val="105"/>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《小便器用水效率限定值及用水效率等级》（GB28377）</w:t>
            </w:r>
          </w:p>
        </w:tc>
      </w:tr>
      <w:tr w14:paraId="272C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18F5A27">
            <w:pPr>
              <w:pStyle w:val="105"/>
              <w:jc w:val="center"/>
              <w:rPr>
                <w:rFonts w:hint="eastAsia" w:ascii="宋体" w:hAnsi="宋体" w:cs="宋体"/>
                <w:color w:val="auto"/>
                <w:kern w:val="2"/>
                <w:sz w:val="21"/>
                <w:szCs w:val="21"/>
                <w:highlight w:val="none"/>
              </w:rPr>
            </w:pPr>
            <w:r>
              <w:rPr>
                <w:rFonts w:hint="eastAsia" w:ascii="宋体" w:hAnsi="宋体"/>
                <w:color w:val="auto"/>
                <w:kern w:val="2"/>
                <w:sz w:val="21"/>
                <w:szCs w:val="21"/>
                <w:highlight w:val="none"/>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7AAF34D9">
            <w:pPr>
              <w:pStyle w:val="105"/>
              <w:spacing w:before="153"/>
              <w:ind w:left="7"/>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w:t>
            </w:r>
            <w:r>
              <w:rPr>
                <w:rFonts w:hint="eastAsia" w:ascii="宋体" w:hAnsi="宋体" w:cs="仿宋_GB2312"/>
                <w:color w:val="auto"/>
                <w:kern w:val="2"/>
                <w:sz w:val="21"/>
                <w:szCs w:val="21"/>
                <w:highlight w:val="none"/>
              </w:rPr>
              <w:t>A05020106</w:t>
            </w:r>
            <w:r>
              <w:rPr>
                <w:rFonts w:hint="eastAsia" w:ascii="宋体" w:hAnsi="宋体" w:cs="宋体"/>
                <w:color w:val="auto"/>
                <w:kern w:val="2"/>
                <w:sz w:val="21"/>
                <w:szCs w:val="21"/>
                <w:highlight w:val="none"/>
              </w:rPr>
              <w:t>水</w:t>
            </w:r>
            <w:r>
              <w:rPr>
                <w:rFonts w:hint="eastAsia" w:ascii="宋体" w:hAnsi="宋体" w:cs="宋体"/>
                <w:color w:val="auto"/>
                <w:w w:val="99"/>
                <w:kern w:val="2"/>
                <w:sz w:val="21"/>
                <w:szCs w:val="21"/>
                <w:highlight w:val="none"/>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6F273BCF">
            <w:pPr>
              <w:jc w:val="center"/>
              <w:rPr>
                <w:rFonts w:hint="eastAsia"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F5CB73A">
            <w:pPr>
              <w:jc w:val="center"/>
              <w:rPr>
                <w:rFonts w:hint="eastAsia"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23F0A7E2">
            <w:pPr>
              <w:pStyle w:val="105"/>
              <w:spacing w:before="153"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《水嘴用水效率限定值及用水效</w:t>
            </w:r>
            <w:r>
              <w:rPr>
                <w:rFonts w:hint="eastAsia" w:ascii="宋体" w:hAnsi="宋体" w:cs="宋体"/>
                <w:color w:val="auto"/>
                <w:kern w:val="2"/>
                <w:sz w:val="21"/>
                <w:szCs w:val="21"/>
                <w:highlight w:val="none"/>
                <w:lang w:eastAsia="zh-CN"/>
              </w:rPr>
              <w:t>率等级》（GB 25501）</w:t>
            </w:r>
          </w:p>
        </w:tc>
      </w:tr>
      <w:tr w14:paraId="1D62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909BF4B">
            <w:pPr>
              <w:pStyle w:val="105"/>
              <w:jc w:val="center"/>
              <w:rPr>
                <w:rFonts w:hint="eastAsia" w:ascii="宋体" w:hAnsi="宋体" w:cs="宋体"/>
                <w:color w:val="auto"/>
                <w:kern w:val="2"/>
                <w:sz w:val="21"/>
                <w:szCs w:val="21"/>
                <w:highlight w:val="none"/>
              </w:rPr>
            </w:pPr>
            <w:r>
              <w:rPr>
                <w:rFonts w:hint="eastAsia" w:ascii="宋体" w:hAnsi="宋体"/>
                <w:color w:val="auto"/>
                <w:kern w:val="2"/>
                <w:sz w:val="21"/>
                <w:szCs w:val="21"/>
                <w:highlight w:val="none"/>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276E5F80">
            <w:pPr>
              <w:pStyle w:val="105"/>
              <w:spacing w:before="112"/>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A05020107</w:t>
            </w:r>
            <w:r>
              <w:rPr>
                <w:rFonts w:hint="eastAsia" w:ascii="宋体" w:hAnsi="宋体" w:cs="宋体"/>
                <w:color w:val="auto"/>
                <w:kern w:val="2"/>
                <w:sz w:val="21"/>
                <w:szCs w:val="21"/>
                <w:highlight w:val="none"/>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45C999FD">
            <w:pPr>
              <w:jc w:val="center"/>
              <w:rPr>
                <w:rFonts w:hint="eastAsia"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4B11964">
            <w:pPr>
              <w:jc w:val="center"/>
              <w:rPr>
                <w:rFonts w:hint="eastAsia"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22319B06">
            <w:pPr>
              <w:pStyle w:val="105"/>
              <w:spacing w:before="112"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《便器冲洗阀用水效率限定值及</w:t>
            </w:r>
            <w:r>
              <w:rPr>
                <w:rFonts w:hint="eastAsia" w:ascii="宋体" w:hAnsi="宋体" w:cs="宋体"/>
                <w:color w:val="auto"/>
                <w:kern w:val="2"/>
                <w:sz w:val="21"/>
                <w:szCs w:val="21"/>
                <w:highlight w:val="none"/>
                <w:lang w:eastAsia="zh-CN"/>
              </w:rPr>
              <w:t>用水效率等级》（GB28379）</w:t>
            </w:r>
          </w:p>
        </w:tc>
      </w:tr>
      <w:tr w14:paraId="6BAB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D853AE5">
            <w:pPr>
              <w:pStyle w:val="105"/>
              <w:jc w:val="center"/>
              <w:rPr>
                <w:rFonts w:hint="eastAsia" w:ascii="宋体" w:hAnsi="宋体" w:cs="宋体"/>
                <w:color w:val="auto"/>
                <w:kern w:val="2"/>
                <w:sz w:val="21"/>
                <w:szCs w:val="21"/>
                <w:highlight w:val="none"/>
              </w:rPr>
            </w:pPr>
            <w:r>
              <w:rPr>
                <w:rFonts w:hint="eastAsia" w:ascii="宋体" w:hAnsi="宋体"/>
                <w:color w:val="auto"/>
                <w:kern w:val="2"/>
                <w:sz w:val="21"/>
                <w:szCs w:val="21"/>
                <w:highlight w:val="none"/>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32006100">
            <w:pPr>
              <w:pStyle w:val="105"/>
              <w:spacing w:before="131"/>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A05020110</w:t>
            </w:r>
            <w:r>
              <w:rPr>
                <w:rFonts w:hint="eastAsia" w:ascii="宋体" w:hAnsi="宋体" w:cs="宋体"/>
                <w:color w:val="auto"/>
                <w:kern w:val="2"/>
                <w:sz w:val="21"/>
                <w:szCs w:val="21"/>
                <w:highlight w:val="none"/>
              </w:rPr>
              <w:t>淋浴</w:t>
            </w:r>
            <w:r>
              <w:rPr>
                <w:rFonts w:hint="eastAsia" w:ascii="宋体" w:hAnsi="宋体" w:cs="宋体"/>
                <w:color w:val="auto"/>
                <w:w w:val="99"/>
                <w:kern w:val="2"/>
                <w:sz w:val="21"/>
                <w:szCs w:val="21"/>
                <w:highlight w:val="none"/>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61F8617F">
            <w:pPr>
              <w:jc w:val="center"/>
              <w:rPr>
                <w:rFonts w:hint="eastAsia"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766F80E">
            <w:pPr>
              <w:jc w:val="center"/>
              <w:rPr>
                <w:rFonts w:hint="eastAsia"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0F56AAD6">
            <w:pPr>
              <w:pStyle w:val="105"/>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《淋浴器用水效率限定值及用水</w:t>
            </w:r>
            <w:r>
              <w:rPr>
                <w:rFonts w:hint="eastAsia" w:ascii="宋体" w:hAnsi="宋体" w:cs="宋体"/>
                <w:color w:val="auto"/>
                <w:kern w:val="2"/>
                <w:sz w:val="21"/>
                <w:szCs w:val="21"/>
                <w:highlight w:val="none"/>
                <w:lang w:eastAsia="zh-CN"/>
              </w:rPr>
              <w:t>效率等级》（GB28378）</w:t>
            </w:r>
          </w:p>
        </w:tc>
      </w:tr>
    </w:tbl>
    <w:p w14:paraId="10C90BF2">
      <w:pPr>
        <w:pStyle w:val="17"/>
        <w:spacing w:line="360" w:lineRule="auto"/>
        <w:rPr>
          <w:rFonts w:hint="eastAsia" w:ascii="宋体" w:hAnsi="宋体"/>
          <w:color w:val="auto"/>
          <w:kern w:val="2"/>
          <w:sz w:val="21"/>
          <w:szCs w:val="21"/>
          <w:highlight w:val="none"/>
        </w:rPr>
      </w:pPr>
      <w:r>
        <w:rPr>
          <w:rFonts w:hint="eastAsia" w:ascii="宋体" w:hAnsi="宋体"/>
          <w:color w:val="auto"/>
          <w:spacing w:val="-3"/>
          <w:sz w:val="21"/>
          <w:szCs w:val="21"/>
          <w:highlight w:val="none"/>
        </w:rPr>
        <w:t>注：</w:t>
      </w:r>
      <w:r>
        <w:rPr>
          <w:rFonts w:ascii="宋体" w:hAnsi="宋体"/>
          <w:color w:val="auto"/>
          <w:spacing w:val="-3"/>
          <w:sz w:val="21"/>
          <w:szCs w:val="21"/>
          <w:highlight w:val="none"/>
        </w:rPr>
        <w:t>1.</w:t>
      </w:r>
      <w:r>
        <w:rPr>
          <w:rFonts w:hint="eastAsia" w:ascii="宋体" w:hAnsi="宋体"/>
          <w:color w:val="auto"/>
          <w:spacing w:val="-3"/>
          <w:sz w:val="21"/>
          <w:szCs w:val="21"/>
          <w:highlight w:val="none"/>
        </w:rPr>
        <w:t>节能产品认证应依据相关国家标准的最新版本，依据国家标准中二级能效（水效）</w:t>
      </w:r>
      <w:r>
        <w:rPr>
          <w:rFonts w:hint="eastAsia" w:ascii="宋体" w:hAnsi="宋体"/>
          <w:color w:val="auto"/>
          <w:sz w:val="21"/>
          <w:szCs w:val="21"/>
          <w:highlight w:val="none"/>
        </w:rPr>
        <w:t>指标。</w:t>
      </w:r>
    </w:p>
    <w:p w14:paraId="6E096143">
      <w:pPr>
        <w:pStyle w:val="17"/>
        <w:spacing w:line="360" w:lineRule="auto"/>
        <w:ind w:firstLine="465"/>
        <w:rPr>
          <w:rFonts w:hint="eastAsia"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.以</w:t>
      </w:r>
      <w:r>
        <w:rPr>
          <w:rFonts w:ascii="宋体" w:hAnsi="宋体"/>
          <w:color w:val="auto"/>
          <w:sz w:val="21"/>
          <w:szCs w:val="21"/>
          <w:highlight w:val="none"/>
        </w:rPr>
        <w:t>“</w:t>
      </w:r>
      <w:r>
        <w:rPr>
          <w:rFonts w:hint="eastAsia" w:ascii="宋体" w:hAnsi="宋体"/>
          <w:color w:val="auto"/>
          <w:sz w:val="21"/>
          <w:szCs w:val="21"/>
          <w:highlight w:val="none"/>
        </w:rPr>
        <w:t>★</w:t>
      </w:r>
      <w:r>
        <w:rPr>
          <w:rFonts w:ascii="宋体" w:hAnsi="宋体"/>
          <w:color w:val="auto"/>
          <w:sz w:val="21"/>
          <w:szCs w:val="21"/>
          <w:highlight w:val="none"/>
        </w:rPr>
        <w:t>”</w:t>
      </w:r>
      <w:r>
        <w:rPr>
          <w:rFonts w:hint="eastAsia" w:ascii="宋体" w:hAnsi="宋体"/>
          <w:color w:val="auto"/>
          <w:sz w:val="21"/>
          <w:szCs w:val="21"/>
          <w:highlight w:val="none"/>
        </w:rPr>
        <w:t>标注的为政府强制采购产品。</w:t>
      </w:r>
    </w:p>
    <w:p w14:paraId="4FA49EEE">
      <w:pPr>
        <w:pStyle w:val="17"/>
        <w:spacing w:line="360" w:lineRule="auto"/>
        <w:ind w:firstLine="465"/>
        <w:rPr>
          <w:rFonts w:hint="eastAsia" w:ascii="宋体" w:hAnsi="宋体"/>
          <w:color w:val="auto"/>
          <w:sz w:val="21"/>
          <w:szCs w:val="21"/>
          <w:highlight w:val="none"/>
        </w:rPr>
      </w:pPr>
      <w:r>
        <w:rPr>
          <w:rFonts w:hint="eastAsia" w:ascii="宋体" w:hAnsi="宋体"/>
          <w:color w:val="auto"/>
          <w:sz w:val="21"/>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0E050A1E">
      <w:pPr>
        <w:widowControl/>
        <w:jc w:val="left"/>
        <w:rPr>
          <w:rFonts w:hint="eastAsia" w:ascii="宋体" w:hAnsi="宋体" w:cs="宋体"/>
          <w:color w:val="auto"/>
          <w:sz w:val="20"/>
          <w:szCs w:val="20"/>
          <w:highlight w:val="none"/>
        </w:rPr>
      </w:pPr>
    </w:p>
    <w:p w14:paraId="5CE975D9">
      <w:pPr>
        <w:widowControl/>
        <w:jc w:val="left"/>
        <w:rPr>
          <w:rFonts w:hint="eastAsia" w:ascii="宋体" w:hAnsi="宋体" w:cs="宋体"/>
          <w:color w:val="auto"/>
          <w:sz w:val="20"/>
          <w:szCs w:val="20"/>
          <w:highlight w:val="none"/>
        </w:rPr>
      </w:pPr>
    </w:p>
    <w:p w14:paraId="177E4FFA">
      <w:pPr>
        <w:widowControl/>
        <w:jc w:val="left"/>
        <w:rPr>
          <w:rFonts w:hint="eastAsia" w:ascii="黑体" w:hAnsi="黑体" w:eastAsia="黑体" w:cs="黑体"/>
          <w:color w:val="auto"/>
          <w:sz w:val="32"/>
          <w:szCs w:val="32"/>
          <w:highlight w:val="none"/>
        </w:rPr>
      </w:pPr>
      <w:r>
        <w:rPr>
          <w:rFonts w:ascii="宋体" w:hAnsi="宋体" w:cs="宋体"/>
          <w:color w:val="auto"/>
          <w:sz w:val="20"/>
          <w:szCs w:val="20"/>
          <w:highlight w:val="none"/>
        </w:rPr>
        <w:br w:type="page"/>
      </w:r>
      <w:r>
        <w:rPr>
          <w:rFonts w:hint="eastAsia" w:ascii="黑体" w:hAnsi="黑体" w:eastAsia="黑体" w:cs="黑体"/>
          <w:color w:val="auto"/>
          <w:sz w:val="32"/>
          <w:szCs w:val="32"/>
          <w:highlight w:val="none"/>
        </w:rPr>
        <w:t>附件2：</w:t>
      </w:r>
    </w:p>
    <w:p w14:paraId="7D97ED18">
      <w:pPr>
        <w:pStyle w:val="17"/>
        <w:jc w:val="center"/>
        <w:rPr>
          <w:b/>
          <w:color w:val="auto"/>
          <w:sz w:val="28"/>
          <w:szCs w:val="28"/>
          <w:highlight w:val="none"/>
        </w:rPr>
      </w:pPr>
      <w:r>
        <w:rPr>
          <w:rFonts w:hint="eastAsia"/>
          <w:b/>
          <w:color w:val="auto"/>
          <w:sz w:val="28"/>
          <w:szCs w:val="28"/>
          <w:highlight w:val="none"/>
        </w:rPr>
        <w:t>中小企业划型标准规定</w:t>
      </w:r>
    </w:p>
    <w:p w14:paraId="4D12D413">
      <w:pPr>
        <w:pStyle w:val="17"/>
        <w:jc w:val="center"/>
        <w:rPr>
          <w:rFonts w:hint="eastAsia" w:ascii="宋体" w:hAnsi="宋体"/>
          <w:color w:val="auto"/>
          <w:sz w:val="21"/>
          <w:szCs w:val="21"/>
          <w:highlight w:val="none"/>
        </w:rPr>
      </w:pPr>
      <w:r>
        <w:rPr>
          <w:rFonts w:hint="eastAsia" w:ascii="宋体" w:hAnsi="宋体"/>
          <w:color w:val="auto"/>
          <w:sz w:val="21"/>
          <w:szCs w:val="21"/>
          <w:highlight w:val="none"/>
        </w:rPr>
        <w:t>工信部联企业</w:t>
      </w:r>
      <w:r>
        <w:rPr>
          <w:rFonts w:hint="eastAsia" w:ascii="宋体" w:hAnsi="宋体"/>
          <w:color w:val="auto"/>
          <w:sz w:val="21"/>
          <w:szCs w:val="21"/>
          <w:highlight w:val="none"/>
          <w:lang w:eastAsia="zh-CN"/>
        </w:rPr>
        <w:t>〔2011〕300号</w:t>
      </w:r>
    </w:p>
    <w:p w14:paraId="274AE8D7">
      <w:pPr>
        <w:pStyle w:val="17"/>
        <w:rPr>
          <w:color w:val="auto"/>
          <w:sz w:val="21"/>
          <w:szCs w:val="21"/>
          <w:highlight w:val="none"/>
        </w:rPr>
      </w:pPr>
    </w:p>
    <w:p w14:paraId="65BB0AD4">
      <w:pPr>
        <w:pStyle w:val="17"/>
        <w:rPr>
          <w:color w:val="auto"/>
          <w:sz w:val="21"/>
          <w:szCs w:val="21"/>
          <w:highlight w:val="none"/>
        </w:rPr>
      </w:pPr>
      <w:r>
        <w:rPr>
          <w:rFonts w:hint="eastAsia"/>
          <w:color w:val="auto"/>
          <w:sz w:val="21"/>
          <w:szCs w:val="21"/>
          <w:highlight w:val="none"/>
        </w:rPr>
        <w:t>　　一、根据《中华人民共和国中小企业促进法》和《国务院关于进一步促进中小企业发展的若干意见》</w:t>
      </w:r>
      <w:r>
        <w:rPr>
          <w:rFonts w:hint="eastAsia"/>
          <w:color w:val="auto"/>
          <w:sz w:val="21"/>
          <w:szCs w:val="21"/>
          <w:highlight w:val="none"/>
          <w:lang w:eastAsia="zh-CN"/>
        </w:rPr>
        <w:t>（</w:t>
      </w:r>
      <w:r>
        <w:rPr>
          <w:rFonts w:hint="eastAsia"/>
          <w:color w:val="auto"/>
          <w:sz w:val="21"/>
          <w:szCs w:val="21"/>
          <w:highlight w:val="none"/>
        </w:rPr>
        <w:t>国发</w:t>
      </w:r>
      <w:r>
        <w:rPr>
          <w:rFonts w:hint="eastAsia"/>
          <w:color w:val="auto"/>
          <w:sz w:val="21"/>
          <w:szCs w:val="21"/>
          <w:highlight w:val="none"/>
          <w:lang w:eastAsia="zh-CN"/>
        </w:rPr>
        <w:t>〔2009〕36号）</w:t>
      </w:r>
      <w:r>
        <w:rPr>
          <w:rFonts w:hint="eastAsia"/>
          <w:color w:val="auto"/>
          <w:sz w:val="21"/>
          <w:szCs w:val="21"/>
          <w:highlight w:val="none"/>
        </w:rPr>
        <w:t>，制定本规定。</w:t>
      </w:r>
    </w:p>
    <w:p w14:paraId="6342A16F">
      <w:pPr>
        <w:pStyle w:val="17"/>
        <w:rPr>
          <w:color w:val="auto"/>
          <w:sz w:val="21"/>
          <w:szCs w:val="21"/>
          <w:highlight w:val="none"/>
        </w:rPr>
      </w:pPr>
      <w:r>
        <w:rPr>
          <w:rFonts w:hint="eastAsia"/>
          <w:color w:val="auto"/>
          <w:sz w:val="21"/>
          <w:szCs w:val="21"/>
          <w:highlight w:val="none"/>
        </w:rPr>
        <w:t>　　二、中小企业划分为中型、小型、微型三种类型，具体标准根据企业从业人员、营业收入、资产总额等指标，结合行业特点制定。</w:t>
      </w:r>
    </w:p>
    <w:p w14:paraId="1D89E268">
      <w:pPr>
        <w:pStyle w:val="17"/>
        <w:rPr>
          <w:color w:val="auto"/>
          <w:sz w:val="21"/>
          <w:szCs w:val="21"/>
          <w:highlight w:val="none"/>
        </w:rPr>
      </w:pPr>
      <w:r>
        <w:rPr>
          <w:rFonts w:hint="eastAsia"/>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B95BDAF">
      <w:pPr>
        <w:pStyle w:val="17"/>
        <w:rPr>
          <w:color w:val="auto"/>
          <w:sz w:val="21"/>
          <w:szCs w:val="21"/>
          <w:highlight w:val="none"/>
        </w:rPr>
      </w:pPr>
      <w:r>
        <w:rPr>
          <w:rFonts w:hint="eastAsia"/>
          <w:color w:val="auto"/>
          <w:sz w:val="21"/>
          <w:szCs w:val="21"/>
          <w:highlight w:val="none"/>
        </w:rPr>
        <w:t>　　四、各行业划型标准为：</w:t>
      </w:r>
    </w:p>
    <w:p w14:paraId="3BAF6790">
      <w:pPr>
        <w:pStyle w:val="17"/>
        <w:rPr>
          <w:color w:val="auto"/>
          <w:sz w:val="21"/>
          <w:szCs w:val="21"/>
          <w:highlight w:val="none"/>
        </w:rPr>
      </w:pPr>
      <w:r>
        <w:rPr>
          <w:rFonts w:hint="eastAsia"/>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6A511176">
      <w:pPr>
        <w:pStyle w:val="17"/>
        <w:rPr>
          <w:color w:val="auto"/>
          <w:sz w:val="21"/>
          <w:szCs w:val="21"/>
          <w:highlight w:val="none"/>
        </w:rPr>
      </w:pPr>
      <w:r>
        <w:rPr>
          <w:rFonts w:hint="eastAsia"/>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EB88416">
      <w:pPr>
        <w:pStyle w:val="17"/>
        <w:rPr>
          <w:color w:val="auto"/>
          <w:sz w:val="21"/>
          <w:szCs w:val="21"/>
          <w:highlight w:val="none"/>
        </w:rPr>
      </w:pPr>
      <w:r>
        <w:rPr>
          <w:rFonts w:hint="eastAsia"/>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88FA071">
      <w:pPr>
        <w:pStyle w:val="17"/>
        <w:rPr>
          <w:color w:val="auto"/>
          <w:sz w:val="21"/>
          <w:szCs w:val="21"/>
          <w:highlight w:val="none"/>
        </w:rPr>
      </w:pPr>
      <w:r>
        <w:rPr>
          <w:rFonts w:hint="eastAsia"/>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007E282">
      <w:pPr>
        <w:pStyle w:val="17"/>
        <w:rPr>
          <w:color w:val="auto"/>
          <w:sz w:val="21"/>
          <w:szCs w:val="21"/>
          <w:highlight w:val="none"/>
        </w:rPr>
      </w:pPr>
      <w:r>
        <w:rPr>
          <w:rFonts w:hint="eastAsia"/>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4393EAB">
      <w:pPr>
        <w:pStyle w:val="17"/>
        <w:rPr>
          <w:color w:val="auto"/>
          <w:sz w:val="21"/>
          <w:szCs w:val="21"/>
          <w:highlight w:val="none"/>
        </w:rPr>
      </w:pPr>
      <w:r>
        <w:rPr>
          <w:rFonts w:hint="eastAsia"/>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71FBD8B">
      <w:pPr>
        <w:pStyle w:val="17"/>
        <w:rPr>
          <w:color w:val="auto"/>
          <w:sz w:val="21"/>
          <w:szCs w:val="21"/>
          <w:highlight w:val="none"/>
        </w:rPr>
      </w:pPr>
      <w:r>
        <w:rPr>
          <w:rFonts w:hint="eastAsia"/>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0F5D436">
      <w:pPr>
        <w:pStyle w:val="17"/>
        <w:rPr>
          <w:color w:val="auto"/>
          <w:sz w:val="21"/>
          <w:szCs w:val="21"/>
          <w:highlight w:val="none"/>
        </w:rPr>
      </w:pPr>
      <w:r>
        <w:rPr>
          <w:rFonts w:hint="eastAsia"/>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30D8C04">
      <w:pPr>
        <w:pStyle w:val="17"/>
        <w:rPr>
          <w:color w:val="auto"/>
          <w:sz w:val="21"/>
          <w:szCs w:val="21"/>
          <w:highlight w:val="none"/>
        </w:rPr>
      </w:pPr>
      <w:r>
        <w:rPr>
          <w:rFonts w:hint="eastAsia"/>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DED307D">
      <w:pPr>
        <w:pStyle w:val="17"/>
        <w:rPr>
          <w:color w:val="auto"/>
          <w:sz w:val="21"/>
          <w:szCs w:val="21"/>
          <w:highlight w:val="none"/>
        </w:rPr>
      </w:pPr>
      <w:r>
        <w:rPr>
          <w:rFonts w:hint="eastAsia"/>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952C556">
      <w:pPr>
        <w:pStyle w:val="17"/>
        <w:rPr>
          <w:color w:val="auto"/>
          <w:sz w:val="21"/>
          <w:szCs w:val="21"/>
          <w:highlight w:val="none"/>
        </w:rPr>
      </w:pPr>
      <w:r>
        <w:rPr>
          <w:rFonts w:hint="eastAsia"/>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476C6BE">
      <w:pPr>
        <w:pStyle w:val="17"/>
        <w:rPr>
          <w:color w:val="auto"/>
          <w:sz w:val="21"/>
          <w:szCs w:val="21"/>
          <w:highlight w:val="none"/>
        </w:rPr>
      </w:pPr>
      <w:r>
        <w:rPr>
          <w:rFonts w:hint="eastAsia"/>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830C5F8">
      <w:pPr>
        <w:pStyle w:val="17"/>
        <w:rPr>
          <w:color w:val="auto"/>
          <w:sz w:val="21"/>
          <w:szCs w:val="21"/>
          <w:highlight w:val="none"/>
        </w:rPr>
      </w:pPr>
      <w:r>
        <w:rPr>
          <w:rFonts w:hint="eastAsia"/>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E13ECBA">
      <w:pPr>
        <w:pStyle w:val="17"/>
        <w:rPr>
          <w:color w:val="auto"/>
          <w:sz w:val="21"/>
          <w:szCs w:val="21"/>
          <w:highlight w:val="none"/>
        </w:rPr>
      </w:pPr>
      <w:r>
        <w:rPr>
          <w:rFonts w:hint="eastAsia"/>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190F9FC">
      <w:pPr>
        <w:pStyle w:val="17"/>
        <w:rPr>
          <w:color w:val="auto"/>
          <w:sz w:val="21"/>
          <w:szCs w:val="21"/>
          <w:highlight w:val="none"/>
        </w:rPr>
      </w:pPr>
      <w:r>
        <w:rPr>
          <w:rFonts w:hint="eastAsia"/>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7F94BF8">
      <w:pPr>
        <w:pStyle w:val="17"/>
        <w:rPr>
          <w:color w:val="auto"/>
          <w:sz w:val="21"/>
          <w:szCs w:val="21"/>
          <w:highlight w:val="none"/>
        </w:rPr>
      </w:pPr>
      <w:r>
        <w:rPr>
          <w:rFonts w:hint="eastAsia"/>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426E65AA">
      <w:pPr>
        <w:pStyle w:val="17"/>
        <w:rPr>
          <w:color w:val="auto"/>
          <w:sz w:val="21"/>
          <w:szCs w:val="21"/>
          <w:highlight w:val="none"/>
        </w:rPr>
      </w:pPr>
      <w:r>
        <w:rPr>
          <w:rFonts w:hint="eastAsia"/>
          <w:color w:val="auto"/>
          <w:sz w:val="21"/>
          <w:szCs w:val="21"/>
          <w:highlight w:val="none"/>
        </w:rPr>
        <w:t>　　五、企业类型的划分以统计部门的统计数据为依据。</w:t>
      </w:r>
    </w:p>
    <w:p w14:paraId="1A115F12">
      <w:pPr>
        <w:pStyle w:val="17"/>
        <w:rPr>
          <w:color w:val="auto"/>
          <w:sz w:val="21"/>
          <w:szCs w:val="21"/>
          <w:highlight w:val="none"/>
        </w:rPr>
      </w:pPr>
      <w:r>
        <w:rPr>
          <w:rFonts w:hint="eastAsia"/>
          <w:color w:val="auto"/>
          <w:sz w:val="21"/>
          <w:szCs w:val="21"/>
          <w:highlight w:val="none"/>
        </w:rPr>
        <w:t>　　六、本规定适用于在中华人民共和国境内依法设立的各类所有制和各种组织形式的企业。个体工商户和本规定以外的行业，参照本规定进行划型。</w:t>
      </w:r>
    </w:p>
    <w:p w14:paraId="68C97714">
      <w:pPr>
        <w:pStyle w:val="17"/>
        <w:rPr>
          <w:color w:val="auto"/>
          <w:sz w:val="21"/>
          <w:szCs w:val="21"/>
          <w:highlight w:val="none"/>
        </w:rPr>
      </w:pPr>
      <w:r>
        <w:rPr>
          <w:rFonts w:hint="eastAsia"/>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71EFB6EB">
      <w:pPr>
        <w:pStyle w:val="17"/>
        <w:rPr>
          <w:color w:val="auto"/>
          <w:sz w:val="21"/>
          <w:szCs w:val="21"/>
          <w:highlight w:val="none"/>
        </w:rPr>
      </w:pPr>
      <w:r>
        <w:rPr>
          <w:rFonts w:hint="eastAsia"/>
          <w:color w:val="auto"/>
          <w:sz w:val="21"/>
          <w:szCs w:val="21"/>
          <w:highlight w:val="none"/>
        </w:rPr>
        <w:t>　　八、本规定由工业和信息化部、国家统计局会同有关部门根据《国民经济行业分类》修订情况和企业发展变化情况适时修订。</w:t>
      </w:r>
    </w:p>
    <w:p w14:paraId="11FBFDE9">
      <w:pPr>
        <w:pStyle w:val="17"/>
        <w:rPr>
          <w:color w:val="auto"/>
          <w:sz w:val="21"/>
          <w:szCs w:val="21"/>
          <w:highlight w:val="none"/>
        </w:rPr>
      </w:pPr>
      <w:r>
        <w:rPr>
          <w:rFonts w:hint="eastAsia"/>
          <w:color w:val="auto"/>
          <w:sz w:val="21"/>
          <w:szCs w:val="21"/>
          <w:highlight w:val="none"/>
        </w:rPr>
        <w:t>　　九、本规定由工业和信息化部、国家统计局会同有关部门负责解释。</w:t>
      </w:r>
    </w:p>
    <w:p w14:paraId="36233D33">
      <w:pPr>
        <w:pStyle w:val="17"/>
        <w:ind w:firstLine="420"/>
        <w:rPr>
          <w:color w:val="auto"/>
          <w:sz w:val="21"/>
          <w:szCs w:val="21"/>
          <w:highlight w:val="none"/>
        </w:rPr>
      </w:pPr>
      <w:r>
        <w:rPr>
          <w:rFonts w:hint="eastAsia"/>
          <w:color w:val="auto"/>
          <w:sz w:val="21"/>
          <w:szCs w:val="21"/>
          <w:highlight w:val="none"/>
        </w:rPr>
        <w:t>十、本规定自发布之日起执行，原国家经贸委、原国家计委、财政部和国家统计局2003年颁布的《中小企业标准暂行规定》同时废止。</w:t>
      </w:r>
    </w:p>
    <w:p w14:paraId="7B1C9771">
      <w:pPr>
        <w:pStyle w:val="17"/>
        <w:ind w:firstLine="420"/>
        <w:rPr>
          <w:color w:val="auto"/>
          <w:sz w:val="21"/>
          <w:szCs w:val="21"/>
          <w:highlight w:val="none"/>
        </w:rPr>
      </w:pPr>
    </w:p>
    <w:p w14:paraId="0EDBCCB7">
      <w:pPr>
        <w:pStyle w:val="2"/>
        <w:spacing w:before="0" w:after="0" w:line="360" w:lineRule="auto"/>
        <w:jc w:val="center"/>
        <w:rPr>
          <w:color w:val="auto"/>
          <w:highlight w:val="none"/>
        </w:rPr>
      </w:pPr>
      <w:bookmarkStart w:id="61" w:name="_Toc74320802"/>
      <w:r>
        <w:rPr>
          <w:color w:val="auto"/>
          <w:highlight w:val="none"/>
        </w:rPr>
        <w:br w:type="page"/>
      </w:r>
      <w:r>
        <w:rPr>
          <w:rFonts w:hint="eastAsia"/>
          <w:color w:val="auto"/>
          <w:highlight w:val="none"/>
        </w:rPr>
        <w:t>第三章  投标人须知</w:t>
      </w:r>
      <w:bookmarkEnd w:id="61"/>
    </w:p>
    <w:p w14:paraId="4651E922">
      <w:pPr>
        <w:jc w:val="center"/>
        <w:rPr>
          <w:color w:val="auto"/>
          <w:sz w:val="36"/>
          <w:szCs w:val="36"/>
          <w:highlight w:val="none"/>
        </w:rPr>
      </w:pPr>
      <w:bookmarkStart w:id="62" w:name="_Toc254970526"/>
      <w:bookmarkStart w:id="63" w:name="_Toc254970667"/>
      <w:r>
        <w:rPr>
          <w:rFonts w:hint="eastAsia"/>
          <w:color w:val="auto"/>
          <w:sz w:val="36"/>
          <w:szCs w:val="36"/>
          <w:highlight w:val="none"/>
        </w:rPr>
        <w:t>投标人须知前附表</w:t>
      </w:r>
      <w:bookmarkEnd w:id="62"/>
      <w:bookmarkEnd w:id="63"/>
    </w:p>
    <w:tbl>
      <w:tblPr>
        <w:tblStyle w:val="46"/>
        <w:tblW w:w="9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0"/>
      </w:tblGrid>
      <w:tr w14:paraId="098285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89780ED">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条款号</w:t>
            </w:r>
          </w:p>
        </w:tc>
        <w:tc>
          <w:tcPr>
            <w:tcW w:w="8670" w:type="dxa"/>
            <w:tcBorders>
              <w:top w:val="single" w:color="auto" w:sz="4" w:space="0"/>
              <w:left w:val="single" w:color="auto" w:sz="4" w:space="0"/>
              <w:bottom w:val="single" w:color="auto" w:sz="4" w:space="0"/>
              <w:right w:val="single" w:color="auto" w:sz="4" w:space="0"/>
            </w:tcBorders>
            <w:vAlign w:val="center"/>
          </w:tcPr>
          <w:p w14:paraId="1B19ABF1">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211F4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45DB493">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8670" w:type="dxa"/>
            <w:tcBorders>
              <w:top w:val="single" w:color="auto" w:sz="4" w:space="0"/>
              <w:left w:val="single" w:color="auto" w:sz="4" w:space="0"/>
              <w:bottom w:val="single" w:color="auto" w:sz="4" w:space="0"/>
              <w:right w:val="single" w:color="auto" w:sz="4" w:space="0"/>
            </w:tcBorders>
            <w:vAlign w:val="center"/>
          </w:tcPr>
          <w:p w14:paraId="4DC7FE03">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投标人的资格要求详见招标公告。</w:t>
            </w:r>
          </w:p>
          <w:p w14:paraId="3873D36F">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47CD4DB0">
            <w:pPr>
              <w:snapToGrid w:val="0"/>
              <w:spacing w:line="360" w:lineRule="auto"/>
              <w:jc w:val="left"/>
              <w:rPr>
                <w:rFonts w:hint="eastAsia"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7614A80">
            <w:pPr>
              <w:snapToGrid w:val="0"/>
              <w:spacing w:line="360" w:lineRule="auto"/>
              <w:jc w:val="left"/>
              <w:rPr>
                <w:rFonts w:hint="eastAsia"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0FED63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D78D31D">
            <w:pPr>
              <w:spacing w:line="360" w:lineRule="auto"/>
              <w:jc w:val="center"/>
              <w:rPr>
                <w:rFonts w:hint="eastAsia" w:ascii="宋体" w:hAnsi="宋体"/>
                <w:color w:val="auto"/>
                <w:szCs w:val="21"/>
                <w:highlight w:val="none"/>
              </w:rPr>
            </w:pPr>
            <w:bookmarkStart w:id="64" w:name="_9.2"/>
            <w:bookmarkEnd w:id="64"/>
            <w:bookmarkStart w:id="65" w:name="_5"/>
            <w:bookmarkEnd w:id="65"/>
            <w:bookmarkStart w:id="66" w:name="_8.1"/>
            <w:bookmarkEnd w:id="66"/>
            <w:r>
              <w:rPr>
                <w:rFonts w:hint="eastAsia" w:ascii="宋体" w:hAnsi="宋体"/>
                <w:color w:val="auto"/>
                <w:szCs w:val="21"/>
                <w:highlight w:val="none"/>
              </w:rPr>
              <w:t>6.1</w:t>
            </w:r>
          </w:p>
        </w:tc>
        <w:tc>
          <w:tcPr>
            <w:tcW w:w="8670" w:type="dxa"/>
            <w:tcBorders>
              <w:top w:val="single" w:color="auto" w:sz="4" w:space="0"/>
              <w:left w:val="single" w:color="auto" w:sz="4" w:space="0"/>
              <w:bottom w:val="single" w:color="auto" w:sz="4" w:space="0"/>
              <w:right w:val="single" w:color="auto" w:sz="4" w:space="0"/>
            </w:tcBorders>
            <w:vAlign w:val="center"/>
          </w:tcPr>
          <w:p w14:paraId="3E976B9C">
            <w:pPr>
              <w:pStyle w:val="15"/>
              <w:spacing w:line="360" w:lineRule="auto"/>
              <w:rPr>
                <w:rFonts w:hint="eastAsia" w:ascii="宋体" w:hAnsi="宋体"/>
                <w:color w:val="auto"/>
                <w:szCs w:val="21"/>
                <w:highlight w:val="none"/>
              </w:rPr>
            </w:pPr>
            <w:r>
              <w:rPr>
                <w:rFonts w:hint="eastAsia" w:ascii="宋体" w:hAnsi="宋体"/>
                <w:color w:val="auto"/>
                <w:szCs w:val="21"/>
                <w:highlight w:val="none"/>
              </w:rPr>
              <w:t>本项目是否接受联合体投标：详见招标公告。</w:t>
            </w:r>
          </w:p>
        </w:tc>
      </w:tr>
      <w:tr w14:paraId="5E07E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5AF80C7">
            <w:pPr>
              <w:spacing w:line="360" w:lineRule="auto"/>
              <w:jc w:val="center"/>
              <w:rPr>
                <w:rFonts w:hint="eastAsia" w:ascii="宋体" w:hAnsi="宋体"/>
                <w:color w:val="auto"/>
                <w:szCs w:val="21"/>
                <w:highlight w:val="none"/>
              </w:rPr>
            </w:pPr>
            <w:r>
              <w:rPr>
                <w:rFonts w:ascii="宋体" w:hAnsi="宋体"/>
                <w:color w:val="auto"/>
                <w:szCs w:val="21"/>
                <w:highlight w:val="none"/>
              </w:rPr>
              <w:t>6.2</w:t>
            </w:r>
          </w:p>
        </w:tc>
        <w:tc>
          <w:tcPr>
            <w:tcW w:w="8670" w:type="dxa"/>
            <w:tcBorders>
              <w:top w:val="single" w:color="auto" w:sz="4" w:space="0"/>
              <w:left w:val="single" w:color="auto" w:sz="4" w:space="0"/>
              <w:bottom w:val="single" w:color="auto" w:sz="4" w:space="0"/>
              <w:right w:val="single" w:color="auto" w:sz="4" w:space="0"/>
            </w:tcBorders>
            <w:vAlign w:val="center"/>
          </w:tcPr>
          <w:p w14:paraId="5074A2B6">
            <w:pPr>
              <w:pStyle w:val="15"/>
              <w:spacing w:line="360" w:lineRule="auto"/>
              <w:rPr>
                <w:rFonts w:hint="eastAsia" w:ascii="宋体" w:hAnsi="宋体"/>
                <w:color w:val="auto"/>
                <w:szCs w:val="21"/>
                <w:highlight w:val="none"/>
              </w:rPr>
            </w:pPr>
            <w:bookmarkStart w:id="67" w:name="_Hlk54105293"/>
            <w:r>
              <w:rPr>
                <w:rFonts w:hint="eastAsia" w:ascii="宋体" w:hAnsi="宋体"/>
                <w:color w:val="auto"/>
                <w:szCs w:val="21"/>
                <w:highlight w:val="none"/>
              </w:rPr>
              <w:t>如接受联合体投标，</w:t>
            </w:r>
            <w:bookmarkEnd w:id="67"/>
            <w:r>
              <w:rPr>
                <w:rFonts w:hint="eastAsia" w:ascii="宋体" w:hAnsi="宋体"/>
                <w:color w:val="auto"/>
                <w:szCs w:val="21"/>
                <w:highlight w:val="none"/>
              </w:rPr>
              <w:t>联合体投标要求如下：/</w:t>
            </w:r>
          </w:p>
        </w:tc>
      </w:tr>
      <w:tr w14:paraId="668B1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70B8941">
            <w:pPr>
              <w:spacing w:line="360" w:lineRule="auto"/>
              <w:jc w:val="center"/>
              <w:rPr>
                <w:rFonts w:hint="eastAsia" w:ascii="宋体" w:hAnsi="宋体"/>
                <w:color w:val="auto"/>
                <w:szCs w:val="21"/>
                <w:highlight w:val="none"/>
              </w:rPr>
            </w:pPr>
            <w:r>
              <w:rPr>
                <w:rFonts w:hint="eastAsia" w:ascii="宋体" w:hAnsi="宋体"/>
                <w:color w:val="auto"/>
                <w:szCs w:val="21"/>
                <w:highlight w:val="none"/>
              </w:rPr>
              <w:t>7.2</w:t>
            </w:r>
          </w:p>
        </w:tc>
        <w:tc>
          <w:tcPr>
            <w:tcW w:w="8670" w:type="dxa"/>
            <w:tcBorders>
              <w:top w:val="single" w:color="auto" w:sz="4" w:space="0"/>
              <w:left w:val="single" w:color="auto" w:sz="4" w:space="0"/>
              <w:bottom w:val="single" w:color="auto" w:sz="4" w:space="0"/>
              <w:right w:val="single" w:color="auto" w:sz="4" w:space="0"/>
            </w:tcBorders>
            <w:vAlign w:val="center"/>
          </w:tcPr>
          <w:p w14:paraId="146FF7AB">
            <w:pPr>
              <w:pStyle w:val="15"/>
              <w:spacing w:line="360" w:lineRule="auto"/>
              <w:rPr>
                <w:rFonts w:hint="eastAsia"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不允许分包</w:t>
            </w:r>
          </w:p>
          <w:p w14:paraId="422F2718">
            <w:pPr>
              <w:pStyle w:val="15"/>
              <w:spacing w:line="360" w:lineRule="auto"/>
              <w:rPr>
                <w:rFonts w:hint="eastAsia" w:ascii="宋体" w:hAnsi="宋体"/>
                <w:color w:val="auto"/>
                <w:szCs w:val="21"/>
                <w:highlight w:val="none"/>
              </w:rPr>
            </w:pPr>
            <w:r>
              <w:rPr>
                <w:rFonts w:hint="eastAsia" w:ascii="宋体" w:hAnsi="宋体"/>
                <w:color w:val="auto"/>
                <w:szCs w:val="21"/>
                <w:highlight w:val="none"/>
              </w:rPr>
              <w:t>□允许分包</w:t>
            </w:r>
          </w:p>
          <w:p w14:paraId="4876A26E">
            <w:pPr>
              <w:pStyle w:val="15"/>
              <w:spacing w:line="360" w:lineRule="auto"/>
              <w:rPr>
                <w:rFonts w:hint="eastAsia" w:ascii="宋体" w:hAnsi="宋体"/>
                <w:color w:val="auto"/>
                <w:szCs w:val="21"/>
                <w:highlight w:val="none"/>
                <w:u w:val="single"/>
              </w:rPr>
            </w:pPr>
            <w:r>
              <w:rPr>
                <w:rFonts w:hint="eastAsia" w:ascii="宋体" w:hAnsi="宋体"/>
                <w:color w:val="auto"/>
                <w:szCs w:val="21"/>
                <w:highlight w:val="none"/>
              </w:rPr>
              <w:t>分包内容：</w:t>
            </w:r>
            <w:r>
              <w:rPr>
                <w:rFonts w:hint="eastAsia" w:ascii="宋体" w:hAnsi="宋体"/>
                <w:color w:val="auto"/>
                <w:szCs w:val="21"/>
                <w:highlight w:val="none"/>
                <w:u w:val="single"/>
              </w:rPr>
              <w:t>/ 。</w:t>
            </w:r>
          </w:p>
          <w:p w14:paraId="488A5A2B">
            <w:pPr>
              <w:pStyle w:val="15"/>
              <w:spacing w:line="360" w:lineRule="auto"/>
              <w:jc w:val="both"/>
              <w:rPr>
                <w:rFonts w:hint="eastAsia" w:ascii="宋体" w:hAnsi="宋体"/>
                <w:color w:val="auto"/>
                <w:szCs w:val="21"/>
                <w:highlight w:val="none"/>
                <w:u w:val="single"/>
              </w:rPr>
            </w:pPr>
            <w:r>
              <w:rPr>
                <w:rFonts w:hint="eastAsia" w:ascii="宋体" w:hAnsi="宋体"/>
                <w:color w:val="auto"/>
                <w:szCs w:val="21"/>
                <w:highlight w:val="none"/>
              </w:rPr>
              <w:t>分包金额或者比例：</w:t>
            </w:r>
            <w:r>
              <w:rPr>
                <w:rFonts w:hint="eastAsia" w:ascii="宋体" w:hAnsi="宋体"/>
                <w:color w:val="auto"/>
                <w:szCs w:val="21"/>
                <w:highlight w:val="none"/>
                <w:u w:val="single"/>
              </w:rPr>
              <w:t>/。</w:t>
            </w:r>
          </w:p>
        </w:tc>
      </w:tr>
      <w:tr w14:paraId="039EFF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59B54FB">
            <w:pPr>
              <w:spacing w:line="360" w:lineRule="auto"/>
              <w:jc w:val="center"/>
              <w:rPr>
                <w:rFonts w:hint="eastAsia" w:ascii="宋体" w:hAnsi="宋体"/>
                <w:color w:val="auto"/>
                <w:szCs w:val="21"/>
                <w:highlight w:val="none"/>
              </w:rPr>
            </w:pPr>
            <w:r>
              <w:rPr>
                <w:rFonts w:hint="eastAsia" w:ascii="宋体" w:hAnsi="宋体"/>
                <w:color w:val="auto"/>
                <w:szCs w:val="21"/>
                <w:highlight w:val="none"/>
              </w:rPr>
              <w:t>8.1</w:t>
            </w:r>
          </w:p>
        </w:tc>
        <w:tc>
          <w:tcPr>
            <w:tcW w:w="8670" w:type="dxa"/>
            <w:tcBorders>
              <w:top w:val="single" w:color="auto" w:sz="4" w:space="0"/>
              <w:left w:val="single" w:color="auto" w:sz="4" w:space="0"/>
              <w:bottom w:val="single" w:color="auto" w:sz="4" w:space="0"/>
              <w:right w:val="single" w:color="auto" w:sz="4" w:space="0"/>
            </w:tcBorders>
            <w:vAlign w:val="center"/>
          </w:tcPr>
          <w:p w14:paraId="064B0220">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 w:val="22"/>
                <w:szCs w:val="22"/>
                <w:highlight w:val="none"/>
              </w:rPr>
              <w:t>采用综合评分法的采购项目，</w:t>
            </w:r>
            <w:r>
              <w:rPr>
                <w:rFonts w:hint="eastAsia" w:ascii="宋体" w:hAnsi="宋体"/>
                <w:color w:val="auto"/>
                <w:szCs w:val="21"/>
                <w:highlight w:val="none"/>
              </w:rPr>
              <w:t>提供相同品牌产品（非单一产品采购项目的，指核心产品）的不同投标人评审得分相同时，按照下列方式确定一个投标人获得中标供应商推荐资格：</w:t>
            </w:r>
          </w:p>
          <w:p w14:paraId="51C0FEA7">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依次按投标报价低的优先、政策分得分高的优先、技术评分高的优先、商务评分高的优先、质保期长优先、交货期短优先、故障响应时间短优先的顺序推荐；</w:t>
            </w:r>
          </w:p>
          <w:p w14:paraId="4C633B68">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□随机抽取；</w:t>
            </w:r>
          </w:p>
        </w:tc>
      </w:tr>
      <w:tr w14:paraId="22DEBD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895" w:type="dxa"/>
            <w:vMerge w:val="restart"/>
            <w:tcBorders>
              <w:top w:val="single" w:color="auto" w:sz="4" w:space="0"/>
              <w:left w:val="single" w:color="auto" w:sz="4" w:space="0"/>
              <w:right w:val="single" w:color="auto" w:sz="4" w:space="0"/>
            </w:tcBorders>
            <w:vAlign w:val="center"/>
          </w:tcPr>
          <w:p w14:paraId="522CEE9C">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8670" w:type="dxa"/>
            <w:tcBorders>
              <w:top w:val="single" w:color="auto" w:sz="4" w:space="0"/>
              <w:left w:val="single" w:color="auto" w:sz="4" w:space="0"/>
              <w:bottom w:val="single" w:color="auto" w:sz="4" w:space="0"/>
              <w:right w:val="single" w:color="auto" w:sz="4" w:space="0"/>
            </w:tcBorders>
            <w:vAlign w:val="center"/>
          </w:tcPr>
          <w:p w14:paraId="6CBED86A">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不组织现场考察</w:t>
            </w:r>
          </w:p>
          <w:p w14:paraId="31723436">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□组织现场考察：</w:t>
            </w:r>
          </w:p>
          <w:p w14:paraId="672EF1DA">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集中时间：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，逾期后果自负。集中地点：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325D6E2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；联系电话：</w:t>
            </w:r>
            <w:r>
              <w:rPr>
                <w:rFonts w:ascii="宋体" w:hAnsi="宋体"/>
                <w:color w:val="auto"/>
                <w:szCs w:val="21"/>
                <w:highlight w:val="none"/>
                <w:u w:val="single"/>
              </w:rPr>
              <w:t xml:space="preserve">                </w:t>
            </w:r>
          </w:p>
        </w:tc>
      </w:tr>
      <w:tr w14:paraId="7DF47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vAlign w:val="center"/>
          </w:tcPr>
          <w:p w14:paraId="392A2D1B">
            <w:pPr>
              <w:spacing w:line="360" w:lineRule="auto"/>
              <w:jc w:val="center"/>
              <w:rPr>
                <w:rFonts w:hint="eastAsia" w:ascii="宋体" w:hAnsi="宋体"/>
                <w:color w:val="auto"/>
                <w:szCs w:val="21"/>
                <w:highlight w:val="none"/>
              </w:rPr>
            </w:pPr>
          </w:p>
        </w:tc>
        <w:tc>
          <w:tcPr>
            <w:tcW w:w="8670" w:type="dxa"/>
            <w:tcBorders>
              <w:top w:val="single" w:color="auto" w:sz="4" w:space="0"/>
              <w:left w:val="single" w:color="auto" w:sz="4" w:space="0"/>
              <w:bottom w:val="single" w:color="auto" w:sz="4" w:space="0"/>
              <w:right w:val="single" w:color="auto" w:sz="4" w:space="0"/>
            </w:tcBorders>
            <w:vAlign w:val="center"/>
          </w:tcPr>
          <w:p w14:paraId="19D2B8AA">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不组织召开开标前答疑会</w:t>
            </w:r>
          </w:p>
          <w:p w14:paraId="469D940F">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□组织召开开标前答疑会</w:t>
            </w:r>
          </w:p>
          <w:p w14:paraId="3D8CE5A3">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会议开始时间：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，逾期后果自负。会议地点：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c>
      </w:tr>
      <w:tr w14:paraId="67D33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vAlign w:val="center"/>
          </w:tcPr>
          <w:p w14:paraId="2C80C969">
            <w:pPr>
              <w:spacing w:line="360" w:lineRule="auto"/>
              <w:jc w:val="center"/>
              <w:rPr>
                <w:rFonts w:hint="eastAsia" w:ascii="宋体" w:hAnsi="宋体"/>
                <w:color w:val="auto"/>
                <w:szCs w:val="21"/>
                <w:highlight w:val="none"/>
              </w:rPr>
            </w:pPr>
            <w:bookmarkStart w:id="68" w:name="_13.1"/>
            <w:bookmarkEnd w:id="68"/>
            <w:r>
              <w:rPr>
                <w:rFonts w:hint="eastAsia" w:ascii="宋体" w:hAnsi="宋体"/>
                <w:color w:val="auto"/>
                <w:szCs w:val="21"/>
                <w:highlight w:val="none"/>
              </w:rPr>
              <w:t>13</w:t>
            </w:r>
          </w:p>
        </w:tc>
        <w:tc>
          <w:tcPr>
            <w:tcW w:w="8670" w:type="dxa"/>
            <w:tcBorders>
              <w:top w:val="single" w:color="auto" w:sz="4" w:space="0"/>
              <w:left w:val="single" w:color="auto" w:sz="4" w:space="0"/>
              <w:bottom w:val="single" w:color="auto" w:sz="4" w:space="0"/>
              <w:right w:val="single" w:color="auto" w:sz="4" w:space="0"/>
            </w:tcBorders>
            <w:vAlign w:val="center"/>
          </w:tcPr>
          <w:p w14:paraId="7235F1E0">
            <w:pPr>
              <w:snapToGrid w:val="0"/>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报价文件：</w:t>
            </w:r>
          </w:p>
          <w:p w14:paraId="3513C078">
            <w:pPr>
              <w:tabs>
                <w:tab w:val="left" w:pos="459"/>
              </w:tabs>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b/>
                <w:color w:val="auto"/>
                <w:szCs w:val="21"/>
                <w:highlight w:val="none"/>
              </w:rPr>
              <w:t>）</w:t>
            </w:r>
          </w:p>
          <w:p w14:paraId="24DECF8A">
            <w:pPr>
              <w:tabs>
                <w:tab w:val="left" w:pos="459"/>
              </w:tabs>
              <w:snapToGrid w:val="0"/>
              <w:spacing w:line="360" w:lineRule="auto"/>
              <w:ind w:left="420"/>
              <w:jc w:val="left"/>
              <w:rPr>
                <w:rFonts w:hint="eastAsia" w:ascii="宋体" w:hAnsi="宋体"/>
                <w:color w:val="auto"/>
                <w:szCs w:val="21"/>
                <w:highlight w:val="none"/>
              </w:rPr>
            </w:pPr>
            <w:bookmarkStart w:id="69" w:name="_Hlk71299233"/>
            <w:r>
              <w:rPr>
                <w:rFonts w:hint="eastAsia" w:ascii="宋体" w:hAnsi="宋体"/>
                <w:color w:val="auto"/>
                <w:szCs w:val="21"/>
                <w:highlight w:val="none"/>
              </w:rPr>
              <w:t>2.开标一览表</w:t>
            </w:r>
            <w:bookmarkEnd w:id="69"/>
            <w:r>
              <w:rPr>
                <w:rFonts w:hint="eastAsia" w:ascii="宋体" w:hAnsi="宋体"/>
                <w:color w:val="auto"/>
                <w:szCs w:val="21"/>
                <w:highlight w:val="none"/>
              </w:rPr>
              <w:t>（格式后附）； （</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0B31DC01">
            <w:pPr>
              <w:tabs>
                <w:tab w:val="left" w:pos="459"/>
              </w:tabs>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3.投标人针对报价需要说明的其他文件和说明（格式自拟）。</w:t>
            </w:r>
          </w:p>
          <w:p w14:paraId="3D1474F0">
            <w:pPr>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注：</w:t>
            </w:r>
            <w:r>
              <w:rPr>
                <w:rFonts w:hint="eastAsia" w:ascii="宋体" w:hAnsi="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w:t>
            </w:r>
            <w:r>
              <w:rPr>
                <w:rFonts w:hint="eastAsia" w:ascii="宋体" w:hAnsi="宋体"/>
                <w:b/>
                <w:bCs/>
                <w:color w:val="auto"/>
                <w:szCs w:val="21"/>
                <w:highlight w:val="none"/>
                <w:lang w:eastAsia="zh-CN"/>
              </w:rPr>
              <w:t>否则投标文件按无效处理</w:t>
            </w:r>
            <w:r>
              <w:rPr>
                <w:rFonts w:hint="eastAsia" w:ascii="宋体" w:hAnsi="宋体" w:cs="Courier New"/>
                <w:b/>
                <w:color w:val="auto"/>
                <w:szCs w:val="21"/>
                <w:highlight w:val="none"/>
              </w:rPr>
              <w:t>。</w:t>
            </w:r>
            <w:r>
              <w:rPr>
                <w:rFonts w:hint="eastAsia" w:ascii="宋体" w:hAnsi="宋体" w:cs="宋体"/>
                <w:b/>
                <w:color w:val="auto"/>
                <w:szCs w:val="21"/>
                <w:highlight w:val="none"/>
              </w:rPr>
              <w:t xml:space="preserve"> </w:t>
            </w:r>
          </w:p>
        </w:tc>
      </w:tr>
      <w:tr w14:paraId="4AD4A8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748FB329">
            <w:pPr>
              <w:spacing w:line="360" w:lineRule="auto"/>
              <w:rPr>
                <w:rFonts w:hint="eastAsia" w:ascii="宋体" w:hAnsi="宋体"/>
                <w:color w:val="auto"/>
                <w:szCs w:val="21"/>
                <w:highlight w:val="none"/>
              </w:rPr>
            </w:pPr>
            <w:bookmarkStart w:id="70" w:name="_13.2"/>
            <w:bookmarkEnd w:id="70"/>
          </w:p>
        </w:tc>
        <w:tc>
          <w:tcPr>
            <w:tcW w:w="8670" w:type="dxa"/>
            <w:tcBorders>
              <w:top w:val="single" w:color="auto" w:sz="4" w:space="0"/>
              <w:left w:val="single" w:color="auto" w:sz="4" w:space="0"/>
              <w:bottom w:val="single" w:color="auto" w:sz="4" w:space="0"/>
              <w:right w:val="single" w:color="auto" w:sz="4" w:space="0"/>
            </w:tcBorders>
            <w:vAlign w:val="center"/>
          </w:tcPr>
          <w:p w14:paraId="49705651">
            <w:pPr>
              <w:snapToGrid w:val="0"/>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资格证明文件</w:t>
            </w:r>
          </w:p>
          <w:p w14:paraId="57288492">
            <w:pPr>
              <w:snapToGrid w:val="0"/>
              <w:spacing w:line="360" w:lineRule="auto"/>
              <w:ind w:firstLine="420" w:firstLineChars="200"/>
              <w:jc w:val="left"/>
              <w:rPr>
                <w:rFonts w:hint="eastAsia" w:ascii="宋体" w:hAnsi="宋体" w:cs="Courier New"/>
                <w:b/>
                <w:color w:val="auto"/>
                <w:szCs w:val="21"/>
                <w:highlight w:val="none"/>
              </w:rPr>
            </w:pPr>
            <w:r>
              <w:rPr>
                <w:rFonts w:hint="eastAsia" w:ascii="宋体" w:hAnsi="宋体"/>
                <w:color w:val="auto"/>
                <w:szCs w:val="21"/>
                <w:highlight w:val="none"/>
              </w:rPr>
              <w:t>1.投标人为法人或者其他组织的，</w:t>
            </w:r>
            <w:r>
              <w:rPr>
                <w:rFonts w:hint="eastAsia" w:ascii="宋体" w:hAnsi="宋体"/>
                <w:b/>
                <w:bCs/>
                <w:color w:val="auto"/>
                <w:szCs w:val="21"/>
                <w:highlight w:val="none"/>
              </w:rPr>
              <w:t>提供营业执照等证明文件</w:t>
            </w:r>
            <w:r>
              <w:rPr>
                <w:rFonts w:hint="eastAsia" w:ascii="宋体" w:hAnsi="宋体" w:cs="宋体"/>
                <w:color w:val="auto"/>
                <w:szCs w:val="21"/>
                <w:highlight w:val="none"/>
              </w:rPr>
              <w:t>（如营业执照或者事业单位法人证书或者</w:t>
            </w:r>
            <w:r>
              <w:rPr>
                <w:rStyle w:val="97"/>
                <w:color w:val="auto"/>
                <w:sz w:val="21"/>
                <w:szCs w:val="21"/>
                <w:highlight w:val="none"/>
              </w:rPr>
              <w:t>执业许可证</w:t>
            </w:r>
            <w:r>
              <w:rPr>
                <w:rFonts w:hint="eastAsia" w:ascii="宋体" w:hAnsi="宋体" w:cs="宋体"/>
                <w:color w:val="auto"/>
                <w:szCs w:val="21"/>
                <w:highlight w:val="none"/>
              </w:rPr>
              <w:t>或者登记证书等）</w:t>
            </w:r>
            <w:r>
              <w:rPr>
                <w:rFonts w:hint="eastAsia" w:ascii="宋体" w:hAnsi="宋体"/>
                <w:color w:val="auto"/>
                <w:szCs w:val="21"/>
                <w:highlight w:val="none"/>
              </w:rPr>
              <w:t>，投标人为自然人的，提供身份证</w:t>
            </w:r>
            <w:r>
              <w:rPr>
                <w:rFonts w:hint="eastAsia" w:ascii="宋体" w:hAnsi="宋体" w:cs="宋体"/>
                <w:color w:val="auto"/>
                <w:szCs w:val="21"/>
                <w:highlight w:val="none"/>
              </w:rPr>
              <w:t>复印件</w:t>
            </w:r>
            <w:r>
              <w:rPr>
                <w:rFonts w:hint="eastAsia" w:ascii="宋体" w:hAnsi="宋体"/>
                <w:color w:val="auto"/>
                <w:szCs w:val="21"/>
                <w:highlight w:val="none"/>
              </w:rPr>
              <w:t>；（</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091D074A">
            <w:pPr>
              <w:snapToGrid w:val="0"/>
              <w:spacing w:line="360" w:lineRule="auto"/>
              <w:ind w:firstLine="420" w:firstLineChars="200"/>
              <w:jc w:val="left"/>
              <w:rPr>
                <w:rFonts w:hint="eastAsia" w:ascii="宋体" w:hAnsi="宋体" w:cs="Courier New"/>
                <w:b/>
                <w:color w:val="auto"/>
                <w:szCs w:val="21"/>
                <w:highlight w:val="none"/>
              </w:rPr>
            </w:pPr>
            <w:r>
              <w:rPr>
                <w:rFonts w:hint="eastAsia" w:ascii="宋体" w:hAnsi="宋体" w:cs="宋体"/>
                <w:color w:val="auto"/>
                <w:szCs w:val="21"/>
                <w:highlight w:val="none"/>
              </w:rPr>
              <w:t>2. 投标人依法缴纳税收的相关材料（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月至</w:t>
            </w:r>
            <w:r>
              <w:rPr>
                <w:rFonts w:hint="eastAsia" w:ascii="宋体" w:hAnsi="宋体" w:cs="宋体"/>
                <w:color w:val="auto"/>
                <w:szCs w:val="21"/>
                <w:highlight w:val="none"/>
                <w:u w:val="single"/>
              </w:rPr>
              <w:t>提交投标文件截止之日</w:t>
            </w:r>
            <w:r>
              <w:rPr>
                <w:rFonts w:hint="eastAsia" w:ascii="宋体" w:hAnsi="宋体" w:cs="宋体"/>
                <w:color w:val="auto"/>
                <w:szCs w:val="21"/>
                <w:highlight w:val="none"/>
              </w:rPr>
              <w:t>内任意</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个月的依法缴纳税收的</w:t>
            </w:r>
            <w:r>
              <w:rPr>
                <w:rFonts w:hint="eastAsia"/>
                <w:color w:val="auto"/>
                <w:highlight w:val="none"/>
              </w:rPr>
              <w:t>证明材料</w:t>
            </w:r>
            <w:r>
              <w:rPr>
                <w:rFonts w:hint="eastAsia" w:ascii="宋体" w:hAnsi="宋体" w:cs="宋体"/>
                <w:color w:val="auto"/>
                <w:szCs w:val="21"/>
                <w:highlight w:val="none"/>
              </w:rPr>
              <w:t>复印件；</w:t>
            </w:r>
            <w:r>
              <w:rPr>
                <w:rFonts w:hint="eastAsia" w:ascii="宋体" w:hAnsi="宋体"/>
                <w:color w:val="auto"/>
                <w:szCs w:val="21"/>
                <w:highlight w:val="none"/>
              </w:rPr>
              <w:t>依法免税的供应商，</w:t>
            </w:r>
            <w:r>
              <w:rPr>
                <w:rFonts w:hint="eastAsia"/>
                <w:color w:val="auto"/>
                <w:highlight w:val="none"/>
              </w:rPr>
              <w:t>必须提供符合免税条件的证明材料</w:t>
            </w:r>
            <w:r>
              <w:rPr>
                <w:rFonts w:hint="eastAsia" w:ascii="宋体" w:hAnsi="宋体"/>
                <w:color w:val="auto"/>
                <w:szCs w:val="21"/>
                <w:highlight w:val="none"/>
              </w:rPr>
              <w:t>。</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到投标文件提交截止时间止不足要求月数的，则不需提供）</w:t>
            </w:r>
            <w:r>
              <w:rPr>
                <w:rFonts w:hint="eastAsia" w:ascii="宋体" w:hAnsi="宋体"/>
                <w:color w:val="auto"/>
                <w:szCs w:val="21"/>
                <w:highlight w:val="none"/>
              </w:rPr>
              <w:t>；（</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2FE5CC22">
            <w:pPr>
              <w:snapToGrid w:val="0"/>
              <w:spacing w:line="360" w:lineRule="auto"/>
              <w:ind w:firstLine="420" w:firstLineChars="200"/>
              <w:jc w:val="left"/>
              <w:rPr>
                <w:rFonts w:hint="eastAsia" w:ascii="宋体" w:hAnsi="宋体" w:cs="Courier New"/>
                <w:b/>
                <w:color w:val="auto"/>
                <w:szCs w:val="21"/>
                <w:highlight w:val="none"/>
              </w:rPr>
            </w:pPr>
            <w:r>
              <w:rPr>
                <w:rFonts w:hint="eastAsia" w:ascii="宋体" w:hAnsi="宋体" w:cs="宋体"/>
                <w:color w:val="auto"/>
                <w:szCs w:val="21"/>
                <w:highlight w:val="none"/>
              </w:rPr>
              <w:t>3. 投标人依法缴纳社会保障资金的相关材料[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月至</w:t>
            </w:r>
            <w:r>
              <w:rPr>
                <w:rFonts w:hint="eastAsia" w:ascii="宋体" w:hAnsi="宋体" w:cs="宋体"/>
                <w:color w:val="auto"/>
                <w:szCs w:val="21"/>
                <w:highlight w:val="none"/>
                <w:u w:val="single"/>
              </w:rPr>
              <w:t>提交投标文件截止之日</w:t>
            </w:r>
            <w:r>
              <w:rPr>
                <w:rFonts w:hint="eastAsia" w:ascii="宋体" w:hAnsi="宋体" w:cs="宋体"/>
                <w:color w:val="auto"/>
                <w:szCs w:val="21"/>
                <w:highlight w:val="none"/>
              </w:rPr>
              <w:t>内任意</w:t>
            </w:r>
            <w:r>
              <w:rPr>
                <w:rFonts w:hint="eastAsia" w:ascii="宋体" w:hAnsi="宋体" w:cs="宋体"/>
                <w:color w:val="auto"/>
                <w:szCs w:val="21"/>
                <w:highlight w:val="none"/>
                <w:u w:val="single"/>
              </w:rPr>
              <w:t xml:space="preserve"> 1</w:t>
            </w:r>
            <w:r>
              <w:rPr>
                <w:rFonts w:hint="eastAsia" w:ascii="宋体" w:hAnsi="宋体" w:cs="宋体"/>
                <w:color w:val="auto"/>
                <w:szCs w:val="21"/>
                <w:highlight w:val="none"/>
              </w:rPr>
              <w:t>个月的依法缴纳社会保障资金的缴费</w:t>
            </w:r>
            <w:r>
              <w:rPr>
                <w:rFonts w:hint="eastAsia"/>
                <w:color w:val="auto"/>
                <w:highlight w:val="none"/>
              </w:rPr>
              <w:t>证明材料</w:t>
            </w:r>
            <w:r>
              <w:rPr>
                <w:rFonts w:hint="eastAsia" w:ascii="宋体" w:hAnsi="宋体" w:cs="宋体"/>
                <w:color w:val="auto"/>
                <w:szCs w:val="21"/>
                <w:highlight w:val="none"/>
              </w:rPr>
              <w:t>（</w:t>
            </w:r>
            <w:r>
              <w:rPr>
                <w:rFonts w:hint="eastAsia"/>
                <w:color w:val="auto"/>
                <w:highlight w:val="none"/>
              </w:rPr>
              <w:t>如：</w:t>
            </w:r>
            <w:r>
              <w:rPr>
                <w:rFonts w:hint="eastAsia" w:ascii="宋体" w:hAnsi="宋体" w:cs="宋体"/>
                <w:color w:val="auto"/>
                <w:szCs w:val="21"/>
                <w:highlight w:val="none"/>
              </w:rPr>
              <w:t>专用收据、社会保险缴纳清单或者社保部门的证明等）复印件；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到投标文件提交截止时间止不足要求月数的，则不需提供]</w:t>
            </w:r>
            <w:r>
              <w:rPr>
                <w:rFonts w:hint="eastAsia" w:ascii="宋体" w:hAnsi="宋体"/>
                <w:color w:val="auto"/>
                <w:szCs w:val="21"/>
                <w:highlight w:val="none"/>
              </w:rPr>
              <w:t>；（</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15ADBAED">
            <w:pPr>
              <w:snapToGrid w:val="0"/>
              <w:spacing w:line="360" w:lineRule="auto"/>
              <w:ind w:firstLine="420" w:firstLineChars="200"/>
              <w:jc w:val="left"/>
              <w:rPr>
                <w:rFonts w:hint="eastAsia" w:ascii="宋体" w:hAnsi="宋体" w:cs="Courier New"/>
                <w:b/>
                <w:color w:val="auto"/>
                <w:szCs w:val="21"/>
                <w:highlight w:val="none"/>
              </w:rPr>
            </w:pPr>
            <w:r>
              <w:rPr>
                <w:rFonts w:hint="eastAsia" w:ascii="宋体" w:hAnsi="宋体" w:cs="宋体"/>
                <w:color w:val="auto"/>
                <w:szCs w:val="21"/>
                <w:highlight w:val="none"/>
              </w:rPr>
              <w:t>4.投标人</w:t>
            </w:r>
            <w:r>
              <w:rPr>
                <w:rFonts w:hint="eastAsia"/>
                <w:color w:val="auto"/>
                <w:szCs w:val="21"/>
                <w:highlight w:val="none"/>
              </w:rPr>
              <w:t>财务状况报告[</w:t>
            </w:r>
            <w:r>
              <w:rPr>
                <w:rFonts w:hint="eastAsia"/>
                <w:color w:val="auto"/>
                <w:szCs w:val="21"/>
                <w:highlight w:val="none"/>
                <w:u w:val="single"/>
              </w:rPr>
              <w:t>2024</w:t>
            </w:r>
            <w:r>
              <w:rPr>
                <w:rFonts w:hint="eastAsia"/>
                <w:color w:val="auto"/>
                <w:szCs w:val="21"/>
                <w:highlight w:val="none"/>
              </w:rPr>
              <w:t>年度财务报表复印件，或者银行出具的资信证明，或者中国人民银行征信中心出具的信用报告（企业投标的提供企业信用报告，自然人投标的提供个人信用报告</w:t>
            </w:r>
            <w:r>
              <w:rPr>
                <w:rFonts w:hint="eastAsia"/>
                <w:color w:val="auto"/>
                <w:highlight w:val="none"/>
              </w:rPr>
              <w:t>，</w:t>
            </w:r>
            <w:r>
              <w:rPr>
                <w:rFonts w:hint="eastAsia" w:ascii="宋体" w:hAnsi="宋体"/>
                <w:color w:val="auto"/>
                <w:highlight w:val="none"/>
              </w:rPr>
              <w:t>投标人属于成立时间在规定年度之后的法人或其他组织，</w:t>
            </w:r>
            <w:r>
              <w:rPr>
                <w:rFonts w:hint="eastAsia"/>
                <w:color w:val="auto"/>
                <w:highlight w:val="none"/>
              </w:rPr>
              <w:t>需提供成立之日起至投标截止时间前的月报表</w:t>
            </w:r>
            <w:r>
              <w:rPr>
                <w:rFonts w:hint="eastAsia"/>
                <w:color w:val="auto"/>
                <w:szCs w:val="21"/>
                <w:highlight w:val="none"/>
              </w:rPr>
              <w:t>或银行出具的资信证明或者中国人民银行征信中心出具的企业信用报告；资信证明应在有效期内，未注明有效期的，银行出具时间至投标截止时间不超过一年）]；</w:t>
            </w:r>
            <w:r>
              <w:rPr>
                <w:rFonts w:hint="eastAsia" w:ascii="宋体" w:hAnsi="宋体"/>
                <w:color w:val="auto"/>
                <w:szCs w:val="21"/>
                <w:highlight w:val="none"/>
              </w:rPr>
              <w:t>（</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1B7650B0">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5.投标人直接控股信息表（格式后附）；（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4BF05D7C">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6.投标人直接管理关系信息表（格式后附）；（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09BF4543">
            <w:pPr>
              <w:snapToGrid w:val="0"/>
              <w:spacing w:line="360" w:lineRule="auto"/>
              <w:ind w:firstLine="420" w:firstLineChars="200"/>
              <w:jc w:val="left"/>
              <w:rPr>
                <w:rFonts w:hint="eastAsia" w:ascii="宋体" w:hAnsi="宋体" w:cs="Courier New"/>
                <w:b/>
                <w:color w:val="auto"/>
                <w:szCs w:val="21"/>
                <w:highlight w:val="none"/>
              </w:rPr>
            </w:pPr>
            <w:r>
              <w:rPr>
                <w:rFonts w:hint="eastAsia" w:ascii="宋体" w:hAnsi="宋体"/>
                <w:color w:val="auto"/>
                <w:szCs w:val="21"/>
                <w:highlight w:val="none"/>
              </w:rPr>
              <w:t>7.投标声明（格式后附）；（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6FE5F383">
            <w:pPr>
              <w:snapToGrid w:val="0"/>
              <w:spacing w:line="360" w:lineRule="auto"/>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8.本项目特定资格：</w:t>
            </w:r>
            <w:r>
              <w:rPr>
                <w:rFonts w:hint="eastAsia" w:ascii="宋体" w:hAnsi="宋体"/>
                <w:color w:val="auto"/>
                <w:szCs w:val="21"/>
                <w:highlight w:val="none"/>
              </w:rPr>
              <w:t>（</w:t>
            </w:r>
            <w:r>
              <w:rPr>
                <w:rFonts w:hint="eastAsia" w:ascii="宋体" w:hAnsi="宋体"/>
                <w:b/>
                <w:bCs/>
                <w:color w:val="auto"/>
                <w:szCs w:val="21"/>
                <w:highlight w:val="none"/>
                <w:lang w:val="en-US" w:eastAsia="zh-CN"/>
              </w:rPr>
              <w:t>1、2、3分标</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15BA0A1F">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标的属第二类医疗器械的，应提供有效的医疗器械经营备案凭证（经营范围包含采购的第二类医疗器械），符合《医疗器械监督管理条例》（国务院令第739号）第四十一条第二款规定的除外；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75B45E00">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标的属第三类医疗器械的，应提供有效的医疗器械经营许可证（经营范围包含采购的第三类医疗器械）；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53D84D78">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（3）标的有第二类和第三类医疗器械的，应按上述（1）（2）要求提供。</w:t>
            </w:r>
          </w:p>
          <w:p w14:paraId="5980504B">
            <w:pPr>
              <w:snapToGrid w:val="0"/>
              <w:spacing w:line="360" w:lineRule="auto"/>
              <w:ind w:firstLine="420" w:firstLineChars="200"/>
              <w:jc w:val="left"/>
              <w:rPr>
                <w:rFonts w:hint="eastAsia" w:ascii="宋体" w:hAnsi="宋体" w:cs="Courier New"/>
                <w:b/>
                <w:color w:val="auto"/>
                <w:szCs w:val="21"/>
                <w:highlight w:val="none"/>
              </w:rPr>
            </w:pPr>
            <w:r>
              <w:rPr>
                <w:rFonts w:hint="eastAsia" w:ascii="宋体" w:hAnsi="宋体"/>
                <w:color w:val="auto"/>
                <w:szCs w:val="21"/>
                <w:highlight w:val="none"/>
              </w:rPr>
              <w:t>9.除招标文件规定必须提供以外，投标人认为需要提供的其他证明材料。</w:t>
            </w:r>
          </w:p>
          <w:p w14:paraId="3CB19C90">
            <w:pPr>
              <w:snapToGrid w:val="0"/>
              <w:spacing w:line="360" w:lineRule="auto"/>
              <w:jc w:val="left"/>
              <w:rPr>
                <w:rFonts w:hint="eastAsia" w:ascii="宋体" w:hAnsi="宋体"/>
                <w:b/>
                <w:bCs/>
                <w:color w:val="auto"/>
                <w:szCs w:val="21"/>
                <w:highlight w:val="none"/>
              </w:rPr>
            </w:pPr>
            <w:r>
              <w:rPr>
                <w:rFonts w:hint="eastAsia" w:ascii="宋体" w:hAnsi="宋体"/>
                <w:b/>
                <w:bCs/>
                <w:color w:val="auto"/>
                <w:szCs w:val="21"/>
                <w:highlight w:val="none"/>
              </w:rPr>
              <w:t>注：以上标明“必须提供”的材料</w:t>
            </w:r>
            <w:r>
              <w:rPr>
                <w:rFonts w:hint="eastAsia" w:ascii="宋体" w:hAnsi="宋体"/>
                <w:b/>
                <w:bCs/>
                <w:color w:val="auto"/>
                <w:szCs w:val="21"/>
                <w:highlight w:val="none"/>
                <w:lang w:val="en-US" w:eastAsia="zh-CN"/>
              </w:rPr>
              <w:t>所有分标均须提供(另有说明的除外)</w:t>
            </w:r>
            <w:r>
              <w:rPr>
                <w:rFonts w:hint="eastAsia" w:ascii="宋体" w:hAnsi="宋体"/>
                <w:b/>
                <w:bCs/>
                <w:color w:val="auto"/>
                <w:szCs w:val="21"/>
                <w:highlight w:val="none"/>
              </w:rPr>
              <w:t>，格式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w:t>
            </w:r>
            <w:r>
              <w:rPr>
                <w:rFonts w:hint="eastAsia" w:ascii="宋体" w:hAnsi="宋体"/>
                <w:b/>
                <w:bCs/>
                <w:color w:val="auto"/>
                <w:szCs w:val="21"/>
                <w:highlight w:val="none"/>
                <w:lang w:eastAsia="zh-CN"/>
              </w:rPr>
              <w:t>否则投标文件按无效处理</w:t>
            </w:r>
            <w:r>
              <w:rPr>
                <w:rFonts w:hint="eastAsia" w:ascii="宋体" w:hAnsi="宋体" w:cs="Courier New"/>
                <w:b/>
                <w:color w:val="auto"/>
                <w:szCs w:val="21"/>
                <w:highlight w:val="none"/>
              </w:rPr>
              <w:t>。</w:t>
            </w:r>
          </w:p>
        </w:tc>
      </w:tr>
      <w:tr w14:paraId="2BE29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5495316D">
            <w:pPr>
              <w:spacing w:line="360" w:lineRule="auto"/>
              <w:rPr>
                <w:rFonts w:hint="eastAsia" w:ascii="宋体" w:hAnsi="宋体"/>
                <w:color w:val="auto"/>
                <w:szCs w:val="21"/>
                <w:highlight w:val="none"/>
              </w:rPr>
            </w:pPr>
            <w:bookmarkStart w:id="71" w:name="_13.3"/>
            <w:bookmarkEnd w:id="71"/>
          </w:p>
        </w:tc>
        <w:tc>
          <w:tcPr>
            <w:tcW w:w="8670" w:type="dxa"/>
            <w:tcBorders>
              <w:top w:val="single" w:color="auto" w:sz="4" w:space="0"/>
              <w:left w:val="single" w:color="auto" w:sz="4" w:space="0"/>
              <w:bottom w:val="single" w:color="auto" w:sz="4" w:space="0"/>
              <w:right w:val="single" w:color="auto" w:sz="4" w:space="0"/>
            </w:tcBorders>
            <w:vAlign w:val="center"/>
          </w:tcPr>
          <w:p w14:paraId="15DC7F1D">
            <w:pPr>
              <w:snapToGrid w:val="0"/>
              <w:spacing w:line="360" w:lineRule="auto"/>
              <w:jc w:val="left"/>
              <w:rPr>
                <w:rFonts w:hint="eastAsia" w:ascii="宋体" w:hAnsi="宋体" w:cs="Courier New"/>
                <w:b/>
                <w:color w:val="auto"/>
                <w:szCs w:val="21"/>
                <w:highlight w:val="none"/>
              </w:rPr>
            </w:pPr>
            <w:r>
              <w:rPr>
                <w:rFonts w:hint="eastAsia"/>
                <w:b/>
                <w:color w:val="auto"/>
                <w:kern w:val="0"/>
                <w:highlight w:val="none"/>
                <w:u w:val="single"/>
              </w:rPr>
              <w:t>商务及技术文件</w:t>
            </w:r>
            <w:r>
              <w:rPr>
                <w:rFonts w:hint="eastAsia" w:ascii="宋体" w:hAnsi="宋体" w:cs="Courier New"/>
                <w:b/>
                <w:color w:val="auto"/>
                <w:szCs w:val="21"/>
                <w:highlight w:val="none"/>
              </w:rPr>
              <w:t>：</w:t>
            </w:r>
          </w:p>
          <w:p w14:paraId="1DE315F5">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27209416">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2.投标保证金提交凭证；（</w:t>
            </w:r>
            <w:r>
              <w:rPr>
                <w:rFonts w:hint="eastAsia"/>
                <w:b/>
                <w:bCs/>
                <w:color w:val="auto"/>
                <w:highlight w:val="none"/>
              </w:rPr>
              <w:t>必须提供</w:t>
            </w:r>
            <w:r>
              <w:rPr>
                <w:rFonts w:hint="eastAsia" w:ascii="宋体" w:hAnsi="宋体"/>
                <w:b/>
                <w:color w:val="auto"/>
                <w:szCs w:val="21"/>
                <w:highlight w:val="none"/>
              </w:rPr>
              <w:t>，</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367ED9F5">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3196981C">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4.授权委托书及委托代理人有效身份证正反面复印件（格式后附）；（</w:t>
            </w:r>
            <w:r>
              <w:rPr>
                <w:rFonts w:hint="eastAsia" w:ascii="宋体" w:hAnsi="宋体"/>
                <w:b/>
                <w:color w:val="auto"/>
                <w:szCs w:val="21"/>
                <w:highlight w:val="none"/>
              </w:rPr>
              <w:t>委托时必须提供，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2B183A22">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商务要求偏离表（格式后附）；（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6C16A413">
            <w:pPr>
              <w:snapToGrid w:val="0"/>
              <w:spacing w:line="360" w:lineRule="auto"/>
              <w:ind w:left="413"/>
              <w:jc w:val="left"/>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.售后服务承诺（格式自拟）；（</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582E17C4">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7.设备性能配置清单（格式后附）；（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427F35C4">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8.技术要求偏离表（格式后附）；（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21C19882">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9.项目实施人员一览表（格式后附）；（</w:t>
            </w:r>
            <w:r>
              <w:rPr>
                <w:rFonts w:hint="eastAsia" w:ascii="宋体" w:hAnsi="宋体"/>
                <w:b/>
                <w:bCs/>
                <w:color w:val="auto"/>
                <w:szCs w:val="21"/>
                <w:highlight w:val="none"/>
              </w:rPr>
              <w:t>必须提供，</w:t>
            </w:r>
            <w:r>
              <w:rPr>
                <w:rFonts w:hint="eastAsia" w:ascii="宋体" w:hAnsi="宋体"/>
                <w:b/>
                <w:bCs/>
                <w:color w:val="auto"/>
                <w:szCs w:val="21"/>
                <w:highlight w:val="none"/>
                <w:lang w:eastAsia="zh-CN"/>
              </w:rPr>
              <w:t>否则投标文件按无效处理</w:t>
            </w:r>
            <w:r>
              <w:rPr>
                <w:rFonts w:hint="eastAsia" w:ascii="宋体" w:hAnsi="宋体"/>
                <w:color w:val="auto"/>
                <w:szCs w:val="21"/>
                <w:highlight w:val="none"/>
              </w:rPr>
              <w:t>）</w:t>
            </w:r>
          </w:p>
          <w:p w14:paraId="7F1952A9">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10.项目实施方案（格式自拟）；</w:t>
            </w:r>
            <w:r>
              <w:rPr>
                <w:rFonts w:hint="eastAsia" w:ascii="宋体" w:hAnsi="宋体"/>
                <w:color w:val="auto"/>
                <w:szCs w:val="21"/>
                <w:highlight w:val="none"/>
                <w:lang w:val="en-US" w:eastAsia="zh-CN"/>
              </w:rPr>
              <w:t>（1～4分标如提供）</w:t>
            </w:r>
          </w:p>
          <w:p w14:paraId="32EBC3B2">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11.售后服务方案（格式自拟）；</w:t>
            </w:r>
            <w:r>
              <w:rPr>
                <w:rFonts w:hint="eastAsia" w:ascii="宋体" w:hAnsi="宋体"/>
                <w:color w:val="auto"/>
                <w:szCs w:val="21"/>
                <w:highlight w:val="none"/>
                <w:lang w:val="en-US" w:eastAsia="zh-CN"/>
              </w:rPr>
              <w:t>（1～4分标如提供）</w:t>
            </w:r>
          </w:p>
          <w:p w14:paraId="01613417">
            <w:pPr>
              <w:snapToGrid w:val="0"/>
              <w:spacing w:line="360" w:lineRule="auto"/>
              <w:ind w:left="420"/>
              <w:jc w:val="left"/>
              <w:rPr>
                <w:rFonts w:hint="default" w:ascii="宋体" w:hAnsi="宋体" w:eastAsia="宋体"/>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设计方案(格式自拟)；（4分标如提供）</w:t>
            </w:r>
          </w:p>
          <w:p w14:paraId="15B559D4">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lang w:val="en-US" w:eastAsia="zh-CN"/>
              </w:rPr>
              <w:t>13.有效的医疗器械注册证；（1～3分标如提供）</w:t>
            </w:r>
          </w:p>
          <w:p w14:paraId="4D6A2664">
            <w:pPr>
              <w:snapToGrid w:val="0"/>
              <w:spacing w:line="360" w:lineRule="auto"/>
              <w:ind w:left="42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14.代理服务费承诺书（格式后附）；</w:t>
            </w:r>
          </w:p>
          <w:p w14:paraId="3704BA20">
            <w:pPr>
              <w:snapToGrid w:val="0"/>
              <w:spacing w:line="360" w:lineRule="auto"/>
              <w:ind w:left="420"/>
              <w:jc w:val="left"/>
              <w:rPr>
                <w:rFonts w:hint="eastAsia" w:ascii="宋体" w:hAnsi="宋体"/>
                <w:bCs/>
                <w:color w:val="auto"/>
                <w:szCs w:val="21"/>
                <w:highlight w:val="none"/>
              </w:rPr>
            </w:pPr>
            <w:r>
              <w:rPr>
                <w:rFonts w:hint="eastAsia" w:ascii="宋体" w:hAnsi="宋体"/>
                <w:color w:val="auto"/>
                <w:szCs w:val="21"/>
                <w:highlight w:val="none"/>
                <w:lang w:val="en-US" w:eastAsia="zh-CN"/>
              </w:rPr>
              <w:t>15.</w:t>
            </w:r>
            <w:r>
              <w:rPr>
                <w:rFonts w:hint="eastAsia" w:ascii="宋体" w:hAnsi="宋体"/>
                <w:color w:val="auto"/>
                <w:szCs w:val="21"/>
                <w:highlight w:val="none"/>
              </w:rPr>
              <w:t>除</w:t>
            </w:r>
            <w:bookmarkStart w:id="167" w:name="_GoBack"/>
            <w:bookmarkEnd w:id="167"/>
            <w:r>
              <w:rPr>
                <w:rFonts w:hint="eastAsia" w:ascii="宋体" w:hAnsi="宋体"/>
                <w:color w:val="auto"/>
                <w:szCs w:val="21"/>
                <w:highlight w:val="none"/>
              </w:rPr>
              <w:t>招标文件规定必须提供以外，投标人认为需要提供的其他证明材料（格式自拟）。</w:t>
            </w:r>
          </w:p>
          <w:p w14:paraId="354F6F5E">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（投标人根据“第二章 采购需求”及“第四章 评标方法及评标标准”提供有关证明材料）。</w:t>
            </w:r>
          </w:p>
          <w:p w14:paraId="214E53E2">
            <w:pPr>
              <w:snapToGrid w:val="0"/>
              <w:spacing w:line="360" w:lineRule="auto"/>
              <w:jc w:val="left"/>
              <w:rPr>
                <w:rFonts w:hint="eastAsia" w:ascii="宋体" w:hAnsi="宋体"/>
                <w:color w:val="auto"/>
                <w:szCs w:val="21"/>
                <w:highlight w:val="none"/>
              </w:rPr>
            </w:pPr>
            <w:r>
              <w:rPr>
                <w:rFonts w:hint="eastAsia" w:ascii="宋体" w:hAnsi="宋体"/>
                <w:b/>
                <w:bCs/>
                <w:color w:val="auto"/>
                <w:szCs w:val="21"/>
                <w:highlight w:val="none"/>
              </w:rPr>
              <w:t>注：以上标明“必须提供”的材料</w:t>
            </w:r>
            <w:r>
              <w:rPr>
                <w:rFonts w:hint="eastAsia" w:ascii="宋体" w:hAnsi="宋体"/>
                <w:b/>
                <w:bCs/>
                <w:color w:val="auto"/>
                <w:szCs w:val="21"/>
                <w:highlight w:val="none"/>
                <w:lang w:val="en-US" w:eastAsia="zh-CN"/>
              </w:rPr>
              <w:t>所有分标均须提供(另有说明的除外)</w:t>
            </w:r>
            <w:r>
              <w:rPr>
                <w:rFonts w:hint="eastAsia" w:ascii="宋体" w:hAnsi="宋体"/>
                <w:b/>
                <w:bCs/>
                <w:color w:val="auto"/>
                <w:szCs w:val="21"/>
                <w:highlight w:val="none"/>
              </w:rPr>
              <w:t>，格式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w:t>
            </w:r>
            <w:r>
              <w:rPr>
                <w:rFonts w:hint="eastAsia" w:ascii="宋体" w:hAnsi="宋体"/>
                <w:b/>
                <w:bCs/>
                <w:color w:val="auto"/>
                <w:szCs w:val="21"/>
                <w:highlight w:val="none"/>
                <w:lang w:eastAsia="zh-CN"/>
              </w:rPr>
              <w:t>否则投标文件按无效处理</w:t>
            </w:r>
            <w:r>
              <w:rPr>
                <w:rFonts w:hint="eastAsia" w:ascii="宋体" w:hAnsi="宋体" w:cs="Courier New"/>
                <w:b/>
                <w:color w:val="auto"/>
                <w:szCs w:val="21"/>
                <w:highlight w:val="none"/>
              </w:rPr>
              <w:t>。</w:t>
            </w:r>
          </w:p>
        </w:tc>
      </w:tr>
      <w:tr w14:paraId="76E18E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8F34FF0">
            <w:pPr>
              <w:spacing w:line="360" w:lineRule="auto"/>
              <w:jc w:val="center"/>
              <w:rPr>
                <w:rFonts w:hint="eastAsia" w:ascii="宋体" w:hAnsi="宋体"/>
                <w:color w:val="auto"/>
                <w:szCs w:val="21"/>
                <w:highlight w:val="none"/>
              </w:rPr>
            </w:pPr>
            <w:bookmarkStart w:id="72" w:name="_16.2"/>
            <w:bookmarkEnd w:id="72"/>
            <w:bookmarkStart w:id="73" w:name="_13.4"/>
            <w:bookmarkEnd w:id="73"/>
            <w:bookmarkStart w:id="74" w:name="_13.5"/>
            <w:bookmarkEnd w:id="74"/>
            <w:r>
              <w:rPr>
                <w:rFonts w:hint="eastAsia" w:ascii="宋体" w:hAnsi="宋体"/>
                <w:color w:val="auto"/>
                <w:szCs w:val="21"/>
                <w:highlight w:val="none"/>
              </w:rPr>
              <w:t>16</w:t>
            </w:r>
            <w:bookmarkStart w:id="75" w:name="_Hlt19194067"/>
            <w:bookmarkStart w:id="76" w:name="_Hlt19194066"/>
            <w:bookmarkStart w:id="77" w:name="_Hlt19693758"/>
            <w:bookmarkStart w:id="78" w:name="_Hlt19693759"/>
            <w:r>
              <w:rPr>
                <w:rFonts w:hint="eastAsia" w:ascii="宋体" w:hAnsi="宋体"/>
                <w:color w:val="auto"/>
                <w:szCs w:val="21"/>
                <w:highlight w:val="none"/>
              </w:rPr>
              <w:t>.</w:t>
            </w:r>
            <w:bookmarkEnd w:id="75"/>
            <w:bookmarkEnd w:id="76"/>
            <w:bookmarkEnd w:id="77"/>
            <w:bookmarkEnd w:id="78"/>
            <w:r>
              <w:rPr>
                <w:rFonts w:hint="eastAsia" w:ascii="宋体" w:hAnsi="宋体"/>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vAlign w:val="center"/>
          </w:tcPr>
          <w:p w14:paraId="0BB1AB98">
            <w:pPr>
              <w:snapToGrid w:val="0"/>
              <w:spacing w:line="360" w:lineRule="auto"/>
              <w:rPr>
                <w:rFonts w:hint="default" w:ascii="宋体" w:hAnsi="宋体"/>
                <w:b/>
                <w:color w:val="auto"/>
                <w:szCs w:val="21"/>
                <w:highlight w:val="none"/>
                <w:lang w:val="en-US"/>
              </w:rPr>
            </w:pPr>
            <w:r>
              <w:rPr>
                <w:rFonts w:hint="eastAsia" w:ascii="宋体" w:hAnsi="宋体" w:cs="宋体"/>
                <w:color w:val="auto"/>
                <w:szCs w:val="21"/>
                <w:highlight w:val="none"/>
              </w:rPr>
              <w:t>投标报价为采购人指定地点的现场交货价，包括：</w:t>
            </w:r>
            <w:r>
              <w:rPr>
                <w:rFonts w:hint="eastAsia" w:ascii="宋体" w:hAnsi="宋体" w:cs="宋体"/>
                <w:color w:val="auto"/>
                <w:szCs w:val="21"/>
                <w:highlight w:val="none"/>
                <w:lang w:val="en-US" w:eastAsia="zh-CN"/>
              </w:rPr>
              <w:t>1.货物的价格：包括包装费，运费，装卸费，保险费，搬运费，安装费，调试费，检验、计量检测及检定验收费，售后服务费，培训费，质保期内无条件维修费，税金等招标文件和投标文件规定及合同包含的所有风险、责任等应有的全部费用。凡是涉及与医院信息系统（如HIS系统等）连接的接口问题，前述价款也包含双方接口费用。2.货物的标准附件、备品备件、专用工具的价格。3.采购代理服务费、保险费和各项税金。</w:t>
            </w:r>
          </w:p>
        </w:tc>
      </w:tr>
      <w:tr w14:paraId="14E4E9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31732E0">
            <w:pPr>
              <w:spacing w:line="360" w:lineRule="auto"/>
              <w:jc w:val="center"/>
              <w:rPr>
                <w:rFonts w:hint="eastAsia" w:ascii="宋体" w:hAnsi="宋体"/>
                <w:color w:val="auto"/>
                <w:szCs w:val="21"/>
                <w:highlight w:val="none"/>
              </w:rPr>
            </w:pPr>
            <w:bookmarkStart w:id="79" w:name="_17.1"/>
            <w:bookmarkEnd w:id="79"/>
            <w:r>
              <w:rPr>
                <w:rFonts w:hint="eastAsia" w:ascii="宋体" w:hAnsi="宋体"/>
                <w:color w:val="auto"/>
                <w:szCs w:val="21"/>
                <w:highlight w:val="none"/>
              </w:rPr>
              <w:t>17.</w:t>
            </w:r>
            <w:r>
              <w:rPr>
                <w:rFonts w:ascii="宋体" w:hAnsi="宋体"/>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vAlign w:val="center"/>
          </w:tcPr>
          <w:p w14:paraId="259A1352">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投标有效期：自投标截止之日起</w:t>
            </w:r>
            <w:r>
              <w:rPr>
                <w:rFonts w:hint="eastAsia" w:ascii="宋体" w:hAnsi="宋体"/>
                <w:color w:val="auto"/>
                <w:szCs w:val="21"/>
                <w:highlight w:val="none"/>
                <w:u w:val="single"/>
              </w:rPr>
              <w:t>120</w:t>
            </w:r>
            <w:r>
              <w:rPr>
                <w:rFonts w:hint="eastAsia" w:ascii="宋体" w:hAnsi="宋体"/>
                <w:color w:val="auto"/>
                <w:szCs w:val="21"/>
                <w:highlight w:val="none"/>
              </w:rPr>
              <w:t>日。</w:t>
            </w:r>
          </w:p>
        </w:tc>
      </w:tr>
      <w:tr w14:paraId="396BDF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235D61C">
            <w:pPr>
              <w:spacing w:line="360" w:lineRule="auto"/>
              <w:jc w:val="center"/>
              <w:rPr>
                <w:rFonts w:hint="eastAsia" w:ascii="宋体" w:hAnsi="宋体"/>
                <w:color w:val="auto"/>
                <w:szCs w:val="21"/>
                <w:highlight w:val="none"/>
              </w:rPr>
            </w:pPr>
            <w:bookmarkStart w:id="80" w:name="_18"/>
            <w:bookmarkEnd w:id="80"/>
            <w:r>
              <w:rPr>
                <w:rFonts w:hint="eastAsia" w:ascii="宋体" w:hAnsi="宋体"/>
                <w:color w:val="auto"/>
                <w:szCs w:val="21"/>
                <w:highlight w:val="none"/>
              </w:rPr>
              <w:t>18</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3FB584B9">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□本项目不收取投标保证金。</w:t>
            </w:r>
          </w:p>
          <w:p w14:paraId="400CE78E">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☑本项目收取投标保证金，具体规定如下：</w:t>
            </w:r>
          </w:p>
          <w:p w14:paraId="78DE863E">
            <w:pPr>
              <w:snapToGrid w:val="0"/>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1分标：投标保证金人民币</w:t>
            </w:r>
            <w:r>
              <w:rPr>
                <w:rFonts w:hint="eastAsia" w:ascii="宋体" w:hAnsi="宋体" w:cs="宋体"/>
                <w:color w:val="auto"/>
                <w:kern w:val="0"/>
                <w:szCs w:val="21"/>
                <w:highlight w:val="none"/>
                <w:u w:val="single"/>
                <w:lang w:val="en-US" w:eastAsia="zh-CN"/>
              </w:rPr>
              <w:t>43000</w:t>
            </w:r>
            <w:r>
              <w:rPr>
                <w:rFonts w:hint="eastAsia" w:ascii="宋体" w:hAnsi="宋体" w:cs="宋体"/>
                <w:color w:val="auto"/>
                <w:kern w:val="0"/>
                <w:szCs w:val="21"/>
                <w:highlight w:val="none"/>
                <w:u w:val="single"/>
              </w:rPr>
              <w:t>.00</w:t>
            </w:r>
            <w:r>
              <w:rPr>
                <w:rFonts w:hint="eastAsia" w:ascii="宋体" w:hAnsi="宋体" w:cs="宋体"/>
                <w:color w:val="auto"/>
                <w:kern w:val="0"/>
                <w:szCs w:val="21"/>
                <w:highlight w:val="none"/>
              </w:rPr>
              <w:t>元；</w:t>
            </w:r>
          </w:p>
          <w:p w14:paraId="4754F1C0">
            <w:pPr>
              <w:snapToGrid w:val="0"/>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2分标：投标保证金人民币</w:t>
            </w:r>
            <w:r>
              <w:rPr>
                <w:rFonts w:hint="eastAsia" w:ascii="宋体" w:hAnsi="宋体" w:cs="宋体"/>
                <w:color w:val="auto"/>
                <w:kern w:val="0"/>
                <w:szCs w:val="21"/>
                <w:highlight w:val="none"/>
                <w:u w:val="single"/>
                <w:lang w:val="en-US" w:eastAsia="zh-CN"/>
              </w:rPr>
              <w:t>42000</w:t>
            </w:r>
            <w:r>
              <w:rPr>
                <w:rFonts w:hint="eastAsia" w:ascii="宋体" w:hAnsi="宋体" w:cs="宋体"/>
                <w:color w:val="auto"/>
                <w:kern w:val="0"/>
                <w:szCs w:val="21"/>
                <w:highlight w:val="none"/>
                <w:u w:val="single"/>
              </w:rPr>
              <w:t>.00</w:t>
            </w:r>
            <w:r>
              <w:rPr>
                <w:rFonts w:hint="eastAsia" w:ascii="宋体" w:hAnsi="宋体" w:cs="宋体"/>
                <w:color w:val="auto"/>
                <w:kern w:val="0"/>
                <w:szCs w:val="21"/>
                <w:highlight w:val="none"/>
              </w:rPr>
              <w:t>元；</w:t>
            </w:r>
          </w:p>
          <w:p w14:paraId="55379B12">
            <w:pPr>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分标：投标保证金人民币</w:t>
            </w:r>
            <w:r>
              <w:rPr>
                <w:rFonts w:hint="eastAsia" w:ascii="宋体" w:hAnsi="宋体" w:eastAsia="宋体" w:cs="宋体"/>
                <w:color w:val="auto"/>
                <w:kern w:val="0"/>
                <w:szCs w:val="21"/>
                <w:highlight w:val="none"/>
                <w:u w:val="single"/>
                <w:lang w:val="en-US" w:eastAsia="zh-CN"/>
              </w:rPr>
              <w:t>28000</w:t>
            </w:r>
            <w:r>
              <w:rPr>
                <w:rFonts w:hint="eastAsia" w:ascii="宋体" w:hAnsi="宋体" w:eastAsia="宋体" w:cs="宋体"/>
                <w:color w:val="auto"/>
                <w:kern w:val="0"/>
                <w:szCs w:val="21"/>
                <w:highlight w:val="none"/>
                <w:u w:val="single"/>
              </w:rPr>
              <w:t>.00</w:t>
            </w:r>
            <w:r>
              <w:rPr>
                <w:rFonts w:hint="eastAsia" w:ascii="宋体" w:hAnsi="宋体" w:eastAsia="宋体" w:cs="宋体"/>
                <w:color w:val="auto"/>
                <w:kern w:val="0"/>
                <w:szCs w:val="21"/>
                <w:highlight w:val="none"/>
              </w:rPr>
              <w:t>元；</w:t>
            </w:r>
          </w:p>
          <w:p w14:paraId="0A199C5E">
            <w:pPr>
              <w:snapToGrid w:val="0"/>
              <w:spacing w:line="360" w:lineRule="auto"/>
              <w:ind w:firstLine="420"/>
              <w:rPr>
                <w:rFonts w:hint="eastAsia" w:ascii="宋体" w:hAnsi="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分标：投标保证金人民币</w:t>
            </w:r>
            <w:r>
              <w:rPr>
                <w:rFonts w:hint="eastAsia" w:ascii="宋体" w:hAnsi="宋体" w:eastAsia="宋体" w:cs="宋体"/>
                <w:color w:val="auto"/>
                <w:kern w:val="0"/>
                <w:szCs w:val="21"/>
                <w:highlight w:val="none"/>
                <w:u w:val="single"/>
                <w:lang w:val="en-US" w:eastAsia="zh-CN"/>
              </w:rPr>
              <w:t>3500</w:t>
            </w:r>
            <w:r>
              <w:rPr>
                <w:rFonts w:hint="eastAsia" w:ascii="宋体" w:hAnsi="宋体" w:eastAsia="宋体" w:cs="宋体"/>
                <w:color w:val="auto"/>
                <w:kern w:val="0"/>
                <w:szCs w:val="21"/>
                <w:highlight w:val="none"/>
                <w:u w:val="single"/>
              </w:rPr>
              <w:t>.00</w:t>
            </w:r>
            <w:r>
              <w:rPr>
                <w:rFonts w:hint="eastAsia" w:ascii="宋体" w:hAnsi="宋体" w:eastAsia="宋体" w:cs="宋体"/>
                <w:color w:val="auto"/>
                <w:kern w:val="0"/>
                <w:szCs w:val="21"/>
                <w:highlight w:val="none"/>
              </w:rPr>
              <w:t>元；</w:t>
            </w:r>
          </w:p>
          <w:p w14:paraId="585FDE28">
            <w:pPr>
              <w:snapToGrid w:val="0"/>
              <w:spacing w:line="360" w:lineRule="auto"/>
              <w:ind w:firstLine="420"/>
              <w:rPr>
                <w:rFonts w:hint="eastAsia" w:ascii="宋体" w:hAnsi="宋体"/>
                <w:color w:val="auto"/>
                <w:szCs w:val="21"/>
                <w:highlight w:val="none"/>
              </w:rPr>
            </w:pPr>
            <w:r>
              <w:rPr>
                <w:rFonts w:hint="eastAsia" w:ascii="宋体" w:hAnsi="宋体" w:cs="宋体"/>
                <w:color w:val="auto"/>
                <w:kern w:val="0"/>
                <w:szCs w:val="21"/>
                <w:highlight w:val="none"/>
              </w:rPr>
              <w:t>投标保证金的交纳方式：银行转账、支票、汇票、本票或者银行、保险机构出具的保函</w:t>
            </w:r>
            <w:r>
              <w:rPr>
                <w:rFonts w:hint="eastAsia"/>
                <w:color w:val="auto"/>
                <w:highlight w:val="none"/>
              </w:rPr>
              <w:t>（包含电子保函</w:t>
            </w:r>
            <w:r>
              <w:rPr>
                <w:rFonts w:hint="eastAsia" w:ascii="宋体" w:hAnsi="宋体" w:cs="宋体"/>
                <w:color w:val="auto"/>
                <w:szCs w:val="21"/>
                <w:highlight w:val="none"/>
              </w:rPr>
              <w:t>）</w:t>
            </w:r>
            <w:r>
              <w:rPr>
                <w:rFonts w:hint="eastAsia" w:ascii="宋体" w:hAnsi="宋体" w:cs="宋体"/>
                <w:color w:val="auto"/>
                <w:kern w:val="0"/>
                <w:szCs w:val="21"/>
                <w:highlight w:val="none"/>
              </w:rPr>
              <w:t>，禁止采用现钞方式。采用银行转账方式的，在投标截止时间前</w:t>
            </w:r>
            <w:r>
              <w:rPr>
                <w:rFonts w:hint="eastAsia" w:ascii="宋体" w:hAnsi="宋体" w:cs="宋体"/>
                <w:color w:val="auto"/>
                <w:szCs w:val="21"/>
                <w:highlight w:val="none"/>
              </w:rPr>
              <w:t>从投标人账户</w:t>
            </w:r>
            <w:r>
              <w:rPr>
                <w:rFonts w:hint="eastAsia" w:ascii="宋体" w:hAnsi="宋体" w:cs="宋体"/>
                <w:color w:val="auto"/>
                <w:kern w:val="0"/>
                <w:szCs w:val="21"/>
                <w:highlight w:val="none"/>
              </w:rPr>
              <w:t>交至指定账户并且到账</w:t>
            </w:r>
            <w:r>
              <w:rPr>
                <w:rFonts w:hint="eastAsia" w:ascii="宋体" w:hAnsi="宋体" w:cs="宋体"/>
                <w:color w:val="auto"/>
                <w:kern w:val="0"/>
                <w:szCs w:val="21"/>
                <w:highlight w:val="none"/>
                <w:lang w:eastAsia="zh-CN"/>
              </w:rPr>
              <w:t>【</w:t>
            </w:r>
            <w:r>
              <w:rPr>
                <w:rFonts w:hint="eastAsia" w:ascii="宋体" w:hAnsi="宋体" w:cs="宋体"/>
                <w:b/>
                <w:bCs/>
                <w:color w:val="auto"/>
                <w:kern w:val="0"/>
                <w:szCs w:val="21"/>
                <w:highlight w:val="none"/>
              </w:rPr>
              <w:t>开户银行</w:t>
            </w:r>
            <w:r>
              <w:rPr>
                <w:rFonts w:hint="eastAsia" w:ascii="宋体" w:hAnsi="宋体" w:cs="宋体"/>
                <w:b/>
                <w:bCs/>
                <w:color w:val="auto"/>
                <w:kern w:val="0"/>
                <w:szCs w:val="21"/>
                <w:highlight w:val="none"/>
                <w:lang w:eastAsia="zh-CN"/>
              </w:rPr>
              <w:t>：广西苍梧农村商业银行股份有限公司（更名前为：广西农村信用社），</w:t>
            </w:r>
            <w:r>
              <w:rPr>
                <w:rFonts w:hint="eastAsia" w:ascii="宋体" w:hAnsi="宋体" w:cs="宋体"/>
                <w:b/>
                <w:bCs/>
                <w:color w:val="auto"/>
                <w:kern w:val="0"/>
                <w:szCs w:val="21"/>
                <w:highlight w:val="none"/>
              </w:rPr>
              <w:t>开户名称：</w:t>
            </w:r>
            <w:r>
              <w:rPr>
                <w:rFonts w:hint="eastAsia" w:ascii="宋体" w:hAnsi="宋体" w:cs="宋体"/>
                <w:b/>
                <w:bCs/>
                <w:color w:val="auto"/>
                <w:kern w:val="0"/>
                <w:szCs w:val="21"/>
                <w:highlight w:val="none"/>
                <w:lang w:val="en-US" w:eastAsia="zh-CN"/>
              </w:rPr>
              <w:t>苍梧县中医医院，</w:t>
            </w:r>
            <w:r>
              <w:rPr>
                <w:rFonts w:hint="eastAsia" w:ascii="宋体" w:hAnsi="宋体" w:cs="宋体"/>
                <w:b/>
                <w:bCs/>
                <w:color w:val="auto"/>
                <w:kern w:val="0"/>
                <w:szCs w:val="21"/>
                <w:highlight w:val="none"/>
              </w:rPr>
              <w:t>银行账号：450412010113193982</w:t>
            </w:r>
            <w:r>
              <w:rPr>
                <w:rFonts w:hint="eastAsia" w:ascii="宋体" w:hAnsi="宋体" w:cs="宋体"/>
                <w:b/>
                <w:bCs/>
                <w:color w:val="auto"/>
                <w:kern w:val="0"/>
                <w:szCs w:val="21"/>
                <w:highlight w:val="none"/>
                <w:lang w:eastAsia="zh-CN"/>
              </w:rPr>
              <w:t>，开户行行号：402621100014</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；采用支票、汇票、本票或者保函等方式的，在投标截止时间前，投标人必须递交单独密封的支票、汇票、本票或者保函原件（电子保函复印件加盖投标人公章）。</w:t>
            </w:r>
            <w:r>
              <w:rPr>
                <w:rFonts w:hint="eastAsia" w:ascii="宋体" w:hAnsi="宋体" w:cs="宋体"/>
                <w:b/>
                <w:color w:val="auto"/>
                <w:kern w:val="0"/>
                <w:szCs w:val="21"/>
                <w:highlight w:val="none"/>
              </w:rPr>
              <w:t>否则视为无效投标保证金。</w:t>
            </w:r>
          </w:p>
          <w:p w14:paraId="0D0C0FA3">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相关要求：</w:t>
            </w:r>
          </w:p>
          <w:p w14:paraId="5530F57A">
            <w:pPr>
              <w:pStyle w:val="15"/>
              <w:spacing w:line="360" w:lineRule="auto"/>
              <w:rPr>
                <w:rFonts w:hint="eastAsia" w:ascii="宋体" w:hAnsi="宋体"/>
                <w:color w:val="auto"/>
                <w:szCs w:val="21"/>
                <w:highlight w:val="none"/>
              </w:rPr>
            </w:pPr>
            <w:r>
              <w:rPr>
                <w:rFonts w:hint="eastAsia" w:ascii="宋体" w:hAnsi="宋体"/>
                <w:color w:val="auto"/>
                <w:szCs w:val="21"/>
                <w:highlight w:val="none"/>
              </w:rPr>
              <w:t>1.投标保证金采用银行转账交纳方式，在投标截止时间前交至指定账户并且到账，投标人应将银行转账底单的复印件作为投标保证金提交凭证，放置于商务及技术文件中，</w:t>
            </w:r>
            <w:r>
              <w:rPr>
                <w:rFonts w:hint="eastAsia" w:ascii="宋体" w:hAnsi="宋体"/>
                <w:b/>
                <w:color w:val="auto"/>
                <w:szCs w:val="21"/>
                <w:highlight w:val="none"/>
              </w:rPr>
              <w:t>否则投标无效</w:t>
            </w:r>
            <w:r>
              <w:rPr>
                <w:rFonts w:hint="eastAsia" w:ascii="宋体" w:hAnsi="宋体"/>
                <w:color w:val="auto"/>
                <w:szCs w:val="21"/>
                <w:highlight w:val="none"/>
              </w:rPr>
              <w:t>。</w:t>
            </w:r>
          </w:p>
          <w:p w14:paraId="07030A19">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2.投标保证金采用支票、汇票、本票或者银行、保险机构出具的保函</w:t>
            </w:r>
            <w:r>
              <w:rPr>
                <w:rFonts w:hint="eastAsia"/>
                <w:color w:val="auto"/>
                <w:highlight w:val="none"/>
              </w:rPr>
              <w:t>（包含电子保函）</w:t>
            </w:r>
            <w:r>
              <w:rPr>
                <w:rFonts w:hint="eastAsia" w:ascii="宋体" w:hAnsi="宋体"/>
                <w:color w:val="auto"/>
                <w:szCs w:val="21"/>
                <w:highlight w:val="none"/>
              </w:rPr>
              <w:t>交纳方式的，投标人应将支票、汇票、本票或者银行、保险机构出具的保函</w:t>
            </w:r>
            <w:r>
              <w:rPr>
                <w:rFonts w:hint="eastAsia"/>
                <w:color w:val="auto"/>
                <w:highlight w:val="none"/>
              </w:rPr>
              <w:t>（包含电子保函）</w:t>
            </w:r>
            <w:r>
              <w:rPr>
                <w:rFonts w:hint="eastAsia" w:ascii="宋体" w:hAnsi="宋体"/>
                <w:color w:val="auto"/>
                <w:szCs w:val="21"/>
                <w:highlight w:val="none"/>
              </w:rPr>
              <w:t>的复印件作为投标保证金提交凭证，放置于商务及技术文件中，</w:t>
            </w:r>
            <w:r>
              <w:rPr>
                <w:rFonts w:hint="eastAsia" w:ascii="宋体" w:hAnsi="宋体"/>
                <w:b/>
                <w:color w:val="auto"/>
                <w:szCs w:val="21"/>
                <w:highlight w:val="none"/>
              </w:rPr>
              <w:t>否则投标无效</w:t>
            </w:r>
            <w:r>
              <w:rPr>
                <w:rFonts w:hint="eastAsia" w:ascii="宋体" w:hAnsi="宋体"/>
                <w:color w:val="auto"/>
                <w:szCs w:val="21"/>
                <w:highlight w:val="none"/>
              </w:rPr>
              <w:t>。投标人必须</w:t>
            </w:r>
            <w:r>
              <w:rPr>
                <w:rFonts w:hint="eastAsia"/>
                <w:color w:val="auto"/>
                <w:highlight w:val="none"/>
              </w:rPr>
              <w:t>在投标截止时间前采用现场或邮寄方式（现场提交地址：</w:t>
            </w:r>
            <w:r>
              <w:rPr>
                <w:rFonts w:hint="eastAsia" w:ascii="宋体" w:hAnsi="宋体"/>
                <w:color w:val="auto"/>
                <w:szCs w:val="21"/>
                <w:highlight w:val="none"/>
                <w:u w:val="single"/>
              </w:rPr>
              <w:t>云之龙咨询集团有限公司（梧州市新兴三路30号神冠豪都B栋1单元1008号房）</w:t>
            </w:r>
            <w:r>
              <w:rPr>
                <w:rFonts w:hint="eastAsia"/>
                <w:color w:val="auto"/>
                <w:highlight w:val="none"/>
              </w:rPr>
              <w:t>；邮寄地址：</w:t>
            </w:r>
            <w:r>
              <w:rPr>
                <w:rFonts w:hint="eastAsia" w:ascii="宋体" w:hAnsi="宋体"/>
                <w:color w:val="auto"/>
                <w:szCs w:val="21"/>
                <w:highlight w:val="none"/>
                <w:u w:val="single"/>
              </w:rPr>
              <w:t>云之龙咨询集团有限公司（梧州市新兴三路30号神冠豪都B栋1单元1008号房）</w:t>
            </w:r>
            <w:r>
              <w:rPr>
                <w:rFonts w:hint="eastAsia"/>
                <w:color w:val="auto"/>
                <w:highlight w:val="none"/>
              </w:rPr>
              <w:t>，收件人：</w:t>
            </w:r>
            <w:r>
              <w:rPr>
                <w:rFonts w:hint="eastAsia"/>
                <w:color w:val="auto"/>
                <w:highlight w:val="none"/>
                <w:u w:val="single"/>
                <w:lang w:val="en-US" w:eastAsia="zh-CN"/>
              </w:rPr>
              <w:t>朱梓烨、陈丽莹</w:t>
            </w:r>
            <w:r>
              <w:rPr>
                <w:rFonts w:hint="eastAsia"/>
                <w:color w:val="auto"/>
                <w:highlight w:val="none"/>
              </w:rPr>
              <w:t>，联系方式：</w:t>
            </w:r>
            <w:r>
              <w:rPr>
                <w:rFonts w:hint="eastAsia"/>
                <w:color w:val="auto"/>
                <w:highlight w:val="none"/>
                <w:u w:val="single"/>
              </w:rPr>
              <w:t>0774-3859935</w:t>
            </w:r>
            <w:r>
              <w:rPr>
                <w:rFonts w:hint="eastAsia"/>
                <w:color w:val="auto"/>
                <w:highlight w:val="none"/>
                <w:lang w:eastAsia="zh-CN"/>
              </w:rPr>
              <w:t>）</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支票、汇票、本票或者银行、保险机构出具的保函原件（电子保函复印件加盖投标人公章</w:t>
            </w:r>
            <w:r>
              <w:rPr>
                <w:rFonts w:hint="eastAsia" w:ascii="宋体" w:hAnsi="宋体"/>
                <w:color w:val="auto"/>
                <w:szCs w:val="21"/>
                <w:highlight w:val="none"/>
                <w:lang w:eastAsia="zh-CN"/>
              </w:rPr>
              <w:t>）</w:t>
            </w:r>
            <w:r>
              <w:rPr>
                <w:rFonts w:hint="eastAsia" w:ascii="宋体" w:hAnsi="宋体"/>
                <w:color w:val="auto"/>
                <w:szCs w:val="21"/>
                <w:highlight w:val="none"/>
              </w:rPr>
              <w:t>提交给采购人或者采购代理机构，未按时提交的</w:t>
            </w:r>
            <w:r>
              <w:rPr>
                <w:rFonts w:hint="eastAsia" w:ascii="宋体" w:hAnsi="宋体"/>
                <w:b/>
                <w:color w:val="auto"/>
                <w:szCs w:val="21"/>
                <w:highlight w:val="none"/>
              </w:rPr>
              <w:t>，投标无效</w:t>
            </w:r>
            <w:r>
              <w:rPr>
                <w:rFonts w:hint="eastAsia" w:ascii="宋体" w:hAnsi="宋体"/>
                <w:color w:val="auto"/>
                <w:szCs w:val="21"/>
                <w:highlight w:val="none"/>
              </w:rPr>
              <w:t>。</w:t>
            </w:r>
          </w:p>
          <w:p w14:paraId="1DCB3E50">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3</w:t>
            </w:r>
            <w:r>
              <w:rPr>
                <w:rFonts w:hint="eastAsia" w:ascii="宋体" w:hAnsi="宋体" w:cs="宋体"/>
                <w:color w:val="auto"/>
                <w:szCs w:val="21"/>
                <w:highlight w:val="none"/>
              </w:rPr>
              <w:t>.投标人为联合体的，可以由联合体中的一方或者多方共同交纳投标保证金，其交纳的保证金对联合体各方均具有约束力。</w:t>
            </w:r>
          </w:p>
          <w:p w14:paraId="5A9AA451">
            <w:pPr>
              <w:snapToGrid w:val="0"/>
              <w:spacing w:line="360" w:lineRule="auto"/>
              <w:rPr>
                <w:rFonts w:hint="eastAsia" w:ascii="宋体" w:hAnsi="宋体"/>
                <w:color w:val="auto"/>
                <w:szCs w:val="21"/>
                <w:highlight w:val="none"/>
              </w:rPr>
            </w:pPr>
          </w:p>
          <w:p w14:paraId="53B4D11E">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 xml:space="preserve">备注： </w:t>
            </w:r>
          </w:p>
          <w:p w14:paraId="3B39E156">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1. 投标保证金在投标截止时间后提交的，或者不按规定交纳方式交纳的，或者未足额交纳的（包含保函额度不足的），视为无效投标保证金。</w:t>
            </w:r>
          </w:p>
          <w:p w14:paraId="3D99F157">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2.投标人采用现钞方式或者从个人账户（自然人投标除外）转出的投标保证金，视为无效投标保证金。</w:t>
            </w:r>
          </w:p>
          <w:p w14:paraId="1DCEFB7C">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3.支票、汇票或者本票出现无效或者背书情形的，视为无效投标保证金。</w:t>
            </w:r>
          </w:p>
          <w:p w14:paraId="3A4153AD">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4.保函（包含电子保函）有效期低于投标有效期的，视为无效投标保证金。</w:t>
            </w:r>
          </w:p>
          <w:p w14:paraId="2AAE7223">
            <w:pPr>
              <w:snapToGrid w:val="0"/>
              <w:spacing w:line="360" w:lineRule="auto"/>
              <w:rPr>
                <w:color w:val="auto"/>
                <w:highlight w:val="none"/>
              </w:rPr>
            </w:pPr>
            <w:r>
              <w:rPr>
                <w:rFonts w:hint="eastAsia" w:ascii="宋体" w:hAnsi="宋体"/>
                <w:b/>
                <w:color w:val="auto"/>
                <w:szCs w:val="21"/>
                <w:highlight w:val="none"/>
              </w:rPr>
              <w:t>5.采用银行、保险机构出具保函（包含电子保函）的，必须为无条件保函，否则视为无效投标保证金。</w:t>
            </w:r>
          </w:p>
        </w:tc>
      </w:tr>
      <w:tr w14:paraId="09624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5EB199D">
            <w:pPr>
              <w:spacing w:line="360" w:lineRule="auto"/>
              <w:jc w:val="center"/>
              <w:rPr>
                <w:rFonts w:hint="eastAsia" w:ascii="宋体" w:hAnsi="宋体"/>
                <w:color w:val="auto"/>
                <w:szCs w:val="21"/>
                <w:highlight w:val="none"/>
              </w:rPr>
            </w:pPr>
            <w:bookmarkStart w:id="81" w:name="_19.2"/>
            <w:bookmarkEnd w:id="81"/>
            <w:r>
              <w:rPr>
                <w:rFonts w:hint="eastAsia" w:ascii="宋体" w:hAnsi="宋体"/>
                <w:color w:val="auto"/>
                <w:szCs w:val="21"/>
                <w:highlight w:val="none"/>
              </w:rPr>
              <w:t>20</w:t>
            </w:r>
          </w:p>
        </w:tc>
        <w:tc>
          <w:tcPr>
            <w:tcW w:w="8670" w:type="dxa"/>
            <w:tcBorders>
              <w:top w:val="single" w:color="auto" w:sz="4" w:space="0"/>
              <w:left w:val="single" w:color="auto" w:sz="4" w:space="0"/>
              <w:bottom w:val="single" w:color="auto" w:sz="4" w:space="0"/>
              <w:right w:val="single" w:color="auto" w:sz="4" w:space="0"/>
            </w:tcBorders>
            <w:vAlign w:val="center"/>
          </w:tcPr>
          <w:p w14:paraId="13BE65F7">
            <w:pPr>
              <w:autoSpaceDE w:val="0"/>
              <w:autoSpaceDN w:val="0"/>
              <w:adjustRightIn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备份投标文件；</w:t>
            </w:r>
          </w:p>
          <w:p w14:paraId="4A449DBE">
            <w:pPr>
              <w:autoSpaceDE w:val="0"/>
              <w:autoSpaceDN w:val="0"/>
              <w:adjustRightInd w:val="0"/>
              <w:spacing w:line="360" w:lineRule="auto"/>
              <w:textAlignment w:val="bottom"/>
              <w:rPr>
                <w:color w:val="auto"/>
                <w:highlight w:val="none"/>
              </w:rPr>
            </w:pPr>
            <w:r>
              <w:rPr>
                <w:rFonts w:hint="eastAsia" w:ascii="宋体" w:hAnsi="宋体"/>
                <w:color w:val="auto"/>
                <w:szCs w:val="21"/>
                <w:highlight w:val="none"/>
              </w:rPr>
              <w:t>□</w:t>
            </w:r>
            <w:r>
              <w:rPr>
                <w:rFonts w:hint="eastAsia"/>
                <w:color w:val="auto"/>
                <w:highlight w:val="none"/>
              </w:rPr>
              <w:t>本项目接受电子备份投标文件。</w:t>
            </w:r>
          </w:p>
          <w:p w14:paraId="524EF22E">
            <w:pPr>
              <w:autoSpaceDE w:val="0"/>
              <w:autoSpaceDN w:val="0"/>
              <w:adjustRightInd w:val="0"/>
              <w:spacing w:line="360" w:lineRule="auto"/>
              <w:ind w:firstLine="420" w:firstLineChars="200"/>
              <w:textAlignment w:val="bottom"/>
              <w:rPr>
                <w:color w:val="auto"/>
                <w:highlight w:val="none"/>
              </w:rPr>
            </w:pPr>
            <w:r>
              <w:rPr>
                <w:rFonts w:hint="eastAsia"/>
                <w:color w:val="auto"/>
                <w:highlight w:val="none"/>
              </w:rPr>
              <w:t>电子</w:t>
            </w:r>
            <w:r>
              <w:rPr>
                <w:rFonts w:hint="eastAsia" w:ascii="宋体" w:hAnsi="宋体"/>
                <w:color w:val="auto"/>
                <w:szCs w:val="21"/>
                <w:highlight w:val="none"/>
              </w:rPr>
              <w:t>备份投标文件</w:t>
            </w:r>
            <w:r>
              <w:rPr>
                <w:rFonts w:hint="eastAsia"/>
                <w:color w:val="auto"/>
                <w:highlight w:val="none"/>
              </w:rPr>
              <w:t>提交方式：投标人可以在投标截止时间前采用以下</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种方式向采购代理机构提交电子备份投标文件：</w:t>
            </w:r>
          </w:p>
          <w:p w14:paraId="09E755ED">
            <w:pPr>
              <w:autoSpaceDE w:val="0"/>
              <w:autoSpaceDN w:val="0"/>
              <w:adjustRightInd w:val="0"/>
              <w:spacing w:line="360" w:lineRule="auto"/>
              <w:textAlignment w:val="bottom"/>
              <w:rPr>
                <w:color w:val="auto"/>
                <w:highlight w:val="none"/>
              </w:rPr>
            </w:pPr>
            <w:r>
              <w:rPr>
                <w:rFonts w:hint="eastAsia"/>
                <w:color w:val="auto"/>
                <w:highlight w:val="none"/>
              </w:rPr>
              <w:t>（</w:t>
            </w:r>
            <w:r>
              <w:rPr>
                <w:color w:val="auto"/>
                <w:highlight w:val="none"/>
              </w:rPr>
              <w:t>1</w:t>
            </w:r>
            <w:r>
              <w:rPr>
                <w:rFonts w:hint="eastAsia"/>
                <w:color w:val="auto"/>
                <w:highlight w:val="none"/>
              </w:rPr>
              <w:t>）现场提交方式，应采用</w:t>
            </w:r>
            <w:r>
              <w:rPr>
                <w:color w:val="auto"/>
                <w:highlight w:val="none"/>
              </w:rPr>
              <w:t>U</w:t>
            </w:r>
            <w:r>
              <w:rPr>
                <w:rFonts w:hint="eastAsia"/>
                <w:color w:val="auto"/>
                <w:highlight w:val="none"/>
              </w:rPr>
              <w:t>盘进行存储，提交地址：</w:t>
            </w:r>
            <w:r>
              <w:rPr>
                <w:rFonts w:hint="eastAsia" w:ascii="宋体" w:hAnsi="宋体"/>
                <w:color w:val="auto"/>
                <w:szCs w:val="21"/>
                <w:highlight w:val="none"/>
                <w:u w:val="single"/>
              </w:rPr>
              <w:t xml:space="preserve">    </w:t>
            </w:r>
            <w:r>
              <w:rPr>
                <w:rFonts w:hint="eastAsia"/>
                <w:color w:val="auto"/>
                <w:highlight w:val="none"/>
              </w:rPr>
              <w:t>；提交截止时间：</w:t>
            </w:r>
            <w:r>
              <w:rPr>
                <w:rFonts w:hint="eastAsia" w:ascii="宋体" w:hAnsi="宋体"/>
                <w:color w:val="auto"/>
                <w:szCs w:val="21"/>
                <w:highlight w:val="none"/>
                <w:u w:val="single"/>
              </w:rPr>
              <w:t xml:space="preserve">    </w:t>
            </w:r>
            <w:r>
              <w:rPr>
                <w:rFonts w:hint="eastAsia"/>
                <w:color w:val="auto"/>
                <w:highlight w:val="none"/>
              </w:rPr>
              <w:t>；外包装上注明投标人名称、项目名称及项目编号（外包装不作密封要求）。</w:t>
            </w:r>
          </w:p>
          <w:p w14:paraId="5C83D04D">
            <w:pPr>
              <w:autoSpaceDE w:val="0"/>
              <w:autoSpaceDN w:val="0"/>
              <w:adjustRightInd w:val="0"/>
              <w:spacing w:line="360" w:lineRule="auto"/>
              <w:textAlignment w:val="bottom"/>
              <w:rPr>
                <w:color w:val="auto"/>
                <w:highlight w:val="none"/>
              </w:rPr>
            </w:pPr>
            <w:r>
              <w:rPr>
                <w:rFonts w:hint="eastAsia"/>
                <w:color w:val="auto"/>
                <w:highlight w:val="none"/>
              </w:rPr>
              <w:t>（</w:t>
            </w:r>
            <w:r>
              <w:rPr>
                <w:color w:val="auto"/>
                <w:highlight w:val="none"/>
              </w:rPr>
              <w:t>2</w:t>
            </w:r>
            <w:r>
              <w:rPr>
                <w:rFonts w:hint="eastAsia"/>
                <w:color w:val="auto"/>
                <w:highlight w:val="none"/>
              </w:rPr>
              <w:t>）电子邮件方式，接收电子备份投标文件的电子邮箱为：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p>
          <w:p w14:paraId="739A9D28">
            <w:pPr>
              <w:pStyle w:val="15"/>
              <w:spacing w:line="360" w:lineRule="auto"/>
              <w:rPr>
                <w:color w:val="auto"/>
                <w:highlight w:val="none"/>
              </w:rPr>
            </w:pPr>
            <w:r>
              <w:rPr>
                <w:rFonts w:hint="eastAsia"/>
                <w:color w:val="auto"/>
                <w:highlight w:val="none"/>
              </w:rPr>
              <w:t>（</w:t>
            </w:r>
            <w:r>
              <w:rPr>
                <w:color w:val="auto"/>
                <w:highlight w:val="none"/>
              </w:rPr>
              <w:t>3</w:t>
            </w:r>
            <w:r>
              <w:rPr>
                <w:rFonts w:hint="eastAsia"/>
                <w:color w:val="auto"/>
                <w:highlight w:val="none"/>
              </w:rPr>
              <w:t>）邮寄方式，应采用</w:t>
            </w:r>
            <w:r>
              <w:rPr>
                <w:color w:val="auto"/>
                <w:highlight w:val="none"/>
              </w:rPr>
              <w:t>U</w:t>
            </w:r>
            <w:r>
              <w:rPr>
                <w:rFonts w:hint="eastAsia"/>
                <w:color w:val="auto"/>
                <w:highlight w:val="none"/>
              </w:rPr>
              <w:t>盘进行存储，邮寄地址：</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，截止接收时间：</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p>
          <w:p w14:paraId="793F0D0B">
            <w:pPr>
              <w:autoSpaceDE w:val="0"/>
              <w:autoSpaceDN w:val="0"/>
              <w:adjustRightInd w:val="0"/>
              <w:spacing w:line="360" w:lineRule="auto"/>
              <w:textAlignment w:val="bottom"/>
              <w:rPr>
                <w:color w:val="auto"/>
                <w:highlight w:val="none"/>
              </w:rPr>
            </w:pPr>
            <w:r>
              <w:rPr>
                <w:rFonts w:hint="eastAsia"/>
                <w:color w:val="auto"/>
                <w:highlight w:val="none"/>
              </w:rPr>
              <w:t>收件人：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，联系方式：</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；外包装上注明投标人名称、项目名称及项目编号（外包装不作密封要求）。</w:t>
            </w:r>
            <w:r>
              <w:rPr>
                <w:color w:val="auto"/>
                <w:highlight w:val="none"/>
              </w:rPr>
              <w:t xml:space="preserve"> </w:t>
            </w:r>
          </w:p>
          <w:p w14:paraId="0C60E5D9">
            <w:pPr>
              <w:autoSpaceDE w:val="0"/>
              <w:autoSpaceDN w:val="0"/>
              <w:snapToGrid w:val="0"/>
              <w:spacing w:line="360" w:lineRule="auto"/>
              <w:ind w:firstLine="420" w:firstLineChars="200"/>
              <w:textAlignment w:val="bottom"/>
              <w:rPr>
                <w:rFonts w:hint="eastAsia" w:ascii="宋体" w:hAnsi="宋体"/>
                <w:color w:val="auto"/>
                <w:szCs w:val="21"/>
                <w:highlight w:val="none"/>
              </w:rPr>
            </w:pPr>
            <w:r>
              <w:rPr>
                <w:rFonts w:hint="eastAsia"/>
                <w:color w:val="auto"/>
                <w:highlight w:val="none"/>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广西政府采购云平台”操作规范上传至“广西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b/>
                <w:color w:val="auto"/>
                <w:highlight w:val="none"/>
              </w:rPr>
              <w:t>投标人的投标文件作无效处理</w:t>
            </w:r>
            <w:r>
              <w:rPr>
                <w:rFonts w:hint="eastAsia"/>
                <w:color w:val="auto"/>
                <w:highlight w:val="none"/>
              </w:rPr>
              <w:t>。</w:t>
            </w:r>
          </w:p>
        </w:tc>
      </w:tr>
      <w:tr w14:paraId="25EF4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2F43D3E9">
            <w:pPr>
              <w:spacing w:line="360" w:lineRule="auto"/>
              <w:jc w:val="center"/>
              <w:rPr>
                <w:rFonts w:hint="eastAsia" w:ascii="宋体" w:hAnsi="宋体"/>
                <w:color w:val="auto"/>
                <w:szCs w:val="21"/>
                <w:highlight w:val="none"/>
              </w:rPr>
            </w:pPr>
            <w:bookmarkStart w:id="82" w:name="_21.1"/>
            <w:bookmarkEnd w:id="82"/>
            <w:r>
              <w:rPr>
                <w:rFonts w:hint="eastAsia" w:ascii="宋体" w:hAnsi="宋体"/>
                <w:color w:val="auto"/>
                <w:szCs w:val="21"/>
                <w:highlight w:val="none"/>
              </w:rPr>
              <w:t>21.1</w:t>
            </w:r>
          </w:p>
        </w:tc>
        <w:tc>
          <w:tcPr>
            <w:tcW w:w="8670" w:type="dxa"/>
            <w:tcBorders>
              <w:top w:val="single" w:color="auto" w:sz="4" w:space="0"/>
              <w:left w:val="single" w:color="auto" w:sz="4" w:space="0"/>
              <w:bottom w:val="single" w:color="auto" w:sz="4" w:space="0"/>
              <w:right w:val="single" w:color="auto" w:sz="4" w:space="0"/>
            </w:tcBorders>
            <w:vAlign w:val="center"/>
          </w:tcPr>
          <w:p w14:paraId="30BE7522">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1.提交投标文件截止时间：详见招标公告</w:t>
            </w:r>
          </w:p>
          <w:p w14:paraId="7577D42A">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2.投标地点：详见招标公告</w:t>
            </w:r>
          </w:p>
        </w:tc>
      </w:tr>
      <w:tr w14:paraId="25A918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7AFBD6D">
            <w:pPr>
              <w:spacing w:line="360" w:lineRule="auto"/>
              <w:jc w:val="center"/>
              <w:rPr>
                <w:rFonts w:hint="eastAsia" w:ascii="宋体" w:hAnsi="宋体"/>
                <w:color w:val="auto"/>
                <w:szCs w:val="21"/>
                <w:highlight w:val="none"/>
              </w:rPr>
            </w:pPr>
            <w:bookmarkStart w:id="83" w:name="_23"/>
            <w:bookmarkEnd w:id="83"/>
            <w:r>
              <w:rPr>
                <w:rFonts w:hint="eastAsia" w:ascii="宋体" w:hAnsi="宋体"/>
                <w:color w:val="auto"/>
                <w:szCs w:val="21"/>
                <w:highlight w:val="none"/>
              </w:rPr>
              <w:t>23</w:t>
            </w:r>
          </w:p>
        </w:tc>
        <w:tc>
          <w:tcPr>
            <w:tcW w:w="8670" w:type="dxa"/>
            <w:tcBorders>
              <w:top w:val="single" w:color="auto" w:sz="4" w:space="0"/>
              <w:left w:val="single" w:color="auto" w:sz="4" w:space="0"/>
              <w:bottom w:val="single" w:color="auto" w:sz="4" w:space="0"/>
              <w:right w:val="single" w:color="auto" w:sz="4" w:space="0"/>
            </w:tcBorders>
            <w:vAlign w:val="center"/>
          </w:tcPr>
          <w:p w14:paraId="54C95B17">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1.开标时间：详见招标公告</w:t>
            </w:r>
          </w:p>
          <w:p w14:paraId="53613C61">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2.开标地点：详见招标公告</w:t>
            </w:r>
          </w:p>
        </w:tc>
      </w:tr>
      <w:tr w14:paraId="0646A8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E6B87A2">
            <w:pPr>
              <w:spacing w:line="360" w:lineRule="auto"/>
              <w:jc w:val="center"/>
              <w:rPr>
                <w:rFonts w:hint="eastAsia" w:ascii="宋体" w:hAnsi="宋体"/>
                <w:color w:val="auto"/>
                <w:szCs w:val="21"/>
                <w:highlight w:val="none"/>
              </w:rPr>
            </w:pPr>
            <w:r>
              <w:rPr>
                <w:rFonts w:hint="eastAsia" w:ascii="宋体" w:hAnsi="宋体"/>
                <w:color w:val="auto"/>
                <w:szCs w:val="21"/>
                <w:highlight w:val="none"/>
              </w:rPr>
              <w:t>24.3</w:t>
            </w:r>
            <w:r>
              <w:rPr>
                <w:rFonts w:hint="eastAsia" w:ascii="宋体" w:hAnsi="宋体"/>
                <w:color w:val="auto"/>
                <w:szCs w:val="21"/>
                <w:highlight w:val="none"/>
                <w:lang w:eastAsia="zh-CN"/>
              </w:rPr>
              <w:t>(</w:t>
            </w:r>
            <w:r>
              <w:rPr>
                <w:rFonts w:hint="eastAsia" w:ascii="宋体" w:hAnsi="宋体"/>
                <w:color w:val="auto"/>
                <w:szCs w:val="21"/>
                <w:highlight w:val="none"/>
              </w:rPr>
              <w:t>1</w:t>
            </w:r>
            <w:r>
              <w:rPr>
                <w:rFonts w:hint="eastAsia" w:ascii="宋体" w:hAnsi="宋体"/>
                <w:color w:val="auto"/>
                <w:szCs w:val="21"/>
                <w:highlight w:val="none"/>
                <w:lang w:eastAsia="zh-CN"/>
              </w:rPr>
              <w:t>)</w:t>
            </w:r>
          </w:p>
        </w:tc>
        <w:tc>
          <w:tcPr>
            <w:tcW w:w="8670" w:type="dxa"/>
            <w:tcBorders>
              <w:top w:val="single" w:color="auto" w:sz="4" w:space="0"/>
              <w:left w:val="single" w:color="auto" w:sz="4" w:space="0"/>
              <w:bottom w:val="single" w:color="auto" w:sz="4" w:space="0"/>
              <w:right w:val="single" w:color="auto" w:sz="4" w:space="0"/>
            </w:tcBorders>
            <w:vAlign w:val="center"/>
          </w:tcPr>
          <w:p w14:paraId="5A557D78">
            <w:pPr>
              <w:snapToGrid w:val="0"/>
              <w:spacing w:line="360" w:lineRule="auto"/>
              <w:rPr>
                <w:rFonts w:hint="eastAsia" w:hAnsi="宋体"/>
                <w:color w:val="auto"/>
                <w:highlight w:val="none"/>
                <w:u w:val="single"/>
              </w:rPr>
            </w:pPr>
            <w:r>
              <w:rPr>
                <w:rFonts w:hint="eastAsia" w:hAnsi="宋体"/>
                <w:color w:val="auto"/>
                <w:highlight w:val="none"/>
              </w:rPr>
              <w:t>电子投标文件解密时间：</w:t>
            </w:r>
            <w:r>
              <w:rPr>
                <w:rFonts w:hint="eastAsia" w:hAnsi="宋体"/>
                <w:color w:val="auto"/>
                <w:highlight w:val="none"/>
                <w:u w:val="single"/>
              </w:rPr>
              <w:t>30</w:t>
            </w:r>
            <w:r>
              <w:rPr>
                <w:rFonts w:hint="eastAsia" w:hAnsi="宋体"/>
                <w:color w:val="auto"/>
                <w:highlight w:val="none"/>
              </w:rPr>
              <w:t>分钟</w:t>
            </w:r>
          </w:p>
        </w:tc>
      </w:tr>
      <w:tr w14:paraId="46083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6C016DC">
            <w:pPr>
              <w:spacing w:line="360" w:lineRule="auto"/>
              <w:jc w:val="center"/>
              <w:rPr>
                <w:rFonts w:hint="eastAsia" w:ascii="宋体" w:hAnsi="宋体"/>
                <w:color w:val="auto"/>
                <w:szCs w:val="21"/>
                <w:highlight w:val="none"/>
              </w:rPr>
            </w:pPr>
            <w:r>
              <w:rPr>
                <w:rFonts w:hint="eastAsia" w:ascii="宋体" w:hAnsi="宋体"/>
                <w:color w:val="auto"/>
                <w:szCs w:val="21"/>
                <w:highlight w:val="none"/>
              </w:rPr>
              <w:t>24</w:t>
            </w:r>
            <w:r>
              <w:rPr>
                <w:rFonts w:ascii="宋体" w:hAnsi="宋体"/>
                <w:color w:val="auto"/>
                <w:szCs w:val="21"/>
                <w:highlight w:val="none"/>
              </w:rPr>
              <w:t>.3</w:t>
            </w:r>
            <w:r>
              <w:rPr>
                <w:rFonts w:hint="eastAsia" w:ascii="宋体" w:hAnsi="宋体"/>
                <w:color w:val="auto"/>
                <w:szCs w:val="21"/>
                <w:highlight w:val="none"/>
                <w:lang w:eastAsia="zh-CN"/>
              </w:rPr>
              <w:t>(</w:t>
            </w:r>
            <w:r>
              <w:rPr>
                <w:rFonts w:ascii="宋体" w:hAnsi="宋体"/>
                <w:color w:val="auto"/>
                <w:szCs w:val="21"/>
                <w:highlight w:val="none"/>
              </w:rPr>
              <w:t>2</w:t>
            </w:r>
            <w:r>
              <w:rPr>
                <w:rFonts w:hint="eastAsia" w:ascii="宋体" w:hAnsi="宋体"/>
                <w:color w:val="auto"/>
                <w:szCs w:val="21"/>
                <w:highlight w:val="none"/>
                <w:lang w:eastAsia="zh-CN"/>
              </w:rPr>
              <w:t>)</w:t>
            </w:r>
          </w:p>
        </w:tc>
        <w:tc>
          <w:tcPr>
            <w:tcW w:w="8670" w:type="dxa"/>
            <w:tcBorders>
              <w:top w:val="single" w:color="auto" w:sz="4" w:space="0"/>
              <w:left w:val="single" w:color="auto" w:sz="4" w:space="0"/>
              <w:bottom w:val="single" w:color="auto" w:sz="4" w:space="0"/>
              <w:right w:val="single" w:color="auto" w:sz="4" w:space="0"/>
            </w:tcBorders>
            <w:vAlign w:val="center"/>
          </w:tcPr>
          <w:p w14:paraId="0615B427">
            <w:pPr>
              <w:snapToGrid w:val="0"/>
              <w:spacing w:line="360" w:lineRule="auto"/>
              <w:rPr>
                <w:rFonts w:hint="eastAsia" w:ascii="宋体" w:hAnsi="宋体"/>
                <w:color w:val="auto"/>
                <w:szCs w:val="21"/>
                <w:highlight w:val="none"/>
              </w:rPr>
            </w:pPr>
            <w:r>
              <w:rPr>
                <w:rFonts w:hint="eastAsia"/>
                <w:color w:val="auto"/>
                <w:highlight w:val="none"/>
              </w:rPr>
              <w:t>宣布的内容</w:t>
            </w:r>
            <w:r>
              <w:rPr>
                <w:rFonts w:hint="eastAsia" w:hAnsi="宋体"/>
                <w:color w:val="auto"/>
                <w:highlight w:val="none"/>
              </w:rPr>
              <w:t>：投标人名称、投标价格</w:t>
            </w:r>
          </w:p>
        </w:tc>
      </w:tr>
      <w:tr w14:paraId="3CF15F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A63A610">
            <w:pPr>
              <w:spacing w:line="360" w:lineRule="auto"/>
              <w:jc w:val="center"/>
              <w:rPr>
                <w:rFonts w:hint="eastAsia" w:ascii="宋体" w:hAnsi="宋体"/>
                <w:color w:val="auto"/>
                <w:szCs w:val="21"/>
                <w:highlight w:val="none"/>
              </w:rPr>
            </w:pPr>
            <w:bookmarkStart w:id="84" w:name="_25.3"/>
            <w:bookmarkEnd w:id="84"/>
            <w:r>
              <w:rPr>
                <w:rFonts w:hint="eastAsia" w:ascii="宋体" w:hAnsi="宋体"/>
                <w:color w:val="auto"/>
                <w:szCs w:val="21"/>
                <w:highlight w:val="none"/>
              </w:rPr>
              <w:t>25.3</w:t>
            </w:r>
            <w:r>
              <w:rPr>
                <w:rFonts w:hint="eastAsia" w:ascii="宋体" w:hAnsi="宋体"/>
                <w:color w:val="auto"/>
                <w:szCs w:val="21"/>
                <w:highlight w:val="none"/>
                <w:lang w:eastAsia="zh-CN"/>
              </w:rPr>
              <w:t>(</w:t>
            </w:r>
            <w:r>
              <w:rPr>
                <w:rFonts w:ascii="宋体" w:hAnsi="宋体"/>
                <w:color w:val="auto"/>
                <w:szCs w:val="21"/>
                <w:highlight w:val="none"/>
              </w:rPr>
              <w:t>2</w:t>
            </w:r>
            <w:r>
              <w:rPr>
                <w:rFonts w:hint="eastAsia" w:ascii="宋体" w:hAnsi="宋体"/>
                <w:color w:val="auto"/>
                <w:szCs w:val="21"/>
                <w:highlight w:val="none"/>
                <w:lang w:eastAsia="zh-CN"/>
              </w:rPr>
              <w:t>)</w:t>
            </w:r>
          </w:p>
        </w:tc>
        <w:tc>
          <w:tcPr>
            <w:tcW w:w="8670" w:type="dxa"/>
            <w:tcBorders>
              <w:top w:val="single" w:color="auto" w:sz="4" w:space="0"/>
              <w:left w:val="single" w:color="auto" w:sz="4" w:space="0"/>
              <w:bottom w:val="single" w:color="auto" w:sz="4" w:space="0"/>
              <w:right w:val="single" w:color="auto" w:sz="4" w:space="0"/>
            </w:tcBorders>
            <w:vAlign w:val="center"/>
          </w:tcPr>
          <w:p w14:paraId="17E4899A">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485B4C2E">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p w14:paraId="0CAB7BFE">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信用查询截止时点：资格审查结束前</w:t>
            </w:r>
          </w:p>
          <w:p w14:paraId="617DF213">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查询记录和证据留存方式：在查询网站中直接截图查询记录，截图作为在广西政府采购云平台（</w:t>
            </w:r>
            <w:r>
              <w:rPr>
                <w:rFonts w:hint="eastAsia" w:ascii="宋体" w:hAnsi="宋体"/>
                <w:bCs/>
                <w:color w:val="auto"/>
                <w:szCs w:val="21"/>
                <w:highlight w:val="none"/>
              </w:rPr>
              <w:t>https</w:t>
            </w:r>
            <w:r>
              <w:rPr>
                <w:rFonts w:hint="eastAsia" w:ascii="宋体" w:hAnsi="宋体"/>
                <w:bCs/>
                <w:color w:val="auto"/>
                <w:szCs w:val="21"/>
                <w:highlight w:val="none"/>
                <w:lang w:eastAsia="zh-CN"/>
              </w:rPr>
              <w:t>：</w:t>
            </w:r>
            <w:r>
              <w:rPr>
                <w:rFonts w:hint="eastAsia" w:ascii="宋体" w:hAnsi="宋体"/>
                <w:bCs/>
                <w:color w:val="auto"/>
                <w:szCs w:val="21"/>
                <w:highlight w:val="none"/>
              </w:rPr>
              <w:t>//www.gcy.zfcg.gxzf.gov.cn/</w:t>
            </w:r>
            <w:r>
              <w:rPr>
                <w:rFonts w:hint="eastAsia" w:ascii="宋体" w:hAnsi="宋体"/>
                <w:color w:val="auto"/>
                <w:szCs w:val="21"/>
                <w:highlight w:val="none"/>
              </w:rPr>
              <w:t>）作为附件上传保存。</w:t>
            </w:r>
          </w:p>
          <w:p w14:paraId="1A70C120">
            <w:pPr>
              <w:snapToGrid w:val="0"/>
              <w:spacing w:line="360" w:lineRule="auto"/>
              <w:rPr>
                <w:rFonts w:hint="eastAsia" w:ascii="宋体" w:hAnsi="宋体"/>
                <w:b/>
                <w:color w:val="auto"/>
                <w:szCs w:val="21"/>
                <w:highlight w:val="none"/>
              </w:rPr>
            </w:pPr>
            <w:r>
              <w:rPr>
                <w:rFonts w:hint="eastAsia" w:ascii="宋体" w:hAnsi="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260C5C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34FCD01">
            <w:pPr>
              <w:spacing w:line="360" w:lineRule="auto"/>
              <w:jc w:val="center"/>
              <w:rPr>
                <w:rFonts w:hint="eastAsia" w:ascii="宋体" w:hAnsi="宋体"/>
                <w:color w:val="auto"/>
                <w:szCs w:val="21"/>
                <w:highlight w:val="none"/>
              </w:rPr>
            </w:pPr>
            <w:bookmarkStart w:id="85" w:name="_26"/>
            <w:bookmarkEnd w:id="85"/>
            <w:r>
              <w:rPr>
                <w:rFonts w:hint="eastAsia" w:ascii="宋体" w:hAnsi="宋体"/>
                <w:color w:val="auto"/>
                <w:szCs w:val="21"/>
                <w:highlight w:val="none"/>
              </w:rPr>
              <w:t>26</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0B9DF197">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u w:val="single"/>
                <w:lang w:val="en-US" w:eastAsia="zh-CN"/>
              </w:rPr>
              <w:t>7</w:t>
            </w:r>
            <w:r>
              <w:rPr>
                <w:rFonts w:hint="eastAsia" w:ascii="宋体" w:hAnsi="宋体"/>
                <w:color w:val="auto"/>
                <w:szCs w:val="21"/>
                <w:highlight w:val="none"/>
              </w:rPr>
              <w:t>人</w:t>
            </w:r>
          </w:p>
        </w:tc>
      </w:tr>
      <w:tr w14:paraId="656BC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6607EE9">
            <w:pPr>
              <w:spacing w:line="360" w:lineRule="auto"/>
              <w:jc w:val="center"/>
              <w:rPr>
                <w:rFonts w:hint="eastAsia" w:ascii="宋体" w:hAnsi="宋体"/>
                <w:color w:val="auto"/>
                <w:szCs w:val="21"/>
                <w:highlight w:val="none"/>
              </w:rPr>
            </w:pPr>
            <w:bookmarkStart w:id="86" w:name="_28.3"/>
            <w:bookmarkEnd w:id="86"/>
            <w:r>
              <w:rPr>
                <w:rFonts w:ascii="宋体" w:hAnsi="宋体"/>
                <w:color w:val="auto"/>
                <w:szCs w:val="21"/>
                <w:highlight w:val="none"/>
              </w:rPr>
              <w:t>29.1</w:t>
            </w:r>
          </w:p>
        </w:tc>
        <w:tc>
          <w:tcPr>
            <w:tcW w:w="8670" w:type="dxa"/>
            <w:tcBorders>
              <w:top w:val="single" w:color="auto" w:sz="4" w:space="0"/>
              <w:left w:val="single" w:color="auto" w:sz="4" w:space="0"/>
              <w:bottom w:val="single" w:color="auto" w:sz="4" w:space="0"/>
              <w:right w:val="single" w:color="auto" w:sz="4" w:space="0"/>
            </w:tcBorders>
            <w:vAlign w:val="center"/>
          </w:tcPr>
          <w:p w14:paraId="1EF92683">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评标方法：</w:t>
            </w:r>
          </w:p>
          <w:p w14:paraId="08063A51">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☑综合评分法</w:t>
            </w:r>
          </w:p>
          <w:p w14:paraId="50CDB492">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□最低评标价法</w:t>
            </w:r>
          </w:p>
        </w:tc>
      </w:tr>
      <w:tr w14:paraId="3F32E0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2A41627A">
            <w:pPr>
              <w:spacing w:line="360" w:lineRule="auto"/>
              <w:jc w:val="center"/>
              <w:rPr>
                <w:rFonts w:hint="eastAsia" w:ascii="宋体" w:hAnsi="宋体"/>
                <w:color w:val="auto"/>
                <w:szCs w:val="21"/>
                <w:highlight w:val="none"/>
              </w:rPr>
            </w:pPr>
            <w:bookmarkStart w:id="87" w:name="_29.2.2（2）"/>
            <w:bookmarkEnd w:id="87"/>
            <w:r>
              <w:rPr>
                <w:rFonts w:hint="eastAsia" w:ascii="宋体" w:hAnsi="宋体"/>
                <w:color w:val="auto"/>
                <w:szCs w:val="21"/>
                <w:highlight w:val="none"/>
              </w:rPr>
              <w:t>2</w:t>
            </w:r>
            <w:r>
              <w:rPr>
                <w:rFonts w:ascii="宋体" w:hAnsi="宋体"/>
                <w:color w:val="auto"/>
                <w:szCs w:val="21"/>
                <w:highlight w:val="none"/>
              </w:rPr>
              <w:t>9.2</w:t>
            </w:r>
          </w:p>
        </w:tc>
        <w:tc>
          <w:tcPr>
            <w:tcW w:w="8670" w:type="dxa"/>
            <w:tcBorders>
              <w:top w:val="single" w:color="auto" w:sz="4" w:space="0"/>
              <w:left w:val="single" w:color="auto" w:sz="4" w:space="0"/>
              <w:right w:val="single" w:color="auto" w:sz="4" w:space="0"/>
            </w:tcBorders>
            <w:vAlign w:val="center"/>
          </w:tcPr>
          <w:p w14:paraId="4116ABB3">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每分标商务要求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0</w:t>
            </w:r>
            <w:r>
              <w:rPr>
                <w:rFonts w:hint="eastAsia" w:ascii="宋体" w:hAnsi="宋体"/>
                <w:color w:val="auto"/>
                <w:szCs w:val="21"/>
                <w:highlight w:val="none"/>
              </w:rPr>
              <w:t>项。</w:t>
            </w:r>
          </w:p>
          <w:p w14:paraId="08D97AAF">
            <w:pPr>
              <w:snapToGrid w:val="0"/>
              <w:spacing w:line="360" w:lineRule="auto"/>
              <w:rPr>
                <w:color w:val="auto"/>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分标技术要求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项</w:t>
            </w:r>
            <w:r>
              <w:rPr>
                <w:rFonts w:hint="eastAsia" w:ascii="宋体" w:hAnsi="宋体"/>
                <w:color w:val="auto"/>
                <w:szCs w:val="21"/>
                <w:highlight w:val="none"/>
              </w:rPr>
              <w:t>。</w:t>
            </w:r>
            <w:r>
              <w:rPr>
                <w:rFonts w:hint="eastAsia" w:ascii="宋体" w:hAnsi="宋体"/>
                <w:b/>
                <w:bCs/>
                <w:color w:val="auto"/>
                <w:szCs w:val="21"/>
                <w:highlight w:val="none"/>
              </w:rPr>
              <w:t>（非标</w:t>
            </w:r>
            <w:r>
              <w:rPr>
                <w:rFonts w:hint="eastAsia" w:ascii="宋体" w:hAnsi="宋体" w:cs="宋体"/>
                <w:b/>
                <w:bCs/>
                <w:color w:val="auto"/>
                <w:szCs w:val="21"/>
                <w:highlight w:val="none"/>
              </w:rPr>
              <w:t>“▲”的技术条款，负偏离</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项或以上按无效投标处理</w:t>
            </w:r>
            <w:r>
              <w:rPr>
                <w:rFonts w:hint="eastAsia" w:ascii="宋体" w:hAnsi="宋体"/>
                <w:b/>
                <w:bCs/>
                <w:color w:val="auto"/>
                <w:szCs w:val="21"/>
                <w:highlight w:val="none"/>
              </w:rPr>
              <w:t>）</w:t>
            </w:r>
          </w:p>
          <w:p w14:paraId="647E51CC">
            <w:pPr>
              <w:snapToGrid w:val="0"/>
              <w:spacing w:line="360" w:lineRule="auto"/>
              <w:rPr>
                <w:rFonts w:hint="eastAsia" w:ascii="宋体" w:hAnsi="宋体" w:cs="Times New Roman"/>
                <w:b/>
                <w:bCs/>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分标技术要求</w:t>
            </w:r>
            <w:r>
              <w:rPr>
                <w:rFonts w:hint="eastAsia" w:ascii="宋体" w:hAnsi="宋体" w:cs="Times New Roman"/>
                <w:color w:val="auto"/>
                <w:szCs w:val="21"/>
                <w:highlight w:val="none"/>
              </w:rPr>
              <w:t>评审中允许负偏离的条款数为</w:t>
            </w:r>
            <w:r>
              <w:rPr>
                <w:rFonts w:hint="eastAsia" w:ascii="宋体" w:hAnsi="宋体" w:cs="Times New Roman"/>
                <w:color w:val="auto"/>
                <w:szCs w:val="21"/>
                <w:highlight w:val="none"/>
                <w:u w:val="single"/>
                <w:lang w:val="en-US" w:eastAsia="zh-CN"/>
              </w:rPr>
              <w:t>6</w:t>
            </w:r>
            <w:r>
              <w:rPr>
                <w:rFonts w:hint="eastAsia" w:ascii="宋体" w:hAnsi="宋体" w:cs="Times New Roman"/>
                <w:color w:val="auto"/>
                <w:szCs w:val="21"/>
                <w:highlight w:val="none"/>
                <w:u w:val="single"/>
              </w:rPr>
              <w:t>项</w:t>
            </w:r>
            <w:r>
              <w:rPr>
                <w:rFonts w:hint="eastAsia" w:ascii="宋体" w:hAnsi="宋体" w:cs="Times New Roman"/>
                <w:color w:val="auto"/>
                <w:szCs w:val="21"/>
                <w:highlight w:val="none"/>
              </w:rPr>
              <w:t>。</w:t>
            </w:r>
            <w:r>
              <w:rPr>
                <w:rFonts w:hint="eastAsia" w:ascii="宋体" w:hAnsi="宋体" w:cs="Times New Roman"/>
                <w:b/>
                <w:bCs/>
                <w:color w:val="auto"/>
                <w:szCs w:val="21"/>
                <w:highlight w:val="none"/>
              </w:rPr>
              <w:t>（非标</w:t>
            </w:r>
            <w:r>
              <w:rPr>
                <w:rFonts w:hint="eastAsia" w:ascii="宋体" w:hAnsi="宋体" w:cs="宋体"/>
                <w:b/>
                <w:bCs/>
                <w:color w:val="auto"/>
                <w:szCs w:val="21"/>
                <w:highlight w:val="none"/>
              </w:rPr>
              <w:t>“▲”的技术条款，负偏离</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项或以上按无效投标处理</w:t>
            </w:r>
            <w:r>
              <w:rPr>
                <w:rFonts w:hint="eastAsia" w:ascii="宋体" w:hAnsi="宋体" w:cs="Times New Roman"/>
                <w:b/>
                <w:bCs/>
                <w:color w:val="auto"/>
                <w:szCs w:val="21"/>
                <w:highlight w:val="none"/>
              </w:rPr>
              <w:t>）</w:t>
            </w:r>
          </w:p>
          <w:p w14:paraId="51119BAD">
            <w:pPr>
              <w:snapToGrid w:val="0"/>
              <w:spacing w:line="360" w:lineRule="auto"/>
              <w:rPr>
                <w:rFonts w:ascii="Times New Roman" w:hAnsi="Times New Roman" w:eastAsia="宋体" w:cs="Times New Roman"/>
                <w:color w:val="auto"/>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分标技术要求</w:t>
            </w:r>
            <w:r>
              <w:rPr>
                <w:rFonts w:hint="eastAsia" w:ascii="宋体" w:hAnsi="宋体" w:eastAsia="宋体" w:cs="Times New Roman"/>
                <w:color w:val="auto"/>
                <w:szCs w:val="21"/>
                <w:highlight w:val="none"/>
              </w:rPr>
              <w:t>评审中允许负偏离的条款数为</w:t>
            </w:r>
            <w:r>
              <w:rPr>
                <w:rFonts w:hint="eastAsia" w:ascii="宋体" w:hAnsi="宋体" w:cs="Times New Roman"/>
                <w:color w:val="auto"/>
                <w:szCs w:val="21"/>
                <w:highlight w:val="none"/>
                <w:u w:val="single"/>
                <w:lang w:val="en-US" w:eastAsia="zh-CN"/>
              </w:rPr>
              <w:t>6</w:t>
            </w:r>
            <w:r>
              <w:rPr>
                <w:rFonts w:hint="eastAsia" w:ascii="宋体" w:hAnsi="宋体" w:eastAsia="宋体" w:cs="Times New Roman"/>
                <w:color w:val="auto"/>
                <w:szCs w:val="21"/>
                <w:highlight w:val="none"/>
                <w:u w:val="single"/>
              </w:rPr>
              <w:t>项</w:t>
            </w:r>
            <w:r>
              <w:rPr>
                <w:rFonts w:hint="eastAsia" w:ascii="宋体" w:hAnsi="宋体" w:eastAsia="宋体" w:cs="Times New Roman"/>
                <w:color w:val="auto"/>
                <w:szCs w:val="21"/>
                <w:highlight w:val="none"/>
              </w:rPr>
              <w:t>。</w:t>
            </w:r>
            <w:r>
              <w:rPr>
                <w:rFonts w:hint="eastAsia" w:ascii="宋体" w:hAnsi="宋体" w:eastAsia="宋体" w:cs="Times New Roman"/>
                <w:b/>
                <w:bCs/>
                <w:color w:val="auto"/>
                <w:szCs w:val="21"/>
                <w:highlight w:val="none"/>
              </w:rPr>
              <w:t>（非标</w:t>
            </w:r>
            <w:r>
              <w:rPr>
                <w:rFonts w:hint="eastAsia" w:ascii="宋体" w:hAnsi="宋体" w:eastAsia="宋体" w:cs="宋体"/>
                <w:b/>
                <w:bCs/>
                <w:color w:val="auto"/>
                <w:szCs w:val="21"/>
                <w:highlight w:val="none"/>
              </w:rPr>
              <w:t>“▲”的技术条款，负偏离</w:t>
            </w:r>
            <w:r>
              <w:rPr>
                <w:rFonts w:hint="eastAsia" w:ascii="宋体" w:hAnsi="宋体" w:cs="宋体"/>
                <w:b/>
                <w:bCs/>
                <w:color w:val="auto"/>
                <w:szCs w:val="21"/>
                <w:highlight w:val="none"/>
                <w:lang w:val="en-US" w:eastAsia="zh-CN"/>
              </w:rPr>
              <w:t>7</w:t>
            </w:r>
            <w:r>
              <w:rPr>
                <w:rFonts w:hint="eastAsia" w:ascii="宋体" w:hAnsi="宋体" w:eastAsia="宋体" w:cs="宋体"/>
                <w:b/>
                <w:bCs/>
                <w:color w:val="auto"/>
                <w:szCs w:val="21"/>
                <w:highlight w:val="none"/>
              </w:rPr>
              <w:t>项或以上按无效投标处理</w:t>
            </w:r>
            <w:r>
              <w:rPr>
                <w:rFonts w:hint="eastAsia" w:ascii="宋体" w:hAnsi="宋体" w:eastAsia="宋体" w:cs="Times New Roman"/>
                <w:b/>
                <w:bCs/>
                <w:color w:val="auto"/>
                <w:szCs w:val="21"/>
                <w:highlight w:val="none"/>
              </w:rPr>
              <w:t>）</w:t>
            </w:r>
          </w:p>
          <w:p w14:paraId="71AF7782">
            <w:pPr>
              <w:snapToGrid w:val="0"/>
              <w:spacing w:line="360" w:lineRule="auto"/>
              <w:rPr>
                <w:rFonts w:hint="eastAsia"/>
                <w:color w:val="auto"/>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分标技术要求</w:t>
            </w:r>
            <w:r>
              <w:rPr>
                <w:rFonts w:hint="eastAsia" w:ascii="宋体" w:hAnsi="宋体" w:eastAsia="宋体" w:cs="Times New Roman"/>
                <w:color w:val="auto"/>
                <w:szCs w:val="21"/>
                <w:highlight w:val="none"/>
              </w:rPr>
              <w:t>评审中允许负偏离的条款数为</w:t>
            </w:r>
            <w:r>
              <w:rPr>
                <w:rFonts w:hint="eastAsia" w:ascii="宋体" w:hAnsi="宋体" w:cs="Times New Roman"/>
                <w:color w:val="auto"/>
                <w:szCs w:val="21"/>
                <w:highlight w:val="none"/>
                <w:u w:val="single"/>
                <w:lang w:val="en-US" w:eastAsia="zh-CN"/>
              </w:rPr>
              <w:t>6</w:t>
            </w:r>
            <w:r>
              <w:rPr>
                <w:rFonts w:hint="eastAsia" w:ascii="宋体" w:hAnsi="宋体" w:eastAsia="宋体" w:cs="Times New Roman"/>
                <w:color w:val="auto"/>
                <w:szCs w:val="21"/>
                <w:highlight w:val="none"/>
                <w:u w:val="single"/>
              </w:rPr>
              <w:t>项</w:t>
            </w:r>
            <w:r>
              <w:rPr>
                <w:rFonts w:hint="eastAsia" w:ascii="宋体" w:hAnsi="宋体" w:eastAsia="宋体" w:cs="Times New Roman"/>
                <w:color w:val="auto"/>
                <w:szCs w:val="21"/>
                <w:highlight w:val="none"/>
              </w:rPr>
              <w:t>。</w:t>
            </w:r>
            <w:r>
              <w:rPr>
                <w:rFonts w:hint="eastAsia" w:ascii="宋体" w:hAnsi="宋体" w:eastAsia="宋体" w:cs="Times New Roman"/>
                <w:b/>
                <w:bCs/>
                <w:color w:val="auto"/>
                <w:szCs w:val="21"/>
                <w:highlight w:val="none"/>
              </w:rPr>
              <w:t>（非标</w:t>
            </w:r>
            <w:r>
              <w:rPr>
                <w:rFonts w:hint="eastAsia" w:ascii="宋体" w:hAnsi="宋体" w:eastAsia="宋体" w:cs="宋体"/>
                <w:b/>
                <w:bCs/>
                <w:color w:val="auto"/>
                <w:szCs w:val="21"/>
                <w:highlight w:val="none"/>
              </w:rPr>
              <w:t>“▲”的技术条款，负偏离</w:t>
            </w:r>
            <w:r>
              <w:rPr>
                <w:rFonts w:hint="eastAsia" w:ascii="宋体" w:hAnsi="宋体" w:cs="宋体"/>
                <w:b/>
                <w:bCs/>
                <w:color w:val="auto"/>
                <w:szCs w:val="21"/>
                <w:highlight w:val="none"/>
                <w:lang w:val="en-US" w:eastAsia="zh-CN"/>
              </w:rPr>
              <w:t>7</w:t>
            </w:r>
            <w:r>
              <w:rPr>
                <w:rFonts w:hint="eastAsia" w:ascii="宋体" w:hAnsi="宋体" w:eastAsia="宋体" w:cs="宋体"/>
                <w:b/>
                <w:bCs/>
                <w:color w:val="auto"/>
                <w:szCs w:val="21"/>
                <w:highlight w:val="none"/>
              </w:rPr>
              <w:t>项或以上按无效投标处理</w:t>
            </w:r>
            <w:r>
              <w:rPr>
                <w:rFonts w:hint="eastAsia" w:ascii="宋体" w:hAnsi="宋体" w:eastAsia="宋体" w:cs="Times New Roman"/>
                <w:b/>
                <w:bCs/>
                <w:color w:val="auto"/>
                <w:szCs w:val="21"/>
                <w:highlight w:val="none"/>
              </w:rPr>
              <w:t>）</w:t>
            </w:r>
          </w:p>
        </w:tc>
      </w:tr>
      <w:tr w14:paraId="6C7CA0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60D7C503">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9.3</w:t>
            </w:r>
          </w:p>
        </w:tc>
        <w:tc>
          <w:tcPr>
            <w:tcW w:w="8670" w:type="dxa"/>
            <w:tcBorders>
              <w:top w:val="single" w:color="auto" w:sz="4" w:space="0"/>
              <w:left w:val="single" w:color="auto" w:sz="4" w:space="0"/>
              <w:right w:val="single" w:color="auto" w:sz="4" w:space="0"/>
            </w:tcBorders>
            <w:vAlign w:val="center"/>
          </w:tcPr>
          <w:p w14:paraId="105ED805">
            <w:pPr>
              <w:snapToGrid w:val="0"/>
              <w:spacing w:line="360" w:lineRule="auto"/>
              <w:rPr>
                <w:rFonts w:hint="eastAsia" w:hAnsi="宋体"/>
                <w:color w:val="auto"/>
                <w:highlight w:val="none"/>
              </w:rPr>
            </w:pPr>
            <w:r>
              <w:rPr>
                <w:rFonts w:hAnsi="宋体"/>
                <w:color w:val="auto"/>
                <w:highlight w:val="none"/>
              </w:rPr>
              <w:t>中标候选人推荐数量</w:t>
            </w:r>
            <w:r>
              <w:rPr>
                <w:rFonts w:hint="eastAsia" w:hAnsi="宋体"/>
                <w:color w:val="auto"/>
                <w:highlight w:val="none"/>
              </w:rPr>
              <w:t>：</w:t>
            </w:r>
          </w:p>
          <w:p w14:paraId="288EE046">
            <w:pPr>
              <w:snapToGrid w:val="0"/>
              <w:spacing w:line="360" w:lineRule="auto"/>
              <w:rPr>
                <w:rFonts w:hint="eastAsia" w:hAnsi="宋体"/>
                <w:color w:val="auto"/>
                <w:highlight w:val="none"/>
              </w:rPr>
            </w:pPr>
            <w:r>
              <w:rPr>
                <w:rFonts w:hint="eastAsia" w:ascii="宋体" w:hAnsi="宋体"/>
                <w:color w:val="auto"/>
                <w:szCs w:val="21"/>
                <w:highlight w:val="none"/>
              </w:rPr>
              <w:t>☑</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3</w:t>
            </w:r>
            <w:r>
              <w:rPr>
                <w:rFonts w:hAnsi="宋体"/>
                <w:color w:val="auto"/>
                <w:highlight w:val="none"/>
                <w:u w:val="single"/>
              </w:rPr>
              <w:t xml:space="preserve"> </w:t>
            </w:r>
            <w:r>
              <w:rPr>
                <w:rFonts w:hAnsi="宋体"/>
                <w:color w:val="auto"/>
                <w:highlight w:val="none"/>
              </w:rPr>
              <w:t>名</w:t>
            </w:r>
          </w:p>
          <w:p w14:paraId="43BF22F7">
            <w:pPr>
              <w:snapToGrid w:val="0"/>
              <w:spacing w:line="360" w:lineRule="auto"/>
              <w:rPr>
                <w:rFonts w:hint="eastAsia" w:ascii="宋体" w:hAnsi="宋体" w:cs="宋体"/>
                <w:color w:val="auto"/>
                <w:szCs w:val="21"/>
                <w:highlight w:val="none"/>
                <w:u w:val="single"/>
              </w:rPr>
            </w:pPr>
            <w:r>
              <w:rPr>
                <w:rFonts w:hint="eastAsia" w:ascii="宋体" w:hAnsi="宋体"/>
                <w:color w:val="auto"/>
                <w:szCs w:val="21"/>
                <w:highlight w:val="none"/>
              </w:rPr>
              <w:t>□</w:t>
            </w:r>
            <w:r>
              <w:rPr>
                <w:rFonts w:hint="eastAsia" w:hAnsi="宋体"/>
                <w:color w:val="auto"/>
                <w:highlight w:val="none"/>
              </w:rPr>
              <w:t>根据[总得分由高到低（综合评分法）/评标报价从低到高（最低评标价法）</w:t>
            </w:r>
            <w:r>
              <w:rPr>
                <w:rFonts w:hAnsi="宋体"/>
                <w:color w:val="auto"/>
                <w:highlight w:val="none"/>
              </w:rPr>
              <w:t>]</w:t>
            </w:r>
            <w:r>
              <w:rPr>
                <w:rFonts w:hint="eastAsia" w:hAnsi="宋体"/>
                <w:color w:val="auto"/>
                <w:highlight w:val="none"/>
              </w:rPr>
              <w:t>排列次序并全部推荐为中标候选人</w:t>
            </w:r>
          </w:p>
        </w:tc>
      </w:tr>
      <w:tr w14:paraId="325B13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2AC052E">
            <w:pPr>
              <w:spacing w:line="360" w:lineRule="auto"/>
              <w:jc w:val="center"/>
              <w:rPr>
                <w:rFonts w:hint="eastAsia"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2106C72E">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 w:val="22"/>
                <w:szCs w:val="22"/>
                <w:highlight w:val="none"/>
              </w:rPr>
              <w:t>采用综合评分法的采购项目，</w:t>
            </w:r>
            <w:r>
              <w:rPr>
                <w:rFonts w:hint="eastAsia" w:ascii="宋体" w:hAnsi="宋体"/>
                <w:color w:val="auto"/>
                <w:szCs w:val="21"/>
                <w:highlight w:val="none"/>
              </w:rPr>
              <w:t>采购人确定中标供应商时，出现中标候选人并列的情形，采购人按以下的方式确定中标供应商：</w:t>
            </w:r>
          </w:p>
          <w:p w14:paraId="5BD4F117">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☑根据总得分由高到低排列次序并推荐中标候选人。得分相同的，按投标报价由低到高顺序排列。得分相同且投标报价相同的并列。投标文件满足招标文件全部实质性要求，且按照评审因素的量化指标评审得分</w:t>
            </w:r>
            <w:r>
              <w:rPr>
                <w:rFonts w:hint="eastAsia" w:ascii="宋体" w:hAnsi="宋体"/>
                <w:color w:val="auto"/>
                <w:szCs w:val="21"/>
                <w:highlight w:val="none"/>
                <w:lang w:val="en-US" w:eastAsia="zh-CN"/>
              </w:rPr>
              <w:t>高低</w:t>
            </w:r>
            <w:r>
              <w:rPr>
                <w:rFonts w:hint="eastAsia" w:ascii="宋体" w:hAnsi="宋体"/>
                <w:color w:val="auto"/>
                <w:szCs w:val="21"/>
                <w:highlight w:val="none"/>
              </w:rPr>
              <w:t>的顺序确定；</w:t>
            </w:r>
          </w:p>
          <w:p w14:paraId="1BC2D86C">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□随机抽取；</w:t>
            </w:r>
          </w:p>
        </w:tc>
      </w:tr>
      <w:tr w14:paraId="4376C1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350EB42C">
            <w:pPr>
              <w:spacing w:line="360" w:lineRule="auto"/>
              <w:jc w:val="center"/>
              <w:rPr>
                <w:rFonts w:hint="eastAsia" w:ascii="宋体" w:hAnsi="宋体"/>
                <w:color w:val="auto"/>
                <w:szCs w:val="21"/>
                <w:highlight w:val="none"/>
              </w:rPr>
            </w:pPr>
            <w:bookmarkStart w:id="88" w:name="_39.1"/>
            <w:bookmarkEnd w:id="88"/>
            <w:r>
              <w:rPr>
                <w:rFonts w:hint="eastAsia" w:ascii="宋体" w:hAnsi="宋体"/>
                <w:color w:val="auto"/>
                <w:szCs w:val="21"/>
                <w:highlight w:val="none"/>
              </w:rPr>
              <w:t>35</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058FEAFD">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☑不收取履约保证金。</w:t>
            </w:r>
          </w:p>
          <w:p w14:paraId="2819A20F">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□收取履约保证金，收取履约保证金的具体规定如下：</w:t>
            </w:r>
          </w:p>
          <w:p w14:paraId="534CFFF4">
            <w:pPr>
              <w:pStyle w:val="15"/>
              <w:spacing w:line="360" w:lineRule="auto"/>
              <w:rPr>
                <w:rFonts w:hint="eastAsia" w:ascii="宋体" w:hAnsi="宋体"/>
                <w:color w:val="auto"/>
                <w:szCs w:val="21"/>
                <w:highlight w:val="none"/>
              </w:rPr>
            </w:pPr>
            <w:r>
              <w:rPr>
                <w:rFonts w:hint="eastAsia" w:ascii="宋体" w:hAnsi="宋体"/>
                <w:color w:val="auto"/>
                <w:szCs w:val="21"/>
                <w:highlight w:val="none"/>
              </w:rPr>
              <w:t>履约保证金金额：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763FFF5">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履约保证金递交方式：银行转账、支票、汇票、本票或者银行、保险机构出具的保函等非现金方式（参照投标保证金）</w:t>
            </w:r>
          </w:p>
          <w:p w14:paraId="0D83B3F1">
            <w:pPr>
              <w:autoSpaceDE w:val="0"/>
              <w:autoSpaceDN w:val="0"/>
              <w:snapToGrid w:val="0"/>
              <w:spacing w:line="360" w:lineRule="auto"/>
              <w:textAlignment w:val="bottom"/>
              <w:rPr>
                <w:rFonts w:hint="eastAsia" w:ascii="宋体" w:hAnsi="宋体"/>
                <w:color w:val="auto"/>
                <w:szCs w:val="21"/>
                <w:highlight w:val="none"/>
              </w:rPr>
            </w:pPr>
            <w:r>
              <w:rPr>
                <w:rFonts w:ascii="宋体" w:hAnsi="宋体"/>
                <w:color w:val="auto"/>
                <w:szCs w:val="21"/>
                <w:highlight w:val="none"/>
              </w:rPr>
              <w:t>履约保证金缴纳期限</w:t>
            </w:r>
            <w:r>
              <w:rPr>
                <w:rFonts w:hint="eastAsia" w:ascii="宋体" w:hAnsi="宋体"/>
                <w:color w:val="auto"/>
                <w:szCs w:val="21"/>
                <w:highlight w:val="none"/>
                <w:lang w:eastAsia="zh-CN"/>
              </w:rPr>
              <w:t>：</w:t>
            </w:r>
            <w:r>
              <w:rPr>
                <w:rFonts w:hint="eastAsia"/>
                <w:color w:val="auto"/>
                <w:highlight w:val="none"/>
              </w:rPr>
              <w:t xml:space="preserve"> </w:t>
            </w:r>
            <w:r>
              <w:rPr>
                <w:rFonts w:hint="eastAsia" w:ascii="宋体" w:hAnsi="宋体"/>
                <w:color w:val="auto"/>
                <w:szCs w:val="21"/>
                <w:highlight w:val="none"/>
                <w:u w:val="single"/>
              </w:rPr>
              <w:t>自中标通知书发出之日起15日内</w:t>
            </w:r>
            <w:r>
              <w:rPr>
                <w:rFonts w:hint="eastAsia" w:ascii="宋体" w:hAnsi="宋体"/>
                <w:color w:val="auto"/>
                <w:szCs w:val="21"/>
                <w:highlight w:val="none"/>
              </w:rPr>
              <w:t>。</w:t>
            </w:r>
          </w:p>
          <w:p w14:paraId="1033F91A">
            <w:pPr>
              <w:autoSpaceDE w:val="0"/>
              <w:autoSpaceDN w:val="0"/>
              <w:snapToGrid w:val="0"/>
              <w:spacing w:line="360" w:lineRule="auto"/>
              <w:textAlignment w:val="bottom"/>
              <w:rPr>
                <w:rFonts w:hint="eastAsia" w:ascii="宋体" w:hAnsi="宋体"/>
                <w:color w:val="auto"/>
                <w:szCs w:val="21"/>
                <w:highlight w:val="none"/>
                <w:u w:val="single"/>
              </w:rPr>
            </w:pPr>
            <w:r>
              <w:rPr>
                <w:rFonts w:hint="eastAsia" w:ascii="宋体" w:hAnsi="宋体"/>
                <w:color w:val="auto"/>
                <w:szCs w:val="21"/>
                <w:highlight w:val="none"/>
              </w:rPr>
              <w:t>履约保证金退付方式、时间及条件：</w:t>
            </w:r>
            <w:r>
              <w:rPr>
                <w:rFonts w:hint="eastAsia" w:ascii="宋体" w:hAnsi="宋体"/>
                <w:color w:val="auto"/>
                <w:szCs w:val="21"/>
                <w:highlight w:val="none"/>
                <w:u w:val="single"/>
              </w:rPr>
              <w:t>由中标供应商向采购人提供《广西壮族自治区政府采购项目合同验收书》（详见桂财采〔2015〕22号），保证金收取单位在收到合格材料后5个工作日内办理退还手续（不计利息）。</w:t>
            </w:r>
          </w:p>
          <w:p w14:paraId="74CDED21">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履约保证金指定账户：</w:t>
            </w:r>
          </w:p>
          <w:p w14:paraId="6CFB9FF9">
            <w:pPr>
              <w:spacing w:line="360" w:lineRule="auto"/>
              <w:jc w:val="left"/>
              <w:rPr>
                <w:rFonts w:hint="eastAsia" w:ascii="宋体" w:hAnsi="宋体" w:cs="Courier New"/>
                <w:color w:val="auto"/>
                <w:szCs w:val="21"/>
                <w:highlight w:val="none"/>
              </w:rPr>
            </w:pPr>
            <w:r>
              <w:rPr>
                <w:rFonts w:hint="eastAsia" w:ascii="宋体" w:hAnsi="宋体" w:cs="Courier New"/>
                <w:color w:val="auto"/>
                <w:szCs w:val="21"/>
                <w:highlight w:val="none"/>
              </w:rPr>
              <w:t>开户银行：</w:t>
            </w:r>
          </w:p>
          <w:p w14:paraId="1898FD7D">
            <w:pPr>
              <w:spacing w:line="360" w:lineRule="auto"/>
              <w:jc w:val="left"/>
              <w:rPr>
                <w:rFonts w:hint="eastAsia" w:ascii="宋体" w:hAnsi="宋体" w:cs="Courier New"/>
                <w:color w:val="auto"/>
                <w:szCs w:val="21"/>
                <w:highlight w:val="none"/>
              </w:rPr>
            </w:pPr>
            <w:r>
              <w:rPr>
                <w:rFonts w:hint="eastAsia" w:ascii="宋体" w:hAnsi="宋体" w:cs="Courier New"/>
                <w:color w:val="auto"/>
                <w:szCs w:val="21"/>
                <w:highlight w:val="none"/>
              </w:rPr>
              <w:t>开户名称：</w:t>
            </w:r>
          </w:p>
          <w:p w14:paraId="2C971872">
            <w:pPr>
              <w:spacing w:line="360" w:lineRule="auto"/>
              <w:jc w:val="left"/>
              <w:rPr>
                <w:rFonts w:hint="eastAsia" w:ascii="宋体" w:hAnsi="宋体" w:cs="Courier New"/>
                <w:color w:val="auto"/>
                <w:szCs w:val="21"/>
                <w:highlight w:val="none"/>
              </w:rPr>
            </w:pPr>
            <w:r>
              <w:rPr>
                <w:rFonts w:hint="eastAsia" w:ascii="宋体" w:hAnsi="宋体" w:cs="Courier New"/>
                <w:color w:val="auto"/>
                <w:szCs w:val="21"/>
                <w:highlight w:val="none"/>
              </w:rPr>
              <w:t>银行账号：</w:t>
            </w:r>
          </w:p>
          <w:p w14:paraId="42299D43">
            <w:pPr>
              <w:spacing w:line="360" w:lineRule="auto"/>
              <w:jc w:val="left"/>
              <w:rPr>
                <w:rFonts w:hint="eastAsia" w:ascii="宋体" w:hAnsi="宋体" w:cs="Courier New"/>
                <w:color w:val="auto"/>
                <w:szCs w:val="21"/>
                <w:highlight w:val="none"/>
              </w:rPr>
            </w:pPr>
            <w:r>
              <w:rPr>
                <w:rFonts w:ascii="宋体" w:hAnsi="宋体" w:cs="Courier New"/>
                <w:color w:val="auto"/>
                <w:szCs w:val="21"/>
                <w:highlight w:val="none"/>
              </w:rPr>
              <w:t>备注：</w:t>
            </w:r>
          </w:p>
          <w:p w14:paraId="113E06FE">
            <w:pPr>
              <w:spacing w:line="360" w:lineRule="auto"/>
              <w:jc w:val="left"/>
              <w:rPr>
                <w:rFonts w:hint="eastAsia" w:ascii="宋体" w:hAnsi="宋体"/>
                <w:b/>
                <w:color w:val="auto"/>
                <w:szCs w:val="21"/>
                <w:highlight w:val="none"/>
              </w:rPr>
            </w:pPr>
            <w:bookmarkStart w:id="89" w:name="_Hlk54170335"/>
            <w:r>
              <w:rPr>
                <w:rFonts w:hint="eastAsia" w:ascii="宋体" w:hAnsi="宋体"/>
                <w:b/>
                <w:color w:val="auto"/>
                <w:szCs w:val="21"/>
                <w:highlight w:val="none"/>
              </w:rPr>
              <w:t>1.根据</w:t>
            </w:r>
            <w:bookmarkEnd w:id="89"/>
            <w:r>
              <w:rPr>
                <w:rFonts w:hint="eastAsia" w:ascii="宋体" w:hAnsi="宋体"/>
                <w:b/>
                <w:color w:val="auto"/>
                <w:szCs w:val="21"/>
                <w:highlight w:val="none"/>
              </w:rPr>
              <w:t>《广西壮族自治区财政厅关于持续优化政府采购营商环境推动高质量发展的通知》（桂财采</w:t>
            </w:r>
            <w:r>
              <w:rPr>
                <w:rFonts w:hint="eastAsia" w:ascii="宋体" w:hAnsi="宋体"/>
                <w:b/>
                <w:color w:val="auto"/>
                <w:szCs w:val="21"/>
                <w:highlight w:val="none"/>
                <w:lang w:eastAsia="zh-CN"/>
              </w:rPr>
              <w:t>〔2024〕55号</w:t>
            </w:r>
            <w:r>
              <w:rPr>
                <w:rFonts w:hint="eastAsia" w:ascii="宋体" w:hAnsi="宋体"/>
                <w:b/>
                <w:color w:val="auto"/>
                <w:szCs w:val="21"/>
                <w:highlight w:val="none"/>
              </w:rPr>
              <w:t>）规定，履约保证金数额不得超过政府采购合同金额的5%，对中小企业收取的履约保证金数额不得超过政府采购合同金额的2%。预算单位（采购人）可根据供应商的资信等情况减免履约保证金。</w:t>
            </w:r>
          </w:p>
          <w:p w14:paraId="23D1FD14">
            <w:pPr>
              <w:spacing w:line="360" w:lineRule="auto"/>
              <w:jc w:val="left"/>
              <w:rPr>
                <w:rFonts w:hint="eastAsia" w:ascii="宋体" w:hAnsi="宋体"/>
                <w:b/>
                <w:color w:val="auto"/>
                <w:szCs w:val="21"/>
                <w:highlight w:val="none"/>
              </w:rPr>
            </w:pPr>
            <w:r>
              <w:rPr>
                <w:rFonts w:ascii="宋体" w:hAnsi="宋体"/>
                <w:b/>
                <w:color w:val="auto"/>
                <w:szCs w:val="21"/>
                <w:highlight w:val="none"/>
              </w:rPr>
              <w:t>2.</w:t>
            </w:r>
            <w:r>
              <w:rPr>
                <w:rFonts w:hint="eastAsia" w:ascii="宋体" w:hAnsi="宋体"/>
                <w:color w:val="auto"/>
                <w:szCs w:val="21"/>
                <w:highlight w:val="none"/>
              </w:rPr>
              <w:t xml:space="preserve"> </w:t>
            </w:r>
            <w:r>
              <w:rPr>
                <w:rFonts w:hint="eastAsia" w:ascii="宋体" w:hAnsi="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66EBA5FA">
            <w:pPr>
              <w:spacing w:line="360" w:lineRule="auto"/>
              <w:jc w:val="left"/>
              <w:rPr>
                <w:rFonts w:hint="eastAsia" w:ascii="宋体" w:hAnsi="宋体"/>
                <w:b/>
                <w:color w:val="auto"/>
                <w:szCs w:val="21"/>
                <w:highlight w:val="none"/>
              </w:rPr>
            </w:pPr>
            <w:r>
              <w:rPr>
                <w:rFonts w:ascii="宋体" w:hAnsi="宋体"/>
                <w:b/>
                <w:color w:val="auto"/>
                <w:szCs w:val="21"/>
                <w:highlight w:val="none"/>
              </w:rPr>
              <w:t>3.采用银行、保险机构出具的保函的，必须为无条件保函，否则不予签订合同。</w:t>
            </w:r>
          </w:p>
          <w:p w14:paraId="09CB7785">
            <w:pPr>
              <w:spacing w:line="360" w:lineRule="auto"/>
              <w:jc w:val="left"/>
              <w:rPr>
                <w:rFonts w:hint="eastAsia" w:ascii="宋体" w:hAnsi="宋体" w:cs="宋体"/>
                <w:color w:val="auto"/>
                <w:kern w:val="0"/>
                <w:szCs w:val="21"/>
                <w:highlight w:val="none"/>
              </w:rPr>
            </w:pPr>
            <w:r>
              <w:rPr>
                <w:rFonts w:ascii="宋体" w:hAnsi="宋体"/>
                <w:b/>
                <w:color w:val="auto"/>
                <w:szCs w:val="21"/>
                <w:highlight w:val="none"/>
              </w:rPr>
              <w:t>4.</w:t>
            </w:r>
            <w:r>
              <w:rPr>
                <w:rFonts w:hint="eastAsia" w:ascii="宋体" w:hAnsi="宋体"/>
                <w:b/>
                <w:color w:val="auto"/>
                <w:szCs w:val="21"/>
                <w:highlight w:val="none"/>
              </w:rPr>
              <w:t>投标人为联合体的，由联合体其中一方按规定提交的履约保证金，视为有效履约保证金。</w:t>
            </w:r>
          </w:p>
        </w:tc>
      </w:tr>
      <w:tr w14:paraId="5914A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6178EB3">
            <w:pPr>
              <w:spacing w:line="360" w:lineRule="auto"/>
              <w:jc w:val="center"/>
              <w:rPr>
                <w:rFonts w:hint="eastAsia" w:ascii="宋体" w:hAnsi="宋体"/>
                <w:color w:val="auto"/>
                <w:szCs w:val="21"/>
                <w:highlight w:val="none"/>
              </w:rPr>
            </w:pPr>
            <w:bookmarkStart w:id="90" w:name="_40.1"/>
            <w:bookmarkEnd w:id="90"/>
            <w:r>
              <w:rPr>
                <w:rFonts w:hint="eastAsia" w:ascii="宋体" w:hAnsi="宋体"/>
                <w:color w:val="auto"/>
                <w:szCs w:val="21"/>
                <w:highlight w:val="none"/>
              </w:rPr>
              <w:t>36.1</w:t>
            </w:r>
          </w:p>
        </w:tc>
        <w:tc>
          <w:tcPr>
            <w:tcW w:w="8670" w:type="dxa"/>
            <w:tcBorders>
              <w:top w:val="single" w:color="auto" w:sz="4" w:space="0"/>
              <w:left w:val="single" w:color="auto" w:sz="4" w:space="0"/>
              <w:bottom w:val="single" w:color="auto" w:sz="4" w:space="0"/>
              <w:right w:val="single" w:color="auto" w:sz="4" w:space="0"/>
            </w:tcBorders>
            <w:vAlign w:val="center"/>
          </w:tcPr>
          <w:p w14:paraId="59EFEEC5">
            <w:pPr>
              <w:autoSpaceDE w:val="0"/>
              <w:autoSpaceDN w:val="0"/>
              <w:snapToGrid w:val="0"/>
              <w:spacing w:line="360" w:lineRule="auto"/>
              <w:textAlignment w:val="bottom"/>
              <w:rPr>
                <w:rFonts w:hint="eastAsia" w:ascii="宋体" w:hAnsi="宋体" w:eastAsia="宋体"/>
                <w:color w:val="auto"/>
                <w:szCs w:val="21"/>
                <w:highlight w:val="none"/>
                <w:lang w:eastAsia="zh-CN"/>
              </w:rPr>
            </w:pPr>
            <w:r>
              <w:rPr>
                <w:rFonts w:hint="eastAsia" w:ascii="宋体" w:hAnsi="宋体"/>
                <w:color w:val="auto"/>
                <w:szCs w:val="21"/>
                <w:highlight w:val="none"/>
              </w:rPr>
              <w:t xml:space="preserve">签订合同携带的证明材料： </w:t>
            </w:r>
          </w:p>
          <w:p w14:paraId="0C16EFCB">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73493023">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07009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EAA873A">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670" w:type="dxa"/>
            <w:tcBorders>
              <w:top w:val="single" w:color="auto" w:sz="4" w:space="0"/>
              <w:left w:val="single" w:color="auto" w:sz="4" w:space="0"/>
              <w:bottom w:val="single" w:color="auto" w:sz="4" w:space="0"/>
              <w:right w:val="single" w:color="auto" w:sz="4" w:space="0"/>
            </w:tcBorders>
            <w:vAlign w:val="center"/>
          </w:tcPr>
          <w:p w14:paraId="6AAB794B">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接收质疑函方式：以书面形式</w:t>
            </w:r>
          </w:p>
          <w:p w14:paraId="01497DA1">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质疑联系部门及联系方式：云之龙咨询集团有限公司，联系电话：0774-3859935，通讯地址：（梧州市新兴三路30号神冠豪都B栋1单元1008号房</w:t>
            </w:r>
            <w:r>
              <w:rPr>
                <w:rFonts w:hint="eastAsia" w:ascii="宋体" w:hAnsi="宋体"/>
                <w:color w:val="auto"/>
                <w:szCs w:val="21"/>
                <w:highlight w:val="none"/>
                <w:lang w:eastAsia="zh-CN"/>
              </w:rPr>
              <w:t>、苍梧县石桥镇龙圣新城开发区A01号</w:t>
            </w:r>
            <w:r>
              <w:rPr>
                <w:rFonts w:hint="eastAsia" w:ascii="宋体" w:hAnsi="宋体"/>
                <w:color w:val="auto"/>
                <w:szCs w:val="21"/>
                <w:highlight w:val="none"/>
              </w:rPr>
              <w:t>）</w:t>
            </w:r>
          </w:p>
          <w:p w14:paraId="0C4E8D5F">
            <w:pPr>
              <w:autoSpaceDE w:val="0"/>
              <w:autoSpaceDN w:val="0"/>
              <w:snapToGrid w:val="0"/>
              <w:spacing w:line="360" w:lineRule="auto"/>
              <w:textAlignment w:val="bottom"/>
              <w:rPr>
                <w:rFonts w:hint="eastAsia" w:ascii="宋体" w:hAnsi="宋体"/>
                <w:color w:val="auto"/>
                <w:szCs w:val="21"/>
                <w:highlight w:val="none"/>
              </w:rPr>
            </w:pPr>
            <w:r>
              <w:rPr>
                <w:rFonts w:hint="eastAsia" w:hAnsi="宋体" w:cs="宋体"/>
                <w:color w:val="auto"/>
                <w:highlight w:val="none"/>
              </w:rPr>
              <w:t>业务时间：工作日每天上午</w:t>
            </w:r>
            <w:r>
              <w:rPr>
                <w:rFonts w:hAnsi="宋体" w:cs="宋体"/>
                <w:color w:val="auto"/>
                <w:highlight w:val="none"/>
              </w:rPr>
              <w:t>8</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分到</w:t>
            </w:r>
            <w:r>
              <w:rPr>
                <w:rFonts w:hAnsi="宋体" w:cs="宋体"/>
                <w:color w:val="auto"/>
                <w:highlight w:val="none"/>
              </w:rPr>
              <w:t>12</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分，下午</w:t>
            </w:r>
            <w:r>
              <w:rPr>
                <w:rFonts w:hAnsi="宋体" w:cs="宋体"/>
                <w:color w:val="auto"/>
                <w:highlight w:val="none"/>
              </w:rPr>
              <w:t>3</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分到</w:t>
            </w:r>
            <w:r>
              <w:rPr>
                <w:rFonts w:hAnsi="宋体" w:cs="宋体"/>
                <w:color w:val="auto"/>
                <w:highlight w:val="none"/>
              </w:rPr>
              <w:t>6</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w:t>
            </w:r>
          </w:p>
        </w:tc>
      </w:tr>
      <w:tr w14:paraId="57AA2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FEB1ADB">
            <w:pPr>
              <w:spacing w:line="360" w:lineRule="auto"/>
              <w:jc w:val="center"/>
              <w:rPr>
                <w:rFonts w:hint="eastAsia" w:ascii="宋体" w:hAnsi="宋体"/>
                <w:color w:val="auto"/>
                <w:szCs w:val="21"/>
                <w:highlight w:val="none"/>
              </w:rPr>
            </w:pPr>
            <w:bookmarkStart w:id="91" w:name="_41"/>
            <w:bookmarkEnd w:id="91"/>
            <w:bookmarkStart w:id="92" w:name="_42"/>
            <w:bookmarkEnd w:id="92"/>
            <w:bookmarkStart w:id="93" w:name="_Hlt17709148"/>
            <w:r>
              <w:rPr>
                <w:rFonts w:hint="eastAsia" w:ascii="宋体" w:hAnsi="宋体"/>
                <w:color w:val="auto"/>
                <w:szCs w:val="21"/>
                <w:highlight w:val="none"/>
              </w:rPr>
              <w:t>3</w:t>
            </w:r>
            <w:bookmarkEnd w:id="93"/>
            <w:r>
              <w:rPr>
                <w:rFonts w:ascii="宋体" w:hAnsi="宋体"/>
                <w:color w:val="auto"/>
                <w:szCs w:val="21"/>
                <w:highlight w:val="none"/>
              </w:rPr>
              <w:t>9.1</w:t>
            </w:r>
          </w:p>
        </w:tc>
        <w:tc>
          <w:tcPr>
            <w:tcW w:w="8670" w:type="dxa"/>
            <w:tcBorders>
              <w:top w:val="single" w:color="auto" w:sz="4" w:space="0"/>
              <w:left w:val="single" w:color="auto" w:sz="4" w:space="0"/>
              <w:bottom w:val="single" w:color="auto" w:sz="4" w:space="0"/>
              <w:right w:val="single" w:color="auto" w:sz="4" w:space="0"/>
            </w:tcBorders>
            <w:vAlign w:val="center"/>
          </w:tcPr>
          <w:p w14:paraId="04E6FF69">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1.采购代理费支付方式：</w:t>
            </w:r>
          </w:p>
          <w:p w14:paraId="798DBB67">
            <w:pPr>
              <w:pStyle w:val="24"/>
              <w:snapToGrid w:val="0"/>
              <w:spacing w:line="360" w:lineRule="auto"/>
              <w:rPr>
                <w:rFonts w:hint="eastAsia" w:hAnsi="宋体" w:cs="宋体"/>
                <w:color w:val="auto"/>
                <w:sz w:val="21"/>
                <w:highlight w:val="none"/>
              </w:rPr>
            </w:pPr>
            <w:r>
              <w:rPr>
                <w:rFonts w:hint="eastAsia" w:hAnsi="宋体"/>
                <w:color w:val="auto"/>
                <w:highlight w:val="none"/>
              </w:rPr>
              <w:t xml:space="preserve">☑ </w:t>
            </w:r>
            <w:r>
              <w:rPr>
                <w:rFonts w:hint="eastAsia" w:hAnsi="宋体" w:cs="宋体"/>
                <w:color w:val="auto"/>
                <w:sz w:val="21"/>
                <w:highlight w:val="none"/>
              </w:rPr>
              <w:t>本项目代理服务费在发布中标结果公告后5日内，由中标供应商一次性向采购代理机构支付。</w:t>
            </w:r>
          </w:p>
          <w:p w14:paraId="1B0054AF">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□采购人支付。</w:t>
            </w:r>
          </w:p>
          <w:p w14:paraId="63FFAB3F">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2.代理</w:t>
            </w:r>
            <w:r>
              <w:rPr>
                <w:rFonts w:hint="eastAsia" w:hAnsi="宋体" w:cs="宋体"/>
                <w:color w:val="auto"/>
                <w:sz w:val="21"/>
                <w:highlight w:val="none"/>
                <w:lang w:val="en-US" w:eastAsia="zh-CN"/>
              </w:rPr>
              <w:t>服务</w:t>
            </w:r>
            <w:r>
              <w:rPr>
                <w:rFonts w:hint="eastAsia" w:hAnsi="宋体" w:cs="宋体"/>
                <w:color w:val="auto"/>
                <w:sz w:val="21"/>
                <w:highlight w:val="none"/>
              </w:rPr>
              <w:t>费收取标准：</w:t>
            </w:r>
          </w:p>
          <w:p w14:paraId="541E926C">
            <w:pPr>
              <w:pStyle w:val="24"/>
              <w:snapToGrid w:val="0"/>
              <w:spacing w:line="360" w:lineRule="auto"/>
              <w:rPr>
                <w:rFonts w:hint="eastAsia" w:hAnsi="宋体" w:cs="宋体"/>
                <w:color w:val="auto"/>
                <w:sz w:val="21"/>
                <w:highlight w:val="none"/>
                <w:lang w:val="en-US" w:eastAsia="zh-CN"/>
              </w:rPr>
            </w:pPr>
            <w:r>
              <w:rPr>
                <w:rFonts w:hint="eastAsia" w:hAnsi="宋体"/>
                <w:color w:val="auto"/>
                <w:highlight w:val="none"/>
                <w:lang w:eastAsia="zh-CN"/>
              </w:rPr>
              <w:t>☑</w:t>
            </w:r>
            <w:r>
              <w:rPr>
                <w:rFonts w:hint="eastAsia" w:hAnsi="宋体" w:cs="宋体"/>
                <w:color w:val="auto"/>
                <w:sz w:val="21"/>
                <w:highlight w:val="none"/>
                <w:lang w:val="en-US" w:eastAsia="zh-CN"/>
              </w:rPr>
              <w:t>以分标（☑中标金额/□采购预算/□暂定成交金额/□其他</w:t>
            </w:r>
            <w:r>
              <w:rPr>
                <w:rFonts w:hint="eastAsia" w:hAnsi="宋体" w:cs="宋体"/>
                <w:color w:val="auto"/>
                <w:sz w:val="21"/>
                <w:highlight w:val="none"/>
                <w:u w:val="single"/>
                <w:lang w:val="en-US" w:eastAsia="zh-CN"/>
              </w:rPr>
              <w:t xml:space="preserve">   </w:t>
            </w:r>
            <w:r>
              <w:rPr>
                <w:rFonts w:hint="eastAsia" w:hAnsi="宋体" w:cs="宋体"/>
                <w:color w:val="auto"/>
                <w:sz w:val="21"/>
                <w:highlight w:val="none"/>
                <w:lang w:val="en-US" w:eastAsia="zh-CN"/>
              </w:rPr>
              <w:t>）为计费额，按本须知正文第39.2条规定的（☑货物招标/□服务招标/□工程招标）标准采用差额定率累进法计算出收费基准价格，采购代理收费以（□收费基准价格/□收费基准价格下浮</w:t>
            </w:r>
            <w:r>
              <w:rPr>
                <w:rFonts w:hint="eastAsia" w:hAnsi="宋体" w:cs="宋体"/>
                <w:color w:val="auto"/>
                <w:sz w:val="21"/>
                <w:highlight w:val="none"/>
                <w:u w:val="single"/>
                <w:lang w:val="en-US" w:eastAsia="zh-CN"/>
              </w:rPr>
              <w:t xml:space="preserve"> </w:t>
            </w:r>
            <w:r>
              <w:rPr>
                <w:rFonts w:hint="eastAsia" w:hAnsi="宋体" w:cs="宋体"/>
                <w:color w:val="auto"/>
                <w:sz w:val="21"/>
                <w:highlight w:val="none"/>
                <w:lang w:val="en-US" w:eastAsia="zh-CN"/>
              </w:rPr>
              <w:t xml:space="preserve"> %/☑收费基准价格上浮20%）收取。</w:t>
            </w:r>
          </w:p>
          <w:p w14:paraId="44D00541">
            <w:pPr>
              <w:pStyle w:val="24"/>
              <w:snapToGrid w:val="0"/>
              <w:spacing w:line="360" w:lineRule="auto"/>
              <w:rPr>
                <w:rFonts w:hint="eastAsia" w:hAnsi="宋体" w:cs="宋体"/>
                <w:color w:val="auto"/>
                <w:sz w:val="21"/>
                <w:highlight w:val="none"/>
                <w:u w:val="single"/>
              </w:rPr>
            </w:pPr>
            <w:r>
              <w:rPr>
                <w:rFonts w:hint="eastAsia" w:hAnsi="宋体" w:cs="宋体"/>
                <w:color w:val="auto"/>
                <w:sz w:val="21"/>
                <w:highlight w:val="none"/>
                <w:lang w:eastAsia="zh-CN"/>
              </w:rPr>
              <w:t>□</w:t>
            </w: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75741CA7">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3. 采购代理费收取银行账户</w:t>
            </w:r>
          </w:p>
          <w:p w14:paraId="2A174118">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账户名称：云之龙咨询集团有限公司苍梧分公司</w:t>
            </w:r>
          </w:p>
          <w:p w14:paraId="2FCB1976">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开户银行：中信银行南宁东葛支行</w:t>
            </w:r>
          </w:p>
          <w:p w14:paraId="7BDC03C1">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银行账号：8113001013600159873</w:t>
            </w:r>
          </w:p>
        </w:tc>
      </w:tr>
      <w:tr w14:paraId="52ABE7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52EB06F">
            <w:pPr>
              <w:snapToGrid w:val="0"/>
              <w:spacing w:line="360" w:lineRule="auto"/>
              <w:jc w:val="center"/>
              <w:rPr>
                <w:rFonts w:hint="eastAsia" w:ascii="宋体" w:hAnsi="宋体"/>
                <w:color w:val="auto"/>
                <w:szCs w:val="21"/>
                <w:highlight w:val="none"/>
              </w:rPr>
            </w:pPr>
            <w:r>
              <w:rPr>
                <w:rFonts w:ascii="宋体" w:hAnsi="宋体"/>
                <w:color w:val="auto"/>
                <w:szCs w:val="21"/>
                <w:highlight w:val="none"/>
              </w:rPr>
              <w:t>40.1</w:t>
            </w:r>
          </w:p>
        </w:tc>
        <w:tc>
          <w:tcPr>
            <w:tcW w:w="8670" w:type="dxa"/>
            <w:tcBorders>
              <w:top w:val="single" w:color="auto" w:sz="4" w:space="0"/>
              <w:left w:val="single" w:color="auto" w:sz="4" w:space="0"/>
              <w:bottom w:val="single" w:color="auto" w:sz="4" w:space="0"/>
              <w:right w:val="single" w:color="auto" w:sz="4" w:space="0"/>
            </w:tcBorders>
            <w:vAlign w:val="center"/>
          </w:tcPr>
          <w:p w14:paraId="4C4252F1">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4729A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A342447">
            <w:pPr>
              <w:snapToGrid w:val="0"/>
              <w:spacing w:line="360" w:lineRule="auto"/>
              <w:jc w:val="center"/>
              <w:rPr>
                <w:rFonts w:hint="eastAsia" w:ascii="宋体" w:hAnsi="宋体"/>
                <w:color w:val="auto"/>
                <w:szCs w:val="21"/>
                <w:highlight w:val="none"/>
              </w:rPr>
            </w:pPr>
            <w:r>
              <w:rPr>
                <w:rFonts w:ascii="宋体" w:hAnsi="宋体"/>
                <w:color w:val="auto"/>
                <w:szCs w:val="21"/>
                <w:highlight w:val="none"/>
              </w:rPr>
              <w:t>40.2</w:t>
            </w:r>
          </w:p>
        </w:tc>
        <w:tc>
          <w:tcPr>
            <w:tcW w:w="8670" w:type="dxa"/>
            <w:tcBorders>
              <w:top w:val="single" w:color="auto" w:sz="4" w:space="0"/>
              <w:left w:val="single" w:color="auto" w:sz="4" w:space="0"/>
              <w:bottom w:val="single" w:color="auto" w:sz="4" w:space="0"/>
              <w:right w:val="single" w:color="auto" w:sz="4" w:space="0"/>
            </w:tcBorders>
            <w:vAlign w:val="center"/>
          </w:tcPr>
          <w:p w14:paraId="48DC32D6">
            <w:pPr>
              <w:pStyle w:val="24"/>
              <w:snapToGrid w:val="0"/>
              <w:spacing w:line="360" w:lineRule="auto"/>
              <w:rPr>
                <w:rFonts w:hint="eastAsia"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7B3E1309">
            <w:pPr>
              <w:pStyle w:val="24"/>
              <w:snapToGrid w:val="0"/>
              <w:spacing w:line="360" w:lineRule="auto"/>
              <w:rPr>
                <w:rFonts w:hint="eastAsia" w:hAnsi="宋体" w:cs="宋体"/>
                <w:bCs/>
                <w:color w:val="auto"/>
                <w:sz w:val="21"/>
                <w:highlight w:val="none"/>
              </w:rPr>
            </w:pPr>
            <w:r>
              <w:rPr>
                <w:rFonts w:hint="eastAsia" w:hAnsi="宋体" w:cs="宋体"/>
                <w:bCs/>
                <w:color w:val="auto"/>
                <w:sz w:val="21"/>
                <w:highlight w:val="none"/>
              </w:rPr>
              <w:t>2.本招标文件所称的“</w:t>
            </w:r>
            <w:r>
              <w:rPr>
                <w:rFonts w:hint="eastAsia" w:hAnsi="宋体"/>
                <w:color w:val="auto"/>
                <w:sz w:val="21"/>
                <w:highlight w:val="none"/>
              </w:rPr>
              <w:t>电子签章</w:t>
            </w:r>
            <w:r>
              <w:rPr>
                <w:rFonts w:hint="eastAsia" w:hAnsi="宋体"/>
                <w:color w:val="auto"/>
                <w:sz w:val="21"/>
                <w:highlight w:val="none"/>
                <w:lang w:eastAsia="zh-CN"/>
              </w:rPr>
              <w:t>”“</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37271118">
            <w:pPr>
              <w:pStyle w:val="24"/>
              <w:snapToGrid w:val="0"/>
              <w:spacing w:line="360" w:lineRule="auto"/>
              <w:rPr>
                <w:rFonts w:hint="eastAsia" w:hAnsi="宋体" w:cs="宋体"/>
                <w:bCs/>
                <w:color w:val="auto"/>
                <w:sz w:val="21"/>
                <w:highlight w:val="none"/>
              </w:rPr>
            </w:pPr>
            <w:r>
              <w:rPr>
                <w:rFonts w:hint="eastAsia" w:hAnsi="宋体" w:cs="宋体"/>
                <w:bCs/>
                <w:color w:val="auto"/>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17CA7495">
            <w:pPr>
              <w:pStyle w:val="24"/>
              <w:snapToGrid w:val="0"/>
              <w:spacing w:line="360" w:lineRule="auto"/>
              <w:rPr>
                <w:rFonts w:hint="eastAsia" w:hAnsi="宋体" w:cs="宋体"/>
                <w:bCs/>
                <w:color w:val="auto"/>
                <w:sz w:val="21"/>
                <w:highlight w:val="none"/>
              </w:rPr>
            </w:pPr>
            <w:r>
              <w:rPr>
                <w:rFonts w:hint="eastAsia" w:hAnsi="宋体" w:cs="宋体"/>
                <w:bCs/>
                <w:color w:val="auto"/>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7468916E">
            <w:pPr>
              <w:pStyle w:val="24"/>
              <w:snapToGrid w:val="0"/>
              <w:spacing w:line="360" w:lineRule="auto"/>
              <w:rPr>
                <w:color w:val="auto"/>
                <w:sz w:val="21"/>
                <w:highlight w:val="none"/>
              </w:rPr>
            </w:pPr>
            <w:r>
              <w:rPr>
                <w:rFonts w:hint="eastAsia" w:hAnsi="宋体" w:cs="宋体"/>
                <w:bCs/>
                <w:color w:val="auto"/>
                <w:sz w:val="21"/>
                <w:highlight w:val="none"/>
              </w:rPr>
              <w:t>5.本招标文件所称的“以上”“以下”“以内”“届满”，包括本数；所称的“不满”“超过”“以外”，不包括本数。</w:t>
            </w:r>
          </w:p>
        </w:tc>
      </w:tr>
    </w:tbl>
    <w:p w14:paraId="036525F3">
      <w:pPr>
        <w:snapToGrid w:val="0"/>
        <w:rPr>
          <w:rFonts w:hint="eastAsia" w:ascii="宋体" w:hAnsi="宋体"/>
          <w:color w:val="auto"/>
          <w:sz w:val="24"/>
          <w:szCs w:val="20"/>
          <w:highlight w:val="none"/>
        </w:rPr>
      </w:pPr>
    </w:p>
    <w:p w14:paraId="477A4191">
      <w:pPr>
        <w:snapToGrid w:val="0"/>
        <w:rPr>
          <w:rFonts w:hint="eastAsia" w:ascii="宋体" w:hAnsi="宋体"/>
          <w:color w:val="auto"/>
          <w:sz w:val="24"/>
          <w:szCs w:val="20"/>
          <w:highlight w:val="none"/>
        </w:rPr>
      </w:pPr>
    </w:p>
    <w:p w14:paraId="34889E80">
      <w:pPr>
        <w:pStyle w:val="4"/>
        <w:keepNext w:val="0"/>
        <w:keepLines w:val="0"/>
        <w:jc w:val="center"/>
        <w:rPr>
          <w:color w:val="auto"/>
          <w:highlight w:val="none"/>
        </w:rPr>
      </w:pPr>
      <w:r>
        <w:rPr>
          <w:color w:val="auto"/>
          <w:highlight w:val="none"/>
        </w:rPr>
        <w:br w:type="page"/>
      </w:r>
      <w:r>
        <w:rPr>
          <w:rFonts w:hint="eastAsia"/>
          <w:color w:val="auto"/>
          <w:highlight w:val="none"/>
        </w:rPr>
        <w:t>投标人须知正文</w:t>
      </w:r>
    </w:p>
    <w:p w14:paraId="6DA33C44">
      <w:pPr>
        <w:pStyle w:val="4"/>
        <w:keepNext w:val="0"/>
        <w:keepLines w:val="0"/>
        <w:jc w:val="center"/>
        <w:rPr>
          <w:color w:val="auto"/>
          <w:highlight w:val="none"/>
        </w:rPr>
      </w:pPr>
      <w:r>
        <w:rPr>
          <w:rFonts w:hint="eastAsia"/>
          <w:color w:val="auto"/>
          <w:highlight w:val="none"/>
        </w:rPr>
        <w:t>一、总  则</w:t>
      </w:r>
    </w:p>
    <w:p w14:paraId="3849AF45">
      <w:pPr>
        <w:pStyle w:val="5"/>
        <w:keepNext w:val="0"/>
        <w:keepLines w:val="0"/>
        <w:spacing w:before="0" w:after="0" w:line="360" w:lineRule="auto"/>
        <w:ind w:left="420" w:leftChars="200"/>
        <w:rPr>
          <w:rFonts w:hint="eastAsia" w:ascii="黑体" w:hAnsi="黑体" w:eastAsia="黑体"/>
          <w:color w:val="auto"/>
          <w:sz w:val="24"/>
          <w:highlight w:val="none"/>
        </w:rPr>
      </w:pPr>
      <w:bookmarkStart w:id="94" w:name="_Toc254970668"/>
      <w:bookmarkStart w:id="95" w:name="_Toc254970527"/>
      <w:r>
        <w:rPr>
          <w:rFonts w:hint="eastAsia" w:ascii="黑体" w:hAnsi="黑体" w:eastAsia="黑体"/>
          <w:color w:val="auto"/>
          <w:sz w:val="24"/>
          <w:highlight w:val="none"/>
        </w:rPr>
        <w:t>1.适用范围</w:t>
      </w:r>
      <w:bookmarkEnd w:id="94"/>
      <w:bookmarkEnd w:id="95"/>
    </w:p>
    <w:p w14:paraId="455DC7AF">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61A31258">
      <w:pPr>
        <w:snapToGrid w:val="0"/>
        <w:spacing w:line="360" w:lineRule="auto"/>
        <w:ind w:firstLine="420" w:firstLineChars="200"/>
        <w:jc w:val="left"/>
        <w:rPr>
          <w:rFonts w:hint="eastAsia" w:ascii="宋体" w:hAnsi="宋体" w:cs="宋体"/>
          <w:color w:val="auto"/>
          <w:spacing w:val="-6"/>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6DBEA06A">
      <w:pPr>
        <w:pStyle w:val="5"/>
        <w:keepNext w:val="0"/>
        <w:keepLines w:val="0"/>
        <w:spacing w:before="0" w:after="0" w:line="360" w:lineRule="auto"/>
        <w:ind w:left="420" w:leftChars="200"/>
        <w:rPr>
          <w:rFonts w:hint="eastAsia" w:ascii="黑体" w:hAnsi="黑体" w:eastAsia="黑体"/>
          <w:color w:val="auto"/>
          <w:sz w:val="24"/>
          <w:highlight w:val="none"/>
        </w:rPr>
      </w:pPr>
      <w:bookmarkStart w:id="96" w:name="_Toc254970669"/>
      <w:bookmarkStart w:id="97" w:name="_Toc254970528"/>
      <w:r>
        <w:rPr>
          <w:rFonts w:hint="eastAsia" w:ascii="黑体" w:hAnsi="黑体" w:eastAsia="黑体"/>
          <w:color w:val="auto"/>
          <w:sz w:val="24"/>
          <w:highlight w:val="none"/>
        </w:rPr>
        <w:t>2.定义</w:t>
      </w:r>
      <w:bookmarkEnd w:id="96"/>
      <w:bookmarkEnd w:id="97"/>
    </w:p>
    <w:p w14:paraId="32B023BD">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457CB7D6">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00CF4720">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2.3“供应商”是指向采购人提供货物、工程或者服务的法人、其他组织或者自然人。</w:t>
      </w:r>
    </w:p>
    <w:p w14:paraId="5F6FAA4E">
      <w:pPr>
        <w:pStyle w:val="6"/>
        <w:spacing w:line="360" w:lineRule="auto"/>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0D41A5F9">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2.5“货物”是指各种形态和种类的物品，包括原材料、燃料、设备、产品等。</w:t>
      </w:r>
    </w:p>
    <w:p w14:paraId="3F42652F">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2.6“售后服务” 是指商品出售以后所提供的各种服务，包含但不限于投标人须承担的备品备件、包装、运输、装卸、保险、货到就位以及安装、调试、培训、质保以及其他各种服务。</w:t>
      </w:r>
    </w:p>
    <w:p w14:paraId="74CD3E4C">
      <w:pPr>
        <w:pStyle w:val="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2.7“书面形式”是指合同书、信件和数据电文（包括电报、电传、传真、电子数据交换和电子邮件）等可以有形地表现所载内容的形式。</w:t>
      </w:r>
    </w:p>
    <w:p w14:paraId="20783252">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2.8“实质性要求”是指招标文件中已经指明不满足则投标无效的条款，或者不能负偏离的条款，或者采购需求中带“▲”的条款。</w:t>
      </w:r>
    </w:p>
    <w:p w14:paraId="1EF4B955">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 xml:space="preserve">2.9 </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5D39497F">
      <w:pPr>
        <w:snapToGrid w:val="0"/>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2.10</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1AA00B5D">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s="宋体"/>
          <w:color w:val="auto"/>
          <w:szCs w:val="21"/>
          <w:highlight w:val="none"/>
        </w:rPr>
        <w:t>“允许负偏离的条款”是指采购需求中的不属于“实质性要求”的条款。</w:t>
      </w:r>
      <w:bookmarkStart w:id="98" w:name="_Toc254970670"/>
      <w:bookmarkStart w:id="99" w:name="_Toc254970529"/>
    </w:p>
    <w:p w14:paraId="52BD72A4">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w:t>
      </w:r>
      <w:bookmarkEnd w:id="98"/>
      <w:bookmarkEnd w:id="99"/>
      <w:r>
        <w:rPr>
          <w:rFonts w:hint="eastAsia" w:ascii="黑体" w:hAnsi="黑体" w:eastAsia="黑体"/>
          <w:color w:val="auto"/>
          <w:sz w:val="24"/>
          <w:highlight w:val="none"/>
        </w:rPr>
        <w:t>投标人的资格要求</w:t>
      </w:r>
    </w:p>
    <w:p w14:paraId="52DC01FC">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投标人的资格要求详见“投标人须知前附表”。</w:t>
      </w:r>
    </w:p>
    <w:p w14:paraId="7C4FD515">
      <w:pPr>
        <w:pStyle w:val="5"/>
        <w:keepNext w:val="0"/>
        <w:keepLines w:val="0"/>
        <w:spacing w:before="0" w:after="0" w:line="360" w:lineRule="auto"/>
        <w:ind w:left="420" w:leftChars="200"/>
        <w:rPr>
          <w:rFonts w:hint="eastAsia" w:ascii="黑体" w:hAnsi="黑体" w:eastAsia="黑体"/>
          <w:color w:val="auto"/>
          <w:sz w:val="24"/>
          <w:highlight w:val="none"/>
        </w:rPr>
      </w:pPr>
      <w:bookmarkStart w:id="100" w:name="_Toc254970530"/>
      <w:bookmarkStart w:id="101" w:name="_Toc254970671"/>
      <w:r>
        <w:rPr>
          <w:rFonts w:hint="eastAsia" w:ascii="黑体" w:hAnsi="黑体" w:eastAsia="黑体"/>
          <w:color w:val="auto"/>
          <w:sz w:val="24"/>
          <w:highlight w:val="none"/>
        </w:rPr>
        <w:t>4.投标委托</w:t>
      </w:r>
      <w:bookmarkEnd w:id="100"/>
      <w:bookmarkEnd w:id="101"/>
    </w:p>
    <w:p w14:paraId="7A639124">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73DE86F8">
      <w:pPr>
        <w:pStyle w:val="5"/>
        <w:keepNext w:val="0"/>
        <w:keepLines w:val="0"/>
        <w:spacing w:before="0" w:after="0" w:line="360" w:lineRule="auto"/>
        <w:ind w:left="420" w:leftChars="200"/>
        <w:rPr>
          <w:rFonts w:hint="eastAsia" w:ascii="黑体" w:hAnsi="黑体" w:eastAsia="黑体"/>
          <w:color w:val="auto"/>
          <w:sz w:val="24"/>
          <w:highlight w:val="none"/>
        </w:rPr>
      </w:pPr>
      <w:bookmarkStart w:id="102" w:name="_5.投标费用"/>
      <w:bookmarkEnd w:id="102"/>
      <w:bookmarkStart w:id="103" w:name="_Toc254970531"/>
      <w:bookmarkStart w:id="104" w:name="_Toc254970672"/>
      <w:r>
        <w:rPr>
          <w:rFonts w:hint="eastAsia" w:ascii="黑体" w:hAnsi="黑体" w:eastAsia="黑体"/>
          <w:color w:val="auto"/>
          <w:sz w:val="24"/>
          <w:highlight w:val="none"/>
        </w:rPr>
        <w:t>5.投标费用</w:t>
      </w:r>
      <w:bookmarkEnd w:id="103"/>
      <w:bookmarkEnd w:id="104"/>
    </w:p>
    <w:p w14:paraId="159DA7DB">
      <w:pPr>
        <w:snapToGrid w:val="0"/>
        <w:spacing w:line="360" w:lineRule="auto"/>
        <w:ind w:firstLine="420" w:firstLineChars="200"/>
        <w:jc w:val="left"/>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753C32E4">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30EDFA6F">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2865E91F">
      <w:pPr>
        <w:snapToGrid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046195C8">
      <w:pPr>
        <w:pStyle w:val="5"/>
        <w:keepNext w:val="0"/>
        <w:keepLines w:val="0"/>
        <w:spacing w:before="0" w:after="0" w:line="360" w:lineRule="auto"/>
        <w:ind w:firstLine="424" w:firstLineChars="202"/>
        <w:rPr>
          <w:rFonts w:hint="eastAsia" w:ascii="黑体" w:hAnsi="黑体" w:eastAsia="黑体"/>
          <w:color w:val="auto"/>
          <w:sz w:val="24"/>
          <w:highlight w:val="none"/>
        </w:rPr>
      </w:pPr>
      <w:r>
        <w:rPr>
          <w:rFonts w:hint="eastAsia" w:ascii="宋体" w:hAnsi="宋体"/>
          <w:b w:val="0"/>
          <w:bCs/>
          <w:color w:val="auto"/>
          <w:sz w:val="21"/>
          <w:szCs w:val="21"/>
          <w:highlight w:val="none"/>
        </w:rPr>
        <w:t>6.3根据《政府采购促进中小企业发展管理办法》（财库〔2020〕46号）及《广西壮族自治区财政厅关于持续优化政府采购营商环境推动高质量发展的通知》（桂财采</w:t>
      </w:r>
      <w:r>
        <w:rPr>
          <w:rFonts w:hint="eastAsia" w:ascii="宋体" w:hAnsi="宋体"/>
          <w:b w:val="0"/>
          <w:bCs/>
          <w:color w:val="auto"/>
          <w:sz w:val="21"/>
          <w:szCs w:val="21"/>
          <w:highlight w:val="none"/>
          <w:lang w:eastAsia="zh-CN"/>
        </w:rPr>
        <w:t>〔2024〕55号</w:t>
      </w:r>
      <w:r>
        <w:rPr>
          <w:rFonts w:hint="eastAsia" w:ascii="宋体" w:hAnsi="宋体"/>
          <w:b w:val="0"/>
          <w:bCs/>
          <w:color w:val="auto"/>
          <w:sz w:val="21"/>
          <w:szCs w:val="21"/>
          <w:highlight w:val="none"/>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4D424DB9">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7122F350">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7.1本项目不允许转包。</w:t>
      </w:r>
    </w:p>
    <w:p w14:paraId="2CE30565">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74BDB8B9">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2EB985FF">
      <w:pPr>
        <w:pStyle w:val="5"/>
        <w:keepNext w:val="0"/>
        <w:keepLines w:val="0"/>
        <w:spacing w:before="0" w:after="0" w:line="360" w:lineRule="auto"/>
        <w:ind w:left="420" w:leftChars="200"/>
        <w:rPr>
          <w:rFonts w:hint="eastAsia" w:ascii="黑体" w:hAnsi="黑体" w:eastAsia="黑体"/>
          <w:color w:val="auto"/>
          <w:sz w:val="24"/>
          <w:highlight w:val="none"/>
        </w:rPr>
      </w:pPr>
      <w:bookmarkStart w:id="105" w:name="_Toc254970673"/>
      <w:bookmarkStart w:id="106" w:name="_Toc254970532"/>
      <w:r>
        <w:rPr>
          <w:rFonts w:hint="eastAsia" w:ascii="黑体" w:hAnsi="黑体" w:eastAsia="黑体"/>
          <w:color w:val="auto"/>
          <w:sz w:val="24"/>
          <w:highlight w:val="none"/>
        </w:rPr>
        <w:t>8.特别说明</w:t>
      </w:r>
      <w:bookmarkEnd w:id="105"/>
      <w:bookmarkEnd w:id="106"/>
    </w:p>
    <w:p w14:paraId="2449D695">
      <w:pPr>
        <w:pStyle w:val="5"/>
        <w:keepNext w:val="0"/>
        <w:keepLines w:val="0"/>
        <w:spacing w:before="0" w:after="0" w:line="360" w:lineRule="auto"/>
        <w:ind w:firstLine="420" w:firstLineChars="200"/>
        <w:rPr>
          <w:rFonts w:hint="eastAsia" w:ascii="宋体" w:hAnsi="宋体"/>
          <w:b w:val="0"/>
          <w:color w:val="auto"/>
          <w:sz w:val="21"/>
          <w:szCs w:val="21"/>
          <w:highlight w:val="none"/>
        </w:rPr>
      </w:pPr>
      <w:bookmarkStart w:id="107" w:name="_8.1提供相同品牌产品且通过资格审查、符合性审查的不同投标人参加同一合"/>
      <w:bookmarkEnd w:id="107"/>
      <w:r>
        <w:rPr>
          <w:rFonts w:ascii="宋体" w:hAnsi="宋体"/>
          <w:b w:val="0"/>
          <w:color w:val="auto"/>
          <w:sz w:val="21"/>
          <w:szCs w:val="21"/>
          <w:highlight w:val="none"/>
        </w:rPr>
        <w:fldChar w:fldCharType="begin"/>
      </w:r>
      <w:r>
        <w:rPr>
          <w:rFonts w:ascii="宋体" w:hAnsi="宋体"/>
          <w:b w:val="0"/>
          <w:color w:val="auto"/>
          <w:sz w:val="21"/>
          <w:szCs w:val="21"/>
          <w:highlight w:val="none"/>
        </w:rPr>
        <w:instrText xml:space="preserve"> HYPERLINK  \l "_8.1" </w:instrText>
      </w:r>
      <w:r>
        <w:rPr>
          <w:rFonts w:ascii="宋体" w:hAnsi="宋体"/>
          <w:b w:val="0"/>
          <w:color w:val="auto"/>
          <w:sz w:val="21"/>
          <w:szCs w:val="21"/>
          <w:highlight w:val="none"/>
        </w:rPr>
        <w:fldChar w:fldCharType="separate"/>
      </w:r>
      <w:r>
        <w:rPr>
          <w:rFonts w:hint="eastAsia" w:ascii="宋体" w:hAnsi="宋体"/>
          <w:b w:val="0"/>
          <w:color w:val="auto"/>
          <w:sz w:val="21"/>
          <w:szCs w:val="21"/>
          <w:highlight w:val="none"/>
        </w:rPr>
        <w:t>8.1</w:t>
      </w:r>
      <w:r>
        <w:rPr>
          <w:rFonts w:ascii="宋体" w:hAnsi="宋体"/>
          <w:b w:val="0"/>
          <w:color w:val="auto"/>
          <w:sz w:val="21"/>
          <w:szCs w:val="21"/>
          <w:highlight w:val="none"/>
        </w:rPr>
        <w:fldChar w:fldCharType="end"/>
      </w:r>
      <w:r>
        <w:rPr>
          <w:rFonts w:hint="eastAsia" w:ascii="宋体" w:hAnsi="宋体"/>
          <w:b w:val="0"/>
          <w:color w:val="auto"/>
          <w:sz w:val="21"/>
          <w:szCs w:val="21"/>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olor w:val="auto"/>
          <w:sz w:val="22"/>
          <w:szCs w:val="22"/>
          <w:highlight w:val="none"/>
        </w:rPr>
        <w:t>其他投标无效。</w:t>
      </w:r>
    </w:p>
    <w:p w14:paraId="047D422D">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采用综合评分法的采购项目，提供相同品牌产品且通过资格审查、符合性审查的不同投标人参加同一合同项下投标的，按一家投标人计算，评审后得分最高的同品牌投标人获得中标供应商推荐资格；评审得分相同的，由采购人或者采购人委托评标委员会按照“投标人须知前附表”规定的方式确定一个投标人获得中标供应商推荐资格，其他同品牌投标人不作为中标候选人。</w:t>
      </w:r>
    </w:p>
    <w:p w14:paraId="1F58F9D0">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非单一产品采购项目，多家投标人提供的核心产品品牌相同的，</w:t>
      </w:r>
      <w:r>
        <w:rPr>
          <w:rFonts w:hint="eastAsia" w:hAnsi="宋体"/>
          <w:color w:val="auto"/>
          <w:sz w:val="22"/>
          <w:szCs w:val="22"/>
          <w:highlight w:val="none"/>
        </w:rPr>
        <w:t>按前两款规定处理</w:t>
      </w:r>
      <w:r>
        <w:rPr>
          <w:rFonts w:hint="eastAsia" w:hAnsi="宋体"/>
          <w:color w:val="auto"/>
          <w:kern w:val="2"/>
          <w:sz w:val="21"/>
          <w:highlight w:val="none"/>
        </w:rPr>
        <w:t>。</w:t>
      </w:r>
    </w:p>
    <w:p w14:paraId="6C2238EF">
      <w:pPr>
        <w:pStyle w:val="5"/>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8.2如果本招标文件要求提供投标人或制造商的资格、信誉、荣誉、业绩与企业认证等材料的，资格、信誉、荣誉、业绩与企业认证等必须为投标人或者制造商所拥有或自身获得 。</w:t>
      </w:r>
    </w:p>
    <w:p w14:paraId="52E3B449">
      <w:pPr>
        <w:pStyle w:val="5"/>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8.3投标人应仔细阅读招标文件的所有内容，按照招标文件的要求提交投标文件，并对所提供的全部资料的真实性承担法律责任。</w:t>
      </w:r>
    </w:p>
    <w:p w14:paraId="1421D1BE">
      <w:pPr>
        <w:pStyle w:val="5"/>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8.4投标人在投标活动中提供任何虚假材料，将报监管部门查处；中标后发现的，中标供应商须依照《中华人民共和国消费者权益保护法》规定赔偿采购人，且民事赔偿并不免除违法投标人的行政与刑事责任。</w:t>
      </w:r>
    </w:p>
    <w:p w14:paraId="2F36C670">
      <w:pPr>
        <w:pStyle w:val="5"/>
        <w:keepNext w:val="0"/>
        <w:keepLines w:val="0"/>
        <w:spacing w:before="0" w:after="0" w:line="360" w:lineRule="auto"/>
        <w:ind w:left="420" w:leftChars="200"/>
        <w:rPr>
          <w:rFonts w:hint="eastAsia"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67328F11">
      <w:pPr>
        <w:pStyle w:val="5"/>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供应商</w:t>
      </w:r>
      <w:r>
        <w:rPr>
          <w:rFonts w:ascii="宋体" w:hAnsi="宋体"/>
          <w:b w:val="0"/>
          <w:color w:val="auto"/>
          <w:sz w:val="21"/>
          <w:szCs w:val="21"/>
          <w:highlight w:val="none"/>
        </w:rPr>
        <w:t>有下列利害关系之一的，应当回避：</w:t>
      </w:r>
    </w:p>
    <w:p w14:paraId="6C57292C">
      <w:pPr>
        <w:pStyle w:val="24"/>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供应商</w:t>
      </w:r>
      <w:r>
        <w:rPr>
          <w:rFonts w:hAnsi="宋体"/>
          <w:color w:val="auto"/>
          <w:kern w:val="2"/>
          <w:sz w:val="21"/>
          <w:highlight w:val="none"/>
        </w:rPr>
        <w:t>存在劳动关系；</w:t>
      </w:r>
    </w:p>
    <w:p w14:paraId="1679F50F">
      <w:pPr>
        <w:pStyle w:val="24"/>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供应商</w:t>
      </w:r>
      <w:r>
        <w:rPr>
          <w:rFonts w:hAnsi="宋体"/>
          <w:color w:val="auto"/>
          <w:kern w:val="2"/>
          <w:sz w:val="21"/>
          <w:highlight w:val="none"/>
        </w:rPr>
        <w:t>的董事、监事；</w:t>
      </w:r>
    </w:p>
    <w:p w14:paraId="419E02A5">
      <w:pPr>
        <w:pStyle w:val="24"/>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供应商</w:t>
      </w:r>
      <w:r>
        <w:rPr>
          <w:rFonts w:hAnsi="宋体"/>
          <w:color w:val="auto"/>
          <w:kern w:val="2"/>
          <w:sz w:val="21"/>
          <w:highlight w:val="none"/>
        </w:rPr>
        <w:t>的控股股东或者实际控制人；</w:t>
      </w:r>
    </w:p>
    <w:p w14:paraId="0322C34B">
      <w:pPr>
        <w:pStyle w:val="24"/>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的法定代表人或者负责人有夫妻、直系血亲、三代以内旁系血亲或者近姻亲关系；</w:t>
      </w:r>
    </w:p>
    <w:p w14:paraId="78DE62F1">
      <w:pPr>
        <w:pStyle w:val="24"/>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有其他可能影响政府采购活动公平、公正进行的关系。</w:t>
      </w:r>
    </w:p>
    <w:p w14:paraId="5298AB1C">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供应商</w:t>
      </w:r>
      <w:r>
        <w:rPr>
          <w:rFonts w:hAnsi="宋体"/>
          <w:color w:val="auto"/>
          <w:kern w:val="2"/>
          <w:sz w:val="21"/>
          <w:highlight w:val="none"/>
        </w:rPr>
        <w:t>认为采购人员及相关人员与其他</w:t>
      </w:r>
      <w:r>
        <w:rPr>
          <w:rFonts w:hint="eastAsia" w:hAnsi="宋体"/>
          <w:color w:val="auto"/>
          <w:kern w:val="2"/>
          <w:sz w:val="21"/>
          <w:highlight w:val="none"/>
        </w:rPr>
        <w:t>供应商</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63E2CC85">
      <w:pPr>
        <w:pStyle w:val="5"/>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0A20ACA9">
      <w:pPr>
        <w:snapToGrid w:val="0"/>
        <w:spacing w:line="360" w:lineRule="auto"/>
        <w:ind w:left="2" w:leftChars="1" w:firstLine="422" w:firstLineChars="200"/>
        <w:rPr>
          <w:rFonts w:hint="eastAsia" w:hAnsi="宋体"/>
          <w:b/>
          <w:color w:val="auto"/>
          <w:highlight w:val="none"/>
        </w:rPr>
      </w:pPr>
      <w:r>
        <w:rPr>
          <w:rFonts w:hint="eastAsia" w:hAnsi="宋体"/>
          <w:b/>
          <w:color w:val="auto"/>
          <w:highlight w:val="none"/>
        </w:rPr>
        <w:t>（1）不同投标人的投标文件由同一单位或者个人编制</w:t>
      </w:r>
      <w:r>
        <w:rPr>
          <w:rFonts w:hint="eastAsia" w:ascii="宋体" w:hAnsi="宋体"/>
          <w:b/>
          <w:color w:val="auto"/>
          <w:szCs w:val="21"/>
          <w:highlight w:val="none"/>
        </w:rPr>
        <w:t xml:space="preserve">，或不同投标人报名的IP地址一致的；或不同投标人投标设备信息（包括但不限于：IP地址、MAC地址、硬盘号、CPU号、主板号）一致的； </w:t>
      </w:r>
      <w:r>
        <w:rPr>
          <w:rFonts w:hint="eastAsia" w:hAnsi="宋体"/>
          <w:b/>
          <w:color w:val="auto"/>
          <w:highlight w:val="none"/>
        </w:rPr>
        <w:t xml:space="preserve"> </w:t>
      </w:r>
    </w:p>
    <w:p w14:paraId="327A95A0">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2F5658E5">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6208C52A">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49E3FA54">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（5）不同投标人的投标文件相互混装；</w:t>
      </w:r>
    </w:p>
    <w:p w14:paraId="4D029674">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23A5E6C5">
      <w:pPr>
        <w:pStyle w:val="5"/>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264E7366">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（1）供应商直接或者间接从采购人或者采购代理机构处获得其他供应商的相关信息并修改其投标文件或者响应文件；</w:t>
      </w:r>
    </w:p>
    <w:p w14:paraId="13A0B50D">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（2）供应商按照采购人或者采购代理机构的授意撤换、修改投标文件或者响应文件；</w:t>
      </w:r>
    </w:p>
    <w:p w14:paraId="2F026B3D">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（3）供应商之间协商报价、技术方案等投标文件或者响应文件的实质性内容；</w:t>
      </w:r>
    </w:p>
    <w:p w14:paraId="3F0374B9">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（4）属于同一集团、协会、商会等组织成员的供应商按照该组织要求协同参加政府采购活动；</w:t>
      </w:r>
    </w:p>
    <w:p w14:paraId="38E9AA1E">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76EB507A">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（6）供应商之间商定部分供应商放弃参加政府采购活动或者放弃中标；</w:t>
      </w:r>
    </w:p>
    <w:p w14:paraId="6D0523AD">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（7）供应商与采购人或者采购代理机构之间、供应商相互之间，为谋求特定供应商中标或者排斥其他供应商的其他串通行为。</w:t>
      </w:r>
    </w:p>
    <w:p w14:paraId="1ADD26C9">
      <w:pPr>
        <w:pStyle w:val="24"/>
        <w:snapToGrid w:val="0"/>
        <w:spacing w:line="360" w:lineRule="auto"/>
        <w:ind w:left="2" w:leftChars="1" w:firstLine="422" w:firstLineChars="200"/>
        <w:rPr>
          <w:rFonts w:hint="eastAsia" w:hAnsi="宋体"/>
          <w:b/>
          <w:color w:val="auto"/>
          <w:kern w:val="2"/>
          <w:sz w:val="21"/>
          <w:highlight w:val="none"/>
        </w:rPr>
      </w:pPr>
    </w:p>
    <w:p w14:paraId="0A6ECBA5">
      <w:pPr>
        <w:pStyle w:val="4"/>
        <w:keepNext w:val="0"/>
        <w:keepLines w:val="0"/>
        <w:jc w:val="center"/>
        <w:rPr>
          <w:color w:val="auto"/>
          <w:highlight w:val="none"/>
        </w:rPr>
      </w:pPr>
      <w:bookmarkStart w:id="108" w:name="_Toc254970534"/>
      <w:bookmarkStart w:id="109" w:name="_Toc254970675"/>
      <w:r>
        <w:rPr>
          <w:rFonts w:hint="eastAsia"/>
          <w:color w:val="auto"/>
          <w:highlight w:val="none"/>
        </w:rPr>
        <w:t>二、招标文件</w:t>
      </w:r>
      <w:bookmarkEnd w:id="108"/>
      <w:bookmarkEnd w:id="109"/>
    </w:p>
    <w:p w14:paraId="2347C489">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4CFB2364">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（1）招标公告；</w:t>
      </w:r>
    </w:p>
    <w:p w14:paraId="1FD9C076">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（2）采购需求； </w:t>
      </w:r>
    </w:p>
    <w:p w14:paraId="7BFE9D82">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（3）投标人须知；</w:t>
      </w:r>
    </w:p>
    <w:p w14:paraId="38A4ACF2">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（4）评标方法及评标标准；</w:t>
      </w:r>
    </w:p>
    <w:p w14:paraId="4ACE73C2">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（5）拟签订的合同文本；</w:t>
      </w:r>
    </w:p>
    <w:p w14:paraId="368C6C41">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（6）投标文件格式。</w:t>
      </w:r>
    </w:p>
    <w:p w14:paraId="1A43975A">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4F99D873">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DE40852">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F8AD28E">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1.2</w:t>
      </w:r>
      <w:bookmarkStart w:id="110" w:name="_Hlk53134511"/>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110"/>
    <w:p w14:paraId="5BCDCC5B">
      <w:pPr>
        <w:pStyle w:val="4"/>
        <w:keepNext w:val="0"/>
        <w:keepLines w:val="0"/>
        <w:jc w:val="center"/>
        <w:rPr>
          <w:color w:val="auto"/>
          <w:highlight w:val="none"/>
        </w:rPr>
      </w:pPr>
      <w:bookmarkStart w:id="111" w:name="_Toc254970535"/>
      <w:bookmarkStart w:id="112" w:name="_Toc254970676"/>
      <w:r>
        <w:rPr>
          <w:rFonts w:hint="eastAsia"/>
          <w:color w:val="auto"/>
          <w:highlight w:val="none"/>
        </w:rPr>
        <w:t>三、投标文件的编制</w:t>
      </w:r>
      <w:bookmarkEnd w:id="111"/>
      <w:bookmarkEnd w:id="112"/>
    </w:p>
    <w:p w14:paraId="166EF6BB">
      <w:pPr>
        <w:pStyle w:val="5"/>
        <w:keepNext w:val="0"/>
        <w:keepLines w:val="0"/>
        <w:spacing w:before="0" w:after="0" w:line="360" w:lineRule="auto"/>
        <w:ind w:left="420" w:leftChars="200"/>
        <w:rPr>
          <w:rFonts w:hint="eastAsia" w:ascii="黑体" w:hAnsi="黑体" w:eastAsia="黑体"/>
          <w:color w:val="auto"/>
          <w:sz w:val="24"/>
          <w:highlight w:val="none"/>
        </w:rPr>
      </w:pPr>
      <w:bookmarkStart w:id="113" w:name="_Toc254970536"/>
      <w:bookmarkStart w:id="114" w:name="_Toc254970677"/>
      <w:r>
        <w:rPr>
          <w:rFonts w:hint="eastAsia" w:ascii="黑体" w:hAnsi="黑体" w:eastAsia="黑体"/>
          <w:color w:val="auto"/>
          <w:sz w:val="24"/>
          <w:highlight w:val="none"/>
        </w:rPr>
        <w:t>12.投标文件的编制原则</w:t>
      </w:r>
    </w:p>
    <w:p w14:paraId="03F0B1A8">
      <w:pPr>
        <w:snapToGrid w:val="0"/>
        <w:spacing w:line="360" w:lineRule="auto"/>
        <w:ind w:firstLine="420"/>
        <w:jc w:val="left"/>
        <w:rPr>
          <w:rFonts w:hint="eastAsia"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4CE46535">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113"/>
      <w:bookmarkEnd w:id="114"/>
    </w:p>
    <w:p w14:paraId="2269B0FA">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投标文件由报价文件、资格证明文件、商务及技术文件三部分组成。</w:t>
      </w:r>
    </w:p>
    <w:p w14:paraId="0574F9E0">
      <w:pPr>
        <w:pStyle w:val="5"/>
        <w:keepNext w:val="0"/>
        <w:keepLines w:val="0"/>
        <w:spacing w:before="0" w:after="0" w:line="360" w:lineRule="auto"/>
        <w:ind w:left="420" w:leftChars="200"/>
        <w:rPr>
          <w:rFonts w:hint="eastAsia" w:ascii="宋体" w:hAnsi="宋体"/>
          <w:b w:val="0"/>
          <w:color w:val="auto"/>
          <w:sz w:val="21"/>
          <w:szCs w:val="21"/>
          <w:highlight w:val="none"/>
        </w:rPr>
      </w:pPr>
      <w:bookmarkStart w:id="115" w:name="_13.1报价文件:_具体材料见“投标人须知前附表”。"/>
      <w:bookmarkEnd w:id="115"/>
      <w:r>
        <w:rPr>
          <w:rFonts w:hint="eastAsia" w:ascii="宋体" w:hAnsi="宋体"/>
          <w:b w:val="0"/>
          <w:color w:val="auto"/>
          <w:sz w:val="21"/>
          <w:szCs w:val="21"/>
          <w:highlight w:val="none"/>
        </w:rPr>
        <w:t>（1）报价文件：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3D890798">
      <w:pPr>
        <w:pStyle w:val="5"/>
        <w:keepNext w:val="0"/>
        <w:keepLines w:val="0"/>
        <w:spacing w:before="0" w:after="0" w:line="360" w:lineRule="auto"/>
        <w:ind w:left="420" w:leftChars="200"/>
        <w:rPr>
          <w:rFonts w:hint="eastAsia" w:ascii="宋体" w:hAnsi="宋体"/>
          <w:b w:val="0"/>
          <w:color w:val="auto"/>
          <w:sz w:val="21"/>
          <w:szCs w:val="21"/>
          <w:highlight w:val="none"/>
        </w:rPr>
      </w:pPr>
      <w:bookmarkStart w:id="116" w:name="_13.2资格证明文件：具体材料见“投标人须知前附表”。"/>
      <w:bookmarkEnd w:id="116"/>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7BE3A23A">
      <w:pPr>
        <w:pStyle w:val="5"/>
        <w:keepNext w:val="0"/>
        <w:keepLines w:val="0"/>
        <w:spacing w:before="0" w:after="0" w:line="360" w:lineRule="auto"/>
        <w:ind w:left="420" w:leftChars="200"/>
        <w:rPr>
          <w:rFonts w:hint="eastAsia" w:ascii="宋体" w:hAnsi="宋体"/>
          <w:b w:val="0"/>
          <w:color w:val="auto"/>
          <w:sz w:val="21"/>
          <w:szCs w:val="21"/>
          <w:highlight w:val="none"/>
        </w:rPr>
      </w:pPr>
      <w:bookmarkStart w:id="117" w:name="_13.3商务文件:_具体材料见“投标人须知前附表”。"/>
      <w:bookmarkEnd w:id="117"/>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）商务及技术文件：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20684746">
      <w:pPr>
        <w:pStyle w:val="5"/>
        <w:keepNext w:val="0"/>
        <w:keepLines w:val="0"/>
        <w:spacing w:before="0" w:after="0" w:line="360" w:lineRule="auto"/>
        <w:ind w:left="420" w:leftChars="200"/>
        <w:rPr>
          <w:rFonts w:hint="eastAsia" w:ascii="黑体" w:hAnsi="黑体" w:eastAsia="黑体"/>
          <w:color w:val="auto"/>
          <w:sz w:val="24"/>
          <w:highlight w:val="none"/>
        </w:rPr>
      </w:pPr>
      <w:bookmarkStart w:id="118" w:name="_13.5投标文件电子版：具体材料见“投标人须知前附表”。"/>
      <w:bookmarkEnd w:id="118"/>
      <w:bookmarkStart w:id="119" w:name="_13.4技术文件：具体材料见“投标人须知前附表”。"/>
      <w:bookmarkEnd w:id="119"/>
      <w:bookmarkStart w:id="120" w:name="_Toc254970537"/>
      <w:bookmarkStart w:id="121" w:name="_Toc254970678"/>
      <w:r>
        <w:rPr>
          <w:rFonts w:hint="eastAsia" w:ascii="黑体" w:hAnsi="黑体" w:eastAsia="黑体"/>
          <w:color w:val="auto"/>
          <w:sz w:val="24"/>
          <w:highlight w:val="none"/>
        </w:rPr>
        <w:t>14.投标文件的语言及计量</w:t>
      </w:r>
      <w:bookmarkEnd w:id="120"/>
      <w:bookmarkEnd w:id="121"/>
    </w:p>
    <w:p w14:paraId="031D015D">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14.1语言文字</w:t>
      </w:r>
    </w:p>
    <w:p w14:paraId="0734EFFA">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w:t>
      </w:r>
      <w:r>
        <w:rPr>
          <w:rFonts w:hint="eastAsia" w:ascii="宋体" w:hAnsi="宋体"/>
          <w:b w:val="0"/>
          <w:color w:val="auto"/>
          <w:sz w:val="21"/>
          <w:szCs w:val="21"/>
          <w:highlight w:val="none"/>
          <w:lang w:val="en-US" w:eastAsia="zh-CN"/>
        </w:rPr>
        <w:t>准</w:t>
      </w:r>
      <w:r>
        <w:rPr>
          <w:rFonts w:hint="eastAsia" w:ascii="宋体" w:hAnsi="宋体"/>
          <w:b w:val="0"/>
          <w:color w:val="auto"/>
          <w:sz w:val="21"/>
          <w:szCs w:val="21"/>
          <w:highlight w:val="none"/>
        </w:rPr>
        <w:t>。对不同文字文本投标文件的解释发生异议的，以中文文本为准。</w:t>
      </w:r>
    </w:p>
    <w:p w14:paraId="6D277E4B">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0E104FCA">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olor w:val="auto"/>
          <w:sz w:val="21"/>
          <w:szCs w:val="21"/>
          <w:highlight w:val="none"/>
        </w:rPr>
        <w:t>否则视同未响应。</w:t>
      </w:r>
    </w:p>
    <w:p w14:paraId="2284199C">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5D010C7F">
      <w:pPr>
        <w:pStyle w:val="24"/>
        <w:snapToGrid w:val="0"/>
        <w:spacing w:line="360" w:lineRule="auto"/>
        <w:ind w:firstLine="420" w:firstLineChars="200"/>
        <w:jc w:val="left"/>
        <w:rPr>
          <w:rFonts w:hint="eastAsia"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4EF120CF">
      <w:pPr>
        <w:pStyle w:val="5"/>
        <w:keepNext w:val="0"/>
        <w:keepLines w:val="0"/>
        <w:spacing w:before="0" w:after="0" w:line="360" w:lineRule="auto"/>
        <w:ind w:left="420" w:leftChars="200"/>
        <w:rPr>
          <w:rFonts w:hint="eastAsia" w:ascii="黑体" w:hAnsi="黑体" w:eastAsia="黑体"/>
          <w:color w:val="auto"/>
          <w:sz w:val="24"/>
          <w:highlight w:val="none"/>
        </w:rPr>
      </w:pPr>
      <w:bookmarkStart w:id="122" w:name="_Toc254970538"/>
      <w:bookmarkStart w:id="123" w:name="_Toc254970679"/>
      <w:r>
        <w:rPr>
          <w:rFonts w:hint="eastAsia" w:ascii="黑体" w:hAnsi="黑体" w:eastAsia="黑体"/>
          <w:color w:val="auto"/>
          <w:sz w:val="24"/>
          <w:highlight w:val="none"/>
        </w:rPr>
        <w:t>16.投标报价</w:t>
      </w:r>
      <w:bookmarkEnd w:id="122"/>
      <w:bookmarkEnd w:id="123"/>
    </w:p>
    <w:p w14:paraId="4009A0B8">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4963DEF5">
      <w:pPr>
        <w:pStyle w:val="5"/>
        <w:keepNext w:val="0"/>
        <w:keepLines w:val="0"/>
        <w:spacing w:before="0" w:after="0" w:line="360" w:lineRule="auto"/>
        <w:ind w:left="420" w:leftChars="200"/>
        <w:rPr>
          <w:rFonts w:hint="eastAsia" w:ascii="宋体" w:hAnsi="宋体"/>
          <w:b w:val="0"/>
          <w:color w:val="auto"/>
          <w:sz w:val="21"/>
          <w:szCs w:val="21"/>
          <w:highlight w:val="none"/>
        </w:rPr>
      </w:pPr>
      <w:bookmarkStart w:id="124" w:name="_16.2投标报价具体定义见投标人须知前附表。"/>
      <w:bookmarkEnd w:id="124"/>
      <w:r>
        <w:rPr>
          <w:rFonts w:hint="eastAsia" w:ascii="宋体" w:hAnsi="宋体"/>
          <w:b w:val="0"/>
          <w:color w:val="auto"/>
          <w:sz w:val="21"/>
          <w:szCs w:val="21"/>
          <w:highlight w:val="none"/>
        </w:rPr>
        <w:t>16.2投标报价具体包括内容详见“投标人须知前附表”。</w:t>
      </w:r>
    </w:p>
    <w:p w14:paraId="0E5F7CFC">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472FF027">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248CCAFF">
      <w:pPr>
        <w:pStyle w:val="5"/>
        <w:keepNext w:val="0"/>
        <w:keepLines w:val="0"/>
        <w:spacing w:before="0" w:after="0" w:line="360" w:lineRule="auto"/>
        <w:ind w:firstLine="420" w:firstLineChars="200"/>
        <w:rPr>
          <w:rFonts w:hint="eastAsia" w:ascii="宋体" w:hAnsi="宋体"/>
          <w:b w:val="0"/>
          <w:color w:val="auto"/>
          <w:sz w:val="21"/>
          <w:szCs w:val="21"/>
          <w:highlight w:val="none"/>
        </w:rPr>
      </w:pPr>
      <w:bookmarkStart w:id="125" w:name="_17.1投标有效期应按“投标人须知中的前附表”规定的期限。"/>
      <w:bookmarkEnd w:id="125"/>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55759D6A">
      <w:pPr>
        <w:pStyle w:val="5"/>
        <w:keepNext w:val="0"/>
        <w:keepLines w:val="0"/>
        <w:spacing w:before="0" w:after="0" w:line="360" w:lineRule="auto"/>
        <w:ind w:firstLine="424" w:firstLineChars="202"/>
        <w:rPr>
          <w:rFonts w:hint="eastAsia" w:ascii="宋体" w:hAnsi="宋体"/>
          <w:b w:val="0"/>
          <w:color w:val="auto"/>
          <w:sz w:val="21"/>
          <w:szCs w:val="21"/>
          <w:highlight w:val="none"/>
        </w:rPr>
      </w:pPr>
      <w:r>
        <w:rPr>
          <w:rFonts w:hint="eastAsia" w:ascii="宋体" w:hAnsi="宋体"/>
          <w:b w:val="0"/>
          <w:color w:val="auto"/>
          <w:sz w:val="21"/>
          <w:szCs w:val="21"/>
          <w:highlight w:val="none"/>
        </w:rPr>
        <w:t>17.2</w:t>
      </w:r>
      <w:bookmarkStart w:id="126" w:name="_Toc254970540"/>
      <w:bookmarkStart w:id="127" w:name="_Toc254970681"/>
      <w:r>
        <w:rPr>
          <w:rFonts w:hint="eastAsia" w:ascii="宋体" w:hAnsi="宋体"/>
          <w:b w:val="0"/>
          <w:color w:val="auto"/>
          <w:sz w:val="21"/>
          <w:szCs w:val="21"/>
          <w:highlight w:val="none"/>
        </w:rPr>
        <w:t xml:space="preserve"> 投标有效期应按招标文件规定的期限作出承诺，具体详见“投标人须知前附表”。</w:t>
      </w:r>
      <w:r>
        <w:rPr>
          <w:rFonts w:hint="eastAsia" w:ascii="宋体" w:hAnsi="宋体"/>
          <w:color w:val="auto"/>
          <w:sz w:val="21"/>
          <w:szCs w:val="21"/>
          <w:highlight w:val="none"/>
        </w:rPr>
        <w:t>承诺的投标有效期低于招标文件规定期限的，按无效投标处理</w:t>
      </w:r>
      <w:r>
        <w:rPr>
          <w:rFonts w:hint="eastAsia" w:ascii="宋体" w:hAnsi="宋体"/>
          <w:b w:val="0"/>
          <w:color w:val="auto"/>
          <w:sz w:val="21"/>
          <w:szCs w:val="21"/>
          <w:highlight w:val="none"/>
        </w:rPr>
        <w:t>。</w:t>
      </w:r>
    </w:p>
    <w:p w14:paraId="373984A0">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26"/>
      <w:bookmarkEnd w:id="127"/>
    </w:p>
    <w:p w14:paraId="2F498DC8">
      <w:pPr>
        <w:pStyle w:val="5"/>
        <w:keepNext w:val="0"/>
        <w:keepLines w:val="0"/>
        <w:spacing w:before="0" w:after="0" w:line="360" w:lineRule="auto"/>
        <w:ind w:left="420" w:leftChars="200"/>
        <w:rPr>
          <w:rFonts w:hint="eastAsia" w:ascii="宋体" w:hAnsi="宋体"/>
          <w:b w:val="0"/>
          <w:color w:val="auto"/>
          <w:sz w:val="21"/>
          <w:szCs w:val="21"/>
          <w:highlight w:val="none"/>
        </w:rPr>
      </w:pPr>
    </w:p>
    <w:p w14:paraId="4197E733">
      <w:pPr>
        <w:pStyle w:val="5"/>
        <w:keepNext w:val="0"/>
        <w:keepLines w:val="0"/>
        <w:spacing w:before="0" w:after="0" w:line="360" w:lineRule="auto"/>
        <w:ind w:left="420" w:leftChars="200"/>
        <w:rPr>
          <w:rFonts w:hint="eastAsia" w:ascii="黑体" w:hAnsi="黑体" w:eastAsia="黑体"/>
          <w:color w:val="auto"/>
          <w:sz w:val="24"/>
          <w:highlight w:val="none"/>
        </w:rPr>
      </w:pPr>
      <w:bookmarkStart w:id="128" w:name="_18.投标保证金"/>
      <w:bookmarkEnd w:id="128"/>
      <w:bookmarkStart w:id="129" w:name="_Toc254970682"/>
      <w:bookmarkStart w:id="130" w:name="_Toc254970541"/>
      <w:r>
        <w:rPr>
          <w:rFonts w:hint="eastAsia" w:ascii="黑体" w:hAnsi="黑体" w:eastAsia="黑体"/>
          <w:color w:val="auto"/>
          <w:sz w:val="24"/>
          <w:highlight w:val="none"/>
        </w:rPr>
        <w:t>18.投标保证金</w:t>
      </w:r>
      <w:bookmarkEnd w:id="129"/>
      <w:bookmarkEnd w:id="130"/>
    </w:p>
    <w:p w14:paraId="4C3CADDA">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 的规定提交投标保证金。</w:t>
      </w:r>
    </w:p>
    <w:p w14:paraId="343BB594">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18.2投标保证金的退还</w:t>
      </w:r>
    </w:p>
    <w:p w14:paraId="6136723A">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未中标供应商的投标保证金自中标通知书发出之日起5个工作日内退还；中标供应商的投标保证金自政府采购合同签订之日起5个工作日内退还。 </w:t>
      </w:r>
    </w:p>
    <w:p w14:paraId="62AA6A87">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18.3除逾期退还投标保证金和终止招标的情形以外，投标保证金不计息。</w:t>
      </w:r>
    </w:p>
    <w:p w14:paraId="3FA72C7E">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18.4投标人有下列情形之一的，投标保证金将不予退还： </w:t>
      </w:r>
    </w:p>
    <w:p w14:paraId="45C3BB5C">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（1）投标人在投标有效期内撤销投标文件的；</w:t>
      </w:r>
    </w:p>
    <w:p w14:paraId="210F11B5">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（2）未按规定提交履约保证金的；</w:t>
      </w:r>
    </w:p>
    <w:p w14:paraId="70997B2C">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75A6F24C">
      <w:pPr>
        <w:snapToGrid w:val="0"/>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（4）中标供应商无正当理由不与采购人签订合同的；</w:t>
      </w:r>
    </w:p>
    <w:p w14:paraId="332F265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（5）投标人出现本章第9.2、9.3情形的；</w:t>
      </w:r>
    </w:p>
    <w:p w14:paraId="51CA7B7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p w14:paraId="37F9BFFD">
      <w:pPr>
        <w:pStyle w:val="5"/>
        <w:keepNext w:val="0"/>
        <w:keepLines w:val="0"/>
        <w:spacing w:before="0" w:after="0" w:line="360" w:lineRule="auto"/>
        <w:ind w:left="420" w:leftChars="200"/>
        <w:rPr>
          <w:rFonts w:hint="eastAsia" w:ascii="黑体" w:hAnsi="黑体" w:eastAsia="黑体"/>
          <w:color w:val="auto"/>
          <w:sz w:val="24"/>
          <w:highlight w:val="none"/>
        </w:rPr>
      </w:pPr>
      <w:bookmarkStart w:id="131" w:name="_Toc254970542"/>
      <w:bookmarkStart w:id="132" w:name="_Toc254970683"/>
      <w:r>
        <w:rPr>
          <w:rFonts w:hint="eastAsia" w:ascii="黑体" w:hAnsi="黑体" w:eastAsia="黑体"/>
          <w:color w:val="auto"/>
          <w:sz w:val="24"/>
          <w:highlight w:val="none"/>
        </w:rPr>
        <w:t>19.投标文件的</w:t>
      </w:r>
      <w:bookmarkEnd w:id="131"/>
      <w:bookmarkEnd w:id="132"/>
      <w:r>
        <w:rPr>
          <w:rFonts w:hint="eastAsia" w:ascii="黑体" w:hAnsi="黑体" w:eastAsia="黑体"/>
          <w:color w:val="auto"/>
          <w:sz w:val="24"/>
          <w:highlight w:val="none"/>
        </w:rPr>
        <w:t>编制</w:t>
      </w:r>
    </w:p>
    <w:p w14:paraId="6AB46C67">
      <w:pPr>
        <w:pStyle w:val="5"/>
        <w:keepNext w:val="0"/>
        <w:keepLines w:val="0"/>
        <w:numPr>
          <w:ilvl w:val="4"/>
          <w:numId w:val="15"/>
        </w:numPr>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bookmarkStart w:id="133" w:name="_Toc254970544"/>
      <w:bookmarkStart w:id="134" w:name="_Toc254970685"/>
      <w:r>
        <w:rPr>
          <w:rFonts w:hint="eastAsia" w:ascii="宋体" w:hAnsi="宋体"/>
          <w:b w:val="0"/>
          <w:color w:val="auto"/>
          <w:sz w:val="21"/>
          <w:szCs w:val="21"/>
          <w:highlight w:val="none"/>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5D0F3DEC">
      <w:pPr>
        <w:pStyle w:val="5"/>
        <w:keepNext w:val="0"/>
        <w:keepLines w:val="0"/>
        <w:numPr>
          <w:ilvl w:val="4"/>
          <w:numId w:val="15"/>
        </w:numPr>
        <w:spacing w:before="0" w:after="0" w:line="360" w:lineRule="auto"/>
        <w:ind w:firstLine="315" w:firstLineChars="150"/>
        <w:rPr>
          <w:rFonts w:hint="eastAsia" w:ascii="宋体" w:hAnsi="宋体"/>
          <w:b w:val="0"/>
          <w:color w:val="auto"/>
          <w:sz w:val="21"/>
          <w:szCs w:val="21"/>
          <w:highlight w:val="none"/>
        </w:rPr>
      </w:pPr>
      <w:bookmarkStart w:id="135" w:name="_19.2投标文件应按报价文件、资格证明文件、商务文件、技术文件分别编制"/>
      <w:bookmarkEnd w:id="135"/>
      <w:r>
        <w:rPr>
          <w:rFonts w:hint="eastAsia" w:ascii="宋体" w:hAnsi="宋体"/>
          <w:b w:val="0"/>
          <w:color w:val="auto"/>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19.2为确保网上操作合法、有效和安全，投标人应当在投标截止时间前完成在广西政府采购云平台的身份认证，确保在电子投标过程中能够对相关数据电文进行加密和使用电子签章。</w:t>
      </w:r>
    </w:p>
    <w:p w14:paraId="4D65DD57">
      <w:pPr>
        <w:pStyle w:val="5"/>
        <w:keepNext w:val="0"/>
        <w:keepLines w:val="0"/>
        <w:numPr>
          <w:ilvl w:val="4"/>
          <w:numId w:val="15"/>
        </w:numPr>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bCs/>
          <w:color w:val="auto"/>
          <w:sz w:val="21"/>
          <w:szCs w:val="21"/>
          <w:highlight w:val="none"/>
          <w:lang w:eastAsia="zh-CN"/>
        </w:rPr>
        <w:t>否则投标文件按无效处理</w:t>
      </w:r>
      <w:r>
        <w:rPr>
          <w:rFonts w:hint="eastAsia" w:ascii="宋体" w:hAnsi="宋体"/>
          <w:b w:val="0"/>
          <w:color w:val="auto"/>
          <w:sz w:val="21"/>
          <w:szCs w:val="21"/>
          <w:highlight w:val="none"/>
        </w:rPr>
        <w:t>。</w:t>
      </w:r>
    </w:p>
    <w:p w14:paraId="2E77761D">
      <w:pPr>
        <w:pStyle w:val="5"/>
        <w:keepNext w:val="0"/>
        <w:keepLines w:val="0"/>
        <w:numPr>
          <w:ilvl w:val="4"/>
          <w:numId w:val="15"/>
        </w:numPr>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19.4投标文件中标注的投标人名称应与主体资格证明（如营业执照或者事业单位法人证书或者执业许可证或者登记证书等）及公章一致，</w:t>
      </w:r>
      <w:r>
        <w:rPr>
          <w:rFonts w:hint="eastAsia" w:ascii="宋体" w:hAnsi="宋体"/>
          <w:bCs/>
          <w:color w:val="auto"/>
          <w:sz w:val="21"/>
          <w:szCs w:val="21"/>
          <w:highlight w:val="none"/>
        </w:rPr>
        <w:t>并与广西政府采购云平台中获取招标文件的投标人名称一致</w:t>
      </w:r>
      <w:r>
        <w:rPr>
          <w:rFonts w:hint="eastAsia" w:ascii="宋体" w:hAnsi="宋体"/>
          <w:b w:val="0"/>
          <w:color w:val="auto"/>
          <w:sz w:val="21"/>
          <w:szCs w:val="21"/>
          <w:highlight w:val="none"/>
        </w:rPr>
        <w:t>，投标人为自然人的，标注的投标人名称应与身份证姓名及签名一致，</w:t>
      </w:r>
      <w:r>
        <w:rPr>
          <w:rFonts w:hint="eastAsia" w:ascii="宋体" w:hAnsi="宋体"/>
          <w:color w:val="auto"/>
          <w:sz w:val="21"/>
          <w:szCs w:val="21"/>
          <w:highlight w:val="none"/>
          <w:lang w:eastAsia="zh-CN"/>
        </w:rPr>
        <w:t>否则投标文件按无效处理</w:t>
      </w:r>
      <w:r>
        <w:rPr>
          <w:rFonts w:hint="eastAsia" w:ascii="宋体" w:hAnsi="宋体"/>
          <w:b w:val="0"/>
          <w:color w:val="auto"/>
          <w:sz w:val="21"/>
          <w:szCs w:val="21"/>
          <w:highlight w:val="none"/>
        </w:rPr>
        <w:t>。</w:t>
      </w:r>
    </w:p>
    <w:p w14:paraId="140EBE65">
      <w:pPr>
        <w:pStyle w:val="5"/>
        <w:keepNext w:val="0"/>
        <w:keepLines w:val="0"/>
        <w:numPr>
          <w:ilvl w:val="4"/>
          <w:numId w:val="15"/>
        </w:numPr>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238A839E">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20.电子备份投标文件</w:t>
      </w:r>
    </w:p>
    <w:p w14:paraId="4872409A">
      <w:pPr>
        <w:spacing w:line="360" w:lineRule="auto"/>
        <w:ind w:firstLine="420" w:firstLineChars="200"/>
        <w:rPr>
          <w:rFonts w:hint="eastAsia" w:ascii="黑体" w:hAnsi="黑体" w:eastAsia="黑体"/>
          <w:color w:val="auto"/>
          <w:sz w:val="24"/>
          <w:highlight w:val="none"/>
        </w:rPr>
      </w:pPr>
      <w:r>
        <w:rPr>
          <w:rFonts w:hint="eastAsia"/>
          <w:color w:val="auto"/>
          <w:highlight w:val="none"/>
        </w:rPr>
        <w:t>电子备份投标文件是指通过在线编制生成且后缀名为“</w:t>
      </w:r>
      <w:r>
        <w:rPr>
          <w:color w:val="auto"/>
          <w:highlight w:val="none"/>
        </w:rPr>
        <w:t>bfbs</w:t>
      </w:r>
      <w:r>
        <w:rPr>
          <w:rFonts w:hint="eastAsia"/>
          <w:color w:val="auto"/>
          <w:highlight w:val="none"/>
        </w:rPr>
        <w:t>”的文件，是否接受电子备份投标文件</w:t>
      </w:r>
      <w:r>
        <w:rPr>
          <w:rFonts w:hint="eastAsia"/>
          <w:color w:val="auto"/>
          <w:highlight w:val="none"/>
          <w:lang w:eastAsia="zh-CN"/>
        </w:rPr>
        <w:t>详见</w:t>
      </w:r>
      <w:r>
        <w:rPr>
          <w:rFonts w:hint="eastAsia" w:hAnsi="宋体"/>
          <w:bCs/>
          <w:color w:val="auto"/>
          <w:szCs w:val="21"/>
          <w:highlight w:val="none"/>
        </w:rPr>
        <w:t>“投标人须知前附表”。</w:t>
      </w:r>
    </w:p>
    <w:p w14:paraId="39A73D7D">
      <w:pPr>
        <w:pStyle w:val="5"/>
        <w:keepNext w:val="0"/>
        <w:keepLines w:val="0"/>
        <w:numPr>
          <w:ilvl w:val="4"/>
          <w:numId w:val="15"/>
        </w:numPr>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51A14519">
      <w:pPr>
        <w:spacing w:line="360" w:lineRule="auto"/>
        <w:ind w:firstLine="420" w:firstLineChars="200"/>
        <w:rPr>
          <w:rFonts w:hint="eastAsia" w:hAnsi="宋体"/>
          <w:b/>
          <w:color w:val="auto"/>
          <w:highlight w:val="none"/>
        </w:rPr>
      </w:pPr>
      <w:bookmarkStart w:id="136" w:name="_21.1投标人必须在“投标人须知中的前附表”规定的投标文件接收时间和投"/>
      <w:bookmarkEnd w:id="136"/>
      <w:r>
        <w:rPr>
          <w:rFonts w:hAnsi="宋体"/>
          <w:bCs/>
          <w:color w:val="auto"/>
          <w:szCs w:val="21"/>
          <w:highlight w:val="none"/>
        </w:rPr>
        <w:t>21.1</w:t>
      </w:r>
      <w:r>
        <w:rPr>
          <w:rFonts w:hint="eastAsia" w:hAnsi="宋体"/>
          <w:bCs/>
          <w:color w:val="auto"/>
          <w:szCs w:val="21"/>
          <w:highlight w:val="none"/>
        </w:rPr>
        <w:t>投标人必须在“投标人须知前附表”规定的</w:t>
      </w:r>
      <w:r>
        <w:rPr>
          <w:rFonts w:hint="eastAsia" w:ascii="宋体" w:hAnsi="宋体"/>
          <w:color w:val="auto"/>
          <w:szCs w:val="21"/>
          <w:highlight w:val="none"/>
        </w:rPr>
        <w:t>提交投标文件截止时间前将</w:t>
      </w:r>
      <w:r>
        <w:rPr>
          <w:rFonts w:hint="eastAsia" w:hAnsi="宋体"/>
          <w:bCs/>
          <w:color w:val="auto"/>
          <w:szCs w:val="21"/>
          <w:highlight w:val="none"/>
        </w:rPr>
        <w:t>电子投标文件提交至投标地点。电子投标文件应在制作完成后，在投标截止时间前通过有效数字证书（</w:t>
      </w:r>
      <w:r>
        <w:rPr>
          <w:rFonts w:hAnsi="宋体"/>
          <w:bCs/>
          <w:color w:val="auto"/>
          <w:szCs w:val="21"/>
          <w:highlight w:val="none"/>
        </w:rPr>
        <w:t>CA</w:t>
      </w:r>
      <w:r>
        <w:rPr>
          <w:rFonts w:hint="eastAsia" w:hAnsi="宋体"/>
          <w:bCs/>
          <w:color w:val="auto"/>
          <w:szCs w:val="21"/>
          <w:highlight w:val="none"/>
        </w:rPr>
        <w:t>认证锁）进行电子签章、加密，然后通过网络将加密的电子投标文件递交至</w:t>
      </w:r>
      <w:r>
        <w:rPr>
          <w:rFonts w:hint="eastAsia" w:ascii="宋体" w:hAnsi="宋体"/>
          <w:b/>
          <w:color w:val="auto"/>
          <w:szCs w:val="21"/>
          <w:highlight w:val="none"/>
        </w:rPr>
        <w:t>广西政府采购云平台</w:t>
      </w:r>
      <w:r>
        <w:rPr>
          <w:rFonts w:hint="eastAsia" w:hAnsi="宋体"/>
          <w:bCs/>
          <w:color w:val="auto"/>
          <w:szCs w:val="21"/>
          <w:highlight w:val="none"/>
        </w:rPr>
        <w:t>。</w:t>
      </w:r>
      <w:r>
        <w:rPr>
          <w:rFonts w:hAnsi="宋体"/>
          <w:bCs/>
          <w:color w:val="auto"/>
          <w:szCs w:val="21"/>
          <w:highlight w:val="none"/>
        </w:rPr>
        <w:t xml:space="preserve"> </w:t>
      </w:r>
      <w:r>
        <w:rPr>
          <w:rFonts w:hAnsi="宋体"/>
          <w:b/>
          <w:color w:val="auto"/>
          <w:highlight w:val="none"/>
        </w:rPr>
        <w:t xml:space="preserve"> </w:t>
      </w:r>
    </w:p>
    <w:p w14:paraId="493E862B">
      <w:pPr>
        <w:spacing w:line="360" w:lineRule="auto"/>
        <w:ind w:firstLine="422" w:firstLineChars="200"/>
        <w:rPr>
          <w:rFonts w:hint="eastAsia" w:ascii="宋体" w:hAnsi="宋体"/>
          <w:b/>
          <w:color w:val="auto"/>
          <w:szCs w:val="20"/>
          <w:highlight w:val="none"/>
        </w:rPr>
      </w:pPr>
      <w:r>
        <w:rPr>
          <w:rFonts w:hint="eastAsia" w:ascii="宋体" w:hAnsi="宋体"/>
          <w:b/>
          <w:color w:val="auto"/>
          <w:szCs w:val="21"/>
          <w:highlight w:val="none"/>
        </w:rPr>
        <w:t>21.2未在规定时间内提交或者未按照招标文件要求加密的电子投标文件，广西政府采购云平台将拒收。</w:t>
      </w:r>
    </w:p>
    <w:p w14:paraId="0E18E987">
      <w:pPr>
        <w:pStyle w:val="5"/>
        <w:keepNext w:val="0"/>
        <w:keepLines w:val="0"/>
        <w:numPr>
          <w:ilvl w:val="4"/>
          <w:numId w:val="15"/>
        </w:numPr>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3816E47C">
      <w:pPr>
        <w:snapToGrid w:val="0"/>
        <w:spacing w:line="360" w:lineRule="auto"/>
        <w:ind w:firstLine="420"/>
        <w:jc w:val="left"/>
        <w:rPr>
          <w:rFonts w:hint="eastAsia" w:ascii="宋体" w:hAnsi="宋体"/>
          <w:color w:val="auto"/>
          <w:szCs w:val="21"/>
          <w:highlight w:val="none"/>
        </w:rPr>
      </w:pPr>
      <w:bookmarkStart w:id="137" w:name="_Toc254970543"/>
      <w:bookmarkStart w:id="138" w:name="_Toc254970684"/>
      <w:r>
        <w:rPr>
          <w:rFonts w:hint="eastAsia" w:ascii="宋体" w:hAnsi="宋体" w:cs="宋体"/>
          <w:color w:val="auto"/>
          <w:szCs w:val="21"/>
          <w:highlight w:val="none"/>
        </w:rPr>
        <w:t>22.1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依次进入“服务中心”中查看</w:t>
      </w:r>
      <w:r>
        <w:rPr>
          <w:rFonts w:hint="eastAsia" w:ascii="宋体" w:hAnsi="宋体" w:cs="宋体"/>
          <w:color w:val="auto"/>
          <w:szCs w:val="21"/>
          <w:highlight w:val="none"/>
        </w:rPr>
        <w:t xml:space="preserve"> “电子投标文件制作与投送教程”）</w:t>
      </w:r>
    </w:p>
    <w:bookmarkEnd w:id="137"/>
    <w:bookmarkEnd w:id="138"/>
    <w:p w14:paraId="51902471">
      <w:pPr>
        <w:pStyle w:val="116"/>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252EDE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p w14:paraId="617763A5">
      <w:pPr>
        <w:pStyle w:val="4"/>
        <w:keepNext w:val="0"/>
        <w:keepLines w:val="0"/>
        <w:jc w:val="center"/>
        <w:rPr>
          <w:color w:val="auto"/>
          <w:highlight w:val="none"/>
        </w:rPr>
      </w:pPr>
      <w:r>
        <w:rPr>
          <w:rFonts w:hint="eastAsia"/>
          <w:color w:val="auto"/>
          <w:highlight w:val="none"/>
        </w:rPr>
        <w:t>四、开    标</w:t>
      </w:r>
      <w:bookmarkEnd w:id="133"/>
      <w:bookmarkEnd w:id="134"/>
    </w:p>
    <w:p w14:paraId="1E4FAE77">
      <w:pPr>
        <w:pStyle w:val="5"/>
        <w:keepNext w:val="0"/>
        <w:keepLines w:val="0"/>
        <w:spacing w:before="0" w:after="0" w:line="360" w:lineRule="auto"/>
        <w:ind w:left="420" w:leftChars="200"/>
        <w:rPr>
          <w:rFonts w:hint="eastAsia" w:ascii="黑体" w:hAnsi="黑体" w:eastAsia="黑体"/>
          <w:color w:val="auto"/>
          <w:sz w:val="24"/>
          <w:highlight w:val="none"/>
        </w:rPr>
      </w:pPr>
      <w:bookmarkStart w:id="139" w:name="_23.开标时间和地点"/>
      <w:bookmarkEnd w:id="139"/>
      <w:r>
        <w:rPr>
          <w:rFonts w:hint="eastAsia" w:ascii="黑体" w:hAnsi="黑体" w:eastAsia="黑体"/>
          <w:color w:val="auto"/>
          <w:sz w:val="24"/>
          <w:highlight w:val="none"/>
        </w:rPr>
        <w:t>23.开标时间和地点</w:t>
      </w:r>
    </w:p>
    <w:p w14:paraId="1268B21E">
      <w:pPr>
        <w:spacing w:line="360" w:lineRule="auto"/>
        <w:ind w:firstLine="420" w:firstLineChars="200"/>
        <w:rPr>
          <w:rFonts w:hint="eastAsia" w:hAnsi="宋体"/>
          <w:bCs/>
          <w:color w:val="auto"/>
          <w:highlight w:val="none"/>
        </w:rPr>
      </w:pPr>
      <w:r>
        <w:rPr>
          <w:rFonts w:hint="eastAsia" w:hAnsi="宋体"/>
          <w:bCs/>
          <w:color w:val="auto"/>
          <w:highlight w:val="none"/>
        </w:rPr>
        <w:t>开标时间及地点详见“投标人须知前附表”</w:t>
      </w:r>
    </w:p>
    <w:p w14:paraId="15DE7391">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24.开标程序</w:t>
      </w:r>
    </w:p>
    <w:p w14:paraId="373F5112">
      <w:pPr>
        <w:pStyle w:val="6"/>
        <w:spacing w:line="360" w:lineRule="auto"/>
        <w:rPr>
          <w:color w:val="auto"/>
          <w:highlight w:val="none"/>
        </w:rPr>
      </w:pPr>
      <w:r>
        <w:rPr>
          <w:color w:val="auto"/>
          <w:highlight w:val="none"/>
        </w:rPr>
        <w:t>24.1</w:t>
      </w:r>
      <w:r>
        <w:rPr>
          <w:rFonts w:hint="eastAsia"/>
          <w:color w:val="auto"/>
          <w:highlight w:val="none"/>
        </w:rPr>
        <w:t>提交投标文件截止时间止，投标人不足</w:t>
      </w:r>
      <w:r>
        <w:rPr>
          <w:color w:val="auto"/>
          <w:highlight w:val="none"/>
        </w:rPr>
        <w:t>3</w:t>
      </w:r>
      <w:r>
        <w:rPr>
          <w:rFonts w:hint="eastAsia"/>
          <w:color w:val="auto"/>
          <w:highlight w:val="none"/>
        </w:rPr>
        <w:t>家的，不得开标。</w:t>
      </w:r>
    </w:p>
    <w:p w14:paraId="35E8FCD7">
      <w:pPr>
        <w:pStyle w:val="6"/>
        <w:spacing w:line="360" w:lineRule="auto"/>
        <w:rPr>
          <w:color w:val="auto"/>
          <w:highlight w:val="none"/>
        </w:rPr>
      </w:pPr>
      <w:r>
        <w:rPr>
          <w:color w:val="auto"/>
          <w:highlight w:val="none"/>
        </w:rPr>
        <w:t>24.2</w:t>
      </w:r>
      <w:r>
        <w:rPr>
          <w:rFonts w:hint="eastAsia"/>
          <w:color w:val="auto"/>
          <w:highlight w:val="none"/>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66E21419">
      <w:pPr>
        <w:spacing w:line="360" w:lineRule="auto"/>
        <w:ind w:firstLine="420"/>
        <w:rPr>
          <w:color w:val="auto"/>
          <w:szCs w:val="20"/>
          <w:highlight w:val="none"/>
        </w:rPr>
      </w:pPr>
      <w:r>
        <w:rPr>
          <w:rFonts w:hint="eastAsia"/>
          <w:color w:val="auto"/>
          <w:szCs w:val="20"/>
          <w:highlight w:val="none"/>
        </w:rPr>
        <w:t>24.3不接受投标人信息、投标设备信息异常的投标人提交的投标文件，如投标人IP地址、MAc地址、硬盘号、CPU号、主板号信息、供应商入驻时填写的主要人员信息、</w:t>
      </w:r>
      <w:r>
        <w:rPr>
          <w:rFonts w:hint="eastAsia"/>
          <w:color w:val="auto"/>
          <w:szCs w:val="20"/>
          <w:highlight w:val="none"/>
          <w:lang w:val="en-US" w:eastAsia="zh-CN"/>
        </w:rPr>
        <w:t>投标文件上传</w:t>
      </w:r>
      <w:r>
        <w:rPr>
          <w:rFonts w:hint="eastAsia"/>
          <w:color w:val="auto"/>
          <w:szCs w:val="20"/>
          <w:highlight w:val="none"/>
        </w:rPr>
        <w:t>时所填写的法定代表人或授权代表的姓名和手机号码等信息异常。</w:t>
      </w:r>
      <w:r>
        <w:rPr>
          <w:rFonts w:hint="eastAsia"/>
          <w:b/>
          <w:bCs/>
          <w:color w:val="auto"/>
          <w:szCs w:val="20"/>
          <w:highlight w:val="none"/>
        </w:rPr>
        <w:t>若开标时发现投标人存在上述信息异常，投标人的投标文件作无效处理。</w:t>
      </w:r>
    </w:p>
    <w:p w14:paraId="6A964D9E">
      <w:pPr>
        <w:pStyle w:val="6"/>
        <w:spacing w:line="360" w:lineRule="auto"/>
        <w:rPr>
          <w:color w:val="auto"/>
          <w:highlight w:val="none"/>
        </w:rPr>
      </w:pPr>
      <w:r>
        <w:rPr>
          <w:color w:val="auto"/>
          <w:highlight w:val="none"/>
        </w:rPr>
        <w:t>24.</w:t>
      </w:r>
      <w:r>
        <w:rPr>
          <w:rFonts w:hint="eastAsia"/>
          <w:color w:val="auto"/>
          <w:highlight w:val="none"/>
        </w:rPr>
        <w:t>4开标程序</w:t>
      </w:r>
    </w:p>
    <w:p w14:paraId="41F6C8C9">
      <w:pPr>
        <w:pStyle w:val="6"/>
        <w:spacing w:line="360" w:lineRule="auto"/>
        <w:rPr>
          <w:color w:val="auto"/>
          <w:highlight w:val="none"/>
        </w:rPr>
      </w:pPr>
      <w:r>
        <w:rPr>
          <w:rFonts w:hint="eastAsia"/>
          <w:color w:val="auto"/>
          <w:highlight w:val="none"/>
        </w:rPr>
        <w:t>（</w:t>
      </w:r>
      <w:r>
        <w:rPr>
          <w:color w:val="auto"/>
          <w:highlight w:val="none"/>
        </w:rPr>
        <w:t>1</w:t>
      </w:r>
      <w:r>
        <w:rPr>
          <w:rFonts w:hint="eastAsia"/>
          <w:color w:val="auto"/>
          <w:highlight w:val="none"/>
        </w:rPr>
        <w:t>）解密电子投标文件。广西政府采购云平台按开标时间自动提取所有投标文件。采购代理机构依托广西政府采购云平台向各投标人发出电子加密投标文件【开始解密】通知，由投标人按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auto"/>
          <w:szCs w:val="21"/>
          <w:highlight w:val="none"/>
        </w:rPr>
        <w:t>“投标人须知前附表”</w:t>
      </w:r>
      <w:r>
        <w:rPr>
          <w:rFonts w:hint="eastAsia"/>
          <w:color w:val="auto"/>
          <w:highlight w:val="none"/>
        </w:rPr>
        <w:t>规定的时间内自行进行投标文件解密。投标人的法定代表人或其委托代理人须凭加密时所用的</w:t>
      </w:r>
      <w:r>
        <w:rPr>
          <w:color w:val="auto"/>
          <w:highlight w:val="none"/>
        </w:rPr>
        <w:t>CA</w:t>
      </w:r>
      <w:r>
        <w:rPr>
          <w:rFonts w:hint="eastAsia"/>
          <w:color w:val="auto"/>
          <w:highlight w:val="none"/>
        </w:rPr>
        <w:t>锁准时登录到广西政府采购云平台电子开标大厅签到并对电子投标文件解密。</w:t>
      </w:r>
      <w:r>
        <w:rPr>
          <w:rFonts w:hint="eastAsia"/>
          <w:b/>
          <w:color w:val="auto"/>
          <w:highlight w:val="none"/>
        </w:rPr>
        <w:t>投标人未在规定的时间内解密投标文件或者解密失败的，</w:t>
      </w:r>
      <w:r>
        <w:rPr>
          <w:rFonts w:hint="eastAsia" w:ascii="宋体" w:hAnsi="宋体"/>
          <w:b/>
          <w:color w:val="auto"/>
          <w:szCs w:val="21"/>
          <w:highlight w:val="none"/>
        </w:rPr>
        <w:t>投标人的投标文件作无效处理</w:t>
      </w:r>
      <w:r>
        <w:rPr>
          <w:rFonts w:hint="eastAsia"/>
          <w:b/>
          <w:color w:val="auto"/>
          <w:highlight w:val="none"/>
        </w:rPr>
        <w:t>。</w:t>
      </w:r>
    </w:p>
    <w:p w14:paraId="2EF4EE6D">
      <w:pPr>
        <w:pStyle w:val="6"/>
        <w:spacing w:line="360" w:lineRule="auto"/>
        <w:rPr>
          <w:color w:val="auto"/>
          <w:highlight w:val="none"/>
        </w:rPr>
      </w:pPr>
      <w:r>
        <w:rPr>
          <w:rFonts w:hint="eastAsia"/>
          <w:color w:val="auto"/>
          <w:highlight w:val="none"/>
        </w:rPr>
        <w:t>（</w:t>
      </w:r>
      <w:r>
        <w:rPr>
          <w:color w:val="auto"/>
          <w:highlight w:val="none"/>
        </w:rPr>
        <w:t>2</w:t>
      </w:r>
      <w:r>
        <w:rPr>
          <w:rFonts w:hint="eastAsia"/>
          <w:color w:val="auto"/>
          <w:highlight w:val="none"/>
        </w:rPr>
        <w:t>）电子唱标。投标文件解密结束，宣布的内容均在广西政府采购云平台远程开标大厅展示，具体详见</w:t>
      </w:r>
      <w:r>
        <w:rPr>
          <w:rFonts w:hint="eastAsia" w:hAnsi="宋体"/>
          <w:bCs/>
          <w:color w:val="auto"/>
          <w:highlight w:val="none"/>
        </w:rPr>
        <w:t>“投标人须知前附表”</w:t>
      </w:r>
      <w:r>
        <w:rPr>
          <w:rFonts w:hint="eastAsia"/>
          <w:color w:val="auto"/>
          <w:highlight w:val="none"/>
        </w:rPr>
        <w:t>；</w:t>
      </w:r>
    </w:p>
    <w:p w14:paraId="252F875A">
      <w:pPr>
        <w:pStyle w:val="6"/>
        <w:spacing w:line="360" w:lineRule="auto"/>
        <w:rPr>
          <w:color w:val="auto"/>
          <w:highlight w:val="none"/>
        </w:rPr>
      </w:pPr>
      <w:r>
        <w:rPr>
          <w:rFonts w:hint="eastAsia"/>
          <w:color w:val="auto"/>
          <w:highlight w:val="none"/>
        </w:rPr>
        <w:t>（</w:t>
      </w:r>
      <w:r>
        <w:rPr>
          <w:color w:val="auto"/>
          <w:highlight w:val="none"/>
        </w:rPr>
        <w:t>3</w:t>
      </w:r>
      <w:r>
        <w:rPr>
          <w:rFonts w:hint="eastAsia"/>
          <w:color w:val="auto"/>
          <w:highlight w:val="none"/>
        </w:rPr>
        <w:t>）开标过程由采购代理机构如实记录，并电子留痕，由参加电子开标的各投标人代表对电子开标记录在开标记录公布后</w:t>
      </w:r>
      <w:r>
        <w:rPr>
          <w:color w:val="auto"/>
          <w:highlight w:val="none"/>
        </w:rPr>
        <w:t>15</w:t>
      </w:r>
      <w:r>
        <w:rPr>
          <w:rFonts w:hint="eastAsia"/>
          <w:color w:val="auto"/>
          <w:highlight w:val="none"/>
        </w:rPr>
        <w:t>分钟内进行当场校核及勘误，并线上确认是否有异议，未确认的视同认可开标结果。</w:t>
      </w:r>
    </w:p>
    <w:p w14:paraId="2FE0D0E9">
      <w:pPr>
        <w:pStyle w:val="6"/>
        <w:spacing w:line="360" w:lineRule="auto"/>
        <w:rPr>
          <w:color w:val="auto"/>
          <w:highlight w:val="none"/>
        </w:rPr>
      </w:pPr>
      <w:r>
        <w:rPr>
          <w:rFonts w:hint="eastAsia"/>
          <w:color w:val="auto"/>
          <w:highlight w:val="none"/>
        </w:rPr>
        <w:t>（</w:t>
      </w:r>
      <w:r>
        <w:rPr>
          <w:color w:val="auto"/>
          <w:highlight w:val="none"/>
        </w:rPr>
        <w:t>4</w:t>
      </w:r>
      <w:r>
        <w:rPr>
          <w:rFonts w:hint="eastAsia"/>
          <w:color w:val="auto"/>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2998CB81">
      <w:pPr>
        <w:pStyle w:val="6"/>
        <w:spacing w:line="360" w:lineRule="auto"/>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）开标结束。</w:t>
      </w:r>
    </w:p>
    <w:p w14:paraId="31A636B8">
      <w:pPr>
        <w:pStyle w:val="24"/>
        <w:snapToGrid w:val="0"/>
        <w:spacing w:line="360" w:lineRule="auto"/>
        <w:ind w:firstLine="420" w:firstLineChars="200"/>
        <w:rPr>
          <w:rFonts w:hint="eastAsia" w:hAnsi="宋体"/>
          <w:color w:val="auto"/>
          <w:sz w:val="21"/>
          <w:highlight w:val="none"/>
        </w:rPr>
      </w:pPr>
      <w:r>
        <w:rPr>
          <w:rFonts w:hint="eastAsia"/>
          <w:color w:val="auto"/>
          <w:sz w:val="21"/>
          <w:highlight w:val="none"/>
        </w:rPr>
        <w:t>特别说明：如遇广西政府采购云平台电子化开标或评审程序调整的，按调整后执行。</w:t>
      </w:r>
    </w:p>
    <w:p w14:paraId="3390061B">
      <w:pPr>
        <w:pStyle w:val="24"/>
        <w:snapToGrid w:val="0"/>
        <w:spacing w:line="360" w:lineRule="auto"/>
        <w:ind w:left="689" w:leftChars="228" w:hanging="210" w:hangingChars="100"/>
        <w:rPr>
          <w:rFonts w:hint="eastAsia" w:hAnsi="宋体"/>
          <w:color w:val="auto"/>
          <w:sz w:val="21"/>
          <w:highlight w:val="none"/>
        </w:rPr>
      </w:pPr>
    </w:p>
    <w:p w14:paraId="718FF13D">
      <w:pPr>
        <w:pStyle w:val="4"/>
        <w:keepNext w:val="0"/>
        <w:keepLines w:val="0"/>
        <w:jc w:val="center"/>
        <w:rPr>
          <w:color w:val="auto"/>
          <w:highlight w:val="none"/>
        </w:rPr>
      </w:pPr>
      <w:r>
        <w:rPr>
          <w:rFonts w:hint="eastAsia"/>
          <w:color w:val="auto"/>
          <w:highlight w:val="none"/>
        </w:rPr>
        <w:t>五、资格审查</w:t>
      </w:r>
    </w:p>
    <w:p w14:paraId="5E392967">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25.资格审查</w:t>
      </w:r>
    </w:p>
    <w:p w14:paraId="4E1A72AD">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采购人或者采购代理机构通过电子开评标系统依据招标文件对电子投标文件进行线上资格审查</w:t>
      </w:r>
      <w:r>
        <w:rPr>
          <w:rFonts w:ascii="宋体" w:hAnsi="宋体"/>
          <w:b w:val="0"/>
          <w:color w:val="auto"/>
          <w:sz w:val="21"/>
          <w:szCs w:val="21"/>
          <w:highlight w:val="none"/>
        </w:rPr>
        <w:t>。</w:t>
      </w:r>
    </w:p>
    <w:p w14:paraId="122AFA3C">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37B12EC1">
      <w:pPr>
        <w:pStyle w:val="5"/>
        <w:keepNext w:val="0"/>
        <w:keepLines w:val="0"/>
        <w:numPr>
          <w:ilvl w:val="0"/>
          <w:numId w:val="0"/>
        </w:numPr>
        <w:spacing w:before="0" w:after="0" w:line="360" w:lineRule="auto"/>
        <w:ind w:firstLine="422" w:firstLineChars="200"/>
        <w:rPr>
          <w:rFonts w:hint="eastAsia" w:ascii="宋体" w:hAnsi="宋体"/>
          <w:color w:val="auto"/>
          <w:sz w:val="21"/>
          <w:szCs w:val="21"/>
          <w:highlight w:val="none"/>
        </w:rPr>
      </w:pPr>
      <w:bookmarkStart w:id="140" w:name="_25.3_投标人有下列情形之一的，资格审查不通过而导致其投标无效："/>
      <w:bookmarkEnd w:id="140"/>
      <w:r>
        <w:rPr>
          <w:rFonts w:hint="eastAsia" w:ascii="宋体" w:hAnsi="宋体"/>
          <w:color w:val="auto"/>
          <w:sz w:val="21"/>
          <w:szCs w:val="21"/>
          <w:highlight w:val="none"/>
        </w:rPr>
        <w:t>25.3 投标人有下列情形之一的，资格审查不通过，作无效投标处理：</w:t>
      </w:r>
    </w:p>
    <w:p w14:paraId="5157BB31">
      <w:pPr>
        <w:pStyle w:val="24"/>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（1）不具备招标文件中规定的资格要求的；</w:t>
      </w:r>
    </w:p>
    <w:p w14:paraId="4D9174E0">
      <w:pPr>
        <w:pStyle w:val="24"/>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72E14F4E">
      <w:pPr>
        <w:pStyle w:val="24"/>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72687BE9">
      <w:pPr>
        <w:pStyle w:val="24"/>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（4）投标文件中的资格证明文件缺少任一项“投标人须知前附表”资格证明文件规定“必须提供”的文件资料的；</w:t>
      </w:r>
    </w:p>
    <w:p w14:paraId="43F4AB6F">
      <w:pPr>
        <w:pStyle w:val="24"/>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（5）投标文件中的资格证明文件出现任一项不符合“投标人须知前附表”资格证明文件规定“必须提供”的文件资料要求或者无效的。</w:t>
      </w:r>
    </w:p>
    <w:p w14:paraId="483F5F68">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06B83392">
      <w:pPr>
        <w:pStyle w:val="24"/>
        <w:snapToGrid w:val="0"/>
        <w:spacing w:line="360" w:lineRule="auto"/>
        <w:ind w:left="689" w:leftChars="228" w:hanging="210" w:hangingChars="100"/>
        <w:rPr>
          <w:rFonts w:hint="eastAsia" w:hAnsi="宋体"/>
          <w:color w:val="auto"/>
          <w:sz w:val="21"/>
          <w:highlight w:val="none"/>
        </w:rPr>
      </w:pPr>
    </w:p>
    <w:p w14:paraId="579317AC">
      <w:pPr>
        <w:pStyle w:val="4"/>
        <w:keepNext w:val="0"/>
        <w:keepLines w:val="0"/>
        <w:jc w:val="center"/>
        <w:rPr>
          <w:color w:val="auto"/>
          <w:highlight w:val="none"/>
        </w:rPr>
      </w:pPr>
      <w:r>
        <w:rPr>
          <w:rFonts w:hint="eastAsia"/>
          <w:color w:val="auto"/>
          <w:highlight w:val="none"/>
        </w:rPr>
        <w:t>六、评   标</w:t>
      </w:r>
    </w:p>
    <w:p w14:paraId="301962A9">
      <w:pPr>
        <w:pStyle w:val="5"/>
        <w:keepNext w:val="0"/>
        <w:keepLines w:val="0"/>
        <w:spacing w:before="0" w:after="0" w:line="360" w:lineRule="auto"/>
        <w:ind w:left="420" w:leftChars="200"/>
        <w:rPr>
          <w:rFonts w:hint="eastAsia" w:ascii="黑体" w:hAnsi="黑体" w:eastAsia="黑体"/>
          <w:color w:val="auto"/>
          <w:sz w:val="24"/>
          <w:highlight w:val="none"/>
        </w:rPr>
      </w:pPr>
      <w:bookmarkStart w:id="141" w:name="_26.组建评标委员会"/>
      <w:bookmarkEnd w:id="141"/>
      <w:r>
        <w:rPr>
          <w:rFonts w:hint="eastAsia" w:ascii="黑体" w:hAnsi="黑体" w:eastAsia="黑体"/>
          <w:color w:val="auto"/>
          <w:sz w:val="24"/>
          <w:highlight w:val="none"/>
        </w:rPr>
        <w:t>26.组建评标委员会</w:t>
      </w:r>
    </w:p>
    <w:p w14:paraId="3440B76B">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50E76565">
      <w:pPr>
        <w:pStyle w:val="24"/>
        <w:snapToGrid w:val="0"/>
        <w:spacing w:line="360" w:lineRule="auto"/>
        <w:ind w:left="2" w:leftChars="1" w:firstLine="420" w:firstLineChars="200"/>
        <w:rPr>
          <w:rFonts w:hint="eastAsia"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783289D4">
      <w:pPr>
        <w:pStyle w:val="24"/>
        <w:snapToGrid w:val="0"/>
        <w:spacing w:line="360" w:lineRule="auto"/>
        <w:ind w:left="2" w:leftChars="1" w:firstLine="420" w:firstLineChars="200"/>
        <w:rPr>
          <w:rFonts w:hint="eastAsia" w:hAnsi="宋体"/>
          <w:color w:val="auto"/>
          <w:sz w:val="21"/>
          <w:highlight w:val="none"/>
        </w:rPr>
      </w:pPr>
      <w:r>
        <w:rPr>
          <w:rFonts w:hint="eastAsia" w:hAnsi="宋体"/>
          <w:color w:val="auto"/>
          <w:sz w:val="21"/>
          <w:highlight w:val="none"/>
        </w:rPr>
        <w:t>26.3</w:t>
      </w:r>
      <w:r>
        <w:rPr>
          <w:rFonts w:hint="eastAsia" w:hAnsi="宋体"/>
          <w:bCs/>
          <w:color w:val="auto"/>
          <w:sz w:val="21"/>
          <w:highlight w:val="none"/>
        </w:rPr>
        <w:t>采购代理机构应当基于广西政府采购云平台抽（选）取评审专家。</w:t>
      </w:r>
    </w:p>
    <w:p w14:paraId="6AEFA1F1">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3599FC25">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13628041">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56DCDFD3">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1BD7766">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28.2</w:t>
      </w:r>
      <w:bookmarkStart w:id="142" w:name="_28.3评标方法。本项目将按须知前附表规定的评标办法进行评标，具体评标"/>
      <w:bookmarkEnd w:id="142"/>
      <w:r>
        <w:rPr>
          <w:rFonts w:hint="eastAsia" w:hAnsi="宋体"/>
          <w:color w:val="auto"/>
          <w:sz w:val="21"/>
          <w:highlight w:val="none"/>
        </w:rPr>
        <w:t>评委表决。评标委员会成员对需要共同认定的事项存在争议的，应当按照少数服从多数的原则作出结论。</w:t>
      </w:r>
    </w:p>
    <w:p w14:paraId="2DD2F4B5">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3DE91DF">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评标过程的监控。本项目电子评标过程实行网上留痕、全程录音、录像监控，</w:t>
      </w:r>
      <w:r>
        <w:rPr>
          <w:rFonts w:hint="eastAsia" w:hAnsi="宋体"/>
          <w:b/>
          <w:color w:val="auto"/>
          <w:sz w:val="21"/>
          <w:highlight w:val="none"/>
        </w:rPr>
        <w:t>投标人在评标过程中所进行的试图影响评标结果的不公正活动，可能导致其投标按无效处理。</w:t>
      </w:r>
    </w:p>
    <w:p w14:paraId="16B6FABC">
      <w:pPr>
        <w:pStyle w:val="5"/>
        <w:keepNext w:val="0"/>
        <w:keepLines w:val="0"/>
        <w:spacing w:before="0" w:after="0" w:line="360" w:lineRule="auto"/>
        <w:ind w:left="420" w:leftChars="200"/>
        <w:rPr>
          <w:rFonts w:hint="eastAsia" w:ascii="黑体" w:hAnsi="黑体" w:eastAsia="黑体"/>
          <w:color w:val="auto"/>
          <w:sz w:val="21"/>
          <w:szCs w:val="21"/>
          <w:highlight w:val="none"/>
        </w:rPr>
      </w:pPr>
      <w:r>
        <w:rPr>
          <w:rFonts w:hint="eastAsia" w:ascii="黑体" w:hAnsi="黑体" w:eastAsia="黑体"/>
          <w:color w:val="auto"/>
          <w:sz w:val="24"/>
          <w:highlight w:val="none"/>
        </w:rPr>
        <w:t>29.评标方法及中标候选人推荐</w:t>
      </w:r>
    </w:p>
    <w:p w14:paraId="09C1E41F">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531791A0">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int="eastAsia" w:hAnsi="宋体" w:cs="宋体"/>
          <w:color w:val="auto"/>
          <w:sz w:val="21"/>
          <w:highlight w:val="none"/>
        </w:rPr>
        <w:t>商务/技术要求</w:t>
      </w:r>
      <w:r>
        <w:rPr>
          <w:rFonts w:hint="eastAsia" w:hAnsi="宋体"/>
          <w:color w:val="auto"/>
          <w:sz w:val="21"/>
          <w:highlight w:val="none"/>
        </w:rPr>
        <w:t>允许负偏离的条款数</w:t>
      </w:r>
      <w:r>
        <w:rPr>
          <w:rFonts w:hAnsi="宋体"/>
          <w:color w:val="auto"/>
          <w:sz w:val="21"/>
          <w:highlight w:val="none"/>
        </w:rPr>
        <w:t>详见</w:t>
      </w:r>
      <w:r>
        <w:rPr>
          <w:rFonts w:hint="eastAsia" w:hAnsi="宋体"/>
          <w:color w:val="auto"/>
          <w:sz w:val="21"/>
          <w:highlight w:val="none"/>
        </w:rPr>
        <w:t>“投标人须知前附表”。</w:t>
      </w:r>
    </w:p>
    <w:p w14:paraId="6E6D9423">
      <w:pPr>
        <w:pStyle w:val="24"/>
        <w:snapToGrid w:val="0"/>
        <w:spacing w:line="360" w:lineRule="auto"/>
        <w:ind w:firstLine="420" w:firstLineChars="200"/>
        <w:rPr>
          <w:rFonts w:hint="eastAsia" w:hAnsi="宋体" w:cs="宋体"/>
          <w:color w:val="auto"/>
          <w:sz w:val="21"/>
          <w:highlight w:val="none"/>
        </w:rPr>
      </w:pPr>
      <w:r>
        <w:rPr>
          <w:rFonts w:hint="eastAsia" w:hAnsi="宋体"/>
          <w:color w:val="auto"/>
          <w:sz w:val="21"/>
          <w:highlight w:val="none"/>
        </w:rPr>
        <w:t>2</w:t>
      </w:r>
      <w:r>
        <w:rPr>
          <w:rFonts w:hAnsi="宋体"/>
          <w:color w:val="auto"/>
          <w:sz w:val="21"/>
          <w:highlight w:val="none"/>
        </w:rPr>
        <w:t>9.3</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67F770A0">
      <w:pPr>
        <w:spacing w:line="360" w:lineRule="auto"/>
        <w:ind w:firstLine="420" w:firstLineChars="200"/>
        <w:rPr>
          <w:rFonts w:hint="eastAsia" w:hAnsi="宋体"/>
          <w:color w:val="auto"/>
          <w:szCs w:val="21"/>
          <w:highlight w:val="none"/>
        </w:rPr>
      </w:pPr>
      <w:r>
        <w:rPr>
          <w:rFonts w:hint="eastAsia" w:hAnsi="宋体"/>
          <w:color w:val="auto"/>
          <w:szCs w:val="21"/>
          <w:highlight w:val="none"/>
        </w:rPr>
        <w:t>29.</w:t>
      </w:r>
      <w:r>
        <w:rPr>
          <w:rFonts w:hAnsi="宋体"/>
          <w:color w:val="auto"/>
          <w:szCs w:val="21"/>
          <w:highlight w:val="none"/>
        </w:rPr>
        <w:t>4</w:t>
      </w:r>
      <w:r>
        <w:rPr>
          <w:rFonts w:hint="eastAsia" w:hAnsi="宋体"/>
          <w:color w:val="auto"/>
          <w:szCs w:val="21"/>
          <w:highlight w:val="none"/>
        </w:rPr>
        <w:t xml:space="preserve"> 电子交易活动的中止。采购过程中出现以下情形，导致电子交易平台无法正常运行，或者无法保证电子交易的公平、公正和安全时，采购代理机构可以中止电子交易活动：</w:t>
      </w:r>
    </w:p>
    <w:p w14:paraId="5ADB9B45">
      <w:pPr>
        <w:spacing w:line="360" w:lineRule="auto"/>
        <w:ind w:firstLine="420" w:firstLineChars="200"/>
        <w:rPr>
          <w:rFonts w:hint="eastAsia" w:hAnsi="宋体"/>
          <w:color w:val="auto"/>
          <w:szCs w:val="21"/>
          <w:highlight w:val="none"/>
        </w:rPr>
      </w:pPr>
      <w:r>
        <w:rPr>
          <w:rFonts w:hint="eastAsia" w:hAnsi="宋体"/>
          <w:color w:val="auto"/>
          <w:szCs w:val="21"/>
          <w:highlight w:val="none"/>
        </w:rPr>
        <w:t xml:space="preserve">（1）电子交易平台发生故障而无法登录访问的； </w:t>
      </w:r>
    </w:p>
    <w:p w14:paraId="3108B9C0">
      <w:pPr>
        <w:spacing w:line="360" w:lineRule="auto"/>
        <w:ind w:firstLine="420" w:firstLineChars="200"/>
        <w:rPr>
          <w:rFonts w:hint="eastAsia" w:hAnsi="宋体"/>
          <w:color w:val="auto"/>
          <w:szCs w:val="21"/>
          <w:highlight w:val="none"/>
        </w:rPr>
      </w:pPr>
      <w:r>
        <w:rPr>
          <w:rFonts w:hint="eastAsia" w:hAnsi="宋体"/>
          <w:color w:val="auto"/>
          <w:szCs w:val="21"/>
          <w:highlight w:val="none"/>
        </w:rPr>
        <w:t>（2）电子交易平台应用或数据库出现错误，不能进行正常操作的；</w:t>
      </w:r>
    </w:p>
    <w:p w14:paraId="7D8083C4">
      <w:pPr>
        <w:spacing w:line="360" w:lineRule="auto"/>
        <w:ind w:firstLine="420" w:firstLineChars="200"/>
        <w:rPr>
          <w:rFonts w:hint="eastAsia" w:hAnsi="宋体"/>
          <w:color w:val="auto"/>
          <w:szCs w:val="21"/>
          <w:highlight w:val="none"/>
        </w:rPr>
      </w:pPr>
      <w:r>
        <w:rPr>
          <w:rFonts w:hint="eastAsia" w:hAnsi="宋体"/>
          <w:color w:val="auto"/>
          <w:szCs w:val="21"/>
          <w:highlight w:val="none"/>
        </w:rPr>
        <w:t>（3）电子交易平台发现严重安全漏洞，有潜在泄密危险的；</w:t>
      </w:r>
    </w:p>
    <w:p w14:paraId="2A3A2465">
      <w:pPr>
        <w:spacing w:line="360" w:lineRule="auto"/>
        <w:ind w:firstLine="420" w:firstLineChars="200"/>
        <w:rPr>
          <w:rFonts w:hint="eastAsia" w:hAnsi="宋体"/>
          <w:color w:val="auto"/>
          <w:szCs w:val="21"/>
          <w:highlight w:val="none"/>
        </w:rPr>
      </w:pPr>
      <w:r>
        <w:rPr>
          <w:rFonts w:hint="eastAsia" w:hAnsi="宋体"/>
          <w:color w:val="auto"/>
          <w:szCs w:val="21"/>
          <w:highlight w:val="none"/>
        </w:rPr>
        <w:t xml:space="preserve">（4）病毒发作导致不能进行正常操作的； </w:t>
      </w:r>
    </w:p>
    <w:p w14:paraId="4B46EDBE">
      <w:pPr>
        <w:spacing w:line="360" w:lineRule="auto"/>
        <w:ind w:firstLine="420" w:firstLineChars="200"/>
        <w:rPr>
          <w:rFonts w:hint="eastAsia" w:hAnsi="宋体"/>
          <w:color w:val="auto"/>
          <w:szCs w:val="21"/>
          <w:highlight w:val="none"/>
        </w:rPr>
      </w:pPr>
      <w:r>
        <w:rPr>
          <w:rFonts w:hint="eastAsia" w:hAnsi="宋体"/>
          <w:color w:val="auto"/>
          <w:szCs w:val="21"/>
          <w:highlight w:val="none"/>
        </w:rPr>
        <w:t>（5）其他无法保证电子交易的公平、公正和安全的情况。</w:t>
      </w:r>
    </w:p>
    <w:p w14:paraId="05806DA9">
      <w:pPr>
        <w:spacing w:line="360" w:lineRule="auto"/>
        <w:ind w:firstLine="420" w:firstLineChars="200"/>
        <w:rPr>
          <w:rFonts w:hint="eastAsia" w:hAnsi="宋体"/>
          <w:color w:val="auto"/>
          <w:szCs w:val="21"/>
          <w:highlight w:val="none"/>
        </w:rPr>
      </w:pPr>
      <w:r>
        <w:rPr>
          <w:rFonts w:hint="eastAsia" w:hAnsi="宋体"/>
          <w:color w:val="auto"/>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2578A51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29.5出现下列情形之一的，应予废标：</w:t>
      </w:r>
    </w:p>
    <w:p w14:paraId="721DBA0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（1）符合专业条件的供应商或者对招标文件作实质响应的供应商不足三家的；</w:t>
      </w:r>
    </w:p>
    <w:p w14:paraId="290D549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（2）出现影响采购公正的违法、违规行为的；</w:t>
      </w:r>
    </w:p>
    <w:p w14:paraId="03D09E6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668355A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（4）因重大变故，采购任务取消的。</w:t>
      </w:r>
    </w:p>
    <w:p w14:paraId="47B8AEB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废标后，采购人应当将废标理由通知所有投标人。</w:t>
      </w:r>
    </w:p>
    <w:p w14:paraId="147122EC">
      <w:pPr>
        <w:pStyle w:val="24"/>
        <w:snapToGrid w:val="0"/>
        <w:spacing w:line="360" w:lineRule="auto"/>
        <w:rPr>
          <w:rFonts w:hint="eastAsia" w:hAnsi="宋体"/>
          <w:color w:val="auto"/>
          <w:sz w:val="21"/>
          <w:highlight w:val="none"/>
        </w:rPr>
      </w:pPr>
    </w:p>
    <w:p w14:paraId="0D6A74FD">
      <w:pPr>
        <w:pStyle w:val="4"/>
        <w:keepNext w:val="0"/>
        <w:keepLines w:val="0"/>
        <w:jc w:val="center"/>
        <w:rPr>
          <w:color w:val="auto"/>
          <w:highlight w:val="none"/>
        </w:rPr>
      </w:pPr>
      <w:bookmarkStart w:id="143" w:name="_Toc254970546"/>
      <w:bookmarkStart w:id="144" w:name="_Toc254970687"/>
      <w:r>
        <w:rPr>
          <w:rFonts w:hint="eastAsia"/>
          <w:color w:val="auto"/>
          <w:highlight w:val="none"/>
        </w:rPr>
        <w:t>七、</w:t>
      </w:r>
      <w:bookmarkEnd w:id="143"/>
      <w:bookmarkEnd w:id="144"/>
      <w:r>
        <w:rPr>
          <w:rFonts w:hint="eastAsia"/>
          <w:color w:val="auto"/>
          <w:highlight w:val="none"/>
        </w:rPr>
        <w:t>中标和合同</w:t>
      </w:r>
    </w:p>
    <w:p w14:paraId="44DAA125">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30</w:t>
      </w:r>
      <w:r>
        <w:rPr>
          <w:rFonts w:ascii="黑体" w:hAnsi="黑体" w:eastAsia="黑体"/>
          <w:color w:val="auto"/>
          <w:sz w:val="24"/>
          <w:highlight w:val="none"/>
        </w:rPr>
        <w:t xml:space="preserve"> </w:t>
      </w:r>
      <w:r>
        <w:rPr>
          <w:rFonts w:hint="eastAsia" w:ascii="黑体" w:hAnsi="黑体" w:eastAsia="黑体"/>
          <w:color w:val="auto"/>
          <w:sz w:val="24"/>
          <w:highlight w:val="none"/>
        </w:rPr>
        <w:t>.确定中标供应商</w:t>
      </w:r>
    </w:p>
    <w:p w14:paraId="5593CB49">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供应商。中标候选人并列的，按照“投标人须知前附表”规定的方式确定中标供应商。采购人也可以事先授权评标委员会直接确定中标供应商。</w:t>
      </w:r>
    </w:p>
    <w:p w14:paraId="5CCDA2A3">
      <w:pPr>
        <w:snapToGrid w:val="0"/>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采购人在收到评标报告5个工作日内未按评标报告推荐的中标候选人顺序确定中标供应商，又不能说明合法理由的，视同按评标报告推荐的顺序确定排名第一的中标候选人为中标供应商。</w:t>
      </w:r>
    </w:p>
    <w:p w14:paraId="72CC15B2">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31. 结果公告</w:t>
      </w:r>
    </w:p>
    <w:p w14:paraId="3948410E">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供应商确定之日起2个工作日内，在省级以上财政部门指定的媒体上公告中标结果，招标文件应当随中标结果同时公告。采购人或者采购代理发出中标通知书前，应当对中标供应商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供应商。排名第二的中标候选人因前款规定的同样原因被取消中标资格的，采购人可以确定排名第三的中标候选人为中标供应商，以此类推。</w:t>
      </w:r>
    </w:p>
    <w:p w14:paraId="131D2E6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以上信息查询记录及相关证据与招标文件一并保存。</w:t>
      </w:r>
    </w:p>
    <w:p w14:paraId="2090F480">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1DE72AFC">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32.发出中标通知书</w:t>
      </w:r>
    </w:p>
    <w:p w14:paraId="47A7CC72">
      <w:pPr>
        <w:pStyle w:val="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 xml:space="preserve">   </w:t>
      </w:r>
      <w:r>
        <w:rPr>
          <w:rFonts w:hint="eastAsia" w:ascii="宋体" w:hAnsi="宋体"/>
          <w:b w:val="0"/>
          <w:color w:val="auto"/>
          <w:sz w:val="21"/>
          <w:szCs w:val="21"/>
          <w:highlight w:val="none"/>
        </w:rPr>
        <w:t>在发布中标公告的同时，采购代理机构向中标供应商通过广西政府采购云平台发出电子中标通知书。对未通过资格审查的投标人，应当告知其未通过的原因；采用综合评分办法评审的，还应当告知未中标供应商本人的评审得分与排序。</w:t>
      </w:r>
    </w:p>
    <w:p w14:paraId="6DB24692">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67AABC76">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w:t>
      </w:r>
    </w:p>
    <w:p w14:paraId="305B17D8">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6F824A7E">
      <w:pPr>
        <w:snapToGrid w:val="0"/>
        <w:spacing w:line="360" w:lineRule="auto"/>
        <w:ind w:firstLine="420" w:firstLineChars="20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合同将授予被确定实质上响应招标文件要求，具备履行合同能力的中标供应商。</w:t>
      </w:r>
    </w:p>
    <w:p w14:paraId="7AEE3D27">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11B61B4D">
      <w:pPr>
        <w:pStyle w:val="5"/>
        <w:keepNext w:val="0"/>
        <w:keepLines w:val="0"/>
        <w:spacing w:before="0" w:after="0" w:line="360" w:lineRule="auto"/>
        <w:ind w:firstLine="315" w:firstLineChars="150"/>
        <w:rPr>
          <w:rFonts w:hint="eastAsia" w:ascii="宋体" w:hAnsi="宋体"/>
          <w:b w:val="0"/>
          <w:color w:val="auto"/>
          <w:sz w:val="21"/>
          <w:szCs w:val="21"/>
          <w:highlight w:val="none"/>
        </w:rPr>
      </w:pPr>
      <w:bookmarkStart w:id="145" w:name="_39.1中标人须于签订合同前按本须知前附表规定的金额转账或电汇到指定账"/>
      <w:bookmarkEnd w:id="145"/>
      <w:r>
        <w:rPr>
          <w:rFonts w:ascii="宋体" w:hAnsi="宋体"/>
          <w:b w:val="0"/>
          <w:color w:val="auto"/>
          <w:sz w:val="21"/>
          <w:szCs w:val="21"/>
          <w:highlight w:val="none"/>
        </w:rPr>
        <w:t xml:space="preserve"> </w:t>
      </w:r>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 履约保证金的金额、提交方式、缴纳期限、退付的时间和条件详见 “投标人须知前附表”。中标供应商未按规定提交履约保证金的，视为拒绝与采购人签订合同。</w:t>
      </w:r>
    </w:p>
    <w:p w14:paraId="12E81BF9">
      <w:pPr>
        <w:pStyle w:val="5"/>
        <w:keepNext w:val="0"/>
        <w:keepLines w:val="0"/>
        <w:spacing w:before="0" w:after="0" w:line="360" w:lineRule="auto"/>
        <w:ind w:firstLine="316" w:firstLineChars="150"/>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b w:val="0"/>
          <w:bCs/>
          <w:color w:val="auto"/>
          <w:sz w:val="21"/>
          <w:szCs w:val="21"/>
          <w:highlight w:val="none"/>
        </w:rPr>
        <w:t>35.2在履约保证金退还日期前，若中标供应商的开户名称、开户银行、账号有变动的，请以书面形式通知履约保证金收取单位，否则由此产生的后果由中标供应商自行承担。</w:t>
      </w:r>
    </w:p>
    <w:p w14:paraId="182FE96D">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412B2BB5">
      <w:pPr>
        <w:pStyle w:val="5"/>
        <w:keepNext w:val="0"/>
        <w:keepLines w:val="0"/>
        <w:spacing w:before="0" w:after="0" w:line="360" w:lineRule="auto"/>
        <w:ind w:firstLine="315" w:firstLineChars="150"/>
        <w:rPr>
          <w:rFonts w:hint="eastAsia" w:ascii="宋体" w:hAnsi="宋体"/>
          <w:b w:val="0"/>
          <w:color w:val="auto"/>
          <w:sz w:val="21"/>
          <w:szCs w:val="21"/>
          <w:highlight w:val="none"/>
        </w:rPr>
      </w:pPr>
      <w:bookmarkStart w:id="146" w:name="_40.1投标人接到中标通知书后，按须知前附表规定向采购人出示相关资格证"/>
      <w:bookmarkEnd w:id="146"/>
      <w:r>
        <w:rPr>
          <w:rFonts w:hint="eastAsia" w:ascii="宋体" w:hAnsi="宋体"/>
          <w:b w:val="0"/>
          <w:color w:val="auto"/>
          <w:sz w:val="21"/>
          <w:szCs w:val="21"/>
          <w:highlight w:val="none"/>
        </w:rPr>
        <w:t xml:space="preserve"> </w:t>
      </w:r>
      <w:r>
        <w:rPr>
          <w:rFonts w:hint="eastAsia" w:ascii="宋体" w:hAnsi="宋体"/>
          <w:color w:val="auto"/>
          <w:sz w:val="21"/>
          <w:szCs w:val="21"/>
          <w:highlight w:val="none"/>
        </w:rPr>
        <w:t>36.1签订电子采购合同：中标供应商领取电子中标通知书后，</w:t>
      </w:r>
      <w:r>
        <w:rPr>
          <w:rFonts w:hint="eastAsia" w:ascii="宋体" w:hAnsi="宋体"/>
          <w:color w:val="auto"/>
          <w:kern w:val="0"/>
          <w:sz w:val="21"/>
          <w:szCs w:val="21"/>
          <w:highlight w:val="none"/>
        </w:rPr>
        <w:t>在</w:t>
      </w:r>
      <w:r>
        <w:rPr>
          <w:rFonts w:hint="eastAsia" w:ascii="宋体" w:hAnsi="宋体"/>
          <w:color w:val="auto"/>
          <w:kern w:val="0"/>
          <w:sz w:val="21"/>
          <w:szCs w:val="21"/>
          <w:highlight w:val="none"/>
          <w:lang w:val="zh-CN"/>
        </w:rPr>
        <w:t>规定的日期、时间、地点，由法定代表人或其授权代表与采购人代表签订电子采购合同。如中标供应商为联合体的，由联合体成员各方法定代表人或其授权代表与采购人代表签订合同。</w:t>
      </w:r>
    </w:p>
    <w:p w14:paraId="111CE18A">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5D80E200">
      <w:pPr>
        <w:pStyle w:val="5"/>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w:t>
      </w:r>
    </w:p>
    <w:p w14:paraId="7816F04C">
      <w:pPr>
        <w:pStyle w:val="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供应商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34A8A89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D7785F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4E29071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5BC7D83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36.7</w:t>
      </w:r>
      <w:r>
        <w:rPr>
          <w:rFonts w:hint="eastAsia" w:ascii="宋体" w:hAnsi="宋体" w:cs="宋体"/>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0AF53E5E">
      <w:pPr>
        <w:pStyle w:val="5"/>
        <w:keepNext w:val="0"/>
        <w:keepLines w:val="0"/>
        <w:spacing w:before="0" w:after="0" w:line="360" w:lineRule="auto"/>
        <w:ind w:left="420" w:leftChars="200"/>
        <w:rPr>
          <w:rFonts w:hint="eastAsia" w:ascii="黑体" w:hAnsi="黑体" w:eastAsia="黑体"/>
          <w:color w:val="auto"/>
          <w:sz w:val="24"/>
          <w:highlight w:val="none"/>
        </w:rPr>
      </w:pPr>
      <w:bookmarkStart w:id="147" w:name="_41.政府采购合同公告"/>
      <w:bookmarkEnd w:id="147"/>
      <w:r>
        <w:rPr>
          <w:rFonts w:hint="eastAsia" w:ascii="黑体" w:hAnsi="黑体" w:eastAsia="黑体"/>
          <w:color w:val="auto"/>
          <w:sz w:val="24"/>
          <w:highlight w:val="none"/>
        </w:rPr>
        <w:t>37.政府采购合同公告</w:t>
      </w:r>
    </w:p>
    <w:p w14:paraId="1DA36104">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2D65A113">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77EE1888">
      <w:pPr>
        <w:pStyle w:val="6"/>
        <w:spacing w:line="360" w:lineRule="auto"/>
        <w:rPr>
          <w:rFonts w:hint="eastAsia"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5960B271">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538AF834">
      <w:pPr>
        <w:pStyle w:val="24"/>
        <w:snapToGrid w:val="0"/>
        <w:spacing w:line="360" w:lineRule="auto"/>
        <w:ind w:firstLine="420" w:firstLineChars="20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6B402639">
      <w:pPr>
        <w:pStyle w:val="24"/>
        <w:snapToGrid w:val="0"/>
        <w:spacing w:line="360" w:lineRule="auto"/>
        <w:ind w:firstLine="420" w:firstLineChars="20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29109865">
      <w:pPr>
        <w:pStyle w:val="24"/>
        <w:snapToGrid w:val="0"/>
        <w:spacing w:line="360" w:lineRule="auto"/>
        <w:ind w:firstLine="420" w:firstLineChars="200"/>
        <w:rPr>
          <w:rFonts w:hint="eastAsia"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516287A9">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hAnsi="宋体"/>
          <w:b w:val="0"/>
          <w:bCs/>
          <w:color w:val="auto"/>
          <w:sz w:val="21"/>
          <w:highlight w:val="none"/>
        </w:rPr>
        <w:t>供应商提出质疑应当提交质疑函和必要的证明材料</w:t>
      </w:r>
      <w:r>
        <w:rPr>
          <w:rFonts w:hint="eastAsia" w:hAnsi="宋体"/>
          <w:b w:val="0"/>
          <w:bCs/>
          <w:color w:val="auto"/>
          <w:sz w:val="21"/>
          <w:highlight w:val="none"/>
        </w:rPr>
        <w:t>，</w:t>
      </w:r>
      <w:r>
        <w:rPr>
          <w:rFonts w:hAnsi="宋体"/>
          <w:b w:val="0"/>
          <w:bCs/>
          <w:color w:val="auto"/>
          <w:sz w:val="21"/>
          <w:highlight w:val="none"/>
        </w:rPr>
        <w:t>针对同一采购程序环节的质疑</w:t>
      </w:r>
      <w:r>
        <w:rPr>
          <w:rFonts w:hint="eastAsia" w:hAnsi="宋体"/>
          <w:b w:val="0"/>
          <w:bCs/>
          <w:color w:val="auto"/>
          <w:sz w:val="21"/>
          <w:highlight w:val="none"/>
        </w:rPr>
        <w:t>必须</w:t>
      </w:r>
      <w:r>
        <w:rPr>
          <w:rFonts w:hAnsi="宋体"/>
          <w:b w:val="0"/>
          <w:bCs/>
          <w:color w:val="auto"/>
          <w:sz w:val="21"/>
          <w:highlight w:val="none"/>
        </w:rPr>
        <w:t>在法定质疑期内一次性提出。质疑函应当包括下列内容</w:t>
      </w:r>
      <w:r>
        <w:rPr>
          <w:rFonts w:hint="eastAsia" w:hAnsi="宋体"/>
          <w:b w:val="0"/>
          <w:bCs/>
          <w:color w:val="auto"/>
          <w:sz w:val="21"/>
          <w:highlight w:val="none"/>
        </w:rPr>
        <w:t>（质疑函格式后附）</w:t>
      </w:r>
      <w:r>
        <w:rPr>
          <w:rFonts w:hAnsi="宋体"/>
          <w:b w:val="0"/>
          <w:bCs/>
          <w:color w:val="auto"/>
          <w:sz w:val="21"/>
          <w:highlight w:val="none"/>
        </w:rPr>
        <w:t>：</w:t>
      </w:r>
    </w:p>
    <w:p w14:paraId="0BA26C4B">
      <w:pPr>
        <w:pStyle w:val="24"/>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7B4875AF">
      <w:pPr>
        <w:pStyle w:val="24"/>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552575C4">
      <w:pPr>
        <w:pStyle w:val="24"/>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665C4B62">
      <w:pPr>
        <w:pStyle w:val="24"/>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73CF8A7A">
      <w:pPr>
        <w:pStyle w:val="24"/>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12202A1D">
      <w:pPr>
        <w:pStyle w:val="24"/>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053C499F">
      <w:pPr>
        <w:pStyle w:val="24"/>
        <w:snapToGrid w:val="0"/>
        <w:spacing w:line="360" w:lineRule="auto"/>
        <w:ind w:firstLine="420" w:firstLineChars="200"/>
        <w:rPr>
          <w:rFonts w:hint="eastAsia" w:hAnsi="宋体"/>
          <w:bCs/>
          <w:color w:val="auto"/>
          <w:sz w:val="21"/>
          <w:highlight w:val="none"/>
        </w:rPr>
      </w:pPr>
      <w:r>
        <w:rPr>
          <w:rFonts w:hAnsi="宋体"/>
          <w:bCs/>
          <w:color w:val="auto"/>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auto"/>
          <w:sz w:val="21"/>
          <w:highlight w:val="none"/>
        </w:rPr>
        <w:t>。</w:t>
      </w:r>
    </w:p>
    <w:p w14:paraId="5A5FAD79">
      <w:pPr>
        <w:pStyle w:val="5"/>
        <w:keepNext w:val="0"/>
        <w:keepLines w:val="0"/>
        <w:snapToGrid w:val="0"/>
        <w:spacing w:before="0" w:after="0" w:line="360" w:lineRule="auto"/>
        <w:ind w:firstLine="420" w:firstLineChars="200"/>
        <w:rPr>
          <w:rFonts w:hint="eastAsia"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665B0826">
      <w:pPr>
        <w:pStyle w:val="24"/>
        <w:snapToGrid w:val="0"/>
        <w:spacing w:line="360" w:lineRule="auto"/>
        <w:rPr>
          <w:rFonts w:hint="eastAsia" w:hAnsi="宋体"/>
          <w:bCs/>
          <w:color w:val="auto"/>
          <w:sz w:val="21"/>
          <w:highlight w:val="none"/>
        </w:rPr>
      </w:pPr>
      <w:r>
        <w:rPr>
          <w:rFonts w:hint="eastAsia" w:hAnsi="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611F93F4">
      <w:pPr>
        <w:pStyle w:val="24"/>
        <w:snapToGrid w:val="0"/>
        <w:spacing w:line="360" w:lineRule="auto"/>
        <w:rPr>
          <w:rFonts w:hint="eastAsia" w:hAnsi="宋体"/>
          <w:bCs/>
          <w:color w:val="auto"/>
          <w:sz w:val="21"/>
          <w:highlight w:val="none"/>
        </w:rPr>
      </w:pPr>
      <w:r>
        <w:rPr>
          <w:rFonts w:hint="eastAsia" w:hAnsi="宋体"/>
          <w:bCs/>
          <w:color w:val="auto"/>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1C922147">
      <w:pPr>
        <w:pStyle w:val="24"/>
        <w:snapToGrid w:val="0"/>
        <w:spacing w:line="360" w:lineRule="auto"/>
        <w:ind w:firstLine="420"/>
        <w:rPr>
          <w:rFonts w:hint="eastAsia"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36CF915C">
      <w:pPr>
        <w:pStyle w:val="24"/>
        <w:snapToGrid w:val="0"/>
        <w:spacing w:line="360" w:lineRule="auto"/>
        <w:ind w:firstLine="420" w:firstLineChars="200"/>
        <w:rPr>
          <w:rFonts w:hint="eastAsia"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7E8156B">
      <w:pPr>
        <w:pStyle w:val="4"/>
        <w:keepNext w:val="0"/>
        <w:keepLines w:val="0"/>
        <w:jc w:val="center"/>
        <w:rPr>
          <w:color w:val="auto"/>
          <w:highlight w:val="none"/>
        </w:rPr>
      </w:pPr>
      <w:r>
        <w:rPr>
          <w:rFonts w:hint="eastAsia"/>
          <w:color w:val="auto"/>
          <w:highlight w:val="none"/>
        </w:rPr>
        <w:t>八、其他事项</w:t>
      </w:r>
    </w:p>
    <w:p w14:paraId="33B26C09">
      <w:pPr>
        <w:pStyle w:val="5"/>
        <w:keepNext w:val="0"/>
        <w:keepLines w:val="0"/>
        <w:spacing w:before="0" w:after="0" w:line="360" w:lineRule="auto"/>
        <w:ind w:left="420" w:leftChars="200"/>
        <w:rPr>
          <w:rFonts w:hint="eastAsia" w:ascii="黑体" w:hAnsi="黑体" w:eastAsia="黑体"/>
          <w:color w:val="auto"/>
          <w:sz w:val="24"/>
          <w:highlight w:val="none"/>
        </w:rPr>
      </w:pPr>
      <w:bookmarkStart w:id="148" w:name="_42.代理服务费"/>
      <w:bookmarkEnd w:id="148"/>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787BA28E">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.1代理服务</w:t>
      </w:r>
      <w:r>
        <w:rPr>
          <w:rFonts w:hint="eastAsia" w:ascii="宋体" w:hAnsi="宋体"/>
          <w:b w:val="0"/>
          <w:color w:val="auto"/>
          <w:sz w:val="21"/>
          <w:szCs w:val="21"/>
          <w:highlight w:val="none"/>
          <w:lang w:val="en-US" w:eastAsia="zh-CN"/>
        </w:rPr>
        <w:t>费</w:t>
      </w:r>
      <w:r>
        <w:rPr>
          <w:rFonts w:hint="eastAsia" w:ascii="宋体" w:hAnsi="宋体"/>
          <w:b w:val="0"/>
          <w:color w:val="auto"/>
          <w:sz w:val="21"/>
          <w:szCs w:val="21"/>
          <w:highlight w:val="none"/>
        </w:rPr>
        <w:t>收取标准及缴费账户详见“投标人须知前附表”，投标人为联合体的，可以由联合体中的一方或者多方共同交纳代理服务费。</w:t>
      </w:r>
    </w:p>
    <w:p w14:paraId="3297C15B">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.2代理服务</w:t>
      </w:r>
      <w:r>
        <w:rPr>
          <w:rFonts w:hint="eastAsia" w:ascii="宋体" w:hAnsi="宋体"/>
          <w:b w:val="0"/>
          <w:color w:val="auto"/>
          <w:sz w:val="21"/>
          <w:szCs w:val="21"/>
          <w:highlight w:val="none"/>
          <w:lang w:val="en-US" w:eastAsia="zh-CN"/>
        </w:rPr>
        <w:t>费</w:t>
      </w:r>
      <w:r>
        <w:rPr>
          <w:rFonts w:hint="eastAsia" w:ascii="宋体" w:hAnsi="宋体"/>
          <w:b w:val="0"/>
          <w:color w:val="auto"/>
          <w:sz w:val="21"/>
          <w:szCs w:val="21"/>
          <w:highlight w:val="none"/>
        </w:rPr>
        <w:t>收费标准：</w:t>
      </w:r>
    </w:p>
    <w:p w14:paraId="448CE85E">
      <w:pPr>
        <w:spacing w:line="360" w:lineRule="auto"/>
        <w:rPr>
          <w:rFonts w:hint="eastAsia" w:ascii="宋体" w:hAnsi="宋体"/>
          <w:color w:val="auto"/>
          <w:szCs w:val="21"/>
          <w:highlight w:val="none"/>
        </w:rPr>
      </w:pPr>
    </w:p>
    <w:tbl>
      <w:tblPr>
        <w:tblStyle w:val="46"/>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06B3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A21D8FA">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费率</w:t>
            </w:r>
          </w:p>
          <w:p w14:paraId="26E45B77">
            <w:pPr>
              <w:spacing w:line="360" w:lineRule="auto"/>
              <w:rPr>
                <w:rFonts w:hint="eastAsia" w:ascii="宋体" w:hAnsi="宋体"/>
                <w:color w:val="auto"/>
                <w:szCs w:val="21"/>
                <w:highlight w:val="none"/>
              </w:rPr>
            </w:pPr>
            <w:r>
              <w:rPr>
                <w:rFonts w:hint="eastAsia" w:ascii="宋体" w:hAnsi="宋体"/>
                <w:color w:val="auto"/>
                <w:szCs w:val="21"/>
                <w:highlight w:val="none"/>
              </w:rPr>
              <w:t>中标金额</w:t>
            </w:r>
          </w:p>
        </w:tc>
        <w:tc>
          <w:tcPr>
            <w:tcW w:w="1659" w:type="dxa"/>
            <w:tcBorders>
              <w:top w:val="single" w:color="auto" w:sz="4" w:space="0"/>
              <w:left w:val="single" w:color="auto" w:sz="4" w:space="0"/>
              <w:bottom w:val="single" w:color="auto" w:sz="4" w:space="0"/>
              <w:right w:val="single" w:color="auto" w:sz="4" w:space="0"/>
            </w:tcBorders>
            <w:vAlign w:val="center"/>
          </w:tcPr>
          <w:p w14:paraId="7AACFADA">
            <w:pPr>
              <w:spacing w:line="360" w:lineRule="auto"/>
              <w:ind w:firstLine="105" w:firstLineChars="50"/>
              <w:jc w:val="center"/>
              <w:rPr>
                <w:rFonts w:hint="eastAsia" w:ascii="宋体" w:hAnsi="宋体"/>
                <w:color w:val="auto"/>
                <w:szCs w:val="21"/>
                <w:highlight w:val="none"/>
              </w:rPr>
            </w:pPr>
            <w:r>
              <w:rPr>
                <w:rFonts w:hint="eastAsia" w:ascii="宋体" w:hAnsi="宋体"/>
                <w:color w:val="auto"/>
                <w:szCs w:val="21"/>
                <w:highlight w:val="none"/>
              </w:rPr>
              <w:t>货物招标</w:t>
            </w:r>
          </w:p>
        </w:tc>
        <w:tc>
          <w:tcPr>
            <w:tcW w:w="1687" w:type="dxa"/>
            <w:tcBorders>
              <w:top w:val="single" w:color="auto" w:sz="4" w:space="0"/>
              <w:left w:val="single" w:color="auto" w:sz="4" w:space="0"/>
              <w:bottom w:val="single" w:color="auto" w:sz="4" w:space="0"/>
              <w:right w:val="single" w:color="auto" w:sz="4" w:space="0"/>
            </w:tcBorders>
            <w:vAlign w:val="center"/>
          </w:tcPr>
          <w:p w14:paraId="42793400">
            <w:pPr>
              <w:spacing w:line="360" w:lineRule="auto"/>
              <w:jc w:val="center"/>
              <w:rPr>
                <w:rFonts w:hint="eastAsia" w:ascii="宋体" w:hAnsi="宋体"/>
                <w:color w:val="auto"/>
                <w:szCs w:val="21"/>
                <w:highlight w:val="none"/>
              </w:rPr>
            </w:pPr>
            <w:r>
              <w:rPr>
                <w:rFonts w:hint="eastAsia" w:ascii="宋体" w:hAnsi="宋体"/>
                <w:color w:val="auto"/>
                <w:szCs w:val="21"/>
                <w:highlight w:val="none"/>
              </w:rPr>
              <w:t>服务招标</w:t>
            </w:r>
          </w:p>
        </w:tc>
        <w:tc>
          <w:tcPr>
            <w:tcW w:w="1659" w:type="dxa"/>
            <w:tcBorders>
              <w:top w:val="single" w:color="auto" w:sz="4" w:space="0"/>
              <w:left w:val="single" w:color="auto" w:sz="4" w:space="0"/>
              <w:bottom w:val="single" w:color="auto" w:sz="4" w:space="0"/>
              <w:right w:val="single" w:color="auto" w:sz="4" w:space="0"/>
            </w:tcBorders>
            <w:vAlign w:val="center"/>
          </w:tcPr>
          <w:p w14:paraId="4B6C6335">
            <w:pPr>
              <w:spacing w:line="360" w:lineRule="auto"/>
              <w:jc w:val="center"/>
              <w:rPr>
                <w:rFonts w:hint="eastAsia" w:ascii="宋体" w:hAnsi="宋体"/>
                <w:color w:val="auto"/>
                <w:szCs w:val="21"/>
                <w:highlight w:val="none"/>
              </w:rPr>
            </w:pPr>
            <w:r>
              <w:rPr>
                <w:rFonts w:hint="eastAsia" w:ascii="宋体" w:hAnsi="宋体"/>
                <w:color w:val="auto"/>
                <w:szCs w:val="21"/>
                <w:highlight w:val="none"/>
              </w:rPr>
              <w:t>工程招标</w:t>
            </w:r>
          </w:p>
        </w:tc>
      </w:tr>
      <w:tr w14:paraId="5D19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2CF5E884">
            <w:pPr>
              <w:spacing w:line="360" w:lineRule="auto"/>
              <w:rPr>
                <w:rFonts w:hint="eastAsia" w:ascii="宋体" w:hAnsi="宋体"/>
                <w:color w:val="auto"/>
                <w:szCs w:val="21"/>
                <w:highlight w:val="none"/>
              </w:rPr>
            </w:pPr>
            <w:r>
              <w:rPr>
                <w:rFonts w:hint="eastAsia" w:ascii="宋体" w:hAnsi="宋体"/>
                <w:color w:val="auto"/>
                <w:szCs w:val="21"/>
                <w:highlight w:val="none"/>
              </w:rPr>
              <w:t>100万元以下</w:t>
            </w:r>
          </w:p>
        </w:tc>
        <w:tc>
          <w:tcPr>
            <w:tcW w:w="1659" w:type="dxa"/>
            <w:tcBorders>
              <w:top w:val="single" w:color="auto" w:sz="4" w:space="0"/>
              <w:left w:val="single" w:color="auto" w:sz="4" w:space="0"/>
              <w:bottom w:val="single" w:color="auto" w:sz="4" w:space="0"/>
              <w:right w:val="single" w:color="auto" w:sz="4" w:space="0"/>
            </w:tcBorders>
          </w:tcPr>
          <w:p w14:paraId="2258D916">
            <w:pPr>
              <w:spacing w:line="360" w:lineRule="auto"/>
              <w:rPr>
                <w:rFonts w:hint="eastAsia" w:ascii="宋体" w:hAnsi="宋体"/>
                <w:color w:val="auto"/>
                <w:szCs w:val="21"/>
                <w:highlight w:val="none"/>
              </w:rPr>
            </w:pPr>
            <w:r>
              <w:rPr>
                <w:rFonts w:hint="eastAsia" w:ascii="宋体" w:hAnsi="宋体" w:cs="宋体"/>
                <w:color w:val="auto"/>
                <w:kern w:val="0"/>
                <w:szCs w:val="21"/>
                <w:highlight w:val="none"/>
              </w:rPr>
              <w:t xml:space="preserve">  1.5%                </w:t>
            </w:r>
          </w:p>
        </w:tc>
        <w:tc>
          <w:tcPr>
            <w:tcW w:w="1687" w:type="dxa"/>
            <w:tcBorders>
              <w:top w:val="single" w:color="auto" w:sz="4" w:space="0"/>
              <w:left w:val="single" w:color="auto" w:sz="4" w:space="0"/>
              <w:bottom w:val="single" w:color="auto" w:sz="4" w:space="0"/>
              <w:right w:val="single" w:color="auto" w:sz="4" w:space="0"/>
            </w:tcBorders>
          </w:tcPr>
          <w:p w14:paraId="35FE0720">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1.5%</w:t>
            </w:r>
          </w:p>
        </w:tc>
        <w:tc>
          <w:tcPr>
            <w:tcW w:w="1659" w:type="dxa"/>
            <w:tcBorders>
              <w:top w:val="single" w:color="auto" w:sz="4" w:space="0"/>
              <w:left w:val="single" w:color="auto" w:sz="4" w:space="0"/>
              <w:bottom w:val="single" w:color="auto" w:sz="4" w:space="0"/>
              <w:right w:val="single" w:color="auto" w:sz="4" w:space="0"/>
            </w:tcBorders>
          </w:tcPr>
          <w:p w14:paraId="516E7ADA">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1.0% </w:t>
            </w:r>
          </w:p>
        </w:tc>
      </w:tr>
      <w:tr w14:paraId="5E74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375526F9">
            <w:pPr>
              <w:spacing w:line="360" w:lineRule="auto"/>
              <w:rPr>
                <w:rFonts w:hint="eastAsia" w:ascii="宋体" w:hAnsi="宋体"/>
                <w:color w:val="auto"/>
                <w:szCs w:val="21"/>
                <w:highlight w:val="none"/>
              </w:rPr>
            </w:pPr>
            <w:r>
              <w:rPr>
                <w:rFonts w:hint="eastAsia" w:ascii="宋体" w:hAnsi="宋体"/>
                <w:color w:val="auto"/>
                <w:szCs w:val="21"/>
                <w:highlight w:val="none"/>
              </w:rPr>
              <w:t>100万元～500万元</w:t>
            </w:r>
          </w:p>
        </w:tc>
        <w:tc>
          <w:tcPr>
            <w:tcW w:w="1659" w:type="dxa"/>
            <w:tcBorders>
              <w:top w:val="single" w:color="auto" w:sz="4" w:space="0"/>
              <w:left w:val="single" w:color="auto" w:sz="4" w:space="0"/>
              <w:bottom w:val="single" w:color="auto" w:sz="4" w:space="0"/>
              <w:right w:val="single" w:color="auto" w:sz="4" w:space="0"/>
            </w:tcBorders>
          </w:tcPr>
          <w:p w14:paraId="0D740FBE">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1.1%                 </w:t>
            </w:r>
          </w:p>
        </w:tc>
        <w:tc>
          <w:tcPr>
            <w:tcW w:w="1687" w:type="dxa"/>
            <w:tcBorders>
              <w:top w:val="single" w:color="auto" w:sz="4" w:space="0"/>
              <w:left w:val="single" w:color="auto" w:sz="4" w:space="0"/>
              <w:bottom w:val="single" w:color="auto" w:sz="4" w:space="0"/>
              <w:right w:val="single" w:color="auto" w:sz="4" w:space="0"/>
            </w:tcBorders>
          </w:tcPr>
          <w:p w14:paraId="06FBB29B">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0.8%</w:t>
            </w:r>
          </w:p>
        </w:tc>
        <w:tc>
          <w:tcPr>
            <w:tcW w:w="1659" w:type="dxa"/>
            <w:tcBorders>
              <w:top w:val="single" w:color="auto" w:sz="4" w:space="0"/>
              <w:left w:val="single" w:color="auto" w:sz="4" w:space="0"/>
              <w:bottom w:val="single" w:color="auto" w:sz="4" w:space="0"/>
              <w:right w:val="single" w:color="auto" w:sz="4" w:space="0"/>
            </w:tcBorders>
          </w:tcPr>
          <w:p w14:paraId="75AEC00A">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0.7% </w:t>
            </w:r>
          </w:p>
        </w:tc>
      </w:tr>
      <w:tr w14:paraId="5917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0671ED3">
            <w:pPr>
              <w:spacing w:line="360" w:lineRule="auto"/>
              <w:rPr>
                <w:rFonts w:hint="eastAsia" w:ascii="宋体" w:hAnsi="宋体"/>
                <w:color w:val="auto"/>
                <w:szCs w:val="21"/>
                <w:highlight w:val="none"/>
              </w:rPr>
            </w:pPr>
            <w:r>
              <w:rPr>
                <w:rFonts w:hint="eastAsia" w:ascii="宋体" w:hAnsi="宋体"/>
                <w:color w:val="auto"/>
                <w:szCs w:val="21"/>
                <w:highlight w:val="none"/>
              </w:rPr>
              <w:t>500万元～1000万元</w:t>
            </w:r>
          </w:p>
        </w:tc>
        <w:tc>
          <w:tcPr>
            <w:tcW w:w="1659" w:type="dxa"/>
            <w:tcBorders>
              <w:top w:val="single" w:color="auto" w:sz="4" w:space="0"/>
              <w:left w:val="single" w:color="auto" w:sz="4" w:space="0"/>
              <w:bottom w:val="single" w:color="auto" w:sz="4" w:space="0"/>
              <w:right w:val="single" w:color="auto" w:sz="4" w:space="0"/>
            </w:tcBorders>
          </w:tcPr>
          <w:p w14:paraId="61C200BA">
            <w:pPr>
              <w:spacing w:line="360" w:lineRule="auto"/>
              <w:rPr>
                <w:rFonts w:hint="eastAsia" w:ascii="宋体" w:hAnsi="宋体"/>
                <w:color w:val="auto"/>
                <w:szCs w:val="21"/>
                <w:highlight w:val="none"/>
              </w:rPr>
            </w:pPr>
            <w:r>
              <w:rPr>
                <w:rFonts w:hint="eastAsia" w:ascii="宋体" w:hAnsi="宋体" w:cs="宋体"/>
                <w:color w:val="auto"/>
                <w:kern w:val="0"/>
                <w:szCs w:val="21"/>
                <w:highlight w:val="none"/>
              </w:rPr>
              <w:t xml:space="preserve">  0.8%                </w:t>
            </w:r>
          </w:p>
        </w:tc>
        <w:tc>
          <w:tcPr>
            <w:tcW w:w="1687" w:type="dxa"/>
            <w:tcBorders>
              <w:top w:val="single" w:color="auto" w:sz="4" w:space="0"/>
              <w:left w:val="single" w:color="auto" w:sz="4" w:space="0"/>
              <w:bottom w:val="single" w:color="auto" w:sz="4" w:space="0"/>
              <w:right w:val="single" w:color="auto" w:sz="4" w:space="0"/>
            </w:tcBorders>
          </w:tcPr>
          <w:p w14:paraId="59B06544">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0.45%</w:t>
            </w:r>
          </w:p>
        </w:tc>
        <w:tc>
          <w:tcPr>
            <w:tcW w:w="1659" w:type="dxa"/>
            <w:tcBorders>
              <w:top w:val="single" w:color="auto" w:sz="4" w:space="0"/>
              <w:left w:val="single" w:color="auto" w:sz="4" w:space="0"/>
              <w:bottom w:val="single" w:color="auto" w:sz="4" w:space="0"/>
              <w:right w:val="single" w:color="auto" w:sz="4" w:space="0"/>
            </w:tcBorders>
          </w:tcPr>
          <w:p w14:paraId="59F60686">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0.55%</w:t>
            </w:r>
          </w:p>
        </w:tc>
      </w:tr>
      <w:tr w14:paraId="00F5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65901F91">
            <w:pPr>
              <w:spacing w:line="360" w:lineRule="auto"/>
              <w:rPr>
                <w:rFonts w:hint="eastAsia" w:ascii="宋体" w:hAnsi="宋体"/>
                <w:color w:val="auto"/>
                <w:szCs w:val="21"/>
                <w:highlight w:val="none"/>
              </w:rPr>
            </w:pPr>
            <w:r>
              <w:rPr>
                <w:rFonts w:hint="eastAsia" w:ascii="宋体" w:hAnsi="宋体"/>
                <w:color w:val="auto"/>
                <w:szCs w:val="21"/>
                <w:highlight w:val="none"/>
              </w:rPr>
              <w:t>1000万元～5000万元</w:t>
            </w:r>
          </w:p>
        </w:tc>
        <w:tc>
          <w:tcPr>
            <w:tcW w:w="1659" w:type="dxa"/>
            <w:tcBorders>
              <w:top w:val="single" w:color="auto" w:sz="4" w:space="0"/>
              <w:left w:val="single" w:color="auto" w:sz="4" w:space="0"/>
              <w:bottom w:val="single" w:color="auto" w:sz="4" w:space="0"/>
              <w:right w:val="single" w:color="auto" w:sz="4" w:space="0"/>
            </w:tcBorders>
          </w:tcPr>
          <w:p w14:paraId="47532ABE">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0.5%                </w:t>
            </w:r>
          </w:p>
        </w:tc>
        <w:tc>
          <w:tcPr>
            <w:tcW w:w="1687" w:type="dxa"/>
            <w:tcBorders>
              <w:top w:val="single" w:color="auto" w:sz="4" w:space="0"/>
              <w:left w:val="single" w:color="auto" w:sz="4" w:space="0"/>
              <w:bottom w:val="single" w:color="auto" w:sz="4" w:space="0"/>
              <w:right w:val="single" w:color="auto" w:sz="4" w:space="0"/>
            </w:tcBorders>
          </w:tcPr>
          <w:p w14:paraId="488FD429">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0.25%</w:t>
            </w:r>
          </w:p>
        </w:tc>
        <w:tc>
          <w:tcPr>
            <w:tcW w:w="1659" w:type="dxa"/>
            <w:tcBorders>
              <w:top w:val="single" w:color="auto" w:sz="4" w:space="0"/>
              <w:left w:val="single" w:color="auto" w:sz="4" w:space="0"/>
              <w:bottom w:val="single" w:color="auto" w:sz="4" w:space="0"/>
              <w:right w:val="single" w:color="auto" w:sz="4" w:space="0"/>
            </w:tcBorders>
          </w:tcPr>
          <w:p w14:paraId="6D73E13E">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0.35% </w:t>
            </w:r>
          </w:p>
        </w:tc>
      </w:tr>
      <w:tr w14:paraId="6537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28A8E70F">
            <w:pPr>
              <w:spacing w:line="360" w:lineRule="auto"/>
              <w:rPr>
                <w:rFonts w:hint="eastAsia" w:ascii="宋体" w:hAnsi="宋体"/>
                <w:color w:val="auto"/>
                <w:szCs w:val="21"/>
                <w:highlight w:val="none"/>
              </w:rPr>
            </w:pPr>
            <w:r>
              <w:rPr>
                <w:rFonts w:hint="eastAsia" w:ascii="宋体" w:hAnsi="宋体"/>
                <w:color w:val="auto"/>
                <w:szCs w:val="21"/>
                <w:highlight w:val="none"/>
              </w:rPr>
              <w:t>5000万元～1亿元</w:t>
            </w:r>
          </w:p>
        </w:tc>
        <w:tc>
          <w:tcPr>
            <w:tcW w:w="1659" w:type="dxa"/>
            <w:tcBorders>
              <w:top w:val="single" w:color="auto" w:sz="4" w:space="0"/>
              <w:left w:val="single" w:color="auto" w:sz="4" w:space="0"/>
              <w:bottom w:val="single" w:color="auto" w:sz="4" w:space="0"/>
              <w:right w:val="single" w:color="auto" w:sz="4" w:space="0"/>
            </w:tcBorders>
          </w:tcPr>
          <w:p w14:paraId="7F950FCF">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0.25%                 </w:t>
            </w:r>
          </w:p>
        </w:tc>
        <w:tc>
          <w:tcPr>
            <w:tcW w:w="1687" w:type="dxa"/>
            <w:tcBorders>
              <w:top w:val="single" w:color="auto" w:sz="4" w:space="0"/>
              <w:left w:val="single" w:color="auto" w:sz="4" w:space="0"/>
              <w:bottom w:val="single" w:color="auto" w:sz="4" w:space="0"/>
              <w:right w:val="single" w:color="auto" w:sz="4" w:space="0"/>
            </w:tcBorders>
          </w:tcPr>
          <w:p w14:paraId="44CFF9B1">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0.1%</w:t>
            </w:r>
          </w:p>
        </w:tc>
        <w:tc>
          <w:tcPr>
            <w:tcW w:w="1659" w:type="dxa"/>
            <w:tcBorders>
              <w:top w:val="single" w:color="auto" w:sz="4" w:space="0"/>
              <w:left w:val="single" w:color="auto" w:sz="4" w:space="0"/>
              <w:bottom w:val="single" w:color="auto" w:sz="4" w:space="0"/>
              <w:right w:val="single" w:color="auto" w:sz="4" w:space="0"/>
            </w:tcBorders>
          </w:tcPr>
          <w:p w14:paraId="4E9250B2">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0.2%</w:t>
            </w:r>
          </w:p>
        </w:tc>
      </w:tr>
      <w:tr w14:paraId="0C92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01607DFA">
            <w:pPr>
              <w:spacing w:line="360" w:lineRule="auto"/>
              <w:rPr>
                <w:rFonts w:hint="eastAsia" w:ascii="宋体" w:hAnsi="宋体"/>
                <w:color w:val="auto"/>
                <w:szCs w:val="21"/>
                <w:highlight w:val="none"/>
              </w:rPr>
            </w:pPr>
            <w:r>
              <w:rPr>
                <w:rFonts w:hint="eastAsia" w:ascii="宋体" w:hAnsi="宋体"/>
                <w:color w:val="auto"/>
                <w:szCs w:val="21"/>
                <w:highlight w:val="none"/>
              </w:rPr>
              <w:t>1亿元～5亿元</w:t>
            </w:r>
          </w:p>
        </w:tc>
        <w:tc>
          <w:tcPr>
            <w:tcW w:w="1659" w:type="dxa"/>
            <w:tcBorders>
              <w:top w:val="single" w:color="auto" w:sz="4" w:space="0"/>
              <w:left w:val="single" w:color="auto" w:sz="4" w:space="0"/>
              <w:bottom w:val="single" w:color="auto" w:sz="4" w:space="0"/>
              <w:right w:val="single" w:color="auto" w:sz="4" w:space="0"/>
            </w:tcBorders>
          </w:tcPr>
          <w:p w14:paraId="530C1815">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0.05%</w:t>
            </w:r>
          </w:p>
        </w:tc>
        <w:tc>
          <w:tcPr>
            <w:tcW w:w="1687" w:type="dxa"/>
            <w:tcBorders>
              <w:top w:val="single" w:color="auto" w:sz="4" w:space="0"/>
              <w:left w:val="single" w:color="auto" w:sz="4" w:space="0"/>
              <w:bottom w:val="single" w:color="auto" w:sz="4" w:space="0"/>
              <w:right w:val="single" w:color="auto" w:sz="4" w:space="0"/>
            </w:tcBorders>
          </w:tcPr>
          <w:p w14:paraId="7253F2B5">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0.05%</w:t>
            </w:r>
          </w:p>
        </w:tc>
        <w:tc>
          <w:tcPr>
            <w:tcW w:w="1659" w:type="dxa"/>
            <w:tcBorders>
              <w:top w:val="single" w:color="auto" w:sz="4" w:space="0"/>
              <w:left w:val="single" w:color="auto" w:sz="4" w:space="0"/>
              <w:bottom w:val="single" w:color="auto" w:sz="4" w:space="0"/>
              <w:right w:val="single" w:color="auto" w:sz="4" w:space="0"/>
            </w:tcBorders>
          </w:tcPr>
          <w:p w14:paraId="25BA7F9C">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0.05%</w:t>
            </w:r>
          </w:p>
        </w:tc>
      </w:tr>
      <w:tr w14:paraId="3805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BA242BD">
            <w:pPr>
              <w:spacing w:line="360" w:lineRule="auto"/>
              <w:rPr>
                <w:rFonts w:hint="eastAsia" w:ascii="宋体" w:hAnsi="宋体"/>
                <w:color w:val="auto"/>
                <w:szCs w:val="21"/>
                <w:highlight w:val="none"/>
              </w:rPr>
            </w:pPr>
            <w:r>
              <w:rPr>
                <w:rFonts w:hint="eastAsia" w:ascii="宋体" w:hAnsi="宋体"/>
                <w:color w:val="auto"/>
                <w:szCs w:val="21"/>
                <w:highlight w:val="none"/>
              </w:rPr>
              <w:t>5亿元～10亿元</w:t>
            </w:r>
          </w:p>
        </w:tc>
        <w:tc>
          <w:tcPr>
            <w:tcW w:w="1659" w:type="dxa"/>
            <w:tcBorders>
              <w:top w:val="single" w:color="auto" w:sz="4" w:space="0"/>
              <w:left w:val="single" w:color="auto" w:sz="4" w:space="0"/>
              <w:bottom w:val="single" w:color="auto" w:sz="4" w:space="0"/>
              <w:right w:val="single" w:color="auto" w:sz="4" w:space="0"/>
            </w:tcBorders>
          </w:tcPr>
          <w:p w14:paraId="1031FC55">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0.035%</w:t>
            </w:r>
          </w:p>
        </w:tc>
        <w:tc>
          <w:tcPr>
            <w:tcW w:w="1687" w:type="dxa"/>
            <w:tcBorders>
              <w:top w:val="single" w:color="auto" w:sz="4" w:space="0"/>
              <w:left w:val="single" w:color="auto" w:sz="4" w:space="0"/>
              <w:bottom w:val="single" w:color="auto" w:sz="4" w:space="0"/>
              <w:right w:val="single" w:color="auto" w:sz="4" w:space="0"/>
            </w:tcBorders>
          </w:tcPr>
          <w:p w14:paraId="6A678CA5">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0.035%</w:t>
            </w:r>
          </w:p>
        </w:tc>
        <w:tc>
          <w:tcPr>
            <w:tcW w:w="1659" w:type="dxa"/>
            <w:tcBorders>
              <w:top w:val="single" w:color="auto" w:sz="4" w:space="0"/>
              <w:left w:val="single" w:color="auto" w:sz="4" w:space="0"/>
              <w:bottom w:val="single" w:color="auto" w:sz="4" w:space="0"/>
              <w:right w:val="single" w:color="auto" w:sz="4" w:space="0"/>
            </w:tcBorders>
          </w:tcPr>
          <w:p w14:paraId="3A5E7E38">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0.035%</w:t>
            </w:r>
          </w:p>
        </w:tc>
      </w:tr>
      <w:tr w14:paraId="6517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1F8645FA">
            <w:pPr>
              <w:spacing w:line="360" w:lineRule="auto"/>
              <w:rPr>
                <w:rFonts w:hint="eastAsia" w:ascii="宋体" w:hAnsi="宋体"/>
                <w:color w:val="auto"/>
                <w:szCs w:val="21"/>
                <w:highlight w:val="none"/>
              </w:rPr>
            </w:pPr>
            <w:r>
              <w:rPr>
                <w:rFonts w:hint="eastAsia" w:ascii="宋体" w:hAnsi="宋体"/>
                <w:color w:val="auto"/>
                <w:szCs w:val="21"/>
                <w:highlight w:val="none"/>
              </w:rPr>
              <w:t>10亿元～50亿元</w:t>
            </w:r>
          </w:p>
        </w:tc>
        <w:tc>
          <w:tcPr>
            <w:tcW w:w="1659" w:type="dxa"/>
            <w:tcBorders>
              <w:top w:val="single" w:color="auto" w:sz="4" w:space="0"/>
              <w:left w:val="single" w:color="auto" w:sz="4" w:space="0"/>
              <w:bottom w:val="single" w:color="auto" w:sz="4" w:space="0"/>
              <w:right w:val="single" w:color="auto" w:sz="4" w:space="0"/>
            </w:tcBorders>
          </w:tcPr>
          <w:p w14:paraId="3370AE2C">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0.008%</w:t>
            </w:r>
          </w:p>
        </w:tc>
        <w:tc>
          <w:tcPr>
            <w:tcW w:w="1687" w:type="dxa"/>
            <w:tcBorders>
              <w:top w:val="single" w:color="auto" w:sz="4" w:space="0"/>
              <w:left w:val="single" w:color="auto" w:sz="4" w:space="0"/>
              <w:bottom w:val="single" w:color="auto" w:sz="4" w:space="0"/>
              <w:right w:val="single" w:color="auto" w:sz="4" w:space="0"/>
            </w:tcBorders>
          </w:tcPr>
          <w:p w14:paraId="097C4941">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0.008%</w:t>
            </w:r>
          </w:p>
        </w:tc>
        <w:tc>
          <w:tcPr>
            <w:tcW w:w="1659" w:type="dxa"/>
            <w:tcBorders>
              <w:top w:val="single" w:color="auto" w:sz="4" w:space="0"/>
              <w:left w:val="single" w:color="auto" w:sz="4" w:space="0"/>
              <w:bottom w:val="single" w:color="auto" w:sz="4" w:space="0"/>
              <w:right w:val="single" w:color="auto" w:sz="4" w:space="0"/>
            </w:tcBorders>
          </w:tcPr>
          <w:p w14:paraId="06EE2F77">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0.008%</w:t>
            </w:r>
          </w:p>
        </w:tc>
      </w:tr>
      <w:tr w14:paraId="69DA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5956152">
            <w:pPr>
              <w:spacing w:line="360" w:lineRule="auto"/>
              <w:rPr>
                <w:rFonts w:hint="eastAsia" w:ascii="宋体" w:hAnsi="宋体"/>
                <w:color w:val="auto"/>
                <w:szCs w:val="21"/>
                <w:highlight w:val="none"/>
              </w:rPr>
            </w:pPr>
            <w:r>
              <w:rPr>
                <w:rFonts w:hint="eastAsia" w:ascii="宋体" w:hAnsi="宋体"/>
                <w:color w:val="auto"/>
                <w:szCs w:val="21"/>
                <w:highlight w:val="none"/>
              </w:rPr>
              <w:t>50亿元～100亿元</w:t>
            </w:r>
          </w:p>
        </w:tc>
        <w:tc>
          <w:tcPr>
            <w:tcW w:w="1659" w:type="dxa"/>
            <w:tcBorders>
              <w:top w:val="single" w:color="auto" w:sz="4" w:space="0"/>
              <w:left w:val="single" w:color="auto" w:sz="4" w:space="0"/>
              <w:bottom w:val="single" w:color="auto" w:sz="4" w:space="0"/>
              <w:right w:val="single" w:color="auto" w:sz="4" w:space="0"/>
            </w:tcBorders>
          </w:tcPr>
          <w:p w14:paraId="284A5494">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0.006%</w:t>
            </w:r>
          </w:p>
        </w:tc>
        <w:tc>
          <w:tcPr>
            <w:tcW w:w="1687" w:type="dxa"/>
            <w:tcBorders>
              <w:top w:val="single" w:color="auto" w:sz="4" w:space="0"/>
              <w:left w:val="single" w:color="auto" w:sz="4" w:space="0"/>
              <w:bottom w:val="single" w:color="auto" w:sz="4" w:space="0"/>
              <w:right w:val="single" w:color="auto" w:sz="4" w:space="0"/>
            </w:tcBorders>
          </w:tcPr>
          <w:p w14:paraId="558D67BF">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0.006%</w:t>
            </w:r>
          </w:p>
        </w:tc>
        <w:tc>
          <w:tcPr>
            <w:tcW w:w="1659" w:type="dxa"/>
            <w:tcBorders>
              <w:top w:val="single" w:color="auto" w:sz="4" w:space="0"/>
              <w:left w:val="single" w:color="auto" w:sz="4" w:space="0"/>
              <w:bottom w:val="single" w:color="auto" w:sz="4" w:space="0"/>
              <w:right w:val="single" w:color="auto" w:sz="4" w:space="0"/>
            </w:tcBorders>
          </w:tcPr>
          <w:p w14:paraId="10CF1AA3">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0.006%</w:t>
            </w:r>
          </w:p>
        </w:tc>
      </w:tr>
      <w:tr w14:paraId="4637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0E6F6837">
            <w:pPr>
              <w:spacing w:line="360" w:lineRule="auto"/>
              <w:rPr>
                <w:rFonts w:hint="eastAsia" w:ascii="宋体" w:hAnsi="宋体"/>
                <w:color w:val="auto"/>
                <w:szCs w:val="21"/>
                <w:highlight w:val="none"/>
              </w:rPr>
            </w:pPr>
            <w:r>
              <w:rPr>
                <w:rFonts w:hint="eastAsia" w:ascii="宋体" w:hAnsi="宋体"/>
                <w:color w:val="auto"/>
                <w:szCs w:val="21"/>
                <w:highlight w:val="none"/>
              </w:rPr>
              <w:t>100亿以上</w:t>
            </w:r>
          </w:p>
        </w:tc>
        <w:tc>
          <w:tcPr>
            <w:tcW w:w="1659" w:type="dxa"/>
            <w:tcBorders>
              <w:top w:val="single" w:color="auto" w:sz="4" w:space="0"/>
              <w:left w:val="single" w:color="auto" w:sz="4" w:space="0"/>
              <w:bottom w:val="single" w:color="auto" w:sz="4" w:space="0"/>
              <w:right w:val="single" w:color="auto" w:sz="4" w:space="0"/>
            </w:tcBorders>
          </w:tcPr>
          <w:p w14:paraId="23C3C57F">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0.004%</w:t>
            </w:r>
          </w:p>
        </w:tc>
        <w:tc>
          <w:tcPr>
            <w:tcW w:w="1687" w:type="dxa"/>
            <w:tcBorders>
              <w:top w:val="single" w:color="auto" w:sz="4" w:space="0"/>
              <w:left w:val="single" w:color="auto" w:sz="4" w:space="0"/>
              <w:bottom w:val="single" w:color="auto" w:sz="4" w:space="0"/>
              <w:right w:val="single" w:color="auto" w:sz="4" w:space="0"/>
            </w:tcBorders>
          </w:tcPr>
          <w:p w14:paraId="1862BFD1">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0.004%</w:t>
            </w:r>
          </w:p>
        </w:tc>
        <w:tc>
          <w:tcPr>
            <w:tcW w:w="1659" w:type="dxa"/>
            <w:tcBorders>
              <w:top w:val="single" w:color="auto" w:sz="4" w:space="0"/>
              <w:left w:val="single" w:color="auto" w:sz="4" w:space="0"/>
              <w:bottom w:val="single" w:color="auto" w:sz="4" w:space="0"/>
              <w:right w:val="single" w:color="auto" w:sz="4" w:space="0"/>
            </w:tcBorders>
          </w:tcPr>
          <w:p w14:paraId="7B72C73A">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0.004%</w:t>
            </w:r>
          </w:p>
        </w:tc>
      </w:tr>
    </w:tbl>
    <w:p w14:paraId="77E6784F">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456A487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3879571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704BDA4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货物采购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225A9C6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100 万元×l.5 ％＝ 1.5 万元</w:t>
      </w:r>
    </w:p>
    <w:p w14:paraId="359CEC6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 200 － 100 ）万元 ×1.1％＝1.1万元</w:t>
      </w:r>
    </w:p>
    <w:p w14:paraId="5140E93D">
      <w:pPr>
        <w:pStyle w:val="24"/>
        <w:snapToGrid w:val="0"/>
        <w:spacing w:line="360" w:lineRule="auto"/>
        <w:ind w:firstLine="420" w:firstLineChars="200"/>
        <w:rPr>
          <w:rFonts w:hint="eastAsia" w:hAnsi="宋体" w:cs="宋体"/>
          <w:color w:val="auto"/>
          <w:sz w:val="21"/>
          <w:highlight w:val="none"/>
        </w:rPr>
      </w:pPr>
      <w:r>
        <w:rPr>
          <w:rFonts w:hAnsi="宋体" w:cs="宋体"/>
          <w:color w:val="auto"/>
          <w:sz w:val="21"/>
          <w:highlight w:val="none"/>
        </w:rPr>
        <w:t>合计收费＝ 1.5</w:t>
      </w:r>
      <w:r>
        <w:rPr>
          <w:rFonts w:hint="eastAsia" w:hAnsi="宋体" w:cs="宋体"/>
          <w:color w:val="auto"/>
          <w:sz w:val="21"/>
          <w:highlight w:val="none"/>
        </w:rPr>
        <w:t>+</w:t>
      </w:r>
      <w:r>
        <w:rPr>
          <w:rFonts w:hAnsi="宋体" w:cs="宋体"/>
          <w:color w:val="auto"/>
          <w:sz w:val="21"/>
          <w:highlight w:val="none"/>
        </w:rPr>
        <w:t>1.1＝ 2.6 （万元）</w:t>
      </w:r>
    </w:p>
    <w:p w14:paraId="14B9FE34">
      <w:pPr>
        <w:pStyle w:val="5"/>
        <w:keepNext w:val="0"/>
        <w:keepLines w:val="0"/>
        <w:spacing w:before="0" w:after="0" w:line="360" w:lineRule="auto"/>
        <w:rPr>
          <w:rFonts w:hint="eastAsia" w:ascii="黑体" w:hAnsi="黑体" w:eastAsia="黑体"/>
          <w:color w:val="auto"/>
          <w:sz w:val="24"/>
          <w:highlight w:val="none"/>
        </w:rPr>
      </w:pPr>
      <w:r>
        <w:rPr>
          <w:rFonts w:ascii="黑体" w:hAnsi="黑体" w:eastAsia="黑体"/>
          <w:color w:val="auto"/>
          <w:sz w:val="24"/>
          <w:highlight w:val="none"/>
        </w:rPr>
        <w:t>40. 需要补充的其他内容</w:t>
      </w:r>
    </w:p>
    <w:p w14:paraId="70B688E9">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6E5FE789">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40.2 其他事项详见“投标人须知前附表”。</w:t>
      </w:r>
    </w:p>
    <w:p w14:paraId="1CC2D06F">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40.3</w:t>
      </w:r>
      <w:bookmarkStart w:id="149"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4A03D4B7">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21FCEB6B">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2E7643ED">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68998E8">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5A5A8D83">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49"/>
    </w:p>
    <w:p w14:paraId="69077D91">
      <w:pPr>
        <w:pStyle w:val="17"/>
        <w:ind w:left="479" w:leftChars="114" w:hanging="240" w:hangingChars="100"/>
        <w:rPr>
          <w:rFonts w:hint="eastAsia" w:hAnsi="宋体"/>
          <w:color w:val="auto"/>
          <w:highlight w:val="none"/>
        </w:rPr>
      </w:pPr>
    </w:p>
    <w:p w14:paraId="324F7C26">
      <w:pPr>
        <w:pStyle w:val="24"/>
        <w:snapToGrid w:val="0"/>
        <w:spacing w:before="120" w:after="120"/>
        <w:rPr>
          <w:rFonts w:hint="eastAsia" w:hAnsi="宋体"/>
          <w:color w:val="auto"/>
          <w:highlight w:val="none"/>
        </w:rPr>
      </w:pPr>
    </w:p>
    <w:p w14:paraId="6EDFFD7B">
      <w:pPr>
        <w:pStyle w:val="24"/>
        <w:snapToGrid w:val="0"/>
        <w:spacing w:before="120" w:after="120"/>
        <w:rPr>
          <w:rFonts w:hint="eastAsia" w:hAnsi="宋体"/>
          <w:color w:val="auto"/>
          <w:highlight w:val="none"/>
        </w:rPr>
      </w:pPr>
    </w:p>
    <w:p w14:paraId="63D33E45">
      <w:pPr>
        <w:pStyle w:val="24"/>
        <w:snapToGrid w:val="0"/>
        <w:spacing w:before="120" w:after="120"/>
        <w:rPr>
          <w:rFonts w:hint="eastAsia" w:hAnsi="宋体"/>
          <w:color w:val="auto"/>
          <w:highlight w:val="none"/>
        </w:rPr>
      </w:pPr>
    </w:p>
    <w:p w14:paraId="26089151">
      <w:pPr>
        <w:pStyle w:val="24"/>
        <w:snapToGrid w:val="0"/>
        <w:spacing w:before="120" w:after="120"/>
        <w:rPr>
          <w:rFonts w:hint="eastAsia" w:hAnsi="宋体"/>
          <w:color w:val="auto"/>
          <w:highlight w:val="none"/>
        </w:rPr>
      </w:pPr>
    </w:p>
    <w:p w14:paraId="6C36DD3F">
      <w:pPr>
        <w:pStyle w:val="24"/>
        <w:snapToGrid w:val="0"/>
        <w:spacing w:before="120" w:after="120"/>
        <w:rPr>
          <w:rFonts w:hint="eastAsia" w:hAnsi="宋体"/>
          <w:color w:val="auto"/>
          <w:highlight w:val="none"/>
        </w:rPr>
      </w:pPr>
    </w:p>
    <w:p w14:paraId="6B76B7F1">
      <w:pPr>
        <w:pStyle w:val="24"/>
        <w:snapToGrid w:val="0"/>
        <w:spacing w:before="120" w:after="120"/>
        <w:rPr>
          <w:rFonts w:hint="eastAsia" w:hAnsi="宋体"/>
          <w:color w:val="auto"/>
          <w:highlight w:val="none"/>
        </w:rPr>
      </w:pPr>
    </w:p>
    <w:p w14:paraId="54D3CCFF">
      <w:pPr>
        <w:pStyle w:val="24"/>
        <w:snapToGrid w:val="0"/>
        <w:spacing w:before="120" w:after="120"/>
        <w:rPr>
          <w:rFonts w:hint="eastAsia" w:hAnsi="宋体"/>
          <w:color w:val="auto"/>
          <w:highlight w:val="none"/>
        </w:rPr>
      </w:pPr>
    </w:p>
    <w:p w14:paraId="60F001A4">
      <w:pPr>
        <w:pStyle w:val="24"/>
        <w:snapToGrid w:val="0"/>
        <w:spacing w:before="120" w:after="120"/>
        <w:rPr>
          <w:rFonts w:hint="eastAsia" w:hAnsi="宋体"/>
          <w:color w:val="auto"/>
          <w:highlight w:val="none"/>
        </w:rPr>
      </w:pPr>
    </w:p>
    <w:p w14:paraId="557A5464">
      <w:pPr>
        <w:pStyle w:val="24"/>
        <w:snapToGrid w:val="0"/>
        <w:spacing w:before="120" w:after="120"/>
        <w:rPr>
          <w:rFonts w:hint="eastAsia" w:hAnsi="宋体"/>
          <w:color w:val="auto"/>
          <w:highlight w:val="none"/>
        </w:rPr>
      </w:pPr>
    </w:p>
    <w:p w14:paraId="67655935">
      <w:pPr>
        <w:pStyle w:val="24"/>
        <w:snapToGrid w:val="0"/>
        <w:spacing w:before="120" w:after="120"/>
        <w:rPr>
          <w:rFonts w:hint="eastAsia" w:hAnsi="宋体"/>
          <w:color w:val="auto"/>
          <w:highlight w:val="none"/>
        </w:rPr>
      </w:pPr>
    </w:p>
    <w:p w14:paraId="2E5F7E8F">
      <w:pPr>
        <w:pStyle w:val="24"/>
        <w:snapToGrid w:val="0"/>
        <w:spacing w:before="120" w:after="120"/>
        <w:rPr>
          <w:rFonts w:hint="eastAsia" w:hAnsi="宋体"/>
          <w:color w:val="auto"/>
          <w:highlight w:val="none"/>
        </w:rPr>
      </w:pPr>
    </w:p>
    <w:p w14:paraId="12C47B72">
      <w:pPr>
        <w:pStyle w:val="24"/>
        <w:snapToGrid w:val="0"/>
        <w:spacing w:before="120" w:after="120"/>
        <w:rPr>
          <w:rFonts w:hint="eastAsia" w:hAnsi="宋体"/>
          <w:color w:val="auto"/>
          <w:highlight w:val="none"/>
        </w:rPr>
      </w:pPr>
    </w:p>
    <w:p w14:paraId="3BD40408">
      <w:pPr>
        <w:pStyle w:val="24"/>
        <w:snapToGrid w:val="0"/>
        <w:spacing w:before="120" w:after="120"/>
        <w:rPr>
          <w:rFonts w:hint="eastAsia" w:hAnsi="宋体"/>
          <w:color w:val="auto"/>
          <w:highlight w:val="none"/>
        </w:rPr>
      </w:pPr>
    </w:p>
    <w:p w14:paraId="6C3E78F2">
      <w:pPr>
        <w:pStyle w:val="2"/>
        <w:jc w:val="center"/>
        <w:rPr>
          <w:color w:val="auto"/>
          <w:highlight w:val="none"/>
        </w:rPr>
      </w:pPr>
      <w:bookmarkStart w:id="150" w:name="_Toc254970689"/>
      <w:bookmarkStart w:id="151" w:name="_Toc330456896"/>
      <w:bookmarkStart w:id="152" w:name="_Toc254970548"/>
      <w:bookmarkStart w:id="153" w:name="_Toc74320803"/>
      <w:r>
        <w:rPr>
          <w:rFonts w:hint="eastAsia"/>
          <w:color w:val="auto"/>
          <w:highlight w:val="none"/>
        </w:rPr>
        <w:t>第四章  评标方法及评标标准</w:t>
      </w:r>
      <w:bookmarkEnd w:id="150"/>
      <w:bookmarkEnd w:id="151"/>
      <w:bookmarkEnd w:id="152"/>
      <w:bookmarkEnd w:id="153"/>
    </w:p>
    <w:p w14:paraId="6488F414">
      <w:pPr>
        <w:pStyle w:val="24"/>
        <w:spacing w:before="120" w:after="120"/>
        <w:outlineLvl w:val="0"/>
        <w:rPr>
          <w:rFonts w:hint="eastAsia" w:hAnsi="宋体"/>
          <w:b/>
          <w:color w:val="auto"/>
          <w:highlight w:val="none"/>
        </w:rPr>
      </w:pPr>
      <w:bookmarkStart w:id="154" w:name="_Toc254970549"/>
      <w:bookmarkStart w:id="155" w:name="_Toc254970690"/>
    </w:p>
    <w:bookmarkEnd w:id="154"/>
    <w:bookmarkEnd w:id="155"/>
    <w:p w14:paraId="26A26572">
      <w:pPr>
        <w:pStyle w:val="24"/>
        <w:spacing w:before="120" w:after="120"/>
        <w:outlineLvl w:val="0"/>
        <w:rPr>
          <w:rFonts w:hint="eastAsia" w:hAnsi="宋体"/>
          <w:bCs/>
          <w:color w:val="auto"/>
          <w:sz w:val="32"/>
          <w:szCs w:val="32"/>
          <w:highlight w:val="none"/>
        </w:rPr>
      </w:pPr>
    </w:p>
    <w:p w14:paraId="55ACFCEA">
      <w:pPr>
        <w:pStyle w:val="24"/>
        <w:spacing w:before="120" w:after="120"/>
        <w:outlineLvl w:val="0"/>
        <w:rPr>
          <w:rFonts w:hint="eastAsia" w:hAnsi="宋体"/>
          <w:bCs/>
          <w:color w:val="auto"/>
          <w:sz w:val="32"/>
          <w:szCs w:val="32"/>
          <w:highlight w:val="none"/>
        </w:rPr>
      </w:pPr>
    </w:p>
    <w:p w14:paraId="2E8BA245">
      <w:pPr>
        <w:pStyle w:val="24"/>
        <w:spacing w:before="120" w:after="120"/>
        <w:outlineLvl w:val="0"/>
        <w:rPr>
          <w:rFonts w:hint="eastAsia" w:hAnsi="宋体"/>
          <w:bCs/>
          <w:color w:val="auto"/>
          <w:sz w:val="32"/>
          <w:szCs w:val="32"/>
          <w:highlight w:val="none"/>
        </w:rPr>
      </w:pPr>
    </w:p>
    <w:p w14:paraId="4C1CB969">
      <w:pPr>
        <w:spacing w:before="120" w:beforeLines="50" w:after="120" w:afterLines="50" w:line="400" w:lineRule="exact"/>
        <w:rPr>
          <w:rFonts w:hint="eastAsia" w:ascii="宋体" w:hAnsi="宋体"/>
          <w:b/>
          <w:color w:val="auto"/>
          <w:sz w:val="24"/>
          <w:highlight w:val="none"/>
        </w:rPr>
      </w:pPr>
    </w:p>
    <w:p w14:paraId="1868A804">
      <w:pPr>
        <w:spacing w:before="120" w:beforeLines="50" w:after="120" w:afterLines="50" w:line="400" w:lineRule="exact"/>
        <w:rPr>
          <w:rFonts w:hint="eastAsia" w:ascii="宋体" w:hAnsi="宋体"/>
          <w:b/>
          <w:color w:val="auto"/>
          <w:sz w:val="24"/>
          <w:highlight w:val="none"/>
        </w:rPr>
      </w:pPr>
    </w:p>
    <w:p w14:paraId="3AB74AEE">
      <w:pPr>
        <w:spacing w:before="120" w:beforeLines="50" w:after="120" w:afterLines="50" w:line="400" w:lineRule="exact"/>
        <w:rPr>
          <w:rFonts w:hint="eastAsia" w:ascii="宋体" w:hAnsi="宋体"/>
          <w:b/>
          <w:color w:val="auto"/>
          <w:sz w:val="24"/>
          <w:highlight w:val="none"/>
        </w:rPr>
      </w:pPr>
    </w:p>
    <w:p w14:paraId="5996AC1C">
      <w:pPr>
        <w:spacing w:before="120" w:beforeLines="50" w:after="120" w:afterLines="50" w:line="400" w:lineRule="exact"/>
        <w:rPr>
          <w:rFonts w:hint="eastAsia" w:ascii="宋体" w:hAnsi="宋体"/>
          <w:b/>
          <w:color w:val="auto"/>
          <w:sz w:val="24"/>
          <w:highlight w:val="none"/>
        </w:rPr>
      </w:pPr>
    </w:p>
    <w:p w14:paraId="0C7E3CF5">
      <w:pPr>
        <w:spacing w:before="120" w:beforeLines="50" w:after="120" w:afterLines="50" w:line="400" w:lineRule="exact"/>
        <w:rPr>
          <w:rFonts w:hint="eastAsia" w:ascii="宋体" w:hAnsi="宋体"/>
          <w:b/>
          <w:color w:val="auto"/>
          <w:sz w:val="24"/>
          <w:highlight w:val="none"/>
        </w:rPr>
      </w:pPr>
    </w:p>
    <w:p w14:paraId="3DF52587">
      <w:pPr>
        <w:spacing w:before="120" w:beforeLines="50" w:after="120" w:afterLines="50" w:line="400" w:lineRule="exact"/>
        <w:rPr>
          <w:rFonts w:hint="eastAsia" w:ascii="宋体" w:hAnsi="宋体"/>
          <w:b/>
          <w:color w:val="auto"/>
          <w:sz w:val="24"/>
          <w:highlight w:val="none"/>
        </w:rPr>
      </w:pPr>
    </w:p>
    <w:p w14:paraId="46EB0357">
      <w:pPr>
        <w:spacing w:before="120" w:beforeLines="50" w:after="120" w:afterLines="50" w:line="400" w:lineRule="exact"/>
        <w:rPr>
          <w:rFonts w:hint="eastAsia" w:ascii="宋体" w:hAnsi="宋体"/>
          <w:b/>
          <w:color w:val="auto"/>
          <w:sz w:val="24"/>
          <w:highlight w:val="none"/>
        </w:rPr>
      </w:pPr>
    </w:p>
    <w:p w14:paraId="6D8BA9AD">
      <w:pPr>
        <w:pStyle w:val="24"/>
        <w:spacing w:line="360" w:lineRule="exact"/>
        <w:rPr>
          <w:rFonts w:hint="eastAsia" w:hAnsi="宋体"/>
          <w:b/>
          <w:color w:val="auto"/>
          <w:sz w:val="24"/>
          <w:highlight w:val="none"/>
        </w:rPr>
      </w:pPr>
    </w:p>
    <w:p w14:paraId="224E6C79">
      <w:pPr>
        <w:pStyle w:val="4"/>
        <w:keepNext w:val="0"/>
        <w:keepLines w:val="0"/>
        <w:jc w:val="center"/>
        <w:rPr>
          <w:color w:val="auto"/>
          <w:sz w:val="30"/>
          <w:szCs w:val="30"/>
          <w:highlight w:val="none"/>
        </w:rPr>
      </w:pPr>
      <w:r>
        <w:rPr>
          <w:color w:val="auto"/>
          <w:sz w:val="30"/>
          <w:szCs w:val="30"/>
          <w:highlight w:val="none"/>
        </w:rPr>
        <w:br w:type="page"/>
      </w:r>
      <w:r>
        <w:rPr>
          <w:rFonts w:hint="eastAsia"/>
          <w:color w:val="auto"/>
          <w:sz w:val="30"/>
          <w:szCs w:val="30"/>
          <w:highlight w:val="none"/>
        </w:rPr>
        <w:t>一、评标方法</w:t>
      </w:r>
    </w:p>
    <w:p w14:paraId="6C493C02">
      <w:pPr>
        <w:pStyle w:val="24"/>
        <w:spacing w:line="360" w:lineRule="auto"/>
        <w:ind w:firstLine="420"/>
        <w:rPr>
          <w:rFonts w:hint="eastAsia"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613544F8">
      <w:pPr>
        <w:pStyle w:val="4"/>
        <w:keepNext w:val="0"/>
        <w:keepLines w:val="0"/>
        <w:jc w:val="center"/>
        <w:rPr>
          <w:color w:val="auto"/>
          <w:sz w:val="30"/>
          <w:szCs w:val="30"/>
          <w:highlight w:val="none"/>
        </w:rPr>
      </w:pPr>
      <w:r>
        <w:rPr>
          <w:rFonts w:hint="eastAsia"/>
          <w:color w:val="auto"/>
          <w:sz w:val="30"/>
          <w:szCs w:val="30"/>
          <w:highlight w:val="none"/>
        </w:rPr>
        <w:t>二、评标程序</w:t>
      </w:r>
    </w:p>
    <w:p w14:paraId="5A5C007E">
      <w:pPr>
        <w:pStyle w:val="5"/>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1.符合性审查</w:t>
      </w:r>
    </w:p>
    <w:p w14:paraId="078E0EB7">
      <w:pPr>
        <w:pStyle w:val="24"/>
        <w:snapToGrid w:val="0"/>
        <w:spacing w:line="360" w:lineRule="auto"/>
        <w:ind w:left="1" w:firstLine="420"/>
        <w:rPr>
          <w:rFonts w:hint="eastAsia"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62318728">
      <w:pPr>
        <w:pStyle w:val="5"/>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59EC5E59">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6E8CE127">
      <w:pPr>
        <w:pStyle w:val="5"/>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22C9C7B5">
      <w:pPr>
        <w:pStyle w:val="6"/>
        <w:numPr>
          <w:ilvl w:val="0"/>
          <w:numId w:val="16"/>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未提供“投标人须知前附表”第13条“报价文件”规定中“必须提供”的文件资料的；</w:t>
      </w:r>
    </w:p>
    <w:p w14:paraId="123AF558">
      <w:pPr>
        <w:pStyle w:val="6"/>
        <w:numPr>
          <w:ilvl w:val="0"/>
          <w:numId w:val="16"/>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7EBCEFC0">
      <w:pPr>
        <w:pStyle w:val="6"/>
        <w:numPr>
          <w:ilvl w:val="0"/>
          <w:numId w:val="16"/>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各分标报价超出招标文件相应分标规定最高限价，或者超出相应分标采购预算金额的；</w:t>
      </w:r>
    </w:p>
    <w:p w14:paraId="25C85A39">
      <w:pPr>
        <w:pStyle w:val="6"/>
        <w:numPr>
          <w:ilvl w:val="0"/>
          <w:numId w:val="16"/>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431B4CB7">
      <w:pPr>
        <w:pStyle w:val="6"/>
        <w:numPr>
          <w:ilvl w:val="0"/>
          <w:numId w:val="16"/>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665B257A">
      <w:pPr>
        <w:pStyle w:val="6"/>
        <w:numPr>
          <w:ilvl w:val="0"/>
          <w:numId w:val="16"/>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2B561F18">
      <w:pPr>
        <w:pStyle w:val="6"/>
        <w:numPr>
          <w:ilvl w:val="0"/>
          <w:numId w:val="16"/>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61FCECAA">
      <w:pPr>
        <w:pStyle w:val="5"/>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2.2在商务及技术评审时，如发现下列情形之一的，将被视为投标无效：</w:t>
      </w:r>
    </w:p>
    <w:p w14:paraId="06EF30A9">
      <w:pPr>
        <w:numPr>
          <w:ilvl w:val="0"/>
          <w:numId w:val="17"/>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064B0B3C">
      <w:pPr>
        <w:numPr>
          <w:ilvl w:val="0"/>
          <w:numId w:val="17"/>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16489D4B">
      <w:pPr>
        <w:numPr>
          <w:ilvl w:val="0"/>
          <w:numId w:val="17"/>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2C49FFCA">
      <w:pPr>
        <w:numPr>
          <w:ilvl w:val="0"/>
          <w:numId w:val="17"/>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投标文件未提供“投标人须知前附表”第13条“商务及技术文件”规定中“必须提供”或者“委托时必须提供”的文件资料的；</w:t>
      </w:r>
    </w:p>
    <w:p w14:paraId="7ECDBB51">
      <w:pPr>
        <w:numPr>
          <w:ilvl w:val="0"/>
          <w:numId w:val="17"/>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允许负偏离的条款数超过“投标人须知前附表”规定项数的；</w:t>
      </w:r>
    </w:p>
    <w:p w14:paraId="248ABC9A">
      <w:pPr>
        <w:numPr>
          <w:ilvl w:val="0"/>
          <w:numId w:val="17"/>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2C984D01">
      <w:pPr>
        <w:numPr>
          <w:ilvl w:val="0"/>
          <w:numId w:val="17"/>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1222F634">
      <w:pPr>
        <w:numPr>
          <w:ilvl w:val="0"/>
          <w:numId w:val="17"/>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3C966AA4">
      <w:pPr>
        <w:numPr>
          <w:ilvl w:val="0"/>
          <w:numId w:val="17"/>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6DF06345">
      <w:pPr>
        <w:numPr>
          <w:ilvl w:val="0"/>
          <w:numId w:val="17"/>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0B8E6AB5">
      <w:pPr>
        <w:numPr>
          <w:ilvl w:val="0"/>
          <w:numId w:val="17"/>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投标文件中承诺的投标有效期低于招标文件要求的期限的；</w:t>
      </w:r>
    </w:p>
    <w:p w14:paraId="6899521A">
      <w:pPr>
        <w:numPr>
          <w:ilvl w:val="0"/>
          <w:numId w:val="17"/>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375B2736">
      <w:pPr>
        <w:pStyle w:val="18"/>
        <w:numPr>
          <w:ilvl w:val="0"/>
          <w:numId w:val="17"/>
        </w:numPr>
        <w:snapToGrid w:val="0"/>
        <w:spacing w:line="360" w:lineRule="auto"/>
        <w:ind w:firstLine="413" w:firstLineChars="0"/>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虚假投标，或者出现其他情形而导致被评标委员会认定无效的；</w:t>
      </w:r>
    </w:p>
    <w:p w14:paraId="69C94D50">
      <w:pPr>
        <w:pStyle w:val="18"/>
        <w:numPr>
          <w:ilvl w:val="0"/>
          <w:numId w:val="17"/>
        </w:numPr>
        <w:snapToGrid w:val="0"/>
        <w:spacing w:line="360" w:lineRule="auto"/>
        <w:ind w:firstLine="413" w:firstLineChars="0"/>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招标文件未载明允许提供备选（替代）投标方案或明确不允许提供备选（替代）投标方案时，投标人提供了备选（替代）投标方案的；</w:t>
      </w:r>
    </w:p>
    <w:p w14:paraId="15E2945C">
      <w:pPr>
        <w:pStyle w:val="18"/>
        <w:numPr>
          <w:ilvl w:val="0"/>
          <w:numId w:val="17"/>
        </w:numPr>
        <w:snapToGrid w:val="0"/>
        <w:spacing w:line="360" w:lineRule="auto"/>
        <w:ind w:firstLine="413" w:firstLineChars="0"/>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未响应招标文件实质性要求的。</w:t>
      </w:r>
    </w:p>
    <w:p w14:paraId="4136A3F7">
      <w:pPr>
        <w:numPr>
          <w:ilvl w:val="0"/>
          <w:numId w:val="17"/>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法律、法规和招标文件规定的其他无效情形。</w:t>
      </w:r>
    </w:p>
    <w:p w14:paraId="205E9E18">
      <w:pPr>
        <w:pStyle w:val="5"/>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5C0F8C06">
      <w:pPr>
        <w:spacing w:line="360" w:lineRule="auto"/>
        <w:ind w:firstLine="420" w:firstLineChars="200"/>
        <w:rPr>
          <w:rFonts w:hint="eastAsia"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25E19388">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59A760C">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36AFC35E">
      <w:pPr>
        <w:pStyle w:val="5"/>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6D9B130B">
      <w:pPr>
        <w:pStyle w:val="5"/>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.1投标文件报价出现前后不一致的，按照下列规定修正： </w:t>
      </w:r>
    </w:p>
    <w:p w14:paraId="6F53C586">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41E02FBE">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（2）大写金额和小写金额不一致的，以大写金额为准；</w:t>
      </w:r>
    </w:p>
    <w:p w14:paraId="1B57B59D">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566EDC69">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（4）总价金额与按单价汇总金额不一致的，以单价金额计算结果为准。</w:t>
      </w:r>
    </w:p>
    <w:p w14:paraId="0FD4BC28">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同时出现两种以上不一致的，按照以上（1）</w:t>
      </w:r>
      <w:r>
        <w:rPr>
          <w:rFonts w:hint="eastAsia" w:hAnsi="宋体"/>
          <w:color w:val="auto"/>
          <w:sz w:val="21"/>
          <w:highlight w:val="none"/>
          <w:lang w:eastAsia="zh-CN"/>
        </w:rPr>
        <w:t>－</w:t>
      </w:r>
      <w:r>
        <w:rPr>
          <w:rFonts w:hint="eastAsia" w:hAnsi="宋体"/>
          <w:color w:val="auto"/>
          <w:sz w:val="21"/>
          <w:highlight w:val="none"/>
        </w:rPr>
        <w:t>（4）规定的顺序修正。修正后的报价经投标人确认后产生约束力，投标人不确认的，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365DFF53">
      <w:pPr>
        <w:pStyle w:val="5"/>
        <w:keepNext w:val="0"/>
        <w:keepLines w:val="0"/>
        <w:spacing w:before="0" w:after="0" w:line="360" w:lineRule="auto"/>
        <w:rPr>
          <w:rFonts w:hint="eastAsia"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759E6993">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21DC001D">
      <w:pPr>
        <w:pStyle w:val="5"/>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656C399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5.1采用综合评分法的</w:t>
      </w:r>
    </w:p>
    <w:p w14:paraId="57B1931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7FC081A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5ABBF7F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投标人不能证明其报价合理性的，评标委员会将其作为无效投标处理</w:t>
      </w:r>
      <w:r>
        <w:rPr>
          <w:rFonts w:hint="eastAsia" w:ascii="宋体" w:hAnsi="宋体"/>
          <w:color w:val="auto"/>
          <w:szCs w:val="21"/>
          <w:highlight w:val="none"/>
        </w:rPr>
        <w:t>。</w:t>
      </w:r>
    </w:p>
    <w:p w14:paraId="7242AB4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5110C15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2A2B75D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5831894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A25DDC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5.2采用</w:t>
      </w:r>
      <w:r>
        <w:rPr>
          <w:rFonts w:hint="eastAsia" w:hAnsi="宋体"/>
          <w:color w:val="auto"/>
          <w:highlight w:val="none"/>
        </w:rPr>
        <w:t>最低评标价法</w:t>
      </w:r>
      <w:r>
        <w:rPr>
          <w:rFonts w:hint="eastAsia" w:ascii="宋体" w:hAnsi="宋体"/>
          <w:color w:val="auto"/>
          <w:szCs w:val="21"/>
          <w:highlight w:val="none"/>
        </w:rPr>
        <w:t>的</w:t>
      </w:r>
    </w:p>
    <w:p w14:paraId="457EC9FB">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3935A687">
      <w:pPr>
        <w:snapToGrid w:val="0"/>
        <w:spacing w:line="360" w:lineRule="auto"/>
        <w:ind w:firstLine="399" w:firstLineChars="202"/>
        <w:jc w:val="left"/>
        <w:rPr>
          <w:rFonts w:hint="eastAsia" w:ascii="宋体" w:hAnsi="宋体"/>
          <w:color w:val="auto"/>
          <w:spacing w:val="-6"/>
          <w:szCs w:val="21"/>
          <w:highlight w:val="none"/>
        </w:rPr>
      </w:pPr>
      <w:r>
        <w:rPr>
          <w:rFonts w:hint="eastAsia" w:ascii="宋体" w:hAnsi="宋体"/>
          <w:color w:val="auto"/>
          <w:spacing w:val="-6"/>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pacing w:val="-6"/>
          <w:szCs w:val="21"/>
          <w:highlight w:val="none"/>
        </w:rPr>
        <w:t>投标人不能证明其报价合理性的，评标委员会应当将其作为无效投标处理。</w:t>
      </w:r>
    </w:p>
    <w:p w14:paraId="30D3EEA3">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40A0AFF6">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CE12321">
      <w:pPr>
        <w:snapToGrid w:val="0"/>
        <w:spacing w:line="360" w:lineRule="auto"/>
        <w:ind w:firstLine="424" w:firstLineChars="202"/>
        <w:jc w:val="center"/>
        <w:rPr>
          <w:color w:val="auto"/>
          <w:highlight w:val="none"/>
        </w:rPr>
      </w:pPr>
      <w:r>
        <w:rPr>
          <w:color w:val="auto"/>
          <w:highlight w:val="none"/>
        </w:rPr>
        <w:br w:type="page"/>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4DF685A8">
      <w:pPr>
        <w:pStyle w:val="4"/>
        <w:keepNext w:val="0"/>
        <w:keepLines w:val="0"/>
        <w:jc w:val="center"/>
        <w:rPr>
          <w:color w:val="auto"/>
          <w:highlight w:val="none"/>
        </w:rPr>
      </w:pPr>
      <w:r>
        <w:rPr>
          <w:rFonts w:hint="eastAsia"/>
          <w:color w:val="auto"/>
          <w:highlight w:val="none"/>
        </w:rPr>
        <w:t>综合评分法（适用</w:t>
      </w:r>
      <w:r>
        <w:rPr>
          <w:rFonts w:hint="eastAsia"/>
          <w:color w:val="auto"/>
          <w:highlight w:val="none"/>
          <w:lang w:val="en-US" w:eastAsia="zh-CN"/>
        </w:rPr>
        <w:t>1、2、3</w:t>
      </w:r>
      <w:r>
        <w:rPr>
          <w:rFonts w:hint="eastAsia"/>
          <w:color w:val="auto"/>
          <w:highlight w:val="none"/>
        </w:rPr>
        <w:t>分标）</w:t>
      </w:r>
    </w:p>
    <w:tbl>
      <w:tblPr>
        <w:tblStyle w:val="46"/>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711"/>
        <w:gridCol w:w="1905"/>
        <w:gridCol w:w="5277"/>
      </w:tblGrid>
      <w:tr w14:paraId="3C32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3" w:type="dxa"/>
            <w:gridSpan w:val="2"/>
            <w:vAlign w:val="center"/>
          </w:tcPr>
          <w:p w14:paraId="20B8A7FE">
            <w:pPr>
              <w:adjustRightInd w:val="0"/>
              <w:spacing w:line="360" w:lineRule="auto"/>
              <w:jc w:val="center"/>
              <w:textAlignment w:val="baseline"/>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1905" w:type="dxa"/>
            <w:vAlign w:val="center"/>
          </w:tcPr>
          <w:p w14:paraId="19E291B2">
            <w:pPr>
              <w:adjustRightInd w:val="0"/>
              <w:spacing w:line="360" w:lineRule="auto"/>
              <w:jc w:val="center"/>
              <w:textAlignment w:val="baseline"/>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评审因素</w:t>
            </w:r>
          </w:p>
        </w:tc>
        <w:tc>
          <w:tcPr>
            <w:tcW w:w="5277" w:type="dxa"/>
            <w:vAlign w:val="center"/>
          </w:tcPr>
          <w:p w14:paraId="3416097B">
            <w:pPr>
              <w:adjustRightInd w:val="0"/>
              <w:spacing w:line="360" w:lineRule="auto"/>
              <w:jc w:val="center"/>
              <w:textAlignment w:val="baseline"/>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评标标准</w:t>
            </w:r>
          </w:p>
        </w:tc>
      </w:tr>
      <w:tr w14:paraId="10D3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6BE5DE60">
            <w:pPr>
              <w:adjustRightInd w:val="0"/>
              <w:spacing w:line="360" w:lineRule="auto"/>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711" w:type="dxa"/>
            <w:vAlign w:val="center"/>
          </w:tcPr>
          <w:p w14:paraId="61A8576E">
            <w:pPr>
              <w:adjustRightInd w:val="0"/>
              <w:spacing w:line="360" w:lineRule="auto"/>
              <w:jc w:val="center"/>
              <w:textAlignment w:val="baseline"/>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价格分</w:t>
            </w:r>
          </w:p>
          <w:p w14:paraId="6A7EF534">
            <w:pPr>
              <w:adjustRightInd w:val="0"/>
              <w:spacing w:line="360" w:lineRule="auto"/>
              <w:jc w:val="center"/>
              <w:textAlignment w:val="baseline"/>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（满分</w:t>
            </w:r>
            <w:r>
              <w:rPr>
                <w:rFonts w:hint="eastAsia" w:asciiTheme="minorEastAsia" w:hAnsiTheme="minorEastAsia" w:eastAsiaTheme="minorEastAsia" w:cstheme="minorEastAsia"/>
                <w:b/>
                <w:bCs/>
                <w:color w:val="auto"/>
                <w:szCs w:val="21"/>
                <w:highlight w:val="none"/>
                <w:u w:val="single"/>
              </w:rPr>
              <w:t>30</w:t>
            </w:r>
            <w:r>
              <w:rPr>
                <w:rFonts w:hint="eastAsia" w:asciiTheme="minorEastAsia" w:hAnsiTheme="minorEastAsia" w:eastAsiaTheme="minorEastAsia" w:cstheme="minorEastAsia"/>
                <w:b/>
                <w:bCs/>
                <w:color w:val="auto"/>
                <w:szCs w:val="21"/>
                <w:highlight w:val="none"/>
              </w:rPr>
              <w:t>分）</w:t>
            </w:r>
          </w:p>
          <w:p w14:paraId="4A2922FE">
            <w:pPr>
              <w:adjustRightInd w:val="0"/>
              <w:spacing w:line="360" w:lineRule="auto"/>
              <w:jc w:val="left"/>
              <w:textAlignment w:val="baseline"/>
              <w:rPr>
                <w:rFonts w:hint="eastAsia" w:asciiTheme="minorEastAsia" w:hAnsiTheme="minorEastAsia" w:eastAsiaTheme="minorEastAsia" w:cstheme="minorEastAsia"/>
                <w:b/>
                <w:bCs/>
                <w:color w:val="auto"/>
                <w:szCs w:val="21"/>
                <w:highlight w:val="none"/>
              </w:rPr>
            </w:pPr>
          </w:p>
        </w:tc>
        <w:tc>
          <w:tcPr>
            <w:tcW w:w="1905" w:type="dxa"/>
            <w:vAlign w:val="center"/>
          </w:tcPr>
          <w:p w14:paraId="04130DBE">
            <w:pPr>
              <w:adjustRightInd w:val="0"/>
              <w:spacing w:line="360" w:lineRule="auto"/>
              <w:jc w:val="center"/>
              <w:textAlignment w:val="baseline"/>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投标报价</w:t>
            </w:r>
          </w:p>
        </w:tc>
        <w:tc>
          <w:tcPr>
            <w:tcW w:w="5277" w:type="dxa"/>
            <w:vAlign w:val="center"/>
          </w:tcPr>
          <w:p w14:paraId="3D16033F">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（1）评标报价为投标人的投标报价进行政策性扣除后的价格，评标报价只是作为评标时使用。最终中标供应商的中标金额等于投标报价。</w:t>
            </w:r>
          </w:p>
          <w:p w14:paraId="3CE61590">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（2）政策性扣除计算方法。</w:t>
            </w:r>
          </w:p>
          <w:p w14:paraId="37EC091B">
            <w:pPr>
              <w:spacing w:line="360" w:lineRule="auto"/>
              <w:rPr>
                <w:rFonts w:hint="eastAsia" w:asciiTheme="minorEastAsia" w:hAnsiTheme="minorEastAsia" w:eastAsiaTheme="minorEastAsia" w:cstheme="minorEastAsia"/>
                <w:bCs/>
                <w:color w:val="auto"/>
                <w:szCs w:val="21"/>
                <w:highlight w:val="none"/>
              </w:rPr>
            </w:pPr>
            <w:bookmarkStart w:id="156" w:name="_Hlk65858438"/>
            <w:r>
              <w:rPr>
                <w:rFonts w:hint="eastAsia" w:asciiTheme="minorEastAsia" w:hAnsiTheme="minorEastAsia" w:eastAsiaTheme="minorEastAsia" w:cstheme="minorEastAsia"/>
                <w:bCs/>
                <w:color w:val="auto"/>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 4 %）。除上述情况外，评标报价=投标报价。</w:t>
            </w:r>
          </w:p>
          <w:bookmarkEnd w:id="156"/>
          <w:p w14:paraId="713B34B4">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11E8CD9D">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7C82A2D">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（5）满足招标文件要求且评标报价最低的评标报价为评标基准价，其价格分为满分。</w:t>
            </w:r>
          </w:p>
          <w:p w14:paraId="2150DE99">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 xml:space="preserve">（6）价格分计算公式：        </w:t>
            </w:r>
          </w:p>
          <w:p w14:paraId="01CCF30A">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价格分=（评标基准价／评标报价）×30分</w:t>
            </w:r>
          </w:p>
        </w:tc>
      </w:tr>
      <w:tr w14:paraId="7714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26EC0F55">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1711" w:type="dxa"/>
            <w:vMerge w:val="restart"/>
            <w:vAlign w:val="center"/>
          </w:tcPr>
          <w:p w14:paraId="09CA422B">
            <w:pPr>
              <w:adjustRightInd w:val="0"/>
              <w:spacing w:line="360" w:lineRule="auto"/>
              <w:ind w:left="-105" w:leftChars="-50" w:right="-105" w:rightChars="-50"/>
              <w:jc w:val="center"/>
              <w:textAlignment w:val="baseline"/>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技术分</w:t>
            </w:r>
          </w:p>
          <w:p w14:paraId="1E0A1F1D">
            <w:pPr>
              <w:adjustRightInd w:val="0"/>
              <w:snapToGrid w:val="0"/>
              <w:spacing w:line="360" w:lineRule="auto"/>
              <w:ind w:left="-105" w:leftChars="-50" w:right="-105" w:rightChars="-50"/>
              <w:jc w:val="center"/>
              <w:textAlignment w:val="baseline"/>
              <w:rPr>
                <w:rFonts w:hint="eastAsia" w:asciiTheme="minorEastAsia" w:hAnsiTheme="minorEastAsia" w:eastAsiaTheme="minorEastAsia" w:cstheme="minorEastAsia"/>
                <w:color w:val="auto"/>
                <w:spacing w:val="-18"/>
                <w:szCs w:val="21"/>
                <w:highlight w:val="none"/>
              </w:rPr>
            </w:pPr>
            <w:r>
              <w:rPr>
                <w:rFonts w:hint="eastAsia" w:asciiTheme="minorEastAsia" w:hAnsiTheme="minorEastAsia" w:eastAsiaTheme="minorEastAsia" w:cstheme="minorEastAsia"/>
                <w:b/>
                <w:color w:val="auto"/>
                <w:szCs w:val="21"/>
                <w:highlight w:val="none"/>
              </w:rPr>
              <w:t>（满分</w:t>
            </w:r>
            <w:r>
              <w:rPr>
                <w:rFonts w:hint="eastAsia" w:asciiTheme="minorEastAsia" w:hAnsiTheme="minorEastAsia" w:eastAsiaTheme="minorEastAsia" w:cstheme="minorEastAsia"/>
                <w:b/>
                <w:color w:val="auto"/>
                <w:szCs w:val="21"/>
                <w:highlight w:val="none"/>
                <w:lang w:val="en-US" w:eastAsia="zh-CN"/>
              </w:rPr>
              <w:t>46</w:t>
            </w:r>
            <w:r>
              <w:rPr>
                <w:rFonts w:hint="eastAsia" w:asciiTheme="minorEastAsia" w:hAnsiTheme="minorEastAsia" w:eastAsiaTheme="minorEastAsia" w:cstheme="minorEastAsia"/>
                <w:b/>
                <w:color w:val="auto"/>
                <w:szCs w:val="21"/>
                <w:highlight w:val="none"/>
              </w:rPr>
              <w:t>分）</w:t>
            </w:r>
          </w:p>
        </w:tc>
        <w:tc>
          <w:tcPr>
            <w:tcW w:w="1905" w:type="dxa"/>
            <w:vAlign w:val="center"/>
          </w:tcPr>
          <w:p w14:paraId="434D199B">
            <w:pPr>
              <w:snapToGrid w:val="0"/>
              <w:spacing w:line="360" w:lineRule="auto"/>
              <w:jc w:val="center"/>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（1）设备性能分</w:t>
            </w:r>
          </w:p>
          <w:p w14:paraId="5276327B">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（满分</w:t>
            </w:r>
            <w:r>
              <w:rPr>
                <w:rFonts w:hint="eastAsia" w:asciiTheme="minorEastAsia" w:hAnsiTheme="minorEastAsia" w:eastAsiaTheme="minorEastAsia" w:cstheme="minorEastAsia"/>
                <w:b/>
                <w:color w:val="auto"/>
                <w:szCs w:val="21"/>
                <w:highlight w:val="none"/>
                <w:lang w:val="en-US" w:eastAsia="zh-CN"/>
              </w:rPr>
              <w:t>30</w:t>
            </w:r>
            <w:r>
              <w:rPr>
                <w:rFonts w:hint="eastAsia" w:asciiTheme="minorEastAsia" w:hAnsiTheme="minorEastAsia" w:eastAsiaTheme="minorEastAsia" w:cstheme="minorEastAsia"/>
                <w:b/>
                <w:color w:val="auto"/>
                <w:szCs w:val="21"/>
                <w:highlight w:val="none"/>
              </w:rPr>
              <w:t>分）</w:t>
            </w:r>
          </w:p>
        </w:tc>
        <w:tc>
          <w:tcPr>
            <w:tcW w:w="5277" w:type="dxa"/>
            <w:vAlign w:val="center"/>
          </w:tcPr>
          <w:p w14:paraId="75126DAB">
            <w:pPr>
              <w:pStyle w:val="122"/>
              <w:keepNext w:val="0"/>
              <w:keepLines w:val="0"/>
              <w:pageBreakBefore w:val="0"/>
              <w:suppressLineNumbers w:val="0"/>
              <w:kinsoku/>
              <w:wordWrap/>
              <w:overflowPunct/>
              <w:topLinePunct w:val="0"/>
              <w:bidi w:val="0"/>
              <w:spacing w:before="0" w:beforeAutospacing="0" w:after="0" w:afterAutospacing="0" w:line="420" w:lineRule="exact"/>
              <w:ind w:left="0" w:right="0" w:firstLine="420" w:firstLineChars="200"/>
              <w:rPr>
                <w:rFonts w:hint="eastAsia" w:eastAsia="宋体" w:asciiTheme="minorEastAsia" w:hAnsiTheme="minorEastAsia" w:cstheme="minorEastAsia"/>
                <w:b w:val="0"/>
                <w:bCs w:val="0"/>
                <w:color w:val="auto"/>
                <w:szCs w:val="21"/>
                <w:highlight w:val="none"/>
                <w:lang w:eastAsia="zh-CN"/>
              </w:rPr>
            </w:pPr>
            <w:r>
              <w:rPr>
                <w:rFonts w:hint="eastAsia" w:ascii="宋体" w:hAnsi="宋体" w:eastAsia="宋体" w:cs="宋体"/>
                <w:color w:val="auto"/>
                <w:sz w:val="21"/>
                <w:szCs w:val="21"/>
                <w:highlight w:val="none"/>
                <w:lang w:val="en-US" w:eastAsia="zh-CN"/>
              </w:rPr>
              <w:t>通过资格审查和符合性审查的投标人得基本分30分，非标注“▲”的技术参数及功能，每有1项负偏离的，扣5分，最多允许扣6项（即非标“▲”的技术参数，本项目最多允许负偏离6项）。</w:t>
            </w:r>
          </w:p>
        </w:tc>
      </w:tr>
      <w:tr w14:paraId="4224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3C98E592">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p>
        </w:tc>
        <w:tc>
          <w:tcPr>
            <w:tcW w:w="1711" w:type="dxa"/>
            <w:vMerge w:val="continue"/>
            <w:vAlign w:val="center"/>
          </w:tcPr>
          <w:p w14:paraId="36FDDA45">
            <w:pPr>
              <w:adjustRightInd w:val="0"/>
              <w:snapToGrid w:val="0"/>
              <w:spacing w:line="360" w:lineRule="auto"/>
              <w:ind w:left="-105" w:leftChars="-50" w:right="-105" w:rightChars="-50"/>
              <w:jc w:val="center"/>
              <w:textAlignment w:val="baseline"/>
              <w:rPr>
                <w:rFonts w:hint="eastAsia" w:asciiTheme="minorEastAsia" w:hAnsiTheme="minorEastAsia" w:eastAsiaTheme="minorEastAsia" w:cstheme="minorEastAsia"/>
                <w:b/>
                <w:color w:val="auto"/>
                <w:szCs w:val="21"/>
                <w:highlight w:val="none"/>
              </w:rPr>
            </w:pPr>
          </w:p>
        </w:tc>
        <w:tc>
          <w:tcPr>
            <w:tcW w:w="1905" w:type="dxa"/>
            <w:vAlign w:val="center"/>
          </w:tcPr>
          <w:p w14:paraId="25B9AC77">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eastAsia="zh-CN"/>
              </w:rPr>
              <w:t>（</w:t>
            </w:r>
            <w:r>
              <w:rPr>
                <w:rFonts w:hint="eastAsia" w:asciiTheme="minorEastAsia" w:hAnsiTheme="minorEastAsia" w:eastAsiaTheme="minorEastAsia" w:cstheme="minorEastAsia"/>
                <w:b/>
                <w:color w:val="auto"/>
                <w:szCs w:val="21"/>
                <w:highlight w:val="none"/>
                <w:lang w:val="en-US" w:eastAsia="zh-CN"/>
              </w:rPr>
              <w:t>2</w:t>
            </w:r>
            <w:r>
              <w:rPr>
                <w:rFonts w:hint="eastAsia" w:asciiTheme="minorEastAsia" w:hAnsiTheme="minorEastAsia" w:eastAsiaTheme="minorEastAsia" w:cstheme="minorEastAsia"/>
                <w:b/>
                <w:color w:val="auto"/>
                <w:szCs w:val="21"/>
                <w:highlight w:val="none"/>
                <w:lang w:eastAsia="zh-CN"/>
              </w:rPr>
              <w:t>）</w:t>
            </w:r>
            <w:r>
              <w:rPr>
                <w:rFonts w:hint="eastAsia" w:asciiTheme="minorEastAsia" w:hAnsiTheme="minorEastAsia" w:eastAsiaTheme="minorEastAsia" w:cstheme="minorEastAsia"/>
                <w:b/>
                <w:color w:val="auto"/>
                <w:szCs w:val="21"/>
                <w:highlight w:val="none"/>
              </w:rPr>
              <w:t>项目实施方案</w:t>
            </w:r>
          </w:p>
          <w:p w14:paraId="56A5A4BE">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（满分</w:t>
            </w:r>
            <w:r>
              <w:rPr>
                <w:rFonts w:hint="eastAsia" w:asciiTheme="minorEastAsia" w:hAnsiTheme="minorEastAsia" w:eastAsiaTheme="minorEastAsia" w:cstheme="minorEastAsia"/>
                <w:b/>
                <w:color w:val="auto"/>
                <w:szCs w:val="21"/>
                <w:highlight w:val="none"/>
                <w:lang w:val="en-US" w:eastAsia="zh-CN"/>
              </w:rPr>
              <w:t>16</w:t>
            </w:r>
            <w:r>
              <w:rPr>
                <w:rFonts w:hint="eastAsia" w:asciiTheme="minorEastAsia" w:hAnsiTheme="minorEastAsia" w:eastAsiaTheme="minorEastAsia" w:cstheme="minorEastAsia"/>
                <w:b/>
                <w:color w:val="auto"/>
                <w:szCs w:val="21"/>
                <w:highlight w:val="none"/>
              </w:rPr>
              <w:t>分）</w:t>
            </w:r>
          </w:p>
        </w:tc>
        <w:tc>
          <w:tcPr>
            <w:tcW w:w="5277" w:type="dxa"/>
            <w:vAlign w:val="center"/>
          </w:tcPr>
          <w:p w14:paraId="34A0E93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评委根据投标人制定的项目实施方案进行独立评审，包括：</w:t>
            </w:r>
          </w:p>
          <w:p w14:paraId="7BF51F5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①运输方案；</w:t>
            </w:r>
          </w:p>
          <w:p w14:paraId="096B993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②具体实施流程、进度安排；</w:t>
            </w:r>
          </w:p>
          <w:p w14:paraId="7A39261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③安装调试方案；</w:t>
            </w:r>
          </w:p>
          <w:p w14:paraId="7012EB6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④管理措施。</w:t>
            </w:r>
          </w:p>
          <w:p w14:paraId="3590950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注：①-④项，每项得4分，其中实施方案合理(1分)、内容完整(1分)、具有实际操作性(1分)、对应本项目要求(1分)、内容缺项或不对应(0分)，满分16分。</w:t>
            </w:r>
          </w:p>
        </w:tc>
      </w:tr>
      <w:tr w14:paraId="4AB10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17633827">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1711" w:type="dxa"/>
            <w:vMerge w:val="restart"/>
            <w:vAlign w:val="center"/>
          </w:tcPr>
          <w:p w14:paraId="2A290C39">
            <w:pPr>
              <w:adjustRightInd w:val="0"/>
              <w:spacing w:line="360" w:lineRule="auto"/>
              <w:ind w:left="-105" w:leftChars="-50" w:right="-105" w:rightChars="-50"/>
              <w:jc w:val="center"/>
              <w:textAlignment w:val="baseline"/>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商务分</w:t>
            </w:r>
          </w:p>
          <w:p w14:paraId="6F7FE355">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（满分</w:t>
            </w:r>
            <w:r>
              <w:rPr>
                <w:rFonts w:hint="eastAsia" w:asciiTheme="minorEastAsia" w:hAnsiTheme="minorEastAsia" w:eastAsiaTheme="minorEastAsia" w:cstheme="minorEastAsia"/>
                <w:b/>
                <w:color w:val="auto"/>
                <w:szCs w:val="21"/>
                <w:highlight w:val="none"/>
                <w:lang w:val="en-US" w:eastAsia="zh-CN"/>
              </w:rPr>
              <w:t>24</w:t>
            </w:r>
            <w:r>
              <w:rPr>
                <w:rFonts w:hint="eastAsia" w:asciiTheme="minorEastAsia" w:hAnsiTheme="minorEastAsia" w:eastAsiaTheme="minorEastAsia" w:cstheme="minorEastAsia"/>
                <w:b/>
                <w:color w:val="auto"/>
                <w:szCs w:val="21"/>
                <w:highlight w:val="none"/>
              </w:rPr>
              <w:t>分）</w:t>
            </w:r>
          </w:p>
        </w:tc>
        <w:tc>
          <w:tcPr>
            <w:tcW w:w="1905" w:type="dxa"/>
            <w:vAlign w:val="center"/>
          </w:tcPr>
          <w:p w14:paraId="42FF95E1">
            <w:pPr>
              <w:widowControl/>
              <w:snapToGrid w:val="0"/>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（1）售后服务方案（满分</w:t>
            </w:r>
            <w:r>
              <w:rPr>
                <w:rFonts w:hint="eastAsia" w:asciiTheme="minorEastAsia" w:hAnsiTheme="minorEastAsia" w:eastAsiaTheme="minorEastAsia" w:cstheme="minorEastAsia"/>
                <w:b/>
                <w:bCs/>
                <w:color w:val="auto"/>
                <w:szCs w:val="21"/>
                <w:highlight w:val="none"/>
                <w:lang w:val="en-US" w:eastAsia="zh-CN"/>
              </w:rPr>
              <w:t>16</w:t>
            </w:r>
            <w:r>
              <w:rPr>
                <w:rFonts w:hint="eastAsia" w:asciiTheme="minorEastAsia" w:hAnsiTheme="minorEastAsia" w:eastAsiaTheme="minorEastAsia" w:cstheme="minorEastAsia"/>
                <w:b/>
                <w:bCs/>
                <w:color w:val="auto"/>
                <w:szCs w:val="21"/>
                <w:highlight w:val="none"/>
              </w:rPr>
              <w:t>分）</w:t>
            </w:r>
          </w:p>
        </w:tc>
        <w:tc>
          <w:tcPr>
            <w:tcW w:w="5277" w:type="dxa"/>
            <w:vAlign w:val="center"/>
          </w:tcPr>
          <w:p w14:paraId="6AA0F806">
            <w:pPr>
              <w:keepNext w:val="0"/>
              <w:keepLines w:val="0"/>
              <w:pageBreakBefore w:val="0"/>
              <w:kinsoku/>
              <w:wordWrap/>
              <w:overflowPunct/>
              <w:topLinePunct w:val="0"/>
              <w:autoSpaceDE/>
              <w:autoSpaceDN/>
              <w:bidi w:val="0"/>
              <w:adjustRightInd w:val="0"/>
              <w:spacing w:line="360" w:lineRule="auto"/>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评委根据投标人制定的售后服务方案进行独立评审</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包括</w:t>
            </w:r>
            <w:r>
              <w:rPr>
                <w:rFonts w:hint="eastAsia" w:asciiTheme="minorEastAsia" w:hAnsiTheme="minorEastAsia" w:eastAsiaTheme="minorEastAsia" w:cstheme="minorEastAsia"/>
                <w:color w:val="auto"/>
                <w:szCs w:val="21"/>
                <w:highlight w:val="none"/>
                <w:lang w:eastAsia="zh-CN"/>
              </w:rPr>
              <w:t>：</w:t>
            </w:r>
          </w:p>
          <w:p w14:paraId="00A805DB">
            <w:pPr>
              <w:keepNext w:val="0"/>
              <w:keepLines w:val="0"/>
              <w:pageBreakBefore w:val="0"/>
              <w:kinsoku/>
              <w:wordWrap/>
              <w:overflowPunct/>
              <w:topLinePunct w:val="0"/>
              <w:autoSpaceDE/>
              <w:autoSpaceDN/>
              <w:bidi w:val="0"/>
              <w:adjustRightIn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①质量保证措施；</w:t>
            </w:r>
          </w:p>
          <w:p w14:paraId="07A6BC8F">
            <w:pPr>
              <w:keepNext w:val="0"/>
              <w:keepLines w:val="0"/>
              <w:pageBreakBefore w:val="0"/>
              <w:kinsoku/>
              <w:wordWrap/>
              <w:overflowPunct/>
              <w:topLinePunct w:val="0"/>
              <w:autoSpaceDE/>
              <w:autoSpaceDN/>
              <w:bidi w:val="0"/>
              <w:adjustRightIn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②应急响应方案和排除故障响应时间；</w:t>
            </w:r>
          </w:p>
          <w:p w14:paraId="3E6842F4">
            <w:pPr>
              <w:keepNext w:val="0"/>
              <w:keepLines w:val="0"/>
              <w:pageBreakBefore w:val="0"/>
              <w:kinsoku/>
              <w:wordWrap/>
              <w:overflowPunct/>
              <w:topLinePunct w:val="0"/>
              <w:autoSpaceDE/>
              <w:autoSpaceDN/>
              <w:bidi w:val="0"/>
              <w:adjustRightIn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③人员培训方案；</w:t>
            </w:r>
          </w:p>
          <w:p w14:paraId="47F5E2C7">
            <w:pPr>
              <w:keepNext w:val="0"/>
              <w:keepLines w:val="0"/>
              <w:pageBreakBefore w:val="0"/>
              <w:kinsoku/>
              <w:wordWrap/>
              <w:overflowPunct/>
              <w:topLinePunct w:val="0"/>
              <w:autoSpaceDE/>
              <w:autoSpaceDN/>
              <w:bidi w:val="0"/>
              <w:adjustRightIn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④质保期内的保养方案。</w:t>
            </w:r>
          </w:p>
          <w:p w14:paraId="76FCE1B4">
            <w:pPr>
              <w:keepNext w:val="0"/>
              <w:keepLines w:val="0"/>
              <w:pageBreakBefore w:val="0"/>
              <w:kinsoku/>
              <w:wordWrap/>
              <w:overflowPunct/>
              <w:topLinePunct w:val="0"/>
              <w:autoSpaceDE/>
              <w:autoSpaceDN/>
              <w:bidi w:val="0"/>
              <w:adjustRightIn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w:t>
            </w:r>
            <w:r>
              <w:rPr>
                <w:rFonts w:hint="eastAsia" w:asciiTheme="minorEastAsia" w:hAnsiTheme="minorEastAsia" w:eastAsiaTheme="minorEastAsia" w:cstheme="minorEastAsia"/>
                <w:color w:val="auto"/>
                <w:szCs w:val="21"/>
                <w:highlight w:val="none"/>
                <w:lang w:val="en-US" w:eastAsia="zh-CN"/>
              </w:rPr>
              <w:t>提供有以上各项内容且内容全面完整的每项得1分，具有可操作性且合理的每项得1分，内容贴合项目实际的每项得1分，有利于项目顺利实施的每项得1分，每项满分4分，共16分。</w:t>
            </w:r>
          </w:p>
        </w:tc>
      </w:tr>
      <w:tr w14:paraId="45B8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6FC19A43">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p>
        </w:tc>
        <w:tc>
          <w:tcPr>
            <w:tcW w:w="1711" w:type="dxa"/>
            <w:vMerge w:val="continue"/>
            <w:vAlign w:val="center"/>
          </w:tcPr>
          <w:p w14:paraId="3790B789">
            <w:pPr>
              <w:adjustRightInd w:val="0"/>
              <w:snapToGrid w:val="0"/>
              <w:spacing w:line="360" w:lineRule="auto"/>
              <w:jc w:val="center"/>
              <w:textAlignment w:val="baseline"/>
              <w:rPr>
                <w:rFonts w:hint="eastAsia" w:asciiTheme="minorEastAsia" w:hAnsiTheme="minorEastAsia" w:eastAsiaTheme="minorEastAsia" w:cstheme="minorEastAsia"/>
                <w:b/>
                <w:color w:val="auto"/>
                <w:szCs w:val="21"/>
                <w:highlight w:val="none"/>
              </w:rPr>
            </w:pPr>
          </w:p>
        </w:tc>
        <w:tc>
          <w:tcPr>
            <w:tcW w:w="1905" w:type="dxa"/>
            <w:vAlign w:val="center"/>
          </w:tcPr>
          <w:p w14:paraId="375F6550">
            <w:pPr>
              <w:keepNext w:val="0"/>
              <w:keepLines w:val="0"/>
              <w:pageBreakBefore w:val="0"/>
              <w:widowControl/>
              <w:numPr>
                <w:ilvl w:val="0"/>
                <w:numId w:val="0"/>
              </w:numPr>
              <w:suppressLineNumbers w:val="0"/>
              <w:kinsoku/>
              <w:wordWrap/>
              <w:overflowPunct/>
              <w:topLinePunct w:val="0"/>
              <w:bidi w:val="0"/>
              <w:snapToGrid w:val="0"/>
              <w:spacing w:before="0" w:beforeAutospacing="0" w:after="0" w:afterAutospacing="0" w:line="420" w:lineRule="exact"/>
              <w:ind w:left="0" w:leftChars="0" w:right="0" w:rightChars="0" w:firstLine="0" w:firstLineChars="0"/>
              <w:jc w:val="center"/>
              <w:rPr>
                <w:rFonts w:hint="eastAsia" w:asciiTheme="minorEastAsia" w:hAnsiTheme="minorEastAsia" w:eastAsiaTheme="minorEastAsia" w:cstheme="minorEastAsia"/>
                <w:b/>
                <w:bCs/>
                <w:color w:val="auto"/>
                <w:szCs w:val="21"/>
                <w:highlight w:val="none"/>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cs="宋体"/>
                <w:b/>
                <w:bCs/>
                <w:color w:val="auto"/>
                <w:kern w:val="2"/>
                <w:sz w:val="21"/>
                <w:szCs w:val="21"/>
                <w:highlight w:val="none"/>
                <w:lang w:val="en-US" w:eastAsia="zh-CN" w:bidi="ar-SA"/>
              </w:rPr>
              <w:t>2</w:t>
            </w: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b/>
                <w:bCs/>
                <w:color w:val="auto"/>
                <w:sz w:val="21"/>
                <w:szCs w:val="21"/>
                <w:highlight w:val="none"/>
              </w:rPr>
              <w:t>管理体系认证分（满分</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分）</w:t>
            </w:r>
          </w:p>
        </w:tc>
        <w:tc>
          <w:tcPr>
            <w:tcW w:w="5277" w:type="dxa"/>
            <w:vAlign w:val="center"/>
          </w:tcPr>
          <w:p w14:paraId="71E97877">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投标人或所投货物生产厂家通过ISO13485医疗器械质量管理体系认证</w:t>
            </w:r>
            <w:r>
              <w:rPr>
                <w:rFonts w:hint="eastAsia" w:ascii="宋体" w:hAnsi="宋体" w:cs="宋体"/>
                <w:color w:val="auto"/>
                <w:sz w:val="21"/>
                <w:szCs w:val="21"/>
                <w:highlight w:val="none"/>
                <w:lang w:val="en-US" w:eastAsia="zh-CN"/>
              </w:rPr>
              <w:t>得2</w:t>
            </w:r>
            <w:r>
              <w:rPr>
                <w:rFonts w:hint="eastAsia" w:ascii="宋体" w:hAnsi="宋体" w:eastAsia="宋体" w:cs="宋体"/>
                <w:color w:val="auto"/>
                <w:sz w:val="21"/>
                <w:szCs w:val="21"/>
                <w:highlight w:val="none"/>
              </w:rPr>
              <w:t>分。</w:t>
            </w:r>
          </w:p>
          <w:p w14:paraId="41B7663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422" w:firstLineChars="200"/>
              <w:rPr>
                <w:rFonts w:hint="eastAsia" w:asciiTheme="minorEastAsia" w:hAnsiTheme="minorEastAsia" w:eastAsiaTheme="minorEastAsia" w:cstheme="minorEastAsia"/>
                <w:color w:val="auto"/>
                <w:szCs w:val="21"/>
                <w:highlight w:val="none"/>
              </w:rPr>
            </w:pPr>
            <w:r>
              <w:rPr>
                <w:rFonts w:hint="eastAsia" w:ascii="宋体" w:hAnsi="宋体" w:eastAsia="宋体" w:cs="宋体"/>
                <w:b/>
                <w:bCs/>
                <w:color w:val="auto"/>
                <w:sz w:val="21"/>
                <w:szCs w:val="21"/>
                <w:highlight w:val="none"/>
              </w:rPr>
              <w:t>注：须提供上述证书复印件【证书在全国认证认可信息公共服务平台上(http</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//cx.cnca.cn)可查】并加盖投标人公章</w:t>
            </w:r>
            <w:r>
              <w:rPr>
                <w:rFonts w:hint="eastAsia" w:ascii="宋体" w:hAnsi="宋体" w:cs="宋体"/>
                <w:b/>
                <w:bCs/>
                <w:color w:val="auto"/>
                <w:sz w:val="21"/>
                <w:szCs w:val="21"/>
                <w:highlight w:val="none"/>
                <w:lang w:val="en-US" w:eastAsia="zh-CN"/>
              </w:rPr>
              <w:t>或电子签章</w:t>
            </w:r>
            <w:r>
              <w:rPr>
                <w:rFonts w:hint="eastAsia" w:ascii="宋体" w:hAnsi="宋体" w:eastAsia="宋体" w:cs="宋体"/>
                <w:b/>
                <w:bCs/>
                <w:color w:val="auto"/>
                <w:sz w:val="21"/>
                <w:szCs w:val="21"/>
                <w:highlight w:val="none"/>
              </w:rPr>
              <w:t>，不提供或证书无效不得分</w:t>
            </w:r>
            <w:r>
              <w:rPr>
                <w:rFonts w:hint="eastAsia" w:ascii="宋体" w:hAnsi="宋体" w:eastAsia="宋体" w:cs="宋体"/>
                <w:color w:val="auto"/>
                <w:sz w:val="21"/>
                <w:szCs w:val="21"/>
                <w:highlight w:val="none"/>
              </w:rPr>
              <w:t>。</w:t>
            </w:r>
          </w:p>
        </w:tc>
      </w:tr>
      <w:tr w14:paraId="243F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508BD910">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p>
        </w:tc>
        <w:tc>
          <w:tcPr>
            <w:tcW w:w="1711" w:type="dxa"/>
            <w:vMerge w:val="continue"/>
            <w:vAlign w:val="center"/>
          </w:tcPr>
          <w:p w14:paraId="1243CCBC">
            <w:pPr>
              <w:adjustRightInd w:val="0"/>
              <w:snapToGrid w:val="0"/>
              <w:spacing w:line="360" w:lineRule="auto"/>
              <w:jc w:val="center"/>
              <w:textAlignment w:val="baseline"/>
              <w:rPr>
                <w:rFonts w:hint="eastAsia" w:asciiTheme="minorEastAsia" w:hAnsiTheme="minorEastAsia" w:eastAsiaTheme="minorEastAsia" w:cstheme="minorEastAsia"/>
                <w:b/>
                <w:color w:val="auto"/>
                <w:szCs w:val="21"/>
                <w:highlight w:val="none"/>
              </w:rPr>
            </w:pPr>
          </w:p>
        </w:tc>
        <w:tc>
          <w:tcPr>
            <w:tcW w:w="1905" w:type="dxa"/>
            <w:vAlign w:val="center"/>
          </w:tcPr>
          <w:p w14:paraId="66B22547">
            <w:pPr>
              <w:keepNext w:val="0"/>
              <w:keepLines w:val="0"/>
              <w:pageBreakBefore w:val="0"/>
              <w:suppressLineNumbers w:val="0"/>
              <w:kinsoku/>
              <w:wordWrap/>
              <w:overflowPunct/>
              <w:topLinePunct w:val="0"/>
              <w:bidi w:val="0"/>
              <w:adjustRightInd w:val="0"/>
              <w:spacing w:before="0" w:beforeAutospacing="0" w:after="0" w:afterAutospacing="0" w:line="420" w:lineRule="exact"/>
              <w:ind w:left="0" w:right="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）业绩分</w:t>
            </w:r>
          </w:p>
          <w:p w14:paraId="5E7DB7E6">
            <w:pPr>
              <w:keepNext w:val="0"/>
              <w:keepLines w:val="0"/>
              <w:pageBreakBefore w:val="0"/>
              <w:suppressLineNumbers w:val="0"/>
              <w:kinsoku/>
              <w:wordWrap/>
              <w:overflowPunct/>
              <w:topLinePunct w:val="0"/>
              <w:bidi w:val="0"/>
              <w:adjustRightInd w:val="0"/>
              <w:spacing w:before="0" w:beforeAutospacing="0" w:after="0" w:afterAutospacing="0" w:line="420" w:lineRule="exact"/>
              <w:ind w:left="0" w:right="0"/>
              <w:jc w:val="center"/>
              <w:textAlignment w:val="baseline"/>
              <w:rPr>
                <w:rFonts w:hint="eastAsia" w:asciiTheme="minorEastAsia" w:hAnsiTheme="minorEastAsia" w:cstheme="minorEastAsia"/>
                <w:b/>
                <w:bCs/>
                <w:color w:val="auto"/>
                <w:szCs w:val="21"/>
                <w:highlight w:val="none"/>
              </w:rPr>
            </w:pPr>
            <w:r>
              <w:rPr>
                <w:rFonts w:hint="eastAsia" w:ascii="宋体" w:hAnsi="宋体" w:eastAsia="宋体" w:cs="宋体"/>
                <w:b/>
                <w:bCs/>
                <w:color w:val="auto"/>
                <w:sz w:val="21"/>
                <w:szCs w:val="21"/>
                <w:highlight w:val="none"/>
              </w:rPr>
              <w:t>（满分</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p>
        </w:tc>
        <w:tc>
          <w:tcPr>
            <w:tcW w:w="5277" w:type="dxa"/>
            <w:vAlign w:val="center"/>
          </w:tcPr>
          <w:p w14:paraId="0B540D6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textAlignment w:val="baseline"/>
              <w:rPr>
                <w:rFonts w:hint="eastAsia" w:asciiTheme="minorEastAsia" w:hAnsiTheme="minorEastAsia" w:eastAsiaTheme="minorEastAsia" w:cstheme="minorEastAsia"/>
                <w:color w:val="auto"/>
                <w:szCs w:val="21"/>
                <w:highlight w:val="none"/>
              </w:rPr>
            </w:pPr>
            <w:r>
              <w:rPr>
                <w:rFonts w:hint="eastAsia" w:ascii="宋体" w:hAnsi="宋体" w:eastAsia="宋体" w:cs="宋体"/>
                <w:color w:val="auto"/>
                <w:sz w:val="21"/>
                <w:szCs w:val="21"/>
                <w:highlight w:val="none"/>
              </w:rPr>
              <w:t>投标人</w:t>
            </w:r>
            <w:r>
              <w:rPr>
                <w:rFonts w:hint="eastAsia" w:ascii="宋体" w:hAnsi="宋体" w:cs="宋体"/>
                <w:color w:val="auto"/>
                <w:sz w:val="21"/>
                <w:szCs w:val="21"/>
                <w:highlight w:val="none"/>
                <w:lang w:val="en-US" w:eastAsia="zh-CN"/>
              </w:rPr>
              <w:t>或所投货物生产厂家</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同类</w:t>
            </w:r>
            <w:r>
              <w:rPr>
                <w:rFonts w:hint="eastAsia" w:ascii="宋体" w:hAnsi="宋体" w:cs="宋体"/>
                <w:color w:val="auto"/>
                <w:sz w:val="21"/>
                <w:szCs w:val="21"/>
                <w:highlight w:val="none"/>
                <w:lang w:val="en-US" w:eastAsia="zh-CN"/>
              </w:rPr>
              <w:t>产品销售</w:t>
            </w:r>
            <w:r>
              <w:rPr>
                <w:rFonts w:hint="eastAsia" w:ascii="宋体" w:hAnsi="宋体" w:eastAsia="宋体" w:cs="宋体"/>
                <w:color w:val="auto"/>
                <w:sz w:val="21"/>
                <w:szCs w:val="21"/>
                <w:highlight w:val="none"/>
              </w:rPr>
              <w:t>业绩，每</w:t>
            </w:r>
            <w:r>
              <w:rPr>
                <w:rFonts w:hint="eastAsia" w:ascii="宋体" w:hAnsi="宋体" w:cs="宋体"/>
                <w:color w:val="auto"/>
                <w:sz w:val="21"/>
                <w:szCs w:val="21"/>
                <w:highlight w:val="none"/>
                <w:lang w:val="en-US" w:eastAsia="zh-CN"/>
              </w:rPr>
              <w:t>个</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分，最高得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b/>
                <w:bCs/>
                <w:color w:val="auto"/>
                <w:sz w:val="21"/>
                <w:szCs w:val="21"/>
                <w:highlight w:val="none"/>
              </w:rPr>
              <w:t>【提供合同或者中标</w:t>
            </w:r>
            <w:r>
              <w:rPr>
                <w:rFonts w:hint="eastAsia" w:ascii="宋体" w:hAnsi="宋体" w:cs="宋体"/>
                <w:b/>
                <w:bCs/>
                <w:color w:val="auto"/>
                <w:sz w:val="21"/>
                <w:szCs w:val="21"/>
                <w:highlight w:val="none"/>
                <w:lang w:val="en-US" w:eastAsia="zh-CN"/>
              </w:rPr>
              <w:t>/成交</w:t>
            </w:r>
            <w:r>
              <w:rPr>
                <w:rFonts w:hint="eastAsia" w:ascii="宋体" w:hAnsi="宋体" w:eastAsia="宋体" w:cs="宋体"/>
                <w:b/>
                <w:bCs/>
                <w:color w:val="auto"/>
                <w:sz w:val="21"/>
                <w:szCs w:val="21"/>
                <w:highlight w:val="none"/>
              </w:rPr>
              <w:t>通知书复印件，不提供不予计分】</w:t>
            </w:r>
          </w:p>
        </w:tc>
      </w:tr>
      <w:tr w14:paraId="242A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3AB8B86B">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p>
        </w:tc>
        <w:tc>
          <w:tcPr>
            <w:tcW w:w="1711" w:type="dxa"/>
            <w:vMerge w:val="continue"/>
            <w:vAlign w:val="center"/>
          </w:tcPr>
          <w:p w14:paraId="6AD73E04">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p>
        </w:tc>
        <w:tc>
          <w:tcPr>
            <w:tcW w:w="1905" w:type="dxa"/>
            <w:vAlign w:val="center"/>
          </w:tcPr>
          <w:p w14:paraId="20495846">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）政策分</w:t>
            </w:r>
          </w:p>
          <w:p w14:paraId="6ED5F062">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（满分</w:t>
            </w:r>
            <w:r>
              <w:rPr>
                <w:rFonts w:hint="eastAsia" w:ascii="宋体" w:hAnsi="宋体" w:eastAsia="宋体" w:cs="宋体"/>
                <w:b/>
                <w:bCs/>
                <w:color w:val="auto"/>
                <w:sz w:val="21"/>
                <w:szCs w:val="21"/>
                <w:highlight w:val="none"/>
                <w:u w:val="none"/>
              </w:rPr>
              <w:t>2</w:t>
            </w:r>
            <w:r>
              <w:rPr>
                <w:rFonts w:hint="eastAsia" w:ascii="宋体" w:hAnsi="宋体" w:eastAsia="宋体" w:cs="宋体"/>
                <w:b/>
                <w:bCs/>
                <w:color w:val="auto"/>
                <w:sz w:val="21"/>
                <w:szCs w:val="21"/>
                <w:highlight w:val="none"/>
              </w:rPr>
              <w:t>分）</w:t>
            </w:r>
          </w:p>
          <w:p w14:paraId="158A1DD0">
            <w:pPr>
              <w:keepNext w:val="0"/>
              <w:keepLines w:val="0"/>
              <w:pageBreakBefore w:val="0"/>
              <w:suppressLineNumbers w:val="0"/>
              <w:kinsoku/>
              <w:wordWrap/>
              <w:overflowPunct/>
              <w:topLinePunct w:val="0"/>
              <w:bidi w:val="0"/>
              <w:spacing w:before="0" w:beforeAutospacing="0" w:after="0" w:afterAutospacing="0" w:line="420" w:lineRule="exact"/>
              <w:ind w:left="0" w:leftChars="0" w:right="0" w:rightChars="0"/>
              <w:jc w:val="center"/>
              <w:rPr>
                <w:rFonts w:hint="eastAsia" w:asciiTheme="minorEastAsia" w:hAnsiTheme="minorEastAsia" w:eastAsiaTheme="minorEastAsia" w:cstheme="minorEastAsia"/>
                <w:b/>
                <w:bCs/>
                <w:color w:val="auto"/>
                <w:szCs w:val="21"/>
                <w:highlight w:val="none"/>
              </w:rPr>
            </w:pPr>
          </w:p>
        </w:tc>
        <w:tc>
          <w:tcPr>
            <w:tcW w:w="5277" w:type="dxa"/>
            <w:vAlign w:val="center"/>
          </w:tcPr>
          <w:p w14:paraId="1C1BFEA7">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属于财政部《节能产品政府采购品目清单》内优先采购（清单内未标注“★”的品目）的产品[投标文件中提供有效的认证证书复印件及品目清单（标注出投标产品在品目清单中所属的品目），并加盖投标人公章]，根据其所占项目（或者分标）投标报价比例得</w:t>
            </w:r>
            <w:r>
              <w:rPr>
                <w:rFonts w:hint="eastAsia" w:ascii="宋体" w:hAnsi="宋体" w:eastAsia="宋体" w:cs="宋体"/>
                <w:bCs/>
                <w:color w:val="auto"/>
                <w:kern w:val="2"/>
                <w:sz w:val="21"/>
                <w:szCs w:val="21"/>
                <w:highlight w:val="none"/>
                <w:u w:val="single"/>
              </w:rPr>
              <w:t>0</w:t>
            </w:r>
            <w:r>
              <w:rPr>
                <w:rFonts w:hint="eastAsia" w:ascii="宋体" w:hAnsi="宋体" w:eastAsia="宋体" w:cs="宋体"/>
                <w:bCs/>
                <w:color w:val="auto"/>
                <w:kern w:val="2"/>
                <w:sz w:val="21"/>
                <w:szCs w:val="21"/>
                <w:highlight w:val="none"/>
              </w:rPr>
              <w:t>至</w:t>
            </w:r>
            <w:r>
              <w:rPr>
                <w:rFonts w:hint="eastAsia" w:ascii="宋体" w:hAnsi="宋体" w:eastAsia="宋体" w:cs="宋体"/>
                <w:bCs/>
                <w:color w:val="auto"/>
                <w:kern w:val="2"/>
                <w:sz w:val="21"/>
                <w:szCs w:val="21"/>
                <w:highlight w:val="none"/>
                <w:u w:val="single"/>
              </w:rPr>
              <w:t>1</w:t>
            </w:r>
            <w:r>
              <w:rPr>
                <w:rFonts w:hint="eastAsia" w:ascii="宋体" w:hAnsi="宋体" w:eastAsia="宋体" w:cs="宋体"/>
                <w:bCs/>
                <w:color w:val="auto"/>
                <w:kern w:val="2"/>
                <w:sz w:val="21"/>
                <w:szCs w:val="21"/>
                <w:highlight w:val="none"/>
              </w:rPr>
              <w:t>分，满分</w:t>
            </w:r>
            <w:r>
              <w:rPr>
                <w:rFonts w:hint="eastAsia" w:ascii="宋体" w:hAnsi="宋体" w:eastAsia="宋体" w:cs="宋体"/>
                <w:bCs/>
                <w:color w:val="auto"/>
                <w:kern w:val="2"/>
                <w:sz w:val="21"/>
                <w:szCs w:val="21"/>
                <w:highlight w:val="none"/>
                <w:u w:val="single"/>
              </w:rPr>
              <w:t>1</w:t>
            </w:r>
            <w:r>
              <w:rPr>
                <w:rFonts w:hint="eastAsia" w:ascii="宋体" w:hAnsi="宋体" w:eastAsia="宋体" w:cs="宋体"/>
                <w:bCs/>
                <w:color w:val="auto"/>
                <w:kern w:val="2"/>
                <w:sz w:val="21"/>
                <w:szCs w:val="21"/>
                <w:highlight w:val="none"/>
              </w:rPr>
              <w:t>分。</w:t>
            </w:r>
          </w:p>
          <w:p w14:paraId="682DF862">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属于财政部《环境标志产品政府采购品目清单》内的产品[投标文件中提供有效的认证证书复印件及品目清单（标注出投标产品在品目清单中所属的品目），并加盖投标人公章]，根据其所占项目（或者分标）投标报价比例得</w:t>
            </w:r>
            <w:r>
              <w:rPr>
                <w:rFonts w:hint="eastAsia" w:ascii="宋体" w:hAnsi="宋体" w:eastAsia="宋体" w:cs="宋体"/>
                <w:bCs/>
                <w:color w:val="auto"/>
                <w:kern w:val="2"/>
                <w:sz w:val="21"/>
                <w:szCs w:val="21"/>
                <w:highlight w:val="none"/>
                <w:u w:val="single"/>
              </w:rPr>
              <w:t>0</w:t>
            </w:r>
            <w:r>
              <w:rPr>
                <w:rFonts w:hint="eastAsia" w:ascii="宋体" w:hAnsi="宋体" w:eastAsia="宋体" w:cs="宋体"/>
                <w:bCs/>
                <w:color w:val="auto"/>
                <w:kern w:val="2"/>
                <w:sz w:val="21"/>
                <w:szCs w:val="21"/>
                <w:highlight w:val="none"/>
              </w:rPr>
              <w:t>至</w:t>
            </w:r>
            <w:r>
              <w:rPr>
                <w:rFonts w:hint="eastAsia" w:ascii="宋体" w:hAnsi="宋体" w:eastAsia="宋体" w:cs="宋体"/>
                <w:bCs/>
                <w:color w:val="auto"/>
                <w:kern w:val="2"/>
                <w:sz w:val="21"/>
                <w:szCs w:val="21"/>
                <w:highlight w:val="none"/>
                <w:u w:val="single"/>
              </w:rPr>
              <w:t>1</w:t>
            </w:r>
            <w:r>
              <w:rPr>
                <w:rFonts w:hint="eastAsia" w:ascii="宋体" w:hAnsi="宋体" w:eastAsia="宋体" w:cs="宋体"/>
                <w:bCs/>
                <w:color w:val="auto"/>
                <w:kern w:val="2"/>
                <w:sz w:val="21"/>
                <w:szCs w:val="21"/>
                <w:highlight w:val="none"/>
              </w:rPr>
              <w:t>分，满分</w:t>
            </w:r>
            <w:r>
              <w:rPr>
                <w:rFonts w:hint="eastAsia" w:ascii="宋体" w:hAnsi="宋体" w:eastAsia="宋体" w:cs="宋体"/>
                <w:bCs/>
                <w:color w:val="auto"/>
                <w:kern w:val="2"/>
                <w:sz w:val="21"/>
                <w:szCs w:val="21"/>
                <w:highlight w:val="none"/>
                <w:u w:val="single"/>
              </w:rPr>
              <w:t>1</w:t>
            </w:r>
            <w:r>
              <w:rPr>
                <w:rFonts w:hint="eastAsia" w:ascii="宋体" w:hAnsi="宋体" w:eastAsia="宋体" w:cs="宋体"/>
                <w:bCs/>
                <w:color w:val="auto"/>
                <w:kern w:val="2"/>
                <w:sz w:val="21"/>
                <w:szCs w:val="21"/>
                <w:highlight w:val="none"/>
              </w:rPr>
              <w:t>分；</w:t>
            </w:r>
          </w:p>
          <w:p w14:paraId="59172118">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bCs/>
                <w:color w:val="auto"/>
                <w:sz w:val="21"/>
                <w:szCs w:val="21"/>
                <w:highlight w:val="none"/>
              </w:rPr>
              <w:t>以上（1）（2）分值计算公式列举说明，如某投标人属于优先采购环境标志产品总值占本投标报价的比例为35.6%，那该项得分为1×0.356=0.356分；</w:t>
            </w:r>
          </w:p>
          <w:p w14:paraId="6338AA34">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宋体" w:hAnsi="宋体" w:eastAsia="宋体" w:cs="宋体"/>
                <w:bCs/>
                <w:color w:val="auto"/>
                <w:kern w:val="2"/>
                <w:sz w:val="21"/>
                <w:szCs w:val="21"/>
                <w:highlight w:val="none"/>
              </w:rPr>
              <w:t>（3）非节能、环境标志产品的不得分。</w:t>
            </w:r>
          </w:p>
        </w:tc>
      </w:tr>
      <w:tr w14:paraId="5576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5" w:type="dxa"/>
            <w:gridSpan w:val="4"/>
            <w:vAlign w:val="center"/>
          </w:tcPr>
          <w:p w14:paraId="64727CFD">
            <w:pPr>
              <w:pStyle w:val="24"/>
              <w:snapToGrid w:val="0"/>
              <w:spacing w:line="360" w:lineRule="auto"/>
              <w:rPr>
                <w:rFonts w:hint="eastAsia" w:asciiTheme="minorEastAsia" w:hAnsiTheme="minorEastAsia" w:eastAsiaTheme="minorEastAsia" w:cstheme="minorEastAsia"/>
                <w:b/>
                <w:bCs/>
                <w:color w:val="auto"/>
                <w:sz w:val="21"/>
                <w:highlight w:val="none"/>
              </w:rPr>
            </w:pPr>
            <w:r>
              <w:rPr>
                <w:rFonts w:hint="eastAsia" w:asciiTheme="minorEastAsia" w:hAnsiTheme="minorEastAsia" w:eastAsiaTheme="minorEastAsia" w:cstheme="minorEastAsia"/>
                <w:b/>
                <w:bCs/>
                <w:color w:val="auto"/>
                <w:sz w:val="21"/>
                <w:highlight w:val="none"/>
              </w:rPr>
              <w:t>总得分为以上各项评审因素得分合计。</w:t>
            </w:r>
          </w:p>
        </w:tc>
      </w:tr>
    </w:tbl>
    <w:p w14:paraId="389ACE1B">
      <w:pPr>
        <w:pStyle w:val="24"/>
        <w:spacing w:line="360" w:lineRule="auto"/>
        <w:rPr>
          <w:rFonts w:hint="eastAsia" w:hAnsi="宋体"/>
          <w:bCs/>
          <w:color w:val="auto"/>
          <w:sz w:val="21"/>
          <w:highlight w:val="none"/>
        </w:rPr>
      </w:pPr>
    </w:p>
    <w:p w14:paraId="3F8F3E9A">
      <w:pPr>
        <w:pStyle w:val="24"/>
        <w:spacing w:line="360" w:lineRule="auto"/>
        <w:ind w:firstLine="420"/>
        <w:rPr>
          <w:rFonts w:hint="eastAsia" w:hAnsi="宋体"/>
          <w:bCs/>
          <w:color w:val="auto"/>
          <w:sz w:val="21"/>
          <w:highlight w:val="none"/>
        </w:rPr>
      </w:pPr>
      <w:r>
        <w:rPr>
          <w:rFonts w:hint="eastAsia" w:hAnsi="宋体"/>
          <w:bCs/>
          <w:color w:val="auto"/>
          <w:sz w:val="21"/>
          <w:highlight w:val="none"/>
        </w:rPr>
        <w:t>注：计分方法按四舍五入取至百分位</w:t>
      </w:r>
    </w:p>
    <w:p w14:paraId="234DFEE8">
      <w:pPr>
        <w:rPr>
          <w:color w:val="auto"/>
          <w:highlight w:val="none"/>
        </w:rPr>
      </w:pPr>
      <w:r>
        <w:rPr>
          <w:color w:val="auto"/>
          <w:highlight w:val="none"/>
        </w:rPr>
        <w:br w:type="page"/>
      </w:r>
    </w:p>
    <w:p w14:paraId="0F35D682">
      <w:pPr>
        <w:pStyle w:val="24"/>
        <w:spacing w:line="360" w:lineRule="auto"/>
        <w:jc w:val="center"/>
        <w:rPr>
          <w:rFonts w:hint="eastAsia"/>
          <w:color w:val="auto"/>
          <w:highlight w:val="none"/>
          <w:lang w:val="en-US" w:eastAsia="zh-CN"/>
        </w:rPr>
      </w:pPr>
      <w:r>
        <w:rPr>
          <w:rFonts w:hint="eastAsia" w:ascii="Times New Roman" w:hAnsi="Times New Roman" w:eastAsia="宋体" w:cs="Times New Roman"/>
          <w:b/>
          <w:bCs/>
          <w:color w:val="auto"/>
          <w:kern w:val="0"/>
          <w:sz w:val="32"/>
          <w:szCs w:val="32"/>
          <w:highlight w:val="none"/>
          <w:lang w:val="en-US" w:eastAsia="zh-CN" w:bidi="ar-SA"/>
        </w:rPr>
        <w:t>综合评分法</w:t>
      </w:r>
      <w:r>
        <w:rPr>
          <w:rFonts w:hint="eastAsia" w:ascii="Times New Roman" w:hAnsi="Times New Roman" w:cs="Times New Roman"/>
          <w:b/>
          <w:bCs/>
          <w:color w:val="auto"/>
          <w:kern w:val="0"/>
          <w:sz w:val="32"/>
          <w:szCs w:val="32"/>
          <w:highlight w:val="none"/>
          <w:lang w:val="en-US" w:eastAsia="zh-CN" w:bidi="ar-SA"/>
        </w:rPr>
        <w:t>（适用于4分标）</w:t>
      </w:r>
    </w:p>
    <w:tbl>
      <w:tblPr>
        <w:tblStyle w:val="46"/>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711"/>
        <w:gridCol w:w="1905"/>
        <w:gridCol w:w="5277"/>
      </w:tblGrid>
      <w:tr w14:paraId="4A66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3" w:type="dxa"/>
            <w:gridSpan w:val="2"/>
            <w:vAlign w:val="center"/>
          </w:tcPr>
          <w:p w14:paraId="4A8C8EA0">
            <w:pPr>
              <w:adjustRightInd w:val="0"/>
              <w:spacing w:line="360" w:lineRule="auto"/>
              <w:jc w:val="center"/>
              <w:textAlignment w:val="baseline"/>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1905" w:type="dxa"/>
            <w:vAlign w:val="center"/>
          </w:tcPr>
          <w:p w14:paraId="7D2A1D02">
            <w:pPr>
              <w:adjustRightInd w:val="0"/>
              <w:spacing w:line="360" w:lineRule="auto"/>
              <w:jc w:val="center"/>
              <w:textAlignment w:val="baseline"/>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评审因素</w:t>
            </w:r>
          </w:p>
        </w:tc>
        <w:tc>
          <w:tcPr>
            <w:tcW w:w="5277" w:type="dxa"/>
            <w:vAlign w:val="center"/>
          </w:tcPr>
          <w:p w14:paraId="08131494">
            <w:pPr>
              <w:adjustRightInd w:val="0"/>
              <w:spacing w:line="360" w:lineRule="auto"/>
              <w:jc w:val="center"/>
              <w:textAlignment w:val="baseline"/>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评标标准</w:t>
            </w:r>
          </w:p>
        </w:tc>
      </w:tr>
      <w:tr w14:paraId="0313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65472153">
            <w:pPr>
              <w:adjustRightInd w:val="0"/>
              <w:spacing w:line="360" w:lineRule="auto"/>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711" w:type="dxa"/>
            <w:vAlign w:val="center"/>
          </w:tcPr>
          <w:p w14:paraId="04C2FA3C">
            <w:pPr>
              <w:adjustRightInd w:val="0"/>
              <w:spacing w:line="360" w:lineRule="auto"/>
              <w:jc w:val="center"/>
              <w:textAlignment w:val="baseline"/>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价格分</w:t>
            </w:r>
          </w:p>
          <w:p w14:paraId="5492EB52">
            <w:pPr>
              <w:adjustRightInd w:val="0"/>
              <w:spacing w:line="360" w:lineRule="auto"/>
              <w:jc w:val="center"/>
              <w:textAlignment w:val="baseline"/>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（满分</w:t>
            </w:r>
            <w:r>
              <w:rPr>
                <w:rFonts w:hint="eastAsia" w:asciiTheme="minorEastAsia" w:hAnsiTheme="minorEastAsia" w:eastAsiaTheme="minorEastAsia" w:cstheme="minorEastAsia"/>
                <w:b/>
                <w:bCs/>
                <w:color w:val="auto"/>
                <w:szCs w:val="21"/>
                <w:highlight w:val="none"/>
                <w:u w:val="single"/>
              </w:rPr>
              <w:t>30</w:t>
            </w:r>
            <w:r>
              <w:rPr>
                <w:rFonts w:hint="eastAsia" w:asciiTheme="minorEastAsia" w:hAnsiTheme="minorEastAsia" w:eastAsiaTheme="minorEastAsia" w:cstheme="minorEastAsia"/>
                <w:b/>
                <w:bCs/>
                <w:color w:val="auto"/>
                <w:szCs w:val="21"/>
                <w:highlight w:val="none"/>
              </w:rPr>
              <w:t>分）</w:t>
            </w:r>
          </w:p>
          <w:p w14:paraId="2C8B1D30">
            <w:pPr>
              <w:adjustRightInd w:val="0"/>
              <w:spacing w:line="360" w:lineRule="auto"/>
              <w:jc w:val="left"/>
              <w:textAlignment w:val="baseline"/>
              <w:rPr>
                <w:rFonts w:hint="eastAsia" w:asciiTheme="minorEastAsia" w:hAnsiTheme="minorEastAsia" w:eastAsiaTheme="minorEastAsia" w:cstheme="minorEastAsia"/>
                <w:b/>
                <w:bCs/>
                <w:color w:val="auto"/>
                <w:szCs w:val="21"/>
                <w:highlight w:val="none"/>
              </w:rPr>
            </w:pPr>
          </w:p>
        </w:tc>
        <w:tc>
          <w:tcPr>
            <w:tcW w:w="1905" w:type="dxa"/>
            <w:vAlign w:val="center"/>
          </w:tcPr>
          <w:p w14:paraId="40817A46">
            <w:pPr>
              <w:adjustRightInd w:val="0"/>
              <w:spacing w:line="360" w:lineRule="auto"/>
              <w:jc w:val="center"/>
              <w:textAlignment w:val="baseline"/>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投标报价</w:t>
            </w:r>
          </w:p>
        </w:tc>
        <w:tc>
          <w:tcPr>
            <w:tcW w:w="5277" w:type="dxa"/>
            <w:vAlign w:val="center"/>
          </w:tcPr>
          <w:p w14:paraId="28650D14">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（1）评标报价为投标人的投标报价进行政策性扣除后的价格，评标报价只是作为评标时使用。最终中标供应商的中标金额等于投标报价。</w:t>
            </w:r>
          </w:p>
          <w:p w14:paraId="5DF07830">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（2）政策性扣除计算方法。</w:t>
            </w:r>
          </w:p>
          <w:p w14:paraId="09C93117">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 4 %）。除上述情况外，评标报价=投标报价。</w:t>
            </w:r>
          </w:p>
          <w:p w14:paraId="01635B41">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7BD618EC">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D771382">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（5）满足招标文件要求且评标报价最低的评标报价为评标基准价，其价格分为满分。</w:t>
            </w:r>
          </w:p>
          <w:p w14:paraId="6050CBAA">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 xml:space="preserve">（6）价格分计算公式：        </w:t>
            </w:r>
          </w:p>
          <w:p w14:paraId="4FA784A3">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价格分=（评标基准价／评标报价）×30分</w:t>
            </w:r>
          </w:p>
        </w:tc>
      </w:tr>
      <w:tr w14:paraId="53D3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62CC3C6C">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1711" w:type="dxa"/>
            <w:vMerge w:val="restart"/>
            <w:vAlign w:val="center"/>
          </w:tcPr>
          <w:p w14:paraId="24077BE3">
            <w:pPr>
              <w:adjustRightInd w:val="0"/>
              <w:spacing w:line="360" w:lineRule="auto"/>
              <w:ind w:left="-105" w:leftChars="-50" w:right="-105" w:rightChars="-50"/>
              <w:jc w:val="center"/>
              <w:textAlignment w:val="baseline"/>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技术分</w:t>
            </w:r>
          </w:p>
          <w:p w14:paraId="285A13FC">
            <w:pPr>
              <w:adjustRightInd w:val="0"/>
              <w:snapToGrid w:val="0"/>
              <w:spacing w:line="360" w:lineRule="auto"/>
              <w:ind w:left="-105" w:leftChars="-50" w:right="-105" w:rightChars="-50"/>
              <w:jc w:val="center"/>
              <w:textAlignment w:val="baseline"/>
              <w:rPr>
                <w:rFonts w:hint="eastAsia" w:asciiTheme="minorEastAsia" w:hAnsiTheme="minorEastAsia" w:eastAsiaTheme="minorEastAsia" w:cstheme="minorEastAsia"/>
                <w:color w:val="auto"/>
                <w:spacing w:val="-18"/>
                <w:szCs w:val="21"/>
                <w:highlight w:val="none"/>
              </w:rPr>
            </w:pPr>
            <w:r>
              <w:rPr>
                <w:rFonts w:hint="eastAsia" w:asciiTheme="minorEastAsia" w:hAnsiTheme="minorEastAsia" w:eastAsiaTheme="minorEastAsia" w:cstheme="minorEastAsia"/>
                <w:b/>
                <w:color w:val="auto"/>
                <w:szCs w:val="21"/>
                <w:highlight w:val="none"/>
              </w:rPr>
              <w:t>（满分</w:t>
            </w:r>
            <w:r>
              <w:rPr>
                <w:rFonts w:hint="eastAsia" w:asciiTheme="minorEastAsia" w:hAnsiTheme="minorEastAsia" w:eastAsiaTheme="minorEastAsia" w:cstheme="minorEastAsia"/>
                <w:b/>
                <w:color w:val="auto"/>
                <w:szCs w:val="21"/>
                <w:highlight w:val="none"/>
                <w:lang w:val="en-US" w:eastAsia="zh-CN"/>
              </w:rPr>
              <w:t>54</w:t>
            </w:r>
            <w:r>
              <w:rPr>
                <w:rFonts w:hint="eastAsia" w:asciiTheme="minorEastAsia" w:hAnsiTheme="minorEastAsia" w:eastAsiaTheme="minorEastAsia" w:cstheme="minorEastAsia"/>
                <w:b/>
                <w:color w:val="auto"/>
                <w:szCs w:val="21"/>
                <w:highlight w:val="none"/>
              </w:rPr>
              <w:t>分）</w:t>
            </w:r>
          </w:p>
        </w:tc>
        <w:tc>
          <w:tcPr>
            <w:tcW w:w="1905" w:type="dxa"/>
            <w:vAlign w:val="center"/>
          </w:tcPr>
          <w:p w14:paraId="5FED3A0D">
            <w:pPr>
              <w:snapToGrid w:val="0"/>
              <w:spacing w:line="360" w:lineRule="auto"/>
              <w:jc w:val="center"/>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（1）设备性能分</w:t>
            </w:r>
          </w:p>
          <w:p w14:paraId="0DDC1D6D">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（满分</w:t>
            </w:r>
            <w:r>
              <w:rPr>
                <w:rFonts w:hint="eastAsia" w:asciiTheme="minorEastAsia" w:hAnsiTheme="minorEastAsia" w:eastAsiaTheme="minorEastAsia" w:cstheme="minorEastAsia"/>
                <w:b/>
                <w:color w:val="auto"/>
                <w:szCs w:val="21"/>
                <w:highlight w:val="none"/>
                <w:lang w:val="en-US" w:eastAsia="zh-CN"/>
              </w:rPr>
              <w:t>30</w:t>
            </w:r>
            <w:r>
              <w:rPr>
                <w:rFonts w:hint="eastAsia" w:asciiTheme="minorEastAsia" w:hAnsiTheme="minorEastAsia" w:eastAsiaTheme="minorEastAsia" w:cstheme="minorEastAsia"/>
                <w:b/>
                <w:color w:val="auto"/>
                <w:szCs w:val="21"/>
                <w:highlight w:val="none"/>
              </w:rPr>
              <w:t>分）</w:t>
            </w:r>
          </w:p>
        </w:tc>
        <w:tc>
          <w:tcPr>
            <w:tcW w:w="5277" w:type="dxa"/>
            <w:vAlign w:val="center"/>
          </w:tcPr>
          <w:p w14:paraId="4BBEBDB3">
            <w:pPr>
              <w:pStyle w:val="122"/>
              <w:keepNext w:val="0"/>
              <w:keepLines w:val="0"/>
              <w:pageBreakBefore w:val="0"/>
              <w:suppressLineNumbers w:val="0"/>
              <w:kinsoku/>
              <w:wordWrap/>
              <w:overflowPunct/>
              <w:topLinePunct w:val="0"/>
              <w:bidi w:val="0"/>
              <w:spacing w:before="0" w:beforeAutospacing="0" w:after="0" w:afterAutospacing="0" w:line="420" w:lineRule="exact"/>
              <w:ind w:left="0" w:leftChars="0" w:right="0" w:rightChars="0" w:firstLine="420" w:firstLineChars="200"/>
              <w:rPr>
                <w:rFonts w:hint="eastAsia" w:eastAsia="宋体" w:asciiTheme="minorEastAsia" w:hAnsiTheme="minorEastAsia" w:cstheme="minorEastAsia"/>
                <w:b w:val="0"/>
                <w:bCs w:val="0"/>
                <w:color w:val="auto"/>
                <w:szCs w:val="21"/>
                <w:highlight w:val="none"/>
                <w:lang w:eastAsia="zh-CN"/>
              </w:rPr>
            </w:pPr>
            <w:r>
              <w:rPr>
                <w:rFonts w:hint="eastAsia" w:ascii="宋体" w:hAnsi="宋体" w:eastAsia="宋体" w:cs="宋体"/>
                <w:color w:val="auto"/>
                <w:sz w:val="21"/>
                <w:szCs w:val="21"/>
                <w:highlight w:val="none"/>
                <w:lang w:val="en-US" w:eastAsia="zh-CN"/>
              </w:rPr>
              <w:t>通过资格审查和符合性审查的投标人得基本分30分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标注“●”的</w:t>
            </w:r>
            <w:r>
              <w:rPr>
                <w:rFonts w:hint="eastAsia" w:ascii="宋体" w:hAnsi="宋体" w:cs="宋体"/>
                <w:color w:val="auto"/>
                <w:sz w:val="21"/>
                <w:szCs w:val="21"/>
                <w:highlight w:val="none"/>
                <w:lang w:val="en-US" w:eastAsia="zh-CN"/>
              </w:rPr>
              <w:t>重要</w:t>
            </w:r>
            <w:r>
              <w:rPr>
                <w:rFonts w:hint="eastAsia" w:ascii="宋体" w:hAnsi="宋体" w:eastAsia="宋体" w:cs="宋体"/>
                <w:color w:val="auto"/>
                <w:sz w:val="21"/>
                <w:szCs w:val="21"/>
                <w:highlight w:val="none"/>
                <w:lang w:val="en-US" w:eastAsia="zh-CN"/>
              </w:rPr>
              <w:t>技术参数及功能，每有1项负偏离的，扣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；非标注“▲、●”的一般技术参数及功能，每有1项负偏离的，扣2分；</w:t>
            </w:r>
            <w:r>
              <w:rPr>
                <w:rFonts w:hint="eastAsia" w:ascii="宋体" w:hAnsi="宋体" w:eastAsia="宋体" w:cs="宋体"/>
                <w:color w:val="auto"/>
                <w:sz w:val="21"/>
                <w:szCs w:val="21"/>
                <w:highlight w:val="none"/>
                <w:lang w:val="en-US" w:eastAsia="zh-CN"/>
              </w:rPr>
              <w:t>最多允许扣6项（即非标“▲”的技术参数，本项目最多允许负偏离6项）</w:t>
            </w:r>
            <w:r>
              <w:rPr>
                <w:rFonts w:hint="eastAsia" w:ascii="宋体" w:hAnsi="宋体" w:cs="宋体"/>
                <w:color w:val="auto"/>
                <w:sz w:val="21"/>
                <w:szCs w:val="21"/>
                <w:highlight w:val="none"/>
                <w:lang w:val="en-US" w:eastAsia="zh-CN"/>
              </w:rPr>
              <w:t>，扣完本项分值30分止</w:t>
            </w:r>
            <w:r>
              <w:rPr>
                <w:rFonts w:hint="eastAsia" w:ascii="宋体" w:hAnsi="宋体" w:eastAsia="宋体" w:cs="宋体"/>
                <w:color w:val="auto"/>
                <w:sz w:val="21"/>
                <w:szCs w:val="21"/>
                <w:highlight w:val="none"/>
                <w:lang w:val="en-US" w:eastAsia="zh-CN"/>
              </w:rPr>
              <w:t>。</w:t>
            </w:r>
          </w:p>
        </w:tc>
      </w:tr>
      <w:tr w14:paraId="34E9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0DC88A19">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p>
        </w:tc>
        <w:tc>
          <w:tcPr>
            <w:tcW w:w="1711" w:type="dxa"/>
            <w:vMerge w:val="continue"/>
            <w:vAlign w:val="center"/>
          </w:tcPr>
          <w:p w14:paraId="6BBCF8B7">
            <w:pPr>
              <w:adjustRightInd w:val="0"/>
              <w:snapToGrid w:val="0"/>
              <w:spacing w:line="360" w:lineRule="auto"/>
              <w:ind w:left="-105" w:leftChars="-50" w:right="-105" w:rightChars="-50"/>
              <w:jc w:val="center"/>
              <w:textAlignment w:val="baseline"/>
              <w:rPr>
                <w:rFonts w:hint="eastAsia" w:asciiTheme="minorEastAsia" w:hAnsiTheme="minorEastAsia" w:eastAsiaTheme="minorEastAsia" w:cstheme="minorEastAsia"/>
                <w:b/>
                <w:color w:val="auto"/>
                <w:szCs w:val="21"/>
                <w:highlight w:val="none"/>
              </w:rPr>
            </w:pPr>
          </w:p>
        </w:tc>
        <w:tc>
          <w:tcPr>
            <w:tcW w:w="1905" w:type="dxa"/>
            <w:vAlign w:val="center"/>
          </w:tcPr>
          <w:p w14:paraId="1E9B945A">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eastAsia="zh-CN"/>
              </w:rPr>
              <w:t>（</w:t>
            </w:r>
            <w:r>
              <w:rPr>
                <w:rFonts w:hint="eastAsia" w:asciiTheme="minorEastAsia" w:hAnsiTheme="minorEastAsia" w:eastAsiaTheme="minorEastAsia" w:cstheme="minorEastAsia"/>
                <w:b/>
                <w:color w:val="auto"/>
                <w:szCs w:val="21"/>
                <w:highlight w:val="none"/>
                <w:lang w:val="en-US" w:eastAsia="zh-CN"/>
              </w:rPr>
              <w:t>2</w:t>
            </w:r>
            <w:r>
              <w:rPr>
                <w:rFonts w:hint="eastAsia" w:asciiTheme="minorEastAsia" w:hAnsiTheme="minorEastAsia" w:eastAsiaTheme="minorEastAsia" w:cstheme="minorEastAsia"/>
                <w:b/>
                <w:color w:val="auto"/>
                <w:szCs w:val="21"/>
                <w:highlight w:val="none"/>
                <w:lang w:eastAsia="zh-CN"/>
              </w:rPr>
              <w:t>）</w:t>
            </w:r>
            <w:r>
              <w:rPr>
                <w:rFonts w:hint="eastAsia" w:asciiTheme="minorEastAsia" w:hAnsiTheme="minorEastAsia" w:eastAsiaTheme="minorEastAsia" w:cstheme="minorEastAsia"/>
                <w:b/>
                <w:color w:val="auto"/>
                <w:szCs w:val="21"/>
                <w:highlight w:val="none"/>
              </w:rPr>
              <w:t>项目实施方案</w:t>
            </w:r>
          </w:p>
          <w:p w14:paraId="635B963B">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（满分</w:t>
            </w:r>
            <w:r>
              <w:rPr>
                <w:rFonts w:hint="eastAsia" w:asciiTheme="minorEastAsia" w:hAnsiTheme="minorEastAsia" w:eastAsiaTheme="minorEastAsia" w:cstheme="minorEastAsia"/>
                <w:b/>
                <w:color w:val="auto"/>
                <w:szCs w:val="21"/>
                <w:highlight w:val="none"/>
                <w:lang w:val="en-US" w:eastAsia="zh-CN"/>
              </w:rPr>
              <w:t>16</w:t>
            </w:r>
            <w:r>
              <w:rPr>
                <w:rFonts w:hint="eastAsia" w:asciiTheme="minorEastAsia" w:hAnsiTheme="minorEastAsia" w:eastAsiaTheme="minorEastAsia" w:cstheme="minorEastAsia"/>
                <w:b/>
                <w:color w:val="auto"/>
                <w:szCs w:val="21"/>
                <w:highlight w:val="none"/>
              </w:rPr>
              <w:t>分）</w:t>
            </w:r>
          </w:p>
        </w:tc>
        <w:tc>
          <w:tcPr>
            <w:tcW w:w="5277" w:type="dxa"/>
            <w:vAlign w:val="center"/>
          </w:tcPr>
          <w:p w14:paraId="4292424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评委根据投标人制定的项目实施方案进行独立评审，包括：</w:t>
            </w:r>
          </w:p>
          <w:p w14:paraId="21A740D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①对项目实施的理解；</w:t>
            </w:r>
          </w:p>
          <w:p w14:paraId="488EDF0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②具体实施流程、进度安排；</w:t>
            </w:r>
          </w:p>
          <w:p w14:paraId="1B2BDB5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③供货及安装调试方案；</w:t>
            </w:r>
          </w:p>
          <w:p w14:paraId="1952EB2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④质量保证措施。</w:t>
            </w:r>
          </w:p>
          <w:p w14:paraId="0F17C45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注：①-④项，每项得4分，其中实施方案科学合理(1分)、内容完整(1分)、实际操作性强(1分)、对应本项目要求(1分)、内容缺项或不对应(0分)，满分16分。</w:t>
            </w:r>
          </w:p>
        </w:tc>
      </w:tr>
      <w:tr w14:paraId="2387F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021799ED">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p>
        </w:tc>
        <w:tc>
          <w:tcPr>
            <w:tcW w:w="1711" w:type="dxa"/>
            <w:vMerge w:val="continue"/>
            <w:vAlign w:val="center"/>
          </w:tcPr>
          <w:p w14:paraId="7FA34DFD">
            <w:pPr>
              <w:adjustRightInd w:val="0"/>
              <w:snapToGrid w:val="0"/>
              <w:spacing w:line="360" w:lineRule="auto"/>
              <w:ind w:left="-105" w:leftChars="-50" w:right="-105" w:rightChars="-50"/>
              <w:jc w:val="center"/>
              <w:textAlignment w:val="baseline"/>
              <w:rPr>
                <w:rFonts w:hint="eastAsia" w:asciiTheme="minorEastAsia" w:hAnsiTheme="minorEastAsia" w:eastAsiaTheme="minorEastAsia" w:cstheme="minorEastAsia"/>
                <w:b/>
                <w:color w:val="auto"/>
                <w:szCs w:val="21"/>
                <w:highlight w:val="none"/>
                <w:lang w:eastAsia="zh-CN"/>
              </w:rPr>
            </w:pPr>
          </w:p>
        </w:tc>
        <w:tc>
          <w:tcPr>
            <w:tcW w:w="1905" w:type="dxa"/>
            <w:vAlign w:val="center"/>
          </w:tcPr>
          <w:p w14:paraId="5633DC91">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eastAsia="zh-CN"/>
              </w:rPr>
              <w:t>（</w:t>
            </w:r>
            <w:r>
              <w:rPr>
                <w:rFonts w:hint="eastAsia" w:asciiTheme="minorEastAsia" w:hAnsiTheme="minorEastAsia" w:eastAsiaTheme="minorEastAsia" w:cstheme="minorEastAsia"/>
                <w:b/>
                <w:color w:val="auto"/>
                <w:szCs w:val="21"/>
                <w:highlight w:val="none"/>
                <w:lang w:val="en-US" w:eastAsia="zh-CN"/>
              </w:rPr>
              <w:t>3</w:t>
            </w:r>
            <w:r>
              <w:rPr>
                <w:rFonts w:hint="eastAsia" w:asciiTheme="minorEastAsia" w:hAnsiTheme="minorEastAsia" w:eastAsiaTheme="minorEastAsia" w:cstheme="minorEastAsia"/>
                <w:b/>
                <w:color w:val="auto"/>
                <w:szCs w:val="21"/>
                <w:highlight w:val="none"/>
                <w:lang w:eastAsia="zh-CN"/>
              </w:rPr>
              <w:t>）</w:t>
            </w:r>
            <w:r>
              <w:rPr>
                <w:rFonts w:hint="eastAsia" w:asciiTheme="minorEastAsia" w:hAnsiTheme="minorEastAsia" w:eastAsiaTheme="minorEastAsia" w:cstheme="minorEastAsia"/>
                <w:b/>
                <w:color w:val="auto"/>
                <w:szCs w:val="21"/>
                <w:highlight w:val="none"/>
              </w:rPr>
              <w:t>设计方案</w:t>
            </w:r>
          </w:p>
          <w:p w14:paraId="2640BCF3">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（满分</w:t>
            </w:r>
            <w:r>
              <w:rPr>
                <w:rFonts w:hint="eastAsia" w:asciiTheme="minorEastAsia" w:hAnsiTheme="minorEastAsia" w:eastAsiaTheme="minorEastAsia" w:cstheme="minorEastAsia"/>
                <w:b/>
                <w:color w:val="auto"/>
                <w:szCs w:val="21"/>
                <w:highlight w:val="none"/>
                <w:lang w:val="en-US" w:eastAsia="zh-CN"/>
              </w:rPr>
              <w:t>8</w:t>
            </w:r>
            <w:r>
              <w:rPr>
                <w:rFonts w:hint="eastAsia" w:asciiTheme="minorEastAsia" w:hAnsiTheme="minorEastAsia" w:eastAsiaTheme="minorEastAsia" w:cstheme="minorEastAsia"/>
                <w:b/>
                <w:color w:val="auto"/>
                <w:szCs w:val="21"/>
                <w:highlight w:val="none"/>
              </w:rPr>
              <w:t>分）</w:t>
            </w:r>
          </w:p>
        </w:tc>
        <w:tc>
          <w:tcPr>
            <w:tcW w:w="5277" w:type="dxa"/>
            <w:vAlign w:val="center"/>
          </w:tcPr>
          <w:p w14:paraId="297D3F9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根据投标人针对本项目救护车设计方案进行评审，包括但不限于救护车内部改装设计图纸、救护车性能方案说明、救护车的改装工艺等：</w:t>
            </w:r>
          </w:p>
          <w:p w14:paraId="34A78A0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1.设计方案内容完整，性能方案说明全面、详细具体，改装工艺合理可行，且货物及室内改造配置等整体性能满足采购需求，得8分；</w:t>
            </w:r>
          </w:p>
          <w:p w14:paraId="67CF171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2.设计方案内容完整，性能方案说明比较全面，改装工艺合理，得5分；</w:t>
            </w:r>
          </w:p>
          <w:p w14:paraId="19BC2BB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3.设计方案内容完整，缺乏实际操作性，有偏离项目实际设计、改装需求，得3分；</w:t>
            </w:r>
          </w:p>
          <w:p w14:paraId="251A7DF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4.未提供设计方案或设计方案不完整，不得分。</w:t>
            </w:r>
          </w:p>
        </w:tc>
      </w:tr>
      <w:tr w14:paraId="5AD2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73400A64">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1711" w:type="dxa"/>
            <w:vMerge w:val="restart"/>
            <w:vAlign w:val="center"/>
          </w:tcPr>
          <w:p w14:paraId="150B8C79">
            <w:pPr>
              <w:adjustRightInd w:val="0"/>
              <w:spacing w:line="360" w:lineRule="auto"/>
              <w:ind w:left="-105" w:leftChars="-50" w:right="-105" w:rightChars="-50"/>
              <w:jc w:val="center"/>
              <w:textAlignment w:val="baseline"/>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商务分</w:t>
            </w:r>
          </w:p>
          <w:p w14:paraId="0CFE9033">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（满分</w:t>
            </w:r>
            <w:r>
              <w:rPr>
                <w:rFonts w:hint="eastAsia" w:asciiTheme="minorEastAsia" w:hAnsiTheme="minorEastAsia" w:eastAsiaTheme="minorEastAsia" w:cstheme="minorEastAsia"/>
                <w:b/>
                <w:color w:val="auto"/>
                <w:szCs w:val="21"/>
                <w:highlight w:val="none"/>
                <w:lang w:val="en-US" w:eastAsia="zh-CN"/>
              </w:rPr>
              <w:t>16</w:t>
            </w:r>
            <w:r>
              <w:rPr>
                <w:rFonts w:hint="eastAsia" w:asciiTheme="minorEastAsia" w:hAnsiTheme="minorEastAsia" w:eastAsiaTheme="minorEastAsia" w:cstheme="minorEastAsia"/>
                <w:b/>
                <w:color w:val="auto"/>
                <w:szCs w:val="21"/>
                <w:highlight w:val="none"/>
              </w:rPr>
              <w:t>分）</w:t>
            </w:r>
          </w:p>
        </w:tc>
        <w:tc>
          <w:tcPr>
            <w:tcW w:w="1905" w:type="dxa"/>
            <w:vAlign w:val="center"/>
          </w:tcPr>
          <w:p w14:paraId="4938FEA7">
            <w:pPr>
              <w:widowControl/>
              <w:snapToGrid w:val="0"/>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（1）售后服务方案（满分</w:t>
            </w:r>
            <w:r>
              <w:rPr>
                <w:rFonts w:hint="eastAsia" w:asciiTheme="minorEastAsia" w:hAnsiTheme="minorEastAsia" w:eastAsiaTheme="minorEastAsia" w:cstheme="minorEastAsia"/>
                <w:b/>
                <w:bCs/>
                <w:color w:val="auto"/>
                <w:szCs w:val="21"/>
                <w:highlight w:val="none"/>
                <w:lang w:val="en-US" w:eastAsia="zh-CN"/>
              </w:rPr>
              <w:t>12</w:t>
            </w:r>
            <w:r>
              <w:rPr>
                <w:rFonts w:hint="eastAsia" w:asciiTheme="minorEastAsia" w:hAnsiTheme="minorEastAsia" w:eastAsiaTheme="minorEastAsia" w:cstheme="minorEastAsia"/>
                <w:b/>
                <w:bCs/>
                <w:color w:val="auto"/>
                <w:szCs w:val="21"/>
                <w:highlight w:val="none"/>
              </w:rPr>
              <w:t>分）</w:t>
            </w:r>
          </w:p>
        </w:tc>
        <w:tc>
          <w:tcPr>
            <w:tcW w:w="5277" w:type="dxa"/>
            <w:vAlign w:val="center"/>
          </w:tcPr>
          <w:p w14:paraId="4473C3C7">
            <w:pPr>
              <w:keepNext w:val="0"/>
              <w:keepLines w:val="0"/>
              <w:pageBreakBefore w:val="0"/>
              <w:kinsoku/>
              <w:wordWrap/>
              <w:overflowPunct/>
              <w:topLinePunct w:val="0"/>
              <w:autoSpaceDE/>
              <w:autoSpaceDN/>
              <w:bidi w:val="0"/>
              <w:adjustRightInd w:val="0"/>
              <w:spacing w:line="360" w:lineRule="auto"/>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评委根据投标人制定的售后服务方案进行独立评审</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包括</w:t>
            </w:r>
            <w:r>
              <w:rPr>
                <w:rFonts w:hint="eastAsia" w:asciiTheme="minorEastAsia" w:hAnsiTheme="minorEastAsia" w:eastAsiaTheme="minorEastAsia" w:cstheme="minorEastAsia"/>
                <w:color w:val="auto"/>
                <w:szCs w:val="21"/>
                <w:highlight w:val="none"/>
                <w:lang w:eastAsia="zh-CN"/>
              </w:rPr>
              <w:t>：</w:t>
            </w:r>
          </w:p>
          <w:p w14:paraId="0EF452A2">
            <w:pPr>
              <w:keepNext w:val="0"/>
              <w:keepLines w:val="0"/>
              <w:pageBreakBefore w:val="0"/>
              <w:kinsoku/>
              <w:wordWrap/>
              <w:overflowPunct/>
              <w:topLinePunct w:val="0"/>
              <w:autoSpaceDE/>
              <w:autoSpaceDN/>
              <w:bidi w:val="0"/>
              <w:adjustRightIn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①售后服务流程；</w:t>
            </w:r>
          </w:p>
          <w:p w14:paraId="5372601C">
            <w:pPr>
              <w:keepNext w:val="0"/>
              <w:keepLines w:val="0"/>
              <w:pageBreakBefore w:val="0"/>
              <w:kinsoku/>
              <w:wordWrap/>
              <w:overflowPunct/>
              <w:topLinePunct w:val="0"/>
              <w:autoSpaceDE/>
              <w:autoSpaceDN/>
              <w:bidi w:val="0"/>
              <w:adjustRightIn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②应急响应方案和排除故障响应时间；</w:t>
            </w:r>
          </w:p>
          <w:p w14:paraId="39875754">
            <w:pPr>
              <w:keepNext w:val="0"/>
              <w:keepLines w:val="0"/>
              <w:pageBreakBefore w:val="0"/>
              <w:kinsoku/>
              <w:wordWrap/>
              <w:overflowPunct/>
              <w:topLinePunct w:val="0"/>
              <w:autoSpaceDE/>
              <w:autoSpaceDN/>
              <w:bidi w:val="0"/>
              <w:adjustRightIn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③人员培训方案；</w:t>
            </w:r>
          </w:p>
          <w:p w14:paraId="7703A652">
            <w:pPr>
              <w:keepNext w:val="0"/>
              <w:keepLines w:val="0"/>
              <w:pageBreakBefore w:val="0"/>
              <w:kinsoku/>
              <w:wordWrap/>
              <w:overflowPunct/>
              <w:topLinePunct w:val="0"/>
              <w:autoSpaceDE/>
              <w:autoSpaceDN/>
              <w:bidi w:val="0"/>
              <w:adjustRightIn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④质保期内的</w:t>
            </w:r>
            <w:r>
              <w:rPr>
                <w:rFonts w:hint="eastAsia" w:asciiTheme="minorEastAsia" w:hAnsiTheme="minorEastAsia" w:eastAsiaTheme="minorEastAsia" w:cstheme="minorEastAsia"/>
                <w:color w:val="auto"/>
                <w:szCs w:val="21"/>
                <w:highlight w:val="none"/>
                <w:lang w:val="en-US" w:eastAsia="zh-CN"/>
              </w:rPr>
              <w:t>备品备件及</w:t>
            </w:r>
            <w:r>
              <w:rPr>
                <w:rFonts w:hint="eastAsia" w:asciiTheme="minorEastAsia" w:hAnsiTheme="minorEastAsia" w:eastAsiaTheme="minorEastAsia" w:cstheme="minorEastAsia"/>
                <w:color w:val="auto"/>
                <w:szCs w:val="21"/>
                <w:highlight w:val="none"/>
              </w:rPr>
              <w:t>保养方案。</w:t>
            </w:r>
          </w:p>
          <w:p w14:paraId="06572B4E">
            <w:pPr>
              <w:keepNext w:val="0"/>
              <w:keepLines w:val="0"/>
              <w:pageBreakBefore w:val="0"/>
              <w:kinsoku/>
              <w:wordWrap/>
              <w:overflowPunct/>
              <w:topLinePunct w:val="0"/>
              <w:autoSpaceDE/>
              <w:autoSpaceDN/>
              <w:bidi w:val="0"/>
              <w:adjustRightIn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①-④项，每项得3分，其中科学合理内容完整(1分)、实际操作性强(1分)、对应本项目要求(1分)、内容缺项或不对应(0分)，满分12分。</w:t>
            </w:r>
          </w:p>
        </w:tc>
      </w:tr>
      <w:tr w14:paraId="53139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562" w:type="dxa"/>
            <w:vMerge w:val="continue"/>
            <w:vAlign w:val="center"/>
          </w:tcPr>
          <w:p w14:paraId="6DCD5E29">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p>
        </w:tc>
        <w:tc>
          <w:tcPr>
            <w:tcW w:w="1711" w:type="dxa"/>
            <w:vMerge w:val="continue"/>
            <w:vAlign w:val="center"/>
          </w:tcPr>
          <w:p w14:paraId="4CA43AD4">
            <w:pPr>
              <w:adjustRightInd w:val="0"/>
              <w:snapToGrid w:val="0"/>
              <w:spacing w:line="360" w:lineRule="auto"/>
              <w:jc w:val="center"/>
              <w:textAlignment w:val="baseline"/>
              <w:rPr>
                <w:rFonts w:hint="eastAsia" w:asciiTheme="minorEastAsia" w:hAnsiTheme="minorEastAsia" w:eastAsiaTheme="minorEastAsia" w:cstheme="minorEastAsia"/>
                <w:b/>
                <w:color w:val="auto"/>
                <w:szCs w:val="21"/>
                <w:highlight w:val="none"/>
              </w:rPr>
            </w:pPr>
          </w:p>
        </w:tc>
        <w:tc>
          <w:tcPr>
            <w:tcW w:w="1905" w:type="dxa"/>
            <w:vAlign w:val="center"/>
          </w:tcPr>
          <w:p w14:paraId="4B934F92">
            <w:pPr>
              <w:keepNext w:val="0"/>
              <w:keepLines w:val="0"/>
              <w:pageBreakBefore w:val="0"/>
              <w:suppressLineNumbers w:val="0"/>
              <w:kinsoku/>
              <w:wordWrap/>
              <w:overflowPunct/>
              <w:topLinePunct w:val="0"/>
              <w:bidi w:val="0"/>
              <w:adjustRightInd w:val="0"/>
              <w:spacing w:before="0" w:beforeAutospacing="0" w:after="0" w:afterAutospacing="0" w:line="420" w:lineRule="exact"/>
              <w:ind w:left="0" w:right="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）业绩分</w:t>
            </w:r>
          </w:p>
          <w:p w14:paraId="56C726E9">
            <w:pPr>
              <w:keepNext w:val="0"/>
              <w:keepLines w:val="0"/>
              <w:pageBreakBefore w:val="0"/>
              <w:suppressLineNumbers w:val="0"/>
              <w:kinsoku/>
              <w:wordWrap/>
              <w:overflowPunct/>
              <w:topLinePunct w:val="0"/>
              <w:bidi w:val="0"/>
              <w:adjustRightInd w:val="0"/>
              <w:spacing w:before="0" w:beforeAutospacing="0" w:after="0" w:afterAutospacing="0" w:line="420" w:lineRule="exact"/>
              <w:ind w:left="0" w:right="0"/>
              <w:jc w:val="center"/>
              <w:textAlignment w:val="baseline"/>
              <w:rPr>
                <w:rFonts w:hint="eastAsia" w:asciiTheme="minorEastAsia" w:hAnsiTheme="minorEastAsia" w:cstheme="minorEastAsia"/>
                <w:b/>
                <w:bCs/>
                <w:color w:val="auto"/>
                <w:szCs w:val="21"/>
                <w:highlight w:val="none"/>
              </w:rPr>
            </w:pPr>
            <w:r>
              <w:rPr>
                <w:rFonts w:hint="eastAsia" w:ascii="宋体" w:hAnsi="宋体" w:eastAsia="宋体" w:cs="宋体"/>
                <w:b/>
                <w:bCs/>
                <w:color w:val="auto"/>
                <w:sz w:val="21"/>
                <w:szCs w:val="21"/>
                <w:highlight w:val="none"/>
              </w:rPr>
              <w:t>（满分</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分）</w:t>
            </w:r>
          </w:p>
        </w:tc>
        <w:tc>
          <w:tcPr>
            <w:tcW w:w="5277" w:type="dxa"/>
            <w:vAlign w:val="center"/>
          </w:tcPr>
          <w:p w14:paraId="5F08D73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textAlignment w:val="baseline"/>
              <w:rPr>
                <w:rFonts w:hint="eastAsia" w:asciiTheme="minorEastAsia" w:hAnsiTheme="minorEastAsia" w:eastAsiaTheme="minorEastAsia" w:cstheme="minorEastAsia"/>
                <w:color w:val="auto"/>
                <w:szCs w:val="21"/>
                <w:highlight w:val="none"/>
              </w:rPr>
            </w:pPr>
            <w:r>
              <w:rPr>
                <w:rFonts w:hint="eastAsia" w:ascii="宋体" w:hAnsi="宋体" w:eastAsia="宋体" w:cs="宋体"/>
                <w:color w:val="auto"/>
                <w:sz w:val="21"/>
                <w:szCs w:val="21"/>
                <w:highlight w:val="none"/>
              </w:rPr>
              <w:t>2023年1月1日（以合同签订时间为准）</w:t>
            </w:r>
            <w:r>
              <w:rPr>
                <w:rFonts w:hint="eastAsia" w:ascii="宋体" w:hAnsi="宋体" w:eastAsia="宋体" w:cs="宋体"/>
                <w:color w:val="auto"/>
                <w:sz w:val="21"/>
                <w:szCs w:val="21"/>
                <w:highlight w:val="none"/>
                <w:lang w:val="en-US" w:eastAsia="zh-CN"/>
              </w:rPr>
              <w:t>以来</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同类</w:t>
            </w:r>
            <w:r>
              <w:rPr>
                <w:rFonts w:hint="eastAsia" w:ascii="宋体" w:hAnsi="宋体" w:cs="宋体"/>
                <w:color w:val="auto"/>
                <w:sz w:val="21"/>
                <w:szCs w:val="21"/>
                <w:highlight w:val="none"/>
                <w:lang w:val="en-US" w:eastAsia="zh-CN"/>
              </w:rPr>
              <w:t>产品销售</w:t>
            </w:r>
            <w:r>
              <w:rPr>
                <w:rFonts w:hint="eastAsia" w:ascii="宋体" w:hAnsi="宋体" w:eastAsia="宋体" w:cs="宋体"/>
                <w:color w:val="auto"/>
                <w:sz w:val="21"/>
                <w:szCs w:val="21"/>
                <w:highlight w:val="none"/>
              </w:rPr>
              <w:t>业绩，每</w:t>
            </w:r>
            <w:r>
              <w:rPr>
                <w:rFonts w:hint="eastAsia" w:ascii="宋体" w:hAnsi="宋体" w:cs="宋体"/>
                <w:color w:val="auto"/>
                <w:sz w:val="21"/>
                <w:szCs w:val="21"/>
                <w:highlight w:val="none"/>
                <w:lang w:val="en-US" w:eastAsia="zh-CN"/>
              </w:rPr>
              <w:t>个</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分，最高得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b/>
                <w:bCs/>
                <w:color w:val="auto"/>
                <w:sz w:val="21"/>
                <w:szCs w:val="21"/>
                <w:highlight w:val="none"/>
              </w:rPr>
              <w:t>【提供合同或者中标</w:t>
            </w:r>
            <w:r>
              <w:rPr>
                <w:rFonts w:hint="eastAsia" w:ascii="宋体" w:hAnsi="宋体" w:cs="宋体"/>
                <w:b/>
                <w:bCs/>
                <w:color w:val="auto"/>
                <w:sz w:val="21"/>
                <w:szCs w:val="21"/>
                <w:highlight w:val="none"/>
                <w:lang w:val="en-US" w:eastAsia="zh-CN"/>
              </w:rPr>
              <w:t>/成交</w:t>
            </w:r>
            <w:r>
              <w:rPr>
                <w:rFonts w:hint="eastAsia" w:ascii="宋体" w:hAnsi="宋体" w:eastAsia="宋体" w:cs="宋体"/>
                <w:b/>
                <w:bCs/>
                <w:color w:val="auto"/>
                <w:sz w:val="21"/>
                <w:szCs w:val="21"/>
                <w:highlight w:val="none"/>
              </w:rPr>
              <w:t>通知书复印件，不提供不予计分】</w:t>
            </w:r>
          </w:p>
        </w:tc>
      </w:tr>
      <w:tr w14:paraId="1372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30D930B9">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p>
        </w:tc>
        <w:tc>
          <w:tcPr>
            <w:tcW w:w="1711" w:type="dxa"/>
            <w:vMerge w:val="continue"/>
            <w:vAlign w:val="center"/>
          </w:tcPr>
          <w:p w14:paraId="0B6F8E8E">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p>
        </w:tc>
        <w:tc>
          <w:tcPr>
            <w:tcW w:w="1905" w:type="dxa"/>
            <w:vAlign w:val="center"/>
          </w:tcPr>
          <w:p w14:paraId="2A8DC6BE">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）政策分</w:t>
            </w:r>
          </w:p>
          <w:p w14:paraId="74ED3BDA">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（满分</w:t>
            </w:r>
            <w:r>
              <w:rPr>
                <w:rFonts w:hint="eastAsia" w:ascii="宋体" w:hAnsi="宋体" w:eastAsia="宋体" w:cs="宋体"/>
                <w:b/>
                <w:bCs/>
                <w:color w:val="auto"/>
                <w:sz w:val="21"/>
                <w:szCs w:val="21"/>
                <w:highlight w:val="none"/>
                <w:u w:val="none"/>
              </w:rPr>
              <w:t>2</w:t>
            </w:r>
            <w:r>
              <w:rPr>
                <w:rFonts w:hint="eastAsia" w:ascii="宋体" w:hAnsi="宋体" w:eastAsia="宋体" w:cs="宋体"/>
                <w:b/>
                <w:bCs/>
                <w:color w:val="auto"/>
                <w:sz w:val="21"/>
                <w:szCs w:val="21"/>
                <w:highlight w:val="none"/>
              </w:rPr>
              <w:t>分）</w:t>
            </w:r>
          </w:p>
          <w:p w14:paraId="51C6EE58">
            <w:pPr>
              <w:keepNext w:val="0"/>
              <w:keepLines w:val="0"/>
              <w:pageBreakBefore w:val="0"/>
              <w:suppressLineNumbers w:val="0"/>
              <w:kinsoku/>
              <w:wordWrap/>
              <w:overflowPunct/>
              <w:topLinePunct w:val="0"/>
              <w:bidi w:val="0"/>
              <w:spacing w:before="0" w:beforeAutospacing="0" w:after="0" w:afterAutospacing="0" w:line="420" w:lineRule="exact"/>
              <w:ind w:left="0" w:leftChars="0" w:right="0" w:rightChars="0"/>
              <w:jc w:val="center"/>
              <w:rPr>
                <w:rFonts w:hint="eastAsia" w:asciiTheme="minorEastAsia" w:hAnsiTheme="minorEastAsia" w:eastAsiaTheme="minorEastAsia" w:cstheme="minorEastAsia"/>
                <w:b/>
                <w:bCs/>
                <w:color w:val="auto"/>
                <w:szCs w:val="21"/>
                <w:highlight w:val="none"/>
              </w:rPr>
            </w:pPr>
          </w:p>
        </w:tc>
        <w:tc>
          <w:tcPr>
            <w:tcW w:w="5277" w:type="dxa"/>
            <w:vAlign w:val="center"/>
          </w:tcPr>
          <w:p w14:paraId="384590CD">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属于财政部《节能产品政府采购品目清单》内优先采购（清单内未标注“★”的品目）的产品[投标文件中提供有效的认证证书复印件及品目清单（标注出投标产品在品目清单中所属的品目），并加盖投标人公章]，根据其所占项目（或者分标）投标报价比例得</w:t>
            </w:r>
            <w:r>
              <w:rPr>
                <w:rFonts w:hint="eastAsia" w:ascii="宋体" w:hAnsi="宋体" w:eastAsia="宋体" w:cs="宋体"/>
                <w:bCs/>
                <w:color w:val="auto"/>
                <w:kern w:val="2"/>
                <w:sz w:val="21"/>
                <w:szCs w:val="21"/>
                <w:highlight w:val="none"/>
                <w:u w:val="single"/>
              </w:rPr>
              <w:t>0</w:t>
            </w:r>
            <w:r>
              <w:rPr>
                <w:rFonts w:hint="eastAsia" w:ascii="宋体" w:hAnsi="宋体" w:eastAsia="宋体" w:cs="宋体"/>
                <w:bCs/>
                <w:color w:val="auto"/>
                <w:kern w:val="2"/>
                <w:sz w:val="21"/>
                <w:szCs w:val="21"/>
                <w:highlight w:val="none"/>
              </w:rPr>
              <w:t>至</w:t>
            </w:r>
            <w:r>
              <w:rPr>
                <w:rFonts w:hint="eastAsia" w:ascii="宋体" w:hAnsi="宋体" w:eastAsia="宋体" w:cs="宋体"/>
                <w:bCs/>
                <w:color w:val="auto"/>
                <w:kern w:val="2"/>
                <w:sz w:val="21"/>
                <w:szCs w:val="21"/>
                <w:highlight w:val="none"/>
                <w:u w:val="single"/>
              </w:rPr>
              <w:t>1</w:t>
            </w:r>
            <w:r>
              <w:rPr>
                <w:rFonts w:hint="eastAsia" w:ascii="宋体" w:hAnsi="宋体" w:eastAsia="宋体" w:cs="宋体"/>
                <w:bCs/>
                <w:color w:val="auto"/>
                <w:kern w:val="2"/>
                <w:sz w:val="21"/>
                <w:szCs w:val="21"/>
                <w:highlight w:val="none"/>
              </w:rPr>
              <w:t>分，满分</w:t>
            </w:r>
            <w:r>
              <w:rPr>
                <w:rFonts w:hint="eastAsia" w:ascii="宋体" w:hAnsi="宋体" w:eastAsia="宋体" w:cs="宋体"/>
                <w:bCs/>
                <w:color w:val="auto"/>
                <w:kern w:val="2"/>
                <w:sz w:val="21"/>
                <w:szCs w:val="21"/>
                <w:highlight w:val="none"/>
                <w:u w:val="single"/>
              </w:rPr>
              <w:t>1</w:t>
            </w:r>
            <w:r>
              <w:rPr>
                <w:rFonts w:hint="eastAsia" w:ascii="宋体" w:hAnsi="宋体" w:eastAsia="宋体" w:cs="宋体"/>
                <w:bCs/>
                <w:color w:val="auto"/>
                <w:kern w:val="2"/>
                <w:sz w:val="21"/>
                <w:szCs w:val="21"/>
                <w:highlight w:val="none"/>
              </w:rPr>
              <w:t>分。</w:t>
            </w:r>
          </w:p>
          <w:p w14:paraId="1294BB48">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属于财政部《环境标志产品政府采购品目清单》内的产品[投标文件中提供有效的认证证书复印件及品目清单（标注出投标产品在品目清单中所属的品目），并加盖投标人公章]，根据其所占项目（或者分标）投标报价比例得</w:t>
            </w:r>
            <w:r>
              <w:rPr>
                <w:rFonts w:hint="eastAsia" w:ascii="宋体" w:hAnsi="宋体" w:eastAsia="宋体" w:cs="宋体"/>
                <w:bCs/>
                <w:color w:val="auto"/>
                <w:kern w:val="2"/>
                <w:sz w:val="21"/>
                <w:szCs w:val="21"/>
                <w:highlight w:val="none"/>
                <w:u w:val="single"/>
              </w:rPr>
              <w:t>0</w:t>
            </w:r>
            <w:r>
              <w:rPr>
                <w:rFonts w:hint="eastAsia" w:ascii="宋体" w:hAnsi="宋体" w:eastAsia="宋体" w:cs="宋体"/>
                <w:bCs/>
                <w:color w:val="auto"/>
                <w:kern w:val="2"/>
                <w:sz w:val="21"/>
                <w:szCs w:val="21"/>
                <w:highlight w:val="none"/>
              </w:rPr>
              <w:t>至</w:t>
            </w:r>
            <w:r>
              <w:rPr>
                <w:rFonts w:hint="eastAsia" w:ascii="宋体" w:hAnsi="宋体" w:eastAsia="宋体" w:cs="宋体"/>
                <w:bCs/>
                <w:color w:val="auto"/>
                <w:kern w:val="2"/>
                <w:sz w:val="21"/>
                <w:szCs w:val="21"/>
                <w:highlight w:val="none"/>
                <w:u w:val="single"/>
              </w:rPr>
              <w:t>1</w:t>
            </w:r>
            <w:r>
              <w:rPr>
                <w:rFonts w:hint="eastAsia" w:ascii="宋体" w:hAnsi="宋体" w:eastAsia="宋体" w:cs="宋体"/>
                <w:bCs/>
                <w:color w:val="auto"/>
                <w:kern w:val="2"/>
                <w:sz w:val="21"/>
                <w:szCs w:val="21"/>
                <w:highlight w:val="none"/>
              </w:rPr>
              <w:t>分，满分</w:t>
            </w:r>
            <w:r>
              <w:rPr>
                <w:rFonts w:hint="eastAsia" w:ascii="宋体" w:hAnsi="宋体" w:eastAsia="宋体" w:cs="宋体"/>
                <w:bCs/>
                <w:color w:val="auto"/>
                <w:kern w:val="2"/>
                <w:sz w:val="21"/>
                <w:szCs w:val="21"/>
                <w:highlight w:val="none"/>
                <w:u w:val="single"/>
              </w:rPr>
              <w:t>1</w:t>
            </w:r>
            <w:r>
              <w:rPr>
                <w:rFonts w:hint="eastAsia" w:ascii="宋体" w:hAnsi="宋体" w:eastAsia="宋体" w:cs="宋体"/>
                <w:bCs/>
                <w:color w:val="auto"/>
                <w:kern w:val="2"/>
                <w:sz w:val="21"/>
                <w:szCs w:val="21"/>
                <w:highlight w:val="none"/>
              </w:rPr>
              <w:t>分；</w:t>
            </w:r>
          </w:p>
          <w:p w14:paraId="30987183">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bCs/>
                <w:color w:val="auto"/>
                <w:sz w:val="21"/>
                <w:szCs w:val="21"/>
                <w:highlight w:val="none"/>
              </w:rPr>
              <w:t>以上（1）（2）分值计算公式列举说明，如某投标人属于优先采购环境标志产品总值占本投标报价的比例为35.6%，那该项得分为1×0.356=0.356分；</w:t>
            </w:r>
          </w:p>
          <w:p w14:paraId="680DEA1D">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宋体" w:hAnsi="宋体" w:eastAsia="宋体" w:cs="宋体"/>
                <w:bCs/>
                <w:color w:val="auto"/>
                <w:kern w:val="2"/>
                <w:sz w:val="21"/>
                <w:szCs w:val="21"/>
                <w:highlight w:val="none"/>
              </w:rPr>
              <w:t>（3）非节能、环境标志产品的不得分。</w:t>
            </w:r>
          </w:p>
        </w:tc>
      </w:tr>
      <w:tr w14:paraId="3201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5" w:type="dxa"/>
            <w:gridSpan w:val="4"/>
            <w:vAlign w:val="center"/>
          </w:tcPr>
          <w:p w14:paraId="18FFB0EE">
            <w:pPr>
              <w:pStyle w:val="24"/>
              <w:snapToGrid w:val="0"/>
              <w:spacing w:line="360" w:lineRule="auto"/>
              <w:rPr>
                <w:rFonts w:hint="eastAsia" w:asciiTheme="minorEastAsia" w:hAnsiTheme="minorEastAsia" w:eastAsiaTheme="minorEastAsia" w:cstheme="minorEastAsia"/>
                <w:b/>
                <w:bCs/>
                <w:color w:val="auto"/>
                <w:sz w:val="21"/>
                <w:highlight w:val="none"/>
              </w:rPr>
            </w:pPr>
            <w:r>
              <w:rPr>
                <w:rFonts w:hint="eastAsia" w:asciiTheme="minorEastAsia" w:hAnsiTheme="minorEastAsia" w:eastAsiaTheme="minorEastAsia" w:cstheme="minorEastAsia"/>
                <w:b/>
                <w:bCs/>
                <w:color w:val="auto"/>
                <w:sz w:val="21"/>
                <w:highlight w:val="none"/>
              </w:rPr>
              <w:t>总得分为以上各项评审因素得分合计。</w:t>
            </w:r>
          </w:p>
        </w:tc>
      </w:tr>
    </w:tbl>
    <w:p w14:paraId="6D83D1C9">
      <w:pPr>
        <w:pStyle w:val="24"/>
        <w:spacing w:line="360" w:lineRule="auto"/>
        <w:rPr>
          <w:rFonts w:hint="eastAsia" w:hAnsi="宋体"/>
          <w:bCs/>
          <w:color w:val="auto"/>
          <w:sz w:val="21"/>
          <w:highlight w:val="none"/>
        </w:rPr>
      </w:pPr>
      <w:r>
        <w:rPr>
          <w:rFonts w:hint="eastAsia"/>
          <w:color w:val="auto"/>
          <w:highlight w:val="none"/>
        </w:rPr>
        <w:t>注：计分方法按四舍五入取至百分位</w:t>
      </w:r>
      <w:r>
        <w:rPr>
          <w:color w:val="auto"/>
          <w:highlight w:val="none"/>
        </w:rPr>
        <w:br w:type="page"/>
      </w:r>
    </w:p>
    <w:p w14:paraId="698F729C">
      <w:pPr>
        <w:pStyle w:val="4"/>
        <w:keepNext w:val="0"/>
        <w:keepLines w:val="0"/>
        <w:jc w:val="center"/>
        <w:rPr>
          <w:color w:val="auto"/>
          <w:sz w:val="30"/>
          <w:szCs w:val="30"/>
          <w:highlight w:val="none"/>
        </w:rPr>
      </w:pPr>
      <w:r>
        <w:rPr>
          <w:rFonts w:hint="eastAsia"/>
          <w:color w:val="auto"/>
          <w:sz w:val="30"/>
          <w:szCs w:val="30"/>
          <w:highlight w:val="none"/>
        </w:rPr>
        <w:t>四、中标候选人推荐</w:t>
      </w:r>
    </w:p>
    <w:p w14:paraId="1EDC9291">
      <w:pPr>
        <w:pStyle w:val="24"/>
        <w:spacing w:line="360" w:lineRule="auto"/>
        <w:contextualSpacing/>
        <w:rPr>
          <w:rFonts w:hint="eastAsia" w:hAnsi="宋体"/>
          <w:b/>
          <w:bCs/>
          <w:color w:val="auto"/>
          <w:sz w:val="24"/>
          <w:szCs w:val="24"/>
          <w:highlight w:val="none"/>
        </w:rPr>
      </w:pPr>
      <w:r>
        <w:rPr>
          <w:rFonts w:hint="eastAsia" w:hAnsi="宋体"/>
          <w:b/>
          <w:bCs/>
          <w:color w:val="auto"/>
          <w:sz w:val="24"/>
          <w:szCs w:val="24"/>
          <w:highlight w:val="none"/>
        </w:rPr>
        <w:t>综合评分法</w:t>
      </w:r>
    </w:p>
    <w:p w14:paraId="2869EC7D">
      <w:pPr>
        <w:pStyle w:val="24"/>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7B688C1C">
      <w:pPr>
        <w:pStyle w:val="24"/>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60B416DD">
      <w:pPr>
        <w:spacing w:before="120" w:beforeLines="50" w:after="120" w:afterLines="50" w:line="400" w:lineRule="exact"/>
        <w:rPr>
          <w:rFonts w:hint="eastAsia" w:ascii="宋体" w:hAnsi="宋体"/>
          <w:b/>
          <w:color w:val="auto"/>
          <w:sz w:val="24"/>
          <w:highlight w:val="none"/>
        </w:rPr>
      </w:pPr>
    </w:p>
    <w:p w14:paraId="4386800C">
      <w:pPr>
        <w:spacing w:before="120" w:beforeLines="50" w:after="120" w:afterLines="50" w:line="400" w:lineRule="exact"/>
        <w:rPr>
          <w:rFonts w:hint="eastAsia" w:ascii="宋体" w:hAnsi="宋体"/>
          <w:b/>
          <w:color w:val="auto"/>
          <w:sz w:val="24"/>
          <w:highlight w:val="none"/>
        </w:rPr>
      </w:pPr>
    </w:p>
    <w:p w14:paraId="3680F80D">
      <w:pPr>
        <w:spacing w:before="120" w:beforeLines="50" w:after="120" w:afterLines="50" w:line="400" w:lineRule="exact"/>
        <w:rPr>
          <w:rFonts w:hint="eastAsia" w:ascii="宋体" w:hAnsi="宋体"/>
          <w:b/>
          <w:color w:val="auto"/>
          <w:sz w:val="24"/>
          <w:highlight w:val="none"/>
        </w:rPr>
      </w:pPr>
    </w:p>
    <w:p w14:paraId="373A3AB9">
      <w:pPr>
        <w:spacing w:before="120" w:beforeLines="50" w:after="120" w:afterLines="50" w:line="400" w:lineRule="exact"/>
        <w:rPr>
          <w:rFonts w:hint="eastAsia" w:ascii="宋体" w:hAnsi="宋体"/>
          <w:b/>
          <w:color w:val="auto"/>
          <w:sz w:val="24"/>
          <w:highlight w:val="none"/>
        </w:rPr>
      </w:pPr>
    </w:p>
    <w:p w14:paraId="1F0460EF">
      <w:pPr>
        <w:spacing w:before="120" w:beforeLines="50" w:after="120" w:afterLines="50" w:line="400" w:lineRule="exact"/>
        <w:rPr>
          <w:rFonts w:hint="eastAsia" w:ascii="宋体" w:hAnsi="宋体"/>
          <w:b/>
          <w:color w:val="auto"/>
          <w:sz w:val="24"/>
          <w:highlight w:val="none"/>
        </w:rPr>
      </w:pPr>
    </w:p>
    <w:p w14:paraId="04B22EBC">
      <w:pPr>
        <w:spacing w:before="120" w:beforeLines="50" w:after="120" w:afterLines="50" w:line="400" w:lineRule="exact"/>
        <w:rPr>
          <w:rFonts w:hint="eastAsia" w:ascii="宋体" w:hAnsi="宋体"/>
          <w:b/>
          <w:color w:val="auto"/>
          <w:sz w:val="24"/>
          <w:highlight w:val="none"/>
        </w:rPr>
      </w:pPr>
    </w:p>
    <w:p w14:paraId="50A02A63">
      <w:pPr>
        <w:spacing w:before="120" w:beforeLines="50" w:after="120" w:afterLines="50" w:line="400" w:lineRule="exact"/>
        <w:rPr>
          <w:rFonts w:hint="eastAsia" w:ascii="宋体" w:hAnsi="宋体"/>
          <w:b/>
          <w:color w:val="auto"/>
          <w:sz w:val="24"/>
          <w:highlight w:val="none"/>
        </w:rPr>
      </w:pPr>
    </w:p>
    <w:p w14:paraId="0B8729DA">
      <w:pPr>
        <w:spacing w:before="120" w:beforeLines="50" w:after="120" w:afterLines="50" w:line="400" w:lineRule="exact"/>
        <w:rPr>
          <w:rFonts w:hint="eastAsia" w:ascii="宋体" w:hAnsi="宋体"/>
          <w:b/>
          <w:color w:val="auto"/>
          <w:sz w:val="24"/>
          <w:highlight w:val="none"/>
        </w:rPr>
      </w:pPr>
    </w:p>
    <w:p w14:paraId="03F42EAE">
      <w:pPr>
        <w:spacing w:before="120" w:beforeLines="50" w:after="120" w:afterLines="50" w:line="400" w:lineRule="exact"/>
        <w:rPr>
          <w:rFonts w:hint="eastAsia" w:ascii="宋体" w:hAnsi="宋体"/>
          <w:b/>
          <w:color w:val="auto"/>
          <w:sz w:val="24"/>
          <w:highlight w:val="none"/>
        </w:rPr>
      </w:pPr>
    </w:p>
    <w:p w14:paraId="25924135">
      <w:pPr>
        <w:spacing w:before="120" w:beforeLines="50" w:after="120" w:afterLines="50" w:line="400" w:lineRule="exact"/>
        <w:rPr>
          <w:rFonts w:hint="eastAsia" w:ascii="宋体" w:hAnsi="宋体"/>
          <w:b/>
          <w:color w:val="auto"/>
          <w:sz w:val="24"/>
          <w:highlight w:val="none"/>
        </w:rPr>
      </w:pPr>
    </w:p>
    <w:p w14:paraId="50C29617">
      <w:pPr>
        <w:pStyle w:val="3"/>
        <w:keepNext w:val="0"/>
        <w:keepLines w:val="0"/>
        <w:jc w:val="center"/>
        <w:rPr>
          <w:color w:val="auto"/>
          <w:highlight w:val="none"/>
        </w:rPr>
      </w:pPr>
      <w:r>
        <w:rPr>
          <w:color w:val="auto"/>
          <w:highlight w:val="none"/>
        </w:rPr>
        <w:br w:type="page"/>
      </w:r>
    </w:p>
    <w:p w14:paraId="2FABFE9B">
      <w:pPr>
        <w:pStyle w:val="3"/>
        <w:keepNext w:val="0"/>
        <w:keepLines w:val="0"/>
        <w:jc w:val="center"/>
        <w:rPr>
          <w:color w:val="auto"/>
          <w:highlight w:val="none"/>
        </w:rPr>
      </w:pPr>
    </w:p>
    <w:p w14:paraId="5AFC21A8">
      <w:pPr>
        <w:pStyle w:val="3"/>
        <w:keepNext w:val="0"/>
        <w:keepLines w:val="0"/>
        <w:jc w:val="center"/>
        <w:rPr>
          <w:color w:val="auto"/>
          <w:highlight w:val="none"/>
        </w:rPr>
      </w:pPr>
    </w:p>
    <w:p w14:paraId="59773A1D">
      <w:pPr>
        <w:pStyle w:val="3"/>
        <w:keepNext w:val="0"/>
        <w:keepLines w:val="0"/>
        <w:jc w:val="center"/>
        <w:rPr>
          <w:color w:val="auto"/>
          <w:highlight w:val="none"/>
        </w:rPr>
      </w:pPr>
    </w:p>
    <w:p w14:paraId="0A5E1916">
      <w:pPr>
        <w:pStyle w:val="3"/>
        <w:keepNext w:val="0"/>
        <w:keepLines w:val="0"/>
        <w:jc w:val="center"/>
        <w:rPr>
          <w:color w:val="auto"/>
          <w:highlight w:val="none"/>
        </w:rPr>
      </w:pPr>
    </w:p>
    <w:p w14:paraId="244D7E45">
      <w:pPr>
        <w:pStyle w:val="3"/>
        <w:keepNext w:val="0"/>
        <w:keepLines w:val="0"/>
        <w:jc w:val="center"/>
        <w:rPr>
          <w:color w:val="auto"/>
          <w:highlight w:val="none"/>
        </w:rPr>
      </w:pPr>
    </w:p>
    <w:p w14:paraId="2CB97962">
      <w:pPr>
        <w:pStyle w:val="3"/>
        <w:keepNext w:val="0"/>
        <w:keepLines w:val="0"/>
        <w:jc w:val="center"/>
        <w:rPr>
          <w:color w:val="auto"/>
          <w:highlight w:val="none"/>
        </w:rPr>
      </w:pPr>
    </w:p>
    <w:p w14:paraId="0A9668CF">
      <w:pPr>
        <w:pStyle w:val="2"/>
        <w:jc w:val="center"/>
        <w:rPr>
          <w:color w:val="auto"/>
          <w:highlight w:val="none"/>
        </w:rPr>
      </w:pPr>
      <w:bookmarkStart w:id="157" w:name="_Toc74320804"/>
      <w:r>
        <w:rPr>
          <w:rFonts w:hint="eastAsia"/>
          <w:color w:val="auto"/>
          <w:highlight w:val="none"/>
        </w:rPr>
        <w:t>第五章  拟签订的合同文本</w:t>
      </w:r>
      <w:bookmarkEnd w:id="157"/>
    </w:p>
    <w:p w14:paraId="03675B1A">
      <w:pPr>
        <w:snapToGrid w:val="0"/>
        <w:jc w:val="center"/>
        <w:rPr>
          <w:rFonts w:hint="eastAsia" w:ascii="宋体" w:hAnsi="宋体"/>
          <w:bCs/>
          <w:color w:val="auto"/>
          <w:sz w:val="32"/>
          <w:szCs w:val="32"/>
          <w:highlight w:val="none"/>
        </w:rPr>
      </w:pPr>
    </w:p>
    <w:p w14:paraId="52B96891">
      <w:pPr>
        <w:snapToGrid w:val="0"/>
        <w:jc w:val="center"/>
        <w:rPr>
          <w:rFonts w:hint="eastAsia" w:ascii="宋体" w:hAnsi="宋体"/>
          <w:bCs/>
          <w:color w:val="auto"/>
          <w:sz w:val="32"/>
          <w:szCs w:val="32"/>
          <w:highlight w:val="none"/>
        </w:rPr>
      </w:pPr>
    </w:p>
    <w:p w14:paraId="44ACB71D">
      <w:pPr>
        <w:snapToGrid w:val="0"/>
        <w:jc w:val="center"/>
        <w:rPr>
          <w:rFonts w:hint="eastAsia" w:ascii="宋体" w:hAnsi="宋体"/>
          <w:bCs/>
          <w:color w:val="auto"/>
          <w:sz w:val="32"/>
          <w:szCs w:val="32"/>
          <w:highlight w:val="none"/>
        </w:rPr>
      </w:pPr>
    </w:p>
    <w:p w14:paraId="587EF9B3">
      <w:pPr>
        <w:snapToGrid w:val="0"/>
        <w:jc w:val="center"/>
        <w:rPr>
          <w:rFonts w:hint="eastAsia" w:ascii="宋体" w:hAnsi="宋体"/>
          <w:bCs/>
          <w:color w:val="auto"/>
          <w:sz w:val="32"/>
          <w:szCs w:val="32"/>
          <w:highlight w:val="none"/>
        </w:rPr>
      </w:pPr>
    </w:p>
    <w:p w14:paraId="07438044">
      <w:pPr>
        <w:snapToGrid w:val="0"/>
        <w:jc w:val="center"/>
        <w:rPr>
          <w:rFonts w:hint="eastAsia" w:ascii="宋体" w:hAnsi="宋体"/>
          <w:bCs/>
          <w:color w:val="auto"/>
          <w:sz w:val="32"/>
          <w:szCs w:val="32"/>
          <w:highlight w:val="none"/>
        </w:rPr>
      </w:pPr>
    </w:p>
    <w:p w14:paraId="7E8518F0">
      <w:pPr>
        <w:snapToGrid w:val="0"/>
        <w:jc w:val="center"/>
        <w:rPr>
          <w:rFonts w:hint="eastAsia" w:ascii="宋体" w:hAnsi="宋体"/>
          <w:bCs/>
          <w:color w:val="auto"/>
          <w:sz w:val="32"/>
          <w:szCs w:val="32"/>
          <w:highlight w:val="none"/>
        </w:rPr>
      </w:pPr>
    </w:p>
    <w:p w14:paraId="08A0A1A2">
      <w:pPr>
        <w:snapToGrid w:val="0"/>
        <w:jc w:val="center"/>
        <w:rPr>
          <w:rFonts w:hint="eastAsia" w:ascii="宋体" w:hAnsi="宋体"/>
          <w:bCs/>
          <w:color w:val="auto"/>
          <w:sz w:val="32"/>
          <w:szCs w:val="32"/>
          <w:highlight w:val="none"/>
        </w:rPr>
      </w:pPr>
    </w:p>
    <w:p w14:paraId="553D6879">
      <w:pPr>
        <w:snapToGrid w:val="0"/>
        <w:jc w:val="center"/>
        <w:rPr>
          <w:rFonts w:hint="eastAsia" w:ascii="宋体" w:hAnsi="宋体"/>
          <w:bCs/>
          <w:color w:val="auto"/>
          <w:sz w:val="32"/>
          <w:szCs w:val="32"/>
          <w:highlight w:val="none"/>
        </w:rPr>
      </w:pPr>
    </w:p>
    <w:p w14:paraId="0FD8DA9B">
      <w:pPr>
        <w:snapToGrid w:val="0"/>
        <w:jc w:val="center"/>
        <w:rPr>
          <w:rFonts w:hint="eastAsia" w:ascii="宋体" w:hAnsi="宋体"/>
          <w:bCs/>
          <w:color w:val="auto"/>
          <w:sz w:val="32"/>
          <w:szCs w:val="32"/>
          <w:highlight w:val="none"/>
        </w:rPr>
      </w:pPr>
    </w:p>
    <w:p w14:paraId="3B2B883E">
      <w:pPr>
        <w:snapToGrid w:val="0"/>
        <w:jc w:val="center"/>
        <w:rPr>
          <w:rFonts w:hint="eastAsia" w:ascii="宋体" w:hAnsi="宋体"/>
          <w:bCs/>
          <w:color w:val="auto"/>
          <w:sz w:val="32"/>
          <w:szCs w:val="32"/>
          <w:highlight w:val="none"/>
        </w:rPr>
      </w:pPr>
    </w:p>
    <w:p w14:paraId="50BE88AD">
      <w:pPr>
        <w:snapToGrid w:val="0"/>
        <w:jc w:val="center"/>
        <w:rPr>
          <w:rFonts w:hint="eastAsia" w:ascii="宋体" w:hAnsi="宋体"/>
          <w:bCs/>
          <w:color w:val="auto"/>
          <w:sz w:val="32"/>
          <w:szCs w:val="32"/>
          <w:highlight w:val="none"/>
        </w:rPr>
      </w:pPr>
    </w:p>
    <w:p w14:paraId="49669223">
      <w:pPr>
        <w:snapToGrid w:val="0"/>
        <w:rPr>
          <w:rFonts w:hint="eastAsia" w:ascii="宋体" w:hAnsi="宋体"/>
          <w:bCs/>
          <w:color w:val="auto"/>
          <w:sz w:val="32"/>
          <w:szCs w:val="32"/>
          <w:highlight w:val="none"/>
        </w:rPr>
      </w:pPr>
      <w:bookmarkStart w:id="158" w:name="_Hlk55381736"/>
      <w:r>
        <w:rPr>
          <w:rFonts w:ascii="宋体" w:hAnsi="宋体"/>
          <w:bCs/>
          <w:color w:val="auto"/>
          <w:sz w:val="32"/>
          <w:szCs w:val="32"/>
          <w:highlight w:val="none"/>
        </w:rPr>
        <w:t xml:space="preserve"> </w:t>
      </w:r>
    </w:p>
    <w:p w14:paraId="32434E1B">
      <w:pPr>
        <w:snapToGrid w:val="0"/>
        <w:spacing w:line="360" w:lineRule="auto"/>
        <w:ind w:firstLine="640" w:firstLineChars="200"/>
        <w:rPr>
          <w:rFonts w:hint="eastAsia" w:ascii="宋体" w:hAnsi="宋体"/>
          <w:b/>
          <w:color w:val="auto"/>
          <w:sz w:val="32"/>
          <w:szCs w:val="32"/>
          <w:highlight w:val="none"/>
        </w:rPr>
      </w:pPr>
      <w:r>
        <w:rPr>
          <w:rFonts w:ascii="宋体" w:hAnsi="宋体"/>
          <w:bCs/>
          <w:color w:val="auto"/>
          <w:sz w:val="32"/>
          <w:szCs w:val="32"/>
          <w:highlight w:val="none"/>
        </w:rPr>
        <w:br w:type="page"/>
      </w:r>
    </w:p>
    <w:p w14:paraId="10EEB1B2">
      <w:pPr>
        <w:snapToGrid w:val="0"/>
        <w:spacing w:line="360" w:lineRule="auto"/>
        <w:jc w:val="center"/>
        <w:rPr>
          <w:rFonts w:hint="eastAsia" w:ascii="宋体" w:hAnsi="宋体"/>
          <w:b/>
          <w:bCs/>
          <w:color w:val="auto"/>
          <w:sz w:val="32"/>
          <w:szCs w:val="32"/>
          <w:highlight w:val="none"/>
        </w:rPr>
      </w:pPr>
    </w:p>
    <w:p w14:paraId="2F7AC176">
      <w:pPr>
        <w:snapToGrid w:val="0"/>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《广西壮族自治区政府采购合同》</w:t>
      </w:r>
    </w:p>
    <w:p w14:paraId="4C7DB3F4">
      <w:pPr>
        <w:snapToGrid w:val="0"/>
        <w:spacing w:line="360" w:lineRule="auto"/>
        <w:jc w:val="center"/>
        <w:rPr>
          <w:rFonts w:hint="eastAsia" w:ascii="宋体" w:hAnsi="宋体"/>
          <w:b/>
          <w:bCs/>
          <w:color w:val="auto"/>
          <w:sz w:val="32"/>
          <w:szCs w:val="32"/>
          <w:highlight w:val="none"/>
        </w:rPr>
      </w:pPr>
    </w:p>
    <w:p w14:paraId="132315E7">
      <w:pPr>
        <w:snapToGrid w:val="0"/>
        <w:spacing w:line="360" w:lineRule="auto"/>
        <w:ind w:right="480" w:firstLine="5250" w:firstLineChars="2500"/>
        <w:rPr>
          <w:rFonts w:hint="eastAsia" w:ascii="宋体" w:hAnsi="宋体"/>
          <w:bCs/>
          <w:color w:val="auto"/>
          <w:szCs w:val="21"/>
          <w:highlight w:val="none"/>
          <w:u w:val="single"/>
        </w:rPr>
      </w:pPr>
      <w:r>
        <w:rPr>
          <w:rFonts w:hint="eastAsia" w:ascii="宋体" w:hAnsi="宋体"/>
          <w:bCs/>
          <w:color w:val="auto"/>
          <w:szCs w:val="21"/>
          <w:highlight w:val="none"/>
        </w:rPr>
        <w:t>合同编号：</w:t>
      </w:r>
    </w:p>
    <w:p w14:paraId="72932D58">
      <w:pPr>
        <w:snapToGrid w:val="0"/>
        <w:spacing w:line="360" w:lineRule="auto"/>
        <w:rPr>
          <w:rFonts w:hint="eastAsia" w:ascii="宋体" w:hAnsi="宋体"/>
          <w:color w:val="auto"/>
          <w:szCs w:val="21"/>
          <w:highlight w:val="none"/>
        </w:rPr>
      </w:pPr>
    </w:p>
    <w:p w14:paraId="6406BC59">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采购人（甲方）：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4278D71">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供应商（乙方）：</w:t>
      </w:r>
      <w:r>
        <w:rPr>
          <w:rFonts w:hint="eastAsia" w:ascii="宋体" w:hAnsi="宋体"/>
          <w:color w:val="auto"/>
          <w:szCs w:val="21"/>
          <w:highlight w:val="none"/>
          <w:u w:val="single"/>
        </w:rPr>
        <w:t xml:space="preserve">                          </w:t>
      </w:r>
    </w:p>
    <w:p w14:paraId="362B462E">
      <w:pPr>
        <w:snapToGrid w:val="0"/>
        <w:spacing w:line="360" w:lineRule="auto"/>
        <w:rPr>
          <w:rFonts w:hint="eastAsia" w:ascii="宋体" w:hAnsi="宋体"/>
          <w:color w:val="auto"/>
          <w:szCs w:val="21"/>
          <w:highlight w:val="none"/>
        </w:rPr>
      </w:pPr>
      <w:r>
        <w:rPr>
          <w:rFonts w:hint="eastAsia" w:ascii="宋体" w:hAnsi="宋体"/>
          <w:color w:val="auto"/>
          <w:spacing w:val="-20"/>
          <w:szCs w:val="21"/>
          <w:highlight w:val="none"/>
        </w:rPr>
        <w:t>采 购 计 划 号：</w:t>
      </w:r>
      <w:r>
        <w:rPr>
          <w:rFonts w:hint="eastAsia" w:ascii="宋体" w:hAnsi="宋体"/>
          <w:color w:val="auto"/>
          <w:szCs w:val="21"/>
          <w:highlight w:val="none"/>
          <w:u w:val="single"/>
        </w:rPr>
        <w:t xml:space="preserve">                         </w:t>
      </w:r>
    </w:p>
    <w:p w14:paraId="789DE9B8">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p>
    <w:p w14:paraId="1D1EA701">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合同类型：</w:t>
      </w:r>
      <w:r>
        <w:rPr>
          <w:rFonts w:hint="eastAsia" w:ascii="宋体" w:hAnsi="宋体"/>
          <w:color w:val="auto"/>
          <w:szCs w:val="21"/>
          <w:highlight w:val="none"/>
          <w:u w:val="single"/>
        </w:rPr>
        <w:t>买卖合同</w:t>
      </w:r>
    </w:p>
    <w:p w14:paraId="3107CE3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本合同</w:t>
      </w:r>
      <w:r>
        <w:rPr>
          <w:rFonts w:hint="eastAsia" w:ascii="宋体" w:hAnsi="宋体" w:cs="宋体"/>
          <w:color w:val="auto"/>
          <w:szCs w:val="21"/>
          <w:highlight w:val="none"/>
          <w:lang w:val="en-US" w:eastAsia="zh-CN"/>
        </w:rPr>
        <w:t>是否</w:t>
      </w:r>
      <w:r>
        <w:rPr>
          <w:rFonts w:hint="eastAsia" w:ascii="宋体" w:hAnsi="宋体" w:cs="宋体"/>
          <w:color w:val="auto"/>
          <w:szCs w:val="21"/>
          <w:highlight w:val="none"/>
        </w:rPr>
        <w:t>为中小企业预留合同：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否</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39244B8">
      <w:pPr>
        <w:pStyle w:val="17"/>
        <w:spacing w:line="360" w:lineRule="auto"/>
        <w:rPr>
          <w:rFonts w:hint="eastAsia" w:ascii="宋体" w:hAnsi="宋体"/>
          <w:color w:val="auto"/>
          <w:sz w:val="21"/>
          <w:szCs w:val="21"/>
          <w:highlight w:val="none"/>
        </w:rPr>
      </w:pPr>
    </w:p>
    <w:p w14:paraId="45564EE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根据《中华人民共和国政府采购法》《中华人民共和国民法典》等法律、法规规定，按照采购文件规定条款和乙方投标（竞标）承诺，甲乙双方签订本合同。</w:t>
      </w:r>
    </w:p>
    <w:p w14:paraId="2A55D2B2">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第一条　合同标的</w:t>
      </w:r>
    </w:p>
    <w:tbl>
      <w:tblPr>
        <w:tblStyle w:val="46"/>
        <w:tblW w:w="91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86"/>
        <w:gridCol w:w="1190"/>
        <w:gridCol w:w="1166"/>
        <w:gridCol w:w="1089"/>
        <w:gridCol w:w="907"/>
        <w:gridCol w:w="668"/>
        <w:gridCol w:w="946"/>
        <w:gridCol w:w="1188"/>
      </w:tblGrid>
      <w:tr w14:paraId="6A0DB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2B3658F9">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7C05DE3C">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标的的名称</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7F13F5EF">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商标品牌</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490A3F31">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规格型号</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5F960EA3">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生产厂家</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5590BDFB">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数  量</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6872CC93">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单位</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242521C0">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单  价</w:t>
            </w:r>
          </w:p>
          <w:p w14:paraId="79388112">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B0F3C9B">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金  额</w:t>
            </w:r>
          </w:p>
          <w:p w14:paraId="664922F9">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（元）</w:t>
            </w:r>
          </w:p>
        </w:tc>
      </w:tr>
      <w:tr w14:paraId="74D4C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444F9E77">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066735A3">
            <w:pPr>
              <w:snapToGrid w:val="0"/>
              <w:spacing w:line="360" w:lineRule="auto"/>
              <w:jc w:val="center"/>
              <w:rPr>
                <w:rFonts w:ascii="宋体" w:hAnsi="宋体"/>
                <w:color w:val="auto"/>
                <w:szCs w:val="21"/>
                <w:highlight w:val="none"/>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14:paraId="6037F09E">
            <w:pPr>
              <w:snapToGrid w:val="0"/>
              <w:spacing w:line="360" w:lineRule="auto"/>
              <w:jc w:val="center"/>
              <w:rPr>
                <w:rFonts w:ascii="宋体" w:hAnsi="宋体"/>
                <w:color w:val="auto"/>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5FB905D">
            <w:pPr>
              <w:snapToGrid w:val="0"/>
              <w:spacing w:line="360" w:lineRule="auto"/>
              <w:jc w:val="center"/>
              <w:rPr>
                <w:rFonts w:ascii="宋体" w:hAnsi="宋体"/>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2F22EB99">
            <w:pPr>
              <w:snapToGrid w:val="0"/>
              <w:spacing w:line="360" w:lineRule="auto"/>
              <w:jc w:val="center"/>
              <w:rPr>
                <w:rFonts w:ascii="宋体" w:hAnsi="宋体"/>
                <w:color w:val="auto"/>
                <w:szCs w:val="21"/>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16EB7EA0">
            <w:pPr>
              <w:snapToGrid w:val="0"/>
              <w:spacing w:line="360" w:lineRule="auto"/>
              <w:jc w:val="center"/>
              <w:rPr>
                <w:rFonts w:ascii="宋体" w:hAnsi="宋体"/>
                <w:color w:val="auto"/>
                <w:szCs w:val="21"/>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61E90D9C">
            <w:pPr>
              <w:snapToGrid w:val="0"/>
              <w:spacing w:line="360" w:lineRule="auto"/>
              <w:jc w:val="center"/>
              <w:rPr>
                <w:rFonts w:ascii="宋体" w:hAnsi="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2A8A6C2F">
            <w:pPr>
              <w:snapToGrid w:val="0"/>
              <w:spacing w:line="360" w:lineRule="auto"/>
              <w:jc w:val="center"/>
              <w:rPr>
                <w:rFonts w:ascii="宋体" w:hAnsi="宋体"/>
                <w:color w:val="auto"/>
                <w:szCs w:val="21"/>
                <w:highlight w:val="none"/>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E59F478">
            <w:pPr>
              <w:snapToGrid w:val="0"/>
              <w:spacing w:line="360" w:lineRule="auto"/>
              <w:jc w:val="center"/>
              <w:rPr>
                <w:rFonts w:ascii="宋体" w:hAnsi="宋体"/>
                <w:color w:val="auto"/>
                <w:szCs w:val="21"/>
                <w:highlight w:val="none"/>
              </w:rPr>
            </w:pPr>
          </w:p>
        </w:tc>
      </w:tr>
      <w:tr w14:paraId="3B4B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1F84B793">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154A79B2">
            <w:pPr>
              <w:snapToGrid w:val="0"/>
              <w:spacing w:line="360" w:lineRule="auto"/>
              <w:jc w:val="center"/>
              <w:rPr>
                <w:rFonts w:ascii="宋体" w:hAnsi="宋体"/>
                <w:color w:val="auto"/>
                <w:szCs w:val="21"/>
                <w:highlight w:val="none"/>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14:paraId="10BBF7F2">
            <w:pPr>
              <w:snapToGrid w:val="0"/>
              <w:spacing w:line="360" w:lineRule="auto"/>
              <w:jc w:val="center"/>
              <w:rPr>
                <w:rFonts w:ascii="宋体" w:hAnsi="宋体"/>
                <w:color w:val="auto"/>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4C5530F8">
            <w:pPr>
              <w:snapToGrid w:val="0"/>
              <w:spacing w:line="360" w:lineRule="auto"/>
              <w:jc w:val="center"/>
              <w:rPr>
                <w:rFonts w:ascii="宋体" w:hAnsi="宋体"/>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35E71CE8">
            <w:pPr>
              <w:snapToGrid w:val="0"/>
              <w:spacing w:line="360" w:lineRule="auto"/>
              <w:jc w:val="center"/>
              <w:rPr>
                <w:rFonts w:ascii="宋体" w:hAnsi="宋体"/>
                <w:color w:val="auto"/>
                <w:szCs w:val="21"/>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2E61EB8C">
            <w:pPr>
              <w:snapToGrid w:val="0"/>
              <w:spacing w:line="360" w:lineRule="auto"/>
              <w:jc w:val="center"/>
              <w:rPr>
                <w:rFonts w:ascii="宋体" w:hAnsi="宋体"/>
                <w:color w:val="auto"/>
                <w:szCs w:val="21"/>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26981C9B">
            <w:pPr>
              <w:snapToGrid w:val="0"/>
              <w:spacing w:line="360" w:lineRule="auto"/>
              <w:jc w:val="center"/>
              <w:rPr>
                <w:rFonts w:ascii="宋体" w:hAnsi="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77ABB746">
            <w:pPr>
              <w:snapToGrid w:val="0"/>
              <w:spacing w:line="360" w:lineRule="auto"/>
              <w:jc w:val="center"/>
              <w:rPr>
                <w:rFonts w:ascii="宋体" w:hAnsi="宋体"/>
                <w:color w:val="auto"/>
                <w:szCs w:val="21"/>
                <w:highlight w:val="none"/>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BB4607F">
            <w:pPr>
              <w:snapToGrid w:val="0"/>
              <w:spacing w:line="360" w:lineRule="auto"/>
              <w:jc w:val="center"/>
              <w:rPr>
                <w:rFonts w:ascii="宋体" w:hAnsi="宋体"/>
                <w:color w:val="auto"/>
                <w:szCs w:val="21"/>
                <w:highlight w:val="none"/>
              </w:rPr>
            </w:pPr>
          </w:p>
        </w:tc>
      </w:tr>
      <w:tr w14:paraId="7C583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3075A418">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529F4347">
            <w:pPr>
              <w:snapToGrid w:val="0"/>
              <w:spacing w:line="360" w:lineRule="auto"/>
              <w:jc w:val="center"/>
              <w:rPr>
                <w:rFonts w:ascii="宋体" w:hAnsi="宋体"/>
                <w:color w:val="auto"/>
                <w:szCs w:val="21"/>
                <w:highlight w:val="none"/>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14:paraId="72BEA4B2">
            <w:pPr>
              <w:snapToGrid w:val="0"/>
              <w:spacing w:line="360" w:lineRule="auto"/>
              <w:jc w:val="center"/>
              <w:rPr>
                <w:rFonts w:ascii="宋体" w:hAnsi="宋体"/>
                <w:color w:val="auto"/>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0F809419">
            <w:pPr>
              <w:snapToGrid w:val="0"/>
              <w:spacing w:line="360" w:lineRule="auto"/>
              <w:jc w:val="center"/>
              <w:rPr>
                <w:rFonts w:ascii="宋体" w:hAnsi="宋体"/>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531EBEBE">
            <w:pPr>
              <w:snapToGrid w:val="0"/>
              <w:spacing w:line="360" w:lineRule="auto"/>
              <w:jc w:val="center"/>
              <w:rPr>
                <w:rFonts w:ascii="宋体" w:hAnsi="宋体"/>
                <w:color w:val="auto"/>
                <w:szCs w:val="21"/>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22895A34">
            <w:pPr>
              <w:snapToGrid w:val="0"/>
              <w:spacing w:line="360" w:lineRule="auto"/>
              <w:jc w:val="center"/>
              <w:rPr>
                <w:rFonts w:ascii="宋体" w:hAnsi="宋体"/>
                <w:color w:val="auto"/>
                <w:szCs w:val="21"/>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4DE6EFA0">
            <w:pPr>
              <w:snapToGrid w:val="0"/>
              <w:spacing w:line="360" w:lineRule="auto"/>
              <w:jc w:val="center"/>
              <w:rPr>
                <w:rFonts w:ascii="宋体" w:hAnsi="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5A398124">
            <w:pPr>
              <w:snapToGrid w:val="0"/>
              <w:spacing w:line="360" w:lineRule="auto"/>
              <w:jc w:val="center"/>
              <w:rPr>
                <w:rFonts w:ascii="宋体" w:hAnsi="宋体"/>
                <w:color w:val="auto"/>
                <w:szCs w:val="21"/>
                <w:highlight w:val="none"/>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4638356">
            <w:pPr>
              <w:snapToGrid w:val="0"/>
              <w:spacing w:line="360" w:lineRule="auto"/>
              <w:jc w:val="center"/>
              <w:rPr>
                <w:rFonts w:ascii="宋体" w:hAnsi="宋体"/>
                <w:color w:val="auto"/>
                <w:szCs w:val="21"/>
                <w:highlight w:val="none"/>
              </w:rPr>
            </w:pPr>
          </w:p>
        </w:tc>
      </w:tr>
      <w:tr w14:paraId="2672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47776173">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3DD1D658">
            <w:pPr>
              <w:snapToGrid w:val="0"/>
              <w:spacing w:line="360" w:lineRule="auto"/>
              <w:jc w:val="center"/>
              <w:rPr>
                <w:rFonts w:ascii="宋体" w:hAnsi="宋体"/>
                <w:color w:val="auto"/>
                <w:szCs w:val="21"/>
                <w:highlight w:val="none"/>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14:paraId="277BF3F8">
            <w:pPr>
              <w:snapToGrid w:val="0"/>
              <w:spacing w:line="360" w:lineRule="auto"/>
              <w:jc w:val="center"/>
              <w:rPr>
                <w:rFonts w:ascii="宋体" w:hAnsi="宋体"/>
                <w:color w:val="auto"/>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1FCBA404">
            <w:pPr>
              <w:snapToGrid w:val="0"/>
              <w:spacing w:line="360" w:lineRule="auto"/>
              <w:jc w:val="center"/>
              <w:rPr>
                <w:rFonts w:ascii="宋体" w:hAnsi="宋体"/>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0A0E9C7D">
            <w:pPr>
              <w:snapToGrid w:val="0"/>
              <w:spacing w:line="360" w:lineRule="auto"/>
              <w:jc w:val="center"/>
              <w:rPr>
                <w:rFonts w:ascii="宋体" w:hAnsi="宋体"/>
                <w:color w:val="auto"/>
                <w:szCs w:val="21"/>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3B1F3DEE">
            <w:pPr>
              <w:snapToGrid w:val="0"/>
              <w:spacing w:line="360" w:lineRule="auto"/>
              <w:jc w:val="center"/>
              <w:rPr>
                <w:rFonts w:ascii="宋体" w:hAnsi="宋体"/>
                <w:color w:val="auto"/>
                <w:szCs w:val="21"/>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38819BC5">
            <w:pPr>
              <w:snapToGrid w:val="0"/>
              <w:spacing w:line="360" w:lineRule="auto"/>
              <w:jc w:val="center"/>
              <w:rPr>
                <w:rFonts w:ascii="宋体" w:hAnsi="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105ADBA1">
            <w:pPr>
              <w:snapToGrid w:val="0"/>
              <w:spacing w:line="360" w:lineRule="auto"/>
              <w:jc w:val="center"/>
              <w:rPr>
                <w:rFonts w:ascii="宋体" w:hAnsi="宋体"/>
                <w:color w:val="auto"/>
                <w:szCs w:val="21"/>
                <w:highlight w:val="none"/>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0C0C2F83">
            <w:pPr>
              <w:snapToGrid w:val="0"/>
              <w:spacing w:line="360" w:lineRule="auto"/>
              <w:jc w:val="center"/>
              <w:rPr>
                <w:rFonts w:ascii="宋体" w:hAnsi="宋体"/>
                <w:color w:val="auto"/>
                <w:szCs w:val="21"/>
                <w:highlight w:val="none"/>
              </w:rPr>
            </w:pPr>
          </w:p>
        </w:tc>
      </w:tr>
      <w:tr w14:paraId="0A920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150" w:type="dxa"/>
            <w:gridSpan w:val="9"/>
            <w:tcBorders>
              <w:top w:val="single" w:color="auto" w:sz="4" w:space="0"/>
              <w:left w:val="single" w:color="auto" w:sz="4" w:space="0"/>
              <w:bottom w:val="single" w:color="auto" w:sz="4" w:space="0"/>
              <w:right w:val="single" w:color="auto" w:sz="4" w:space="0"/>
            </w:tcBorders>
            <w:noWrap w:val="0"/>
            <w:vAlign w:val="center"/>
          </w:tcPr>
          <w:p w14:paraId="3F212814">
            <w:pPr>
              <w:snapToGrid w:val="0"/>
              <w:spacing w:line="360" w:lineRule="auto"/>
              <w:rPr>
                <w:rFonts w:ascii="宋体" w:hAnsi="宋体"/>
                <w:color w:val="auto"/>
                <w:szCs w:val="21"/>
                <w:highlight w:val="none"/>
              </w:rPr>
            </w:pPr>
            <w:r>
              <w:rPr>
                <w:rFonts w:hint="eastAsia" w:ascii="宋体" w:hAnsi="宋体"/>
                <w:color w:val="auto"/>
                <w:szCs w:val="21"/>
                <w:highlight w:val="none"/>
              </w:rPr>
              <w:t>合计金额（人民币）：</w:t>
            </w:r>
            <w:r>
              <w:rPr>
                <w:rFonts w:hint="eastAsia" w:ascii="宋体" w:hAnsi="宋体"/>
                <w:color w:val="auto"/>
                <w:szCs w:val="21"/>
                <w:highlight w:val="none"/>
                <w:u w:val="single"/>
              </w:rPr>
              <w:t xml:space="preserve">（大写）                          （小写）                 </w:t>
            </w:r>
          </w:p>
        </w:tc>
      </w:tr>
    </w:tbl>
    <w:p w14:paraId="7F659E24">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第二条　标的质量</w:t>
      </w:r>
    </w:p>
    <w:p w14:paraId="5F6E4CF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1.乙方所提供标的的名称、商标品牌、生产厂家、规格型号、技术参数等内容必须与乙方投标文件及有关承诺相一致，且满足项目实施要求。</w:t>
      </w:r>
    </w:p>
    <w:p w14:paraId="2213481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2.乙方所提供的货物必须是全新的、未使用过的且是近6个月内生产的，并完全符合规定的质量、规格的要求。在正常安装、使用和保养条件下，其使用寿命期内各项指标均达到投标文件的承诺。</w:t>
      </w:r>
    </w:p>
    <w:p w14:paraId="5BF49F80">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第三条　</w:t>
      </w:r>
      <w:r>
        <w:rPr>
          <w:rFonts w:hint="eastAsia" w:ascii="宋体" w:hAnsi="宋体"/>
          <w:color w:val="auto"/>
          <w:szCs w:val="21"/>
          <w:highlight w:val="none"/>
        </w:rPr>
        <w:t>履行时间（期限）、地点和方式</w:t>
      </w:r>
    </w:p>
    <w:p w14:paraId="007ED847">
      <w:pPr>
        <w:snapToGrid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1.履行时间（期限）：</w:t>
      </w:r>
      <w:r>
        <w:rPr>
          <w:rFonts w:hint="eastAsia" w:ascii="宋体" w:hAnsi="宋体"/>
          <w:color w:val="auto"/>
          <w:szCs w:val="21"/>
          <w:highlight w:val="none"/>
          <w:lang w:eastAsia="zh-CN"/>
        </w:rPr>
        <w:t>收到</w:t>
      </w:r>
      <w:r>
        <w:rPr>
          <w:rFonts w:hint="eastAsia" w:ascii="宋体" w:hAnsi="宋体"/>
          <w:color w:val="auto"/>
          <w:szCs w:val="21"/>
          <w:highlight w:val="none"/>
          <w:lang w:val="en-US" w:eastAsia="zh-CN"/>
        </w:rPr>
        <w:t>甲方</w:t>
      </w:r>
      <w:r>
        <w:rPr>
          <w:rFonts w:hint="eastAsia" w:ascii="宋体" w:hAnsi="宋体"/>
          <w:color w:val="auto"/>
          <w:szCs w:val="21"/>
          <w:highlight w:val="none"/>
          <w:lang w:eastAsia="zh-CN"/>
        </w:rPr>
        <w:t>供货通知之日起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eastAsia="zh-CN"/>
        </w:rPr>
        <w:t>天内完成安装、调试、培训等全部工作（因</w:t>
      </w:r>
      <w:r>
        <w:rPr>
          <w:rFonts w:hint="eastAsia" w:ascii="宋体" w:hAnsi="宋体"/>
          <w:color w:val="auto"/>
          <w:szCs w:val="21"/>
          <w:highlight w:val="none"/>
          <w:lang w:val="en-US" w:eastAsia="zh-CN"/>
        </w:rPr>
        <w:t>甲方</w:t>
      </w:r>
      <w:r>
        <w:rPr>
          <w:rFonts w:hint="eastAsia" w:ascii="宋体" w:hAnsi="宋体"/>
          <w:color w:val="auto"/>
          <w:szCs w:val="21"/>
          <w:highlight w:val="none"/>
          <w:lang w:eastAsia="zh-CN"/>
        </w:rPr>
        <w:t>部分科室处于特殊装修阶段，具体进场时间以</w:t>
      </w:r>
      <w:r>
        <w:rPr>
          <w:rFonts w:hint="eastAsia" w:ascii="宋体" w:hAnsi="宋体"/>
          <w:color w:val="auto"/>
          <w:szCs w:val="21"/>
          <w:highlight w:val="none"/>
          <w:lang w:val="en-US" w:eastAsia="zh-CN"/>
        </w:rPr>
        <w:t>甲方</w:t>
      </w:r>
      <w:r>
        <w:rPr>
          <w:rFonts w:hint="eastAsia" w:ascii="宋体" w:hAnsi="宋体"/>
          <w:color w:val="auto"/>
          <w:szCs w:val="21"/>
          <w:highlight w:val="none"/>
          <w:lang w:eastAsia="zh-CN"/>
        </w:rPr>
        <w:t>通知为准，交付时间可根据</w:t>
      </w:r>
      <w:r>
        <w:rPr>
          <w:rFonts w:hint="eastAsia" w:ascii="宋体" w:hAnsi="宋体"/>
          <w:color w:val="auto"/>
          <w:szCs w:val="21"/>
          <w:highlight w:val="none"/>
          <w:lang w:val="en-US" w:eastAsia="zh-CN"/>
        </w:rPr>
        <w:t>甲方</w:t>
      </w:r>
      <w:r>
        <w:rPr>
          <w:rFonts w:hint="eastAsia" w:ascii="宋体" w:hAnsi="宋体"/>
          <w:color w:val="auto"/>
          <w:szCs w:val="21"/>
          <w:highlight w:val="none"/>
          <w:lang w:eastAsia="zh-CN"/>
        </w:rPr>
        <w:t>装修进度适当调整）</w:t>
      </w:r>
      <w:r>
        <w:rPr>
          <w:rFonts w:hint="eastAsia" w:ascii="宋体" w:hAnsi="宋体"/>
          <w:color w:val="auto"/>
          <w:szCs w:val="21"/>
          <w:highlight w:val="none"/>
        </w:rPr>
        <w:t>。</w:t>
      </w:r>
    </w:p>
    <w:p w14:paraId="79CA6F3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2.履行地点：</w:t>
      </w:r>
      <w:r>
        <w:rPr>
          <w:rFonts w:hint="eastAsia" w:ascii="宋体" w:hAnsi="宋体" w:cs="宋体"/>
          <w:color w:val="auto"/>
          <w:szCs w:val="21"/>
          <w:highlight w:val="none"/>
          <w:u w:val="single"/>
        </w:rPr>
        <w:t xml:space="preserve">                       </w:t>
      </w:r>
      <w:r>
        <w:rPr>
          <w:rFonts w:hint="eastAsia" w:ascii="宋体" w:hAnsi="宋体" w:cs="宋体"/>
          <w:i/>
          <w:color w:val="auto"/>
          <w:szCs w:val="21"/>
          <w:highlight w:val="none"/>
        </w:rPr>
        <w:t xml:space="preserve"> </w:t>
      </w:r>
    </w:p>
    <w:p w14:paraId="6968788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3.履行方式</w:t>
      </w:r>
    </w:p>
    <w:p w14:paraId="09720E7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乙方负责货物运输，</w:t>
      </w:r>
      <w:r>
        <w:rPr>
          <w:rFonts w:hint="eastAsia" w:ascii="宋体" w:hAnsi="宋体" w:cs="宋体"/>
          <w:color w:val="auto"/>
          <w:szCs w:val="21"/>
          <w:highlight w:val="none"/>
        </w:rPr>
        <w:t>货物的运输方式：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不限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4B9B14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（2）交货方式</w:t>
      </w:r>
    </w:p>
    <w:p w14:paraId="703A5507">
      <w:pPr>
        <w:snapToGrid w:val="0"/>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lang w:eastAsia="zh-CN"/>
        </w:rPr>
        <w:t>☑</w:t>
      </w:r>
      <w:r>
        <w:rPr>
          <w:rFonts w:hint="eastAsia" w:ascii="宋体" w:hAnsi="宋体" w:cs="宋体"/>
          <w:color w:val="auto"/>
          <w:szCs w:val="21"/>
          <w:highlight w:val="none"/>
        </w:rPr>
        <w:t>乙方将货物送到甲方指定地点。</w:t>
      </w:r>
    </w:p>
    <w:p w14:paraId="2FB5099B">
      <w:pPr>
        <w:snapToGrid w:val="0"/>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甲方自行到乙方指定地点提货。</w:t>
      </w:r>
    </w:p>
    <w:p w14:paraId="4538B262">
      <w:pPr>
        <w:snapToGrid w:val="0"/>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其他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800C251">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第四条　包装方式</w:t>
      </w:r>
    </w:p>
    <w:p w14:paraId="4A2981E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1.乙方提供的货物均应按投标文件承诺的要求的包装材料、包装标准、包装方式进行包装。</w:t>
      </w:r>
    </w:p>
    <w:p w14:paraId="2E223322">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2.乙方应在货物发运前对其进行满足运输距离、防水、防潮、防震、防锈和防破损装卸等要求包装，以保证货物安全运达甲方指定地点。</w:t>
      </w:r>
    </w:p>
    <w:p w14:paraId="23DBCB60">
      <w:pPr>
        <w:pStyle w:val="17"/>
        <w:spacing w:line="360" w:lineRule="auto"/>
        <w:ind w:firstLine="420" w:firstLineChars="200"/>
        <w:rPr>
          <w:rFonts w:hint="eastAsia" w:hAnsi="宋体"/>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货物的使用说明书（货物属于进口产品的，供货时应同时附上中文使用说明书）、质量检验证明书、质量合格证、随配附件和工具以及清单一并附于货物包装内。</w:t>
      </w:r>
    </w:p>
    <w:p w14:paraId="16C766A3">
      <w:pPr>
        <w:snapToGrid w:val="0"/>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第五条　安装和培训</w:t>
      </w:r>
    </w:p>
    <w:p w14:paraId="671D809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1.安装时间：</w:t>
      </w:r>
      <w:r>
        <w:rPr>
          <w:rFonts w:hint="eastAsia" w:ascii="宋体" w:hAnsi="宋体"/>
          <w:color w:val="auto"/>
          <w:szCs w:val="21"/>
          <w:highlight w:val="none"/>
          <w:u w:val="single"/>
        </w:rPr>
        <w:t xml:space="preserve">                     </w:t>
      </w:r>
      <w:r>
        <w:rPr>
          <w:rFonts w:hint="eastAsia" w:ascii="宋体" w:hAnsi="宋体"/>
          <w:color w:val="auto"/>
          <w:szCs w:val="21"/>
          <w:highlight w:val="none"/>
        </w:rPr>
        <w:t>；安装地点：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A3D291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2.安装要求：</w:t>
      </w:r>
      <w:r>
        <w:rPr>
          <w:rFonts w:hint="eastAsia" w:ascii="宋体" w:hAnsi="宋体"/>
          <w:color w:val="auto"/>
          <w:szCs w:val="21"/>
          <w:highlight w:val="none"/>
          <w:u w:val="single"/>
        </w:rPr>
        <w:t>乙方应当按招标文件要求（如有）或甲方要求进行安装</w:t>
      </w:r>
      <w:r>
        <w:rPr>
          <w:rFonts w:hint="eastAsia" w:ascii="宋体" w:hAnsi="宋体"/>
          <w:color w:val="auto"/>
          <w:szCs w:val="21"/>
          <w:highlight w:val="none"/>
        </w:rPr>
        <w:t>。</w:t>
      </w:r>
    </w:p>
    <w:p w14:paraId="724A628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3.甲方应提供必要安装条件（如场地、电源、水源等）。</w:t>
      </w:r>
    </w:p>
    <w:p w14:paraId="53D0579A">
      <w:pPr>
        <w:pStyle w:val="17"/>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4.乙方应当按照投标文件的承诺对甲方有关人员进行培训。培训时间：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；培训地点：</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315D0EEA">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第六条　合同价款及支付</w:t>
      </w:r>
    </w:p>
    <w:p w14:paraId="79453715">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1.本合同以人民币付款。</w:t>
      </w:r>
    </w:p>
    <w:p w14:paraId="7465B0DF">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2.合同价款（或者报酬）：</w:t>
      </w:r>
      <w:r>
        <w:rPr>
          <w:rFonts w:hint="eastAsia" w:hAnsi="宋体"/>
          <w:color w:val="auto"/>
          <w:sz w:val="21"/>
          <w:highlight w:val="none"/>
          <w:u w:val="single"/>
        </w:rPr>
        <w:t xml:space="preserve">                     </w:t>
      </w:r>
      <w:r>
        <w:rPr>
          <w:rFonts w:hint="eastAsia" w:hAnsi="宋体"/>
          <w:color w:val="auto"/>
          <w:sz w:val="21"/>
          <w:highlight w:val="none"/>
        </w:rPr>
        <w:t>。</w:t>
      </w:r>
    </w:p>
    <w:p w14:paraId="1A95FC3C">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3.合同价款包括</w:t>
      </w:r>
      <w:r>
        <w:rPr>
          <w:rFonts w:hint="eastAsia" w:hAnsi="宋体"/>
          <w:color w:val="auto"/>
          <w:sz w:val="21"/>
          <w:highlight w:val="none"/>
          <w:u w:val="single"/>
          <w:lang w:val="en-US" w:eastAsia="zh-CN"/>
        </w:rPr>
        <w:t xml:space="preserve">                   </w:t>
      </w:r>
      <w:r>
        <w:rPr>
          <w:rFonts w:hint="eastAsia" w:hAnsi="宋体"/>
          <w:color w:val="auto"/>
          <w:sz w:val="21"/>
          <w:highlight w:val="none"/>
        </w:rPr>
        <w:t>。</w:t>
      </w:r>
    </w:p>
    <w:p w14:paraId="4492D805">
      <w:pPr>
        <w:pStyle w:val="24"/>
        <w:snapToGrid w:val="0"/>
        <w:spacing w:line="360" w:lineRule="auto"/>
        <w:ind w:firstLine="420" w:firstLineChars="200"/>
        <w:rPr>
          <w:rFonts w:hint="default" w:hAnsi="宋体"/>
          <w:color w:val="auto"/>
          <w:sz w:val="21"/>
          <w:highlight w:val="none"/>
          <w:u w:val="single"/>
          <w:lang w:val="en-US" w:eastAsia="zh-CN"/>
        </w:rPr>
      </w:pPr>
      <w:r>
        <w:rPr>
          <w:rFonts w:hint="eastAsia" w:hAnsi="宋体"/>
          <w:color w:val="auto"/>
          <w:sz w:val="21"/>
          <w:highlight w:val="none"/>
        </w:rPr>
        <w:t>4.付款进度安排：</w:t>
      </w:r>
      <w:r>
        <w:rPr>
          <w:rFonts w:hint="eastAsia" w:hAnsi="宋体"/>
          <w:color w:val="auto"/>
          <w:sz w:val="21"/>
          <w:highlight w:val="none"/>
          <w:u w:val="single"/>
          <w:lang w:val="en-US" w:eastAsia="zh-CN"/>
        </w:rPr>
        <w:t>本项目资金来源为政府专项债，甲方根据上级拨付资金的情况进行付款，资金未拨付到位的，乙方不得要求甲方履行付款义务。待资金下达到位后，乙方应提供符合税法规定的全额增值税发票，并按以下方式进行结算。双方签订采购合同后，乙方将货物供应至甲方指定地点，支付到货设备合同金额的60%；设备完成安装后，支付至安装设备合同金额的80%；验收合格并入库后，支付至验收设备合同金额的95%；余下的5%合同总额，在项目验收合格满一年，且货物不存在质量问题、乙方无其他违约及违法情形时，甲方需在15个工作日内付清（不计利息）。</w:t>
      </w:r>
    </w:p>
    <w:p w14:paraId="2769FD7E">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合同签署的乙方名称及发票开具单位与收款单位必须一致，在合同执行过程中，乙方不得以其他不正当理由要求调整发票开具单位或收款单位，否则视为乙方违约。</w:t>
      </w:r>
    </w:p>
    <w:p w14:paraId="3A365D7C">
      <w:pPr>
        <w:pStyle w:val="24"/>
        <w:snapToGrid w:val="0"/>
        <w:spacing w:line="360" w:lineRule="auto"/>
        <w:ind w:firstLine="420" w:firstLineChars="200"/>
        <w:rPr>
          <w:rFonts w:hint="eastAsia" w:hAnsi="宋体"/>
          <w:b/>
          <w:color w:val="auto"/>
          <w:highlight w:val="none"/>
        </w:rPr>
      </w:pPr>
      <w:r>
        <w:rPr>
          <w:rFonts w:hint="eastAsia" w:hAnsi="宋体"/>
          <w:color w:val="auto"/>
          <w:sz w:val="21"/>
          <w:highlight w:val="none"/>
        </w:rPr>
        <w:t>5.资金支付方式</w:t>
      </w:r>
      <w:r>
        <w:rPr>
          <w:rFonts w:hint="eastAsia" w:hAnsi="宋体"/>
          <w:color w:val="auto"/>
          <w:sz w:val="21"/>
          <w:highlight w:val="none"/>
          <w:u w:val="single"/>
        </w:rPr>
        <w:t>：  银行</w:t>
      </w:r>
      <w:r>
        <w:rPr>
          <w:rFonts w:hint="eastAsia" w:hAnsi="宋体"/>
          <w:color w:val="auto"/>
          <w:sz w:val="21"/>
          <w:szCs w:val="21"/>
          <w:highlight w:val="none"/>
          <w:u w:val="single"/>
        </w:rPr>
        <w:t>转账</w:t>
      </w:r>
      <w:r>
        <w:rPr>
          <w:rFonts w:hAnsi="宋体"/>
          <w:i/>
          <w:color w:val="auto"/>
          <w:highlight w:val="none"/>
          <w:u w:val="single"/>
        </w:rPr>
        <w:t xml:space="preserve">  </w:t>
      </w:r>
      <w:r>
        <w:rPr>
          <w:rFonts w:hAnsi="宋体"/>
          <w:color w:val="auto"/>
          <w:highlight w:val="none"/>
          <w:u w:val="single"/>
        </w:rPr>
        <w:t xml:space="preserve"> </w:t>
      </w:r>
      <w:r>
        <w:rPr>
          <w:rFonts w:hint="eastAsia" w:hAnsi="宋体"/>
          <w:color w:val="auto"/>
          <w:highlight w:val="none"/>
        </w:rPr>
        <w:t>。</w:t>
      </w:r>
    </w:p>
    <w:p w14:paraId="3FEB8D30">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第七条　验收、交付标准和方法</w:t>
      </w:r>
    </w:p>
    <w:p w14:paraId="15BC016B">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1.验收标准和方法</w:t>
      </w:r>
    </w:p>
    <w:p w14:paraId="0E4A8AD7">
      <w:pPr>
        <w:snapToGrid w:val="0"/>
        <w:spacing w:line="360" w:lineRule="auto"/>
        <w:ind w:left="420" w:left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（1）验收标准：</w:t>
      </w:r>
      <w:r>
        <w:rPr>
          <w:rFonts w:hint="eastAsia" w:ascii="宋体" w:hAnsi="宋体" w:eastAsia="宋体" w:cs="宋体"/>
          <w:color w:val="auto"/>
          <w:szCs w:val="21"/>
          <w:highlight w:val="none"/>
        </w:rPr>
        <w:t>符合现行国家相关标准、行业标准、地方标准或者其他标准、规范。</w:t>
      </w:r>
      <w:r>
        <w:rPr>
          <w:rFonts w:hint="eastAsia" w:ascii="宋体" w:hAnsi="宋体" w:eastAsia="宋体" w:cs="Times New Roman"/>
          <w:color w:val="auto"/>
          <w:szCs w:val="21"/>
          <w:highlight w:val="none"/>
        </w:rPr>
        <w:t>（2）验收程序及方法：</w:t>
      </w:r>
    </w:p>
    <w:p w14:paraId="3AEC4E34">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1）乙方完成货物安装调试和培训后，书面向甲方提交验收申请。</w:t>
      </w:r>
    </w:p>
    <w:p w14:paraId="38957A9E">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2）甲方收到乙方验收申请之日起</w:t>
      </w:r>
      <w:r>
        <w:rPr>
          <w:rFonts w:hint="eastAsia" w:ascii="宋体" w:hAnsi="宋体" w:eastAsia="宋体" w:cs="Times New Roman"/>
          <w:color w:val="auto"/>
          <w:szCs w:val="21"/>
          <w:highlight w:val="none"/>
          <w:u w:val="single"/>
        </w:rPr>
        <w:t xml:space="preserve"> 5</w:t>
      </w:r>
      <w:r>
        <w:rPr>
          <w:rFonts w:hint="eastAsia" w:ascii="宋体" w:hAnsi="宋体" w:eastAsia="宋体" w:cs="Times New Roman"/>
          <w:color w:val="auto"/>
          <w:szCs w:val="21"/>
          <w:highlight w:val="none"/>
        </w:rPr>
        <w:t>个工作日进行验收。甲方委托第三方机构组织项目验收的，其验收时间以该项目验收方案确定的验收时间为准。</w:t>
      </w:r>
    </w:p>
    <w:p w14:paraId="06366E0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3）负责本项目验收的单位按下列</w:t>
      </w:r>
      <w:r>
        <w:rPr>
          <w:rFonts w:hint="eastAsia" w:ascii="宋体" w:hAnsi="宋体" w:eastAsia="宋体" w:cs="Times New Roman"/>
          <w:color w:val="auto"/>
          <w:szCs w:val="21"/>
          <w:highlight w:val="none"/>
          <w:u w:val="single"/>
          <w:lang w:val="en-US" w:eastAsia="zh-CN"/>
        </w:rPr>
        <w:t xml:space="preserve"> ② </w:t>
      </w:r>
      <w:r>
        <w:rPr>
          <w:rFonts w:hint="eastAsia" w:ascii="宋体" w:hAnsi="宋体" w:eastAsia="宋体" w:cs="Times New Roman"/>
          <w:color w:val="auto"/>
          <w:szCs w:val="21"/>
          <w:highlight w:val="none"/>
        </w:rPr>
        <w:t>方式确定：</w:t>
      </w:r>
    </w:p>
    <w:p w14:paraId="354D03E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①甲方自行组织；</w:t>
      </w:r>
    </w:p>
    <w:p w14:paraId="34C966A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②甲方委托的第三方机构组织；</w:t>
      </w:r>
    </w:p>
    <w:p w14:paraId="24E412F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4）本项目验收由验收小组按照采购合同约定对每一项技术和商务要求的履约情况进行确认，作为验收依据。</w:t>
      </w:r>
    </w:p>
    <w:p w14:paraId="78214AD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Times New Roman"/>
          <w:color w:val="auto"/>
          <w:szCs w:val="21"/>
          <w:highlight w:val="none"/>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58B3B78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w:t>
      </w:r>
      <w:r>
        <w:rPr>
          <w:rFonts w:hint="eastAsia" w:ascii="Times New Roman" w:hAnsi="Times New Roman" w:eastAsia="宋体" w:cs="Times New Roman"/>
          <w:color w:val="auto"/>
          <w:szCs w:val="21"/>
          <w:highlight w:val="none"/>
        </w:rPr>
        <w:t>验收书一式</w:t>
      </w:r>
      <w:r>
        <w:rPr>
          <w:rFonts w:ascii="Times New Roman" w:hAnsi="Times New Roman" w:eastAsia="宋体" w:cs="Times New Roman"/>
          <w:color w:val="auto"/>
          <w:szCs w:val="21"/>
          <w:highlight w:val="none"/>
          <w:u w:val="single"/>
        </w:rPr>
        <w:t xml:space="preserve"> </w:t>
      </w:r>
      <w:r>
        <w:rPr>
          <w:rFonts w:hint="eastAsia" w:cs="Times New Roman"/>
          <w:color w:val="auto"/>
          <w:szCs w:val="21"/>
          <w:highlight w:val="none"/>
          <w:u w:val="single"/>
          <w:lang w:val="en-US" w:eastAsia="zh-CN"/>
        </w:rPr>
        <w:t>伍</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份，甲乙双方各执</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lang w:val="en-US" w:eastAsia="zh-CN"/>
        </w:rPr>
        <w:t>二</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份、受托第三方机构一份（如有）</w:t>
      </w:r>
      <w:r>
        <w:rPr>
          <w:rFonts w:hint="eastAsia" w:ascii="宋体" w:hAnsi="宋体" w:eastAsia="宋体" w:cs="Times New Roman"/>
          <w:color w:val="auto"/>
          <w:szCs w:val="21"/>
          <w:highlight w:val="none"/>
        </w:rPr>
        <w:t xml:space="preserve">。 </w:t>
      </w:r>
    </w:p>
    <w:p w14:paraId="0F857A7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7）验收结论不合格的，乙方应自收到验收书后</w:t>
      </w:r>
      <w:r>
        <w:rPr>
          <w:rFonts w:hint="eastAsia" w:ascii="宋体" w:hAnsi="宋体" w:eastAsia="宋体" w:cs="Times New Roman"/>
          <w:color w:val="auto"/>
          <w:szCs w:val="21"/>
          <w:highlight w:val="none"/>
          <w:u w:val="single"/>
        </w:rPr>
        <w:t xml:space="preserve"> </w:t>
      </w:r>
      <w:r>
        <w:rPr>
          <w:rFonts w:hint="eastAsia" w:ascii="宋体" w:hAnsi="宋体" w:cs="Times New Roman"/>
          <w:color w:val="auto"/>
          <w:szCs w:val="21"/>
          <w:highlight w:val="none"/>
          <w:u w:val="single"/>
          <w:lang w:val="en-US" w:eastAsia="zh-CN"/>
        </w:rPr>
        <w:t>5</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日内及时予以解决。经乙方对验收结论不合格的货物进行整改后，仍然达不到要求的，经双方协商，可按以下办法处理：</w:t>
      </w:r>
    </w:p>
    <w:p w14:paraId="6B5D731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①更换：由乙方承担所发生的全部费用。</w:t>
      </w:r>
    </w:p>
    <w:p w14:paraId="7943AAB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②退货处理：</w:t>
      </w:r>
      <w:r>
        <w:rPr>
          <w:rFonts w:hint="eastAsia" w:ascii="宋体" w:hAnsi="宋体" w:cs="Times New Roman"/>
          <w:color w:val="auto"/>
          <w:szCs w:val="21"/>
          <w:highlight w:val="none"/>
          <w:lang w:val="en-US" w:eastAsia="zh-CN"/>
        </w:rPr>
        <w:t>乙方</w:t>
      </w:r>
      <w:r>
        <w:rPr>
          <w:rFonts w:hint="eastAsia" w:ascii="宋体" w:hAnsi="宋体" w:eastAsia="宋体" w:cs="Times New Roman"/>
          <w:color w:val="auto"/>
          <w:szCs w:val="21"/>
          <w:highlight w:val="none"/>
        </w:rPr>
        <w:t>应退还</w:t>
      </w:r>
      <w:r>
        <w:rPr>
          <w:rFonts w:hint="eastAsia" w:ascii="宋体" w:hAnsi="宋体" w:cs="Times New Roman"/>
          <w:color w:val="auto"/>
          <w:szCs w:val="21"/>
          <w:highlight w:val="none"/>
          <w:lang w:val="en-US" w:eastAsia="zh-CN"/>
        </w:rPr>
        <w:t>甲方</w:t>
      </w:r>
      <w:r>
        <w:rPr>
          <w:rFonts w:hint="eastAsia" w:ascii="宋体" w:hAnsi="宋体" w:eastAsia="宋体" w:cs="Times New Roman"/>
          <w:color w:val="auto"/>
          <w:szCs w:val="21"/>
          <w:highlight w:val="none"/>
        </w:rPr>
        <w:t>支付的合同款，同时应承担与该货物相关的直接费用（运输、保险、检验、合同款利息及银行手续费等）</w:t>
      </w:r>
    </w:p>
    <w:p w14:paraId="2C695B6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w:t>
      </w:r>
      <w:r>
        <w:rPr>
          <w:rFonts w:ascii="Times New Roman" w:hAnsi="Times New Roman" w:eastAsia="宋体" w:cs="Times New Roman"/>
          <w:color w:val="auto"/>
          <w:highlight w:val="none"/>
        </w:rPr>
        <w:t>验收费用</w:t>
      </w:r>
      <w:r>
        <w:rPr>
          <w:rFonts w:hint="eastAsia" w:ascii="宋体" w:hAnsi="宋体" w:eastAsia="宋体" w:cs="Times New Roman"/>
          <w:color w:val="auto"/>
          <w:szCs w:val="21"/>
          <w:highlight w:val="none"/>
        </w:rPr>
        <w:t>按下列</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u w:val="single"/>
        </w:rPr>
        <w:t xml:space="preserve">② </w:t>
      </w:r>
      <w:r>
        <w:rPr>
          <w:rFonts w:hint="eastAsia" w:ascii="宋体" w:hAnsi="宋体" w:eastAsia="宋体" w:cs="Times New Roman"/>
          <w:color w:val="auto"/>
          <w:szCs w:val="21"/>
          <w:highlight w:val="none"/>
        </w:rPr>
        <w:t>方式确定：</w:t>
      </w:r>
    </w:p>
    <w:p w14:paraId="216AC14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①甲方支付；</w:t>
      </w:r>
    </w:p>
    <w:p w14:paraId="4C9E70D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②乙方支付；</w:t>
      </w:r>
    </w:p>
    <w:p w14:paraId="1F49BC5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2.交付标准和方法</w:t>
      </w:r>
    </w:p>
    <w:p w14:paraId="45E3E53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（1）除售后服务验收外，验收结论合格的，乙方应自收到验收书后</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3</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日内向甲方交付使用。</w:t>
      </w:r>
    </w:p>
    <w:p w14:paraId="1A351A09">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（2）货物的所有权和风险自交付时起由乙方转移至甲方，货物交付给甲方之前所有风险均由乙方承担。</w:t>
      </w:r>
    </w:p>
    <w:p w14:paraId="335AFE1D">
      <w:pPr>
        <w:snapToGrid w:val="0"/>
        <w:spacing w:line="360" w:lineRule="auto"/>
        <w:ind w:firstLine="420" w:firstLineChars="200"/>
        <w:rPr>
          <w:rFonts w:hint="default" w:ascii="宋体" w:hAnsi="宋体" w:eastAsia="宋体"/>
          <w:b/>
          <w:color w:val="auto"/>
          <w:szCs w:val="21"/>
          <w:highlight w:val="none"/>
          <w:lang w:val="en-US" w:eastAsia="zh-CN"/>
        </w:rPr>
      </w:pPr>
      <w:r>
        <w:rPr>
          <w:rFonts w:hint="eastAsia" w:ascii="宋体" w:hAnsi="宋体" w:eastAsia="宋体" w:cs="Times New Roman"/>
          <w:color w:val="auto"/>
          <w:szCs w:val="21"/>
          <w:highlight w:val="none"/>
          <w:lang w:val="en-US" w:eastAsia="zh-CN"/>
        </w:rPr>
        <w:t>3.履约验收其他事项：验收时，属于国家规定检定范围（首次计量检测等）内的设备，必须出具有效的鉴定报告，质检费用包含在合同金额中，由乙方支付。</w:t>
      </w:r>
    </w:p>
    <w:p w14:paraId="04415C3D">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第八条  售后服务</w:t>
      </w:r>
    </w:p>
    <w:p w14:paraId="6CAC685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1.乙方应按照国家有关法律法规规定以及投标文件承诺，为甲方提供售后服务。</w:t>
      </w:r>
    </w:p>
    <w:p w14:paraId="6A6F62F2">
      <w:pPr>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2.质量保修范围</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按照</w:t>
      </w:r>
      <w:r>
        <w:rPr>
          <w:rFonts w:hint="eastAsia" w:ascii="宋体" w:hAnsi="宋体"/>
          <w:color w:val="auto"/>
          <w:szCs w:val="21"/>
          <w:highlight w:val="none"/>
          <w:u w:val="single"/>
          <w:lang w:val="en-US" w:eastAsia="zh-CN"/>
        </w:rPr>
        <w:t>采购文件要求及</w:t>
      </w:r>
      <w:r>
        <w:rPr>
          <w:rFonts w:hint="eastAsia" w:ascii="宋体" w:hAnsi="宋体"/>
          <w:color w:val="auto"/>
          <w:szCs w:val="21"/>
          <w:highlight w:val="none"/>
          <w:u w:val="single"/>
        </w:rPr>
        <w:t xml:space="preserve">投标文件承诺 </w:t>
      </w:r>
      <w:r>
        <w:rPr>
          <w:rFonts w:hint="eastAsia" w:ascii="宋体" w:hAnsi="宋体"/>
          <w:color w:val="auto"/>
          <w:szCs w:val="21"/>
          <w:highlight w:val="none"/>
        </w:rPr>
        <w:t>；质保期：</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831FE2F">
      <w:pPr>
        <w:snapToGrid w:val="0"/>
        <w:spacing w:line="360" w:lineRule="auto"/>
        <w:ind w:left="-61" w:leftChars="-29" w:firstLine="517" w:firstLineChars="245"/>
        <w:rPr>
          <w:rFonts w:hint="eastAsia" w:ascii="宋体" w:hAnsi="宋体" w:eastAsia="宋体"/>
          <w:b/>
          <w:color w:val="auto"/>
          <w:szCs w:val="21"/>
          <w:highlight w:val="none"/>
          <w:lang w:eastAsia="zh-CN"/>
        </w:rPr>
      </w:pPr>
      <w:r>
        <w:rPr>
          <w:rFonts w:hint="eastAsia" w:ascii="宋体" w:hAnsi="宋体"/>
          <w:b/>
          <w:color w:val="auto"/>
          <w:szCs w:val="21"/>
          <w:highlight w:val="none"/>
        </w:rPr>
        <w:t>第九条　履约保证金</w:t>
      </w:r>
    </w:p>
    <w:p w14:paraId="3A8D5595">
      <w:pPr>
        <w:pStyle w:val="15"/>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不收取履约保证金</w:t>
      </w:r>
    </w:p>
    <w:p w14:paraId="6254C0E4">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第十条　违约责任</w:t>
      </w:r>
    </w:p>
    <w:p w14:paraId="109ACEA7">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1.合同一方不履行合同义务、履行合同义务不符合约定或者违反合同项下所作保证的， 应向对方承担继续履行、采取修理、更换、退货等补救措施或者赔偿损失等违约责任。</w:t>
      </w:r>
    </w:p>
    <w:p w14:paraId="11C3320C">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2.乙方未能按时交付货物的，应向甲方支付迟延交付违约金。迟延交付违约金的计算方法如下：</w:t>
      </w:r>
    </w:p>
    <w:p w14:paraId="43528597">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（1）从迟交的第一周到第四周，每周迟延交付违约金为合同价款（报酬）的</w:t>
      </w:r>
      <w:r>
        <w:rPr>
          <w:rFonts w:hint="eastAsia" w:hAnsi="宋体"/>
          <w:i/>
          <w:color w:val="auto"/>
          <w:sz w:val="21"/>
          <w:highlight w:val="none"/>
          <w:u w:val="single"/>
        </w:rPr>
        <w:t xml:space="preserve"> </w:t>
      </w:r>
      <w:r>
        <w:rPr>
          <w:rFonts w:hint="eastAsia" w:hAnsi="宋体"/>
          <w:color w:val="auto"/>
          <w:sz w:val="21"/>
          <w:highlight w:val="none"/>
          <w:u w:val="single"/>
        </w:rPr>
        <w:t xml:space="preserve">0.5% </w:t>
      </w:r>
      <w:r>
        <w:rPr>
          <w:rFonts w:hint="eastAsia" w:hAnsi="宋体"/>
          <w:color w:val="auto"/>
          <w:sz w:val="21"/>
          <w:highlight w:val="none"/>
        </w:rPr>
        <w:t>；</w:t>
      </w:r>
    </w:p>
    <w:p w14:paraId="0FE3EED4">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（2）从迟交的第五周到第八周，每周迟延交付违约金为合同价款（报酬）的</w:t>
      </w:r>
      <w:r>
        <w:rPr>
          <w:rFonts w:hint="eastAsia" w:hAnsi="宋体"/>
          <w:color w:val="auto"/>
          <w:sz w:val="21"/>
          <w:highlight w:val="none"/>
          <w:u w:val="single"/>
        </w:rPr>
        <w:t xml:space="preserve"> 1% </w:t>
      </w:r>
      <w:r>
        <w:rPr>
          <w:rFonts w:hint="eastAsia" w:hAnsi="宋体"/>
          <w:color w:val="auto"/>
          <w:sz w:val="21"/>
          <w:highlight w:val="none"/>
        </w:rPr>
        <w:t>；</w:t>
      </w:r>
    </w:p>
    <w:p w14:paraId="0AB0C1DC">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（3）从迟交第九周起，每周迟延交付违约金为合同价款（报酬）的</w:t>
      </w:r>
      <w:r>
        <w:rPr>
          <w:rFonts w:hint="eastAsia" w:hAnsi="宋体"/>
          <w:color w:val="auto"/>
          <w:sz w:val="21"/>
          <w:highlight w:val="none"/>
          <w:u w:val="single"/>
        </w:rPr>
        <w:t xml:space="preserve"> 1.5% </w:t>
      </w:r>
      <w:r>
        <w:rPr>
          <w:rFonts w:hint="eastAsia" w:hAnsi="宋体"/>
          <w:color w:val="auto"/>
          <w:sz w:val="21"/>
          <w:highlight w:val="none"/>
        </w:rPr>
        <w:t>。在计算迟延交付违约金时，迟交不足一周的按一周计算。迟延交付违约金的总额不得超过合同价款（报酬）的</w:t>
      </w:r>
      <w:r>
        <w:rPr>
          <w:rFonts w:hint="eastAsia" w:hAnsi="宋体"/>
          <w:color w:val="auto"/>
          <w:sz w:val="21"/>
          <w:highlight w:val="none"/>
          <w:u w:val="single"/>
        </w:rPr>
        <w:t xml:space="preserve"> 10% </w:t>
      </w:r>
      <w:r>
        <w:rPr>
          <w:rFonts w:hint="eastAsia" w:hAnsi="宋体"/>
          <w:color w:val="auto"/>
          <w:sz w:val="21"/>
          <w:highlight w:val="none"/>
        </w:rPr>
        <w:t>。迟延交付违约金的支付不能免除乙方继续交付相关合同货物的义务，但如迟延交付必然导致合同货物安装、调试、验收等工作推迟的，相关工作应相应顺延。</w:t>
      </w:r>
    </w:p>
    <w:p w14:paraId="79DC144B">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3.甲方未能按合同约定支付合同价款的，应向乙方支付延迟付款违约金。迟延付款违约金的计算方法如下：</w:t>
      </w:r>
    </w:p>
    <w:p w14:paraId="13F0325F">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（1）从迟付的第一周到第四周，每周迟延付款违约金为迟延付款金额的</w:t>
      </w:r>
      <w:r>
        <w:rPr>
          <w:rFonts w:hint="eastAsia" w:hAnsi="宋体"/>
          <w:color w:val="auto"/>
          <w:sz w:val="21"/>
          <w:highlight w:val="none"/>
          <w:u w:val="single"/>
        </w:rPr>
        <w:t xml:space="preserve"> 0.5% </w:t>
      </w:r>
      <w:r>
        <w:rPr>
          <w:rFonts w:hint="eastAsia" w:hAnsi="宋体"/>
          <w:color w:val="auto"/>
          <w:sz w:val="21"/>
          <w:highlight w:val="none"/>
        </w:rPr>
        <w:t>；</w:t>
      </w:r>
    </w:p>
    <w:p w14:paraId="47B37FC6">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（2）从迟付的第五周到第八周，每周迟延付款违约金为迟延付款金额的</w:t>
      </w:r>
      <w:r>
        <w:rPr>
          <w:rFonts w:hint="eastAsia" w:hAnsi="宋体"/>
          <w:color w:val="auto"/>
          <w:sz w:val="21"/>
          <w:highlight w:val="none"/>
          <w:u w:val="single"/>
        </w:rPr>
        <w:t xml:space="preserve"> 1% </w:t>
      </w:r>
      <w:r>
        <w:rPr>
          <w:rFonts w:hint="eastAsia" w:hAnsi="宋体"/>
          <w:color w:val="auto"/>
          <w:sz w:val="21"/>
          <w:highlight w:val="none"/>
        </w:rPr>
        <w:t>；</w:t>
      </w:r>
    </w:p>
    <w:p w14:paraId="2DA9D592">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（3）从迟付第九周起，每周迟延付款违约金为迟延付款金额的</w:t>
      </w:r>
      <w:r>
        <w:rPr>
          <w:rFonts w:hint="eastAsia" w:hAnsi="宋体"/>
          <w:color w:val="auto"/>
          <w:sz w:val="21"/>
          <w:highlight w:val="none"/>
          <w:u w:val="single"/>
        </w:rPr>
        <w:t xml:space="preserve"> 1.5% </w:t>
      </w:r>
      <w:r>
        <w:rPr>
          <w:rFonts w:hint="eastAsia" w:hAnsi="宋体"/>
          <w:color w:val="auto"/>
          <w:sz w:val="21"/>
          <w:highlight w:val="none"/>
        </w:rPr>
        <w:t>。在计算迟延付款违约金时，迟付不足一周的按一周计算。迟延付款违约金的总额不得超过合同价格的</w:t>
      </w:r>
      <w:r>
        <w:rPr>
          <w:rFonts w:hint="eastAsia" w:hAnsi="宋体"/>
          <w:color w:val="auto"/>
          <w:sz w:val="21"/>
          <w:highlight w:val="none"/>
          <w:u w:val="single"/>
        </w:rPr>
        <w:t xml:space="preserve"> 10% </w:t>
      </w:r>
      <w:r>
        <w:rPr>
          <w:rFonts w:hint="eastAsia" w:hAnsi="宋体"/>
          <w:color w:val="auto"/>
          <w:sz w:val="21"/>
          <w:highlight w:val="none"/>
        </w:rPr>
        <w:t>。</w:t>
      </w:r>
    </w:p>
    <w:p w14:paraId="78E0A299">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 xml:space="preserve">4.乙方未按本合同和投标文件承诺提供售后服务的，乙方应按本合同价款（报酬）的 </w:t>
      </w:r>
      <w:r>
        <w:rPr>
          <w:rFonts w:hint="eastAsia" w:hAnsi="宋体"/>
          <w:color w:val="auto"/>
          <w:sz w:val="21"/>
          <w:highlight w:val="none"/>
          <w:u w:val="single"/>
          <w:lang w:val="en-US" w:eastAsia="zh-CN"/>
        </w:rPr>
        <w:t>5</w:t>
      </w:r>
      <w:r>
        <w:rPr>
          <w:rFonts w:hint="eastAsia" w:hAnsi="宋体"/>
          <w:color w:val="auto"/>
          <w:sz w:val="21"/>
          <w:highlight w:val="none"/>
          <w:u w:val="single"/>
        </w:rPr>
        <w:t xml:space="preserve"> </w:t>
      </w:r>
      <w:r>
        <w:rPr>
          <w:rFonts w:hint="eastAsia" w:hAnsi="宋体"/>
          <w:color w:val="auto"/>
          <w:sz w:val="21"/>
          <w:highlight w:val="none"/>
        </w:rPr>
        <w:t>%向甲方支付违约金。</w:t>
      </w:r>
    </w:p>
    <w:p w14:paraId="4ED7E967">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5.因某一方原因导致变更、中止或者终止政府采购合同的，该方应当对另一方受到的损失予以赔偿或者补偿。</w:t>
      </w:r>
    </w:p>
    <w:p w14:paraId="5C959CDE">
      <w:pPr>
        <w:pStyle w:val="24"/>
        <w:snapToGrid w:val="0"/>
        <w:spacing w:line="360" w:lineRule="auto"/>
        <w:ind w:firstLine="420" w:firstLineChars="200"/>
        <w:rPr>
          <w:rFonts w:hint="eastAsia" w:hAnsi="宋体"/>
          <w:color w:val="auto"/>
          <w:sz w:val="21"/>
          <w:highlight w:val="none"/>
          <w:lang w:val="en-US" w:eastAsia="zh-CN"/>
        </w:rPr>
      </w:pPr>
      <w:r>
        <w:rPr>
          <w:rFonts w:hint="eastAsia" w:hAnsi="宋体"/>
          <w:color w:val="auto"/>
          <w:sz w:val="21"/>
          <w:highlight w:val="none"/>
        </w:rPr>
        <w:t>6.</w:t>
      </w:r>
      <w:r>
        <w:rPr>
          <w:rFonts w:hint="eastAsia" w:hAnsi="宋体"/>
          <w:color w:val="auto"/>
          <w:sz w:val="21"/>
          <w:highlight w:val="none"/>
          <w:lang w:val="en-US" w:eastAsia="zh-CN"/>
        </w:rPr>
        <w:t>由于财政困难，无法支付款项，属于不可抗力，甲方不承担违约责任。</w:t>
      </w:r>
    </w:p>
    <w:p w14:paraId="3997858D">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lang w:val="en-US" w:eastAsia="zh-CN"/>
        </w:rPr>
        <w:t>7.</w:t>
      </w:r>
      <w:r>
        <w:rPr>
          <w:rFonts w:hint="eastAsia" w:hAnsi="宋体"/>
          <w:color w:val="auto"/>
          <w:sz w:val="21"/>
          <w:highlight w:val="none"/>
        </w:rPr>
        <w:t>其他违约责任按《中华人民共和国民法典》处理。</w:t>
      </w:r>
    </w:p>
    <w:p w14:paraId="1608EB26">
      <w:pPr>
        <w:pStyle w:val="24"/>
        <w:snapToGrid w:val="0"/>
        <w:spacing w:line="360" w:lineRule="auto"/>
        <w:ind w:firstLine="413" w:firstLineChars="196"/>
        <w:rPr>
          <w:rFonts w:hint="eastAsia" w:hAnsi="宋体"/>
          <w:b/>
          <w:color w:val="auto"/>
          <w:sz w:val="21"/>
          <w:highlight w:val="none"/>
        </w:rPr>
      </w:pPr>
      <w:r>
        <w:rPr>
          <w:rFonts w:hint="eastAsia" w:hAnsi="宋体"/>
          <w:b/>
          <w:color w:val="auto"/>
          <w:sz w:val="21"/>
          <w:highlight w:val="none"/>
        </w:rPr>
        <w:t>第十一条  不可抗力事件处理</w:t>
      </w:r>
    </w:p>
    <w:p w14:paraId="662691E2">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1.在合同有效期内，任何一方因不可抗力事件导致不能履行合同，则合同履行期可延长，其延长期与不可抗力影响期相同。</w:t>
      </w:r>
    </w:p>
    <w:p w14:paraId="0B36D507">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2.不可抗力事件发生后，应立即通知对方，并寄送有关权威机构出具的证明。</w:t>
      </w:r>
    </w:p>
    <w:p w14:paraId="641B2A3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3.不可抗力事件延续一百二十天以上，双方应通过友好协商，确定是否继续履行合同。</w:t>
      </w:r>
    </w:p>
    <w:p w14:paraId="45CD4E93">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第十二条  合同争议解决</w:t>
      </w:r>
    </w:p>
    <w:p w14:paraId="0EE58F5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1.因货物质量问题发生争议的，应邀请国家认可的质量检测机构对货物质量进行鉴定。货物符合标准的，鉴定费由甲方承担；货物不符合标准的，鉴定费由乙方承担。</w:t>
      </w:r>
    </w:p>
    <w:p w14:paraId="7B6A5090">
      <w:pPr>
        <w:autoSpaceDE w:val="0"/>
        <w:autoSpaceDN w:val="0"/>
        <w:adjustRightInd w:val="0"/>
        <w:spacing w:line="360" w:lineRule="auto"/>
        <w:ind w:left="100" w:right="42" w:firstLine="420"/>
        <w:rPr>
          <w:rFonts w:hint="eastAsia" w:ascii="宋体" w:hAnsi="宋体"/>
          <w:color w:val="auto"/>
          <w:szCs w:val="21"/>
          <w:highlight w:val="none"/>
        </w:rPr>
      </w:pPr>
      <w:r>
        <w:rPr>
          <w:rFonts w:hint="eastAsia" w:ascii="宋体" w:hAnsi="宋体"/>
          <w:color w:val="auto"/>
          <w:szCs w:val="21"/>
          <w:highlight w:val="none"/>
        </w:rPr>
        <w:t>2.因履行本合同引起的或者与本合同有关的争议，甲乙双方应首先通过友好协商解决，如果协商不能解决，按下列</w:t>
      </w:r>
      <w:r>
        <w:rPr>
          <w:rFonts w:hint="eastAsia" w:ascii="宋体" w:hAnsi="宋体"/>
          <w:color w:val="auto"/>
          <w:szCs w:val="21"/>
          <w:highlight w:val="none"/>
          <w:u w:val="single"/>
        </w:rPr>
        <w:t>（2）</w:t>
      </w:r>
      <w:r>
        <w:rPr>
          <w:rFonts w:hint="eastAsia" w:ascii="宋体" w:hAnsi="宋体"/>
          <w:color w:val="auto"/>
          <w:szCs w:val="21"/>
          <w:highlight w:val="none"/>
        </w:rPr>
        <w:t>方式解决：</w:t>
      </w:r>
    </w:p>
    <w:p w14:paraId="1B7A5500">
      <w:pPr>
        <w:autoSpaceDE w:val="0"/>
        <w:autoSpaceDN w:val="0"/>
        <w:adjustRightInd w:val="0"/>
        <w:spacing w:line="360" w:lineRule="auto"/>
        <w:ind w:right="40" w:firstLine="420"/>
        <w:rPr>
          <w:rFonts w:hint="eastAsia"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梧州市</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14:paraId="1A3555C8">
      <w:pPr>
        <w:autoSpaceDE w:val="0"/>
        <w:autoSpaceDN w:val="0"/>
        <w:adjustRightInd w:val="0"/>
        <w:spacing w:line="360" w:lineRule="auto"/>
        <w:ind w:right="40" w:firstLine="420"/>
        <w:rPr>
          <w:rFonts w:hint="eastAsia" w:ascii="宋体" w:hAnsi="宋体"/>
          <w:color w:val="auto"/>
          <w:szCs w:val="21"/>
          <w:highlight w:val="none"/>
        </w:rPr>
      </w:pPr>
      <w:r>
        <w:rPr>
          <w:rFonts w:hint="eastAsia" w:ascii="宋体" w:hAnsi="宋体"/>
          <w:color w:val="auto"/>
          <w:szCs w:val="21"/>
          <w:highlight w:val="none"/>
        </w:rPr>
        <w:t>（2）向甲方所在地的人民法院提起诉讼。</w:t>
      </w:r>
    </w:p>
    <w:p w14:paraId="194A9B86">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第十三条　合同的变更、中止或者终止</w:t>
      </w:r>
    </w:p>
    <w:p w14:paraId="6F3F5B4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 除《中华人民共和国政府采购法》第五十条规定的情形外，本合同一经签订，甲乙双方不得擅自变更、中止或者终止合同。</w:t>
      </w:r>
    </w:p>
    <w:p w14:paraId="2DB300BC">
      <w:pPr>
        <w:pStyle w:val="17"/>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2.采购合同继续履行将损害国家利益和社会公共利益的，双方当事人应当变更、中止或者终止合同。有过错的一方应当承担赔偿责任，双方都有过错的，各自承担相应的责任。</w:t>
      </w:r>
    </w:p>
    <w:p w14:paraId="438C879E">
      <w:pPr>
        <w:pStyle w:val="17"/>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3.乙方不得擅自转让其应履行的合同义务。</w:t>
      </w:r>
    </w:p>
    <w:p w14:paraId="0426E029">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第十四条　</w:t>
      </w:r>
      <w:r>
        <w:rPr>
          <w:rFonts w:hint="eastAsia" w:ascii="宋体" w:hAnsi="宋体" w:cs="微软雅黑"/>
          <w:b/>
          <w:color w:val="auto"/>
          <w:kern w:val="0"/>
          <w:szCs w:val="21"/>
          <w:highlight w:val="none"/>
        </w:rPr>
        <w:t>合</w:t>
      </w:r>
      <w:r>
        <w:rPr>
          <w:rFonts w:hint="eastAsia" w:ascii="宋体" w:hAnsi="宋体" w:cs="微软雅黑"/>
          <w:b/>
          <w:color w:val="auto"/>
          <w:spacing w:val="-2"/>
          <w:kern w:val="0"/>
          <w:szCs w:val="21"/>
          <w:highlight w:val="none"/>
        </w:rPr>
        <w:t>同</w:t>
      </w:r>
      <w:r>
        <w:rPr>
          <w:rFonts w:hint="eastAsia" w:ascii="宋体" w:hAnsi="宋体" w:cs="微软雅黑"/>
          <w:b/>
          <w:color w:val="auto"/>
          <w:kern w:val="0"/>
          <w:szCs w:val="21"/>
          <w:highlight w:val="none"/>
        </w:rPr>
        <w:t>文</w:t>
      </w:r>
      <w:r>
        <w:rPr>
          <w:rFonts w:hint="eastAsia" w:ascii="宋体" w:hAnsi="宋体" w:cs="微软雅黑"/>
          <w:b/>
          <w:color w:val="auto"/>
          <w:spacing w:val="-2"/>
          <w:kern w:val="0"/>
          <w:szCs w:val="21"/>
          <w:highlight w:val="none"/>
        </w:rPr>
        <w:t>件构成</w:t>
      </w:r>
    </w:p>
    <w:p w14:paraId="09137139">
      <w:pPr>
        <w:pStyle w:val="24"/>
        <w:snapToGrid w:val="0"/>
        <w:spacing w:line="360" w:lineRule="auto"/>
        <w:ind w:left="420" w:leftChars="200"/>
        <w:rPr>
          <w:rFonts w:hint="eastAsia" w:hAnsi="宋体"/>
          <w:color w:val="auto"/>
          <w:sz w:val="21"/>
          <w:highlight w:val="none"/>
        </w:rPr>
      </w:pPr>
      <w:r>
        <w:rPr>
          <w:rFonts w:hint="eastAsia" w:hAnsi="宋体"/>
          <w:color w:val="auto"/>
          <w:sz w:val="21"/>
          <w:highlight w:val="none"/>
        </w:rPr>
        <w:t>1.政府采购合同</w:t>
      </w:r>
    </w:p>
    <w:p w14:paraId="5E2D8CB2">
      <w:pPr>
        <w:pStyle w:val="24"/>
        <w:snapToGrid w:val="0"/>
        <w:spacing w:line="360" w:lineRule="auto"/>
        <w:ind w:left="420" w:leftChars="200"/>
        <w:rPr>
          <w:rFonts w:hint="eastAsia" w:hAnsi="宋体"/>
          <w:color w:val="auto"/>
          <w:sz w:val="21"/>
          <w:highlight w:val="none"/>
        </w:rPr>
      </w:pPr>
      <w:r>
        <w:rPr>
          <w:rFonts w:hint="eastAsia" w:hAnsi="宋体"/>
          <w:color w:val="auto"/>
          <w:sz w:val="21"/>
          <w:highlight w:val="none"/>
        </w:rPr>
        <w:t>2.中标通知书；</w:t>
      </w:r>
    </w:p>
    <w:p w14:paraId="4BB7E803">
      <w:pPr>
        <w:pStyle w:val="24"/>
        <w:snapToGrid w:val="0"/>
        <w:spacing w:line="360" w:lineRule="auto"/>
        <w:ind w:left="420" w:leftChars="200"/>
        <w:rPr>
          <w:rFonts w:hint="eastAsia" w:hAnsi="宋体"/>
          <w:color w:val="auto"/>
          <w:sz w:val="21"/>
          <w:highlight w:val="none"/>
        </w:rPr>
      </w:pPr>
      <w:r>
        <w:rPr>
          <w:rFonts w:hint="eastAsia" w:hAnsi="宋体"/>
          <w:color w:val="auto"/>
          <w:sz w:val="21"/>
          <w:highlight w:val="none"/>
        </w:rPr>
        <w:t>3.投标文件；</w:t>
      </w:r>
    </w:p>
    <w:p w14:paraId="355964B8">
      <w:pPr>
        <w:pStyle w:val="24"/>
        <w:snapToGrid w:val="0"/>
        <w:spacing w:line="360" w:lineRule="auto"/>
        <w:ind w:left="420" w:leftChars="200"/>
        <w:rPr>
          <w:rFonts w:hint="eastAsia" w:hAnsi="宋体"/>
          <w:color w:val="auto"/>
          <w:sz w:val="21"/>
          <w:highlight w:val="none"/>
        </w:rPr>
      </w:pPr>
      <w:r>
        <w:rPr>
          <w:rFonts w:hint="eastAsia" w:hAnsi="宋体"/>
          <w:color w:val="auto"/>
          <w:sz w:val="21"/>
          <w:highlight w:val="none"/>
        </w:rPr>
        <w:t>4.招标文件及更正公告（澄清或补充通知）；</w:t>
      </w:r>
    </w:p>
    <w:p w14:paraId="1A0E2C4F">
      <w:pPr>
        <w:pStyle w:val="24"/>
        <w:snapToGrid w:val="0"/>
        <w:spacing w:line="360" w:lineRule="auto"/>
        <w:ind w:left="420" w:leftChars="200"/>
        <w:rPr>
          <w:rFonts w:hint="eastAsia" w:hAnsi="宋体"/>
          <w:color w:val="auto"/>
          <w:sz w:val="21"/>
          <w:highlight w:val="none"/>
        </w:rPr>
      </w:pPr>
      <w:r>
        <w:rPr>
          <w:rFonts w:hint="eastAsia" w:hAnsi="宋体"/>
          <w:color w:val="auto"/>
          <w:sz w:val="21"/>
          <w:highlight w:val="none"/>
        </w:rPr>
        <w:t>5.标准、规范及有关技术文件；</w:t>
      </w:r>
    </w:p>
    <w:p w14:paraId="1B8CD13D">
      <w:pPr>
        <w:pStyle w:val="24"/>
        <w:snapToGrid w:val="0"/>
        <w:spacing w:line="360" w:lineRule="auto"/>
        <w:ind w:left="420" w:leftChars="200"/>
        <w:rPr>
          <w:rFonts w:hint="eastAsia" w:hAnsi="宋体"/>
          <w:color w:val="auto"/>
          <w:sz w:val="21"/>
          <w:highlight w:val="none"/>
        </w:rPr>
      </w:pPr>
      <w:r>
        <w:rPr>
          <w:rFonts w:hint="eastAsia" w:hAnsi="宋体"/>
          <w:color w:val="auto"/>
          <w:sz w:val="21"/>
          <w:highlight w:val="none"/>
        </w:rPr>
        <w:t>6.双方约定的其他合同文件。</w:t>
      </w:r>
    </w:p>
    <w:p w14:paraId="32C584BD">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上述合同文件互相补充和解释。如果合同文件之间存在矛盾或者不一致之处，以上述文件的排列顺序在先者为准。</w:t>
      </w:r>
    </w:p>
    <w:p w14:paraId="29A684AB">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w:t>
      </w:r>
      <w:r>
        <w:rPr>
          <w:rFonts w:hint="eastAsia" w:hAnsi="宋体"/>
          <w:b/>
          <w:color w:val="auto"/>
          <w:szCs w:val="21"/>
          <w:highlight w:val="none"/>
        </w:rPr>
        <w:t>十五</w:t>
      </w:r>
      <w:r>
        <w:rPr>
          <w:rFonts w:hint="eastAsia" w:ascii="宋体" w:hAnsi="宋体"/>
          <w:b/>
          <w:color w:val="auto"/>
          <w:szCs w:val="21"/>
          <w:highlight w:val="none"/>
        </w:rPr>
        <w:t>条　知识产权和保密要求</w:t>
      </w:r>
    </w:p>
    <w:p w14:paraId="571CA07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1.甲方在履行合同过程中提供给乙方的全部图纸、文件和其他含有数据和信息的资料，其知识产权属于甲方。</w:t>
      </w:r>
    </w:p>
    <w:p w14:paraId="2718FED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2.除招标文件采购需求另有约定外，甲方不因签署和履行合同而享有乙方在履行合同过程中提供给甲方的图纸、文件、配套软件、电子辅助程序和其他含有数据和信息的资料的知识产权。</w:t>
      </w:r>
    </w:p>
    <w:p w14:paraId="5C0E52C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04300B6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624AB83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20E49A4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6.乙方保证将要交付的货物的所有权完全属于乙方且无任何抵押、质押、查封等产权瑕疵。</w:t>
      </w:r>
    </w:p>
    <w:p w14:paraId="36EF81AA">
      <w:pPr>
        <w:pStyle w:val="24"/>
        <w:snapToGrid w:val="0"/>
        <w:spacing w:line="360" w:lineRule="auto"/>
        <w:ind w:firstLine="413" w:firstLineChars="196"/>
        <w:rPr>
          <w:rFonts w:hint="eastAsia" w:hAnsi="宋体"/>
          <w:b/>
          <w:color w:val="auto"/>
          <w:sz w:val="21"/>
          <w:highlight w:val="none"/>
        </w:rPr>
      </w:pPr>
      <w:r>
        <w:rPr>
          <w:rFonts w:hint="eastAsia" w:hAnsi="宋体"/>
          <w:b/>
          <w:color w:val="auto"/>
          <w:sz w:val="21"/>
          <w:highlight w:val="none"/>
        </w:rPr>
        <w:t>第十六条  合同生效及其他</w:t>
      </w:r>
    </w:p>
    <w:p w14:paraId="35344858">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1.合同经双方法定代表人或者委托代理人签字并加盖单位公章后生效（委托代理人签字的需后附授权委托书，格式自拟）。</w:t>
      </w:r>
    </w:p>
    <w:p w14:paraId="64063749">
      <w:pPr>
        <w:pStyle w:val="17"/>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2.合同执行中涉及采购资金和采购内容修改或者补充的，并</w:t>
      </w:r>
      <w:r>
        <w:rPr>
          <w:rFonts w:hint="eastAsia" w:ascii="宋体" w:hAnsi="宋体"/>
          <w:color w:val="auto"/>
          <w:sz w:val="21"/>
          <w:szCs w:val="21"/>
          <w:highlight w:val="none"/>
          <w:lang w:val="en-US" w:eastAsia="zh-CN"/>
        </w:rPr>
        <w:t>签订</w:t>
      </w:r>
      <w:r>
        <w:rPr>
          <w:rFonts w:hint="eastAsia" w:ascii="宋体" w:hAnsi="宋体"/>
          <w:color w:val="auto"/>
          <w:sz w:val="21"/>
          <w:szCs w:val="21"/>
          <w:highlight w:val="none"/>
        </w:rPr>
        <w:t>书面补充协议报财政部门备案，方可作为主合同不可分割的一部分。</w:t>
      </w:r>
    </w:p>
    <w:p w14:paraId="59C5B95F">
      <w:pPr>
        <w:pStyle w:val="17"/>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3.合同生效后，甲乙双方不得因姓名、名称的变更或者法定代表人、负责人、承办人的变动而不履行合同义务。</w:t>
      </w:r>
    </w:p>
    <w:p w14:paraId="5EF6C993">
      <w:pPr>
        <w:pStyle w:val="24"/>
        <w:snapToGrid w:val="0"/>
        <w:spacing w:line="360" w:lineRule="auto"/>
        <w:ind w:left="420" w:leftChars="200"/>
        <w:rPr>
          <w:rFonts w:hint="eastAsia" w:hAnsi="宋体"/>
          <w:color w:val="auto"/>
          <w:sz w:val="21"/>
          <w:highlight w:val="none"/>
        </w:rPr>
      </w:pPr>
      <w:r>
        <w:rPr>
          <w:rFonts w:hint="eastAsia" w:hAnsi="宋体"/>
          <w:color w:val="auto"/>
          <w:sz w:val="21"/>
          <w:highlight w:val="none"/>
        </w:rPr>
        <w:t>4.本合同未尽事宜，遵照《中华人民共和国民法典》有关条文执行。</w:t>
      </w:r>
    </w:p>
    <w:p w14:paraId="667BD1A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5.本合同自签订之日起2个工作日内，甲方应当将采购合同在广西壮族自治区财政厅指定的媒体上公告。</w:t>
      </w:r>
    </w:p>
    <w:p w14:paraId="27C3177A">
      <w:pPr>
        <w:snapToGrid w:val="0"/>
        <w:spacing w:line="360" w:lineRule="auto"/>
        <w:rPr>
          <w:rFonts w:hint="eastAsia" w:ascii="宋体" w:hAnsi="宋体"/>
          <w:color w:val="auto"/>
          <w:szCs w:val="21"/>
          <w:highlight w:val="none"/>
        </w:rPr>
      </w:pPr>
    </w:p>
    <w:p w14:paraId="7682E691">
      <w:pPr>
        <w:tabs>
          <w:tab w:val="left" w:pos="4395"/>
        </w:tabs>
        <w:spacing w:line="360" w:lineRule="auto"/>
        <w:rPr>
          <w:rFonts w:hint="eastAsia" w:ascii="宋体" w:hAnsi="宋体"/>
          <w:b/>
          <w:color w:val="auto"/>
          <w:szCs w:val="21"/>
          <w:highlight w:val="none"/>
        </w:rPr>
      </w:pPr>
      <w:r>
        <w:rPr>
          <w:rFonts w:hint="eastAsia" w:ascii="宋体" w:hAnsi="宋体"/>
          <w:b/>
          <w:color w:val="auto"/>
          <w:szCs w:val="21"/>
          <w:highlight w:val="none"/>
        </w:rPr>
        <w:t>甲方（盖章）：</w:t>
      </w:r>
      <w:r>
        <w:rPr>
          <w:rFonts w:hint="eastAsia" w:ascii="宋体" w:hAnsi="宋体"/>
          <w:b/>
          <w:color w:val="auto"/>
          <w:szCs w:val="21"/>
          <w:highlight w:val="none"/>
        </w:rPr>
        <w:tab/>
      </w:r>
      <w:r>
        <w:rPr>
          <w:rFonts w:hint="eastAsia" w:ascii="宋体" w:hAnsi="宋体"/>
          <w:b/>
          <w:color w:val="auto"/>
          <w:szCs w:val="21"/>
          <w:highlight w:val="none"/>
        </w:rPr>
        <w:t>乙方（盖章）：</w:t>
      </w:r>
    </w:p>
    <w:p w14:paraId="7846F0EB">
      <w:pPr>
        <w:tabs>
          <w:tab w:val="left" w:pos="4395"/>
        </w:tabs>
        <w:spacing w:line="360" w:lineRule="auto"/>
        <w:rPr>
          <w:rFonts w:hint="eastAsia" w:ascii="宋体" w:hAnsi="宋体"/>
          <w:b/>
          <w:color w:val="auto"/>
          <w:szCs w:val="21"/>
          <w:highlight w:val="none"/>
        </w:rPr>
      </w:pPr>
      <w:r>
        <w:rPr>
          <w:rFonts w:hint="eastAsia" w:ascii="宋体" w:hAnsi="宋体"/>
          <w:bCs/>
          <w:color w:val="auto"/>
          <w:szCs w:val="21"/>
          <w:highlight w:val="none"/>
        </w:rPr>
        <w:t>法定代表人或者委托代理人（签字）</w:t>
      </w:r>
      <w:r>
        <w:rPr>
          <w:rFonts w:hint="eastAsia" w:ascii="宋体" w:hAnsi="宋体"/>
          <w:b/>
          <w:color w:val="auto"/>
          <w:szCs w:val="21"/>
          <w:highlight w:val="none"/>
        </w:rPr>
        <w:t>：</w:t>
      </w:r>
      <w:r>
        <w:rPr>
          <w:rFonts w:hint="eastAsia" w:ascii="宋体" w:hAnsi="宋体"/>
          <w:b/>
          <w:color w:val="auto"/>
          <w:szCs w:val="21"/>
          <w:highlight w:val="none"/>
        </w:rPr>
        <w:tab/>
      </w:r>
      <w:r>
        <w:rPr>
          <w:rFonts w:hint="eastAsia" w:ascii="宋体" w:hAnsi="宋体"/>
          <w:bCs/>
          <w:color w:val="auto"/>
          <w:szCs w:val="21"/>
          <w:highlight w:val="none"/>
        </w:rPr>
        <w:t>法定代表人或者委托代理人（签字）</w:t>
      </w:r>
      <w:r>
        <w:rPr>
          <w:rFonts w:hint="eastAsia" w:ascii="宋体" w:hAnsi="宋体"/>
          <w:b/>
          <w:color w:val="auto"/>
          <w:szCs w:val="21"/>
          <w:highlight w:val="none"/>
        </w:rPr>
        <w:t xml:space="preserve">： </w:t>
      </w:r>
    </w:p>
    <w:p w14:paraId="693536B4">
      <w:pPr>
        <w:tabs>
          <w:tab w:val="left" w:pos="4395"/>
        </w:tabs>
        <w:spacing w:line="360" w:lineRule="auto"/>
        <w:rPr>
          <w:rFonts w:hint="eastAsia" w:ascii="宋体" w:hAnsi="宋体"/>
          <w:color w:val="auto"/>
          <w:szCs w:val="21"/>
          <w:highlight w:val="none"/>
        </w:rPr>
      </w:pPr>
    </w:p>
    <w:p w14:paraId="7BF9816D">
      <w:pPr>
        <w:tabs>
          <w:tab w:val="left" w:pos="4395"/>
        </w:tabs>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签订</w:t>
      </w:r>
      <w:r>
        <w:rPr>
          <w:rFonts w:hint="eastAsia" w:ascii="宋体" w:hAnsi="宋体"/>
          <w:color w:val="auto"/>
          <w:szCs w:val="21"/>
          <w:highlight w:val="none"/>
        </w:rPr>
        <w:t>日期：　　　年　　月　　日</w:t>
      </w:r>
      <w:r>
        <w:rPr>
          <w:rFonts w:hint="eastAsia" w:ascii="宋体" w:hAnsi="宋体"/>
          <w:color w:val="auto"/>
          <w:szCs w:val="21"/>
          <w:highlight w:val="none"/>
        </w:rPr>
        <w:tab/>
      </w:r>
      <w:r>
        <w:rPr>
          <w:rFonts w:hint="eastAsia" w:ascii="宋体" w:hAnsi="宋体"/>
          <w:color w:val="auto"/>
          <w:szCs w:val="21"/>
          <w:highlight w:val="none"/>
          <w:lang w:val="en-US" w:eastAsia="zh-CN"/>
        </w:rPr>
        <w:t>签订</w:t>
      </w:r>
      <w:r>
        <w:rPr>
          <w:rFonts w:hint="eastAsia" w:ascii="宋体" w:hAnsi="宋体"/>
          <w:color w:val="auto"/>
          <w:szCs w:val="21"/>
          <w:highlight w:val="none"/>
        </w:rPr>
        <w:t>日期：　　　年　　月　　日</w:t>
      </w:r>
    </w:p>
    <w:p w14:paraId="35C0B98F">
      <w:pPr>
        <w:tabs>
          <w:tab w:val="left" w:pos="4395"/>
        </w:tabs>
        <w:spacing w:line="360" w:lineRule="auto"/>
        <w:rPr>
          <w:rFonts w:hint="eastAsia" w:ascii="宋体" w:hAnsi="宋体"/>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开户名称：</w:t>
      </w:r>
    </w:p>
    <w:p w14:paraId="0E19725A">
      <w:pPr>
        <w:tabs>
          <w:tab w:val="left" w:pos="4395"/>
        </w:tabs>
        <w:spacing w:line="360" w:lineRule="auto"/>
        <w:rPr>
          <w:rFonts w:hint="eastAsia" w:ascii="宋体" w:hAnsi="宋体"/>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银行账号：</w:t>
      </w:r>
    </w:p>
    <w:p w14:paraId="0263B859">
      <w:pPr>
        <w:tabs>
          <w:tab w:val="left" w:pos="4395"/>
        </w:tabs>
        <w:spacing w:line="360" w:lineRule="auto"/>
        <w:ind w:firstLine="4410" w:firstLineChars="2100"/>
        <w:rPr>
          <w:rFonts w:hint="eastAsia" w:asciiTheme="minorEastAsia" w:hAnsiTheme="minorEastAsia" w:eastAsiaTheme="minorEastAsia" w:cstheme="minorEastAsia"/>
          <w:color w:val="auto"/>
          <w:szCs w:val="21"/>
          <w:highlight w:val="none"/>
          <w:u w:val="single"/>
        </w:rPr>
      </w:pPr>
      <w:r>
        <w:rPr>
          <w:rFonts w:hint="eastAsia" w:ascii="宋体" w:hAnsi="宋体"/>
          <w:color w:val="auto"/>
          <w:szCs w:val="21"/>
          <w:highlight w:val="none"/>
        </w:rPr>
        <w:t>开 户 行：</w:t>
      </w:r>
    </w:p>
    <w:p w14:paraId="4B7DE90A">
      <w:pPr>
        <w:tabs>
          <w:tab w:val="left" w:pos="4395"/>
        </w:tabs>
        <w:spacing w:line="360" w:lineRule="auto"/>
        <w:rPr>
          <w:rFonts w:hint="eastAsia" w:ascii="宋体" w:hAnsi="宋体"/>
          <w:bCs/>
          <w:color w:val="auto"/>
          <w:szCs w:val="21"/>
          <w:highlight w:val="none"/>
        </w:rPr>
      </w:pPr>
      <w:r>
        <w:rPr>
          <w:rFonts w:hint="eastAsia" w:ascii="宋体" w:hAnsi="宋体"/>
          <w:bCs/>
          <w:color w:val="auto"/>
          <w:szCs w:val="21"/>
          <w:highlight w:val="none"/>
        </w:rPr>
        <w:t xml:space="preserve"> </w:t>
      </w:r>
    </w:p>
    <w:p w14:paraId="5A5BB5F6">
      <w:pPr>
        <w:pStyle w:val="17"/>
        <w:rPr>
          <w:color w:val="auto"/>
          <w:sz w:val="21"/>
          <w:highlight w:val="none"/>
        </w:rPr>
      </w:pPr>
    </w:p>
    <w:p w14:paraId="078C87C6">
      <w:pPr>
        <w:snapToGrid w:val="0"/>
        <w:spacing w:line="360" w:lineRule="auto"/>
        <w:ind w:firstLine="422" w:firstLineChars="200"/>
        <w:rPr>
          <w:rFonts w:hint="eastAsia" w:ascii="宋体" w:hAnsi="宋体"/>
          <w:b/>
          <w:color w:val="auto"/>
          <w:szCs w:val="21"/>
          <w:highlight w:val="none"/>
        </w:rPr>
      </w:pPr>
      <w:r>
        <w:rPr>
          <w:rFonts w:ascii="宋体" w:hAnsi="宋体"/>
          <w:b/>
          <w:color w:val="auto"/>
          <w:szCs w:val="21"/>
          <w:highlight w:val="none"/>
        </w:rPr>
        <w:br w:type="page"/>
      </w:r>
      <w:r>
        <w:rPr>
          <w:rFonts w:hint="eastAsia" w:ascii="宋体" w:hAnsi="宋体"/>
          <w:b/>
          <w:color w:val="auto"/>
          <w:szCs w:val="21"/>
          <w:highlight w:val="none"/>
        </w:rPr>
        <w:t>合 同 附 件</w:t>
      </w:r>
    </w:p>
    <w:p w14:paraId="6C9A0D4B">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一般货物类</w:t>
      </w:r>
    </w:p>
    <w:tbl>
      <w:tblPr>
        <w:tblStyle w:val="46"/>
        <w:tblW w:w="8522" w:type="dxa"/>
        <w:tblInd w:w="0" w:type="dxa"/>
        <w:tblLayout w:type="fixed"/>
        <w:tblCellMar>
          <w:top w:w="0" w:type="dxa"/>
          <w:left w:w="108" w:type="dxa"/>
          <w:bottom w:w="0" w:type="dxa"/>
          <w:right w:w="108" w:type="dxa"/>
        </w:tblCellMar>
      </w:tblPr>
      <w:tblGrid>
        <w:gridCol w:w="4248"/>
        <w:gridCol w:w="4274"/>
      </w:tblGrid>
      <w:tr w14:paraId="70035864">
        <w:tblPrEx>
          <w:tblCellMar>
            <w:top w:w="0" w:type="dxa"/>
            <w:left w:w="108" w:type="dxa"/>
            <w:bottom w:w="0" w:type="dxa"/>
            <w:right w:w="108" w:type="dxa"/>
          </w:tblCellMar>
        </w:tblPrEx>
        <w:trPr>
          <w:trHeight w:val="1226" w:hRule="atLeast"/>
        </w:trPr>
        <w:tc>
          <w:tcPr>
            <w:tcW w:w="8522" w:type="dxa"/>
            <w:gridSpan w:val="2"/>
            <w:tcBorders>
              <w:top w:val="single" w:color="auto" w:sz="4" w:space="0"/>
              <w:left w:val="single" w:color="auto" w:sz="4" w:space="0"/>
              <w:right w:val="single" w:color="auto" w:sz="4" w:space="0"/>
            </w:tcBorders>
          </w:tcPr>
          <w:p w14:paraId="32A6C111">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 供应商承诺具体事项：</w:t>
            </w:r>
          </w:p>
        </w:tc>
      </w:tr>
      <w:tr w14:paraId="5B50B36F">
        <w:tblPrEx>
          <w:tblCellMar>
            <w:top w:w="0" w:type="dxa"/>
            <w:left w:w="108" w:type="dxa"/>
            <w:bottom w:w="0" w:type="dxa"/>
            <w:right w:w="108" w:type="dxa"/>
          </w:tblCellMar>
        </w:tblPrEx>
        <w:trPr>
          <w:trHeight w:val="1228" w:hRule="atLeast"/>
        </w:trPr>
        <w:tc>
          <w:tcPr>
            <w:tcW w:w="8522" w:type="dxa"/>
            <w:gridSpan w:val="2"/>
            <w:tcBorders>
              <w:top w:val="single" w:color="auto" w:sz="4" w:space="0"/>
              <w:left w:val="single" w:color="auto" w:sz="4" w:space="0"/>
              <w:right w:val="single" w:color="auto" w:sz="4" w:space="0"/>
            </w:tcBorders>
          </w:tcPr>
          <w:p w14:paraId="54F98627">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 售后服务具体事项：</w:t>
            </w:r>
          </w:p>
        </w:tc>
      </w:tr>
      <w:tr w14:paraId="228C4B15">
        <w:tblPrEx>
          <w:tblCellMar>
            <w:top w:w="0" w:type="dxa"/>
            <w:left w:w="108" w:type="dxa"/>
            <w:bottom w:w="0" w:type="dxa"/>
            <w:right w:w="108" w:type="dxa"/>
          </w:tblCellMar>
        </w:tblPrEx>
        <w:trPr>
          <w:trHeight w:val="1088" w:hRule="atLeast"/>
        </w:trPr>
        <w:tc>
          <w:tcPr>
            <w:tcW w:w="8522" w:type="dxa"/>
            <w:gridSpan w:val="2"/>
            <w:tcBorders>
              <w:top w:val="single" w:color="auto" w:sz="4" w:space="0"/>
              <w:left w:val="single" w:color="auto" w:sz="4" w:space="0"/>
              <w:right w:val="single" w:color="auto" w:sz="4" w:space="0"/>
            </w:tcBorders>
          </w:tcPr>
          <w:p w14:paraId="587265C2">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 质保期责任：</w:t>
            </w:r>
          </w:p>
        </w:tc>
      </w:tr>
      <w:tr w14:paraId="58128DA0">
        <w:tblPrEx>
          <w:tblCellMar>
            <w:top w:w="0" w:type="dxa"/>
            <w:left w:w="108" w:type="dxa"/>
            <w:bottom w:w="0" w:type="dxa"/>
            <w:right w:w="108" w:type="dxa"/>
          </w:tblCellMar>
        </w:tblPrEx>
        <w:trPr>
          <w:trHeight w:val="1360" w:hRule="atLeast"/>
        </w:trPr>
        <w:tc>
          <w:tcPr>
            <w:tcW w:w="8522" w:type="dxa"/>
            <w:gridSpan w:val="2"/>
            <w:tcBorders>
              <w:top w:val="single" w:color="auto" w:sz="4" w:space="0"/>
              <w:left w:val="single" w:color="auto" w:sz="4" w:space="0"/>
              <w:right w:val="single" w:color="auto" w:sz="4" w:space="0"/>
            </w:tcBorders>
          </w:tcPr>
          <w:p w14:paraId="6302E237">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4. 其他具体事项：</w:t>
            </w:r>
          </w:p>
        </w:tc>
      </w:tr>
      <w:tr w14:paraId="157139C6">
        <w:tblPrEx>
          <w:tblCellMar>
            <w:top w:w="0" w:type="dxa"/>
            <w:left w:w="108" w:type="dxa"/>
            <w:bottom w:w="0" w:type="dxa"/>
            <w:right w:w="108" w:type="dxa"/>
          </w:tblCellMar>
        </w:tblPrEx>
        <w:trPr>
          <w:trHeight w:val="1703" w:hRule="atLeast"/>
        </w:trPr>
        <w:tc>
          <w:tcPr>
            <w:tcW w:w="4248" w:type="dxa"/>
            <w:tcBorders>
              <w:top w:val="single" w:color="auto" w:sz="4" w:space="0"/>
              <w:left w:val="single" w:color="auto" w:sz="4" w:space="0"/>
              <w:bottom w:val="single" w:color="auto" w:sz="4" w:space="0"/>
              <w:right w:val="single" w:color="auto" w:sz="4" w:space="0"/>
            </w:tcBorders>
            <w:vAlign w:val="center"/>
          </w:tcPr>
          <w:p w14:paraId="00E82477">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甲方（章）</w:t>
            </w:r>
          </w:p>
          <w:p w14:paraId="7416D846">
            <w:pPr>
              <w:snapToGrid w:val="0"/>
              <w:spacing w:line="360" w:lineRule="auto"/>
              <w:ind w:firstLine="422" w:firstLineChars="200"/>
              <w:rPr>
                <w:rFonts w:hint="eastAsia" w:ascii="宋体" w:hAnsi="宋体"/>
                <w:b/>
                <w:color w:val="auto"/>
                <w:szCs w:val="21"/>
                <w:highlight w:val="none"/>
              </w:rPr>
            </w:pPr>
          </w:p>
          <w:p w14:paraId="351ABA9B">
            <w:pPr>
              <w:snapToGrid w:val="0"/>
              <w:spacing w:line="360" w:lineRule="auto"/>
              <w:rPr>
                <w:rFonts w:hint="eastAsia" w:ascii="宋体" w:hAnsi="宋体"/>
                <w:b/>
                <w:color w:val="auto"/>
                <w:szCs w:val="21"/>
                <w:highlight w:val="none"/>
              </w:rPr>
            </w:pPr>
          </w:p>
          <w:p w14:paraId="5399DB99">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年   月   日 </w:t>
            </w:r>
          </w:p>
        </w:tc>
        <w:tc>
          <w:tcPr>
            <w:tcW w:w="4274" w:type="dxa"/>
            <w:tcBorders>
              <w:top w:val="single" w:color="auto" w:sz="4" w:space="0"/>
              <w:left w:val="single" w:color="auto" w:sz="4" w:space="0"/>
              <w:bottom w:val="single" w:color="auto" w:sz="4" w:space="0"/>
              <w:right w:val="single" w:color="auto" w:sz="4" w:space="0"/>
            </w:tcBorders>
            <w:vAlign w:val="center"/>
          </w:tcPr>
          <w:p w14:paraId="3A8DEF0B">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乙方（章）</w:t>
            </w:r>
          </w:p>
          <w:p w14:paraId="7645FF8E">
            <w:pPr>
              <w:snapToGrid w:val="0"/>
              <w:spacing w:line="360" w:lineRule="auto"/>
              <w:ind w:firstLine="422" w:firstLineChars="200"/>
              <w:rPr>
                <w:rFonts w:hint="eastAsia" w:ascii="宋体" w:hAnsi="宋体"/>
                <w:b/>
                <w:color w:val="auto"/>
                <w:szCs w:val="21"/>
                <w:highlight w:val="none"/>
              </w:rPr>
            </w:pPr>
          </w:p>
          <w:p w14:paraId="6FBEEFC9">
            <w:pPr>
              <w:snapToGrid w:val="0"/>
              <w:spacing w:line="360" w:lineRule="auto"/>
              <w:rPr>
                <w:rFonts w:hint="eastAsia" w:ascii="宋体" w:hAnsi="宋体"/>
                <w:b/>
                <w:color w:val="auto"/>
                <w:szCs w:val="21"/>
                <w:highlight w:val="none"/>
              </w:rPr>
            </w:pPr>
          </w:p>
          <w:p w14:paraId="24F26CEB">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年   月   日</w:t>
            </w:r>
          </w:p>
        </w:tc>
      </w:tr>
    </w:tbl>
    <w:p w14:paraId="2B1E1414">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   注：售后服务事项填不下时可另加附页</w:t>
      </w:r>
    </w:p>
    <w:p w14:paraId="5CC27D11">
      <w:pPr>
        <w:pStyle w:val="17"/>
        <w:jc w:val="center"/>
        <w:rPr>
          <w:rFonts w:hint="eastAsia" w:ascii="宋体" w:hAnsi="宋体"/>
          <w:bCs/>
          <w:color w:val="auto"/>
          <w:sz w:val="32"/>
          <w:szCs w:val="32"/>
          <w:highlight w:val="none"/>
        </w:rPr>
      </w:pPr>
      <w:r>
        <w:rPr>
          <w:rFonts w:ascii="宋体" w:hAnsi="宋体"/>
          <w:color w:val="auto"/>
          <w:szCs w:val="21"/>
          <w:highlight w:val="none"/>
        </w:rPr>
        <w:br w:type="page"/>
      </w:r>
    </w:p>
    <w:bookmarkEnd w:id="158"/>
    <w:p w14:paraId="770EC73A">
      <w:pPr>
        <w:snapToGrid w:val="0"/>
        <w:spacing w:line="480" w:lineRule="auto"/>
        <w:rPr>
          <w:rFonts w:hint="eastAsia" w:ascii="宋体" w:hAnsi="宋体"/>
          <w:bCs/>
          <w:color w:val="auto"/>
          <w:sz w:val="32"/>
          <w:szCs w:val="32"/>
          <w:highlight w:val="none"/>
        </w:rPr>
      </w:pPr>
    </w:p>
    <w:p w14:paraId="54807E6A">
      <w:pPr>
        <w:snapToGrid w:val="0"/>
        <w:jc w:val="center"/>
        <w:rPr>
          <w:rFonts w:hint="eastAsia" w:ascii="宋体" w:hAnsi="宋体"/>
          <w:bCs/>
          <w:color w:val="auto"/>
          <w:sz w:val="32"/>
          <w:szCs w:val="32"/>
          <w:highlight w:val="none"/>
        </w:rPr>
      </w:pPr>
    </w:p>
    <w:p w14:paraId="16E94E7F">
      <w:pPr>
        <w:snapToGrid w:val="0"/>
        <w:jc w:val="center"/>
        <w:rPr>
          <w:rFonts w:hint="eastAsia" w:ascii="宋体" w:hAnsi="宋体"/>
          <w:bCs/>
          <w:color w:val="auto"/>
          <w:sz w:val="32"/>
          <w:szCs w:val="32"/>
          <w:highlight w:val="none"/>
        </w:rPr>
      </w:pPr>
    </w:p>
    <w:p w14:paraId="5F5D4FEE">
      <w:pPr>
        <w:snapToGrid w:val="0"/>
        <w:jc w:val="center"/>
        <w:rPr>
          <w:rFonts w:hint="eastAsia" w:ascii="宋体" w:hAnsi="宋体"/>
          <w:bCs/>
          <w:color w:val="auto"/>
          <w:sz w:val="32"/>
          <w:szCs w:val="32"/>
          <w:highlight w:val="none"/>
        </w:rPr>
      </w:pPr>
    </w:p>
    <w:p w14:paraId="4BB1AE79">
      <w:pPr>
        <w:snapToGrid w:val="0"/>
        <w:jc w:val="center"/>
        <w:rPr>
          <w:rFonts w:hint="eastAsia" w:ascii="宋体" w:hAnsi="宋体"/>
          <w:bCs/>
          <w:color w:val="auto"/>
          <w:sz w:val="32"/>
          <w:szCs w:val="32"/>
          <w:highlight w:val="none"/>
        </w:rPr>
      </w:pPr>
    </w:p>
    <w:p w14:paraId="0AE79AB9">
      <w:pPr>
        <w:snapToGrid w:val="0"/>
        <w:jc w:val="center"/>
        <w:rPr>
          <w:rFonts w:hint="eastAsia" w:ascii="宋体" w:hAnsi="宋体"/>
          <w:bCs/>
          <w:color w:val="auto"/>
          <w:sz w:val="32"/>
          <w:szCs w:val="32"/>
          <w:highlight w:val="none"/>
        </w:rPr>
      </w:pPr>
    </w:p>
    <w:p w14:paraId="47205EF3">
      <w:pPr>
        <w:snapToGrid w:val="0"/>
        <w:jc w:val="center"/>
        <w:rPr>
          <w:rFonts w:hint="eastAsia" w:ascii="宋体" w:hAnsi="宋体"/>
          <w:bCs/>
          <w:color w:val="auto"/>
          <w:sz w:val="32"/>
          <w:szCs w:val="32"/>
          <w:highlight w:val="none"/>
        </w:rPr>
      </w:pPr>
    </w:p>
    <w:p w14:paraId="557D29D4">
      <w:pPr>
        <w:snapToGrid w:val="0"/>
        <w:jc w:val="center"/>
        <w:rPr>
          <w:rFonts w:hint="eastAsia" w:ascii="宋体" w:hAnsi="宋体"/>
          <w:bCs/>
          <w:color w:val="auto"/>
          <w:sz w:val="32"/>
          <w:szCs w:val="32"/>
          <w:highlight w:val="none"/>
        </w:rPr>
      </w:pPr>
    </w:p>
    <w:p w14:paraId="63B65DE8">
      <w:pPr>
        <w:snapToGrid w:val="0"/>
        <w:jc w:val="center"/>
        <w:rPr>
          <w:rFonts w:hint="eastAsia" w:ascii="宋体" w:hAnsi="宋体"/>
          <w:bCs/>
          <w:color w:val="auto"/>
          <w:sz w:val="32"/>
          <w:szCs w:val="32"/>
          <w:highlight w:val="none"/>
        </w:rPr>
      </w:pPr>
    </w:p>
    <w:p w14:paraId="0CD67142">
      <w:pPr>
        <w:snapToGrid w:val="0"/>
        <w:jc w:val="center"/>
        <w:rPr>
          <w:rFonts w:hint="eastAsia" w:ascii="宋体" w:hAnsi="宋体"/>
          <w:bCs/>
          <w:color w:val="auto"/>
          <w:sz w:val="32"/>
          <w:szCs w:val="32"/>
          <w:highlight w:val="none"/>
        </w:rPr>
      </w:pPr>
    </w:p>
    <w:p w14:paraId="7F93D681">
      <w:pPr>
        <w:snapToGrid w:val="0"/>
        <w:jc w:val="center"/>
        <w:rPr>
          <w:rFonts w:hint="eastAsia" w:ascii="宋体" w:hAnsi="宋体"/>
          <w:bCs/>
          <w:color w:val="auto"/>
          <w:sz w:val="32"/>
          <w:szCs w:val="32"/>
          <w:highlight w:val="none"/>
        </w:rPr>
      </w:pPr>
    </w:p>
    <w:p w14:paraId="2F7C2FA8">
      <w:pPr>
        <w:snapToGrid w:val="0"/>
        <w:jc w:val="center"/>
        <w:rPr>
          <w:rFonts w:hint="eastAsia" w:ascii="宋体" w:hAnsi="宋体"/>
          <w:bCs/>
          <w:color w:val="auto"/>
          <w:sz w:val="32"/>
          <w:szCs w:val="32"/>
          <w:highlight w:val="none"/>
        </w:rPr>
      </w:pPr>
    </w:p>
    <w:p w14:paraId="4D6C4A8A">
      <w:pPr>
        <w:pStyle w:val="2"/>
        <w:jc w:val="center"/>
        <w:rPr>
          <w:color w:val="auto"/>
          <w:highlight w:val="none"/>
        </w:rPr>
      </w:pPr>
      <w:bookmarkStart w:id="159" w:name="_Toc74320805"/>
      <w:r>
        <w:rPr>
          <w:rFonts w:hint="eastAsia"/>
          <w:color w:val="auto"/>
          <w:highlight w:val="none"/>
        </w:rPr>
        <w:t>第六章　投标文件格式</w:t>
      </w:r>
      <w:bookmarkEnd w:id="159"/>
    </w:p>
    <w:p w14:paraId="008A4E07">
      <w:pPr>
        <w:snapToGrid w:val="0"/>
        <w:spacing w:before="50" w:after="50"/>
        <w:outlineLvl w:val="1"/>
        <w:rPr>
          <w:rFonts w:hint="eastAsia" w:ascii="宋体" w:hAnsi="宋体"/>
          <w:color w:val="auto"/>
          <w:sz w:val="32"/>
          <w:szCs w:val="20"/>
          <w:highlight w:val="none"/>
        </w:rPr>
      </w:pPr>
    </w:p>
    <w:p w14:paraId="6C09BC54">
      <w:pPr>
        <w:snapToGrid w:val="0"/>
        <w:spacing w:before="50" w:after="50"/>
        <w:outlineLvl w:val="1"/>
        <w:rPr>
          <w:rFonts w:hint="eastAsia" w:ascii="宋体" w:hAnsi="宋体"/>
          <w:color w:val="auto"/>
          <w:sz w:val="32"/>
          <w:szCs w:val="20"/>
          <w:highlight w:val="none"/>
        </w:rPr>
      </w:pPr>
    </w:p>
    <w:p w14:paraId="115F521E">
      <w:pPr>
        <w:snapToGrid w:val="0"/>
        <w:spacing w:before="50" w:after="50"/>
        <w:outlineLvl w:val="1"/>
        <w:rPr>
          <w:rFonts w:hint="eastAsia" w:ascii="宋体" w:hAnsi="宋体"/>
          <w:color w:val="auto"/>
          <w:sz w:val="32"/>
          <w:szCs w:val="20"/>
          <w:highlight w:val="none"/>
        </w:rPr>
      </w:pPr>
    </w:p>
    <w:p w14:paraId="7546506B">
      <w:pPr>
        <w:snapToGrid w:val="0"/>
        <w:spacing w:before="50" w:after="50"/>
        <w:outlineLvl w:val="1"/>
        <w:rPr>
          <w:rFonts w:hint="eastAsia" w:ascii="宋体" w:hAnsi="宋体"/>
          <w:color w:val="auto"/>
          <w:sz w:val="32"/>
          <w:szCs w:val="20"/>
          <w:highlight w:val="none"/>
        </w:rPr>
      </w:pPr>
    </w:p>
    <w:p w14:paraId="2B05B618">
      <w:pPr>
        <w:snapToGrid w:val="0"/>
        <w:spacing w:before="50" w:after="50"/>
        <w:outlineLvl w:val="1"/>
        <w:rPr>
          <w:rFonts w:hint="eastAsia" w:ascii="宋体" w:hAnsi="宋体"/>
          <w:color w:val="auto"/>
          <w:sz w:val="32"/>
          <w:szCs w:val="20"/>
          <w:highlight w:val="none"/>
        </w:rPr>
      </w:pPr>
    </w:p>
    <w:p w14:paraId="293F06DF">
      <w:pPr>
        <w:snapToGrid w:val="0"/>
        <w:spacing w:before="50" w:after="50"/>
        <w:outlineLvl w:val="1"/>
        <w:rPr>
          <w:rFonts w:hint="eastAsia" w:ascii="宋体" w:hAnsi="宋体"/>
          <w:color w:val="auto"/>
          <w:sz w:val="32"/>
          <w:szCs w:val="20"/>
          <w:highlight w:val="none"/>
        </w:rPr>
      </w:pPr>
    </w:p>
    <w:p w14:paraId="2607739D">
      <w:pPr>
        <w:snapToGrid w:val="0"/>
        <w:spacing w:before="50" w:after="50"/>
        <w:outlineLvl w:val="1"/>
        <w:rPr>
          <w:rFonts w:hint="eastAsia" w:ascii="宋体" w:hAnsi="宋体"/>
          <w:color w:val="auto"/>
          <w:sz w:val="32"/>
          <w:szCs w:val="20"/>
          <w:highlight w:val="none"/>
        </w:rPr>
      </w:pPr>
    </w:p>
    <w:p w14:paraId="50732C5E">
      <w:pPr>
        <w:snapToGrid w:val="0"/>
        <w:spacing w:before="50" w:after="50"/>
        <w:outlineLvl w:val="1"/>
        <w:rPr>
          <w:rFonts w:hint="eastAsia" w:ascii="宋体" w:hAnsi="宋体"/>
          <w:color w:val="auto"/>
          <w:sz w:val="32"/>
          <w:szCs w:val="20"/>
          <w:highlight w:val="none"/>
        </w:rPr>
      </w:pPr>
    </w:p>
    <w:p w14:paraId="25BAB167">
      <w:pPr>
        <w:snapToGrid w:val="0"/>
        <w:spacing w:before="50" w:after="50"/>
        <w:outlineLvl w:val="1"/>
        <w:rPr>
          <w:rFonts w:hint="eastAsia" w:ascii="宋体" w:hAnsi="宋体"/>
          <w:color w:val="auto"/>
          <w:sz w:val="32"/>
          <w:szCs w:val="20"/>
          <w:highlight w:val="none"/>
        </w:rPr>
      </w:pPr>
    </w:p>
    <w:p w14:paraId="72B64EB2">
      <w:pPr>
        <w:snapToGrid w:val="0"/>
        <w:spacing w:before="50" w:after="50"/>
        <w:outlineLvl w:val="1"/>
        <w:rPr>
          <w:rFonts w:hint="eastAsia" w:ascii="宋体" w:hAnsi="宋体"/>
          <w:color w:val="auto"/>
          <w:sz w:val="32"/>
          <w:szCs w:val="20"/>
          <w:highlight w:val="none"/>
        </w:rPr>
      </w:pPr>
    </w:p>
    <w:p w14:paraId="7D4979C3">
      <w:pPr>
        <w:snapToGrid w:val="0"/>
        <w:spacing w:before="50" w:after="50"/>
        <w:outlineLvl w:val="1"/>
        <w:rPr>
          <w:rFonts w:hint="eastAsia" w:ascii="宋体" w:hAnsi="宋体"/>
          <w:color w:val="auto"/>
          <w:sz w:val="32"/>
          <w:szCs w:val="20"/>
          <w:highlight w:val="none"/>
        </w:rPr>
      </w:pPr>
    </w:p>
    <w:p w14:paraId="60303582">
      <w:pPr>
        <w:snapToGrid w:val="0"/>
        <w:spacing w:before="50" w:after="50"/>
        <w:outlineLvl w:val="1"/>
        <w:rPr>
          <w:rFonts w:hint="eastAsia" w:ascii="宋体" w:hAnsi="宋体"/>
          <w:color w:val="auto"/>
          <w:sz w:val="32"/>
          <w:szCs w:val="20"/>
          <w:highlight w:val="none"/>
        </w:rPr>
      </w:pPr>
    </w:p>
    <w:p w14:paraId="33CFA6FB">
      <w:pPr>
        <w:snapToGrid w:val="0"/>
        <w:spacing w:before="50" w:after="50"/>
        <w:outlineLvl w:val="1"/>
        <w:rPr>
          <w:rFonts w:hint="eastAsia" w:ascii="宋体" w:hAnsi="宋体"/>
          <w:color w:val="auto"/>
          <w:sz w:val="32"/>
          <w:szCs w:val="20"/>
          <w:highlight w:val="none"/>
        </w:rPr>
      </w:pPr>
    </w:p>
    <w:p w14:paraId="3439D8FF">
      <w:pPr>
        <w:snapToGrid w:val="0"/>
        <w:spacing w:before="120" w:beforeLines="50" w:after="50"/>
        <w:jc w:val="center"/>
        <w:outlineLvl w:val="1"/>
        <w:rPr>
          <w:rFonts w:hint="eastAsia" w:ascii="宋体" w:hAnsi="宋体"/>
          <w:color w:val="auto"/>
          <w:highlight w:val="none"/>
        </w:rPr>
      </w:pPr>
    </w:p>
    <w:p w14:paraId="35257D6A">
      <w:pPr>
        <w:rPr>
          <w:b/>
          <w:color w:val="auto"/>
          <w:sz w:val="28"/>
          <w:szCs w:val="28"/>
          <w:highlight w:val="none"/>
        </w:rPr>
      </w:pPr>
      <w:bookmarkStart w:id="160" w:name="_Toc19686836"/>
      <w:bookmarkStart w:id="161" w:name="_Toc254970698"/>
      <w:bookmarkStart w:id="162" w:name="_Toc254970557"/>
      <w:r>
        <w:rPr>
          <w:rFonts w:hint="eastAsia"/>
          <w:b/>
          <w:color w:val="auto"/>
          <w:sz w:val="28"/>
          <w:szCs w:val="28"/>
          <w:highlight w:val="none"/>
        </w:rPr>
        <w:t>一、报价文件格式</w:t>
      </w:r>
      <w:bookmarkEnd w:id="160"/>
    </w:p>
    <w:p w14:paraId="12AD8AFC">
      <w:pPr>
        <w:snapToGrid w:val="0"/>
        <w:spacing w:before="120" w:beforeLines="50" w:after="50" w:line="360" w:lineRule="auto"/>
        <w:ind w:left="142"/>
        <w:jc w:val="left"/>
        <w:rPr>
          <w:rFonts w:hint="eastAsia" w:ascii="宋体" w:hAnsi="宋体"/>
          <w:b/>
          <w:color w:val="auto"/>
          <w:sz w:val="24"/>
          <w:highlight w:val="none"/>
        </w:rPr>
      </w:pPr>
      <w:r>
        <w:rPr>
          <w:rFonts w:hint="eastAsia" w:ascii="宋体" w:hAnsi="宋体"/>
          <w:b/>
          <w:color w:val="auto"/>
          <w:sz w:val="24"/>
          <w:highlight w:val="none"/>
        </w:rPr>
        <w:t xml:space="preserve">1. 报价文件封面格式： </w:t>
      </w:r>
    </w:p>
    <w:p w14:paraId="2AB00383">
      <w:pPr>
        <w:snapToGrid w:val="0"/>
        <w:spacing w:before="120" w:beforeLines="50" w:after="50" w:line="360" w:lineRule="auto"/>
        <w:ind w:left="142"/>
        <w:jc w:val="center"/>
        <w:rPr>
          <w:rFonts w:hint="eastAsia"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435D62C8">
      <w:pPr>
        <w:snapToGrid w:val="0"/>
        <w:spacing w:before="120" w:beforeLines="50" w:after="50" w:line="400" w:lineRule="exact"/>
        <w:jc w:val="left"/>
        <w:rPr>
          <w:rFonts w:hint="eastAsia" w:ascii="宋体" w:hAnsi="宋体" w:eastAsia="方正小标宋简体"/>
          <w:bCs/>
          <w:color w:val="auto"/>
          <w:sz w:val="48"/>
          <w:szCs w:val="48"/>
          <w:highlight w:val="none"/>
        </w:rPr>
      </w:pPr>
    </w:p>
    <w:p w14:paraId="1AC586D3">
      <w:pPr>
        <w:snapToGrid w:val="0"/>
        <w:spacing w:before="120" w:beforeLines="50" w:after="50" w:line="4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报  价  文  件</w:t>
      </w:r>
    </w:p>
    <w:p w14:paraId="6CF7CBF4">
      <w:pPr>
        <w:snapToGrid w:val="0"/>
        <w:spacing w:before="120" w:beforeLines="50" w:after="50" w:line="400" w:lineRule="exact"/>
        <w:rPr>
          <w:rFonts w:hint="eastAsia" w:ascii="宋体" w:hAnsi="宋体"/>
          <w:bCs/>
          <w:color w:val="auto"/>
          <w:sz w:val="24"/>
          <w:szCs w:val="20"/>
          <w:highlight w:val="none"/>
        </w:rPr>
      </w:pPr>
    </w:p>
    <w:p w14:paraId="6541D449">
      <w:pPr>
        <w:snapToGrid w:val="0"/>
        <w:spacing w:before="120" w:beforeLines="50" w:after="50" w:line="400" w:lineRule="exact"/>
        <w:rPr>
          <w:rFonts w:hint="eastAsia" w:ascii="宋体" w:hAnsi="宋体"/>
          <w:bCs/>
          <w:color w:val="auto"/>
          <w:sz w:val="24"/>
          <w:szCs w:val="20"/>
          <w:highlight w:val="none"/>
        </w:rPr>
      </w:pPr>
    </w:p>
    <w:p w14:paraId="23A86976">
      <w:pPr>
        <w:snapToGrid w:val="0"/>
        <w:spacing w:before="120" w:beforeLines="50" w:after="50" w:line="400" w:lineRule="exact"/>
        <w:rPr>
          <w:rFonts w:hint="eastAsia" w:ascii="宋体" w:hAnsi="宋体"/>
          <w:bCs/>
          <w:color w:val="auto"/>
          <w:sz w:val="24"/>
          <w:szCs w:val="20"/>
          <w:highlight w:val="none"/>
        </w:rPr>
      </w:pPr>
    </w:p>
    <w:p w14:paraId="15BE30FE">
      <w:pPr>
        <w:snapToGrid w:val="0"/>
        <w:spacing w:before="120" w:beforeLines="50" w:after="50" w:line="400" w:lineRule="exact"/>
        <w:rPr>
          <w:rFonts w:hint="eastAsia" w:ascii="宋体" w:hAnsi="宋体"/>
          <w:bCs/>
          <w:color w:val="auto"/>
          <w:sz w:val="24"/>
          <w:szCs w:val="20"/>
          <w:highlight w:val="none"/>
        </w:rPr>
      </w:pPr>
    </w:p>
    <w:p w14:paraId="6039C646">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项目名称： </w:t>
      </w:r>
    </w:p>
    <w:p w14:paraId="66399C27">
      <w:pPr>
        <w:snapToGrid w:val="0"/>
        <w:spacing w:before="120" w:beforeLines="50" w:after="50" w:line="400" w:lineRule="exact"/>
        <w:ind w:firstLine="360" w:firstLineChars="150"/>
        <w:rPr>
          <w:rFonts w:hint="eastAsia" w:ascii="宋体" w:hAnsi="宋体"/>
          <w:bCs/>
          <w:color w:val="auto"/>
          <w:sz w:val="24"/>
          <w:highlight w:val="none"/>
        </w:rPr>
      </w:pPr>
    </w:p>
    <w:p w14:paraId="6A041898">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3651D3C5">
      <w:pPr>
        <w:snapToGrid w:val="0"/>
        <w:spacing w:before="120" w:beforeLines="50" w:after="50" w:line="400" w:lineRule="exact"/>
        <w:ind w:firstLine="360" w:firstLineChars="150"/>
        <w:rPr>
          <w:rFonts w:hint="eastAsia" w:ascii="宋体" w:hAnsi="宋体"/>
          <w:bCs/>
          <w:color w:val="auto"/>
          <w:sz w:val="24"/>
          <w:highlight w:val="none"/>
        </w:rPr>
      </w:pPr>
    </w:p>
    <w:p w14:paraId="628D714D">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325861DE">
      <w:pPr>
        <w:snapToGrid w:val="0"/>
        <w:spacing w:before="120" w:beforeLines="50" w:after="50" w:line="400" w:lineRule="exact"/>
        <w:ind w:firstLine="360" w:firstLineChars="150"/>
        <w:rPr>
          <w:rFonts w:hint="eastAsia" w:ascii="宋体" w:hAnsi="宋体"/>
          <w:bCs/>
          <w:color w:val="auto"/>
          <w:sz w:val="24"/>
          <w:highlight w:val="none"/>
        </w:rPr>
      </w:pPr>
    </w:p>
    <w:p w14:paraId="6AEBBADA">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7C4BBDE8">
      <w:pPr>
        <w:snapToGrid w:val="0"/>
        <w:spacing w:before="120" w:beforeLines="50" w:after="50" w:line="400" w:lineRule="exact"/>
        <w:ind w:firstLine="360" w:firstLineChars="150"/>
        <w:rPr>
          <w:rFonts w:hint="eastAsia" w:ascii="宋体" w:hAnsi="宋体"/>
          <w:bCs/>
          <w:color w:val="auto"/>
          <w:sz w:val="24"/>
          <w:highlight w:val="none"/>
        </w:rPr>
      </w:pPr>
    </w:p>
    <w:p w14:paraId="3A45ABBA">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0159AE11">
      <w:pPr>
        <w:pStyle w:val="6"/>
        <w:snapToGrid w:val="0"/>
        <w:spacing w:before="50" w:after="50" w:line="400" w:lineRule="exact"/>
        <w:ind w:firstLine="960" w:firstLineChars="400"/>
        <w:rPr>
          <w:rFonts w:hint="eastAsia" w:ascii="宋体" w:hAnsi="宋体"/>
          <w:bCs/>
          <w:color w:val="auto"/>
          <w:sz w:val="24"/>
          <w:szCs w:val="24"/>
          <w:highlight w:val="none"/>
        </w:rPr>
      </w:pPr>
    </w:p>
    <w:p w14:paraId="08F618F2">
      <w:pPr>
        <w:snapToGrid w:val="0"/>
        <w:spacing w:before="120" w:beforeLines="50" w:after="50" w:line="400" w:lineRule="exact"/>
        <w:rPr>
          <w:rFonts w:hint="eastAsia" w:ascii="宋体" w:hAnsi="宋体"/>
          <w:color w:val="auto"/>
          <w:sz w:val="30"/>
          <w:szCs w:val="20"/>
          <w:highlight w:val="none"/>
        </w:rPr>
      </w:pPr>
      <w:r>
        <w:rPr>
          <w:rFonts w:hint="eastAsia" w:ascii="宋体" w:hAnsi="宋体"/>
          <w:color w:val="auto"/>
          <w:sz w:val="24"/>
          <w:highlight w:val="none"/>
        </w:rPr>
        <w:t xml:space="preserve">                                   年  月  日</w:t>
      </w:r>
    </w:p>
    <w:p w14:paraId="65E465DC">
      <w:pPr>
        <w:snapToGrid w:val="0"/>
        <w:spacing w:before="120" w:beforeLines="50" w:after="50" w:line="360" w:lineRule="auto"/>
        <w:jc w:val="left"/>
        <w:rPr>
          <w:rFonts w:hint="eastAsia"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7A9BFDFF">
      <w:pPr>
        <w:snapToGrid w:val="0"/>
        <w:spacing w:before="50" w:after="120" w:afterLines="50" w:line="360" w:lineRule="auto"/>
        <w:jc w:val="left"/>
        <w:rPr>
          <w:rFonts w:hint="eastAsia"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031D4CD7">
      <w:pPr>
        <w:snapToGrid w:val="0"/>
        <w:spacing w:before="120" w:beforeLines="50" w:after="50"/>
        <w:rPr>
          <w:rFonts w:hint="eastAsia" w:ascii="宋体" w:hAnsi="宋体"/>
          <w:b/>
          <w:color w:val="auto"/>
          <w:sz w:val="24"/>
          <w:highlight w:val="none"/>
        </w:rPr>
      </w:pPr>
    </w:p>
    <w:p w14:paraId="2731FBCB">
      <w:pPr>
        <w:snapToGrid w:val="0"/>
        <w:spacing w:before="120" w:beforeLines="50" w:after="50"/>
        <w:rPr>
          <w:rFonts w:hint="eastAsia" w:ascii="宋体" w:hAnsi="宋体"/>
          <w:b/>
          <w:color w:val="auto"/>
          <w:sz w:val="24"/>
          <w:highlight w:val="none"/>
        </w:rPr>
      </w:pPr>
    </w:p>
    <w:p w14:paraId="3C94B134">
      <w:pPr>
        <w:snapToGrid w:val="0"/>
        <w:spacing w:before="120" w:beforeLines="50" w:after="50"/>
        <w:rPr>
          <w:rFonts w:hint="eastAsia" w:ascii="宋体" w:hAnsi="宋体"/>
          <w:b/>
          <w:color w:val="auto"/>
          <w:sz w:val="24"/>
          <w:highlight w:val="none"/>
        </w:rPr>
      </w:pPr>
    </w:p>
    <w:p w14:paraId="252FB3F4">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3C69FCBE">
      <w:pPr>
        <w:snapToGrid w:val="0"/>
        <w:spacing w:before="120" w:beforeLines="50" w:after="50" w:line="360" w:lineRule="auto"/>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 标 函</w:t>
      </w:r>
    </w:p>
    <w:p w14:paraId="45E8C82E">
      <w:pPr>
        <w:snapToGrid w:val="0"/>
        <w:spacing w:before="120" w:beforeLines="50" w:after="50" w:line="320" w:lineRule="exact"/>
        <w:rPr>
          <w:rFonts w:hint="eastAsia" w:ascii="宋体" w:hAnsi="宋体"/>
          <w:b/>
          <w:color w:val="auto"/>
          <w:sz w:val="32"/>
          <w:szCs w:val="32"/>
          <w:highlight w:val="none"/>
        </w:rPr>
      </w:pPr>
    </w:p>
    <w:p w14:paraId="5174FA86">
      <w:pPr>
        <w:spacing w:line="360" w:lineRule="auto"/>
        <w:contextualSpacing/>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6392FF6C">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）的招标文件，签字代表______</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（投标人名称）提交投标文件。</w:t>
      </w:r>
    </w:p>
    <w:p w14:paraId="5572C58B">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据此函，我方宣布同意如下：</w:t>
      </w:r>
    </w:p>
    <w:p w14:paraId="418B6C82">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263D6C9F">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18A3ACE1">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3.本投标有效期自投标截止之日起</w:t>
      </w:r>
      <w:r>
        <w:rPr>
          <w:rFonts w:hint="eastAsia" w:ascii="宋体" w:hAnsi="宋体"/>
          <w:color w:val="auto"/>
          <w:sz w:val="24"/>
          <w:highlight w:val="none"/>
          <w:u w:val="single"/>
        </w:rPr>
        <w:t>120</w:t>
      </w:r>
      <w:r>
        <w:rPr>
          <w:rFonts w:hint="eastAsia" w:ascii="宋体" w:hAnsi="宋体"/>
          <w:color w:val="auto"/>
          <w:sz w:val="24"/>
          <w:highlight w:val="none"/>
        </w:rPr>
        <w:t>日。</w:t>
      </w:r>
    </w:p>
    <w:p w14:paraId="0BA79BD8">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06C9018B">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265A44CA">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47294364">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1283D5A6">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5E361BFA">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648E6207">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3986B19">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9.与本项目有关的一切正式往来信函请寄：</w:t>
      </w:r>
    </w:p>
    <w:p w14:paraId="1D76BB62">
      <w:pPr>
        <w:spacing w:line="360" w:lineRule="auto"/>
        <w:ind w:firstLine="480" w:firstLineChars="200"/>
        <w:contextualSpacing/>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537C5F0B">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u w:val="single"/>
        </w:rPr>
        <w:t xml:space="preserve">        </w:t>
      </w: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电子邮箱：</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74DBA718">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p>
    <w:p w14:paraId="6CB35D16">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银行账号：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355976E5">
      <w:pPr>
        <w:pStyle w:val="17"/>
        <w:rPr>
          <w:color w:val="auto"/>
          <w:highlight w:val="none"/>
        </w:rPr>
      </w:pPr>
    </w:p>
    <w:p w14:paraId="3E92E1CA">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法定代表人或者委托代理人（签字或者电子签名）：_______ </w:t>
      </w:r>
    </w:p>
    <w:p w14:paraId="1FBECE0C">
      <w:pPr>
        <w:pStyle w:val="24"/>
        <w:spacing w:line="360" w:lineRule="auto"/>
        <w:contextualSpacing/>
        <w:jc w:val="center"/>
        <w:rPr>
          <w:rFonts w:hint="eastAsia"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投标人名称（电子签章）：</w:t>
      </w:r>
    </w:p>
    <w:p w14:paraId="557D7B2B">
      <w:pPr>
        <w:pStyle w:val="24"/>
        <w:spacing w:line="360" w:lineRule="auto"/>
        <w:contextualSpacing/>
        <w:rPr>
          <w:rFonts w:hint="eastAsia"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35B6CC20">
      <w:pPr>
        <w:snapToGrid w:val="0"/>
        <w:spacing w:before="120" w:beforeLines="50" w:after="50"/>
        <w:jc w:val="left"/>
        <w:rPr>
          <w:rFonts w:hint="eastAsia" w:ascii="宋体" w:hAnsi="宋体"/>
          <w:b/>
          <w:color w:val="auto"/>
          <w:sz w:val="24"/>
          <w:szCs w:val="20"/>
          <w:highlight w:val="none"/>
        </w:rPr>
      </w:pPr>
      <w:r>
        <w:rPr>
          <w:rFonts w:hAnsi="宋体"/>
          <w:color w:val="auto"/>
          <w:highlight w:val="none"/>
          <w:u w:val="single"/>
        </w:rPr>
        <w:br w:type="page"/>
      </w:r>
      <w:r>
        <w:rPr>
          <w:rFonts w:hint="eastAsia" w:ascii="宋体" w:hAnsi="宋体"/>
          <w:b/>
          <w:color w:val="auto"/>
          <w:sz w:val="24"/>
          <w:highlight w:val="none"/>
        </w:rPr>
        <w:t>4. 开标一览表（货物类格式）</w:t>
      </w:r>
    </w:p>
    <w:p w14:paraId="600F2A25">
      <w:pPr>
        <w:snapToGrid w:val="0"/>
        <w:spacing w:before="50" w:after="50"/>
        <w:jc w:val="center"/>
        <w:rPr>
          <w:rFonts w:hint="eastAsia" w:ascii="宋体" w:hAnsi="宋体"/>
          <w:b/>
          <w:color w:val="auto"/>
          <w:sz w:val="30"/>
          <w:highlight w:val="none"/>
        </w:rPr>
      </w:pPr>
      <w:r>
        <w:rPr>
          <w:rFonts w:hint="eastAsia" w:ascii="宋体" w:hAnsi="宋体"/>
          <w:b/>
          <w:color w:val="auto"/>
          <w:sz w:val="30"/>
          <w:highlight w:val="none"/>
        </w:rPr>
        <w:t>开标一览表</w:t>
      </w:r>
    </w:p>
    <w:p w14:paraId="24BFB57F">
      <w:pPr>
        <w:snapToGrid w:val="0"/>
        <w:spacing w:before="50" w:after="50"/>
        <w:jc w:val="center"/>
        <w:rPr>
          <w:rFonts w:hint="eastAsia" w:ascii="宋体" w:hAnsi="宋体"/>
          <w:b/>
          <w:color w:val="auto"/>
          <w:sz w:val="30"/>
          <w:szCs w:val="20"/>
          <w:highlight w:val="none"/>
        </w:rPr>
      </w:pPr>
    </w:p>
    <w:p w14:paraId="1B415351">
      <w:pPr>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14:paraId="7260FC0F">
      <w:pPr>
        <w:snapToGrid w:val="0"/>
        <w:spacing w:before="50" w:after="50" w:line="360" w:lineRule="auto"/>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单位：元</w:t>
      </w:r>
    </w:p>
    <w:tbl>
      <w:tblPr>
        <w:tblStyle w:val="46"/>
        <w:tblW w:w="85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8"/>
        <w:gridCol w:w="1095"/>
        <w:gridCol w:w="1556"/>
        <w:gridCol w:w="825"/>
        <w:gridCol w:w="1204"/>
        <w:gridCol w:w="991"/>
        <w:gridCol w:w="824"/>
        <w:gridCol w:w="235"/>
        <w:gridCol w:w="1095"/>
      </w:tblGrid>
      <w:tr w14:paraId="6D5C25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109F610A">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序号</w:t>
            </w:r>
          </w:p>
        </w:tc>
        <w:tc>
          <w:tcPr>
            <w:tcW w:w="1095" w:type="dxa"/>
            <w:tcBorders>
              <w:top w:val="single" w:color="auto" w:sz="4" w:space="0"/>
              <w:left w:val="single" w:color="auto" w:sz="4" w:space="0"/>
              <w:bottom w:val="single" w:color="auto" w:sz="4" w:space="0"/>
              <w:right w:val="single" w:color="auto" w:sz="4" w:space="0"/>
            </w:tcBorders>
            <w:vAlign w:val="center"/>
          </w:tcPr>
          <w:p w14:paraId="12B7A8AF">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标的的名称</w:t>
            </w:r>
          </w:p>
        </w:tc>
        <w:tc>
          <w:tcPr>
            <w:tcW w:w="1556" w:type="dxa"/>
            <w:tcBorders>
              <w:top w:val="single" w:color="auto" w:sz="4" w:space="0"/>
              <w:left w:val="single" w:color="auto" w:sz="4" w:space="0"/>
              <w:bottom w:val="single" w:color="auto" w:sz="4" w:space="0"/>
              <w:right w:val="single" w:color="auto" w:sz="4" w:space="0"/>
            </w:tcBorders>
            <w:vAlign w:val="center"/>
          </w:tcPr>
          <w:p w14:paraId="05451C08">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lang w:val="en-US" w:eastAsia="zh-CN"/>
              </w:rPr>
              <w:t>医疗器械注册证（备案信息表）产品名称（如有）</w:t>
            </w:r>
          </w:p>
        </w:tc>
        <w:tc>
          <w:tcPr>
            <w:tcW w:w="825" w:type="dxa"/>
            <w:tcBorders>
              <w:top w:val="single" w:color="auto" w:sz="4" w:space="0"/>
              <w:left w:val="single" w:color="auto" w:sz="4" w:space="0"/>
              <w:bottom w:val="single" w:color="auto" w:sz="4" w:space="0"/>
              <w:right w:val="single" w:color="auto" w:sz="4" w:space="0"/>
            </w:tcBorders>
            <w:vAlign w:val="center"/>
          </w:tcPr>
          <w:p w14:paraId="542FC804">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品牌</w:t>
            </w:r>
          </w:p>
        </w:tc>
        <w:tc>
          <w:tcPr>
            <w:tcW w:w="1204" w:type="dxa"/>
            <w:tcBorders>
              <w:top w:val="single" w:color="auto" w:sz="4" w:space="0"/>
              <w:left w:val="single" w:color="auto" w:sz="4" w:space="0"/>
              <w:bottom w:val="single" w:color="auto" w:sz="4" w:space="0"/>
              <w:right w:val="single" w:color="auto" w:sz="4" w:space="0"/>
            </w:tcBorders>
            <w:vAlign w:val="center"/>
          </w:tcPr>
          <w:p w14:paraId="78FB2B0B">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规格型号</w:t>
            </w:r>
          </w:p>
        </w:tc>
        <w:tc>
          <w:tcPr>
            <w:tcW w:w="991" w:type="dxa"/>
            <w:tcBorders>
              <w:top w:val="single" w:color="auto" w:sz="4" w:space="0"/>
              <w:left w:val="single" w:color="auto" w:sz="4" w:space="0"/>
              <w:bottom w:val="single" w:color="auto" w:sz="4" w:space="0"/>
              <w:right w:val="single" w:color="auto" w:sz="4" w:space="0"/>
            </w:tcBorders>
            <w:vAlign w:val="center"/>
          </w:tcPr>
          <w:p w14:paraId="1FFF23F3">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数量及单位①</w:t>
            </w:r>
          </w:p>
        </w:tc>
        <w:tc>
          <w:tcPr>
            <w:tcW w:w="824" w:type="dxa"/>
            <w:tcBorders>
              <w:top w:val="single" w:color="auto" w:sz="4" w:space="0"/>
              <w:left w:val="single" w:color="auto" w:sz="4" w:space="0"/>
              <w:bottom w:val="single" w:color="auto" w:sz="4" w:space="0"/>
              <w:right w:val="single" w:color="auto" w:sz="4" w:space="0"/>
            </w:tcBorders>
            <w:vAlign w:val="center"/>
          </w:tcPr>
          <w:p w14:paraId="0072E3C5">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单价</w:t>
            </w:r>
          </w:p>
          <w:p w14:paraId="38DDB2E8">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②</w:t>
            </w:r>
          </w:p>
        </w:tc>
        <w:tc>
          <w:tcPr>
            <w:tcW w:w="1330" w:type="dxa"/>
            <w:gridSpan w:val="2"/>
            <w:tcBorders>
              <w:top w:val="single" w:color="auto" w:sz="4" w:space="0"/>
              <w:left w:val="single" w:color="auto" w:sz="4" w:space="0"/>
              <w:bottom w:val="single" w:color="auto" w:sz="4" w:space="0"/>
              <w:right w:val="single" w:color="auto" w:sz="4" w:space="0"/>
            </w:tcBorders>
            <w:vAlign w:val="center"/>
          </w:tcPr>
          <w:p w14:paraId="5F7B0853">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投标报价</w:t>
            </w:r>
          </w:p>
          <w:p w14:paraId="1B5B542D">
            <w:pPr>
              <w:snapToGrid w:val="0"/>
              <w:spacing w:before="50" w:after="50" w:line="360" w:lineRule="auto"/>
              <w:jc w:val="center"/>
              <w:rPr>
                <w:rFonts w:hint="eastAsia" w:ascii="宋体" w:hAnsi="宋体"/>
                <w:b/>
                <w:color w:val="auto"/>
                <w:sz w:val="24"/>
                <w:highlight w:val="none"/>
              </w:rPr>
            </w:pPr>
            <w:r>
              <w:rPr>
                <w:rFonts w:ascii="宋体" w:hAnsi="宋体"/>
                <w:b/>
                <w:color w:val="auto"/>
                <w:sz w:val="24"/>
                <w:highlight w:val="none"/>
              </w:rPr>
              <w:t>③</w:t>
            </w:r>
            <w:r>
              <w:rPr>
                <w:rFonts w:hint="eastAsia" w:ascii="宋体" w:hAnsi="宋体"/>
                <w:b/>
                <w:color w:val="auto"/>
                <w:sz w:val="24"/>
                <w:highlight w:val="none"/>
              </w:rPr>
              <w:t>=①×②</w:t>
            </w:r>
          </w:p>
        </w:tc>
      </w:tr>
      <w:tr w14:paraId="5BD01C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14F8BD7A">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1</w:t>
            </w:r>
          </w:p>
        </w:tc>
        <w:tc>
          <w:tcPr>
            <w:tcW w:w="1095" w:type="dxa"/>
            <w:tcBorders>
              <w:top w:val="single" w:color="auto" w:sz="4" w:space="0"/>
              <w:left w:val="single" w:color="auto" w:sz="4" w:space="0"/>
              <w:bottom w:val="single" w:color="auto" w:sz="4" w:space="0"/>
              <w:right w:val="single" w:color="auto" w:sz="4" w:space="0"/>
            </w:tcBorders>
            <w:vAlign w:val="center"/>
          </w:tcPr>
          <w:p w14:paraId="384F0D24">
            <w:pPr>
              <w:snapToGrid w:val="0"/>
              <w:spacing w:before="50" w:after="50" w:line="360" w:lineRule="auto"/>
              <w:jc w:val="center"/>
              <w:rPr>
                <w:rFonts w:hint="eastAsia" w:ascii="宋体" w:hAnsi="宋体"/>
                <w:b/>
                <w:color w:val="auto"/>
                <w:sz w:val="24"/>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4666C785">
            <w:pPr>
              <w:snapToGrid w:val="0"/>
              <w:spacing w:before="50" w:after="50" w:line="360" w:lineRule="auto"/>
              <w:jc w:val="center"/>
              <w:rPr>
                <w:rFonts w:hint="eastAsia" w:ascii="宋体" w:hAnsi="宋体"/>
                <w:b/>
                <w:color w:val="auto"/>
                <w:sz w:val="24"/>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14:paraId="5EB380EA">
            <w:pPr>
              <w:snapToGrid w:val="0"/>
              <w:spacing w:before="50" w:after="50" w:line="360" w:lineRule="auto"/>
              <w:rPr>
                <w:rFonts w:hint="eastAsia" w:ascii="宋体" w:hAnsi="宋体"/>
                <w:color w:val="auto"/>
                <w:sz w:val="24"/>
                <w:highlight w:val="none"/>
              </w:rPr>
            </w:pPr>
          </w:p>
        </w:tc>
        <w:tc>
          <w:tcPr>
            <w:tcW w:w="1204" w:type="dxa"/>
            <w:tcBorders>
              <w:top w:val="single" w:color="auto" w:sz="4" w:space="0"/>
              <w:left w:val="single" w:color="auto" w:sz="4" w:space="0"/>
              <w:bottom w:val="single" w:color="auto" w:sz="4" w:space="0"/>
              <w:right w:val="single" w:color="auto" w:sz="4" w:space="0"/>
            </w:tcBorders>
            <w:vAlign w:val="center"/>
          </w:tcPr>
          <w:p w14:paraId="68E8B305">
            <w:pPr>
              <w:snapToGrid w:val="0"/>
              <w:spacing w:before="50" w:after="50" w:line="360" w:lineRule="auto"/>
              <w:rPr>
                <w:rFonts w:hint="eastAsia" w:ascii="宋体" w:hAnsi="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6CECCF0E">
            <w:pPr>
              <w:snapToGrid w:val="0"/>
              <w:spacing w:before="50" w:after="50" w:line="360" w:lineRule="auto"/>
              <w:rPr>
                <w:rFonts w:hint="eastAsia" w:ascii="宋体" w:hAnsi="宋体"/>
                <w:color w:val="auto"/>
                <w:sz w:val="24"/>
                <w:highlight w:val="none"/>
              </w:rPr>
            </w:pPr>
          </w:p>
        </w:tc>
        <w:tc>
          <w:tcPr>
            <w:tcW w:w="824" w:type="dxa"/>
            <w:tcBorders>
              <w:top w:val="single" w:color="auto" w:sz="4" w:space="0"/>
              <w:left w:val="single" w:color="auto" w:sz="4" w:space="0"/>
              <w:bottom w:val="single" w:color="auto" w:sz="4" w:space="0"/>
              <w:right w:val="single" w:color="auto" w:sz="4" w:space="0"/>
            </w:tcBorders>
            <w:vAlign w:val="center"/>
          </w:tcPr>
          <w:p w14:paraId="12CC180E">
            <w:pPr>
              <w:snapToGrid w:val="0"/>
              <w:spacing w:before="50" w:after="50" w:line="360" w:lineRule="auto"/>
              <w:rPr>
                <w:rFonts w:hint="eastAsia" w:ascii="宋体" w:hAnsi="宋体"/>
                <w:color w:val="auto"/>
                <w:sz w:val="24"/>
                <w:highlight w:val="none"/>
              </w:rPr>
            </w:pPr>
          </w:p>
        </w:tc>
        <w:tc>
          <w:tcPr>
            <w:tcW w:w="1330" w:type="dxa"/>
            <w:gridSpan w:val="2"/>
            <w:tcBorders>
              <w:top w:val="single" w:color="auto" w:sz="4" w:space="0"/>
              <w:left w:val="single" w:color="auto" w:sz="4" w:space="0"/>
              <w:bottom w:val="single" w:color="auto" w:sz="4" w:space="0"/>
              <w:right w:val="single" w:color="auto" w:sz="4" w:space="0"/>
            </w:tcBorders>
            <w:vAlign w:val="center"/>
          </w:tcPr>
          <w:p w14:paraId="7E42210B">
            <w:pPr>
              <w:snapToGrid w:val="0"/>
              <w:spacing w:before="50" w:after="50" w:line="360" w:lineRule="auto"/>
              <w:rPr>
                <w:rFonts w:hint="eastAsia" w:ascii="宋体" w:hAnsi="宋体"/>
                <w:color w:val="auto"/>
                <w:sz w:val="24"/>
                <w:highlight w:val="none"/>
              </w:rPr>
            </w:pPr>
          </w:p>
        </w:tc>
      </w:tr>
      <w:tr w14:paraId="573021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3C6BE4C1">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2</w:t>
            </w:r>
          </w:p>
        </w:tc>
        <w:tc>
          <w:tcPr>
            <w:tcW w:w="1095" w:type="dxa"/>
            <w:tcBorders>
              <w:top w:val="single" w:color="auto" w:sz="4" w:space="0"/>
              <w:left w:val="single" w:color="auto" w:sz="4" w:space="0"/>
              <w:bottom w:val="single" w:color="auto" w:sz="4" w:space="0"/>
              <w:right w:val="single" w:color="auto" w:sz="4" w:space="0"/>
            </w:tcBorders>
            <w:vAlign w:val="center"/>
          </w:tcPr>
          <w:p w14:paraId="58C2E0B5">
            <w:pPr>
              <w:snapToGrid w:val="0"/>
              <w:spacing w:before="50" w:after="50" w:line="360" w:lineRule="auto"/>
              <w:jc w:val="center"/>
              <w:rPr>
                <w:rFonts w:hint="eastAsia" w:ascii="宋体" w:hAnsi="宋体"/>
                <w:b/>
                <w:color w:val="auto"/>
                <w:sz w:val="24"/>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12343F5E">
            <w:pPr>
              <w:snapToGrid w:val="0"/>
              <w:spacing w:before="50" w:after="50" w:line="360" w:lineRule="auto"/>
              <w:jc w:val="center"/>
              <w:rPr>
                <w:rFonts w:hint="eastAsia" w:ascii="宋体" w:hAnsi="宋体"/>
                <w:b/>
                <w:color w:val="auto"/>
                <w:sz w:val="24"/>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14:paraId="2F28C70B">
            <w:pPr>
              <w:snapToGrid w:val="0"/>
              <w:spacing w:before="50" w:after="50" w:line="360" w:lineRule="auto"/>
              <w:rPr>
                <w:rFonts w:hint="eastAsia" w:ascii="宋体" w:hAnsi="宋体"/>
                <w:color w:val="auto"/>
                <w:sz w:val="24"/>
                <w:highlight w:val="none"/>
              </w:rPr>
            </w:pPr>
          </w:p>
        </w:tc>
        <w:tc>
          <w:tcPr>
            <w:tcW w:w="1204" w:type="dxa"/>
            <w:tcBorders>
              <w:top w:val="single" w:color="auto" w:sz="4" w:space="0"/>
              <w:left w:val="single" w:color="auto" w:sz="4" w:space="0"/>
              <w:bottom w:val="single" w:color="auto" w:sz="4" w:space="0"/>
              <w:right w:val="single" w:color="auto" w:sz="4" w:space="0"/>
            </w:tcBorders>
            <w:vAlign w:val="center"/>
          </w:tcPr>
          <w:p w14:paraId="39374124">
            <w:pPr>
              <w:snapToGrid w:val="0"/>
              <w:spacing w:before="50" w:after="50" w:line="360" w:lineRule="auto"/>
              <w:rPr>
                <w:rFonts w:hint="eastAsia" w:ascii="宋体" w:hAnsi="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70CF1EAC">
            <w:pPr>
              <w:snapToGrid w:val="0"/>
              <w:spacing w:before="50" w:after="50" w:line="360" w:lineRule="auto"/>
              <w:rPr>
                <w:rFonts w:hint="eastAsia" w:ascii="宋体" w:hAnsi="宋体"/>
                <w:color w:val="auto"/>
                <w:sz w:val="24"/>
                <w:highlight w:val="none"/>
              </w:rPr>
            </w:pPr>
          </w:p>
        </w:tc>
        <w:tc>
          <w:tcPr>
            <w:tcW w:w="824" w:type="dxa"/>
            <w:tcBorders>
              <w:top w:val="single" w:color="auto" w:sz="4" w:space="0"/>
              <w:left w:val="single" w:color="auto" w:sz="4" w:space="0"/>
              <w:bottom w:val="single" w:color="auto" w:sz="4" w:space="0"/>
              <w:right w:val="single" w:color="auto" w:sz="4" w:space="0"/>
            </w:tcBorders>
            <w:vAlign w:val="center"/>
          </w:tcPr>
          <w:p w14:paraId="4431D682">
            <w:pPr>
              <w:snapToGrid w:val="0"/>
              <w:spacing w:before="50" w:after="50" w:line="360" w:lineRule="auto"/>
              <w:rPr>
                <w:rFonts w:hint="eastAsia" w:ascii="宋体" w:hAnsi="宋体"/>
                <w:color w:val="auto"/>
                <w:sz w:val="24"/>
                <w:highlight w:val="none"/>
              </w:rPr>
            </w:pPr>
          </w:p>
        </w:tc>
        <w:tc>
          <w:tcPr>
            <w:tcW w:w="1330" w:type="dxa"/>
            <w:gridSpan w:val="2"/>
            <w:tcBorders>
              <w:top w:val="single" w:color="auto" w:sz="4" w:space="0"/>
              <w:left w:val="single" w:color="auto" w:sz="4" w:space="0"/>
              <w:bottom w:val="single" w:color="auto" w:sz="4" w:space="0"/>
              <w:right w:val="single" w:color="auto" w:sz="4" w:space="0"/>
            </w:tcBorders>
            <w:vAlign w:val="center"/>
          </w:tcPr>
          <w:p w14:paraId="1B2C54E3">
            <w:pPr>
              <w:snapToGrid w:val="0"/>
              <w:spacing w:before="50" w:after="50" w:line="360" w:lineRule="auto"/>
              <w:rPr>
                <w:rFonts w:hint="eastAsia" w:ascii="宋体" w:hAnsi="宋体"/>
                <w:color w:val="auto"/>
                <w:sz w:val="24"/>
                <w:highlight w:val="none"/>
              </w:rPr>
            </w:pPr>
          </w:p>
        </w:tc>
      </w:tr>
      <w:tr w14:paraId="6FE483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14A192D3">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w:t>
            </w:r>
          </w:p>
        </w:tc>
        <w:tc>
          <w:tcPr>
            <w:tcW w:w="1095" w:type="dxa"/>
            <w:tcBorders>
              <w:top w:val="single" w:color="auto" w:sz="4" w:space="0"/>
              <w:left w:val="single" w:color="auto" w:sz="4" w:space="0"/>
              <w:bottom w:val="single" w:color="auto" w:sz="4" w:space="0"/>
              <w:right w:val="single" w:color="auto" w:sz="4" w:space="0"/>
            </w:tcBorders>
            <w:vAlign w:val="center"/>
          </w:tcPr>
          <w:p w14:paraId="7E0EF4EA">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w:t>
            </w:r>
          </w:p>
        </w:tc>
        <w:tc>
          <w:tcPr>
            <w:tcW w:w="1556" w:type="dxa"/>
            <w:tcBorders>
              <w:top w:val="single" w:color="auto" w:sz="4" w:space="0"/>
              <w:left w:val="single" w:color="auto" w:sz="4" w:space="0"/>
              <w:bottom w:val="single" w:color="auto" w:sz="4" w:space="0"/>
              <w:right w:val="single" w:color="auto" w:sz="4" w:space="0"/>
            </w:tcBorders>
            <w:vAlign w:val="center"/>
          </w:tcPr>
          <w:p w14:paraId="11609DA2">
            <w:pPr>
              <w:snapToGrid w:val="0"/>
              <w:spacing w:before="50" w:after="50" w:line="360" w:lineRule="auto"/>
              <w:jc w:val="center"/>
              <w:rPr>
                <w:rFonts w:hint="eastAsia" w:ascii="宋体" w:hAnsi="宋体"/>
                <w:b/>
                <w:color w:val="auto"/>
                <w:sz w:val="24"/>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14:paraId="6ECB4370">
            <w:pPr>
              <w:snapToGrid w:val="0"/>
              <w:spacing w:before="50" w:after="50" w:line="360" w:lineRule="auto"/>
              <w:rPr>
                <w:rFonts w:hint="eastAsia" w:ascii="宋体" w:hAnsi="宋体"/>
                <w:color w:val="auto"/>
                <w:sz w:val="24"/>
                <w:highlight w:val="none"/>
              </w:rPr>
            </w:pPr>
          </w:p>
        </w:tc>
        <w:tc>
          <w:tcPr>
            <w:tcW w:w="1204" w:type="dxa"/>
            <w:tcBorders>
              <w:top w:val="single" w:color="auto" w:sz="4" w:space="0"/>
              <w:left w:val="single" w:color="auto" w:sz="4" w:space="0"/>
              <w:bottom w:val="single" w:color="auto" w:sz="4" w:space="0"/>
              <w:right w:val="single" w:color="auto" w:sz="4" w:space="0"/>
            </w:tcBorders>
            <w:vAlign w:val="center"/>
          </w:tcPr>
          <w:p w14:paraId="08322555">
            <w:pPr>
              <w:snapToGrid w:val="0"/>
              <w:spacing w:before="50" w:after="50" w:line="360" w:lineRule="auto"/>
              <w:rPr>
                <w:rFonts w:hint="eastAsia" w:ascii="宋体" w:hAnsi="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5EB6BEF1">
            <w:pPr>
              <w:snapToGrid w:val="0"/>
              <w:spacing w:before="50" w:after="50" w:line="360" w:lineRule="auto"/>
              <w:rPr>
                <w:rFonts w:hint="eastAsia" w:ascii="宋体" w:hAnsi="宋体"/>
                <w:color w:val="auto"/>
                <w:sz w:val="24"/>
                <w:highlight w:val="none"/>
              </w:rPr>
            </w:pPr>
          </w:p>
        </w:tc>
        <w:tc>
          <w:tcPr>
            <w:tcW w:w="824" w:type="dxa"/>
            <w:tcBorders>
              <w:top w:val="single" w:color="auto" w:sz="4" w:space="0"/>
              <w:left w:val="single" w:color="auto" w:sz="4" w:space="0"/>
              <w:bottom w:val="single" w:color="auto" w:sz="4" w:space="0"/>
              <w:right w:val="single" w:color="auto" w:sz="4" w:space="0"/>
            </w:tcBorders>
            <w:vAlign w:val="center"/>
          </w:tcPr>
          <w:p w14:paraId="2D6D0A19">
            <w:pPr>
              <w:snapToGrid w:val="0"/>
              <w:spacing w:before="50" w:after="50" w:line="360" w:lineRule="auto"/>
              <w:rPr>
                <w:rFonts w:hint="eastAsia" w:ascii="宋体" w:hAnsi="宋体"/>
                <w:color w:val="auto"/>
                <w:sz w:val="24"/>
                <w:highlight w:val="none"/>
              </w:rPr>
            </w:pPr>
          </w:p>
        </w:tc>
        <w:tc>
          <w:tcPr>
            <w:tcW w:w="1330" w:type="dxa"/>
            <w:gridSpan w:val="2"/>
            <w:tcBorders>
              <w:top w:val="single" w:color="auto" w:sz="4" w:space="0"/>
              <w:left w:val="single" w:color="auto" w:sz="4" w:space="0"/>
              <w:bottom w:val="single" w:color="auto" w:sz="4" w:space="0"/>
              <w:right w:val="single" w:color="auto" w:sz="4" w:space="0"/>
            </w:tcBorders>
            <w:vAlign w:val="center"/>
          </w:tcPr>
          <w:p w14:paraId="422A4E2F">
            <w:pPr>
              <w:snapToGrid w:val="0"/>
              <w:spacing w:before="50" w:after="50" w:line="360" w:lineRule="auto"/>
              <w:rPr>
                <w:rFonts w:hint="eastAsia" w:ascii="宋体" w:hAnsi="宋体"/>
                <w:color w:val="auto"/>
                <w:sz w:val="24"/>
                <w:highlight w:val="none"/>
              </w:rPr>
            </w:pPr>
          </w:p>
        </w:tc>
      </w:tr>
      <w:tr w14:paraId="43FD45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7428" w:type="dxa"/>
            <w:gridSpan w:val="8"/>
            <w:tcBorders>
              <w:top w:val="single" w:color="auto" w:sz="4" w:space="0"/>
              <w:left w:val="single" w:color="auto" w:sz="4" w:space="0"/>
              <w:bottom w:val="single" w:color="auto" w:sz="4" w:space="0"/>
              <w:right w:val="single" w:color="auto" w:sz="4" w:space="0"/>
            </w:tcBorders>
            <w:vAlign w:val="center"/>
          </w:tcPr>
          <w:p w14:paraId="08B22951">
            <w:pPr>
              <w:snapToGrid w:val="0"/>
              <w:spacing w:before="50" w:after="50" w:line="360" w:lineRule="auto"/>
              <w:rPr>
                <w:rFonts w:hint="eastAsia" w:ascii="宋体" w:hAnsi="宋体"/>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c>
          <w:tcPr>
            <w:tcW w:w="1095" w:type="dxa"/>
            <w:tcBorders>
              <w:top w:val="single" w:color="auto" w:sz="4" w:space="0"/>
              <w:left w:val="single" w:color="auto" w:sz="4" w:space="0"/>
              <w:bottom w:val="single" w:color="auto" w:sz="4" w:space="0"/>
              <w:right w:val="single" w:color="auto" w:sz="4" w:space="0"/>
            </w:tcBorders>
            <w:vAlign w:val="center"/>
          </w:tcPr>
          <w:p w14:paraId="314F3D74">
            <w:pPr>
              <w:snapToGrid w:val="0"/>
              <w:spacing w:before="50" w:after="50" w:line="360" w:lineRule="auto"/>
              <w:rPr>
                <w:rFonts w:hint="eastAsia" w:ascii="宋体" w:hAnsi="宋体" w:cs="仿宋_GB2312"/>
                <w:color w:val="auto"/>
                <w:sz w:val="24"/>
                <w:highlight w:val="none"/>
              </w:rPr>
            </w:pPr>
          </w:p>
        </w:tc>
      </w:tr>
    </w:tbl>
    <w:p w14:paraId="5A450996">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注： </w:t>
      </w:r>
    </w:p>
    <w:p w14:paraId="05CB6246">
      <w:pPr>
        <w:snapToGrid w:val="0"/>
        <w:spacing w:line="360" w:lineRule="auto"/>
        <w:ind w:firstLine="480" w:firstLineChars="200"/>
        <w:jc w:val="left"/>
        <w:rPr>
          <w:rFonts w:hint="eastAsia" w:ascii="宋体" w:hAnsi="宋体"/>
          <w:b/>
          <w:color w:val="auto"/>
          <w:sz w:val="24"/>
          <w:highlight w:val="none"/>
        </w:rPr>
      </w:pPr>
      <w:r>
        <w:rPr>
          <w:rFonts w:hint="eastAsia" w:ascii="宋体" w:hAnsi="宋体"/>
          <w:bCs/>
          <w:color w:val="auto"/>
          <w:sz w:val="24"/>
          <w:highlight w:val="none"/>
        </w:rPr>
        <w:t>1.</w:t>
      </w:r>
      <w:r>
        <w:rPr>
          <w:rFonts w:hint="eastAsia" w:ascii="宋体" w:hAnsi="宋体"/>
          <w:color w:val="auto"/>
          <w:sz w:val="24"/>
          <w:highlight w:val="none"/>
        </w:rPr>
        <w:t>报价一经涂改，应在涂改处加盖投标人公章</w:t>
      </w:r>
      <w:r>
        <w:rPr>
          <w:rFonts w:hint="eastAsia" w:ascii="宋体" w:hAnsi="宋体" w:cs="仿宋_GB2312"/>
          <w:color w:val="auto"/>
          <w:sz w:val="24"/>
          <w:highlight w:val="none"/>
        </w:rPr>
        <w:t>或者加盖电子签章</w:t>
      </w:r>
      <w:r>
        <w:rPr>
          <w:rFonts w:hint="eastAsia" w:ascii="宋体" w:hAnsi="宋体"/>
          <w:color w:val="auto"/>
          <w:sz w:val="24"/>
          <w:highlight w:val="none"/>
        </w:rPr>
        <w:t>或者由法定代表人或者委托代理人签字（或者电子签名）</w:t>
      </w:r>
      <w:r>
        <w:rPr>
          <w:rFonts w:hint="eastAsia" w:ascii="宋体" w:hAnsi="宋体"/>
          <w:b/>
          <w:color w:val="auto"/>
          <w:sz w:val="24"/>
          <w:highlight w:val="none"/>
        </w:rPr>
        <w:t>，否则其投标作无效标处理。</w:t>
      </w:r>
    </w:p>
    <w:p w14:paraId="0FFF3487">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2.招标文件中列明采购专用耗材的，应按招标文件规定的耗材量或者按耗材的常规使用量提供报价。</w:t>
      </w:r>
    </w:p>
    <w:p w14:paraId="0CA1E8E7">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3.如为联合体投标，“投标人名称”处必须列明联合体各方名称，并标注联合体牵头人名称，</w:t>
      </w:r>
      <w:r>
        <w:rPr>
          <w:rFonts w:hint="eastAsia" w:ascii="宋体" w:hAnsi="宋体"/>
          <w:b/>
          <w:color w:val="auto"/>
          <w:sz w:val="24"/>
          <w:highlight w:val="none"/>
        </w:rPr>
        <w:t>否则其投标作无效标处理。</w:t>
      </w:r>
    </w:p>
    <w:p w14:paraId="3319E9BE">
      <w:pPr>
        <w:snapToGrid w:val="0"/>
        <w:spacing w:line="360" w:lineRule="auto"/>
        <w:ind w:firstLine="456" w:firstLineChars="200"/>
        <w:jc w:val="left"/>
        <w:rPr>
          <w:rFonts w:hint="eastAsia" w:ascii="宋体" w:hAnsi="宋体"/>
          <w:color w:val="auto"/>
          <w:spacing w:val="-6"/>
          <w:sz w:val="24"/>
          <w:highlight w:val="none"/>
        </w:rPr>
      </w:pPr>
      <w:r>
        <w:rPr>
          <w:rFonts w:hint="eastAsia" w:ascii="宋体" w:hAnsi="宋体"/>
          <w:color w:val="auto"/>
          <w:spacing w:val="-6"/>
          <w:sz w:val="24"/>
          <w:highlight w:val="none"/>
        </w:rPr>
        <w:t>4.如为联合体投标，盖章处须加盖联合体牵头人电子签章，</w:t>
      </w:r>
      <w:r>
        <w:rPr>
          <w:rFonts w:hint="eastAsia" w:ascii="宋体" w:hAnsi="宋体"/>
          <w:b/>
          <w:color w:val="auto"/>
          <w:spacing w:val="-6"/>
          <w:sz w:val="24"/>
          <w:highlight w:val="none"/>
        </w:rPr>
        <w:t>否则其投标作无效标处理。</w:t>
      </w:r>
    </w:p>
    <w:p w14:paraId="35CBE979">
      <w:pPr>
        <w:snapToGrid w:val="0"/>
        <w:spacing w:line="360" w:lineRule="auto"/>
        <w:ind w:firstLine="480" w:firstLineChars="200"/>
        <w:rPr>
          <w:rFonts w:hint="eastAsia" w:ascii="宋体" w:hAnsi="宋体"/>
          <w:b/>
          <w:color w:val="auto"/>
          <w:sz w:val="24"/>
          <w:highlight w:val="none"/>
        </w:rPr>
      </w:pPr>
      <w:r>
        <w:rPr>
          <w:rFonts w:hint="eastAsia" w:ascii="宋体" w:hAnsi="宋体"/>
          <w:color w:val="auto"/>
          <w:sz w:val="24"/>
          <w:highlight w:val="none"/>
        </w:rPr>
        <w:t>5.如有多分标，按分标分别提供开标一览表，</w:t>
      </w:r>
      <w:r>
        <w:rPr>
          <w:rFonts w:hint="eastAsia" w:ascii="宋体" w:hAnsi="宋体"/>
          <w:b/>
          <w:color w:val="auto"/>
          <w:sz w:val="24"/>
          <w:highlight w:val="none"/>
        </w:rPr>
        <w:t>否则投标无效。</w:t>
      </w:r>
    </w:p>
    <w:p w14:paraId="2060C776">
      <w:pPr>
        <w:pStyle w:val="17"/>
        <w:rPr>
          <w:color w:val="auto"/>
          <w:highlight w:val="none"/>
        </w:rPr>
      </w:pPr>
    </w:p>
    <w:p w14:paraId="05FC1913">
      <w:pPr>
        <w:snapToGrid w:val="0"/>
        <w:spacing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p>
    <w:p w14:paraId="1AFE34FF">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657E3A3B">
      <w:pPr>
        <w:snapToGrid w:val="0"/>
        <w:spacing w:line="360" w:lineRule="auto"/>
        <w:ind w:left="-3" w:leftChars="-15" w:right="-817" w:rightChars="-389" w:hanging="28" w:hangingChars="12"/>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19916B41">
      <w:pPr>
        <w:rPr>
          <w:b/>
          <w:color w:val="auto"/>
          <w:sz w:val="28"/>
          <w:szCs w:val="28"/>
          <w:highlight w:val="none"/>
        </w:rPr>
      </w:pPr>
      <w:r>
        <w:rPr>
          <w:rFonts w:ascii="宋体" w:hAnsi="宋体"/>
          <w:b/>
          <w:bCs/>
          <w:color w:val="auto"/>
          <w:sz w:val="24"/>
          <w:highlight w:val="none"/>
        </w:rPr>
        <w:br w:type="page"/>
      </w:r>
      <w:bookmarkStart w:id="163" w:name="_Toc19686837"/>
      <w:r>
        <w:rPr>
          <w:rFonts w:hint="eastAsia"/>
          <w:b/>
          <w:color w:val="auto"/>
          <w:sz w:val="28"/>
          <w:szCs w:val="28"/>
          <w:highlight w:val="none"/>
        </w:rPr>
        <w:t>二、资格证明文件格式</w:t>
      </w:r>
      <w:bookmarkEnd w:id="161"/>
      <w:bookmarkEnd w:id="162"/>
      <w:bookmarkEnd w:id="163"/>
    </w:p>
    <w:p w14:paraId="36D66F3F">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1.资格证明文件封面格式： </w:t>
      </w:r>
    </w:p>
    <w:p w14:paraId="23A620A3">
      <w:pPr>
        <w:snapToGrid w:val="0"/>
        <w:spacing w:before="120" w:beforeLines="50" w:after="50"/>
        <w:jc w:val="center"/>
        <w:rPr>
          <w:rFonts w:hint="eastAsia"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4E0B7ECC">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w:t>
      </w:r>
    </w:p>
    <w:p w14:paraId="4C895CB7">
      <w:pPr>
        <w:snapToGrid w:val="0"/>
        <w:spacing w:before="120" w:beforeLines="50" w:after="50"/>
        <w:rPr>
          <w:rFonts w:hint="eastAsia" w:ascii="宋体" w:hAnsi="宋体"/>
          <w:bCs/>
          <w:color w:val="auto"/>
          <w:sz w:val="24"/>
          <w:szCs w:val="20"/>
          <w:highlight w:val="none"/>
        </w:rPr>
      </w:pPr>
    </w:p>
    <w:p w14:paraId="1FF6517A">
      <w:pPr>
        <w:snapToGrid w:val="0"/>
        <w:spacing w:before="120" w:beforeLines="50" w:after="50"/>
        <w:rPr>
          <w:rFonts w:hint="eastAsia" w:ascii="宋体" w:hAnsi="宋体"/>
          <w:bCs/>
          <w:color w:val="auto"/>
          <w:sz w:val="24"/>
          <w:szCs w:val="20"/>
          <w:highlight w:val="none"/>
        </w:rPr>
      </w:pPr>
    </w:p>
    <w:p w14:paraId="48B876AD">
      <w:pPr>
        <w:snapToGrid w:val="0"/>
        <w:spacing w:before="120" w:beforeLines="50" w:after="50"/>
        <w:rPr>
          <w:rFonts w:hint="eastAsia" w:ascii="宋体" w:hAnsi="宋体"/>
          <w:bCs/>
          <w:color w:val="auto"/>
          <w:sz w:val="24"/>
          <w:szCs w:val="20"/>
          <w:highlight w:val="none"/>
        </w:rPr>
      </w:pPr>
    </w:p>
    <w:p w14:paraId="3436E8EB">
      <w:pPr>
        <w:snapToGrid w:val="0"/>
        <w:spacing w:before="120" w:beforeLines="50" w:after="50"/>
        <w:rPr>
          <w:rFonts w:hint="eastAsia" w:ascii="宋体" w:hAnsi="宋体"/>
          <w:bCs/>
          <w:color w:val="auto"/>
          <w:sz w:val="24"/>
          <w:szCs w:val="20"/>
          <w:highlight w:val="none"/>
        </w:rPr>
      </w:pPr>
    </w:p>
    <w:p w14:paraId="1EFA5157">
      <w:pPr>
        <w:snapToGrid w:val="0"/>
        <w:spacing w:before="120" w:beforeLines="50" w:after="50"/>
        <w:rPr>
          <w:rFonts w:hint="eastAsia" w:ascii="宋体" w:hAnsi="宋体"/>
          <w:bCs/>
          <w:color w:val="auto"/>
          <w:sz w:val="24"/>
          <w:szCs w:val="20"/>
          <w:highlight w:val="none"/>
        </w:rPr>
      </w:pPr>
    </w:p>
    <w:p w14:paraId="6CC6DE8A">
      <w:pPr>
        <w:snapToGrid w:val="0"/>
        <w:spacing w:before="120" w:beforeLines="50" w:after="50"/>
        <w:rPr>
          <w:rFonts w:hint="eastAsia" w:ascii="宋体" w:hAnsi="宋体"/>
          <w:bCs/>
          <w:color w:val="auto"/>
          <w:sz w:val="24"/>
          <w:szCs w:val="20"/>
          <w:highlight w:val="none"/>
        </w:rPr>
      </w:pPr>
    </w:p>
    <w:p w14:paraId="47E32B5F">
      <w:pPr>
        <w:snapToGrid w:val="0"/>
        <w:spacing w:before="120" w:beforeLines="50" w:after="50"/>
        <w:rPr>
          <w:rFonts w:hint="eastAsia" w:ascii="宋体" w:hAnsi="宋体"/>
          <w:bCs/>
          <w:color w:val="auto"/>
          <w:sz w:val="24"/>
          <w:szCs w:val="20"/>
          <w:highlight w:val="none"/>
        </w:rPr>
      </w:pPr>
    </w:p>
    <w:p w14:paraId="7051CFE4">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7E38969B">
      <w:pPr>
        <w:snapToGrid w:val="0"/>
        <w:spacing w:before="120" w:beforeLines="50" w:after="50"/>
        <w:ind w:firstLine="540" w:firstLineChars="225"/>
        <w:rPr>
          <w:rFonts w:hint="eastAsia" w:ascii="宋体" w:hAnsi="宋体"/>
          <w:bCs/>
          <w:color w:val="auto"/>
          <w:sz w:val="24"/>
          <w:szCs w:val="20"/>
          <w:highlight w:val="none"/>
        </w:rPr>
      </w:pPr>
    </w:p>
    <w:p w14:paraId="610D94CD">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2CE23732">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0CC8B4F7">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71C13194">
      <w:pPr>
        <w:pStyle w:val="6"/>
        <w:snapToGrid w:val="0"/>
        <w:spacing w:before="50" w:after="50"/>
        <w:ind w:firstLine="540" w:firstLineChars="225"/>
        <w:rPr>
          <w:rFonts w:hint="eastAsia" w:ascii="宋体" w:hAnsi="宋体"/>
          <w:bCs/>
          <w:color w:val="auto"/>
          <w:sz w:val="24"/>
          <w:szCs w:val="24"/>
          <w:highlight w:val="none"/>
        </w:rPr>
      </w:pPr>
    </w:p>
    <w:p w14:paraId="04FEB7A1">
      <w:pPr>
        <w:pStyle w:val="6"/>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3DDD0B44">
      <w:pPr>
        <w:pStyle w:val="6"/>
        <w:snapToGrid w:val="0"/>
        <w:spacing w:before="50" w:after="50"/>
        <w:ind w:firstLine="540" w:firstLineChars="225"/>
        <w:rPr>
          <w:rFonts w:hint="eastAsia" w:ascii="宋体" w:hAnsi="宋体"/>
          <w:bCs/>
          <w:color w:val="auto"/>
          <w:sz w:val="24"/>
          <w:szCs w:val="24"/>
          <w:highlight w:val="none"/>
        </w:rPr>
      </w:pPr>
    </w:p>
    <w:p w14:paraId="13F0DCDE">
      <w:pPr>
        <w:pStyle w:val="6"/>
        <w:snapToGrid w:val="0"/>
        <w:spacing w:before="50" w:after="50"/>
        <w:ind w:firstLine="960" w:firstLineChars="400"/>
        <w:rPr>
          <w:rFonts w:hint="eastAsia" w:ascii="宋体" w:hAnsi="宋体"/>
          <w:bCs/>
          <w:color w:val="auto"/>
          <w:sz w:val="24"/>
          <w:szCs w:val="24"/>
          <w:highlight w:val="none"/>
        </w:rPr>
      </w:pPr>
    </w:p>
    <w:p w14:paraId="49E55287">
      <w:pP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年  月  日</w:t>
      </w:r>
    </w:p>
    <w:p w14:paraId="03DE99E9">
      <w:pPr>
        <w:snapToGrid w:val="0"/>
        <w:spacing w:before="120" w:beforeLines="50" w:after="50"/>
        <w:rPr>
          <w:rFonts w:hint="eastAsia" w:ascii="宋体" w:hAnsi="宋体"/>
          <w:color w:val="auto"/>
          <w:sz w:val="24"/>
          <w:szCs w:val="20"/>
          <w:highlight w:val="none"/>
        </w:rPr>
      </w:pPr>
      <w:r>
        <w:rPr>
          <w:rFonts w:ascii="宋体" w:hAnsi="宋体"/>
          <w:color w:val="auto"/>
          <w:sz w:val="24"/>
          <w:szCs w:val="20"/>
          <w:highlight w:val="none"/>
        </w:rPr>
        <w:t xml:space="preserve"> </w:t>
      </w:r>
    </w:p>
    <w:p w14:paraId="3D9F4629">
      <w:pPr>
        <w:snapToGrid w:val="0"/>
        <w:spacing w:before="120" w:beforeLines="50" w:after="50"/>
        <w:rPr>
          <w:rFonts w:hint="eastAsia" w:ascii="宋体" w:hAnsi="宋体"/>
          <w:color w:val="auto"/>
          <w:sz w:val="24"/>
          <w:szCs w:val="20"/>
          <w:highlight w:val="none"/>
        </w:rPr>
      </w:pPr>
    </w:p>
    <w:p w14:paraId="325394E8">
      <w:pPr>
        <w:snapToGrid w:val="0"/>
        <w:spacing w:before="120" w:beforeLines="50" w:after="50" w:line="360" w:lineRule="auto"/>
        <w:jc w:val="left"/>
        <w:rPr>
          <w:rFonts w:hint="eastAsia"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2.资格证明文件目录</w:t>
      </w:r>
    </w:p>
    <w:p w14:paraId="7A261A57">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2E39EEB5">
      <w:pPr>
        <w:snapToGrid w:val="0"/>
        <w:spacing w:before="50" w:after="120" w:afterLines="50"/>
        <w:jc w:val="left"/>
        <w:rPr>
          <w:rFonts w:hint="eastAsia" w:ascii="宋体" w:hAnsi="宋体"/>
          <w:color w:val="auto"/>
          <w:sz w:val="24"/>
          <w:highlight w:val="none"/>
        </w:rPr>
      </w:pPr>
    </w:p>
    <w:p w14:paraId="06B8AE0D">
      <w:pPr>
        <w:snapToGrid w:val="0"/>
        <w:spacing w:before="50" w:after="120" w:afterLines="50"/>
        <w:jc w:val="left"/>
        <w:rPr>
          <w:rFonts w:hint="eastAsia" w:ascii="宋体" w:hAnsi="宋体"/>
          <w:color w:val="auto"/>
          <w:sz w:val="24"/>
          <w:highlight w:val="none"/>
        </w:rPr>
      </w:pPr>
    </w:p>
    <w:p w14:paraId="2D589A80">
      <w:pPr>
        <w:snapToGrid w:val="0"/>
        <w:spacing w:before="120" w:beforeLines="50" w:after="5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w:t>
      </w:r>
      <w:r>
        <w:rPr>
          <w:rFonts w:hint="eastAsia" w:ascii="宋体" w:hAnsi="宋体"/>
          <w:b/>
          <w:color w:val="auto"/>
          <w:sz w:val="28"/>
          <w:szCs w:val="28"/>
          <w:highlight w:val="none"/>
        </w:rPr>
        <w:t>投标人直接控股股东信息表</w:t>
      </w:r>
    </w:p>
    <w:p w14:paraId="26401879">
      <w:pPr>
        <w:snapToGrid w:val="0"/>
        <w:spacing w:before="50" w:after="120" w:afterLines="50"/>
        <w:jc w:val="center"/>
        <w:rPr>
          <w:rFonts w:hint="eastAsia" w:ascii="宋体" w:hAnsi="宋体"/>
          <w:b/>
          <w:color w:val="auto"/>
          <w:sz w:val="28"/>
          <w:szCs w:val="28"/>
          <w:highlight w:val="none"/>
        </w:rPr>
      </w:pPr>
    </w:p>
    <w:p w14:paraId="5E5C4821">
      <w:pPr>
        <w:snapToGrid w:val="0"/>
        <w:spacing w:before="50" w:after="120" w:afterLines="5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46"/>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4DF89713">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66755F7">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D7750F7">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A3B191B">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eastAsia="zh-CN"/>
              </w:rPr>
              <w:t>）</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FA08654">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A5906A4">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47EB514">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9BB174">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49D1A8">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4EF668">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916C6C">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36479D">
            <w:pPr>
              <w:spacing w:line="360" w:lineRule="auto"/>
              <w:jc w:val="center"/>
              <w:rPr>
                <w:rFonts w:hint="eastAsia" w:ascii="宋体" w:hAnsi="宋体" w:cs="宋体"/>
                <w:color w:val="auto"/>
                <w:kern w:val="0"/>
                <w:sz w:val="24"/>
                <w:highlight w:val="none"/>
              </w:rPr>
            </w:pPr>
          </w:p>
        </w:tc>
      </w:tr>
      <w:tr w14:paraId="4E7AF23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F1AD43">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89AD9F">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59E269">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C267A7">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980360">
            <w:pPr>
              <w:spacing w:line="360" w:lineRule="auto"/>
              <w:jc w:val="center"/>
              <w:rPr>
                <w:rFonts w:hint="eastAsia" w:ascii="宋体" w:hAnsi="宋体" w:cs="宋体"/>
                <w:color w:val="auto"/>
                <w:kern w:val="0"/>
                <w:sz w:val="24"/>
                <w:highlight w:val="none"/>
              </w:rPr>
            </w:pPr>
          </w:p>
        </w:tc>
      </w:tr>
      <w:tr w14:paraId="6EEE8C9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B368BB">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DC4D3B">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89B0F5">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9231CC">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9845E0">
            <w:pPr>
              <w:spacing w:line="360" w:lineRule="auto"/>
              <w:jc w:val="center"/>
              <w:rPr>
                <w:rFonts w:hint="eastAsia" w:ascii="宋体" w:hAnsi="宋体" w:cs="宋体"/>
                <w:color w:val="auto"/>
                <w:kern w:val="0"/>
                <w:sz w:val="24"/>
                <w:highlight w:val="none"/>
              </w:rPr>
            </w:pPr>
          </w:p>
        </w:tc>
      </w:tr>
      <w:tr w14:paraId="1C13CB0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F29B6A">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2CAE6D">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02BDC3">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40693E">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6C6436">
            <w:pPr>
              <w:spacing w:line="360" w:lineRule="auto"/>
              <w:jc w:val="center"/>
              <w:rPr>
                <w:rFonts w:hint="eastAsia" w:ascii="宋体" w:hAnsi="宋体" w:cs="宋体"/>
                <w:color w:val="auto"/>
                <w:kern w:val="0"/>
                <w:sz w:val="24"/>
                <w:highlight w:val="none"/>
              </w:rPr>
            </w:pPr>
          </w:p>
        </w:tc>
      </w:tr>
    </w:tbl>
    <w:p w14:paraId="10D01111">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6F838392">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4209F98">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34D400EE">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olor w:val="auto"/>
          <w:sz w:val="24"/>
          <w:highlight w:val="none"/>
        </w:rPr>
        <w:t>”中填“无”。</w:t>
      </w:r>
    </w:p>
    <w:p w14:paraId="2281C03E">
      <w:pPr>
        <w:snapToGrid w:val="0"/>
        <w:spacing w:line="360" w:lineRule="auto"/>
        <w:jc w:val="left"/>
        <w:rPr>
          <w:rFonts w:hint="eastAsia" w:ascii="宋体" w:hAnsi="宋体"/>
          <w:color w:val="auto"/>
          <w:sz w:val="24"/>
          <w:highlight w:val="none"/>
        </w:rPr>
      </w:pPr>
    </w:p>
    <w:p w14:paraId="29B2C1E6">
      <w:pPr>
        <w:snapToGrid w:val="0"/>
        <w:spacing w:line="360" w:lineRule="auto"/>
        <w:jc w:val="left"/>
        <w:rPr>
          <w:rFonts w:hint="eastAsia" w:ascii="宋体" w:hAnsi="宋体"/>
          <w:color w:val="auto"/>
          <w:sz w:val="24"/>
          <w:highlight w:val="none"/>
        </w:rPr>
      </w:pPr>
    </w:p>
    <w:p w14:paraId="0E5411D0">
      <w:pPr>
        <w:snapToGrid w:val="0"/>
        <w:spacing w:line="360" w:lineRule="auto"/>
        <w:jc w:val="left"/>
        <w:rPr>
          <w:rFonts w:hint="eastAsia" w:ascii="宋体" w:hAnsi="宋体"/>
          <w:color w:val="auto"/>
          <w:sz w:val="24"/>
          <w:highlight w:val="none"/>
        </w:rPr>
      </w:pPr>
    </w:p>
    <w:p w14:paraId="320C49E5">
      <w:pPr>
        <w:snapToGrid w:val="0"/>
        <w:spacing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5D5356AB">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06BEC328">
      <w:pPr>
        <w:snapToGrid w:val="0"/>
        <w:spacing w:line="360" w:lineRule="auto"/>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3A9E9CF9">
      <w:pPr>
        <w:snapToGrid w:val="0"/>
        <w:jc w:val="center"/>
        <w:rPr>
          <w:rFonts w:hint="eastAsia" w:ascii="宋体" w:hAnsi="宋体"/>
          <w:b/>
          <w:color w:val="auto"/>
          <w:sz w:val="28"/>
          <w:szCs w:val="28"/>
          <w:highlight w:val="none"/>
        </w:rPr>
      </w:pPr>
    </w:p>
    <w:p w14:paraId="0434C8E9">
      <w:pPr>
        <w:snapToGrid w:val="0"/>
        <w:spacing w:line="360" w:lineRule="auto"/>
        <w:jc w:val="left"/>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24"/>
          <w:highlight w:val="none"/>
        </w:rPr>
        <w:t>4.</w:t>
      </w:r>
      <w:r>
        <w:rPr>
          <w:rFonts w:hint="eastAsia"/>
          <w:color w:val="auto"/>
          <w:highlight w:val="none"/>
        </w:rPr>
        <w:t xml:space="preserve"> </w:t>
      </w:r>
      <w:r>
        <w:rPr>
          <w:rFonts w:hint="eastAsia" w:ascii="宋体" w:hAnsi="宋体"/>
          <w:b/>
          <w:color w:val="auto"/>
          <w:sz w:val="28"/>
          <w:szCs w:val="28"/>
          <w:highlight w:val="none"/>
        </w:rPr>
        <w:t>投标人直接管理关系信息表</w:t>
      </w:r>
    </w:p>
    <w:p w14:paraId="7CE6A60C">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46"/>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3332FA4C">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1F63BD2">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033EBC2">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ABF98B3">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6B6D896">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6E8B7A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4CF450">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9A3B78">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55C606">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BAA3B8">
            <w:pPr>
              <w:spacing w:line="360" w:lineRule="auto"/>
              <w:jc w:val="center"/>
              <w:rPr>
                <w:rFonts w:hint="eastAsia" w:ascii="宋体" w:hAnsi="宋体" w:cs="宋体"/>
                <w:color w:val="auto"/>
                <w:kern w:val="0"/>
                <w:sz w:val="24"/>
                <w:highlight w:val="none"/>
              </w:rPr>
            </w:pPr>
          </w:p>
        </w:tc>
      </w:tr>
      <w:tr w14:paraId="0DE504C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180A6B">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8A660B">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49B6BF">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82B0E9">
            <w:pPr>
              <w:spacing w:line="360" w:lineRule="auto"/>
              <w:jc w:val="center"/>
              <w:rPr>
                <w:rFonts w:hint="eastAsia" w:ascii="宋体" w:hAnsi="宋体" w:cs="宋体"/>
                <w:color w:val="auto"/>
                <w:kern w:val="0"/>
                <w:sz w:val="24"/>
                <w:highlight w:val="none"/>
              </w:rPr>
            </w:pPr>
          </w:p>
        </w:tc>
      </w:tr>
      <w:tr w14:paraId="25F4276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C5F69D">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52662A">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42A2BA">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28C89B">
            <w:pPr>
              <w:spacing w:line="360" w:lineRule="auto"/>
              <w:jc w:val="center"/>
              <w:rPr>
                <w:rFonts w:hint="eastAsia" w:ascii="宋体" w:hAnsi="宋体" w:cs="宋体"/>
                <w:color w:val="auto"/>
                <w:kern w:val="0"/>
                <w:sz w:val="24"/>
                <w:highlight w:val="none"/>
              </w:rPr>
            </w:pPr>
          </w:p>
        </w:tc>
      </w:tr>
      <w:tr w14:paraId="772F2EB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CAA766">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535B01">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73F732">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6AB244">
            <w:pPr>
              <w:spacing w:line="360" w:lineRule="auto"/>
              <w:jc w:val="center"/>
              <w:rPr>
                <w:rFonts w:hint="eastAsia" w:ascii="宋体" w:hAnsi="宋体" w:cs="宋体"/>
                <w:color w:val="auto"/>
                <w:kern w:val="0"/>
                <w:sz w:val="24"/>
                <w:highlight w:val="none"/>
              </w:rPr>
            </w:pPr>
          </w:p>
        </w:tc>
      </w:tr>
    </w:tbl>
    <w:p w14:paraId="7ECFB740">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4E37761B">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7822F84B">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68EFF7BF">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olor w:val="auto"/>
          <w:sz w:val="24"/>
          <w:highlight w:val="none"/>
        </w:rPr>
        <w:t>”中填“无”。</w:t>
      </w:r>
    </w:p>
    <w:p w14:paraId="0C6467D1">
      <w:pPr>
        <w:snapToGrid w:val="0"/>
        <w:spacing w:line="360" w:lineRule="auto"/>
        <w:jc w:val="left"/>
        <w:rPr>
          <w:rFonts w:hint="eastAsia" w:ascii="宋体" w:hAnsi="宋体"/>
          <w:color w:val="auto"/>
          <w:sz w:val="24"/>
          <w:highlight w:val="none"/>
        </w:rPr>
      </w:pPr>
    </w:p>
    <w:p w14:paraId="12B19EF4">
      <w:pPr>
        <w:snapToGrid w:val="0"/>
        <w:spacing w:line="360" w:lineRule="auto"/>
        <w:jc w:val="left"/>
        <w:rPr>
          <w:rFonts w:hint="eastAsia" w:ascii="宋体" w:hAnsi="宋体"/>
          <w:color w:val="auto"/>
          <w:sz w:val="24"/>
          <w:highlight w:val="none"/>
        </w:rPr>
      </w:pPr>
    </w:p>
    <w:p w14:paraId="1ED4766C">
      <w:pPr>
        <w:snapToGrid w:val="0"/>
        <w:spacing w:line="360" w:lineRule="auto"/>
        <w:jc w:val="left"/>
        <w:rPr>
          <w:rFonts w:hint="eastAsia" w:ascii="宋体" w:hAnsi="宋体"/>
          <w:color w:val="auto"/>
          <w:sz w:val="24"/>
          <w:highlight w:val="none"/>
        </w:rPr>
      </w:pPr>
    </w:p>
    <w:p w14:paraId="2F2C981A">
      <w:pPr>
        <w:snapToGrid w:val="0"/>
        <w:spacing w:line="360" w:lineRule="auto"/>
        <w:jc w:val="left"/>
        <w:rPr>
          <w:color w:val="auto"/>
          <w:sz w:val="24"/>
          <w:highlight w:val="none"/>
        </w:rPr>
      </w:pPr>
    </w:p>
    <w:p w14:paraId="79ED33FD">
      <w:pPr>
        <w:snapToGrid w:val="0"/>
        <w:spacing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5B0E0C2B">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1A9B1C88">
      <w:pPr>
        <w:snapToGrid w:val="0"/>
        <w:spacing w:line="360" w:lineRule="auto"/>
        <w:ind w:right="480" w:firstLine="240" w:firstLineChars="10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5E721F11">
      <w:pPr>
        <w:snapToGrid w:val="0"/>
        <w:spacing w:before="120" w:beforeLines="50" w:after="50"/>
        <w:jc w:val="left"/>
        <w:rPr>
          <w:rFonts w:hint="eastAsia" w:ascii="宋体" w:hAnsi="宋体"/>
          <w:b/>
          <w:color w:val="auto"/>
          <w:sz w:val="24"/>
          <w:szCs w:val="20"/>
          <w:highlight w:val="none"/>
        </w:rPr>
      </w:pPr>
    </w:p>
    <w:p w14:paraId="6E78C2A2">
      <w:pPr>
        <w:snapToGrid w:val="0"/>
        <w:spacing w:before="120" w:beforeLines="50" w:after="5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5.投标声明</w:t>
      </w:r>
    </w:p>
    <w:p w14:paraId="161B42BC">
      <w:pPr>
        <w:snapToGrid w:val="0"/>
        <w:spacing w:before="50" w:after="120" w:afterLines="50"/>
        <w:jc w:val="left"/>
        <w:rPr>
          <w:rFonts w:hint="eastAsia" w:ascii="宋体" w:hAnsi="宋体"/>
          <w:color w:val="auto"/>
          <w:highlight w:val="none"/>
        </w:rPr>
      </w:pPr>
    </w:p>
    <w:p w14:paraId="5EE0F1EA">
      <w:pPr>
        <w:snapToGrid w:val="0"/>
        <w:spacing w:before="50" w:after="120" w:afterLines="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投标声明</w:t>
      </w:r>
    </w:p>
    <w:p w14:paraId="4DCDEC76">
      <w:pPr>
        <w:spacing w:line="400" w:lineRule="exact"/>
        <w:contextualSpacing/>
        <w:jc w:val="left"/>
        <w:rPr>
          <w:color w:val="auto"/>
          <w:sz w:val="24"/>
          <w:highlight w:val="none"/>
        </w:rPr>
      </w:pPr>
      <w:r>
        <w:rPr>
          <w:rFonts w:hint="eastAsia"/>
          <w:color w:val="auto"/>
          <w:sz w:val="24"/>
          <w:highlight w:val="none"/>
        </w:rPr>
        <w:t>（采购人名称）：</w:t>
      </w:r>
    </w:p>
    <w:p w14:paraId="5E9AE68F">
      <w:pPr>
        <w:spacing w:line="400" w:lineRule="exact"/>
        <w:ind w:firstLine="523" w:firstLineChars="218"/>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342E219C">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4905D65">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40EA6ED3">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7D1E5EA0">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（一）具有独立承担民事责任的能力；</w:t>
      </w:r>
    </w:p>
    <w:p w14:paraId="358B12C2">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（二）具有良好的商业信誉和健全的财务会计制度；</w:t>
      </w:r>
    </w:p>
    <w:p w14:paraId="5FB49ACD">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（三）具有履行合同所必需的设备和专业技术能力；</w:t>
      </w:r>
    </w:p>
    <w:p w14:paraId="1B690D7A">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（四）有依法缴纳税收和社会保障资金的良好记录；</w:t>
      </w:r>
    </w:p>
    <w:p w14:paraId="2959A396">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66B45D47">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（六）法律、行政法规规定的其他条件。</w:t>
      </w:r>
    </w:p>
    <w:p w14:paraId="7ABC0A82">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2E4A3F69">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特此承诺。</w:t>
      </w:r>
    </w:p>
    <w:p w14:paraId="5DA00D09">
      <w:pPr>
        <w:snapToGrid w:val="0"/>
        <w:spacing w:before="50" w:after="50"/>
        <w:rPr>
          <w:rFonts w:hint="eastAsia" w:ascii="宋体" w:hAnsi="宋体"/>
          <w:color w:val="auto"/>
          <w:sz w:val="24"/>
          <w:highlight w:val="none"/>
        </w:rPr>
      </w:pPr>
      <w:r>
        <w:rPr>
          <w:rFonts w:hint="eastAsia" w:ascii="宋体" w:hAnsi="宋体"/>
          <w:b/>
          <w:color w:val="auto"/>
          <w:sz w:val="24"/>
          <w:highlight w:val="none"/>
        </w:rPr>
        <w:t xml:space="preserve">    </w:t>
      </w:r>
      <w:r>
        <w:rPr>
          <w:rFonts w:hint="eastAsia" w:ascii="宋体" w:hAnsi="宋体"/>
          <w:color w:val="auto"/>
          <w:sz w:val="24"/>
          <w:highlight w:val="none"/>
        </w:rPr>
        <w:t xml:space="preserve">            </w:t>
      </w:r>
    </w:p>
    <w:p w14:paraId="198B6E05">
      <w:pPr>
        <w:snapToGrid w:val="0"/>
        <w:spacing w:before="50" w:after="50"/>
        <w:ind w:firstLine="840" w:firstLineChars="3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762A9D0F">
      <w:pPr>
        <w:spacing w:line="400" w:lineRule="exact"/>
        <w:contextualSpacing/>
        <w:jc w:val="left"/>
        <w:rPr>
          <w:rFonts w:hint="eastAsia" w:ascii="宋体" w:hAnsi="宋体"/>
          <w:color w:val="auto"/>
          <w:sz w:val="24"/>
          <w:highlight w:val="none"/>
        </w:rPr>
      </w:pPr>
    </w:p>
    <w:p w14:paraId="7237AEAF">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4D5BC8F8">
      <w:pPr>
        <w:spacing w:line="400" w:lineRule="exact"/>
        <w:contextualSpacing/>
        <w:jc w:val="left"/>
        <w:rPr>
          <w:rFonts w:hint="eastAsia" w:ascii="宋体" w:hAnsi="宋体"/>
          <w:color w:val="auto"/>
          <w:highlight w:val="none"/>
        </w:rPr>
      </w:pPr>
      <w:r>
        <w:rPr>
          <w:rFonts w:hint="eastAsia" w:ascii="宋体" w:hAnsi="宋体"/>
          <w:color w:val="auto"/>
          <w:sz w:val="24"/>
          <w:highlight w:val="none"/>
        </w:rPr>
        <w:t xml:space="preserve">                                                  年    月    日</w:t>
      </w:r>
    </w:p>
    <w:p w14:paraId="5B9FE1C4">
      <w:pPr>
        <w:spacing w:line="440" w:lineRule="exact"/>
        <w:contextualSpacing/>
        <w:rPr>
          <w:rFonts w:hint="eastAsia" w:ascii="宋体" w:hAnsi="宋体"/>
          <w:b/>
          <w:color w:val="auto"/>
          <w:sz w:val="24"/>
          <w:highlight w:val="none"/>
        </w:rPr>
      </w:pPr>
      <w:bookmarkStart w:id="164" w:name="_Toc19686838"/>
      <w:r>
        <w:rPr>
          <w:rFonts w:hint="eastAsia" w:ascii="宋体" w:hAnsi="宋体"/>
          <w:b/>
          <w:color w:val="auto"/>
          <w:sz w:val="24"/>
          <w:highlight w:val="none"/>
        </w:rPr>
        <w:t>注：如为联合体投标，盖章处须加盖联合体牵头人电子签章并由联合体牵头人法定代表人签字或者盖章或者电子签名，否则投标无效。</w:t>
      </w:r>
    </w:p>
    <w:p w14:paraId="7A62575C">
      <w:pPr>
        <w:rPr>
          <w:b/>
          <w:color w:val="auto"/>
          <w:sz w:val="28"/>
          <w:szCs w:val="28"/>
          <w:highlight w:val="none"/>
        </w:rPr>
      </w:pPr>
      <w:r>
        <w:rPr>
          <w:b/>
          <w:color w:val="auto"/>
          <w:sz w:val="28"/>
          <w:szCs w:val="28"/>
          <w:highlight w:val="none"/>
        </w:rPr>
        <w:br w:type="page"/>
      </w:r>
      <w:r>
        <w:rPr>
          <w:rFonts w:hint="eastAsia"/>
          <w:b/>
          <w:color w:val="auto"/>
          <w:sz w:val="28"/>
          <w:szCs w:val="28"/>
          <w:highlight w:val="none"/>
        </w:rPr>
        <w:t>三、商务及技术文件格式</w:t>
      </w:r>
      <w:bookmarkEnd w:id="164"/>
    </w:p>
    <w:p w14:paraId="0C245098">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1.商务及技术文件封面格式： </w:t>
      </w:r>
    </w:p>
    <w:p w14:paraId="6AC69306">
      <w:pPr>
        <w:snapToGrid w:val="0"/>
        <w:spacing w:before="120" w:beforeLines="50" w:after="50"/>
        <w:jc w:val="center"/>
        <w:rPr>
          <w:rFonts w:hint="eastAsia" w:ascii="宋体" w:hAnsi="宋体"/>
          <w:color w:val="auto"/>
          <w:sz w:val="24"/>
          <w:highlight w:val="none"/>
        </w:rPr>
      </w:pPr>
      <w:r>
        <w:rPr>
          <w:rFonts w:hint="eastAsia" w:ascii="宋体" w:hAnsi="宋体" w:eastAsia="方正小标宋简体"/>
          <w:bCs/>
          <w:color w:val="auto"/>
          <w:sz w:val="48"/>
          <w:szCs w:val="48"/>
          <w:highlight w:val="none"/>
        </w:rPr>
        <w:t>电子投标文件</w:t>
      </w:r>
    </w:p>
    <w:p w14:paraId="6E8B28B7">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商务及技术文件</w:t>
      </w:r>
    </w:p>
    <w:p w14:paraId="6632F4E3">
      <w:pPr>
        <w:snapToGrid w:val="0"/>
        <w:spacing w:before="120" w:beforeLines="50" w:after="50"/>
        <w:rPr>
          <w:rFonts w:hint="eastAsia" w:ascii="宋体" w:hAnsi="宋体"/>
          <w:bCs/>
          <w:color w:val="auto"/>
          <w:sz w:val="24"/>
          <w:szCs w:val="20"/>
          <w:highlight w:val="none"/>
        </w:rPr>
      </w:pPr>
    </w:p>
    <w:p w14:paraId="6A3656F0">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3AA726F7">
      <w:pPr>
        <w:snapToGrid w:val="0"/>
        <w:spacing w:before="120" w:beforeLines="50" w:after="50"/>
        <w:ind w:firstLine="540" w:firstLineChars="225"/>
        <w:rPr>
          <w:rFonts w:hint="eastAsia" w:ascii="宋体" w:hAnsi="宋体"/>
          <w:bCs/>
          <w:color w:val="auto"/>
          <w:sz w:val="24"/>
          <w:szCs w:val="20"/>
          <w:highlight w:val="none"/>
        </w:rPr>
      </w:pPr>
    </w:p>
    <w:p w14:paraId="72428092">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0961CD18">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0F25FA02">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39800895">
      <w:pPr>
        <w:snapToGrid w:val="0"/>
        <w:spacing w:before="120" w:beforeLines="50" w:after="50"/>
        <w:ind w:firstLine="540" w:firstLineChars="225"/>
        <w:rPr>
          <w:rFonts w:hint="eastAsia" w:ascii="宋体" w:hAnsi="宋体"/>
          <w:bCs/>
          <w:color w:val="auto"/>
          <w:sz w:val="24"/>
          <w:szCs w:val="20"/>
          <w:highlight w:val="none"/>
        </w:rPr>
      </w:pPr>
    </w:p>
    <w:p w14:paraId="25C9C369">
      <w:pPr>
        <w:pStyle w:val="6"/>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655624FD">
      <w:pPr>
        <w:pStyle w:val="6"/>
        <w:snapToGrid w:val="0"/>
        <w:spacing w:before="50" w:after="50"/>
        <w:ind w:firstLine="540" w:firstLineChars="225"/>
        <w:rPr>
          <w:rFonts w:hint="eastAsia" w:ascii="宋体" w:hAnsi="宋体"/>
          <w:bCs/>
          <w:color w:val="auto"/>
          <w:sz w:val="24"/>
          <w:szCs w:val="24"/>
          <w:highlight w:val="none"/>
        </w:rPr>
      </w:pPr>
    </w:p>
    <w:p w14:paraId="48A944B5">
      <w:pPr>
        <w:pStyle w:val="6"/>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40621637">
      <w:pPr>
        <w:pStyle w:val="6"/>
        <w:snapToGrid w:val="0"/>
        <w:spacing w:before="50" w:after="50"/>
        <w:ind w:firstLine="960" w:firstLineChars="400"/>
        <w:rPr>
          <w:rFonts w:hint="eastAsia" w:ascii="宋体" w:hAnsi="宋体"/>
          <w:bCs/>
          <w:color w:val="auto"/>
          <w:sz w:val="24"/>
          <w:szCs w:val="24"/>
          <w:highlight w:val="none"/>
        </w:rPr>
      </w:pPr>
    </w:p>
    <w:p w14:paraId="72882A68">
      <w:pPr>
        <w:snapToGrid w:val="0"/>
        <w:spacing w:before="120" w:beforeLines="50" w:after="50"/>
        <w:ind w:firstLine="645"/>
        <w:rPr>
          <w:rFonts w:hint="eastAsia" w:ascii="宋体" w:hAnsi="宋体"/>
          <w:color w:val="auto"/>
          <w:sz w:val="24"/>
          <w:highlight w:val="none"/>
        </w:rPr>
      </w:pPr>
      <w:r>
        <w:rPr>
          <w:rFonts w:hint="eastAsia" w:ascii="宋体" w:hAnsi="宋体"/>
          <w:color w:val="auto"/>
          <w:sz w:val="24"/>
          <w:highlight w:val="none"/>
        </w:rPr>
        <w:t xml:space="preserve">                        年  月  日</w:t>
      </w:r>
    </w:p>
    <w:p w14:paraId="13364E8C">
      <w:pPr>
        <w:snapToGrid w:val="0"/>
        <w:spacing w:before="120" w:beforeLines="50" w:after="50"/>
        <w:rPr>
          <w:rFonts w:hint="eastAsia" w:ascii="宋体" w:hAnsi="宋体"/>
          <w:color w:val="auto"/>
          <w:sz w:val="24"/>
          <w:szCs w:val="20"/>
          <w:highlight w:val="none"/>
        </w:rPr>
      </w:pPr>
      <w:r>
        <w:rPr>
          <w:rFonts w:ascii="宋体" w:hAnsi="宋体"/>
          <w:color w:val="auto"/>
          <w:sz w:val="24"/>
          <w:szCs w:val="20"/>
          <w:highlight w:val="none"/>
        </w:rPr>
        <w:t xml:space="preserve"> </w:t>
      </w:r>
    </w:p>
    <w:p w14:paraId="2932A71D">
      <w:pPr>
        <w:snapToGrid w:val="0"/>
        <w:spacing w:line="360" w:lineRule="auto"/>
        <w:jc w:val="left"/>
        <w:rPr>
          <w:rFonts w:hint="eastAsia"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2.商务及技术文件目录</w:t>
      </w:r>
    </w:p>
    <w:p w14:paraId="290800BD">
      <w:pPr>
        <w:snapToGrid w:val="0"/>
        <w:spacing w:before="50" w:after="120" w:afterLines="50" w:line="360" w:lineRule="auto"/>
        <w:ind w:firstLine="560" w:firstLineChars="200"/>
        <w:jc w:val="left"/>
        <w:rPr>
          <w:rFonts w:hint="eastAsia" w:ascii="微软雅黑" w:hAnsi="微软雅黑" w:eastAsia="微软雅黑"/>
          <w:b/>
          <w:bCs/>
          <w:color w:val="auto"/>
          <w:sz w:val="32"/>
          <w:szCs w:val="32"/>
          <w:highlight w:val="none"/>
        </w:rPr>
      </w:pPr>
      <w:r>
        <w:rPr>
          <w:rFonts w:hint="eastAsia" w:ascii="宋体" w:hAnsi="宋体"/>
          <w:color w:val="auto"/>
          <w:sz w:val="28"/>
          <w:szCs w:val="28"/>
          <w:highlight w:val="none"/>
        </w:rPr>
        <w:t>根据招标文件规定及投标人提供的材料自行编写目录。</w:t>
      </w:r>
    </w:p>
    <w:p w14:paraId="4AF4DC89">
      <w:pPr>
        <w:snapToGrid w:val="0"/>
        <w:spacing w:before="50" w:after="120" w:afterLines="50"/>
        <w:jc w:val="left"/>
        <w:rPr>
          <w:rFonts w:hint="eastAsia" w:ascii="宋体" w:hAnsi="宋体"/>
          <w:color w:val="auto"/>
          <w:highlight w:val="none"/>
        </w:rPr>
      </w:pPr>
    </w:p>
    <w:p w14:paraId="41A9069C">
      <w:pPr>
        <w:snapToGrid w:val="0"/>
        <w:spacing w:before="120" w:beforeLines="50" w:after="5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456461B2">
      <w:pPr>
        <w:snapToGrid w:val="0"/>
        <w:spacing w:before="120" w:beforeLines="50" w:after="50"/>
        <w:jc w:val="left"/>
        <w:rPr>
          <w:rFonts w:hint="eastAsia" w:ascii="宋体" w:hAnsi="宋体"/>
          <w:b/>
          <w:color w:val="auto"/>
          <w:sz w:val="24"/>
          <w:highlight w:val="none"/>
        </w:rPr>
      </w:pPr>
    </w:p>
    <w:p w14:paraId="5B7CA455">
      <w:pPr>
        <w:spacing w:line="360" w:lineRule="auto"/>
        <w:contextualSpacing/>
        <w:rPr>
          <w:rFonts w:hint="eastAsia" w:ascii="宋体" w:hAnsi="宋体"/>
          <w:b/>
          <w:color w:val="auto"/>
          <w:sz w:val="24"/>
          <w:highlight w:val="none"/>
        </w:rPr>
      </w:pPr>
      <w:r>
        <w:rPr>
          <w:rFonts w:hint="eastAsia" w:ascii="方正小标宋简体" w:hAnsi="方正小标宋简体" w:eastAsia="方正小标宋简体" w:cs="方正小标宋简体"/>
          <w:bCs/>
          <w:color w:val="auto"/>
          <w:spacing w:val="-11"/>
          <w:sz w:val="44"/>
          <w:szCs w:val="44"/>
          <w:highlight w:val="none"/>
        </w:rPr>
        <w:t>投标人参加本项目无围标串标行为的承诺函</w:t>
      </w:r>
    </w:p>
    <w:p w14:paraId="5AAF7437">
      <w:pPr>
        <w:spacing w:line="440" w:lineRule="exact"/>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20ADCFFB">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1.不同投标人的投标文件由同一单位或者个人编制，或不同投标人报名的IP地址一致的；或不同投标人投标设备信息（包括但不限于：IP地址、MAC地址、硬盘号、CPU号、主板号）一致的；</w:t>
      </w:r>
    </w:p>
    <w:p w14:paraId="1B838C16">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2.不同投标人委托同一单位或者个人办理投标事宜；</w:t>
      </w:r>
    </w:p>
    <w:p w14:paraId="7E0086BF">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5A1C8516">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1049C42E">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5.不同投标人的投标文件相互混装；</w:t>
      </w:r>
    </w:p>
    <w:p w14:paraId="235E2400">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11280DDD">
      <w:pPr>
        <w:spacing w:line="440" w:lineRule="exact"/>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5E79A2EB">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18ABF374">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2E5CA1AB">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6F247360">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52787CE7">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6C352CB4">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07719F2B">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03D7B0CE">
      <w:pPr>
        <w:spacing w:line="440" w:lineRule="exact"/>
        <w:ind w:firstLine="472" w:firstLineChars="196"/>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7B6D343D">
      <w:pPr>
        <w:pStyle w:val="24"/>
        <w:spacing w:line="440" w:lineRule="exact"/>
        <w:ind w:firstLine="960" w:firstLineChars="400"/>
        <w:contextualSpacing/>
        <w:rPr>
          <w:rFonts w:hint="eastAsia" w:hAnsi="宋体"/>
          <w:color w:val="auto"/>
          <w:sz w:val="24"/>
          <w:szCs w:val="24"/>
          <w:highlight w:val="none"/>
        </w:rPr>
      </w:pPr>
      <w:r>
        <w:rPr>
          <w:rFonts w:hint="eastAsia" w:hAnsi="宋体"/>
          <w:color w:val="auto"/>
          <w:sz w:val="24"/>
          <w:highlight w:val="none"/>
        </w:rPr>
        <w:t>法定代表人或者委托代理人</w:t>
      </w:r>
      <w:r>
        <w:rPr>
          <w:rFonts w:hint="eastAsia" w:hAnsi="宋体"/>
          <w:color w:val="auto"/>
          <w:spacing w:val="20"/>
          <w:sz w:val="24"/>
          <w:highlight w:val="none"/>
        </w:rPr>
        <w:t>（签字或者电子签名）：</w:t>
      </w:r>
      <w:r>
        <w:rPr>
          <w:rFonts w:hint="eastAsia" w:hAnsi="宋体"/>
          <w:color w:val="auto"/>
          <w:spacing w:val="20"/>
          <w:sz w:val="24"/>
          <w:highlight w:val="none"/>
          <w:u w:val="single"/>
        </w:rPr>
        <w:t xml:space="preserve">        </w:t>
      </w:r>
    </w:p>
    <w:p w14:paraId="40DE47F9">
      <w:pPr>
        <w:pStyle w:val="24"/>
        <w:spacing w:line="440" w:lineRule="exact"/>
        <w:contextualSpacing/>
        <w:jc w:val="center"/>
        <w:rPr>
          <w:rFonts w:hint="eastAsia"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投标人名称（电子签章）</w:t>
      </w:r>
    </w:p>
    <w:p w14:paraId="70A928FE">
      <w:pPr>
        <w:pStyle w:val="24"/>
        <w:spacing w:line="440" w:lineRule="exact"/>
        <w:contextualSpacing/>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1A9EECF2">
      <w:pPr>
        <w:snapToGrid w:val="0"/>
        <w:spacing w:before="120" w:beforeLines="50" w:after="50"/>
        <w:jc w:val="left"/>
        <w:rPr>
          <w:rFonts w:hint="eastAsia" w:ascii="宋体" w:hAnsi="宋体"/>
          <w:b/>
          <w:color w:val="auto"/>
          <w:sz w:val="24"/>
          <w:szCs w:val="20"/>
          <w:highlight w:val="none"/>
        </w:rPr>
      </w:pPr>
      <w:r>
        <w:rPr>
          <w:rFonts w:hint="eastAsia" w:ascii="宋体" w:hAnsi="宋体"/>
          <w:b/>
          <w:color w:val="auto"/>
          <w:sz w:val="24"/>
          <w:highlight w:val="none"/>
        </w:rPr>
        <w:t>4.法定代表人身份证明</w:t>
      </w:r>
    </w:p>
    <w:p w14:paraId="376F97DD">
      <w:pPr>
        <w:spacing w:before="240" w:beforeLines="100" w:after="120" w:afterLines="50"/>
        <w:ind w:left="540"/>
        <w:jc w:val="center"/>
        <w:rPr>
          <w:rFonts w:ascii="宋体" w:hAnsi="Courier New"/>
          <w:b/>
          <w:color w:val="auto"/>
          <w:sz w:val="32"/>
          <w:szCs w:val="32"/>
          <w:highlight w:val="none"/>
        </w:rPr>
      </w:pPr>
    </w:p>
    <w:p w14:paraId="7EDB1B43">
      <w:pPr>
        <w:spacing w:before="240" w:beforeLines="100" w:after="120" w:afterLines="50"/>
        <w:ind w:left="54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法定代表人身份证明</w:t>
      </w:r>
    </w:p>
    <w:p w14:paraId="52BBCD84">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69BD0799">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2AC25F46">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12491B5B">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3F534DB7">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1F76F436">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4398782F">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15E3B6D3">
      <w:pPr>
        <w:spacing w:line="500" w:lineRule="exact"/>
        <w:ind w:left="540"/>
        <w:rPr>
          <w:rFonts w:hint="eastAsia" w:ascii="宋体" w:hAnsi="宋体"/>
          <w:color w:val="auto"/>
          <w:sz w:val="24"/>
          <w:highlight w:val="none"/>
        </w:rPr>
      </w:pPr>
    </w:p>
    <w:p w14:paraId="7FF7C245">
      <w:pPr>
        <w:spacing w:line="500" w:lineRule="exact"/>
        <w:ind w:left="540"/>
        <w:rPr>
          <w:rFonts w:hint="eastAsia" w:ascii="宋体" w:hAnsi="宋体"/>
          <w:color w:val="auto"/>
          <w:sz w:val="24"/>
          <w:highlight w:val="none"/>
        </w:rPr>
      </w:pPr>
    </w:p>
    <w:p w14:paraId="58773769">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48E4179B">
      <w:pPr>
        <w:spacing w:line="500" w:lineRule="exact"/>
        <w:ind w:left="540"/>
        <w:rPr>
          <w:rFonts w:hint="eastAsia" w:ascii="宋体" w:hAnsi="宋体"/>
          <w:color w:val="auto"/>
          <w:sz w:val="24"/>
          <w:highlight w:val="none"/>
        </w:rPr>
      </w:pPr>
    </w:p>
    <w:p w14:paraId="6A60146A">
      <w:pPr>
        <w:spacing w:line="500" w:lineRule="exact"/>
        <w:ind w:left="540"/>
        <w:jc w:val="right"/>
        <w:rPr>
          <w:rFonts w:hint="eastAsia" w:ascii="宋体" w:hAnsi="宋体"/>
          <w:color w:val="auto"/>
          <w:sz w:val="24"/>
          <w:highlight w:val="none"/>
        </w:rPr>
      </w:pPr>
      <w:r>
        <w:rPr>
          <w:rFonts w:hint="eastAsia" w:ascii="宋体" w:hAnsi="宋体"/>
          <w:color w:val="auto"/>
          <w:sz w:val="24"/>
          <w:highlight w:val="none"/>
        </w:rPr>
        <w:t>投标人名称（电子签章）</w:t>
      </w:r>
    </w:p>
    <w:p w14:paraId="316DB345">
      <w:pPr>
        <w:spacing w:line="500" w:lineRule="exact"/>
        <w:ind w:left="540"/>
        <w:jc w:val="right"/>
        <w:rPr>
          <w:rFonts w:hint="eastAsia" w:ascii="宋体" w:hAnsi="宋体"/>
          <w:color w:val="auto"/>
          <w:sz w:val="24"/>
          <w:highlight w:val="none"/>
        </w:rPr>
      </w:pPr>
    </w:p>
    <w:p w14:paraId="6FA9CE7A">
      <w:pPr>
        <w:snapToGrid w:val="0"/>
        <w:spacing w:before="120" w:beforeLines="50" w:after="50"/>
        <w:ind w:left="54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71462C8B">
      <w:pPr>
        <w:snapToGrid w:val="0"/>
        <w:spacing w:before="120" w:beforeLines="50" w:after="50"/>
        <w:jc w:val="center"/>
        <w:rPr>
          <w:rFonts w:hint="eastAsia" w:ascii="宋体" w:hAnsi="宋体"/>
          <w:b/>
          <w:color w:val="auto"/>
          <w:sz w:val="24"/>
          <w:highlight w:val="none"/>
        </w:rPr>
      </w:pPr>
    </w:p>
    <w:p w14:paraId="236838FD">
      <w:pPr>
        <w:snapToGrid w:val="0"/>
        <w:spacing w:before="120" w:beforeLines="50" w:after="50"/>
        <w:jc w:val="left"/>
        <w:rPr>
          <w:rFonts w:hint="eastAsia" w:ascii="宋体" w:hAnsi="宋体"/>
          <w:b/>
          <w:color w:val="auto"/>
          <w:sz w:val="24"/>
          <w:szCs w:val="20"/>
          <w:highlight w:val="none"/>
        </w:rPr>
      </w:pPr>
      <w:r>
        <w:rPr>
          <w:rFonts w:hint="eastAsia" w:ascii="宋体" w:hAnsi="宋体"/>
          <w:color w:val="auto"/>
          <w:sz w:val="24"/>
          <w:highlight w:val="none"/>
        </w:rPr>
        <w:t>注：自然人投标的无需提供</w:t>
      </w:r>
    </w:p>
    <w:p w14:paraId="43A185F9">
      <w:pPr>
        <w:snapToGrid w:val="0"/>
        <w:spacing w:before="120" w:beforeLines="50" w:after="5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71EAFC64">
      <w:pPr>
        <w:snapToGrid w:val="0"/>
        <w:spacing w:before="120" w:beforeLines="50" w:after="50"/>
        <w:jc w:val="center"/>
        <w:rPr>
          <w:rFonts w:hint="eastAsia" w:ascii="宋体" w:hAnsi="宋体"/>
          <w:b/>
          <w:color w:val="auto"/>
          <w:sz w:val="44"/>
          <w:szCs w:val="44"/>
          <w:highlight w:val="none"/>
        </w:rPr>
      </w:pPr>
    </w:p>
    <w:p w14:paraId="6897FF37">
      <w:pPr>
        <w:spacing w:line="360" w:lineRule="auto"/>
        <w:contextualSpacing/>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授权委托书</w:t>
      </w:r>
    </w:p>
    <w:p w14:paraId="6D0A6438">
      <w:pPr>
        <w:spacing w:line="360" w:lineRule="auto"/>
        <w:contextualSpacing/>
        <w:jc w:val="center"/>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（非联合体投标格式）</w:t>
      </w:r>
    </w:p>
    <w:p w14:paraId="07964781">
      <w:pPr>
        <w:spacing w:line="360" w:lineRule="auto"/>
        <w:contextualSpacing/>
        <w:jc w:val="center"/>
        <w:rPr>
          <w:rFonts w:hint="eastAsia" w:ascii="方正小标宋简体" w:hAnsi="方正小标宋简体" w:eastAsia="方正小标宋简体" w:cs="方正小标宋简体"/>
          <w:bCs/>
          <w:color w:val="auto"/>
          <w:sz w:val="24"/>
          <w:highlight w:val="none"/>
        </w:rPr>
      </w:pPr>
      <w:r>
        <w:rPr>
          <w:rFonts w:hint="eastAsia" w:ascii="方正小标宋简体" w:hAnsi="方正小标宋简体" w:eastAsia="方正小标宋简体" w:cs="方正小标宋简体"/>
          <w:bCs/>
          <w:color w:val="auto"/>
          <w:sz w:val="32"/>
          <w:szCs w:val="32"/>
          <w:highlight w:val="none"/>
        </w:rPr>
        <w:t>（如有委托时）</w:t>
      </w:r>
    </w:p>
    <w:p w14:paraId="6B63B4B6">
      <w:pPr>
        <w:spacing w:line="440" w:lineRule="exact"/>
        <w:contextualSpacing/>
        <w:jc w:val="center"/>
        <w:rPr>
          <w:rFonts w:hint="eastAsia" w:ascii="宋体" w:hAnsi="宋体"/>
          <w:b/>
          <w:color w:val="auto"/>
          <w:sz w:val="24"/>
          <w:highlight w:val="none"/>
        </w:rPr>
      </w:pPr>
    </w:p>
    <w:p w14:paraId="1823DF6E">
      <w:pPr>
        <w:spacing w:line="440" w:lineRule="exact"/>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3FBC3388">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2B1F9107">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我方对委托代理人的签字或者电子签名事项负全部责任。</w:t>
      </w:r>
    </w:p>
    <w:p w14:paraId="0CB0D27F">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1F5EEFEB">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2D65AA17">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58FFA947">
      <w:pPr>
        <w:spacing w:line="440" w:lineRule="exact"/>
        <w:contextualSpacing/>
        <w:rPr>
          <w:rFonts w:hint="eastAsia" w:ascii="宋体" w:hAnsi="宋体"/>
          <w:color w:val="auto"/>
          <w:sz w:val="24"/>
          <w:highlight w:val="none"/>
        </w:rPr>
      </w:pPr>
    </w:p>
    <w:p w14:paraId="30B9DDD7">
      <w:pPr>
        <w:spacing w:line="440" w:lineRule="exact"/>
        <w:contextualSpacing/>
        <w:rPr>
          <w:rFonts w:hint="eastAsia" w:ascii="宋体" w:hAnsi="宋体"/>
          <w:color w:val="auto"/>
          <w:sz w:val="24"/>
          <w:highlight w:val="none"/>
        </w:rPr>
      </w:pPr>
      <w:r>
        <w:rPr>
          <w:rFonts w:hint="eastAsia" w:ascii="宋体" w:hAnsi="宋体"/>
          <w:color w:val="auto"/>
          <w:sz w:val="24"/>
          <w:highlight w:val="none"/>
        </w:rPr>
        <w:t>委托代理人（签字或者电子签名）：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187959D">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p>
    <w:p w14:paraId="0BE257E6">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法定代表人（签字或者盖章或者电子签名）：</w:t>
      </w:r>
      <w:r>
        <w:rPr>
          <w:rFonts w:hint="eastAsia" w:ascii="宋体" w:hAnsi="宋体"/>
          <w:color w:val="auto"/>
          <w:sz w:val="24"/>
          <w:highlight w:val="none"/>
          <w:u w:val="single"/>
        </w:rPr>
        <w:t xml:space="preserve">              </w:t>
      </w:r>
    </w:p>
    <w:p w14:paraId="38EAED2C">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w:t>
      </w:r>
    </w:p>
    <w:p w14:paraId="2CD57446">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758B6161">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16BD63D5">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w:t>
      </w:r>
      <w:bookmarkStart w:id="165" w:name="_Hlk65851555"/>
      <w:bookmarkStart w:id="166" w:name="_Hlk65851620"/>
      <w:r>
        <w:rPr>
          <w:rFonts w:hint="eastAsia" w:ascii="宋体" w:hAnsi="宋体" w:cs="仿宋_GB2312"/>
          <w:color w:val="auto"/>
          <w:sz w:val="24"/>
          <w:highlight w:val="none"/>
        </w:rPr>
        <w:t>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w:t>
      </w:r>
      <w:bookmarkEnd w:id="165"/>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lang w:eastAsia="zh-CN"/>
        </w:rPr>
        <w:t>否则投标文件按无效处理</w:t>
      </w:r>
      <w:r>
        <w:rPr>
          <w:rFonts w:hint="eastAsia" w:ascii="宋体" w:hAnsi="宋体" w:cs="仿宋_GB2312"/>
          <w:color w:val="auto"/>
          <w:sz w:val="24"/>
          <w:highlight w:val="none"/>
        </w:rPr>
        <w:t>；</w:t>
      </w:r>
      <w:bookmarkEnd w:id="166"/>
    </w:p>
    <w:p w14:paraId="74CE94CF">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5593FC55">
      <w:pPr>
        <w:snapToGrid w:val="0"/>
        <w:spacing w:before="120" w:beforeLines="50" w:after="50"/>
        <w:ind w:firstLine="566" w:firstLineChars="236"/>
        <w:jc w:val="center"/>
        <w:rPr>
          <w:rFonts w:hint="eastAsia" w:ascii="宋体" w:hAnsi="宋体"/>
          <w:color w:val="auto"/>
          <w:sz w:val="24"/>
          <w:highlight w:val="none"/>
        </w:rPr>
      </w:pPr>
      <w:r>
        <w:rPr>
          <w:rFonts w:ascii="宋体" w:hAnsi="宋体"/>
          <w:color w:val="auto"/>
          <w:sz w:val="24"/>
          <w:highlight w:val="none"/>
        </w:rPr>
        <w:br w:type="page"/>
      </w:r>
    </w:p>
    <w:p w14:paraId="663086F5">
      <w:pPr>
        <w:rPr>
          <w:rFonts w:hint="eastAsia" w:ascii="宋体" w:hAnsi="宋体"/>
          <w:b/>
          <w:color w:val="auto"/>
          <w:sz w:val="24"/>
          <w:szCs w:val="20"/>
          <w:highlight w:val="none"/>
        </w:rPr>
      </w:pPr>
      <w:r>
        <w:rPr>
          <w:rFonts w:hint="eastAsia" w:ascii="宋体" w:hAnsi="宋体"/>
          <w:b/>
          <w:color w:val="auto"/>
          <w:sz w:val="24"/>
          <w:highlight w:val="none"/>
        </w:rPr>
        <w:t>6.商务要求偏离表格式</w:t>
      </w:r>
    </w:p>
    <w:p w14:paraId="3B3CBEF9">
      <w:pPr>
        <w:snapToGrid w:val="0"/>
        <w:spacing w:before="50"/>
        <w:jc w:val="left"/>
        <w:rPr>
          <w:rFonts w:hint="eastAsia" w:ascii="宋体" w:hAnsi="宋体"/>
          <w:color w:val="auto"/>
          <w:sz w:val="24"/>
          <w:highlight w:val="none"/>
        </w:rPr>
      </w:pPr>
    </w:p>
    <w:p w14:paraId="68E6C614">
      <w:pPr>
        <w:pStyle w:val="24"/>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p w14:paraId="525CAC05">
      <w:pPr>
        <w:snapToGrid w:val="0"/>
        <w:spacing w:before="50"/>
        <w:jc w:val="left"/>
        <w:rPr>
          <w:rFonts w:hint="eastAsia" w:ascii="宋体" w:hAnsi="宋体"/>
          <w:color w:val="auto"/>
          <w:sz w:val="24"/>
          <w:highlight w:val="none"/>
          <w:u w:val="single"/>
        </w:rPr>
      </w:pPr>
    </w:p>
    <w:tbl>
      <w:tblPr>
        <w:tblStyle w:val="46"/>
        <w:tblW w:w="8641"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27"/>
        <w:gridCol w:w="2619"/>
        <w:gridCol w:w="1760"/>
        <w:gridCol w:w="2035"/>
      </w:tblGrid>
      <w:tr w14:paraId="1AD142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227" w:type="dxa"/>
            <w:tcBorders>
              <w:top w:val="single" w:color="auto" w:sz="4" w:space="0"/>
              <w:left w:val="single" w:color="auto" w:sz="4" w:space="0"/>
              <w:bottom w:val="single" w:color="auto" w:sz="4" w:space="0"/>
              <w:right w:val="single" w:color="auto" w:sz="4" w:space="0"/>
            </w:tcBorders>
          </w:tcPr>
          <w:p w14:paraId="4BE67CF9">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项目</w:t>
            </w:r>
          </w:p>
        </w:tc>
        <w:tc>
          <w:tcPr>
            <w:tcW w:w="2619" w:type="dxa"/>
            <w:tcBorders>
              <w:top w:val="single" w:color="auto" w:sz="4" w:space="0"/>
              <w:left w:val="single" w:color="auto" w:sz="4" w:space="0"/>
              <w:bottom w:val="single" w:color="auto" w:sz="4" w:space="0"/>
              <w:right w:val="single" w:color="auto" w:sz="4" w:space="0"/>
            </w:tcBorders>
          </w:tcPr>
          <w:p w14:paraId="121A7BD7">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79EA2DFB">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16D74FDC">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偏离说明</w:t>
            </w:r>
          </w:p>
        </w:tc>
      </w:tr>
      <w:tr w14:paraId="73A30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227" w:type="dxa"/>
            <w:tcBorders>
              <w:top w:val="single" w:color="auto" w:sz="4" w:space="0"/>
              <w:left w:val="single" w:color="auto" w:sz="4" w:space="0"/>
              <w:bottom w:val="single" w:color="auto" w:sz="4" w:space="0"/>
              <w:right w:val="single" w:color="auto" w:sz="4" w:space="0"/>
            </w:tcBorders>
            <w:vAlign w:val="center"/>
          </w:tcPr>
          <w:p w14:paraId="561A55EC">
            <w:pPr>
              <w:jc w:val="center"/>
              <w:rPr>
                <w:rFonts w:hint="eastAsia" w:ascii="宋体" w:hAnsi="宋体"/>
                <w:iCs/>
                <w:color w:val="auto"/>
                <w:sz w:val="24"/>
                <w:highlight w:val="none"/>
              </w:rPr>
            </w:pPr>
            <w:r>
              <w:rPr>
                <w:rFonts w:hint="eastAsia" w:ascii="宋体" w:hAnsi="宋体"/>
                <w:iCs/>
                <w:color w:val="auto"/>
                <w:sz w:val="24"/>
                <w:highlight w:val="none"/>
              </w:rPr>
              <w:t>交付时间</w:t>
            </w:r>
            <w:r>
              <w:rPr>
                <w:rFonts w:hint="eastAsia" w:ascii="宋体" w:hAnsi="宋体"/>
                <w:iCs/>
                <w:color w:val="auto"/>
                <w:sz w:val="24"/>
                <w:highlight w:val="none"/>
                <w:lang w:eastAsia="zh-CN"/>
              </w:rPr>
              <w:t>（合同履行时间）</w:t>
            </w:r>
            <w:r>
              <w:rPr>
                <w:rFonts w:hint="eastAsia" w:ascii="宋体" w:hAnsi="宋体"/>
                <w:iCs/>
                <w:color w:val="auto"/>
                <w:sz w:val="24"/>
                <w:highlight w:val="none"/>
              </w:rPr>
              <w:t>和地点</w:t>
            </w:r>
          </w:p>
        </w:tc>
        <w:tc>
          <w:tcPr>
            <w:tcW w:w="2619" w:type="dxa"/>
            <w:tcBorders>
              <w:top w:val="single" w:color="auto" w:sz="4" w:space="0"/>
              <w:left w:val="single" w:color="auto" w:sz="4" w:space="0"/>
              <w:bottom w:val="single" w:color="auto" w:sz="4" w:space="0"/>
              <w:right w:val="single" w:color="auto" w:sz="4" w:space="0"/>
            </w:tcBorders>
          </w:tcPr>
          <w:p w14:paraId="6BA28EE6">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66BE1F1C">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460A8F99">
            <w:pPr>
              <w:snapToGrid w:val="0"/>
              <w:spacing w:before="120" w:beforeLines="50"/>
              <w:jc w:val="center"/>
              <w:rPr>
                <w:rFonts w:hint="eastAsia" w:ascii="宋体" w:hAnsi="宋体"/>
                <w:color w:val="auto"/>
                <w:sz w:val="24"/>
                <w:highlight w:val="none"/>
              </w:rPr>
            </w:pPr>
          </w:p>
        </w:tc>
      </w:tr>
      <w:tr w14:paraId="792609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227" w:type="dxa"/>
            <w:tcBorders>
              <w:top w:val="single" w:color="auto" w:sz="4" w:space="0"/>
              <w:left w:val="single" w:color="auto" w:sz="4" w:space="0"/>
              <w:bottom w:val="single" w:color="auto" w:sz="4" w:space="0"/>
              <w:right w:val="single" w:color="auto" w:sz="4" w:space="0"/>
            </w:tcBorders>
            <w:vAlign w:val="center"/>
          </w:tcPr>
          <w:p w14:paraId="6F910A41">
            <w:pPr>
              <w:jc w:val="center"/>
              <w:rPr>
                <w:rFonts w:hint="eastAsia" w:ascii="宋体" w:hAnsi="宋体"/>
                <w:iCs/>
                <w:color w:val="auto"/>
                <w:sz w:val="24"/>
                <w:highlight w:val="none"/>
              </w:rPr>
            </w:pPr>
            <w:r>
              <w:rPr>
                <w:rFonts w:hint="eastAsia" w:ascii="宋体" w:hAnsi="宋体"/>
                <w:iCs/>
                <w:color w:val="auto"/>
                <w:sz w:val="24"/>
                <w:highlight w:val="none"/>
              </w:rPr>
              <w:t>合同签订时间</w:t>
            </w:r>
          </w:p>
        </w:tc>
        <w:tc>
          <w:tcPr>
            <w:tcW w:w="2619" w:type="dxa"/>
            <w:tcBorders>
              <w:top w:val="single" w:color="auto" w:sz="4" w:space="0"/>
              <w:left w:val="single" w:color="auto" w:sz="4" w:space="0"/>
              <w:bottom w:val="single" w:color="auto" w:sz="4" w:space="0"/>
              <w:right w:val="single" w:color="auto" w:sz="4" w:space="0"/>
            </w:tcBorders>
          </w:tcPr>
          <w:p w14:paraId="7A5482E6">
            <w:pPr>
              <w:snapToGrid w:val="0"/>
              <w:spacing w:before="120" w:beforeLines="50"/>
              <w:rPr>
                <w:rFonts w:hint="eastAsia" w:ascii="宋体" w:hAnsi="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tcPr>
          <w:p w14:paraId="1EAC1401">
            <w:pPr>
              <w:snapToGrid w:val="0"/>
              <w:spacing w:before="120" w:beforeLines="5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16B3F29E">
            <w:pPr>
              <w:snapToGrid w:val="0"/>
              <w:spacing w:before="120" w:beforeLines="50"/>
              <w:ind w:left="43"/>
              <w:jc w:val="center"/>
              <w:rPr>
                <w:rFonts w:hint="eastAsia" w:ascii="宋体" w:hAnsi="宋体"/>
                <w:color w:val="auto"/>
                <w:sz w:val="24"/>
                <w:highlight w:val="none"/>
              </w:rPr>
            </w:pPr>
          </w:p>
        </w:tc>
      </w:tr>
      <w:tr w14:paraId="3842A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27" w:type="dxa"/>
            <w:tcBorders>
              <w:top w:val="single" w:color="auto" w:sz="4" w:space="0"/>
              <w:left w:val="single" w:color="auto" w:sz="4" w:space="0"/>
              <w:bottom w:val="single" w:color="auto" w:sz="4" w:space="0"/>
              <w:right w:val="single" w:color="auto" w:sz="4" w:space="0"/>
            </w:tcBorders>
          </w:tcPr>
          <w:p w14:paraId="54A89344">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w:t>
            </w:r>
          </w:p>
        </w:tc>
        <w:tc>
          <w:tcPr>
            <w:tcW w:w="2619" w:type="dxa"/>
            <w:tcBorders>
              <w:top w:val="single" w:color="auto" w:sz="4" w:space="0"/>
              <w:left w:val="single" w:color="auto" w:sz="4" w:space="0"/>
              <w:bottom w:val="single" w:color="auto" w:sz="4" w:space="0"/>
              <w:right w:val="single" w:color="auto" w:sz="4" w:space="0"/>
            </w:tcBorders>
          </w:tcPr>
          <w:p w14:paraId="4D91D573">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55550822">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25FDA171">
            <w:pPr>
              <w:snapToGrid w:val="0"/>
              <w:spacing w:before="120" w:beforeLines="50"/>
              <w:jc w:val="center"/>
              <w:rPr>
                <w:rFonts w:hint="eastAsia" w:ascii="宋体" w:hAnsi="宋体"/>
                <w:color w:val="auto"/>
                <w:sz w:val="24"/>
                <w:highlight w:val="none"/>
              </w:rPr>
            </w:pPr>
          </w:p>
        </w:tc>
      </w:tr>
    </w:tbl>
    <w:p w14:paraId="748D7B02">
      <w:pPr>
        <w:pStyle w:val="16"/>
        <w:rPr>
          <w:rFonts w:hint="eastAsia" w:ascii="宋体" w:hAnsi="宋体"/>
          <w:color w:val="auto"/>
          <w:highlight w:val="none"/>
        </w:rPr>
      </w:pPr>
      <w:r>
        <w:rPr>
          <w:rFonts w:hint="eastAsia" w:ascii="宋体" w:hAnsi="宋体"/>
          <w:color w:val="auto"/>
          <w:highlight w:val="none"/>
        </w:rPr>
        <w:t>注：</w:t>
      </w:r>
    </w:p>
    <w:p w14:paraId="6E4E3CCF">
      <w:pPr>
        <w:pStyle w:val="18"/>
        <w:spacing w:line="520" w:lineRule="exact"/>
        <w:ind w:firstLine="0" w:firstLineChars="0"/>
        <w:rPr>
          <w:rFonts w:hint="eastAsia" w:hAnsi="仿宋_GB2312" w:cs="仿宋_GB2312"/>
          <w:color w:val="auto"/>
          <w:szCs w:val="32"/>
          <w:highlight w:val="none"/>
        </w:rPr>
      </w:pPr>
      <w:r>
        <w:rPr>
          <w:rFonts w:hint="eastAsia" w:ascii="宋体" w:hAnsi="宋体" w:eastAsia="宋体"/>
          <w:color w:val="auto"/>
          <w:sz w:val="24"/>
          <w:szCs w:val="24"/>
          <w:highlight w:val="none"/>
        </w:rPr>
        <w:t>1.</w:t>
      </w:r>
      <w:r>
        <w:rPr>
          <w:rFonts w:hint="eastAsia"/>
          <w:color w:val="auto"/>
          <w:highlight w:val="none"/>
        </w:rPr>
        <w:t xml:space="preserve"> </w:t>
      </w:r>
      <w:r>
        <w:rPr>
          <w:rFonts w:hint="eastAsia" w:ascii="宋体" w:hAnsi="宋体" w:eastAsia="宋体"/>
          <w:color w:val="auto"/>
          <w:sz w:val="24"/>
          <w:szCs w:val="24"/>
          <w:highlight w:val="none"/>
        </w:rPr>
        <w:t>说明：应对照招标文件“第二章 采购需求”中的商务要求逐条作明确的投标响应，并作出偏离说明。</w:t>
      </w:r>
    </w:p>
    <w:p w14:paraId="34738E42">
      <w:pPr>
        <w:pStyle w:val="16"/>
        <w:rPr>
          <w:rFonts w:hint="eastAsia"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624C4F44">
      <w:pPr>
        <w:snapToGrid w:val="0"/>
        <w:spacing w:before="50" w:after="50"/>
        <w:rPr>
          <w:rFonts w:hint="eastAsia" w:ascii="宋体" w:hAnsi="宋体"/>
          <w:color w:val="auto"/>
          <w:sz w:val="24"/>
          <w:highlight w:val="none"/>
        </w:rPr>
      </w:pPr>
    </w:p>
    <w:p w14:paraId="158E2232">
      <w:pPr>
        <w:snapToGrid w:val="0"/>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7C1F06D3">
      <w:pPr>
        <w:snapToGrid w:val="0"/>
        <w:spacing w:before="120" w:beforeLines="50"/>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5971D00D">
      <w:pPr>
        <w:snapToGrid w:val="0"/>
        <w:spacing w:before="120" w:beforeLines="50"/>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423E008D">
      <w:pPr>
        <w:snapToGrid w:val="0"/>
        <w:spacing w:before="120" w:beforeLines="50"/>
        <w:rPr>
          <w:rFonts w:hint="eastAsia" w:ascii="宋体" w:hAnsi="宋体"/>
          <w:color w:val="auto"/>
          <w:sz w:val="24"/>
          <w:szCs w:val="20"/>
          <w:highlight w:val="none"/>
        </w:rPr>
      </w:pPr>
    </w:p>
    <w:p w14:paraId="795F95B2">
      <w:pPr>
        <w:snapToGrid w:val="0"/>
        <w:spacing w:before="120" w:beforeLines="50" w:after="50"/>
        <w:jc w:val="left"/>
        <w:rPr>
          <w:rFonts w:hint="eastAsia" w:ascii="宋体" w:hAnsi="宋体"/>
          <w:color w:val="auto"/>
          <w:sz w:val="24"/>
          <w:szCs w:val="20"/>
          <w:highlight w:val="none"/>
        </w:rPr>
      </w:pPr>
    </w:p>
    <w:p w14:paraId="0E458A2F">
      <w:pPr>
        <w:snapToGrid w:val="0"/>
        <w:spacing w:before="120" w:beforeLines="50" w:after="50"/>
        <w:jc w:val="left"/>
        <w:rPr>
          <w:rFonts w:hint="eastAsia"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7.投标人业绩证明材料</w:t>
      </w:r>
    </w:p>
    <w:p w14:paraId="06259C4E">
      <w:pPr>
        <w:pStyle w:val="34"/>
        <w:snapToGrid w:val="0"/>
        <w:ind w:left="480" w:hanging="480"/>
        <w:rPr>
          <w:rFonts w:hint="eastAsia" w:ascii="宋体" w:hAnsi="宋体"/>
          <w:color w:val="auto"/>
          <w:sz w:val="24"/>
          <w:highlight w:val="none"/>
        </w:rPr>
      </w:pPr>
    </w:p>
    <w:p w14:paraId="4A8CE4E0">
      <w:pPr>
        <w:pStyle w:val="34"/>
        <w:snapToGrid w:val="0"/>
        <w:ind w:left="480" w:hanging="480"/>
        <w:rPr>
          <w:rFonts w:hint="eastAsia"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46"/>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1770"/>
        <w:gridCol w:w="1770"/>
        <w:gridCol w:w="2856"/>
      </w:tblGrid>
      <w:tr w14:paraId="7DF6B8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132" w:type="dxa"/>
            <w:vMerge w:val="restart"/>
            <w:tcBorders>
              <w:top w:val="single" w:color="auto" w:sz="4" w:space="0"/>
              <w:left w:val="single" w:color="auto" w:sz="4" w:space="0"/>
              <w:bottom w:val="single" w:color="auto" w:sz="4" w:space="0"/>
              <w:right w:val="single" w:color="auto" w:sz="4" w:space="0"/>
            </w:tcBorders>
            <w:vAlign w:val="center"/>
          </w:tcPr>
          <w:p w14:paraId="550F7772">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11BA18A9">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6E0645B6">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合同金额</w:t>
            </w:r>
          </w:p>
          <w:p w14:paraId="07667942">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2856" w:type="dxa"/>
            <w:vMerge w:val="restart"/>
            <w:tcBorders>
              <w:top w:val="single" w:color="auto" w:sz="4" w:space="0"/>
              <w:left w:val="single" w:color="auto" w:sz="4" w:space="0"/>
              <w:bottom w:val="single" w:color="auto" w:sz="4" w:space="0"/>
              <w:right w:val="single" w:color="auto" w:sz="4" w:space="0"/>
            </w:tcBorders>
            <w:vAlign w:val="center"/>
          </w:tcPr>
          <w:p w14:paraId="25B03EE3">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6C5B70D1">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238F7C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132" w:type="dxa"/>
            <w:vMerge w:val="continue"/>
            <w:tcBorders>
              <w:top w:val="single" w:color="auto" w:sz="4" w:space="0"/>
              <w:left w:val="single" w:color="auto" w:sz="4" w:space="0"/>
              <w:bottom w:val="single" w:color="auto" w:sz="4" w:space="0"/>
              <w:right w:val="single" w:color="auto" w:sz="4" w:space="0"/>
            </w:tcBorders>
            <w:vAlign w:val="center"/>
          </w:tcPr>
          <w:p w14:paraId="025A972B">
            <w:pPr>
              <w:jc w:val="left"/>
              <w:rPr>
                <w:rFonts w:hint="eastAsia" w:ascii="宋体" w:hAnsi="宋体"/>
                <w:color w:val="auto"/>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406E28BC">
            <w:pPr>
              <w:jc w:val="left"/>
              <w:rPr>
                <w:rFonts w:hint="eastAsia" w:ascii="宋体" w:hAnsi="宋体"/>
                <w:color w:val="auto"/>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6484362F">
            <w:pPr>
              <w:jc w:val="left"/>
              <w:rPr>
                <w:rFonts w:hint="eastAsia" w:ascii="宋体" w:hAnsi="宋体"/>
                <w:color w:val="auto"/>
                <w:sz w:val="24"/>
                <w:highlight w:val="none"/>
              </w:rPr>
            </w:pPr>
          </w:p>
        </w:tc>
        <w:tc>
          <w:tcPr>
            <w:tcW w:w="2856" w:type="dxa"/>
            <w:vMerge w:val="continue"/>
            <w:tcBorders>
              <w:top w:val="single" w:color="auto" w:sz="4" w:space="0"/>
              <w:left w:val="single" w:color="auto" w:sz="4" w:space="0"/>
              <w:bottom w:val="single" w:color="auto" w:sz="4" w:space="0"/>
              <w:right w:val="single" w:color="auto" w:sz="4" w:space="0"/>
            </w:tcBorders>
            <w:vAlign w:val="center"/>
          </w:tcPr>
          <w:p w14:paraId="7098A0A7">
            <w:pPr>
              <w:jc w:val="left"/>
              <w:rPr>
                <w:rFonts w:hint="eastAsia" w:ascii="宋体" w:hAnsi="宋体"/>
                <w:color w:val="auto"/>
                <w:sz w:val="24"/>
                <w:highlight w:val="none"/>
              </w:rPr>
            </w:pPr>
          </w:p>
        </w:tc>
      </w:tr>
      <w:tr w14:paraId="3AE1B0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32" w:type="dxa"/>
            <w:tcBorders>
              <w:top w:val="single" w:color="auto" w:sz="4" w:space="0"/>
              <w:left w:val="single" w:color="auto" w:sz="4" w:space="0"/>
              <w:bottom w:val="single" w:color="auto" w:sz="4" w:space="0"/>
              <w:right w:val="single" w:color="auto" w:sz="4" w:space="0"/>
            </w:tcBorders>
          </w:tcPr>
          <w:p w14:paraId="3FFC1D10">
            <w:pPr>
              <w:snapToGrid w:val="0"/>
              <w:spacing w:line="24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5D7CB7B1">
            <w:pPr>
              <w:snapToGrid w:val="0"/>
              <w:spacing w:line="24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4D3C389F">
            <w:pPr>
              <w:snapToGrid w:val="0"/>
              <w:spacing w:line="240" w:lineRule="exact"/>
              <w:jc w:val="left"/>
              <w:rPr>
                <w:rFonts w:hint="eastAsia"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tcPr>
          <w:p w14:paraId="0DDE1C26">
            <w:pPr>
              <w:snapToGrid w:val="0"/>
              <w:spacing w:line="240" w:lineRule="exact"/>
              <w:jc w:val="left"/>
              <w:rPr>
                <w:rFonts w:hint="eastAsia" w:ascii="宋体" w:hAnsi="宋体"/>
                <w:color w:val="auto"/>
                <w:sz w:val="24"/>
                <w:highlight w:val="none"/>
              </w:rPr>
            </w:pPr>
          </w:p>
        </w:tc>
      </w:tr>
      <w:tr w14:paraId="373B39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tcPr>
          <w:p w14:paraId="097B49E7">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692AC925">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7E0A8CA1">
            <w:pPr>
              <w:snapToGrid w:val="0"/>
              <w:spacing w:before="50" w:after="120" w:afterLines="50" w:line="400" w:lineRule="exact"/>
              <w:jc w:val="left"/>
              <w:rPr>
                <w:rFonts w:hint="eastAsia"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tcPr>
          <w:p w14:paraId="15B5DFA2">
            <w:pPr>
              <w:snapToGrid w:val="0"/>
              <w:spacing w:before="50" w:after="120" w:afterLines="50" w:line="400" w:lineRule="exact"/>
              <w:jc w:val="left"/>
              <w:rPr>
                <w:rFonts w:hint="eastAsia" w:ascii="宋体" w:hAnsi="宋体"/>
                <w:color w:val="auto"/>
                <w:sz w:val="24"/>
                <w:highlight w:val="none"/>
              </w:rPr>
            </w:pPr>
          </w:p>
        </w:tc>
      </w:tr>
      <w:tr w14:paraId="09390A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32" w:type="dxa"/>
            <w:tcBorders>
              <w:top w:val="single" w:color="auto" w:sz="4" w:space="0"/>
              <w:left w:val="single" w:color="auto" w:sz="4" w:space="0"/>
              <w:bottom w:val="single" w:color="auto" w:sz="4" w:space="0"/>
              <w:right w:val="single" w:color="auto" w:sz="4" w:space="0"/>
            </w:tcBorders>
          </w:tcPr>
          <w:p w14:paraId="6E4F455B">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0DADEBF0">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3B4A0E1E">
            <w:pPr>
              <w:snapToGrid w:val="0"/>
              <w:spacing w:before="50" w:after="120" w:afterLines="50" w:line="400" w:lineRule="exact"/>
              <w:jc w:val="left"/>
              <w:rPr>
                <w:rFonts w:hint="eastAsia"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tcPr>
          <w:p w14:paraId="1D0DEA27">
            <w:pPr>
              <w:snapToGrid w:val="0"/>
              <w:spacing w:before="50" w:after="120" w:afterLines="50" w:line="400" w:lineRule="exact"/>
              <w:jc w:val="left"/>
              <w:rPr>
                <w:rFonts w:hint="eastAsia" w:ascii="宋体" w:hAnsi="宋体"/>
                <w:color w:val="auto"/>
                <w:sz w:val="24"/>
                <w:highlight w:val="none"/>
              </w:rPr>
            </w:pPr>
          </w:p>
        </w:tc>
      </w:tr>
      <w:tr w14:paraId="5F6AE7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tcPr>
          <w:p w14:paraId="3A727DA8">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27147175">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1FE9B470">
            <w:pPr>
              <w:snapToGrid w:val="0"/>
              <w:spacing w:before="50" w:after="120" w:afterLines="50" w:line="400" w:lineRule="exact"/>
              <w:jc w:val="left"/>
              <w:rPr>
                <w:rFonts w:hint="eastAsia"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tcPr>
          <w:p w14:paraId="10312A8C">
            <w:pPr>
              <w:snapToGrid w:val="0"/>
              <w:spacing w:before="50" w:after="120" w:afterLines="50" w:line="400" w:lineRule="exact"/>
              <w:jc w:val="left"/>
              <w:rPr>
                <w:rFonts w:hint="eastAsia" w:ascii="宋体" w:hAnsi="宋体"/>
                <w:color w:val="auto"/>
                <w:sz w:val="24"/>
                <w:highlight w:val="none"/>
              </w:rPr>
            </w:pPr>
          </w:p>
        </w:tc>
      </w:tr>
      <w:tr w14:paraId="08EBB3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tcPr>
          <w:p w14:paraId="53C74412">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48CB5107">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1E7E6832">
            <w:pPr>
              <w:snapToGrid w:val="0"/>
              <w:spacing w:before="50" w:after="120" w:afterLines="50" w:line="400" w:lineRule="exact"/>
              <w:jc w:val="left"/>
              <w:rPr>
                <w:rFonts w:hint="eastAsia"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tcPr>
          <w:p w14:paraId="5CEC8DFA">
            <w:pPr>
              <w:snapToGrid w:val="0"/>
              <w:spacing w:before="50" w:after="120" w:afterLines="50" w:line="400" w:lineRule="exact"/>
              <w:jc w:val="left"/>
              <w:rPr>
                <w:rFonts w:hint="eastAsia" w:ascii="宋体" w:hAnsi="宋体"/>
                <w:color w:val="auto"/>
                <w:sz w:val="24"/>
                <w:highlight w:val="none"/>
              </w:rPr>
            </w:pPr>
          </w:p>
        </w:tc>
      </w:tr>
    </w:tbl>
    <w:p w14:paraId="6177E96E">
      <w:pPr>
        <w:pStyle w:val="13"/>
        <w:spacing w:before="0" w:after="0" w:line="360" w:lineRule="auto"/>
        <w:contextualSpacing/>
        <w:rPr>
          <w:rFonts w:hint="eastAsia" w:ascii="宋体" w:hAnsi="宋体" w:eastAsia="宋体"/>
          <w:color w:val="auto"/>
          <w:sz w:val="24"/>
          <w:szCs w:val="24"/>
          <w:highlight w:val="none"/>
        </w:rPr>
      </w:pPr>
    </w:p>
    <w:p w14:paraId="54530C46">
      <w:pPr>
        <w:pStyle w:val="13"/>
        <w:spacing w:before="0" w:after="0"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11269AA5">
      <w:pPr>
        <w:pStyle w:val="13"/>
        <w:spacing w:before="0" w:after="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法定代表人或者委托代理人（签字或者电子签名）：</w:t>
      </w:r>
      <w:r>
        <w:rPr>
          <w:rFonts w:hint="eastAsia" w:ascii="宋体" w:hAnsi="宋体" w:eastAsia="宋体"/>
          <w:color w:val="auto"/>
          <w:sz w:val="24"/>
          <w:szCs w:val="24"/>
          <w:highlight w:val="none"/>
          <w:u w:val="single"/>
        </w:rPr>
        <w:t>　　　　　</w:t>
      </w:r>
    </w:p>
    <w:p w14:paraId="7FA681DE">
      <w:pPr>
        <w:spacing w:line="360" w:lineRule="auto"/>
        <w:ind w:right="480"/>
        <w:contextualSpacing/>
        <w:jc w:val="left"/>
        <w:rPr>
          <w:rFonts w:hint="eastAsia" w:ascii="宋体" w:hAnsi="宋体"/>
          <w:color w:val="auto"/>
          <w:sz w:val="24"/>
          <w:szCs w:val="20"/>
          <w:highlight w:val="none"/>
        </w:rPr>
      </w:pPr>
      <w:r>
        <w:rPr>
          <w:rFonts w:hint="eastAsia" w:ascii="宋体" w:hAnsi="宋体" w:cs="Arial"/>
          <w:color w:val="auto"/>
          <w:sz w:val="24"/>
          <w:highlight w:val="none"/>
        </w:rPr>
        <w:t xml:space="preserve">投标人名称（电子签章）：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74DAAA5E">
      <w:pPr>
        <w:snapToGrid w:val="0"/>
        <w:spacing w:before="50"/>
        <w:ind w:firstLine="480" w:firstLineChars="200"/>
        <w:jc w:val="left"/>
        <w:rPr>
          <w:rFonts w:hint="eastAsia" w:ascii="宋体" w:hAnsi="宋体"/>
          <w:color w:val="auto"/>
          <w:sz w:val="24"/>
          <w:szCs w:val="20"/>
          <w:highlight w:val="none"/>
        </w:rPr>
      </w:pPr>
    </w:p>
    <w:p w14:paraId="2E6EC9D6">
      <w:pPr>
        <w:snapToGrid w:val="0"/>
        <w:spacing w:line="360" w:lineRule="auto"/>
        <w:ind w:right="480" w:firstLine="240" w:firstLineChars="100"/>
        <w:jc w:val="left"/>
        <w:rPr>
          <w:rFonts w:hint="eastAsia" w:ascii="宋体" w:hAnsi="宋体"/>
          <w:color w:val="auto"/>
          <w:szCs w:val="21"/>
          <w:highlight w:val="none"/>
        </w:rPr>
      </w:pPr>
      <w:r>
        <w:rPr>
          <w:rFonts w:ascii="宋体" w:hAnsi="宋体"/>
          <w:color w:val="auto"/>
          <w:sz w:val="24"/>
          <w:highlight w:val="none"/>
        </w:rPr>
        <w:br w:type="page"/>
      </w:r>
    </w:p>
    <w:p w14:paraId="1B38C154">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rPr>
        <w:t>8 设备性能配置清单格式</w:t>
      </w:r>
    </w:p>
    <w:p w14:paraId="7A8E0BDF">
      <w:pPr>
        <w:snapToGrid w:val="0"/>
        <w:spacing w:before="120" w:beforeLines="50" w:after="50"/>
        <w:ind w:left="142"/>
        <w:jc w:val="left"/>
        <w:rPr>
          <w:rFonts w:hint="eastAsia" w:ascii="宋体" w:hAnsi="宋体"/>
          <w:b/>
          <w:color w:val="auto"/>
          <w:sz w:val="24"/>
          <w:highlight w:val="none"/>
        </w:rPr>
      </w:pPr>
    </w:p>
    <w:p w14:paraId="4732A641">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设备性能配置清单</w:t>
      </w:r>
    </w:p>
    <w:p w14:paraId="5A12FC12">
      <w:pPr>
        <w:pStyle w:val="24"/>
        <w:rPr>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46"/>
        <w:tblW w:w="85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6"/>
        <w:gridCol w:w="1736"/>
        <w:gridCol w:w="940"/>
        <w:gridCol w:w="763"/>
        <w:gridCol w:w="1316"/>
        <w:gridCol w:w="1186"/>
        <w:gridCol w:w="703"/>
        <w:gridCol w:w="1428"/>
      </w:tblGrid>
      <w:tr w14:paraId="50B6A2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14:paraId="2F81DAE6">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序号</w:t>
            </w:r>
          </w:p>
        </w:tc>
        <w:tc>
          <w:tcPr>
            <w:tcW w:w="1736" w:type="dxa"/>
            <w:tcBorders>
              <w:top w:val="single" w:color="auto" w:sz="4" w:space="0"/>
              <w:left w:val="single" w:color="auto" w:sz="4" w:space="0"/>
              <w:bottom w:val="single" w:color="auto" w:sz="4" w:space="0"/>
              <w:right w:val="single" w:color="auto" w:sz="4" w:space="0"/>
            </w:tcBorders>
            <w:vAlign w:val="center"/>
          </w:tcPr>
          <w:p w14:paraId="73954E33">
            <w:pPr>
              <w:snapToGrid w:val="0"/>
              <w:spacing w:before="50" w:after="50"/>
              <w:jc w:val="center"/>
              <w:rPr>
                <w:rFonts w:hint="eastAsia" w:ascii="宋体" w:hAnsi="宋体"/>
                <w:color w:val="auto"/>
                <w:sz w:val="24"/>
                <w:highlight w:val="none"/>
              </w:rPr>
            </w:pPr>
            <w:r>
              <w:rPr>
                <w:rFonts w:hint="eastAsia" w:hAnsi="宋体" w:cs="Courier New"/>
                <w:color w:val="auto"/>
                <w:sz w:val="24"/>
                <w:highlight w:val="none"/>
              </w:rPr>
              <w:t>标的的名称（货物名称）</w:t>
            </w:r>
          </w:p>
        </w:tc>
        <w:tc>
          <w:tcPr>
            <w:tcW w:w="940" w:type="dxa"/>
            <w:tcBorders>
              <w:top w:val="single" w:color="auto" w:sz="4" w:space="0"/>
              <w:left w:val="single" w:color="auto" w:sz="4" w:space="0"/>
              <w:bottom w:val="single" w:color="auto" w:sz="4" w:space="0"/>
              <w:right w:val="single" w:color="auto" w:sz="4" w:space="0"/>
            </w:tcBorders>
            <w:vAlign w:val="center"/>
          </w:tcPr>
          <w:p w14:paraId="10C2D240">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数量及单位</w:t>
            </w:r>
          </w:p>
        </w:tc>
        <w:tc>
          <w:tcPr>
            <w:tcW w:w="763" w:type="dxa"/>
            <w:tcBorders>
              <w:top w:val="single" w:color="auto" w:sz="4" w:space="0"/>
              <w:left w:val="single" w:color="auto" w:sz="4" w:space="0"/>
              <w:bottom w:val="single" w:color="auto" w:sz="4" w:space="0"/>
              <w:right w:val="single" w:color="auto" w:sz="4" w:space="0"/>
            </w:tcBorders>
            <w:vAlign w:val="center"/>
          </w:tcPr>
          <w:p w14:paraId="18EB1530">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品牌</w:t>
            </w:r>
          </w:p>
        </w:tc>
        <w:tc>
          <w:tcPr>
            <w:tcW w:w="1316" w:type="dxa"/>
            <w:tcBorders>
              <w:top w:val="single" w:color="auto" w:sz="4" w:space="0"/>
              <w:left w:val="single" w:color="auto" w:sz="4" w:space="0"/>
              <w:bottom w:val="single" w:color="auto" w:sz="4" w:space="0"/>
              <w:right w:val="single" w:color="auto" w:sz="4" w:space="0"/>
            </w:tcBorders>
          </w:tcPr>
          <w:p w14:paraId="08272188">
            <w:pPr>
              <w:snapToGrid w:val="0"/>
              <w:spacing w:before="50" w:after="50"/>
              <w:jc w:val="center"/>
              <w:rPr>
                <w:rFonts w:hint="eastAsia" w:ascii="宋体" w:hAnsi="宋体"/>
                <w:color w:val="auto"/>
                <w:sz w:val="24"/>
                <w:highlight w:val="none"/>
              </w:rPr>
            </w:pPr>
          </w:p>
          <w:p w14:paraId="6950DA5D">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规格型号</w:t>
            </w:r>
          </w:p>
        </w:tc>
        <w:tc>
          <w:tcPr>
            <w:tcW w:w="1186" w:type="dxa"/>
            <w:tcBorders>
              <w:top w:val="single" w:color="auto" w:sz="4" w:space="0"/>
              <w:left w:val="single" w:color="auto" w:sz="4" w:space="0"/>
              <w:bottom w:val="single" w:color="auto" w:sz="4" w:space="0"/>
              <w:right w:val="single" w:color="auto" w:sz="4" w:space="0"/>
            </w:tcBorders>
            <w:vAlign w:val="center"/>
          </w:tcPr>
          <w:p w14:paraId="214CF5EB">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制造商</w:t>
            </w:r>
          </w:p>
        </w:tc>
        <w:tc>
          <w:tcPr>
            <w:tcW w:w="703" w:type="dxa"/>
            <w:tcBorders>
              <w:top w:val="single" w:color="auto" w:sz="4" w:space="0"/>
              <w:left w:val="single" w:color="auto" w:sz="4" w:space="0"/>
              <w:bottom w:val="single" w:color="auto" w:sz="4" w:space="0"/>
              <w:right w:val="single" w:color="auto" w:sz="4" w:space="0"/>
            </w:tcBorders>
            <w:vAlign w:val="center"/>
          </w:tcPr>
          <w:p w14:paraId="3D22220A">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原产地</w:t>
            </w:r>
          </w:p>
        </w:tc>
        <w:tc>
          <w:tcPr>
            <w:tcW w:w="1428" w:type="dxa"/>
            <w:tcBorders>
              <w:top w:val="single" w:color="auto" w:sz="4" w:space="0"/>
              <w:left w:val="single" w:color="auto" w:sz="4" w:space="0"/>
              <w:bottom w:val="single" w:color="auto" w:sz="4" w:space="0"/>
              <w:right w:val="single" w:color="auto" w:sz="4" w:space="0"/>
            </w:tcBorders>
            <w:vAlign w:val="center"/>
          </w:tcPr>
          <w:p w14:paraId="693CBF85">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参数性能、指标及配置</w:t>
            </w:r>
          </w:p>
        </w:tc>
      </w:tr>
      <w:tr w14:paraId="64FCD0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14:paraId="7D32EDED">
            <w:pPr>
              <w:snapToGrid w:val="0"/>
              <w:spacing w:before="50" w:after="50"/>
              <w:jc w:val="center"/>
              <w:rPr>
                <w:rFonts w:hint="eastAsia" w:ascii="宋体" w:hAnsi="宋体"/>
                <w:color w:val="auto"/>
                <w:sz w:val="24"/>
                <w:highlight w:val="none"/>
              </w:rPr>
            </w:pPr>
          </w:p>
        </w:tc>
        <w:tc>
          <w:tcPr>
            <w:tcW w:w="1736" w:type="dxa"/>
            <w:tcBorders>
              <w:top w:val="single" w:color="auto" w:sz="4" w:space="0"/>
              <w:left w:val="single" w:color="auto" w:sz="4" w:space="0"/>
              <w:bottom w:val="single" w:color="auto" w:sz="4" w:space="0"/>
              <w:right w:val="single" w:color="auto" w:sz="4" w:space="0"/>
            </w:tcBorders>
            <w:vAlign w:val="center"/>
          </w:tcPr>
          <w:p w14:paraId="25219100">
            <w:pPr>
              <w:snapToGrid w:val="0"/>
              <w:spacing w:before="50" w:after="50"/>
              <w:jc w:val="center"/>
              <w:rPr>
                <w:rFonts w:hint="eastAsia" w:ascii="宋体" w:hAnsi="宋体"/>
                <w:color w:val="auto"/>
                <w:sz w:val="24"/>
                <w:highlight w:val="none"/>
              </w:rPr>
            </w:pPr>
          </w:p>
        </w:tc>
        <w:tc>
          <w:tcPr>
            <w:tcW w:w="940" w:type="dxa"/>
            <w:tcBorders>
              <w:top w:val="single" w:color="auto" w:sz="4" w:space="0"/>
              <w:left w:val="single" w:color="auto" w:sz="4" w:space="0"/>
              <w:bottom w:val="single" w:color="auto" w:sz="4" w:space="0"/>
              <w:right w:val="single" w:color="auto" w:sz="4" w:space="0"/>
            </w:tcBorders>
            <w:vAlign w:val="center"/>
          </w:tcPr>
          <w:p w14:paraId="47AB2DB2">
            <w:pPr>
              <w:snapToGrid w:val="0"/>
              <w:spacing w:before="50" w:after="50"/>
              <w:jc w:val="center"/>
              <w:rPr>
                <w:rFonts w:hint="eastAsia" w:ascii="宋体" w:hAnsi="宋体"/>
                <w:color w:val="auto"/>
                <w:sz w:val="24"/>
                <w:highlight w:val="none"/>
              </w:rPr>
            </w:pPr>
          </w:p>
        </w:tc>
        <w:tc>
          <w:tcPr>
            <w:tcW w:w="763" w:type="dxa"/>
            <w:tcBorders>
              <w:top w:val="single" w:color="auto" w:sz="4" w:space="0"/>
              <w:left w:val="single" w:color="auto" w:sz="4" w:space="0"/>
              <w:bottom w:val="single" w:color="auto" w:sz="4" w:space="0"/>
              <w:right w:val="single" w:color="auto" w:sz="4" w:space="0"/>
            </w:tcBorders>
            <w:vAlign w:val="center"/>
          </w:tcPr>
          <w:p w14:paraId="3FE195B1">
            <w:pPr>
              <w:snapToGrid w:val="0"/>
              <w:spacing w:before="50" w:after="50"/>
              <w:jc w:val="center"/>
              <w:rPr>
                <w:rFonts w:hint="eastAsia" w:ascii="宋体" w:hAnsi="宋体"/>
                <w:color w:val="auto"/>
                <w:sz w:val="24"/>
                <w:highlight w:val="none"/>
              </w:rPr>
            </w:pPr>
          </w:p>
        </w:tc>
        <w:tc>
          <w:tcPr>
            <w:tcW w:w="1316" w:type="dxa"/>
            <w:tcBorders>
              <w:top w:val="single" w:color="auto" w:sz="4" w:space="0"/>
              <w:left w:val="single" w:color="auto" w:sz="4" w:space="0"/>
              <w:bottom w:val="single" w:color="auto" w:sz="4" w:space="0"/>
              <w:right w:val="single" w:color="auto" w:sz="4" w:space="0"/>
            </w:tcBorders>
          </w:tcPr>
          <w:p w14:paraId="2AB5D463">
            <w:pPr>
              <w:snapToGrid w:val="0"/>
              <w:spacing w:before="50" w:after="50"/>
              <w:jc w:val="center"/>
              <w:rPr>
                <w:rFonts w:hint="eastAsia" w:ascii="宋体" w:hAnsi="宋体"/>
                <w:color w:val="auto"/>
                <w:sz w:val="24"/>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796A0F6F">
            <w:pPr>
              <w:snapToGrid w:val="0"/>
              <w:spacing w:before="50" w:after="50"/>
              <w:jc w:val="center"/>
              <w:rPr>
                <w:rFonts w:hint="eastAsia" w:ascii="宋体" w:hAnsi="宋体"/>
                <w:color w:val="auto"/>
                <w:sz w:val="24"/>
                <w:highlight w:val="none"/>
              </w:rPr>
            </w:pPr>
          </w:p>
        </w:tc>
        <w:tc>
          <w:tcPr>
            <w:tcW w:w="703" w:type="dxa"/>
            <w:tcBorders>
              <w:top w:val="single" w:color="auto" w:sz="4" w:space="0"/>
              <w:left w:val="single" w:color="auto" w:sz="4" w:space="0"/>
              <w:bottom w:val="single" w:color="auto" w:sz="4" w:space="0"/>
              <w:right w:val="single" w:color="auto" w:sz="4" w:space="0"/>
            </w:tcBorders>
            <w:vAlign w:val="center"/>
          </w:tcPr>
          <w:p w14:paraId="26AA21BE">
            <w:pPr>
              <w:snapToGrid w:val="0"/>
              <w:spacing w:before="50" w:after="50"/>
              <w:jc w:val="center"/>
              <w:rPr>
                <w:rFonts w:hint="eastAsia" w:ascii="宋体" w:hAnsi="宋体"/>
                <w:color w:val="auto"/>
                <w:sz w:val="24"/>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79D88F7B">
            <w:pPr>
              <w:snapToGrid w:val="0"/>
              <w:spacing w:before="50" w:after="50"/>
              <w:jc w:val="center"/>
              <w:rPr>
                <w:rFonts w:hint="eastAsia" w:ascii="宋体" w:hAnsi="宋体"/>
                <w:color w:val="auto"/>
                <w:sz w:val="24"/>
                <w:highlight w:val="none"/>
              </w:rPr>
            </w:pPr>
          </w:p>
        </w:tc>
      </w:tr>
      <w:tr w14:paraId="69CD0E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14:paraId="7833F85A">
            <w:pPr>
              <w:snapToGrid w:val="0"/>
              <w:spacing w:before="50" w:after="50"/>
              <w:jc w:val="center"/>
              <w:rPr>
                <w:rFonts w:hint="eastAsia" w:ascii="宋体" w:hAnsi="宋体"/>
                <w:color w:val="auto"/>
                <w:sz w:val="24"/>
                <w:highlight w:val="none"/>
              </w:rPr>
            </w:pPr>
          </w:p>
        </w:tc>
        <w:tc>
          <w:tcPr>
            <w:tcW w:w="1736" w:type="dxa"/>
            <w:tcBorders>
              <w:top w:val="single" w:color="auto" w:sz="4" w:space="0"/>
              <w:left w:val="single" w:color="auto" w:sz="4" w:space="0"/>
              <w:bottom w:val="single" w:color="auto" w:sz="4" w:space="0"/>
              <w:right w:val="single" w:color="auto" w:sz="4" w:space="0"/>
            </w:tcBorders>
            <w:vAlign w:val="center"/>
          </w:tcPr>
          <w:p w14:paraId="745137E8">
            <w:pPr>
              <w:snapToGrid w:val="0"/>
              <w:spacing w:before="50" w:after="50"/>
              <w:jc w:val="center"/>
              <w:rPr>
                <w:rFonts w:hint="eastAsia" w:ascii="宋体" w:hAnsi="宋体"/>
                <w:color w:val="auto"/>
                <w:sz w:val="24"/>
                <w:highlight w:val="none"/>
              </w:rPr>
            </w:pPr>
          </w:p>
        </w:tc>
        <w:tc>
          <w:tcPr>
            <w:tcW w:w="940" w:type="dxa"/>
            <w:tcBorders>
              <w:top w:val="single" w:color="auto" w:sz="4" w:space="0"/>
              <w:left w:val="single" w:color="auto" w:sz="4" w:space="0"/>
              <w:bottom w:val="single" w:color="auto" w:sz="4" w:space="0"/>
              <w:right w:val="single" w:color="auto" w:sz="4" w:space="0"/>
            </w:tcBorders>
            <w:vAlign w:val="center"/>
          </w:tcPr>
          <w:p w14:paraId="1BCA6C30">
            <w:pPr>
              <w:snapToGrid w:val="0"/>
              <w:spacing w:before="50" w:after="50"/>
              <w:jc w:val="center"/>
              <w:rPr>
                <w:rFonts w:hint="eastAsia" w:ascii="宋体" w:hAnsi="宋体"/>
                <w:color w:val="auto"/>
                <w:sz w:val="24"/>
                <w:highlight w:val="none"/>
              </w:rPr>
            </w:pPr>
          </w:p>
        </w:tc>
        <w:tc>
          <w:tcPr>
            <w:tcW w:w="763" w:type="dxa"/>
            <w:tcBorders>
              <w:top w:val="single" w:color="auto" w:sz="4" w:space="0"/>
              <w:left w:val="single" w:color="auto" w:sz="4" w:space="0"/>
              <w:bottom w:val="single" w:color="auto" w:sz="4" w:space="0"/>
              <w:right w:val="single" w:color="auto" w:sz="4" w:space="0"/>
            </w:tcBorders>
            <w:vAlign w:val="center"/>
          </w:tcPr>
          <w:p w14:paraId="384ED266">
            <w:pPr>
              <w:snapToGrid w:val="0"/>
              <w:spacing w:before="50" w:after="50"/>
              <w:jc w:val="center"/>
              <w:rPr>
                <w:rFonts w:hint="eastAsia" w:ascii="宋体" w:hAnsi="宋体"/>
                <w:color w:val="auto"/>
                <w:sz w:val="24"/>
                <w:highlight w:val="none"/>
              </w:rPr>
            </w:pPr>
          </w:p>
        </w:tc>
        <w:tc>
          <w:tcPr>
            <w:tcW w:w="1316" w:type="dxa"/>
            <w:tcBorders>
              <w:top w:val="single" w:color="auto" w:sz="4" w:space="0"/>
              <w:left w:val="single" w:color="auto" w:sz="4" w:space="0"/>
              <w:bottom w:val="single" w:color="auto" w:sz="4" w:space="0"/>
              <w:right w:val="single" w:color="auto" w:sz="4" w:space="0"/>
            </w:tcBorders>
          </w:tcPr>
          <w:p w14:paraId="4D15FDCA">
            <w:pPr>
              <w:snapToGrid w:val="0"/>
              <w:spacing w:before="50" w:after="50"/>
              <w:jc w:val="center"/>
              <w:rPr>
                <w:rFonts w:hint="eastAsia" w:ascii="宋体" w:hAnsi="宋体"/>
                <w:color w:val="auto"/>
                <w:sz w:val="24"/>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06292373">
            <w:pPr>
              <w:snapToGrid w:val="0"/>
              <w:spacing w:before="50" w:after="50"/>
              <w:jc w:val="center"/>
              <w:rPr>
                <w:rFonts w:hint="eastAsia" w:ascii="宋体" w:hAnsi="宋体"/>
                <w:color w:val="auto"/>
                <w:sz w:val="24"/>
                <w:highlight w:val="none"/>
              </w:rPr>
            </w:pPr>
          </w:p>
        </w:tc>
        <w:tc>
          <w:tcPr>
            <w:tcW w:w="703" w:type="dxa"/>
            <w:tcBorders>
              <w:top w:val="single" w:color="auto" w:sz="4" w:space="0"/>
              <w:left w:val="single" w:color="auto" w:sz="4" w:space="0"/>
              <w:bottom w:val="single" w:color="auto" w:sz="4" w:space="0"/>
              <w:right w:val="single" w:color="auto" w:sz="4" w:space="0"/>
            </w:tcBorders>
            <w:vAlign w:val="center"/>
          </w:tcPr>
          <w:p w14:paraId="63E760E8">
            <w:pPr>
              <w:snapToGrid w:val="0"/>
              <w:spacing w:before="50" w:after="50"/>
              <w:jc w:val="center"/>
              <w:rPr>
                <w:rFonts w:hint="eastAsia" w:ascii="宋体" w:hAnsi="宋体"/>
                <w:color w:val="auto"/>
                <w:sz w:val="24"/>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57930A9E">
            <w:pPr>
              <w:snapToGrid w:val="0"/>
              <w:spacing w:before="50" w:after="50"/>
              <w:jc w:val="center"/>
              <w:rPr>
                <w:rFonts w:hint="eastAsia" w:ascii="宋体" w:hAnsi="宋体"/>
                <w:color w:val="auto"/>
                <w:sz w:val="24"/>
                <w:highlight w:val="none"/>
              </w:rPr>
            </w:pPr>
          </w:p>
        </w:tc>
      </w:tr>
      <w:tr w14:paraId="278171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14:paraId="0CF4DF50">
            <w:pPr>
              <w:snapToGrid w:val="0"/>
              <w:spacing w:before="50" w:after="50"/>
              <w:jc w:val="center"/>
              <w:rPr>
                <w:rFonts w:hint="eastAsia" w:ascii="宋体" w:hAnsi="宋体"/>
                <w:color w:val="auto"/>
                <w:sz w:val="24"/>
                <w:highlight w:val="none"/>
              </w:rPr>
            </w:pPr>
          </w:p>
        </w:tc>
        <w:tc>
          <w:tcPr>
            <w:tcW w:w="1736" w:type="dxa"/>
            <w:tcBorders>
              <w:top w:val="single" w:color="auto" w:sz="4" w:space="0"/>
              <w:left w:val="single" w:color="auto" w:sz="4" w:space="0"/>
              <w:bottom w:val="single" w:color="auto" w:sz="4" w:space="0"/>
              <w:right w:val="single" w:color="auto" w:sz="4" w:space="0"/>
            </w:tcBorders>
            <w:vAlign w:val="center"/>
          </w:tcPr>
          <w:p w14:paraId="779C29EA">
            <w:pPr>
              <w:snapToGrid w:val="0"/>
              <w:spacing w:before="50" w:after="50"/>
              <w:jc w:val="center"/>
              <w:rPr>
                <w:rFonts w:hint="eastAsia" w:ascii="宋体" w:hAnsi="宋体"/>
                <w:color w:val="auto"/>
                <w:sz w:val="24"/>
                <w:highlight w:val="none"/>
              </w:rPr>
            </w:pPr>
          </w:p>
        </w:tc>
        <w:tc>
          <w:tcPr>
            <w:tcW w:w="940" w:type="dxa"/>
            <w:tcBorders>
              <w:top w:val="single" w:color="auto" w:sz="4" w:space="0"/>
              <w:left w:val="single" w:color="auto" w:sz="4" w:space="0"/>
              <w:bottom w:val="single" w:color="auto" w:sz="4" w:space="0"/>
              <w:right w:val="single" w:color="auto" w:sz="4" w:space="0"/>
            </w:tcBorders>
            <w:vAlign w:val="center"/>
          </w:tcPr>
          <w:p w14:paraId="66A3DAF0">
            <w:pPr>
              <w:snapToGrid w:val="0"/>
              <w:spacing w:before="50" w:after="50"/>
              <w:jc w:val="center"/>
              <w:rPr>
                <w:rFonts w:hint="eastAsia" w:ascii="宋体" w:hAnsi="宋体"/>
                <w:color w:val="auto"/>
                <w:sz w:val="24"/>
                <w:highlight w:val="none"/>
              </w:rPr>
            </w:pPr>
          </w:p>
        </w:tc>
        <w:tc>
          <w:tcPr>
            <w:tcW w:w="763" w:type="dxa"/>
            <w:tcBorders>
              <w:top w:val="single" w:color="auto" w:sz="4" w:space="0"/>
              <w:left w:val="single" w:color="auto" w:sz="4" w:space="0"/>
              <w:bottom w:val="single" w:color="auto" w:sz="4" w:space="0"/>
              <w:right w:val="single" w:color="auto" w:sz="4" w:space="0"/>
            </w:tcBorders>
            <w:vAlign w:val="center"/>
          </w:tcPr>
          <w:p w14:paraId="57D04A40">
            <w:pPr>
              <w:snapToGrid w:val="0"/>
              <w:spacing w:before="50" w:after="50"/>
              <w:jc w:val="center"/>
              <w:rPr>
                <w:rFonts w:hint="eastAsia" w:ascii="宋体" w:hAnsi="宋体"/>
                <w:color w:val="auto"/>
                <w:sz w:val="24"/>
                <w:highlight w:val="none"/>
              </w:rPr>
            </w:pPr>
          </w:p>
        </w:tc>
        <w:tc>
          <w:tcPr>
            <w:tcW w:w="1316" w:type="dxa"/>
            <w:tcBorders>
              <w:top w:val="single" w:color="auto" w:sz="4" w:space="0"/>
              <w:left w:val="single" w:color="auto" w:sz="4" w:space="0"/>
              <w:bottom w:val="single" w:color="auto" w:sz="4" w:space="0"/>
              <w:right w:val="single" w:color="auto" w:sz="4" w:space="0"/>
            </w:tcBorders>
          </w:tcPr>
          <w:p w14:paraId="7F050673">
            <w:pPr>
              <w:snapToGrid w:val="0"/>
              <w:spacing w:before="50" w:after="50"/>
              <w:jc w:val="center"/>
              <w:rPr>
                <w:rFonts w:hint="eastAsia" w:ascii="宋体" w:hAnsi="宋体"/>
                <w:color w:val="auto"/>
                <w:sz w:val="24"/>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20CF9A61">
            <w:pPr>
              <w:snapToGrid w:val="0"/>
              <w:spacing w:before="50" w:after="50"/>
              <w:jc w:val="center"/>
              <w:rPr>
                <w:rFonts w:hint="eastAsia" w:ascii="宋体" w:hAnsi="宋体"/>
                <w:color w:val="auto"/>
                <w:sz w:val="24"/>
                <w:highlight w:val="none"/>
              </w:rPr>
            </w:pPr>
          </w:p>
        </w:tc>
        <w:tc>
          <w:tcPr>
            <w:tcW w:w="703" w:type="dxa"/>
            <w:tcBorders>
              <w:top w:val="single" w:color="auto" w:sz="4" w:space="0"/>
              <w:left w:val="single" w:color="auto" w:sz="4" w:space="0"/>
              <w:bottom w:val="single" w:color="auto" w:sz="4" w:space="0"/>
              <w:right w:val="single" w:color="auto" w:sz="4" w:space="0"/>
            </w:tcBorders>
            <w:vAlign w:val="center"/>
          </w:tcPr>
          <w:p w14:paraId="3901258D">
            <w:pPr>
              <w:snapToGrid w:val="0"/>
              <w:spacing w:before="50" w:after="50"/>
              <w:jc w:val="center"/>
              <w:rPr>
                <w:rFonts w:hint="eastAsia" w:ascii="宋体" w:hAnsi="宋体"/>
                <w:color w:val="auto"/>
                <w:sz w:val="24"/>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2E03C822">
            <w:pPr>
              <w:snapToGrid w:val="0"/>
              <w:spacing w:before="50" w:after="50"/>
              <w:jc w:val="center"/>
              <w:rPr>
                <w:rFonts w:hint="eastAsia" w:ascii="宋体" w:hAnsi="宋体"/>
                <w:color w:val="auto"/>
                <w:sz w:val="24"/>
                <w:highlight w:val="none"/>
              </w:rPr>
            </w:pPr>
          </w:p>
        </w:tc>
      </w:tr>
    </w:tbl>
    <w:p w14:paraId="0912939F">
      <w:pPr>
        <w:spacing w:line="360" w:lineRule="auto"/>
        <w:contextualSpacing/>
        <w:rPr>
          <w:rFonts w:hint="eastAsia" w:ascii="宋体" w:hAnsi="宋体"/>
          <w:color w:val="auto"/>
          <w:sz w:val="24"/>
          <w:highlight w:val="none"/>
        </w:rPr>
      </w:pPr>
      <w:r>
        <w:rPr>
          <w:rFonts w:hint="eastAsia" w:ascii="宋体" w:hAnsi="宋体"/>
          <w:color w:val="auto"/>
          <w:sz w:val="24"/>
          <w:highlight w:val="none"/>
        </w:rPr>
        <w:t>备注：</w:t>
      </w:r>
    </w:p>
    <w:p w14:paraId="489C2E79">
      <w:pPr>
        <w:spacing w:line="360" w:lineRule="auto"/>
        <w:ind w:firstLine="480" w:firstLineChars="200"/>
        <w:contextualSpacing/>
        <w:rPr>
          <w:rFonts w:hint="eastAsia" w:ascii="宋体" w:hAnsi="宋体"/>
          <w:b/>
          <w:color w:val="auto"/>
          <w:sz w:val="24"/>
          <w:highlight w:val="none"/>
        </w:rPr>
      </w:pPr>
      <w:r>
        <w:rPr>
          <w:rFonts w:hint="eastAsia" w:ascii="宋体" w:hAnsi="宋体"/>
          <w:color w:val="auto"/>
          <w:sz w:val="24"/>
          <w:highlight w:val="none"/>
        </w:rPr>
        <w:t>以上设备性能配置清单中“货物名称、数量及单位、品牌、规格型号、制造商、原产地、参数性能、指标及配置”必须如实填写完整，品牌、规格型号没有则填无，填写有缺漏</w:t>
      </w:r>
      <w:r>
        <w:rPr>
          <w:rFonts w:hint="eastAsia" w:ascii="宋体" w:hAnsi="宋体"/>
          <w:bCs/>
          <w:color w:val="auto"/>
          <w:sz w:val="24"/>
          <w:highlight w:val="none"/>
        </w:rPr>
        <w:t>的，</w:t>
      </w:r>
      <w:r>
        <w:rPr>
          <w:rFonts w:hint="eastAsia" w:ascii="宋体" w:hAnsi="宋体"/>
          <w:b/>
          <w:color w:val="auto"/>
          <w:sz w:val="24"/>
          <w:highlight w:val="none"/>
        </w:rPr>
        <w:t>作无效投标处理。</w:t>
      </w:r>
      <w:r>
        <w:rPr>
          <w:rFonts w:hint="eastAsia" w:hAnsi="宋体" w:cs="Courier New"/>
          <w:color w:val="auto"/>
          <w:sz w:val="24"/>
          <w:highlight w:val="none"/>
        </w:rPr>
        <w:t>标的的名称</w:t>
      </w:r>
      <w:r>
        <w:rPr>
          <w:rFonts w:hint="eastAsia" w:ascii="宋体" w:hAnsi="宋体"/>
          <w:color w:val="auto"/>
          <w:sz w:val="24"/>
          <w:highlight w:val="none"/>
        </w:rPr>
        <w:t>、数量及单位、品牌必须与“开标一览表”一致，</w:t>
      </w:r>
      <w:r>
        <w:rPr>
          <w:rFonts w:hint="eastAsia" w:ascii="宋体" w:hAnsi="宋体"/>
          <w:b/>
          <w:color w:val="auto"/>
          <w:sz w:val="24"/>
          <w:highlight w:val="none"/>
          <w:lang w:eastAsia="zh-CN"/>
        </w:rPr>
        <w:t>否则投标文件按无效处理</w:t>
      </w:r>
      <w:r>
        <w:rPr>
          <w:rFonts w:hint="eastAsia" w:ascii="宋体" w:hAnsi="宋体"/>
          <w:b/>
          <w:color w:val="auto"/>
          <w:sz w:val="24"/>
          <w:highlight w:val="none"/>
        </w:rPr>
        <w:t>。</w:t>
      </w:r>
    </w:p>
    <w:p w14:paraId="2C72FE26">
      <w:pPr>
        <w:spacing w:line="360" w:lineRule="auto"/>
        <w:ind w:firstLine="480" w:firstLineChars="200"/>
        <w:contextualSpacing/>
        <w:rPr>
          <w:rFonts w:hint="eastAsia" w:ascii="宋体" w:hAnsi="宋体"/>
          <w:color w:val="auto"/>
          <w:sz w:val="24"/>
          <w:highlight w:val="none"/>
        </w:rPr>
      </w:pPr>
    </w:p>
    <w:p w14:paraId="68A9EE02">
      <w:pPr>
        <w:spacing w:line="360" w:lineRule="auto"/>
        <w:contextualSpacing/>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0040660F">
      <w:pPr>
        <w:spacing w:line="360" w:lineRule="auto"/>
        <w:contextualSpacing/>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57703B57">
      <w:pPr>
        <w:spacing w:line="360" w:lineRule="auto"/>
        <w:contextualSpacing/>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32596050">
      <w:pPr>
        <w:snapToGrid w:val="0"/>
        <w:spacing w:before="50" w:after="120" w:afterLines="50"/>
        <w:jc w:val="left"/>
        <w:rPr>
          <w:rFonts w:hint="eastAsia" w:ascii="宋体" w:hAnsi="宋体"/>
          <w:color w:val="auto"/>
          <w:sz w:val="24"/>
          <w:szCs w:val="20"/>
          <w:highlight w:val="none"/>
        </w:rPr>
      </w:pPr>
    </w:p>
    <w:p w14:paraId="521C24D0">
      <w:pPr>
        <w:snapToGrid w:val="0"/>
        <w:spacing w:before="50" w:after="120" w:afterLines="50"/>
        <w:jc w:val="left"/>
        <w:rPr>
          <w:rFonts w:hint="eastAsia" w:ascii="宋体" w:hAnsi="宋体"/>
          <w:color w:val="auto"/>
          <w:sz w:val="24"/>
          <w:szCs w:val="20"/>
          <w:highlight w:val="none"/>
        </w:rPr>
      </w:pPr>
    </w:p>
    <w:p w14:paraId="6D1A4651">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9. 技术要求偏离表格式</w:t>
      </w:r>
    </w:p>
    <w:p w14:paraId="2FAC32A1">
      <w:pPr>
        <w:snapToGrid w:val="0"/>
        <w:spacing w:before="120" w:beforeLines="50" w:after="50"/>
        <w:ind w:left="142"/>
        <w:jc w:val="left"/>
        <w:rPr>
          <w:rFonts w:hint="eastAsia" w:ascii="宋体" w:hAnsi="宋体"/>
          <w:b/>
          <w:color w:val="auto"/>
          <w:sz w:val="24"/>
          <w:highlight w:val="none"/>
        </w:rPr>
      </w:pPr>
    </w:p>
    <w:p w14:paraId="019ABE9E">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技术要求偏离表</w:t>
      </w:r>
    </w:p>
    <w:p w14:paraId="3DEFEF69">
      <w:pPr>
        <w:pStyle w:val="24"/>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tbl>
      <w:tblPr>
        <w:tblStyle w:val="46"/>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1B1A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4CE2D8A7">
            <w:pPr>
              <w:pStyle w:val="24"/>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项号</w:t>
            </w:r>
          </w:p>
        </w:tc>
        <w:tc>
          <w:tcPr>
            <w:tcW w:w="2143" w:type="dxa"/>
            <w:vAlign w:val="center"/>
          </w:tcPr>
          <w:p w14:paraId="78E05C92">
            <w:pPr>
              <w:pStyle w:val="24"/>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标的的名称</w:t>
            </w:r>
          </w:p>
        </w:tc>
        <w:tc>
          <w:tcPr>
            <w:tcW w:w="1834" w:type="dxa"/>
            <w:vAlign w:val="center"/>
          </w:tcPr>
          <w:p w14:paraId="108C5E6A">
            <w:pPr>
              <w:pStyle w:val="24"/>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技术要求</w:t>
            </w:r>
          </w:p>
        </w:tc>
        <w:tc>
          <w:tcPr>
            <w:tcW w:w="2181" w:type="dxa"/>
            <w:vAlign w:val="center"/>
          </w:tcPr>
          <w:p w14:paraId="7791BF37">
            <w:pPr>
              <w:pStyle w:val="24"/>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投标响应</w:t>
            </w:r>
          </w:p>
        </w:tc>
        <w:tc>
          <w:tcPr>
            <w:tcW w:w="1934" w:type="dxa"/>
            <w:vAlign w:val="center"/>
          </w:tcPr>
          <w:p w14:paraId="34E11610">
            <w:pPr>
              <w:pStyle w:val="24"/>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偏离说明</w:t>
            </w:r>
          </w:p>
        </w:tc>
      </w:tr>
      <w:tr w14:paraId="2B22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88B6E3D">
            <w:pPr>
              <w:pStyle w:val="24"/>
              <w:spacing w:line="600" w:lineRule="exact"/>
              <w:jc w:val="center"/>
              <w:rPr>
                <w:rFonts w:hint="eastAsia" w:hAnsi="宋体" w:cs="Courier New"/>
                <w:color w:val="auto"/>
                <w:kern w:val="2"/>
                <w:sz w:val="24"/>
                <w:szCs w:val="24"/>
                <w:highlight w:val="none"/>
              </w:rPr>
            </w:pPr>
          </w:p>
        </w:tc>
        <w:tc>
          <w:tcPr>
            <w:tcW w:w="2143" w:type="dxa"/>
            <w:vAlign w:val="center"/>
          </w:tcPr>
          <w:p w14:paraId="35EEA0E0">
            <w:pPr>
              <w:pStyle w:val="24"/>
              <w:spacing w:line="600" w:lineRule="exact"/>
              <w:jc w:val="center"/>
              <w:rPr>
                <w:rFonts w:hint="eastAsia" w:hAnsi="宋体" w:cs="Courier New"/>
                <w:color w:val="auto"/>
                <w:kern w:val="2"/>
                <w:sz w:val="24"/>
                <w:szCs w:val="24"/>
                <w:highlight w:val="none"/>
              </w:rPr>
            </w:pPr>
          </w:p>
        </w:tc>
        <w:tc>
          <w:tcPr>
            <w:tcW w:w="1834" w:type="dxa"/>
            <w:vAlign w:val="center"/>
          </w:tcPr>
          <w:p w14:paraId="15FD63A6">
            <w:pPr>
              <w:pStyle w:val="24"/>
              <w:spacing w:line="600" w:lineRule="exact"/>
              <w:jc w:val="center"/>
              <w:rPr>
                <w:rFonts w:hint="eastAsia" w:hAnsi="宋体" w:cs="Courier New"/>
                <w:color w:val="auto"/>
                <w:kern w:val="2"/>
                <w:sz w:val="24"/>
                <w:szCs w:val="24"/>
                <w:highlight w:val="none"/>
              </w:rPr>
            </w:pPr>
          </w:p>
        </w:tc>
        <w:tc>
          <w:tcPr>
            <w:tcW w:w="2181" w:type="dxa"/>
            <w:vAlign w:val="center"/>
          </w:tcPr>
          <w:p w14:paraId="14B7690B">
            <w:pPr>
              <w:pStyle w:val="24"/>
              <w:spacing w:line="600" w:lineRule="exact"/>
              <w:jc w:val="center"/>
              <w:rPr>
                <w:rFonts w:hint="eastAsia" w:hAnsi="宋体" w:cs="Courier New"/>
                <w:color w:val="auto"/>
                <w:kern w:val="2"/>
                <w:sz w:val="24"/>
                <w:szCs w:val="24"/>
                <w:highlight w:val="none"/>
              </w:rPr>
            </w:pPr>
          </w:p>
        </w:tc>
        <w:tc>
          <w:tcPr>
            <w:tcW w:w="1934" w:type="dxa"/>
            <w:vAlign w:val="center"/>
          </w:tcPr>
          <w:p w14:paraId="77D7A215">
            <w:pPr>
              <w:pStyle w:val="24"/>
              <w:spacing w:line="600" w:lineRule="exact"/>
              <w:jc w:val="center"/>
              <w:rPr>
                <w:rFonts w:hint="eastAsia" w:hAnsi="宋体" w:cs="Courier New"/>
                <w:color w:val="auto"/>
                <w:kern w:val="2"/>
                <w:sz w:val="24"/>
                <w:szCs w:val="24"/>
                <w:highlight w:val="none"/>
              </w:rPr>
            </w:pPr>
          </w:p>
        </w:tc>
      </w:tr>
      <w:tr w14:paraId="086BC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E37B071">
            <w:pPr>
              <w:pStyle w:val="24"/>
              <w:spacing w:line="600" w:lineRule="exact"/>
              <w:rPr>
                <w:rFonts w:hint="eastAsia" w:hAnsi="宋体" w:cs="Courier New"/>
                <w:color w:val="auto"/>
                <w:kern w:val="2"/>
                <w:sz w:val="24"/>
                <w:szCs w:val="24"/>
                <w:highlight w:val="none"/>
              </w:rPr>
            </w:pPr>
          </w:p>
        </w:tc>
        <w:tc>
          <w:tcPr>
            <w:tcW w:w="2143" w:type="dxa"/>
          </w:tcPr>
          <w:p w14:paraId="074CA844">
            <w:pPr>
              <w:pStyle w:val="24"/>
              <w:spacing w:line="600" w:lineRule="exact"/>
              <w:rPr>
                <w:rFonts w:hint="eastAsia" w:hAnsi="宋体" w:cs="Courier New"/>
                <w:color w:val="auto"/>
                <w:kern w:val="2"/>
                <w:sz w:val="24"/>
                <w:szCs w:val="24"/>
                <w:highlight w:val="none"/>
              </w:rPr>
            </w:pPr>
          </w:p>
        </w:tc>
        <w:tc>
          <w:tcPr>
            <w:tcW w:w="1834" w:type="dxa"/>
          </w:tcPr>
          <w:p w14:paraId="576CF5BB">
            <w:pPr>
              <w:pStyle w:val="24"/>
              <w:spacing w:line="600" w:lineRule="exact"/>
              <w:rPr>
                <w:rFonts w:hint="eastAsia" w:hAnsi="宋体" w:cs="Courier New"/>
                <w:color w:val="auto"/>
                <w:kern w:val="2"/>
                <w:sz w:val="24"/>
                <w:szCs w:val="24"/>
                <w:highlight w:val="none"/>
              </w:rPr>
            </w:pPr>
          </w:p>
        </w:tc>
        <w:tc>
          <w:tcPr>
            <w:tcW w:w="2181" w:type="dxa"/>
          </w:tcPr>
          <w:p w14:paraId="7DA38E1C">
            <w:pPr>
              <w:pStyle w:val="24"/>
              <w:spacing w:line="600" w:lineRule="exact"/>
              <w:rPr>
                <w:rFonts w:hint="eastAsia" w:hAnsi="宋体" w:cs="Courier New"/>
                <w:color w:val="auto"/>
                <w:kern w:val="2"/>
                <w:sz w:val="24"/>
                <w:szCs w:val="24"/>
                <w:highlight w:val="none"/>
              </w:rPr>
            </w:pPr>
          </w:p>
        </w:tc>
        <w:tc>
          <w:tcPr>
            <w:tcW w:w="1934" w:type="dxa"/>
          </w:tcPr>
          <w:p w14:paraId="7D836397">
            <w:pPr>
              <w:pStyle w:val="24"/>
              <w:spacing w:line="600" w:lineRule="exact"/>
              <w:rPr>
                <w:rFonts w:hint="eastAsia" w:hAnsi="宋体" w:cs="Courier New"/>
                <w:color w:val="auto"/>
                <w:kern w:val="2"/>
                <w:sz w:val="24"/>
                <w:szCs w:val="24"/>
                <w:highlight w:val="none"/>
              </w:rPr>
            </w:pPr>
          </w:p>
        </w:tc>
      </w:tr>
      <w:tr w14:paraId="23E9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A3DBF06">
            <w:pPr>
              <w:pStyle w:val="24"/>
              <w:spacing w:line="600" w:lineRule="exact"/>
              <w:rPr>
                <w:rFonts w:hint="eastAsia" w:hAnsi="宋体" w:cs="Courier New"/>
                <w:color w:val="auto"/>
                <w:kern w:val="2"/>
                <w:sz w:val="24"/>
                <w:szCs w:val="24"/>
                <w:highlight w:val="none"/>
              </w:rPr>
            </w:pPr>
          </w:p>
        </w:tc>
        <w:tc>
          <w:tcPr>
            <w:tcW w:w="2143" w:type="dxa"/>
          </w:tcPr>
          <w:p w14:paraId="57688CAA">
            <w:pPr>
              <w:pStyle w:val="24"/>
              <w:spacing w:line="600" w:lineRule="exact"/>
              <w:rPr>
                <w:rFonts w:hint="eastAsia" w:hAnsi="宋体" w:cs="Courier New"/>
                <w:color w:val="auto"/>
                <w:kern w:val="2"/>
                <w:sz w:val="24"/>
                <w:szCs w:val="24"/>
                <w:highlight w:val="none"/>
              </w:rPr>
            </w:pPr>
          </w:p>
        </w:tc>
        <w:tc>
          <w:tcPr>
            <w:tcW w:w="1834" w:type="dxa"/>
          </w:tcPr>
          <w:p w14:paraId="7591BA5A">
            <w:pPr>
              <w:pStyle w:val="24"/>
              <w:spacing w:line="600" w:lineRule="exact"/>
              <w:rPr>
                <w:rFonts w:hint="eastAsia" w:hAnsi="宋体" w:cs="Courier New"/>
                <w:color w:val="auto"/>
                <w:kern w:val="2"/>
                <w:sz w:val="24"/>
                <w:szCs w:val="24"/>
                <w:highlight w:val="none"/>
              </w:rPr>
            </w:pPr>
          </w:p>
        </w:tc>
        <w:tc>
          <w:tcPr>
            <w:tcW w:w="2181" w:type="dxa"/>
          </w:tcPr>
          <w:p w14:paraId="7A10632F">
            <w:pPr>
              <w:pStyle w:val="24"/>
              <w:spacing w:line="600" w:lineRule="exact"/>
              <w:rPr>
                <w:rFonts w:hint="eastAsia" w:hAnsi="宋体" w:cs="Courier New"/>
                <w:color w:val="auto"/>
                <w:kern w:val="2"/>
                <w:sz w:val="24"/>
                <w:szCs w:val="24"/>
                <w:highlight w:val="none"/>
              </w:rPr>
            </w:pPr>
          </w:p>
        </w:tc>
        <w:tc>
          <w:tcPr>
            <w:tcW w:w="1934" w:type="dxa"/>
          </w:tcPr>
          <w:p w14:paraId="13DBFFDC">
            <w:pPr>
              <w:pStyle w:val="24"/>
              <w:spacing w:line="600" w:lineRule="exact"/>
              <w:rPr>
                <w:rFonts w:hint="eastAsia" w:hAnsi="宋体" w:cs="Courier New"/>
                <w:color w:val="auto"/>
                <w:kern w:val="2"/>
                <w:sz w:val="24"/>
                <w:szCs w:val="24"/>
                <w:highlight w:val="none"/>
              </w:rPr>
            </w:pPr>
          </w:p>
        </w:tc>
      </w:tr>
    </w:tbl>
    <w:p w14:paraId="0A13757A">
      <w:pPr>
        <w:pStyle w:val="16"/>
        <w:rPr>
          <w:rFonts w:hint="eastAsia" w:ascii="宋体" w:hAnsi="宋体"/>
          <w:color w:val="auto"/>
          <w:highlight w:val="none"/>
        </w:rPr>
      </w:pPr>
      <w:r>
        <w:rPr>
          <w:rFonts w:hint="eastAsia" w:ascii="宋体" w:hAnsi="宋体"/>
          <w:color w:val="auto"/>
          <w:highlight w:val="none"/>
        </w:rPr>
        <w:t>注：</w:t>
      </w:r>
    </w:p>
    <w:p w14:paraId="52F955B4">
      <w:pPr>
        <w:pStyle w:val="18"/>
        <w:spacing w:line="360" w:lineRule="auto"/>
        <w:ind w:firstLine="0" w:firstLineChars="0"/>
        <w:rPr>
          <w:rFonts w:hint="eastAsia"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采购需求”中的“技术要求”逐条作明确的投标响应，并作出偏离说明。</w:t>
      </w:r>
    </w:p>
    <w:p w14:paraId="5747A7A2">
      <w:pPr>
        <w:pStyle w:val="16"/>
        <w:spacing w:line="360" w:lineRule="auto"/>
        <w:rPr>
          <w:rFonts w:hint="eastAsia"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投标人根据投标货物的性能指标，对照招标文件技术要求，在“偏离说明”中注明“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7708CE23">
      <w:pPr>
        <w:pStyle w:val="18"/>
        <w:spacing w:line="360" w:lineRule="auto"/>
        <w:ind w:firstLine="0" w:firstLineChars="0"/>
        <w:rPr>
          <w:rFonts w:hint="eastAsia" w:ascii="宋体" w:hAnsi="宋体"/>
          <w:color w:val="auto"/>
          <w:sz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w:t>
      </w:r>
      <w:r>
        <w:rPr>
          <w:rFonts w:hint="eastAsia" w:ascii="宋体" w:hAnsi="宋体" w:eastAsia="宋体"/>
          <w:color w:val="auto"/>
          <w:sz w:val="24"/>
          <w:szCs w:val="24"/>
          <w:highlight w:val="none"/>
        </w:rPr>
        <w:t xml:space="preserve"> 如技术要求偏离表中的投标响应与佐证材料不一致的，以佐证材料为准。</w:t>
      </w:r>
    </w:p>
    <w:p w14:paraId="4107DC8A">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6C7DB5E9">
      <w:pPr>
        <w:snapToGrid w:val="0"/>
        <w:spacing w:before="50" w:after="50" w:line="360" w:lineRule="auto"/>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0629BBA5">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39D2930D">
      <w:pPr>
        <w:snapToGrid w:val="0"/>
        <w:spacing w:before="50" w:after="50" w:line="360" w:lineRule="auto"/>
        <w:rPr>
          <w:rFonts w:hint="eastAsia" w:ascii="宋体" w:hAnsi="宋体"/>
          <w:color w:val="auto"/>
          <w:sz w:val="24"/>
          <w:szCs w:val="20"/>
          <w:highlight w:val="none"/>
        </w:rPr>
      </w:pPr>
    </w:p>
    <w:p w14:paraId="1451DC02">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10. 项目实施人员一览表格式</w:t>
      </w:r>
    </w:p>
    <w:p w14:paraId="0E0AE596">
      <w:pPr>
        <w:snapToGrid w:val="0"/>
        <w:spacing w:before="120" w:beforeLines="50" w:after="50"/>
        <w:ind w:left="142"/>
        <w:jc w:val="left"/>
        <w:rPr>
          <w:rFonts w:hint="eastAsia" w:ascii="宋体" w:hAnsi="宋体"/>
          <w:b/>
          <w:color w:val="auto"/>
          <w:sz w:val="24"/>
          <w:highlight w:val="none"/>
        </w:rPr>
      </w:pPr>
    </w:p>
    <w:p w14:paraId="29AB075B">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p w14:paraId="5A2DFA87">
      <w:pPr>
        <w:pStyle w:val="24"/>
        <w:rPr>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46"/>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705D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C7C5D63">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vAlign w:val="center"/>
          </w:tcPr>
          <w:p w14:paraId="01028526">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1701" w:type="dxa"/>
            <w:vAlign w:val="center"/>
          </w:tcPr>
          <w:p w14:paraId="5DBC7504">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vAlign w:val="center"/>
          </w:tcPr>
          <w:p w14:paraId="36EE6FBA">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vAlign w:val="center"/>
          </w:tcPr>
          <w:p w14:paraId="46A83F09">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27B5A808">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3" w:type="dxa"/>
            <w:vAlign w:val="center"/>
          </w:tcPr>
          <w:p w14:paraId="2AFC9225">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50F79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CBBD550">
            <w:pPr>
              <w:snapToGrid w:val="0"/>
              <w:spacing w:before="50" w:after="120" w:afterLines="50"/>
              <w:jc w:val="center"/>
              <w:rPr>
                <w:rFonts w:hint="eastAsia" w:ascii="宋体" w:hAnsi="宋体"/>
                <w:color w:val="auto"/>
                <w:sz w:val="24"/>
                <w:szCs w:val="20"/>
                <w:highlight w:val="none"/>
              </w:rPr>
            </w:pPr>
          </w:p>
        </w:tc>
        <w:tc>
          <w:tcPr>
            <w:tcW w:w="709" w:type="dxa"/>
            <w:vAlign w:val="center"/>
          </w:tcPr>
          <w:p w14:paraId="4AD2637D">
            <w:pPr>
              <w:snapToGrid w:val="0"/>
              <w:spacing w:before="50" w:after="120" w:afterLines="50"/>
              <w:jc w:val="center"/>
              <w:rPr>
                <w:rFonts w:hint="eastAsia" w:ascii="宋体" w:hAnsi="宋体"/>
                <w:color w:val="auto"/>
                <w:sz w:val="24"/>
                <w:szCs w:val="20"/>
                <w:highlight w:val="none"/>
              </w:rPr>
            </w:pPr>
          </w:p>
        </w:tc>
        <w:tc>
          <w:tcPr>
            <w:tcW w:w="1701" w:type="dxa"/>
            <w:vAlign w:val="center"/>
          </w:tcPr>
          <w:p w14:paraId="4B5AEBA4">
            <w:pPr>
              <w:snapToGrid w:val="0"/>
              <w:spacing w:before="50" w:after="120" w:afterLines="50"/>
              <w:jc w:val="center"/>
              <w:rPr>
                <w:rFonts w:hint="eastAsia" w:ascii="宋体" w:hAnsi="宋体"/>
                <w:color w:val="auto"/>
                <w:sz w:val="24"/>
                <w:szCs w:val="20"/>
                <w:highlight w:val="none"/>
              </w:rPr>
            </w:pPr>
          </w:p>
        </w:tc>
        <w:tc>
          <w:tcPr>
            <w:tcW w:w="1420" w:type="dxa"/>
            <w:vAlign w:val="center"/>
          </w:tcPr>
          <w:p w14:paraId="45748D33">
            <w:pPr>
              <w:snapToGrid w:val="0"/>
              <w:spacing w:before="50" w:after="120" w:afterLines="50"/>
              <w:jc w:val="center"/>
              <w:rPr>
                <w:rFonts w:hint="eastAsia" w:ascii="宋体" w:hAnsi="宋体"/>
                <w:color w:val="auto"/>
                <w:sz w:val="24"/>
                <w:szCs w:val="20"/>
                <w:highlight w:val="none"/>
              </w:rPr>
            </w:pPr>
          </w:p>
        </w:tc>
        <w:tc>
          <w:tcPr>
            <w:tcW w:w="1698" w:type="dxa"/>
            <w:vAlign w:val="center"/>
          </w:tcPr>
          <w:p w14:paraId="48F066B5">
            <w:pPr>
              <w:snapToGrid w:val="0"/>
              <w:spacing w:before="50" w:after="120" w:afterLines="50"/>
              <w:jc w:val="center"/>
              <w:rPr>
                <w:rFonts w:hint="eastAsia" w:ascii="宋体" w:hAnsi="宋体"/>
                <w:color w:val="auto"/>
                <w:sz w:val="24"/>
                <w:szCs w:val="20"/>
                <w:highlight w:val="none"/>
              </w:rPr>
            </w:pPr>
          </w:p>
        </w:tc>
        <w:tc>
          <w:tcPr>
            <w:tcW w:w="1843" w:type="dxa"/>
            <w:vAlign w:val="center"/>
          </w:tcPr>
          <w:p w14:paraId="4CAAEFB8">
            <w:pPr>
              <w:snapToGrid w:val="0"/>
              <w:spacing w:before="50" w:after="120" w:afterLines="50"/>
              <w:jc w:val="center"/>
              <w:rPr>
                <w:rFonts w:hint="eastAsia" w:ascii="宋体" w:hAnsi="宋体"/>
                <w:color w:val="auto"/>
                <w:sz w:val="24"/>
                <w:szCs w:val="20"/>
                <w:highlight w:val="none"/>
              </w:rPr>
            </w:pPr>
          </w:p>
        </w:tc>
      </w:tr>
      <w:tr w14:paraId="4408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FBA422D">
            <w:pPr>
              <w:snapToGrid w:val="0"/>
              <w:spacing w:before="50" w:after="120" w:afterLines="50"/>
              <w:jc w:val="center"/>
              <w:rPr>
                <w:rFonts w:hint="eastAsia" w:ascii="宋体" w:hAnsi="宋体"/>
                <w:color w:val="auto"/>
                <w:sz w:val="24"/>
                <w:szCs w:val="20"/>
                <w:highlight w:val="none"/>
              </w:rPr>
            </w:pPr>
          </w:p>
        </w:tc>
        <w:tc>
          <w:tcPr>
            <w:tcW w:w="709" w:type="dxa"/>
            <w:vAlign w:val="center"/>
          </w:tcPr>
          <w:p w14:paraId="355E9497">
            <w:pPr>
              <w:snapToGrid w:val="0"/>
              <w:spacing w:before="50" w:after="120" w:afterLines="50"/>
              <w:jc w:val="center"/>
              <w:rPr>
                <w:rFonts w:hint="eastAsia" w:ascii="宋体" w:hAnsi="宋体"/>
                <w:color w:val="auto"/>
                <w:sz w:val="24"/>
                <w:szCs w:val="20"/>
                <w:highlight w:val="none"/>
              </w:rPr>
            </w:pPr>
          </w:p>
        </w:tc>
        <w:tc>
          <w:tcPr>
            <w:tcW w:w="1701" w:type="dxa"/>
            <w:vAlign w:val="center"/>
          </w:tcPr>
          <w:p w14:paraId="5D79E582">
            <w:pPr>
              <w:snapToGrid w:val="0"/>
              <w:spacing w:before="50" w:after="120" w:afterLines="50"/>
              <w:jc w:val="center"/>
              <w:rPr>
                <w:rFonts w:hint="eastAsia" w:ascii="宋体" w:hAnsi="宋体"/>
                <w:color w:val="auto"/>
                <w:sz w:val="24"/>
                <w:szCs w:val="20"/>
                <w:highlight w:val="none"/>
              </w:rPr>
            </w:pPr>
          </w:p>
        </w:tc>
        <w:tc>
          <w:tcPr>
            <w:tcW w:w="1420" w:type="dxa"/>
            <w:vAlign w:val="center"/>
          </w:tcPr>
          <w:p w14:paraId="320F02C3">
            <w:pPr>
              <w:snapToGrid w:val="0"/>
              <w:spacing w:before="50" w:after="120" w:afterLines="50"/>
              <w:jc w:val="center"/>
              <w:rPr>
                <w:rFonts w:hint="eastAsia" w:ascii="宋体" w:hAnsi="宋体"/>
                <w:color w:val="auto"/>
                <w:sz w:val="24"/>
                <w:szCs w:val="20"/>
                <w:highlight w:val="none"/>
              </w:rPr>
            </w:pPr>
          </w:p>
        </w:tc>
        <w:tc>
          <w:tcPr>
            <w:tcW w:w="1698" w:type="dxa"/>
            <w:vAlign w:val="center"/>
          </w:tcPr>
          <w:p w14:paraId="5FDC3F17">
            <w:pPr>
              <w:snapToGrid w:val="0"/>
              <w:spacing w:before="50" w:after="120" w:afterLines="50"/>
              <w:jc w:val="center"/>
              <w:rPr>
                <w:rFonts w:hint="eastAsia" w:ascii="宋体" w:hAnsi="宋体"/>
                <w:color w:val="auto"/>
                <w:sz w:val="24"/>
                <w:szCs w:val="20"/>
                <w:highlight w:val="none"/>
              </w:rPr>
            </w:pPr>
          </w:p>
        </w:tc>
        <w:tc>
          <w:tcPr>
            <w:tcW w:w="1843" w:type="dxa"/>
            <w:vAlign w:val="center"/>
          </w:tcPr>
          <w:p w14:paraId="14191F38">
            <w:pPr>
              <w:snapToGrid w:val="0"/>
              <w:spacing w:before="50" w:after="120" w:afterLines="50"/>
              <w:jc w:val="center"/>
              <w:rPr>
                <w:rFonts w:hint="eastAsia" w:ascii="宋体" w:hAnsi="宋体"/>
                <w:color w:val="auto"/>
                <w:sz w:val="24"/>
                <w:szCs w:val="20"/>
                <w:highlight w:val="none"/>
              </w:rPr>
            </w:pPr>
          </w:p>
        </w:tc>
      </w:tr>
      <w:tr w14:paraId="5291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FF98B79">
            <w:pPr>
              <w:snapToGrid w:val="0"/>
              <w:spacing w:before="50" w:after="120" w:afterLines="50"/>
              <w:jc w:val="center"/>
              <w:rPr>
                <w:rFonts w:hint="eastAsia" w:ascii="宋体" w:hAnsi="宋体"/>
                <w:color w:val="auto"/>
                <w:sz w:val="24"/>
                <w:szCs w:val="20"/>
                <w:highlight w:val="none"/>
              </w:rPr>
            </w:pPr>
          </w:p>
        </w:tc>
        <w:tc>
          <w:tcPr>
            <w:tcW w:w="709" w:type="dxa"/>
            <w:vAlign w:val="center"/>
          </w:tcPr>
          <w:p w14:paraId="3EBD0475">
            <w:pPr>
              <w:snapToGrid w:val="0"/>
              <w:spacing w:before="50" w:after="120" w:afterLines="50"/>
              <w:jc w:val="center"/>
              <w:rPr>
                <w:rFonts w:hint="eastAsia" w:ascii="宋体" w:hAnsi="宋体"/>
                <w:color w:val="auto"/>
                <w:sz w:val="24"/>
                <w:szCs w:val="20"/>
                <w:highlight w:val="none"/>
              </w:rPr>
            </w:pPr>
          </w:p>
        </w:tc>
        <w:tc>
          <w:tcPr>
            <w:tcW w:w="1701" w:type="dxa"/>
            <w:vAlign w:val="center"/>
          </w:tcPr>
          <w:p w14:paraId="629AC1B4">
            <w:pPr>
              <w:snapToGrid w:val="0"/>
              <w:spacing w:before="50" w:after="120" w:afterLines="50"/>
              <w:jc w:val="center"/>
              <w:rPr>
                <w:rFonts w:hint="eastAsia" w:ascii="宋体" w:hAnsi="宋体"/>
                <w:color w:val="auto"/>
                <w:sz w:val="24"/>
                <w:szCs w:val="20"/>
                <w:highlight w:val="none"/>
              </w:rPr>
            </w:pPr>
          </w:p>
        </w:tc>
        <w:tc>
          <w:tcPr>
            <w:tcW w:w="1420" w:type="dxa"/>
            <w:vAlign w:val="center"/>
          </w:tcPr>
          <w:p w14:paraId="27BFEA4B">
            <w:pPr>
              <w:snapToGrid w:val="0"/>
              <w:spacing w:before="50" w:after="120" w:afterLines="50"/>
              <w:jc w:val="center"/>
              <w:rPr>
                <w:rFonts w:hint="eastAsia" w:ascii="宋体" w:hAnsi="宋体"/>
                <w:color w:val="auto"/>
                <w:sz w:val="24"/>
                <w:szCs w:val="20"/>
                <w:highlight w:val="none"/>
              </w:rPr>
            </w:pPr>
          </w:p>
        </w:tc>
        <w:tc>
          <w:tcPr>
            <w:tcW w:w="1698" w:type="dxa"/>
            <w:vAlign w:val="center"/>
          </w:tcPr>
          <w:p w14:paraId="2936D79E">
            <w:pPr>
              <w:snapToGrid w:val="0"/>
              <w:spacing w:before="50" w:after="120" w:afterLines="50"/>
              <w:jc w:val="center"/>
              <w:rPr>
                <w:rFonts w:hint="eastAsia" w:ascii="宋体" w:hAnsi="宋体"/>
                <w:color w:val="auto"/>
                <w:sz w:val="24"/>
                <w:szCs w:val="20"/>
                <w:highlight w:val="none"/>
              </w:rPr>
            </w:pPr>
          </w:p>
        </w:tc>
        <w:tc>
          <w:tcPr>
            <w:tcW w:w="1843" w:type="dxa"/>
            <w:vAlign w:val="center"/>
          </w:tcPr>
          <w:p w14:paraId="13656206">
            <w:pPr>
              <w:snapToGrid w:val="0"/>
              <w:spacing w:before="50" w:after="120" w:afterLines="50"/>
              <w:jc w:val="center"/>
              <w:rPr>
                <w:rFonts w:hint="eastAsia" w:ascii="宋体" w:hAnsi="宋体"/>
                <w:color w:val="auto"/>
                <w:sz w:val="24"/>
                <w:szCs w:val="20"/>
                <w:highlight w:val="none"/>
              </w:rPr>
            </w:pPr>
          </w:p>
        </w:tc>
      </w:tr>
    </w:tbl>
    <w:p w14:paraId="32E03124">
      <w:pPr>
        <w:snapToGrid w:val="0"/>
        <w:spacing w:before="50" w:after="120" w:afterLines="50"/>
        <w:jc w:val="left"/>
        <w:rPr>
          <w:rFonts w:hint="eastAsia" w:ascii="宋体" w:hAnsi="宋体"/>
          <w:color w:val="auto"/>
          <w:sz w:val="24"/>
          <w:szCs w:val="20"/>
          <w:highlight w:val="none"/>
        </w:rPr>
      </w:pPr>
    </w:p>
    <w:p w14:paraId="0A34A201">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注：</w:t>
      </w:r>
    </w:p>
    <w:p w14:paraId="1D2E1BE5">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在填写时，如本表格不适合投标单位的实际情况，可根据本表格式自行制表填写。</w:t>
      </w:r>
    </w:p>
    <w:p w14:paraId="746E9CC4">
      <w:pPr>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投标人应当附本表所列证书的复印件并加盖投标人电子签章。</w:t>
      </w:r>
    </w:p>
    <w:p w14:paraId="1E13F307">
      <w:pPr>
        <w:spacing w:line="360" w:lineRule="auto"/>
        <w:contextualSpacing/>
        <w:jc w:val="left"/>
        <w:rPr>
          <w:rFonts w:hint="eastAsia" w:ascii="宋体" w:hAnsi="宋体"/>
          <w:color w:val="auto"/>
          <w:sz w:val="24"/>
          <w:szCs w:val="20"/>
          <w:highlight w:val="none"/>
        </w:rPr>
      </w:pPr>
    </w:p>
    <w:p w14:paraId="635059D6">
      <w:pPr>
        <w:spacing w:line="360" w:lineRule="auto"/>
        <w:contextualSpacing/>
        <w:jc w:val="left"/>
        <w:rPr>
          <w:rFonts w:hint="eastAsia" w:ascii="宋体" w:hAnsi="宋体"/>
          <w:color w:val="auto"/>
          <w:sz w:val="24"/>
          <w:szCs w:val="20"/>
          <w:highlight w:val="none"/>
        </w:rPr>
      </w:pPr>
    </w:p>
    <w:p w14:paraId="47ABFE17">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3A2A9180">
      <w:pPr>
        <w:spacing w:line="360" w:lineRule="auto"/>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77F116AF">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65359951">
      <w:pPr>
        <w:snapToGrid w:val="0"/>
        <w:spacing w:before="50" w:after="120" w:afterLines="50"/>
        <w:jc w:val="left"/>
        <w:rPr>
          <w:rFonts w:hint="eastAsia" w:ascii="宋体" w:hAnsi="宋体"/>
          <w:color w:val="auto"/>
          <w:sz w:val="24"/>
          <w:szCs w:val="20"/>
          <w:highlight w:val="none"/>
        </w:rPr>
      </w:pPr>
    </w:p>
    <w:p w14:paraId="236FEFB3">
      <w:pPr>
        <w:snapToGrid w:val="0"/>
        <w:spacing w:before="120" w:beforeLines="50" w:after="50"/>
        <w:jc w:val="left"/>
        <w:rPr>
          <w:rFonts w:ascii="方正小标宋简体" w:hAnsi="方正小标宋简体" w:eastAsia="方正小标宋简体" w:cs="方正小标宋简体"/>
          <w:bCs/>
          <w:color w:val="auto"/>
          <w:szCs w:val="21"/>
          <w:highlight w:val="none"/>
        </w:rPr>
      </w:pPr>
      <w:r>
        <w:rPr>
          <w:rFonts w:ascii="宋体" w:hAnsi="宋体"/>
          <w:b/>
          <w:color w:val="auto"/>
          <w:sz w:val="24"/>
          <w:highlight w:val="none"/>
        </w:rPr>
        <w:br w:type="page"/>
      </w:r>
      <w:r>
        <w:rPr>
          <w:rFonts w:hint="eastAsia" w:ascii="宋体" w:hAnsi="宋体" w:eastAsia="宋体" w:cs="Times New Roman"/>
          <w:color w:val="auto"/>
          <w:sz w:val="24"/>
          <w:highlight w:val="none"/>
          <w:lang w:val="en-US" w:eastAsia="zh-CN"/>
        </w:rPr>
        <w:t>11</w:t>
      </w:r>
      <w:r>
        <w:rPr>
          <w:rFonts w:hint="eastAsia" w:ascii="宋体" w:hAnsi="宋体" w:eastAsia="宋体" w:cs="Times New Roman"/>
          <w:color w:val="auto"/>
          <w:sz w:val="24"/>
          <w:highlight w:val="none"/>
        </w:rPr>
        <w:t>.</w:t>
      </w:r>
      <w:r>
        <w:rPr>
          <w:rFonts w:hint="eastAsia" w:ascii="方正小标宋简体" w:hAnsi="方正小标宋简体" w:eastAsia="方正小标宋简体" w:cs="方正小标宋简体"/>
          <w:bCs/>
          <w:color w:val="auto"/>
          <w:szCs w:val="21"/>
          <w:highlight w:val="none"/>
        </w:rPr>
        <w:t xml:space="preserve"> 代理服务费承诺书</w:t>
      </w:r>
    </w:p>
    <w:p w14:paraId="38C6068C">
      <w:pPr>
        <w:snapToGrid w:val="0"/>
        <w:spacing w:before="120" w:beforeLines="50" w:after="50"/>
        <w:jc w:val="left"/>
        <w:rPr>
          <w:rFonts w:hint="eastAsia" w:ascii="方正小标宋简体" w:hAnsi="方正小标宋简体" w:eastAsia="方正小标宋简体" w:cs="方正小标宋简体"/>
          <w:bCs/>
          <w:color w:val="auto"/>
          <w:szCs w:val="21"/>
          <w:highlight w:val="none"/>
        </w:rPr>
      </w:pPr>
    </w:p>
    <w:p w14:paraId="3AB3BBF6">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代理服务费承诺书</w:t>
      </w:r>
    </w:p>
    <w:p w14:paraId="33C9FF44">
      <w:pPr>
        <w:snapToGrid w:val="0"/>
        <w:spacing w:before="120" w:beforeLines="50" w:after="50"/>
        <w:jc w:val="center"/>
        <w:rPr>
          <w:rFonts w:hint="eastAsia" w:ascii="宋体" w:hAnsi="宋体" w:eastAsia="宋体" w:cs="Times New Roman"/>
          <w:b/>
          <w:color w:val="auto"/>
          <w:sz w:val="24"/>
          <w:highlight w:val="none"/>
        </w:rPr>
      </w:pPr>
    </w:p>
    <w:p w14:paraId="7841C3FD">
      <w:pPr>
        <w:spacing w:line="360" w:lineRule="auto"/>
        <w:rPr>
          <w:rFonts w:hint="eastAsia" w:ascii="宋体" w:hAnsi="宋体" w:eastAsia="宋体" w:cs="Times New Roman"/>
          <w:b/>
          <w:bCs/>
          <w:color w:val="auto"/>
          <w:sz w:val="24"/>
          <w:highlight w:val="none"/>
        </w:rPr>
      </w:pPr>
      <w:r>
        <w:rPr>
          <w:rFonts w:hint="eastAsia" w:ascii="宋体" w:hAnsi="宋体" w:eastAsia="宋体" w:cs="Times New Roman"/>
          <w:bCs/>
          <w:color w:val="auto"/>
          <w:sz w:val="24"/>
          <w:highlight w:val="none"/>
        </w:rPr>
        <w:t>致：</w:t>
      </w:r>
      <w:r>
        <w:rPr>
          <w:rFonts w:hint="eastAsia" w:ascii="宋体" w:hAnsi="宋体" w:cs="Times New Roman"/>
          <w:color w:val="auto"/>
          <w:sz w:val="24"/>
          <w:highlight w:val="none"/>
          <w:u w:val="single"/>
          <w:lang w:val="en-US" w:eastAsia="zh-CN"/>
        </w:rPr>
        <w:t>采购</w:t>
      </w:r>
      <w:r>
        <w:rPr>
          <w:rFonts w:hint="eastAsia" w:ascii="宋体" w:hAnsi="宋体" w:eastAsia="宋体" w:cs="Times New Roman"/>
          <w:color w:val="auto"/>
          <w:sz w:val="24"/>
          <w:highlight w:val="none"/>
          <w:u w:val="single"/>
        </w:rPr>
        <w:t>代理机构名称</w:t>
      </w:r>
      <w:r>
        <w:rPr>
          <w:rFonts w:hint="eastAsia" w:ascii="宋体" w:hAnsi="宋体" w:eastAsia="宋体" w:cs="Times New Roman"/>
          <w:color w:val="auto"/>
          <w:sz w:val="24"/>
          <w:highlight w:val="none"/>
        </w:rPr>
        <w:t>：</w:t>
      </w:r>
    </w:p>
    <w:p w14:paraId="53E6F913">
      <w:pPr>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本单位参加了贵方组织的</w:t>
      </w:r>
      <w:r>
        <w:rPr>
          <w:rFonts w:hint="eastAsia" w:ascii="宋体" w:hAnsi="宋体" w:eastAsia="宋体" w:cs="Times New Roman"/>
          <w:color w:val="auto"/>
          <w:sz w:val="24"/>
          <w:highlight w:val="none"/>
          <w:u w:val="single"/>
        </w:rPr>
        <w:t xml:space="preserve">  项目名称（项目编号）  </w:t>
      </w:r>
      <w:r>
        <w:rPr>
          <w:rFonts w:hint="eastAsia" w:ascii="宋体" w:hAnsi="宋体" w:eastAsia="宋体" w:cs="Times New Roman"/>
          <w:color w:val="auto"/>
          <w:sz w:val="24"/>
          <w:highlight w:val="none"/>
        </w:rPr>
        <w:t>项目， 在此说明如下：</w:t>
      </w:r>
    </w:p>
    <w:p w14:paraId="44950C09">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1.我方承诺，若本单位中标，保证在发出中标通知书之后，按本项目招标文件的规定标准向贵单位一次性足额支付代理服务费</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在领取中标通知书后，由于被质疑、投诉或者其他原因而导致中标结果改变，我方将放弃对已缴纳的</w:t>
      </w:r>
      <w:r>
        <w:rPr>
          <w:rFonts w:hint="eastAsia" w:ascii="宋体" w:hAnsi="宋体" w:eastAsia="宋体" w:cs="Times New Roman"/>
          <w:color w:val="auto"/>
          <w:sz w:val="24"/>
          <w:highlight w:val="none"/>
          <w:lang w:val="en-US" w:eastAsia="zh-CN"/>
        </w:rPr>
        <w:t>代理</w:t>
      </w:r>
      <w:r>
        <w:rPr>
          <w:rFonts w:hint="eastAsia" w:ascii="宋体" w:hAnsi="宋体" w:eastAsia="宋体" w:cs="Times New Roman"/>
          <w:color w:val="auto"/>
          <w:sz w:val="24"/>
          <w:highlight w:val="none"/>
        </w:rPr>
        <w:t>服务费追还的一切权利。</w:t>
      </w:r>
    </w:p>
    <w:p w14:paraId="787390B7">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2.本单位选择第</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种方式作为代理服务费开票类型：</w:t>
      </w:r>
    </w:p>
    <w:p w14:paraId="4545A1E1">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第一种方式：开具增值税普通发票。开票信息如下：</w:t>
      </w:r>
    </w:p>
    <w:p w14:paraId="5C1BFF0C">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（1）公司名称</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3050B8F0">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（2）纳税人识别号</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042A7BC0">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第二种方式：开具增值税专用发票，开票信息如下：</w:t>
      </w:r>
    </w:p>
    <w:p w14:paraId="4EFFDE52">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（1）公司名称</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372A5C70">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（2）纳税人识别号</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721D5E66">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（3）在</w:t>
      </w:r>
      <w:r>
        <w:rPr>
          <w:rFonts w:hint="eastAsia" w:ascii="宋体" w:hAnsi="宋体" w:eastAsia="宋体" w:cs="Times New Roman"/>
          <w:color w:val="auto"/>
          <w:sz w:val="24"/>
          <w:highlight w:val="none"/>
          <w:lang w:val="en-US" w:eastAsia="zh-CN"/>
        </w:rPr>
        <w:t>税务局</w:t>
      </w:r>
      <w:r>
        <w:rPr>
          <w:rFonts w:hint="eastAsia" w:ascii="宋体" w:hAnsi="宋体" w:eastAsia="宋体" w:cs="Times New Roman"/>
          <w:color w:val="auto"/>
          <w:sz w:val="24"/>
          <w:highlight w:val="none"/>
        </w:rPr>
        <w:t>登记的地址</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7683DBA2">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（4）在</w:t>
      </w:r>
      <w:r>
        <w:rPr>
          <w:rFonts w:hint="eastAsia" w:ascii="宋体" w:hAnsi="宋体" w:eastAsia="宋体" w:cs="Times New Roman"/>
          <w:color w:val="auto"/>
          <w:sz w:val="24"/>
          <w:highlight w:val="none"/>
          <w:lang w:val="en-US" w:eastAsia="zh-CN"/>
        </w:rPr>
        <w:t>税务局</w:t>
      </w:r>
      <w:r>
        <w:rPr>
          <w:rFonts w:hint="eastAsia" w:ascii="宋体" w:hAnsi="宋体" w:eastAsia="宋体" w:cs="Times New Roman"/>
          <w:color w:val="auto"/>
          <w:sz w:val="24"/>
          <w:highlight w:val="none"/>
        </w:rPr>
        <w:t>登记的电话</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51955A7D">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（5）开户银行</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50508A22">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（6）银行账户</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17B11C9A">
      <w:pPr>
        <w:spacing w:line="440" w:lineRule="exact"/>
        <w:rPr>
          <w:rFonts w:hint="eastAsia" w:ascii="宋体" w:hAnsi="宋体" w:eastAsia="宋体" w:cs="Times New Roman"/>
          <w:color w:val="auto"/>
          <w:sz w:val="24"/>
          <w:highlight w:val="none"/>
        </w:rPr>
      </w:pPr>
    </w:p>
    <w:p w14:paraId="36DE9933">
      <w:pPr>
        <w:spacing w:line="440" w:lineRule="exact"/>
        <w:rPr>
          <w:rFonts w:hint="eastAsia" w:ascii="宋体" w:hAnsi="宋体" w:eastAsia="宋体" w:cs="Times New Roman"/>
          <w:color w:val="auto"/>
          <w:sz w:val="24"/>
          <w:highlight w:val="none"/>
        </w:rPr>
      </w:pPr>
    </w:p>
    <w:p w14:paraId="217BE3F7">
      <w:pPr>
        <w:spacing w:line="440" w:lineRule="exact"/>
        <w:rPr>
          <w:rFonts w:hint="eastAsia" w:ascii="宋体" w:hAnsi="宋体" w:eastAsia="宋体" w:cs="Times New Roman"/>
          <w:color w:val="auto"/>
          <w:sz w:val="24"/>
          <w:highlight w:val="none"/>
        </w:rPr>
      </w:pPr>
    </w:p>
    <w:p w14:paraId="01EE2DD4">
      <w:pPr>
        <w:snapToGrid w:val="0"/>
        <w:spacing w:line="360" w:lineRule="auto"/>
        <w:ind w:left="-2" w:leftChars="-1" w:right="-817" w:rightChars="-389" w:firstLine="1920" w:firstLineChars="8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法定代表人或者委托代理人（签字或者电子签名）： </w:t>
      </w:r>
    </w:p>
    <w:p w14:paraId="1502874F">
      <w:pPr>
        <w:snapToGrid w:val="0"/>
        <w:spacing w:line="360" w:lineRule="auto"/>
        <w:ind w:left="-3" w:leftChars="-15" w:right="-817" w:rightChars="-389" w:hanging="28" w:hangingChars="12"/>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供应商公章（电子签章）：</w:t>
      </w:r>
    </w:p>
    <w:p w14:paraId="5BA5CCC9">
      <w:pPr>
        <w:rPr>
          <w:rFonts w:ascii="宋体" w:hAnsi="宋体"/>
          <w:b/>
          <w:color w:val="auto"/>
          <w:sz w:val="24"/>
          <w:highlight w:val="none"/>
        </w:rPr>
      </w:pPr>
      <w:r>
        <w:rPr>
          <w:rFonts w:hint="eastAsia" w:ascii="宋体" w:hAnsi="宋体" w:eastAsia="宋体" w:cs="Times New Roman"/>
          <w:color w:val="auto"/>
          <w:sz w:val="24"/>
          <w:highlight w:val="none"/>
        </w:rPr>
        <w:t xml:space="preserve">                                    日期：    年   月   日</w:t>
      </w:r>
      <w:r>
        <w:rPr>
          <w:rFonts w:ascii="宋体" w:hAnsi="宋体"/>
          <w:b/>
          <w:color w:val="auto"/>
          <w:sz w:val="24"/>
          <w:highlight w:val="none"/>
        </w:rPr>
        <w:br w:type="page"/>
      </w:r>
    </w:p>
    <w:p w14:paraId="7B4C009E">
      <w:pPr>
        <w:snapToGrid w:val="0"/>
        <w:spacing w:before="120" w:beforeLines="50" w:after="50"/>
        <w:ind w:left="142"/>
        <w:jc w:val="left"/>
        <w:rPr>
          <w:b/>
          <w:color w:val="auto"/>
          <w:sz w:val="28"/>
          <w:szCs w:val="28"/>
          <w:highlight w:val="none"/>
        </w:rPr>
      </w:pPr>
      <w:r>
        <w:rPr>
          <w:rFonts w:hint="eastAsia"/>
          <w:b/>
          <w:color w:val="auto"/>
          <w:sz w:val="28"/>
          <w:szCs w:val="28"/>
          <w:highlight w:val="none"/>
        </w:rPr>
        <w:t>四、其他文书、文件格式</w:t>
      </w:r>
    </w:p>
    <w:p w14:paraId="4FB6F174">
      <w:pPr>
        <w:snapToGrid w:val="0"/>
        <w:spacing w:before="120" w:beforeLines="50" w:after="50"/>
        <w:jc w:val="left"/>
        <w:rPr>
          <w:color w:val="auto"/>
          <w:highlight w:val="none"/>
        </w:rPr>
      </w:pPr>
      <w:r>
        <w:rPr>
          <w:rFonts w:hint="eastAsia" w:ascii="宋体" w:hAnsi="宋体"/>
          <w:b/>
          <w:color w:val="auto"/>
          <w:sz w:val="24"/>
          <w:highlight w:val="none"/>
        </w:rPr>
        <w:t>1.中小企业声明函格式</w:t>
      </w:r>
    </w:p>
    <w:p w14:paraId="71E6EC48">
      <w:pPr>
        <w:rPr>
          <w:color w:val="auto"/>
          <w:highlight w:val="none"/>
        </w:rPr>
      </w:pPr>
    </w:p>
    <w:p w14:paraId="500195C3">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中小企业声明函（货物）</w:t>
      </w:r>
    </w:p>
    <w:p w14:paraId="55E1C915">
      <w:pPr>
        <w:spacing w:before="2" w:line="500" w:lineRule="exact"/>
        <w:rPr>
          <w:rFonts w:hint="eastAsia" w:ascii="宋体" w:hAnsi="宋体" w:cs="宋体"/>
          <w:b/>
          <w:bCs/>
          <w:color w:val="auto"/>
          <w:sz w:val="27"/>
          <w:szCs w:val="27"/>
          <w:highlight w:val="none"/>
        </w:rPr>
      </w:pPr>
    </w:p>
    <w:p w14:paraId="1AE60838">
      <w:pPr>
        <w:pStyle w:val="17"/>
        <w:spacing w:line="360" w:lineRule="auto"/>
        <w:ind w:left="-426" w:leftChars="-203" w:right="142" w:firstLine="480" w:firstLineChars="200"/>
        <w:contextualSpacing/>
        <w:rPr>
          <w:rFonts w:hint="eastAsia" w:ascii="宋体" w:hAnsi="宋体"/>
          <w:color w:val="auto"/>
          <w:kern w:val="24"/>
          <w:highlight w:val="none"/>
        </w:rPr>
      </w:pPr>
      <w:r>
        <w:rPr>
          <w:rFonts w:ascii="宋体" w:hAnsi="宋体"/>
          <w:color w:val="auto"/>
          <w:kern w:val="24"/>
          <w:highlight w:val="none"/>
        </w:rPr>
        <w:t>本公司（联合体）郑重声明，根据《政府采购促进中小企业发展管理办法》（财库﹝2020﹞46号）的规定，本公司（联合体）参加</w:t>
      </w:r>
      <w:r>
        <w:rPr>
          <w:rFonts w:ascii="宋体" w:hAnsi="宋体"/>
          <w:color w:val="auto"/>
          <w:kern w:val="24"/>
          <w:highlight w:val="none"/>
          <w:u w:val="single"/>
        </w:rPr>
        <w:t>（单位名称）</w:t>
      </w:r>
      <w:r>
        <w:rPr>
          <w:rFonts w:ascii="宋体" w:hAnsi="宋体"/>
          <w:color w:val="auto"/>
          <w:kern w:val="24"/>
          <w:highlight w:val="none"/>
        </w:rPr>
        <w:t>的</w:t>
      </w:r>
      <w:r>
        <w:rPr>
          <w:rFonts w:ascii="宋体" w:hAnsi="宋体"/>
          <w:color w:val="auto"/>
          <w:kern w:val="24"/>
          <w:highlight w:val="none"/>
          <w:u w:val="single"/>
        </w:rPr>
        <w:t>（项目名称）</w:t>
      </w:r>
      <w:r>
        <w:rPr>
          <w:rFonts w:ascii="宋体" w:hAnsi="宋体"/>
          <w:color w:val="auto"/>
          <w:kern w:val="24"/>
          <w:highlight w:val="none"/>
        </w:rPr>
        <w:t>采购活动，提供的货物全部由符合政策要求的中小企业制造。相关企业（含联合体中的中小企业、签订分包意向协议的中小企业）的具体情况如下：</w:t>
      </w:r>
    </w:p>
    <w:p w14:paraId="0DFFCC3F">
      <w:pPr>
        <w:tabs>
          <w:tab w:val="left" w:pos="1384"/>
          <w:tab w:val="left" w:pos="4562"/>
          <w:tab w:val="left" w:pos="6803"/>
        </w:tabs>
        <w:spacing w:line="360" w:lineRule="auto"/>
        <w:ind w:left="-426" w:right="-58" w:firstLine="655"/>
        <w:contextualSpacing/>
        <w:rPr>
          <w:rFonts w:hint="eastAsia" w:ascii="宋体" w:hAnsi="宋体"/>
          <w:color w:val="auto"/>
          <w:kern w:val="24"/>
          <w:sz w:val="24"/>
          <w:highlight w:val="none"/>
        </w:rPr>
      </w:pPr>
      <w:r>
        <w:rPr>
          <w:rFonts w:ascii="宋体" w:hAnsi="宋体"/>
          <w:color w:val="auto"/>
          <w:kern w:val="24"/>
          <w:sz w:val="24"/>
          <w:highlight w:val="none"/>
        </w:rPr>
        <w:t>1.</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行业；制造商为</w:t>
      </w:r>
      <w:r>
        <w:rPr>
          <w:rFonts w:ascii="宋体" w:hAnsi="宋体"/>
          <w:color w:val="auto"/>
          <w:kern w:val="24"/>
          <w:sz w:val="24"/>
          <w:highlight w:val="none"/>
          <w:u w:val="single"/>
        </w:rPr>
        <w:t>（企业名称）</w:t>
      </w:r>
      <w:r>
        <w:rPr>
          <w:rFonts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3ACD79C9">
      <w:pPr>
        <w:tabs>
          <w:tab w:val="left" w:pos="1065"/>
          <w:tab w:val="left" w:pos="6477"/>
        </w:tabs>
        <w:spacing w:line="360" w:lineRule="auto"/>
        <w:ind w:left="-426" w:right="-58" w:firstLine="655"/>
        <w:contextualSpacing/>
        <w:rPr>
          <w:rFonts w:hint="eastAsia" w:ascii="宋体" w:hAnsi="宋体"/>
          <w:color w:val="auto"/>
          <w:kern w:val="24"/>
          <w:sz w:val="24"/>
          <w:highlight w:val="none"/>
        </w:rPr>
      </w:pPr>
      <w:r>
        <w:rPr>
          <w:rFonts w:ascii="宋体" w:hAnsi="宋体"/>
          <w:color w:val="auto"/>
          <w:kern w:val="24"/>
          <w:sz w:val="24"/>
          <w:highlight w:val="none"/>
        </w:rPr>
        <w:t>2.</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行业；制造商为</w:t>
      </w:r>
      <w:r>
        <w:rPr>
          <w:rFonts w:ascii="宋体" w:hAnsi="宋体"/>
          <w:color w:val="auto"/>
          <w:kern w:val="24"/>
          <w:sz w:val="24"/>
          <w:highlight w:val="none"/>
          <w:u w:val="single"/>
        </w:rPr>
        <w:t>（企业名称）</w:t>
      </w:r>
      <w:r>
        <w:rPr>
          <w:rFonts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6A3C7E48">
      <w:pPr>
        <w:pStyle w:val="17"/>
        <w:spacing w:line="360" w:lineRule="auto"/>
        <w:ind w:left="142" w:right="142"/>
        <w:contextualSpacing/>
        <w:rPr>
          <w:rFonts w:hint="eastAsia" w:ascii="宋体" w:hAnsi="宋体"/>
          <w:color w:val="auto"/>
          <w:kern w:val="24"/>
          <w:highlight w:val="none"/>
        </w:rPr>
      </w:pPr>
      <w:r>
        <w:rPr>
          <w:rFonts w:ascii="宋体" w:hAnsi="宋体"/>
          <w:color w:val="auto"/>
          <w:kern w:val="24"/>
          <w:highlight w:val="none"/>
        </w:rPr>
        <w:t xml:space="preserve">…… </w:t>
      </w:r>
    </w:p>
    <w:p w14:paraId="572CCFAB">
      <w:pPr>
        <w:pStyle w:val="17"/>
        <w:spacing w:line="360" w:lineRule="auto"/>
        <w:ind w:left="-405" w:leftChars="-193" w:right="142" w:firstLine="453" w:firstLineChars="189"/>
        <w:contextualSpacing/>
        <w:rPr>
          <w:rFonts w:hint="eastAsia" w:ascii="宋体" w:hAnsi="宋体"/>
          <w:color w:val="auto"/>
          <w:kern w:val="24"/>
          <w:highlight w:val="none"/>
        </w:rPr>
      </w:pPr>
      <w:r>
        <w:rPr>
          <w:rFonts w:ascii="宋体" w:hAnsi="宋体"/>
          <w:color w:val="auto"/>
          <w:kern w:val="24"/>
          <w:highlight w:val="none"/>
        </w:rPr>
        <w:t>以上企业，不属于大企业的分支机构，不存在控股股东为大企业的情形，也不存在与大企业的负责人为同一人的情形。</w:t>
      </w:r>
    </w:p>
    <w:p w14:paraId="7DC2DAC8">
      <w:pPr>
        <w:pStyle w:val="17"/>
        <w:spacing w:line="360" w:lineRule="auto"/>
        <w:ind w:left="-426" w:right="142" w:firstLine="567"/>
        <w:contextualSpacing/>
        <w:rPr>
          <w:rFonts w:hint="eastAsia" w:ascii="宋体" w:hAnsi="宋体"/>
          <w:color w:val="auto"/>
          <w:kern w:val="24"/>
          <w:highlight w:val="none"/>
        </w:rPr>
      </w:pPr>
      <w:r>
        <w:rPr>
          <w:rFonts w:ascii="宋体" w:hAnsi="宋体"/>
          <w:color w:val="auto"/>
          <w:kern w:val="24"/>
          <w:highlight w:val="none"/>
        </w:rPr>
        <w:t>本企业对上述声明内容的真实性负责。如有虚假，将依法承担相应责任。</w:t>
      </w:r>
    </w:p>
    <w:p w14:paraId="397C1880">
      <w:pPr>
        <w:pStyle w:val="17"/>
        <w:spacing w:line="360" w:lineRule="auto"/>
        <w:ind w:left="3960" w:right="1808"/>
        <w:contextualSpacing/>
        <w:rPr>
          <w:rFonts w:hint="eastAsia" w:ascii="宋体" w:hAnsi="宋体"/>
          <w:color w:val="auto"/>
          <w:kern w:val="24"/>
          <w:highlight w:val="none"/>
        </w:rPr>
      </w:pPr>
    </w:p>
    <w:p w14:paraId="18997FF2">
      <w:pPr>
        <w:pStyle w:val="17"/>
        <w:spacing w:line="360" w:lineRule="auto"/>
        <w:ind w:left="3960" w:right="1808"/>
        <w:contextualSpacing/>
        <w:rPr>
          <w:rFonts w:hint="eastAsia" w:ascii="宋体" w:hAnsi="宋体"/>
          <w:color w:val="auto"/>
          <w:kern w:val="24"/>
          <w:highlight w:val="none"/>
        </w:rPr>
      </w:pPr>
      <w:r>
        <w:rPr>
          <w:rFonts w:ascii="宋体" w:hAnsi="宋体"/>
          <w:color w:val="auto"/>
          <w:kern w:val="24"/>
          <w:highlight w:val="none"/>
        </w:rPr>
        <w:t>企业名称（</w:t>
      </w:r>
      <w:r>
        <w:rPr>
          <w:rFonts w:hint="eastAsia" w:ascii="宋体" w:hAnsi="宋体"/>
          <w:color w:val="auto"/>
          <w:kern w:val="24"/>
          <w:highlight w:val="none"/>
        </w:rPr>
        <w:t>电子签章</w:t>
      </w:r>
      <w:r>
        <w:rPr>
          <w:rFonts w:ascii="宋体" w:hAnsi="宋体"/>
          <w:color w:val="auto"/>
          <w:kern w:val="24"/>
          <w:highlight w:val="none"/>
        </w:rPr>
        <w:t xml:space="preserve">）： </w:t>
      </w:r>
    </w:p>
    <w:p w14:paraId="28692FDB">
      <w:pPr>
        <w:pStyle w:val="17"/>
        <w:spacing w:line="360" w:lineRule="auto"/>
        <w:ind w:left="3960" w:right="1808"/>
        <w:contextualSpacing/>
        <w:rPr>
          <w:rFonts w:hint="eastAsia" w:ascii="宋体" w:hAnsi="宋体"/>
          <w:color w:val="auto"/>
          <w:kern w:val="24"/>
          <w:highlight w:val="none"/>
        </w:rPr>
      </w:pPr>
      <w:r>
        <w:rPr>
          <w:rFonts w:ascii="宋体" w:hAnsi="宋体"/>
          <w:color w:val="auto"/>
          <w:kern w:val="24"/>
          <w:highlight w:val="none"/>
        </w:rPr>
        <w:t>日</w:t>
      </w:r>
      <w:r>
        <w:rPr>
          <w:rFonts w:hint="eastAsia" w:ascii="宋体" w:hAnsi="宋体"/>
          <w:color w:val="auto"/>
          <w:kern w:val="24"/>
          <w:highlight w:val="none"/>
        </w:rPr>
        <w:t xml:space="preserve"> </w:t>
      </w:r>
      <w:r>
        <w:rPr>
          <w:rFonts w:ascii="宋体" w:hAnsi="宋体"/>
          <w:color w:val="auto"/>
          <w:kern w:val="24"/>
          <w:highlight w:val="none"/>
        </w:rPr>
        <w:t>期：</w:t>
      </w:r>
    </w:p>
    <w:p w14:paraId="6480EAFD">
      <w:pPr>
        <w:pStyle w:val="17"/>
        <w:spacing w:line="360" w:lineRule="auto"/>
        <w:ind w:left="3960" w:right="1808"/>
        <w:contextualSpacing/>
        <w:rPr>
          <w:rFonts w:hint="eastAsia" w:ascii="宋体" w:hAnsi="宋体"/>
          <w:color w:val="auto"/>
          <w:kern w:val="24"/>
          <w:highlight w:val="none"/>
        </w:rPr>
      </w:pPr>
    </w:p>
    <w:p w14:paraId="3DD33D05">
      <w:pPr>
        <w:pStyle w:val="17"/>
        <w:spacing w:line="360" w:lineRule="auto"/>
        <w:ind w:left="3960" w:right="1808"/>
        <w:contextualSpacing/>
        <w:rPr>
          <w:rFonts w:hint="eastAsia" w:ascii="宋体" w:hAnsi="宋体"/>
          <w:color w:val="auto"/>
          <w:kern w:val="24"/>
          <w:highlight w:val="none"/>
        </w:rPr>
      </w:pPr>
    </w:p>
    <w:p w14:paraId="24FF6095">
      <w:pPr>
        <w:pStyle w:val="17"/>
        <w:spacing w:line="360" w:lineRule="auto"/>
        <w:ind w:left="-426" w:right="142" w:firstLine="567"/>
        <w:contextualSpacing/>
        <w:rPr>
          <w:rFonts w:hint="eastAsia" w:ascii="宋体" w:hAnsi="宋体"/>
          <w:color w:val="auto"/>
          <w:kern w:val="24"/>
          <w:highlight w:val="none"/>
        </w:rPr>
      </w:pPr>
      <w:r>
        <w:rPr>
          <w:rFonts w:hint="eastAsia" w:ascii="宋体" w:hAnsi="宋体"/>
          <w:color w:val="auto"/>
          <w:kern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565801B4">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2.残疾人福利性单位声明函格式</w:t>
      </w:r>
    </w:p>
    <w:p w14:paraId="2C323552">
      <w:pPr>
        <w:spacing w:line="588" w:lineRule="exact"/>
        <w:jc w:val="center"/>
        <w:rPr>
          <w:rFonts w:ascii="仿宋_GB2312" w:eastAsia="仿宋_GB2312"/>
          <w:b/>
          <w:color w:val="auto"/>
          <w:spacing w:val="6"/>
          <w:sz w:val="32"/>
          <w:szCs w:val="32"/>
          <w:highlight w:val="none"/>
        </w:rPr>
      </w:pPr>
    </w:p>
    <w:p w14:paraId="773A8FDC">
      <w:pPr>
        <w:spacing w:line="588" w:lineRule="exact"/>
        <w:jc w:val="center"/>
        <w:rPr>
          <w:rFonts w:hint="eastAsia"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残疾人福利性单位声明函</w:t>
      </w:r>
    </w:p>
    <w:p w14:paraId="3BABA6CC">
      <w:pPr>
        <w:spacing w:line="360" w:lineRule="auto"/>
        <w:contextualSpacing/>
        <w:rPr>
          <w:rFonts w:ascii="仿宋_GB2312" w:eastAsia="仿宋_GB2312"/>
          <w:bCs/>
          <w:color w:val="auto"/>
          <w:spacing w:val="6"/>
          <w:sz w:val="30"/>
          <w:szCs w:val="30"/>
          <w:highlight w:val="none"/>
        </w:rPr>
      </w:pPr>
    </w:p>
    <w:p w14:paraId="72AE6FCF">
      <w:pPr>
        <w:spacing w:line="360" w:lineRule="auto"/>
        <w:ind w:firstLine="504" w:firstLineChars="200"/>
        <w:contextualSpacing/>
        <w:rPr>
          <w:rFonts w:hint="eastAsia"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pacing w:val="6"/>
          <w:sz w:val="24"/>
          <w:highlight w:val="none"/>
          <w:lang w:eastAsia="zh-CN"/>
        </w:rPr>
        <w:t>〔2017〕141号</w:t>
      </w:r>
      <w:r>
        <w:rPr>
          <w:rFonts w:hint="eastAsia" w:ascii="宋体" w:hAnsi="宋体"/>
          <w:color w:val="auto"/>
          <w:spacing w:val="6"/>
          <w:sz w:val="24"/>
          <w:highlight w:val="none"/>
        </w:rPr>
        <w:t>）的规定，本单位为符合条件的残疾人福利性单位，且本单位参加______单位的______项目采购活动提供本单位制造的货物（由本单位承担工程/提供服务），或者提供其他残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79C4720F">
      <w:pPr>
        <w:spacing w:line="360" w:lineRule="auto"/>
        <w:ind w:firstLine="504" w:firstLineChars="200"/>
        <w:contextualSpacing/>
        <w:rPr>
          <w:rFonts w:hint="eastAsia"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68DD7E95">
      <w:pPr>
        <w:spacing w:line="360" w:lineRule="auto"/>
        <w:ind w:firstLine="504" w:firstLineChars="200"/>
        <w:contextualSpacing/>
        <w:rPr>
          <w:rFonts w:hint="eastAsia" w:ascii="宋体" w:hAnsi="宋体"/>
          <w:color w:val="auto"/>
          <w:spacing w:val="6"/>
          <w:sz w:val="24"/>
          <w:highlight w:val="none"/>
        </w:rPr>
      </w:pPr>
    </w:p>
    <w:p w14:paraId="2FCAD7B2">
      <w:pPr>
        <w:spacing w:line="360" w:lineRule="auto"/>
        <w:ind w:firstLine="504" w:firstLineChars="200"/>
        <w:contextualSpacing/>
        <w:rPr>
          <w:rFonts w:hint="eastAsia" w:ascii="宋体" w:hAnsi="宋体"/>
          <w:color w:val="auto"/>
          <w:spacing w:val="6"/>
          <w:sz w:val="24"/>
          <w:highlight w:val="none"/>
        </w:rPr>
      </w:pPr>
    </w:p>
    <w:p w14:paraId="714B7EEC">
      <w:pPr>
        <w:tabs>
          <w:tab w:val="left" w:pos="4860"/>
        </w:tabs>
        <w:spacing w:line="360" w:lineRule="auto"/>
        <w:ind w:right="1560" w:firstLine="504" w:firstLineChars="200"/>
        <w:contextualSpacing/>
        <w:jc w:val="center"/>
        <w:rPr>
          <w:rFonts w:hint="eastAsia" w:ascii="宋体" w:hAnsi="宋体"/>
          <w:color w:val="auto"/>
          <w:spacing w:val="6"/>
          <w:sz w:val="24"/>
          <w:highlight w:val="none"/>
        </w:rPr>
      </w:pPr>
      <w:r>
        <w:rPr>
          <w:rFonts w:hint="eastAsia" w:ascii="宋体" w:hAnsi="宋体"/>
          <w:color w:val="auto"/>
          <w:spacing w:val="6"/>
          <w:sz w:val="24"/>
          <w:highlight w:val="none"/>
        </w:rPr>
        <w:t>单位名称（电子签章）：</w:t>
      </w:r>
    </w:p>
    <w:p w14:paraId="52070A55">
      <w:pPr>
        <w:tabs>
          <w:tab w:val="left" w:pos="4860"/>
        </w:tabs>
        <w:spacing w:line="360" w:lineRule="auto"/>
        <w:ind w:right="1560" w:firstLine="504" w:firstLineChars="200"/>
        <w:contextualSpacing/>
        <w:jc w:val="center"/>
        <w:rPr>
          <w:rFonts w:hint="eastAsia" w:ascii="宋体" w:hAnsi="宋体"/>
          <w:color w:val="auto"/>
          <w:spacing w:val="6"/>
          <w:sz w:val="24"/>
          <w:highlight w:val="none"/>
        </w:rPr>
      </w:pPr>
      <w:r>
        <w:rPr>
          <w:rFonts w:hint="eastAsia" w:ascii="宋体" w:hAnsi="宋体"/>
          <w:color w:val="auto"/>
          <w:spacing w:val="6"/>
          <w:sz w:val="24"/>
          <w:highlight w:val="none"/>
        </w:rPr>
        <w:t>日  期：</w:t>
      </w:r>
    </w:p>
    <w:p w14:paraId="1EBEEBAA">
      <w:pPr>
        <w:spacing w:line="360" w:lineRule="auto"/>
        <w:contextualSpacing/>
        <w:rPr>
          <w:rFonts w:hint="eastAsia" w:ascii="宋体" w:hAnsi="宋体"/>
          <w:color w:val="auto"/>
          <w:sz w:val="24"/>
          <w:highlight w:val="none"/>
        </w:rPr>
      </w:pPr>
    </w:p>
    <w:p w14:paraId="14DB6A3E">
      <w:pPr>
        <w:spacing w:line="360" w:lineRule="auto"/>
        <w:contextualSpacing/>
        <w:rPr>
          <w:rFonts w:hint="eastAsia" w:ascii="宋体" w:hAnsi="宋体"/>
          <w:color w:val="auto"/>
          <w:sz w:val="24"/>
          <w:highlight w:val="none"/>
        </w:rPr>
      </w:pPr>
    </w:p>
    <w:p w14:paraId="19216593">
      <w:pPr>
        <w:spacing w:line="360" w:lineRule="auto"/>
        <w:contextualSpacing/>
        <w:rPr>
          <w:rFonts w:hint="eastAsia" w:ascii="宋体" w:hAnsi="宋体"/>
          <w:color w:val="auto"/>
          <w:sz w:val="24"/>
          <w:highlight w:val="none"/>
        </w:rPr>
      </w:pPr>
    </w:p>
    <w:p w14:paraId="1CC34CAC">
      <w:pPr>
        <w:spacing w:line="360" w:lineRule="auto"/>
        <w:contextualSpacing/>
        <w:rPr>
          <w:rFonts w:hint="eastAsia"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5BD526F2">
      <w:pPr>
        <w:spacing w:line="360" w:lineRule="auto"/>
        <w:jc w:val="left"/>
        <w:rPr>
          <w:rFonts w:hint="eastAsia" w:ascii="宋体" w:hAnsi="宋体"/>
          <w:color w:val="auto"/>
          <w:sz w:val="24"/>
          <w:highlight w:val="none"/>
        </w:rPr>
      </w:pPr>
      <w:r>
        <w:rPr>
          <w:rFonts w:ascii="宋体" w:hAnsi="宋体"/>
          <w:color w:val="auto"/>
          <w:sz w:val="24"/>
          <w:highlight w:val="none"/>
        </w:rPr>
        <w:br w:type="page"/>
      </w:r>
      <w:r>
        <w:rPr>
          <w:rFonts w:hint="eastAsia" w:ascii="宋体" w:hAnsi="宋体"/>
          <w:b/>
          <w:color w:val="auto"/>
          <w:sz w:val="24"/>
          <w:highlight w:val="none"/>
        </w:rPr>
        <w:t>3.质疑函（格式）</w:t>
      </w:r>
    </w:p>
    <w:p w14:paraId="5F0ABF3A">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质疑函（格式）</w:t>
      </w:r>
    </w:p>
    <w:p w14:paraId="3F548873">
      <w:pPr>
        <w:pStyle w:val="24"/>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一、质疑供应商基本信息：</w:t>
      </w:r>
    </w:p>
    <w:p w14:paraId="3FB31015">
      <w:pPr>
        <w:pStyle w:val="24"/>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63B8F30">
      <w:pPr>
        <w:pStyle w:val="2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B9F64FE">
      <w:pPr>
        <w:pStyle w:val="2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0802C8F">
      <w:pPr>
        <w:pStyle w:val="24"/>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4A0AB1AF">
      <w:pPr>
        <w:pStyle w:val="24"/>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9BCF3A3">
      <w:pPr>
        <w:pStyle w:val="2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8346694">
      <w:pPr>
        <w:pStyle w:val="24"/>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07232D5F">
      <w:pPr>
        <w:pStyle w:val="2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4DF55ED9">
      <w:pPr>
        <w:pStyle w:val="2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4416DFB6">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1E3E21F6">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w:t>
      </w:r>
    </w:p>
    <w:p w14:paraId="211DED37">
      <w:pPr>
        <w:pStyle w:val="24"/>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□招标文件   招标文件获取日期：</w:t>
      </w:r>
      <w:r>
        <w:rPr>
          <w:rFonts w:hint="eastAsia" w:hAnsi="宋体"/>
          <w:bCs/>
          <w:color w:val="auto"/>
          <w:sz w:val="24"/>
          <w:szCs w:val="24"/>
          <w:highlight w:val="none"/>
          <w:u w:val="single"/>
        </w:rPr>
        <w:t xml:space="preserve">                                   </w:t>
      </w:r>
    </w:p>
    <w:p w14:paraId="63D96B1F">
      <w:pPr>
        <w:pStyle w:val="24"/>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 xml:space="preserve">□招标过程   </w:t>
      </w:r>
    </w:p>
    <w:p w14:paraId="0C850DF3">
      <w:pPr>
        <w:pStyle w:val="24"/>
        <w:spacing w:line="360" w:lineRule="auto"/>
        <w:ind w:left="25" w:leftChars="12" w:firstLine="352" w:firstLineChars="147"/>
        <w:rPr>
          <w:rFonts w:hint="eastAsia" w:hAnsi="宋体"/>
          <w:bCs/>
          <w:color w:val="auto"/>
          <w:sz w:val="24"/>
          <w:szCs w:val="24"/>
          <w:highlight w:val="none"/>
          <w:u w:val="single"/>
        </w:rPr>
      </w:pPr>
      <w:r>
        <w:rPr>
          <w:rFonts w:hint="eastAsia" w:hAnsi="宋体"/>
          <w:color w:val="auto"/>
          <w:sz w:val="24"/>
          <w:szCs w:val="24"/>
          <w:highlight w:val="none"/>
        </w:rPr>
        <w:t xml:space="preserve">□招标结果   </w:t>
      </w:r>
    </w:p>
    <w:p w14:paraId="01225C9B">
      <w:pPr>
        <w:pStyle w:val="2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三、质疑事项具体内容</w:t>
      </w:r>
    </w:p>
    <w:p w14:paraId="502212E3">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31AC2EBF">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1986D3AC">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6E151D3C">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质疑事项2</w:t>
      </w:r>
    </w:p>
    <w:p w14:paraId="3725B2F3">
      <w:pPr>
        <w:pStyle w:val="24"/>
        <w:spacing w:line="360" w:lineRule="auto"/>
        <w:ind w:left="25" w:leftChars="12" w:firstLine="472" w:firstLineChars="197"/>
        <w:rPr>
          <w:rFonts w:hint="eastAsia" w:hAnsi="宋体"/>
          <w:color w:val="auto"/>
          <w:sz w:val="24"/>
          <w:szCs w:val="24"/>
          <w:highlight w:val="none"/>
        </w:rPr>
      </w:pPr>
      <w:r>
        <w:rPr>
          <w:rFonts w:hAnsi="宋体"/>
          <w:color w:val="auto"/>
          <w:sz w:val="24"/>
          <w:szCs w:val="24"/>
          <w:highlight w:val="none"/>
        </w:rPr>
        <w:t>……</w:t>
      </w:r>
    </w:p>
    <w:p w14:paraId="56F52868">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6DC3D88E">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E8ACF34">
      <w:pPr>
        <w:pStyle w:val="24"/>
        <w:spacing w:line="360" w:lineRule="auto"/>
        <w:ind w:left="25" w:leftChars="12" w:firstLine="352" w:firstLineChars="147"/>
        <w:rPr>
          <w:rFonts w:hint="eastAsia" w:hAnsi="宋体"/>
          <w:color w:val="auto"/>
          <w:sz w:val="24"/>
          <w:szCs w:val="24"/>
          <w:highlight w:val="none"/>
        </w:rPr>
      </w:pPr>
    </w:p>
    <w:p w14:paraId="3067AE0A">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6E012049">
      <w:pPr>
        <w:pStyle w:val="24"/>
        <w:spacing w:line="360" w:lineRule="auto"/>
        <w:ind w:left="25" w:leftChars="12" w:firstLine="352" w:firstLineChars="147"/>
        <w:rPr>
          <w:rFonts w:hint="eastAsia" w:hAnsi="宋体"/>
          <w:color w:val="auto"/>
          <w:sz w:val="24"/>
          <w:szCs w:val="24"/>
          <w:highlight w:val="none"/>
        </w:rPr>
      </w:pPr>
    </w:p>
    <w:p w14:paraId="433B3085">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547F0DB1">
      <w:pPr>
        <w:pStyle w:val="24"/>
        <w:snapToGrid w:val="0"/>
        <w:spacing w:line="360" w:lineRule="auto"/>
        <w:rPr>
          <w:rFonts w:hint="eastAsia" w:hAnsi="宋体"/>
          <w:b/>
          <w:color w:val="auto"/>
          <w:sz w:val="24"/>
          <w:szCs w:val="24"/>
          <w:highlight w:val="none"/>
        </w:rPr>
      </w:pPr>
    </w:p>
    <w:p w14:paraId="584BA2C2">
      <w:pPr>
        <w:pStyle w:val="24"/>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70754FA7">
      <w:pPr>
        <w:pStyle w:val="24"/>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00F5AC0A">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85D370C">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6B6CB2C3">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6EA9888E">
      <w:pPr>
        <w:pStyle w:val="24"/>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153C4217">
      <w:pPr>
        <w:pStyle w:val="24"/>
        <w:snapToGrid w:val="0"/>
        <w:rPr>
          <w:b/>
          <w:color w:val="auto"/>
          <w:sz w:val="24"/>
          <w:szCs w:val="24"/>
          <w:highlight w:val="none"/>
        </w:rPr>
      </w:pPr>
    </w:p>
    <w:p w14:paraId="7D30D2DD">
      <w:pPr>
        <w:spacing w:line="360" w:lineRule="auto"/>
        <w:jc w:val="left"/>
        <w:rPr>
          <w:rFonts w:hint="eastAsia" w:ascii="宋体" w:hAnsi="宋体"/>
          <w:b/>
          <w:bCs/>
          <w:color w:val="auto"/>
          <w:sz w:val="32"/>
          <w:szCs w:val="32"/>
          <w:highlight w:val="none"/>
        </w:rPr>
      </w:pPr>
      <w:r>
        <w:rPr>
          <w:rFonts w:eastAsia="隶书"/>
          <w:color w:val="auto"/>
          <w:sz w:val="44"/>
          <w:highlight w:val="none"/>
        </w:rPr>
        <w:br w:type="page"/>
      </w:r>
      <w:r>
        <w:rPr>
          <w:rFonts w:hint="eastAsia" w:ascii="宋体" w:hAnsi="宋体"/>
          <w:b/>
          <w:color w:val="auto"/>
          <w:sz w:val="24"/>
          <w:highlight w:val="none"/>
        </w:rPr>
        <w:t>4.投诉书（格式）</w:t>
      </w:r>
    </w:p>
    <w:p w14:paraId="2E59E027">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0C6BC995">
      <w:pPr>
        <w:pStyle w:val="24"/>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一、投诉相关主体基本情况：</w:t>
      </w:r>
    </w:p>
    <w:p w14:paraId="4FB96976">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43F17BC">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ADE6099">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6E99AC12">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4EAC41C">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528BA7D6">
      <w:pPr>
        <w:pStyle w:val="24"/>
        <w:snapToGrid w:val="0"/>
        <w:spacing w:line="360" w:lineRule="auto"/>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01EF81E">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408EEDD">
      <w:pPr>
        <w:pStyle w:val="24"/>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被投诉人1：</w:t>
      </w:r>
    </w:p>
    <w:p w14:paraId="4F266432">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6C6F66E7">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5A43851">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1D9CC56">
      <w:pPr>
        <w:pStyle w:val="24"/>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被投诉人2：</w:t>
      </w:r>
    </w:p>
    <w:p w14:paraId="650B3B38">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w:t>
      </w:r>
    </w:p>
    <w:p w14:paraId="0BED54EE">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296FA030">
      <w:pPr>
        <w:pStyle w:val="24"/>
        <w:snapToGrid w:val="0"/>
        <w:spacing w:line="360" w:lineRule="auto"/>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850036A">
      <w:pPr>
        <w:pStyle w:val="24"/>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1B8F2F0">
      <w:pPr>
        <w:pStyle w:val="24"/>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2A5F979A">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招标项目的名称：</w:t>
      </w:r>
      <w:r>
        <w:rPr>
          <w:rFonts w:hint="eastAsia" w:hAnsi="宋体"/>
          <w:bCs/>
          <w:color w:val="auto"/>
          <w:sz w:val="24"/>
          <w:szCs w:val="24"/>
          <w:highlight w:val="none"/>
          <w:u w:val="single"/>
        </w:rPr>
        <w:t xml:space="preserve">                                                                   </w:t>
      </w:r>
    </w:p>
    <w:p w14:paraId="5B33F06A">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招标项目的编号：</w:t>
      </w:r>
      <w:r>
        <w:rPr>
          <w:rFonts w:hint="eastAsia" w:hAnsi="宋体"/>
          <w:bCs/>
          <w:color w:val="auto"/>
          <w:sz w:val="24"/>
          <w:szCs w:val="24"/>
          <w:highlight w:val="none"/>
          <w:u w:val="single"/>
        </w:rPr>
        <w:t xml:space="preserve">                                          </w:t>
      </w:r>
    </w:p>
    <w:p w14:paraId="43F2CCA4">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78B55B6D">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11A53601">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招标</w:t>
      </w:r>
      <w:r>
        <w:rPr>
          <w:rFonts w:hint="eastAsia" w:hAnsi="宋体"/>
          <w:bCs/>
          <w:color w:val="auto"/>
          <w:sz w:val="24"/>
          <w:szCs w:val="24"/>
          <w:highlight w:val="none"/>
        </w:rPr>
        <w:t>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03D244BB">
      <w:pPr>
        <w:pStyle w:val="24"/>
        <w:spacing w:line="360" w:lineRule="auto"/>
        <w:ind w:left="25" w:leftChars="12" w:firstLine="472" w:firstLineChars="197"/>
        <w:rPr>
          <w:rFonts w:hint="eastAsia" w:hAnsi="宋体"/>
          <w:b/>
          <w:color w:val="auto"/>
          <w:sz w:val="24"/>
          <w:szCs w:val="24"/>
          <w:highlight w:val="none"/>
        </w:rPr>
      </w:pPr>
      <w:r>
        <w:rPr>
          <w:rFonts w:hint="eastAsia" w:hAnsi="宋体"/>
          <w:color w:val="auto"/>
          <w:sz w:val="24"/>
          <w:szCs w:val="24"/>
          <w:highlight w:val="none"/>
        </w:rPr>
        <w:t>招标</w:t>
      </w:r>
      <w:r>
        <w:rPr>
          <w:rFonts w:hint="eastAsia" w:hAnsi="宋体"/>
          <w:bCs/>
          <w:color w:val="auto"/>
          <w:sz w:val="24"/>
          <w:szCs w:val="24"/>
          <w:highlight w:val="none"/>
        </w:rPr>
        <w:t>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4BDF30B7">
      <w:pPr>
        <w:pStyle w:val="2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103F20DE">
      <w:pPr>
        <w:pStyle w:val="24"/>
        <w:spacing w:line="360" w:lineRule="auto"/>
        <w:ind w:left="25" w:leftChars="12"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264B9740">
      <w:pPr>
        <w:pStyle w:val="24"/>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5E07F7FD">
      <w:pPr>
        <w:pStyle w:val="24"/>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21E9F8D3">
      <w:pPr>
        <w:pStyle w:val="24"/>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06968BAB">
      <w:pPr>
        <w:pStyle w:val="2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2B8DEF04">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4FB0F7AD">
      <w:pPr>
        <w:pStyle w:val="24"/>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23E22434">
      <w:pPr>
        <w:pStyle w:val="2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5A44A07B">
      <w:pPr>
        <w:pStyle w:val="24"/>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56665CAB">
      <w:pPr>
        <w:pStyle w:val="24"/>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208E9EE6">
      <w:pPr>
        <w:pStyle w:val="24"/>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21938395">
      <w:pPr>
        <w:pStyle w:val="24"/>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34DDF4C8">
      <w:pPr>
        <w:pStyle w:val="2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651ABEFE">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0E6EF11F">
      <w:pPr>
        <w:pStyle w:val="24"/>
        <w:spacing w:line="360" w:lineRule="auto"/>
        <w:ind w:left="25" w:leftChars="12" w:firstLine="352" w:firstLineChars="147"/>
        <w:rPr>
          <w:rFonts w:hint="eastAsia" w:hAnsi="宋体"/>
          <w:color w:val="auto"/>
          <w:sz w:val="24"/>
          <w:szCs w:val="24"/>
          <w:highlight w:val="none"/>
        </w:rPr>
      </w:pPr>
    </w:p>
    <w:p w14:paraId="7724E4C2">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16DE0BD1">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78BD8E07">
      <w:pPr>
        <w:pStyle w:val="2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 xml:space="preserve">                                                                              </w:t>
      </w:r>
    </w:p>
    <w:p w14:paraId="686A4A35">
      <w:pPr>
        <w:pStyle w:val="24"/>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1A34A8D7">
      <w:pPr>
        <w:pStyle w:val="24"/>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46A1C177">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0EEFA42">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0401BCF7">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6FF5A965">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3DD2ADE4">
      <w:pPr>
        <w:pStyle w:val="24"/>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6" w:type="first"/>
      <w:headerReference r:id="rId3" w:type="default"/>
      <w:footerReference r:id="rId4" w:type="default"/>
      <w:footerReference r:id="rId5"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2000009F" w:csb1="DFD70000"/>
  </w:font>
  <w:font w:name="Arial Unicode MS">
    <w:altName w:val="宋体"/>
    <w:panose1 w:val="020B0604020202020204"/>
    <w:charset w:val="86"/>
    <w:family w:val="roman"/>
    <w:pitch w:val="default"/>
    <w:sig w:usb0="00000000" w:usb1="00000000" w:usb2="0000003F" w:usb3="00000000" w:csb0="603F01FF" w:csb1="FFFF0000"/>
  </w:font>
  <w:font w:name="华文楷体">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44FC6">
    <w:pPr>
      <w:pStyle w:val="30"/>
      <w:jc w:val="center"/>
    </w:pPr>
    <w:r>
      <w:fldChar w:fldCharType="begin"/>
    </w:r>
    <w:r>
      <w:instrText xml:space="preserve"> PAGE   \* MERGEFORMAT </w:instrText>
    </w:r>
    <w:r>
      <w:fldChar w:fldCharType="separate"/>
    </w:r>
    <w:r>
      <w:rPr>
        <w:lang w:val="zh-CN"/>
      </w:rPr>
      <w:t>104</w:t>
    </w:r>
    <w:r>
      <w:fldChar w:fldCharType="end"/>
    </w:r>
  </w:p>
  <w:p w14:paraId="5D6A9702">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D685B">
    <w:pPr>
      <w:pStyle w:val="30"/>
      <w:framePr w:wrap="around" w:vAnchor="text" w:hAnchor="margin" w:xAlign="center" w:y="1"/>
      <w:rPr>
        <w:rStyle w:val="51"/>
      </w:rPr>
    </w:pPr>
    <w:r>
      <w:fldChar w:fldCharType="begin"/>
    </w:r>
    <w:r>
      <w:rPr>
        <w:rStyle w:val="51"/>
      </w:rPr>
      <w:instrText xml:space="preserve">PAGE  </w:instrText>
    </w:r>
    <w:r>
      <w:fldChar w:fldCharType="end"/>
    </w:r>
  </w:p>
  <w:p w14:paraId="546BC46B">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16A9A">
    <w:pPr>
      <w:pStyle w:val="30"/>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8A389">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6EC0A"/>
    <w:multiLevelType w:val="singleLevel"/>
    <w:tmpl w:val="9036EC0A"/>
    <w:lvl w:ilvl="0" w:tentative="0">
      <w:start w:val="1"/>
      <w:numFmt w:val="decimal"/>
      <w:suff w:val="nothing"/>
      <w:lvlText w:val="%1"/>
      <w:lvlJc w:val="center"/>
      <w:pPr>
        <w:tabs>
          <w:tab w:val="left" w:pos="0"/>
        </w:tabs>
        <w:ind w:left="0" w:firstLine="0"/>
      </w:pPr>
      <w:rPr>
        <w:rFonts w:hint="default"/>
      </w:rPr>
    </w:lvl>
  </w:abstractNum>
  <w:abstractNum w:abstractNumId="1">
    <w:nsid w:val="A6A06C18"/>
    <w:multiLevelType w:val="singleLevel"/>
    <w:tmpl w:val="A6A06C18"/>
    <w:lvl w:ilvl="0" w:tentative="0">
      <w:start w:val="2"/>
      <w:numFmt w:val="decimal"/>
      <w:suff w:val="space"/>
      <w:lvlText w:val="%1."/>
      <w:lvlJc w:val="left"/>
    </w:lvl>
  </w:abstractNum>
  <w:abstractNum w:abstractNumId="2">
    <w:nsid w:val="C8013726"/>
    <w:multiLevelType w:val="singleLevel"/>
    <w:tmpl w:val="C8013726"/>
    <w:lvl w:ilvl="0" w:tentative="0">
      <w:start w:val="1"/>
      <w:numFmt w:val="decimal"/>
      <w:suff w:val="nothing"/>
      <w:lvlText w:val="%1"/>
      <w:lvlJc w:val="center"/>
      <w:pPr>
        <w:tabs>
          <w:tab w:val="left" w:pos="0"/>
        </w:tabs>
        <w:ind w:left="0" w:firstLine="0"/>
      </w:pPr>
      <w:rPr>
        <w:rFonts w:hint="default"/>
      </w:rPr>
    </w:lvl>
  </w:abstractNum>
  <w:abstractNum w:abstractNumId="3">
    <w:nsid w:val="E0CB2E61"/>
    <w:multiLevelType w:val="singleLevel"/>
    <w:tmpl w:val="E0CB2E61"/>
    <w:lvl w:ilvl="0" w:tentative="0">
      <w:start w:val="1"/>
      <w:numFmt w:val="decimal"/>
      <w:suff w:val="nothing"/>
      <w:lvlText w:val="%1"/>
      <w:lvlJc w:val="center"/>
      <w:pPr>
        <w:tabs>
          <w:tab w:val="left" w:pos="0"/>
        </w:tabs>
        <w:ind w:left="0" w:firstLine="0"/>
      </w:pPr>
      <w:rPr>
        <w:rFonts w:hint="default"/>
      </w:rPr>
    </w:lvl>
  </w:abstractNum>
  <w:abstractNum w:abstractNumId="4">
    <w:nsid w:val="F811EC74"/>
    <w:multiLevelType w:val="singleLevel"/>
    <w:tmpl w:val="F811EC74"/>
    <w:lvl w:ilvl="0" w:tentative="0">
      <w:start w:val="1"/>
      <w:numFmt w:val="decimal"/>
      <w:suff w:val="nothing"/>
      <w:lvlText w:val="%1"/>
      <w:lvlJc w:val="center"/>
      <w:pPr>
        <w:tabs>
          <w:tab w:val="left" w:pos="0"/>
        </w:tabs>
        <w:ind w:left="0" w:firstLine="0"/>
      </w:pPr>
      <w:rPr>
        <w:rFonts w:hint="default"/>
      </w:rPr>
    </w:lvl>
  </w:abstractNum>
  <w:abstractNum w:abstractNumId="5">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6">
    <w:nsid w:val="00B7429A"/>
    <w:multiLevelType w:val="singleLevel"/>
    <w:tmpl w:val="00B7429A"/>
    <w:lvl w:ilvl="0" w:tentative="0">
      <w:start w:val="1"/>
      <w:numFmt w:val="decimal"/>
      <w:suff w:val="nothing"/>
      <w:lvlText w:val="%1"/>
      <w:lvlJc w:val="center"/>
      <w:pPr>
        <w:tabs>
          <w:tab w:val="left" w:pos="0"/>
        </w:tabs>
        <w:ind w:left="0" w:firstLine="0"/>
      </w:pPr>
      <w:rPr>
        <w:rFonts w:hint="default"/>
      </w:rPr>
    </w:lvl>
  </w:abstractNum>
  <w:abstractNum w:abstractNumId="7">
    <w:nsid w:val="1A747321"/>
    <w:multiLevelType w:val="singleLevel"/>
    <w:tmpl w:val="1A747321"/>
    <w:lvl w:ilvl="0" w:tentative="0">
      <w:start w:val="1"/>
      <w:numFmt w:val="decimal"/>
      <w:suff w:val="nothing"/>
      <w:lvlText w:val="%1"/>
      <w:lvlJc w:val="center"/>
      <w:pPr>
        <w:tabs>
          <w:tab w:val="left" w:pos="0"/>
        </w:tabs>
        <w:ind w:left="0" w:firstLine="0"/>
      </w:pPr>
      <w:rPr>
        <w:rFonts w:hint="default"/>
      </w:rPr>
    </w:lvl>
  </w:abstractNum>
  <w:abstractNum w:abstractNumId="8">
    <w:nsid w:val="1F1022B9"/>
    <w:multiLevelType w:val="singleLevel"/>
    <w:tmpl w:val="1F1022B9"/>
    <w:lvl w:ilvl="0" w:tentative="0">
      <w:start w:val="1"/>
      <w:numFmt w:val="decimal"/>
      <w:suff w:val="nothing"/>
      <w:lvlText w:val="%1"/>
      <w:lvlJc w:val="center"/>
      <w:pPr>
        <w:tabs>
          <w:tab w:val="left" w:pos="0"/>
        </w:tabs>
        <w:ind w:left="0" w:firstLine="0"/>
      </w:pPr>
      <w:rPr>
        <w:rFonts w:hint="default"/>
      </w:rPr>
    </w:lvl>
  </w:abstractNum>
  <w:abstractNum w:abstractNumId="9">
    <w:nsid w:val="207CBCB2"/>
    <w:multiLevelType w:val="singleLevel"/>
    <w:tmpl w:val="207CBCB2"/>
    <w:lvl w:ilvl="0" w:tentative="0">
      <w:start w:val="1"/>
      <w:numFmt w:val="decimal"/>
      <w:suff w:val="nothing"/>
      <w:lvlText w:val="%1"/>
      <w:lvlJc w:val="center"/>
      <w:pPr>
        <w:tabs>
          <w:tab w:val="left" w:pos="0"/>
        </w:tabs>
        <w:ind w:left="0" w:firstLine="0"/>
      </w:pPr>
      <w:rPr>
        <w:rFonts w:hint="default"/>
      </w:rPr>
    </w:lvl>
  </w:abstractNum>
  <w:abstractNum w:abstractNumId="10">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11">
    <w:nsid w:val="38FFB439"/>
    <w:multiLevelType w:val="singleLevel"/>
    <w:tmpl w:val="38FFB439"/>
    <w:lvl w:ilvl="0" w:tentative="0">
      <w:start w:val="1"/>
      <w:numFmt w:val="decimal"/>
      <w:suff w:val="nothing"/>
      <w:lvlText w:val="%1"/>
      <w:lvlJc w:val="center"/>
      <w:pPr>
        <w:tabs>
          <w:tab w:val="left" w:pos="0"/>
        </w:tabs>
        <w:ind w:left="0" w:firstLine="0"/>
      </w:pPr>
      <w:rPr>
        <w:rFonts w:hint="default"/>
      </w:rPr>
    </w:lvl>
  </w:abstractNum>
  <w:abstractNum w:abstractNumId="12">
    <w:nsid w:val="44E6172E"/>
    <w:multiLevelType w:val="singleLevel"/>
    <w:tmpl w:val="44E6172E"/>
    <w:lvl w:ilvl="0" w:tentative="0">
      <w:start w:val="1"/>
      <w:numFmt w:val="decimal"/>
      <w:suff w:val="nothing"/>
      <w:lvlText w:val="%1"/>
      <w:lvlJc w:val="center"/>
      <w:pPr>
        <w:tabs>
          <w:tab w:val="left" w:pos="0"/>
        </w:tabs>
        <w:ind w:left="0" w:firstLine="0"/>
      </w:pPr>
      <w:rPr>
        <w:rFonts w:hint="default"/>
      </w:rPr>
    </w:lvl>
  </w:abstractNum>
  <w:abstractNum w:abstractNumId="13">
    <w:nsid w:val="4C601917"/>
    <w:multiLevelType w:val="singleLevel"/>
    <w:tmpl w:val="4C601917"/>
    <w:lvl w:ilvl="0" w:tentative="0">
      <w:start w:val="1"/>
      <w:numFmt w:val="decimal"/>
      <w:suff w:val="nothing"/>
      <w:lvlText w:val="（%1）"/>
      <w:lvlJc w:val="left"/>
      <w:pPr>
        <w:ind w:left="-2"/>
      </w:pPr>
    </w:lvl>
  </w:abstractNum>
  <w:abstractNum w:abstractNumId="14">
    <w:nsid w:val="5FABD14B"/>
    <w:multiLevelType w:val="singleLevel"/>
    <w:tmpl w:val="5FABD14B"/>
    <w:lvl w:ilvl="0" w:tentative="0">
      <w:start w:val="1"/>
      <w:numFmt w:val="decimal"/>
      <w:suff w:val="nothing"/>
      <w:lvlText w:val="（%1）"/>
      <w:lvlJc w:val="left"/>
    </w:lvl>
  </w:abstractNum>
  <w:abstractNum w:abstractNumId="15">
    <w:nsid w:val="6BA9E48F"/>
    <w:multiLevelType w:val="singleLevel"/>
    <w:tmpl w:val="6BA9E48F"/>
    <w:lvl w:ilvl="0" w:tentative="0">
      <w:start w:val="1"/>
      <w:numFmt w:val="decimal"/>
      <w:suff w:val="nothing"/>
      <w:lvlText w:val="%1"/>
      <w:lvlJc w:val="center"/>
      <w:pPr>
        <w:tabs>
          <w:tab w:val="left" w:pos="0"/>
        </w:tabs>
        <w:ind w:left="0" w:firstLine="0"/>
      </w:pPr>
      <w:rPr>
        <w:rFonts w:hint="default"/>
      </w:rPr>
    </w:lvl>
  </w:abstractNum>
  <w:num w:numId="1">
    <w:abstractNumId w:val="10"/>
  </w:num>
  <w:num w:numId="2">
    <w:abstractNumId w:val="5"/>
  </w:num>
  <w:num w:numId="3">
    <w:abstractNumId w:val="0"/>
  </w:num>
  <w:num w:numId="4">
    <w:abstractNumId w:val="8"/>
  </w:num>
  <w:num w:numId="5">
    <w:abstractNumId w:val="15"/>
  </w:num>
  <w:num w:numId="6">
    <w:abstractNumId w:val="1"/>
  </w:num>
  <w:num w:numId="7">
    <w:abstractNumId w:val="7"/>
  </w:num>
  <w:num w:numId="8">
    <w:abstractNumId w:val="2"/>
  </w:num>
  <w:num w:numId="9">
    <w:abstractNumId w:val="6"/>
  </w:num>
  <w:num w:numId="10">
    <w:abstractNumId w:val="11"/>
  </w:num>
  <w:num w:numId="11">
    <w:abstractNumId w:val="4"/>
  </w:num>
  <w:num w:numId="12">
    <w:abstractNumId w:val="3"/>
  </w:num>
  <w:num w:numId="13">
    <w:abstractNumId w:val="12"/>
  </w:num>
  <w:num w:numId="14">
    <w:abstractNumId w:val="9"/>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wODgzNjJkNjNmYzUzYzg0ZTg5ODJmM2IxY2M4YWMifQ=="/>
  </w:docVars>
  <w:rsids>
    <w:rsidRoot w:val="00F9008B"/>
    <w:rsid w:val="0000010C"/>
    <w:rsid w:val="00000266"/>
    <w:rsid w:val="000002AD"/>
    <w:rsid w:val="000004FE"/>
    <w:rsid w:val="00000FE0"/>
    <w:rsid w:val="00001068"/>
    <w:rsid w:val="0000114A"/>
    <w:rsid w:val="000011FA"/>
    <w:rsid w:val="00001731"/>
    <w:rsid w:val="00001C2D"/>
    <w:rsid w:val="00001C55"/>
    <w:rsid w:val="00001CA8"/>
    <w:rsid w:val="00001FAE"/>
    <w:rsid w:val="00002291"/>
    <w:rsid w:val="0000257D"/>
    <w:rsid w:val="00002DBF"/>
    <w:rsid w:val="00002EC0"/>
    <w:rsid w:val="00003224"/>
    <w:rsid w:val="000033F5"/>
    <w:rsid w:val="0000358C"/>
    <w:rsid w:val="00003BEF"/>
    <w:rsid w:val="00003D90"/>
    <w:rsid w:val="00004130"/>
    <w:rsid w:val="0000431F"/>
    <w:rsid w:val="00004634"/>
    <w:rsid w:val="0000494E"/>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2CBA"/>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35B"/>
    <w:rsid w:val="00016549"/>
    <w:rsid w:val="00016814"/>
    <w:rsid w:val="00016BF7"/>
    <w:rsid w:val="000170A9"/>
    <w:rsid w:val="0001720C"/>
    <w:rsid w:val="0001767E"/>
    <w:rsid w:val="0001776D"/>
    <w:rsid w:val="00017F31"/>
    <w:rsid w:val="00020607"/>
    <w:rsid w:val="0002103A"/>
    <w:rsid w:val="000217E4"/>
    <w:rsid w:val="00021852"/>
    <w:rsid w:val="00021A12"/>
    <w:rsid w:val="00022524"/>
    <w:rsid w:val="00022622"/>
    <w:rsid w:val="00022B0F"/>
    <w:rsid w:val="0002316F"/>
    <w:rsid w:val="00023363"/>
    <w:rsid w:val="000235F3"/>
    <w:rsid w:val="00023644"/>
    <w:rsid w:val="00023712"/>
    <w:rsid w:val="00024E3C"/>
    <w:rsid w:val="00024EB0"/>
    <w:rsid w:val="0002646A"/>
    <w:rsid w:val="0002651D"/>
    <w:rsid w:val="00026CFD"/>
    <w:rsid w:val="00027C8B"/>
    <w:rsid w:val="00027CD9"/>
    <w:rsid w:val="00030242"/>
    <w:rsid w:val="00030B06"/>
    <w:rsid w:val="0003183A"/>
    <w:rsid w:val="00031A60"/>
    <w:rsid w:val="00031CDC"/>
    <w:rsid w:val="000323D8"/>
    <w:rsid w:val="00032461"/>
    <w:rsid w:val="0003263B"/>
    <w:rsid w:val="0003282C"/>
    <w:rsid w:val="00032F6D"/>
    <w:rsid w:val="0003304A"/>
    <w:rsid w:val="0003317E"/>
    <w:rsid w:val="00033413"/>
    <w:rsid w:val="000337F3"/>
    <w:rsid w:val="00034B24"/>
    <w:rsid w:val="00034C27"/>
    <w:rsid w:val="00034E2A"/>
    <w:rsid w:val="0003577F"/>
    <w:rsid w:val="00036466"/>
    <w:rsid w:val="0003675E"/>
    <w:rsid w:val="00037F87"/>
    <w:rsid w:val="00037FA2"/>
    <w:rsid w:val="000400D0"/>
    <w:rsid w:val="00040343"/>
    <w:rsid w:val="00041DFA"/>
    <w:rsid w:val="000425AC"/>
    <w:rsid w:val="00042F4A"/>
    <w:rsid w:val="00043AC8"/>
    <w:rsid w:val="00043BE5"/>
    <w:rsid w:val="00044003"/>
    <w:rsid w:val="00044527"/>
    <w:rsid w:val="00044897"/>
    <w:rsid w:val="00044ACF"/>
    <w:rsid w:val="00044FD5"/>
    <w:rsid w:val="000454F4"/>
    <w:rsid w:val="00045D1E"/>
    <w:rsid w:val="00045E69"/>
    <w:rsid w:val="00045EF4"/>
    <w:rsid w:val="00046547"/>
    <w:rsid w:val="000466D7"/>
    <w:rsid w:val="00046753"/>
    <w:rsid w:val="00047254"/>
    <w:rsid w:val="00047E41"/>
    <w:rsid w:val="0005022B"/>
    <w:rsid w:val="00050525"/>
    <w:rsid w:val="00050771"/>
    <w:rsid w:val="000509BA"/>
    <w:rsid w:val="000513F3"/>
    <w:rsid w:val="00052287"/>
    <w:rsid w:val="000522E0"/>
    <w:rsid w:val="000532F4"/>
    <w:rsid w:val="000535A9"/>
    <w:rsid w:val="000536AE"/>
    <w:rsid w:val="00054CD5"/>
    <w:rsid w:val="00054D03"/>
    <w:rsid w:val="00054E61"/>
    <w:rsid w:val="000550AC"/>
    <w:rsid w:val="0005584D"/>
    <w:rsid w:val="00055CC3"/>
    <w:rsid w:val="00055CD8"/>
    <w:rsid w:val="00055CEE"/>
    <w:rsid w:val="00055FB7"/>
    <w:rsid w:val="000566FA"/>
    <w:rsid w:val="00056A2B"/>
    <w:rsid w:val="00056D18"/>
    <w:rsid w:val="00056DA8"/>
    <w:rsid w:val="00056E37"/>
    <w:rsid w:val="00056EE2"/>
    <w:rsid w:val="00056FE2"/>
    <w:rsid w:val="000570FB"/>
    <w:rsid w:val="000575B8"/>
    <w:rsid w:val="00060131"/>
    <w:rsid w:val="0006026B"/>
    <w:rsid w:val="00060293"/>
    <w:rsid w:val="00060B81"/>
    <w:rsid w:val="00061341"/>
    <w:rsid w:val="00061BD3"/>
    <w:rsid w:val="00061BDA"/>
    <w:rsid w:val="000621FE"/>
    <w:rsid w:val="00062B90"/>
    <w:rsid w:val="00062C70"/>
    <w:rsid w:val="00062DD0"/>
    <w:rsid w:val="00062E6F"/>
    <w:rsid w:val="000630C7"/>
    <w:rsid w:val="00063A0D"/>
    <w:rsid w:val="0006400F"/>
    <w:rsid w:val="000645DD"/>
    <w:rsid w:val="00064D7E"/>
    <w:rsid w:val="00064F65"/>
    <w:rsid w:val="00064FD0"/>
    <w:rsid w:val="0006534A"/>
    <w:rsid w:val="00065A5D"/>
    <w:rsid w:val="00065BA2"/>
    <w:rsid w:val="000661CA"/>
    <w:rsid w:val="0006668D"/>
    <w:rsid w:val="00066896"/>
    <w:rsid w:val="00066FE3"/>
    <w:rsid w:val="00067002"/>
    <w:rsid w:val="00067993"/>
    <w:rsid w:val="00067B1C"/>
    <w:rsid w:val="00067CED"/>
    <w:rsid w:val="00067F66"/>
    <w:rsid w:val="0007041A"/>
    <w:rsid w:val="00070634"/>
    <w:rsid w:val="00070883"/>
    <w:rsid w:val="000708D1"/>
    <w:rsid w:val="00070C3F"/>
    <w:rsid w:val="0007102C"/>
    <w:rsid w:val="00071D68"/>
    <w:rsid w:val="00071FCE"/>
    <w:rsid w:val="00072661"/>
    <w:rsid w:val="00072CCC"/>
    <w:rsid w:val="0007315D"/>
    <w:rsid w:val="00073549"/>
    <w:rsid w:val="0007483E"/>
    <w:rsid w:val="000751DB"/>
    <w:rsid w:val="0007542D"/>
    <w:rsid w:val="0007578F"/>
    <w:rsid w:val="00075E43"/>
    <w:rsid w:val="00077706"/>
    <w:rsid w:val="00077878"/>
    <w:rsid w:val="000804EF"/>
    <w:rsid w:val="00080558"/>
    <w:rsid w:val="00080998"/>
    <w:rsid w:val="00081230"/>
    <w:rsid w:val="000814E2"/>
    <w:rsid w:val="000818C9"/>
    <w:rsid w:val="00081A21"/>
    <w:rsid w:val="00081CBB"/>
    <w:rsid w:val="00081D42"/>
    <w:rsid w:val="000822EF"/>
    <w:rsid w:val="0008241E"/>
    <w:rsid w:val="000826F5"/>
    <w:rsid w:val="000829B1"/>
    <w:rsid w:val="00082AAB"/>
    <w:rsid w:val="0008307D"/>
    <w:rsid w:val="000831E9"/>
    <w:rsid w:val="000833BB"/>
    <w:rsid w:val="00083A4C"/>
    <w:rsid w:val="00084483"/>
    <w:rsid w:val="0008452D"/>
    <w:rsid w:val="0008467B"/>
    <w:rsid w:val="000850FA"/>
    <w:rsid w:val="00085719"/>
    <w:rsid w:val="000857A6"/>
    <w:rsid w:val="0008599A"/>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9ED"/>
    <w:rsid w:val="00096F37"/>
    <w:rsid w:val="00097FE5"/>
    <w:rsid w:val="000A0354"/>
    <w:rsid w:val="000A091F"/>
    <w:rsid w:val="000A0958"/>
    <w:rsid w:val="000A0FCC"/>
    <w:rsid w:val="000A1033"/>
    <w:rsid w:val="000A2712"/>
    <w:rsid w:val="000A2877"/>
    <w:rsid w:val="000A28E5"/>
    <w:rsid w:val="000A3145"/>
    <w:rsid w:val="000A355D"/>
    <w:rsid w:val="000A35DA"/>
    <w:rsid w:val="000A371E"/>
    <w:rsid w:val="000A3DE5"/>
    <w:rsid w:val="000A4011"/>
    <w:rsid w:val="000A45D5"/>
    <w:rsid w:val="000A490E"/>
    <w:rsid w:val="000A529E"/>
    <w:rsid w:val="000A5B49"/>
    <w:rsid w:val="000A5FE5"/>
    <w:rsid w:val="000A6684"/>
    <w:rsid w:val="000A7194"/>
    <w:rsid w:val="000A7218"/>
    <w:rsid w:val="000A740A"/>
    <w:rsid w:val="000A7446"/>
    <w:rsid w:val="000A7D9A"/>
    <w:rsid w:val="000A7E7F"/>
    <w:rsid w:val="000A7ECD"/>
    <w:rsid w:val="000B01AB"/>
    <w:rsid w:val="000B04DD"/>
    <w:rsid w:val="000B0F01"/>
    <w:rsid w:val="000B1346"/>
    <w:rsid w:val="000B1914"/>
    <w:rsid w:val="000B19DC"/>
    <w:rsid w:val="000B1CA2"/>
    <w:rsid w:val="000B202E"/>
    <w:rsid w:val="000B2293"/>
    <w:rsid w:val="000B24A4"/>
    <w:rsid w:val="000B255C"/>
    <w:rsid w:val="000B395E"/>
    <w:rsid w:val="000B39C3"/>
    <w:rsid w:val="000B3A00"/>
    <w:rsid w:val="000B429D"/>
    <w:rsid w:val="000B4840"/>
    <w:rsid w:val="000B4D79"/>
    <w:rsid w:val="000B5272"/>
    <w:rsid w:val="000B5627"/>
    <w:rsid w:val="000B5671"/>
    <w:rsid w:val="000B6BF0"/>
    <w:rsid w:val="000B6CE8"/>
    <w:rsid w:val="000B70F4"/>
    <w:rsid w:val="000B7DAF"/>
    <w:rsid w:val="000C0026"/>
    <w:rsid w:val="000C0091"/>
    <w:rsid w:val="000C071C"/>
    <w:rsid w:val="000C0BB4"/>
    <w:rsid w:val="000C0BEE"/>
    <w:rsid w:val="000C1CB9"/>
    <w:rsid w:val="000C2159"/>
    <w:rsid w:val="000C21BB"/>
    <w:rsid w:val="000C289B"/>
    <w:rsid w:val="000C352F"/>
    <w:rsid w:val="000C3805"/>
    <w:rsid w:val="000C3F01"/>
    <w:rsid w:val="000C410D"/>
    <w:rsid w:val="000C420D"/>
    <w:rsid w:val="000C4773"/>
    <w:rsid w:val="000C4944"/>
    <w:rsid w:val="000C4E24"/>
    <w:rsid w:val="000C5C4A"/>
    <w:rsid w:val="000C5F01"/>
    <w:rsid w:val="000C5F95"/>
    <w:rsid w:val="000C63C4"/>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BCC"/>
    <w:rsid w:val="000D2C9B"/>
    <w:rsid w:val="000D32CC"/>
    <w:rsid w:val="000D35FD"/>
    <w:rsid w:val="000D3D2D"/>
    <w:rsid w:val="000D3D99"/>
    <w:rsid w:val="000D4653"/>
    <w:rsid w:val="000D4696"/>
    <w:rsid w:val="000D4817"/>
    <w:rsid w:val="000D4D0C"/>
    <w:rsid w:val="000D4FB9"/>
    <w:rsid w:val="000D54B4"/>
    <w:rsid w:val="000D584B"/>
    <w:rsid w:val="000D5EE9"/>
    <w:rsid w:val="000D5F55"/>
    <w:rsid w:val="000D6372"/>
    <w:rsid w:val="000D6979"/>
    <w:rsid w:val="000D6CE7"/>
    <w:rsid w:val="000D6E38"/>
    <w:rsid w:val="000D6E63"/>
    <w:rsid w:val="000D6F15"/>
    <w:rsid w:val="000D711C"/>
    <w:rsid w:val="000D7B6E"/>
    <w:rsid w:val="000E0644"/>
    <w:rsid w:val="000E076D"/>
    <w:rsid w:val="000E087C"/>
    <w:rsid w:val="000E1516"/>
    <w:rsid w:val="000E187C"/>
    <w:rsid w:val="000E1B28"/>
    <w:rsid w:val="000E1E8D"/>
    <w:rsid w:val="000E1EBC"/>
    <w:rsid w:val="000E2173"/>
    <w:rsid w:val="000E220B"/>
    <w:rsid w:val="000E2266"/>
    <w:rsid w:val="000E2A50"/>
    <w:rsid w:val="000E30F2"/>
    <w:rsid w:val="000E316B"/>
    <w:rsid w:val="000E3D08"/>
    <w:rsid w:val="000E4728"/>
    <w:rsid w:val="000E4D1F"/>
    <w:rsid w:val="000E5658"/>
    <w:rsid w:val="000E5698"/>
    <w:rsid w:val="000E5723"/>
    <w:rsid w:val="000E581B"/>
    <w:rsid w:val="000E60DF"/>
    <w:rsid w:val="000E64B2"/>
    <w:rsid w:val="000E65D2"/>
    <w:rsid w:val="000E6919"/>
    <w:rsid w:val="000E6B1B"/>
    <w:rsid w:val="000E6F0C"/>
    <w:rsid w:val="000E732D"/>
    <w:rsid w:val="000F07ED"/>
    <w:rsid w:val="000F0C34"/>
    <w:rsid w:val="000F0CF2"/>
    <w:rsid w:val="000F1401"/>
    <w:rsid w:val="000F1A32"/>
    <w:rsid w:val="000F1CC2"/>
    <w:rsid w:val="000F1D15"/>
    <w:rsid w:val="000F270A"/>
    <w:rsid w:val="000F34C8"/>
    <w:rsid w:val="000F38BC"/>
    <w:rsid w:val="000F3E2A"/>
    <w:rsid w:val="000F4D26"/>
    <w:rsid w:val="000F5639"/>
    <w:rsid w:val="000F58A4"/>
    <w:rsid w:val="000F5F99"/>
    <w:rsid w:val="000F6833"/>
    <w:rsid w:val="000F6A24"/>
    <w:rsid w:val="000F7616"/>
    <w:rsid w:val="000F7DE9"/>
    <w:rsid w:val="000F7E1F"/>
    <w:rsid w:val="000F7F7A"/>
    <w:rsid w:val="001002F4"/>
    <w:rsid w:val="001011FC"/>
    <w:rsid w:val="001014BD"/>
    <w:rsid w:val="0010165F"/>
    <w:rsid w:val="00101E7C"/>
    <w:rsid w:val="001023DC"/>
    <w:rsid w:val="0010249E"/>
    <w:rsid w:val="00102572"/>
    <w:rsid w:val="00102946"/>
    <w:rsid w:val="00102BCD"/>
    <w:rsid w:val="00102FBF"/>
    <w:rsid w:val="0010333D"/>
    <w:rsid w:val="0010372A"/>
    <w:rsid w:val="00103F41"/>
    <w:rsid w:val="00104662"/>
    <w:rsid w:val="00104F34"/>
    <w:rsid w:val="001053C5"/>
    <w:rsid w:val="001055AD"/>
    <w:rsid w:val="00105B3E"/>
    <w:rsid w:val="00105C14"/>
    <w:rsid w:val="0010627F"/>
    <w:rsid w:val="001065A3"/>
    <w:rsid w:val="00106610"/>
    <w:rsid w:val="00106831"/>
    <w:rsid w:val="0010683E"/>
    <w:rsid w:val="0010691D"/>
    <w:rsid w:val="00106B33"/>
    <w:rsid w:val="00106DBB"/>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6D6"/>
    <w:rsid w:val="00113821"/>
    <w:rsid w:val="00114058"/>
    <w:rsid w:val="0011449E"/>
    <w:rsid w:val="001153EF"/>
    <w:rsid w:val="00115A32"/>
    <w:rsid w:val="00115D55"/>
    <w:rsid w:val="00115E45"/>
    <w:rsid w:val="00115F85"/>
    <w:rsid w:val="0011688E"/>
    <w:rsid w:val="00116ACD"/>
    <w:rsid w:val="00116D94"/>
    <w:rsid w:val="0011718F"/>
    <w:rsid w:val="00117B7D"/>
    <w:rsid w:val="00117EFC"/>
    <w:rsid w:val="001205A8"/>
    <w:rsid w:val="00121766"/>
    <w:rsid w:val="00122A64"/>
    <w:rsid w:val="00123694"/>
    <w:rsid w:val="0012388A"/>
    <w:rsid w:val="0012388C"/>
    <w:rsid w:val="00123AFA"/>
    <w:rsid w:val="00123C8C"/>
    <w:rsid w:val="00123E8B"/>
    <w:rsid w:val="00124B43"/>
    <w:rsid w:val="00124DF8"/>
    <w:rsid w:val="001253EA"/>
    <w:rsid w:val="00125B99"/>
    <w:rsid w:val="00126160"/>
    <w:rsid w:val="00126DB5"/>
    <w:rsid w:val="00127178"/>
    <w:rsid w:val="00127F09"/>
    <w:rsid w:val="0013002A"/>
    <w:rsid w:val="0013085D"/>
    <w:rsid w:val="0013089C"/>
    <w:rsid w:val="00130A2D"/>
    <w:rsid w:val="00130F54"/>
    <w:rsid w:val="001310EE"/>
    <w:rsid w:val="00131888"/>
    <w:rsid w:val="00131F17"/>
    <w:rsid w:val="0013212F"/>
    <w:rsid w:val="001323F9"/>
    <w:rsid w:val="0013251F"/>
    <w:rsid w:val="00133088"/>
    <w:rsid w:val="0013321E"/>
    <w:rsid w:val="00133346"/>
    <w:rsid w:val="001335B1"/>
    <w:rsid w:val="00133B4E"/>
    <w:rsid w:val="0013410F"/>
    <w:rsid w:val="001346A7"/>
    <w:rsid w:val="001346AF"/>
    <w:rsid w:val="00134990"/>
    <w:rsid w:val="00134FB4"/>
    <w:rsid w:val="001354D1"/>
    <w:rsid w:val="00135840"/>
    <w:rsid w:val="00135A0A"/>
    <w:rsid w:val="00135BB9"/>
    <w:rsid w:val="0013621D"/>
    <w:rsid w:val="00136354"/>
    <w:rsid w:val="00136674"/>
    <w:rsid w:val="00136B0E"/>
    <w:rsid w:val="00136C3B"/>
    <w:rsid w:val="001376AB"/>
    <w:rsid w:val="0013777C"/>
    <w:rsid w:val="00137D5F"/>
    <w:rsid w:val="00140082"/>
    <w:rsid w:val="00140175"/>
    <w:rsid w:val="00140757"/>
    <w:rsid w:val="00140D07"/>
    <w:rsid w:val="00141A3A"/>
    <w:rsid w:val="001423FA"/>
    <w:rsid w:val="001427B5"/>
    <w:rsid w:val="001428CF"/>
    <w:rsid w:val="00142D0C"/>
    <w:rsid w:val="00142E3C"/>
    <w:rsid w:val="00143387"/>
    <w:rsid w:val="00144013"/>
    <w:rsid w:val="001455C3"/>
    <w:rsid w:val="00145A17"/>
    <w:rsid w:val="00145BBE"/>
    <w:rsid w:val="001460B5"/>
    <w:rsid w:val="0014641F"/>
    <w:rsid w:val="001464A8"/>
    <w:rsid w:val="001467BB"/>
    <w:rsid w:val="00146A5B"/>
    <w:rsid w:val="00146CA8"/>
    <w:rsid w:val="0014723E"/>
    <w:rsid w:val="00147884"/>
    <w:rsid w:val="00150664"/>
    <w:rsid w:val="00150827"/>
    <w:rsid w:val="00150B0D"/>
    <w:rsid w:val="00150E10"/>
    <w:rsid w:val="00150FBA"/>
    <w:rsid w:val="00151A32"/>
    <w:rsid w:val="00151BDE"/>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A6C"/>
    <w:rsid w:val="00156B10"/>
    <w:rsid w:val="00157673"/>
    <w:rsid w:val="001576FE"/>
    <w:rsid w:val="00157823"/>
    <w:rsid w:val="0015790D"/>
    <w:rsid w:val="00157C5E"/>
    <w:rsid w:val="00157DD3"/>
    <w:rsid w:val="0016015A"/>
    <w:rsid w:val="0016020E"/>
    <w:rsid w:val="00160503"/>
    <w:rsid w:val="00160D7C"/>
    <w:rsid w:val="00160E30"/>
    <w:rsid w:val="0016106D"/>
    <w:rsid w:val="001612E1"/>
    <w:rsid w:val="001614DB"/>
    <w:rsid w:val="0016194E"/>
    <w:rsid w:val="0016236C"/>
    <w:rsid w:val="00162625"/>
    <w:rsid w:val="001630A8"/>
    <w:rsid w:val="00163826"/>
    <w:rsid w:val="00163943"/>
    <w:rsid w:val="00163BA1"/>
    <w:rsid w:val="00163DDF"/>
    <w:rsid w:val="00163F22"/>
    <w:rsid w:val="0016417B"/>
    <w:rsid w:val="0016470E"/>
    <w:rsid w:val="001649D3"/>
    <w:rsid w:val="00164E0A"/>
    <w:rsid w:val="001652D7"/>
    <w:rsid w:val="00165816"/>
    <w:rsid w:val="00165A5F"/>
    <w:rsid w:val="001661D0"/>
    <w:rsid w:val="00166223"/>
    <w:rsid w:val="00167804"/>
    <w:rsid w:val="0016793E"/>
    <w:rsid w:val="00167D4D"/>
    <w:rsid w:val="0017054C"/>
    <w:rsid w:val="00170635"/>
    <w:rsid w:val="0017070D"/>
    <w:rsid w:val="00170837"/>
    <w:rsid w:val="00171035"/>
    <w:rsid w:val="001713B7"/>
    <w:rsid w:val="00171ADB"/>
    <w:rsid w:val="00171E2C"/>
    <w:rsid w:val="00172029"/>
    <w:rsid w:val="001733A4"/>
    <w:rsid w:val="001735D4"/>
    <w:rsid w:val="00173AB9"/>
    <w:rsid w:val="00173EED"/>
    <w:rsid w:val="00174368"/>
    <w:rsid w:val="001744EA"/>
    <w:rsid w:val="00174D82"/>
    <w:rsid w:val="00174E44"/>
    <w:rsid w:val="00175053"/>
    <w:rsid w:val="001753B7"/>
    <w:rsid w:val="001757E7"/>
    <w:rsid w:val="00175873"/>
    <w:rsid w:val="00175C59"/>
    <w:rsid w:val="00175F94"/>
    <w:rsid w:val="001760BC"/>
    <w:rsid w:val="00176674"/>
    <w:rsid w:val="00176818"/>
    <w:rsid w:val="00176B82"/>
    <w:rsid w:val="00176E3B"/>
    <w:rsid w:val="00176ECB"/>
    <w:rsid w:val="0017752D"/>
    <w:rsid w:val="0017759F"/>
    <w:rsid w:val="00177832"/>
    <w:rsid w:val="0018057A"/>
    <w:rsid w:val="001807AE"/>
    <w:rsid w:val="00181178"/>
    <w:rsid w:val="0018119E"/>
    <w:rsid w:val="0018152C"/>
    <w:rsid w:val="00181A74"/>
    <w:rsid w:val="00181DBA"/>
    <w:rsid w:val="00181EEF"/>
    <w:rsid w:val="00181F37"/>
    <w:rsid w:val="00181F3E"/>
    <w:rsid w:val="00182FE0"/>
    <w:rsid w:val="00183911"/>
    <w:rsid w:val="001840C0"/>
    <w:rsid w:val="00184407"/>
    <w:rsid w:val="001845FB"/>
    <w:rsid w:val="00184FB1"/>
    <w:rsid w:val="001857FB"/>
    <w:rsid w:val="00185DA6"/>
    <w:rsid w:val="00185F64"/>
    <w:rsid w:val="00186096"/>
    <w:rsid w:val="001862FE"/>
    <w:rsid w:val="001864DF"/>
    <w:rsid w:val="001866F1"/>
    <w:rsid w:val="00186E20"/>
    <w:rsid w:val="0018772E"/>
    <w:rsid w:val="00187A94"/>
    <w:rsid w:val="0019029E"/>
    <w:rsid w:val="00190804"/>
    <w:rsid w:val="0019088F"/>
    <w:rsid w:val="00190C51"/>
    <w:rsid w:val="0019122E"/>
    <w:rsid w:val="0019170B"/>
    <w:rsid w:val="00191DDF"/>
    <w:rsid w:val="00193ACC"/>
    <w:rsid w:val="00193BFE"/>
    <w:rsid w:val="00195322"/>
    <w:rsid w:val="0019560E"/>
    <w:rsid w:val="001958E3"/>
    <w:rsid w:val="0019601B"/>
    <w:rsid w:val="00196048"/>
    <w:rsid w:val="00196764"/>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89C"/>
    <w:rsid w:val="001A3B75"/>
    <w:rsid w:val="001A4027"/>
    <w:rsid w:val="001A46FB"/>
    <w:rsid w:val="001A4B5B"/>
    <w:rsid w:val="001A4EA6"/>
    <w:rsid w:val="001A4EC9"/>
    <w:rsid w:val="001A5944"/>
    <w:rsid w:val="001A5FB1"/>
    <w:rsid w:val="001A698A"/>
    <w:rsid w:val="001A6CCC"/>
    <w:rsid w:val="001A6E3B"/>
    <w:rsid w:val="001A70C8"/>
    <w:rsid w:val="001A71C9"/>
    <w:rsid w:val="001A7429"/>
    <w:rsid w:val="001A760C"/>
    <w:rsid w:val="001A770F"/>
    <w:rsid w:val="001A7977"/>
    <w:rsid w:val="001A799B"/>
    <w:rsid w:val="001A7AC7"/>
    <w:rsid w:val="001A7C38"/>
    <w:rsid w:val="001B00C5"/>
    <w:rsid w:val="001B02F8"/>
    <w:rsid w:val="001B2104"/>
    <w:rsid w:val="001B2279"/>
    <w:rsid w:val="001B2729"/>
    <w:rsid w:val="001B2866"/>
    <w:rsid w:val="001B2881"/>
    <w:rsid w:val="001B2B73"/>
    <w:rsid w:val="001B2D3B"/>
    <w:rsid w:val="001B3675"/>
    <w:rsid w:val="001B37C8"/>
    <w:rsid w:val="001B48BA"/>
    <w:rsid w:val="001B4B2C"/>
    <w:rsid w:val="001B4F10"/>
    <w:rsid w:val="001B5154"/>
    <w:rsid w:val="001B54BF"/>
    <w:rsid w:val="001B6E30"/>
    <w:rsid w:val="001B7C83"/>
    <w:rsid w:val="001B7D67"/>
    <w:rsid w:val="001B7F9E"/>
    <w:rsid w:val="001C0206"/>
    <w:rsid w:val="001C0246"/>
    <w:rsid w:val="001C04D4"/>
    <w:rsid w:val="001C0B34"/>
    <w:rsid w:val="001C12A3"/>
    <w:rsid w:val="001C17BB"/>
    <w:rsid w:val="001C187E"/>
    <w:rsid w:val="001C1A37"/>
    <w:rsid w:val="001C1B4B"/>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8B9"/>
    <w:rsid w:val="001C6B5C"/>
    <w:rsid w:val="001C7155"/>
    <w:rsid w:val="001C7E48"/>
    <w:rsid w:val="001D039B"/>
    <w:rsid w:val="001D0849"/>
    <w:rsid w:val="001D1258"/>
    <w:rsid w:val="001D1AB8"/>
    <w:rsid w:val="001D286F"/>
    <w:rsid w:val="001D2C94"/>
    <w:rsid w:val="001D33D9"/>
    <w:rsid w:val="001D36F6"/>
    <w:rsid w:val="001D4303"/>
    <w:rsid w:val="001D4386"/>
    <w:rsid w:val="001D45E5"/>
    <w:rsid w:val="001D461A"/>
    <w:rsid w:val="001D4A9D"/>
    <w:rsid w:val="001D4AAD"/>
    <w:rsid w:val="001D5AFA"/>
    <w:rsid w:val="001D652D"/>
    <w:rsid w:val="001D784A"/>
    <w:rsid w:val="001E04A4"/>
    <w:rsid w:val="001E07C5"/>
    <w:rsid w:val="001E1256"/>
    <w:rsid w:val="001E176D"/>
    <w:rsid w:val="001E1BCE"/>
    <w:rsid w:val="001E1E05"/>
    <w:rsid w:val="001E2086"/>
    <w:rsid w:val="001E339F"/>
    <w:rsid w:val="001E3629"/>
    <w:rsid w:val="001E3E7D"/>
    <w:rsid w:val="001E40F0"/>
    <w:rsid w:val="001E4172"/>
    <w:rsid w:val="001E4F08"/>
    <w:rsid w:val="001E5490"/>
    <w:rsid w:val="001E5730"/>
    <w:rsid w:val="001E5E2E"/>
    <w:rsid w:val="001E6352"/>
    <w:rsid w:val="001E6ADE"/>
    <w:rsid w:val="001E70AD"/>
    <w:rsid w:val="001E7237"/>
    <w:rsid w:val="001E7AD1"/>
    <w:rsid w:val="001E7AF6"/>
    <w:rsid w:val="001F01B8"/>
    <w:rsid w:val="001F0FC3"/>
    <w:rsid w:val="001F1188"/>
    <w:rsid w:val="001F1401"/>
    <w:rsid w:val="001F1B8D"/>
    <w:rsid w:val="001F253E"/>
    <w:rsid w:val="001F274F"/>
    <w:rsid w:val="001F289C"/>
    <w:rsid w:val="001F2BF9"/>
    <w:rsid w:val="001F3AF2"/>
    <w:rsid w:val="001F6008"/>
    <w:rsid w:val="001F604B"/>
    <w:rsid w:val="001F641B"/>
    <w:rsid w:val="001F6D4D"/>
    <w:rsid w:val="001F7C62"/>
    <w:rsid w:val="00200D69"/>
    <w:rsid w:val="00200F9D"/>
    <w:rsid w:val="0020130D"/>
    <w:rsid w:val="00201916"/>
    <w:rsid w:val="00201D06"/>
    <w:rsid w:val="00201E9F"/>
    <w:rsid w:val="0020217D"/>
    <w:rsid w:val="00202F25"/>
    <w:rsid w:val="002035B3"/>
    <w:rsid w:val="00203929"/>
    <w:rsid w:val="00203CD6"/>
    <w:rsid w:val="00203D01"/>
    <w:rsid w:val="00204460"/>
    <w:rsid w:val="002051EA"/>
    <w:rsid w:val="00205CBC"/>
    <w:rsid w:val="00206259"/>
    <w:rsid w:val="002074B7"/>
    <w:rsid w:val="0020758D"/>
    <w:rsid w:val="00207C7B"/>
    <w:rsid w:val="00211470"/>
    <w:rsid w:val="00211922"/>
    <w:rsid w:val="0021213A"/>
    <w:rsid w:val="002121B4"/>
    <w:rsid w:val="0021265F"/>
    <w:rsid w:val="00213232"/>
    <w:rsid w:val="00213817"/>
    <w:rsid w:val="00214428"/>
    <w:rsid w:val="002145EB"/>
    <w:rsid w:val="00214F82"/>
    <w:rsid w:val="00215033"/>
    <w:rsid w:val="00215834"/>
    <w:rsid w:val="00215A2A"/>
    <w:rsid w:val="00215CC2"/>
    <w:rsid w:val="00215ED8"/>
    <w:rsid w:val="00215FAF"/>
    <w:rsid w:val="00217700"/>
    <w:rsid w:val="002177E2"/>
    <w:rsid w:val="0021783B"/>
    <w:rsid w:val="002205F3"/>
    <w:rsid w:val="0022085B"/>
    <w:rsid w:val="00220E53"/>
    <w:rsid w:val="0022176C"/>
    <w:rsid w:val="002225D1"/>
    <w:rsid w:val="002230FA"/>
    <w:rsid w:val="00223DF2"/>
    <w:rsid w:val="002243E6"/>
    <w:rsid w:val="002249A2"/>
    <w:rsid w:val="00224C0C"/>
    <w:rsid w:val="002256C2"/>
    <w:rsid w:val="002256D0"/>
    <w:rsid w:val="00225C8E"/>
    <w:rsid w:val="00226428"/>
    <w:rsid w:val="002265A9"/>
    <w:rsid w:val="002266CB"/>
    <w:rsid w:val="00227052"/>
    <w:rsid w:val="002272D5"/>
    <w:rsid w:val="0022738E"/>
    <w:rsid w:val="00227906"/>
    <w:rsid w:val="00227934"/>
    <w:rsid w:val="00227E21"/>
    <w:rsid w:val="00230670"/>
    <w:rsid w:val="00231D05"/>
    <w:rsid w:val="0023241A"/>
    <w:rsid w:val="002336E2"/>
    <w:rsid w:val="00233AC2"/>
    <w:rsid w:val="00233BAF"/>
    <w:rsid w:val="00233E3A"/>
    <w:rsid w:val="00233F80"/>
    <w:rsid w:val="00235420"/>
    <w:rsid w:val="00235700"/>
    <w:rsid w:val="002374CA"/>
    <w:rsid w:val="0024065B"/>
    <w:rsid w:val="002409A6"/>
    <w:rsid w:val="00240C63"/>
    <w:rsid w:val="00240D91"/>
    <w:rsid w:val="00240EA5"/>
    <w:rsid w:val="00241132"/>
    <w:rsid w:val="00241205"/>
    <w:rsid w:val="002418C5"/>
    <w:rsid w:val="002421FD"/>
    <w:rsid w:val="0024261D"/>
    <w:rsid w:val="00242712"/>
    <w:rsid w:val="00242DFB"/>
    <w:rsid w:val="00243146"/>
    <w:rsid w:val="00243807"/>
    <w:rsid w:val="002440AC"/>
    <w:rsid w:val="00244365"/>
    <w:rsid w:val="0024459A"/>
    <w:rsid w:val="002446A3"/>
    <w:rsid w:val="00244771"/>
    <w:rsid w:val="00244903"/>
    <w:rsid w:val="00244AFB"/>
    <w:rsid w:val="002453DF"/>
    <w:rsid w:val="00245A81"/>
    <w:rsid w:val="00246010"/>
    <w:rsid w:val="002462A5"/>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3F5"/>
    <w:rsid w:val="002536B3"/>
    <w:rsid w:val="00253C60"/>
    <w:rsid w:val="00253F21"/>
    <w:rsid w:val="0025429D"/>
    <w:rsid w:val="002549E9"/>
    <w:rsid w:val="00254FF6"/>
    <w:rsid w:val="00255099"/>
    <w:rsid w:val="002555C6"/>
    <w:rsid w:val="00255E14"/>
    <w:rsid w:val="00255FF9"/>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2F9F"/>
    <w:rsid w:val="0026338A"/>
    <w:rsid w:val="00263EC7"/>
    <w:rsid w:val="0026491B"/>
    <w:rsid w:val="00264A36"/>
    <w:rsid w:val="00264B06"/>
    <w:rsid w:val="00264C1B"/>
    <w:rsid w:val="00264E10"/>
    <w:rsid w:val="00265D10"/>
    <w:rsid w:val="00265E2E"/>
    <w:rsid w:val="002661AB"/>
    <w:rsid w:val="00266229"/>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2C"/>
    <w:rsid w:val="00272E48"/>
    <w:rsid w:val="00272FBF"/>
    <w:rsid w:val="0027352A"/>
    <w:rsid w:val="002739B5"/>
    <w:rsid w:val="00273A10"/>
    <w:rsid w:val="00273A58"/>
    <w:rsid w:val="0027451B"/>
    <w:rsid w:val="00274CAB"/>
    <w:rsid w:val="00274E8A"/>
    <w:rsid w:val="00275A53"/>
    <w:rsid w:val="00275FCE"/>
    <w:rsid w:val="002766B8"/>
    <w:rsid w:val="0027680F"/>
    <w:rsid w:val="002777C0"/>
    <w:rsid w:val="00281006"/>
    <w:rsid w:val="00281161"/>
    <w:rsid w:val="002815B1"/>
    <w:rsid w:val="00281893"/>
    <w:rsid w:val="00281C1F"/>
    <w:rsid w:val="00281EEA"/>
    <w:rsid w:val="00281F88"/>
    <w:rsid w:val="0028288D"/>
    <w:rsid w:val="002829B7"/>
    <w:rsid w:val="00282B82"/>
    <w:rsid w:val="00282C74"/>
    <w:rsid w:val="00282E5B"/>
    <w:rsid w:val="00283995"/>
    <w:rsid w:val="00283B11"/>
    <w:rsid w:val="002841A9"/>
    <w:rsid w:val="00284313"/>
    <w:rsid w:val="00284554"/>
    <w:rsid w:val="0028456A"/>
    <w:rsid w:val="002848AD"/>
    <w:rsid w:val="00284DE4"/>
    <w:rsid w:val="00285154"/>
    <w:rsid w:val="00285BF2"/>
    <w:rsid w:val="00285C78"/>
    <w:rsid w:val="00285DF8"/>
    <w:rsid w:val="00285E54"/>
    <w:rsid w:val="0028625F"/>
    <w:rsid w:val="002863CE"/>
    <w:rsid w:val="00287E20"/>
    <w:rsid w:val="0029110F"/>
    <w:rsid w:val="00291492"/>
    <w:rsid w:val="00291527"/>
    <w:rsid w:val="0029158E"/>
    <w:rsid w:val="0029199A"/>
    <w:rsid w:val="00291BBE"/>
    <w:rsid w:val="00291FEB"/>
    <w:rsid w:val="00293146"/>
    <w:rsid w:val="0029361E"/>
    <w:rsid w:val="002939F4"/>
    <w:rsid w:val="00293D68"/>
    <w:rsid w:val="0029408A"/>
    <w:rsid w:val="00294352"/>
    <w:rsid w:val="002944A0"/>
    <w:rsid w:val="002946E4"/>
    <w:rsid w:val="0029495C"/>
    <w:rsid w:val="002957D9"/>
    <w:rsid w:val="00295B52"/>
    <w:rsid w:val="00295F4B"/>
    <w:rsid w:val="00296024"/>
    <w:rsid w:val="00296293"/>
    <w:rsid w:val="00296AF7"/>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3DB"/>
    <w:rsid w:val="002A3E69"/>
    <w:rsid w:val="002A44F9"/>
    <w:rsid w:val="002A49EF"/>
    <w:rsid w:val="002A4B8B"/>
    <w:rsid w:val="002A5107"/>
    <w:rsid w:val="002A535E"/>
    <w:rsid w:val="002A5DBD"/>
    <w:rsid w:val="002A6406"/>
    <w:rsid w:val="002A6432"/>
    <w:rsid w:val="002A6CF0"/>
    <w:rsid w:val="002A6FFC"/>
    <w:rsid w:val="002A7010"/>
    <w:rsid w:val="002A70BA"/>
    <w:rsid w:val="002A7A57"/>
    <w:rsid w:val="002A7BB2"/>
    <w:rsid w:val="002A7DCB"/>
    <w:rsid w:val="002B0685"/>
    <w:rsid w:val="002B0AAD"/>
    <w:rsid w:val="002B0B53"/>
    <w:rsid w:val="002B1617"/>
    <w:rsid w:val="002B1A90"/>
    <w:rsid w:val="002B1D11"/>
    <w:rsid w:val="002B273B"/>
    <w:rsid w:val="002B29AA"/>
    <w:rsid w:val="002B2A7E"/>
    <w:rsid w:val="002B2F1B"/>
    <w:rsid w:val="002B3332"/>
    <w:rsid w:val="002B34C7"/>
    <w:rsid w:val="002B5269"/>
    <w:rsid w:val="002B5AFB"/>
    <w:rsid w:val="002B6320"/>
    <w:rsid w:val="002B6499"/>
    <w:rsid w:val="002B66AC"/>
    <w:rsid w:val="002B6852"/>
    <w:rsid w:val="002B77E1"/>
    <w:rsid w:val="002C0656"/>
    <w:rsid w:val="002C0714"/>
    <w:rsid w:val="002C0A96"/>
    <w:rsid w:val="002C1422"/>
    <w:rsid w:val="002C1697"/>
    <w:rsid w:val="002C1BF4"/>
    <w:rsid w:val="002C1E0D"/>
    <w:rsid w:val="002C2266"/>
    <w:rsid w:val="002C2356"/>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638"/>
    <w:rsid w:val="002D0B52"/>
    <w:rsid w:val="002D0E85"/>
    <w:rsid w:val="002D0FA7"/>
    <w:rsid w:val="002D12FB"/>
    <w:rsid w:val="002D19D1"/>
    <w:rsid w:val="002D1F35"/>
    <w:rsid w:val="002D1FA3"/>
    <w:rsid w:val="002D1FB8"/>
    <w:rsid w:val="002D20CD"/>
    <w:rsid w:val="002D23C6"/>
    <w:rsid w:val="002D24F0"/>
    <w:rsid w:val="002D25EB"/>
    <w:rsid w:val="002D29F3"/>
    <w:rsid w:val="002D3126"/>
    <w:rsid w:val="002D3529"/>
    <w:rsid w:val="002D3D0A"/>
    <w:rsid w:val="002D3EF0"/>
    <w:rsid w:val="002D478E"/>
    <w:rsid w:val="002D47AE"/>
    <w:rsid w:val="002D4A94"/>
    <w:rsid w:val="002D6216"/>
    <w:rsid w:val="002D65FF"/>
    <w:rsid w:val="002D6D10"/>
    <w:rsid w:val="002D71E2"/>
    <w:rsid w:val="002D7B6A"/>
    <w:rsid w:val="002E0026"/>
    <w:rsid w:val="002E08E8"/>
    <w:rsid w:val="002E0918"/>
    <w:rsid w:val="002E0BAA"/>
    <w:rsid w:val="002E0D96"/>
    <w:rsid w:val="002E0EA5"/>
    <w:rsid w:val="002E0F1C"/>
    <w:rsid w:val="002E17C5"/>
    <w:rsid w:val="002E1E19"/>
    <w:rsid w:val="002E1FAC"/>
    <w:rsid w:val="002E283F"/>
    <w:rsid w:val="002E2854"/>
    <w:rsid w:val="002E2E69"/>
    <w:rsid w:val="002E2E74"/>
    <w:rsid w:val="002E32D2"/>
    <w:rsid w:val="002E361B"/>
    <w:rsid w:val="002E37AB"/>
    <w:rsid w:val="002E3A80"/>
    <w:rsid w:val="002E3FB9"/>
    <w:rsid w:val="002E41C7"/>
    <w:rsid w:val="002E51DF"/>
    <w:rsid w:val="002E57B9"/>
    <w:rsid w:val="002E6127"/>
    <w:rsid w:val="002E6885"/>
    <w:rsid w:val="002E72E4"/>
    <w:rsid w:val="002E739D"/>
    <w:rsid w:val="002F0F36"/>
    <w:rsid w:val="002F1276"/>
    <w:rsid w:val="002F175B"/>
    <w:rsid w:val="002F1986"/>
    <w:rsid w:val="002F1E5F"/>
    <w:rsid w:val="002F1E6E"/>
    <w:rsid w:val="002F2A49"/>
    <w:rsid w:val="002F3550"/>
    <w:rsid w:val="002F3A4F"/>
    <w:rsid w:val="002F3B63"/>
    <w:rsid w:val="002F3C56"/>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E89"/>
    <w:rsid w:val="00302052"/>
    <w:rsid w:val="00302142"/>
    <w:rsid w:val="00302169"/>
    <w:rsid w:val="00302612"/>
    <w:rsid w:val="003029A8"/>
    <w:rsid w:val="00303254"/>
    <w:rsid w:val="003032D8"/>
    <w:rsid w:val="003044D9"/>
    <w:rsid w:val="00304D8A"/>
    <w:rsid w:val="00305216"/>
    <w:rsid w:val="003053EA"/>
    <w:rsid w:val="0030555B"/>
    <w:rsid w:val="003061F5"/>
    <w:rsid w:val="00306A49"/>
    <w:rsid w:val="00306D27"/>
    <w:rsid w:val="0030722F"/>
    <w:rsid w:val="0030739C"/>
    <w:rsid w:val="00307A2C"/>
    <w:rsid w:val="00310D51"/>
    <w:rsid w:val="00311B36"/>
    <w:rsid w:val="00311C92"/>
    <w:rsid w:val="0031256E"/>
    <w:rsid w:val="00313321"/>
    <w:rsid w:val="003133AE"/>
    <w:rsid w:val="0031371B"/>
    <w:rsid w:val="00314156"/>
    <w:rsid w:val="00314CF8"/>
    <w:rsid w:val="0031535B"/>
    <w:rsid w:val="003154DD"/>
    <w:rsid w:val="00315FEA"/>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B59"/>
    <w:rsid w:val="00326BD4"/>
    <w:rsid w:val="00326E49"/>
    <w:rsid w:val="003272C6"/>
    <w:rsid w:val="00327752"/>
    <w:rsid w:val="00327C7C"/>
    <w:rsid w:val="00330009"/>
    <w:rsid w:val="003301E6"/>
    <w:rsid w:val="003310AB"/>
    <w:rsid w:val="003314D2"/>
    <w:rsid w:val="003315A9"/>
    <w:rsid w:val="00331712"/>
    <w:rsid w:val="0033183B"/>
    <w:rsid w:val="00331A3F"/>
    <w:rsid w:val="00332191"/>
    <w:rsid w:val="00332720"/>
    <w:rsid w:val="00332EED"/>
    <w:rsid w:val="00332F1F"/>
    <w:rsid w:val="003333AB"/>
    <w:rsid w:val="003334A7"/>
    <w:rsid w:val="003337E8"/>
    <w:rsid w:val="00333A14"/>
    <w:rsid w:val="00333B2A"/>
    <w:rsid w:val="00333FD5"/>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D46"/>
    <w:rsid w:val="003451F0"/>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AE4"/>
    <w:rsid w:val="00354B0A"/>
    <w:rsid w:val="00355264"/>
    <w:rsid w:val="0035551B"/>
    <w:rsid w:val="00355532"/>
    <w:rsid w:val="003555ED"/>
    <w:rsid w:val="00355911"/>
    <w:rsid w:val="00355BFC"/>
    <w:rsid w:val="0035636B"/>
    <w:rsid w:val="00356433"/>
    <w:rsid w:val="00356E7A"/>
    <w:rsid w:val="00357424"/>
    <w:rsid w:val="00357BE9"/>
    <w:rsid w:val="003601A2"/>
    <w:rsid w:val="003605DB"/>
    <w:rsid w:val="00361327"/>
    <w:rsid w:val="00361789"/>
    <w:rsid w:val="0036196D"/>
    <w:rsid w:val="00361A59"/>
    <w:rsid w:val="00361D8E"/>
    <w:rsid w:val="00362136"/>
    <w:rsid w:val="00362517"/>
    <w:rsid w:val="0036268A"/>
    <w:rsid w:val="003627BD"/>
    <w:rsid w:val="00362997"/>
    <w:rsid w:val="00362C59"/>
    <w:rsid w:val="00363040"/>
    <w:rsid w:val="003630B7"/>
    <w:rsid w:val="003633E8"/>
    <w:rsid w:val="00363786"/>
    <w:rsid w:val="003638A4"/>
    <w:rsid w:val="003639BF"/>
    <w:rsid w:val="00363E41"/>
    <w:rsid w:val="00363FD2"/>
    <w:rsid w:val="00364091"/>
    <w:rsid w:val="0036447A"/>
    <w:rsid w:val="0036572E"/>
    <w:rsid w:val="00366168"/>
    <w:rsid w:val="003663D9"/>
    <w:rsid w:val="003666BF"/>
    <w:rsid w:val="00366707"/>
    <w:rsid w:val="00366FA9"/>
    <w:rsid w:val="00367B19"/>
    <w:rsid w:val="00367E49"/>
    <w:rsid w:val="003700E6"/>
    <w:rsid w:val="0037017C"/>
    <w:rsid w:val="00370490"/>
    <w:rsid w:val="00370633"/>
    <w:rsid w:val="0037117C"/>
    <w:rsid w:val="00371C86"/>
    <w:rsid w:val="0037236C"/>
    <w:rsid w:val="003729DE"/>
    <w:rsid w:val="003735D3"/>
    <w:rsid w:val="0037386D"/>
    <w:rsid w:val="00373956"/>
    <w:rsid w:val="003739A4"/>
    <w:rsid w:val="00374153"/>
    <w:rsid w:val="00374671"/>
    <w:rsid w:val="003750E0"/>
    <w:rsid w:val="00375AF1"/>
    <w:rsid w:val="00375C2F"/>
    <w:rsid w:val="00375FC5"/>
    <w:rsid w:val="00376943"/>
    <w:rsid w:val="003769BA"/>
    <w:rsid w:val="00377871"/>
    <w:rsid w:val="003778B2"/>
    <w:rsid w:val="00377D0E"/>
    <w:rsid w:val="00377E58"/>
    <w:rsid w:val="003804EE"/>
    <w:rsid w:val="003805E3"/>
    <w:rsid w:val="00380618"/>
    <w:rsid w:val="0038062E"/>
    <w:rsid w:val="003806D7"/>
    <w:rsid w:val="003807F7"/>
    <w:rsid w:val="00381610"/>
    <w:rsid w:val="00381762"/>
    <w:rsid w:val="00382106"/>
    <w:rsid w:val="00382657"/>
    <w:rsid w:val="00382708"/>
    <w:rsid w:val="00382ADF"/>
    <w:rsid w:val="00382B82"/>
    <w:rsid w:val="003834CE"/>
    <w:rsid w:val="003844BF"/>
    <w:rsid w:val="00384F87"/>
    <w:rsid w:val="00385102"/>
    <w:rsid w:val="0038518F"/>
    <w:rsid w:val="003854D5"/>
    <w:rsid w:val="0038552A"/>
    <w:rsid w:val="003856F1"/>
    <w:rsid w:val="003859EA"/>
    <w:rsid w:val="0038709E"/>
    <w:rsid w:val="00387D30"/>
    <w:rsid w:val="00391753"/>
    <w:rsid w:val="00391C7F"/>
    <w:rsid w:val="00392454"/>
    <w:rsid w:val="00392C85"/>
    <w:rsid w:val="00392FD8"/>
    <w:rsid w:val="00393E11"/>
    <w:rsid w:val="00394475"/>
    <w:rsid w:val="0039517A"/>
    <w:rsid w:val="003958B9"/>
    <w:rsid w:val="00395B51"/>
    <w:rsid w:val="00396796"/>
    <w:rsid w:val="00396EC6"/>
    <w:rsid w:val="003970BA"/>
    <w:rsid w:val="0039746C"/>
    <w:rsid w:val="003978CA"/>
    <w:rsid w:val="00397DC6"/>
    <w:rsid w:val="003A0C9D"/>
    <w:rsid w:val="003A0E82"/>
    <w:rsid w:val="003A0FAC"/>
    <w:rsid w:val="003A1584"/>
    <w:rsid w:val="003A184D"/>
    <w:rsid w:val="003A1F68"/>
    <w:rsid w:val="003A1FB7"/>
    <w:rsid w:val="003A371E"/>
    <w:rsid w:val="003A3957"/>
    <w:rsid w:val="003A462A"/>
    <w:rsid w:val="003A4EA5"/>
    <w:rsid w:val="003A557D"/>
    <w:rsid w:val="003A595F"/>
    <w:rsid w:val="003A5EEC"/>
    <w:rsid w:val="003A6583"/>
    <w:rsid w:val="003A6B7A"/>
    <w:rsid w:val="003A6E38"/>
    <w:rsid w:val="003A79AE"/>
    <w:rsid w:val="003A7CA3"/>
    <w:rsid w:val="003B00B6"/>
    <w:rsid w:val="003B01C4"/>
    <w:rsid w:val="003B09D5"/>
    <w:rsid w:val="003B0BB0"/>
    <w:rsid w:val="003B11EE"/>
    <w:rsid w:val="003B15F8"/>
    <w:rsid w:val="003B1B60"/>
    <w:rsid w:val="003B230B"/>
    <w:rsid w:val="003B23BC"/>
    <w:rsid w:val="003B28BA"/>
    <w:rsid w:val="003B28F6"/>
    <w:rsid w:val="003B2DB5"/>
    <w:rsid w:val="003B2F05"/>
    <w:rsid w:val="003B3966"/>
    <w:rsid w:val="003B39B7"/>
    <w:rsid w:val="003B4754"/>
    <w:rsid w:val="003B4C78"/>
    <w:rsid w:val="003B4EB0"/>
    <w:rsid w:val="003B5094"/>
    <w:rsid w:val="003B5A05"/>
    <w:rsid w:val="003B5F6A"/>
    <w:rsid w:val="003B6B7F"/>
    <w:rsid w:val="003B7820"/>
    <w:rsid w:val="003C01A4"/>
    <w:rsid w:val="003C0219"/>
    <w:rsid w:val="003C0C12"/>
    <w:rsid w:val="003C16EE"/>
    <w:rsid w:val="003C1C87"/>
    <w:rsid w:val="003C2C85"/>
    <w:rsid w:val="003C2F61"/>
    <w:rsid w:val="003C345E"/>
    <w:rsid w:val="003C4409"/>
    <w:rsid w:val="003C4854"/>
    <w:rsid w:val="003C4997"/>
    <w:rsid w:val="003C4DA5"/>
    <w:rsid w:val="003C502A"/>
    <w:rsid w:val="003C5666"/>
    <w:rsid w:val="003C60CC"/>
    <w:rsid w:val="003C6188"/>
    <w:rsid w:val="003C64F4"/>
    <w:rsid w:val="003C6D4E"/>
    <w:rsid w:val="003C724B"/>
    <w:rsid w:val="003C73DB"/>
    <w:rsid w:val="003D0185"/>
    <w:rsid w:val="003D02CB"/>
    <w:rsid w:val="003D0382"/>
    <w:rsid w:val="003D069C"/>
    <w:rsid w:val="003D0C2A"/>
    <w:rsid w:val="003D18F6"/>
    <w:rsid w:val="003D191E"/>
    <w:rsid w:val="003D1A19"/>
    <w:rsid w:val="003D2027"/>
    <w:rsid w:val="003D22A5"/>
    <w:rsid w:val="003D23A4"/>
    <w:rsid w:val="003D3414"/>
    <w:rsid w:val="003D3426"/>
    <w:rsid w:val="003D3654"/>
    <w:rsid w:val="003D3721"/>
    <w:rsid w:val="003D413A"/>
    <w:rsid w:val="003D4A9F"/>
    <w:rsid w:val="003D6722"/>
    <w:rsid w:val="003D7428"/>
    <w:rsid w:val="003D77F2"/>
    <w:rsid w:val="003D78CC"/>
    <w:rsid w:val="003D7D01"/>
    <w:rsid w:val="003D7D25"/>
    <w:rsid w:val="003D7ED8"/>
    <w:rsid w:val="003E0003"/>
    <w:rsid w:val="003E0099"/>
    <w:rsid w:val="003E08C7"/>
    <w:rsid w:val="003E1427"/>
    <w:rsid w:val="003E1A72"/>
    <w:rsid w:val="003E1C35"/>
    <w:rsid w:val="003E2582"/>
    <w:rsid w:val="003E2880"/>
    <w:rsid w:val="003E28FB"/>
    <w:rsid w:val="003E2A00"/>
    <w:rsid w:val="003E382C"/>
    <w:rsid w:val="003E3D00"/>
    <w:rsid w:val="003E4531"/>
    <w:rsid w:val="003E4771"/>
    <w:rsid w:val="003E53A3"/>
    <w:rsid w:val="003E54A8"/>
    <w:rsid w:val="003E5833"/>
    <w:rsid w:val="003E5DA8"/>
    <w:rsid w:val="003E7109"/>
    <w:rsid w:val="003E77DC"/>
    <w:rsid w:val="003E7BC1"/>
    <w:rsid w:val="003F0453"/>
    <w:rsid w:val="003F0C9F"/>
    <w:rsid w:val="003F144A"/>
    <w:rsid w:val="003F18FB"/>
    <w:rsid w:val="003F1B02"/>
    <w:rsid w:val="003F1EFE"/>
    <w:rsid w:val="003F2240"/>
    <w:rsid w:val="003F2460"/>
    <w:rsid w:val="003F2E7B"/>
    <w:rsid w:val="003F3CD5"/>
    <w:rsid w:val="003F4473"/>
    <w:rsid w:val="003F4B79"/>
    <w:rsid w:val="003F4CF5"/>
    <w:rsid w:val="003F4E31"/>
    <w:rsid w:val="003F51EE"/>
    <w:rsid w:val="003F574E"/>
    <w:rsid w:val="003F60D6"/>
    <w:rsid w:val="003F68E9"/>
    <w:rsid w:val="003F728C"/>
    <w:rsid w:val="003F7E15"/>
    <w:rsid w:val="003F7FDA"/>
    <w:rsid w:val="00400E65"/>
    <w:rsid w:val="00401296"/>
    <w:rsid w:val="004013AD"/>
    <w:rsid w:val="00401E20"/>
    <w:rsid w:val="004021C0"/>
    <w:rsid w:val="004024F9"/>
    <w:rsid w:val="004028CE"/>
    <w:rsid w:val="0040299B"/>
    <w:rsid w:val="0040313D"/>
    <w:rsid w:val="004043FA"/>
    <w:rsid w:val="00404970"/>
    <w:rsid w:val="00405181"/>
    <w:rsid w:val="0040567F"/>
    <w:rsid w:val="00405873"/>
    <w:rsid w:val="00405F09"/>
    <w:rsid w:val="00405F3A"/>
    <w:rsid w:val="004066F4"/>
    <w:rsid w:val="00406A32"/>
    <w:rsid w:val="0040760B"/>
    <w:rsid w:val="00410117"/>
    <w:rsid w:val="00410600"/>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BB4"/>
    <w:rsid w:val="00414D68"/>
    <w:rsid w:val="00414FD9"/>
    <w:rsid w:val="004151BC"/>
    <w:rsid w:val="00415773"/>
    <w:rsid w:val="00415CAE"/>
    <w:rsid w:val="00415EE7"/>
    <w:rsid w:val="004160FA"/>
    <w:rsid w:val="0041669E"/>
    <w:rsid w:val="00416ACA"/>
    <w:rsid w:val="00416C56"/>
    <w:rsid w:val="00417294"/>
    <w:rsid w:val="004176B8"/>
    <w:rsid w:val="00417B99"/>
    <w:rsid w:val="00417CE0"/>
    <w:rsid w:val="004209D5"/>
    <w:rsid w:val="00420FAF"/>
    <w:rsid w:val="00421184"/>
    <w:rsid w:val="004212C1"/>
    <w:rsid w:val="004214B7"/>
    <w:rsid w:val="00421510"/>
    <w:rsid w:val="00421FB5"/>
    <w:rsid w:val="004226ED"/>
    <w:rsid w:val="00422AF4"/>
    <w:rsid w:val="004230B0"/>
    <w:rsid w:val="004235F4"/>
    <w:rsid w:val="004236C9"/>
    <w:rsid w:val="00423CF3"/>
    <w:rsid w:val="00423E18"/>
    <w:rsid w:val="004245E4"/>
    <w:rsid w:val="00424B7C"/>
    <w:rsid w:val="0042500C"/>
    <w:rsid w:val="00425514"/>
    <w:rsid w:val="004256BD"/>
    <w:rsid w:val="00425863"/>
    <w:rsid w:val="00425D02"/>
    <w:rsid w:val="00425EDC"/>
    <w:rsid w:val="0042610C"/>
    <w:rsid w:val="00426B30"/>
    <w:rsid w:val="00426C3E"/>
    <w:rsid w:val="004275CD"/>
    <w:rsid w:val="00427E74"/>
    <w:rsid w:val="00427FEB"/>
    <w:rsid w:val="00427FF2"/>
    <w:rsid w:val="004305C0"/>
    <w:rsid w:val="00430B20"/>
    <w:rsid w:val="00430B6C"/>
    <w:rsid w:val="0043194E"/>
    <w:rsid w:val="0043227C"/>
    <w:rsid w:val="004335C0"/>
    <w:rsid w:val="004345E1"/>
    <w:rsid w:val="00435121"/>
    <w:rsid w:val="00435715"/>
    <w:rsid w:val="0043571B"/>
    <w:rsid w:val="00435EE0"/>
    <w:rsid w:val="00435F29"/>
    <w:rsid w:val="0043610C"/>
    <w:rsid w:val="004366FF"/>
    <w:rsid w:val="00437D83"/>
    <w:rsid w:val="0044005F"/>
    <w:rsid w:val="004401DD"/>
    <w:rsid w:val="00440344"/>
    <w:rsid w:val="00440C0F"/>
    <w:rsid w:val="00441264"/>
    <w:rsid w:val="00441B0F"/>
    <w:rsid w:val="004425C6"/>
    <w:rsid w:val="00443D5D"/>
    <w:rsid w:val="00445CBA"/>
    <w:rsid w:val="004463CB"/>
    <w:rsid w:val="004466F7"/>
    <w:rsid w:val="00446858"/>
    <w:rsid w:val="00446C99"/>
    <w:rsid w:val="00447304"/>
    <w:rsid w:val="004476F6"/>
    <w:rsid w:val="004477C3"/>
    <w:rsid w:val="00447B5E"/>
    <w:rsid w:val="00447CDD"/>
    <w:rsid w:val="00450127"/>
    <w:rsid w:val="0045075F"/>
    <w:rsid w:val="004514A5"/>
    <w:rsid w:val="004516AD"/>
    <w:rsid w:val="00451E84"/>
    <w:rsid w:val="00451EA3"/>
    <w:rsid w:val="00451F01"/>
    <w:rsid w:val="00454145"/>
    <w:rsid w:val="00454660"/>
    <w:rsid w:val="004546A7"/>
    <w:rsid w:val="00454831"/>
    <w:rsid w:val="004548DF"/>
    <w:rsid w:val="00456CC0"/>
    <w:rsid w:val="00457933"/>
    <w:rsid w:val="00457C78"/>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4236"/>
    <w:rsid w:val="00464381"/>
    <w:rsid w:val="00464B8A"/>
    <w:rsid w:val="00465153"/>
    <w:rsid w:val="00465602"/>
    <w:rsid w:val="004656A4"/>
    <w:rsid w:val="0046599C"/>
    <w:rsid w:val="00465F01"/>
    <w:rsid w:val="00466A4A"/>
    <w:rsid w:val="00466AFD"/>
    <w:rsid w:val="00470696"/>
    <w:rsid w:val="004713A5"/>
    <w:rsid w:val="004718E1"/>
    <w:rsid w:val="00471FEC"/>
    <w:rsid w:val="00472177"/>
    <w:rsid w:val="00472234"/>
    <w:rsid w:val="004724C9"/>
    <w:rsid w:val="00472585"/>
    <w:rsid w:val="0047278F"/>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B2B"/>
    <w:rsid w:val="00481F2B"/>
    <w:rsid w:val="004820C5"/>
    <w:rsid w:val="00482198"/>
    <w:rsid w:val="004823D8"/>
    <w:rsid w:val="00482F20"/>
    <w:rsid w:val="00483196"/>
    <w:rsid w:val="0048340F"/>
    <w:rsid w:val="0048423C"/>
    <w:rsid w:val="00484449"/>
    <w:rsid w:val="004852CE"/>
    <w:rsid w:val="0048540C"/>
    <w:rsid w:val="00485B5F"/>
    <w:rsid w:val="00485F82"/>
    <w:rsid w:val="00485F92"/>
    <w:rsid w:val="004860BD"/>
    <w:rsid w:val="004866E1"/>
    <w:rsid w:val="00486C72"/>
    <w:rsid w:val="00487D3A"/>
    <w:rsid w:val="00490954"/>
    <w:rsid w:val="0049102F"/>
    <w:rsid w:val="00491602"/>
    <w:rsid w:val="0049277A"/>
    <w:rsid w:val="00492B38"/>
    <w:rsid w:val="00492FE4"/>
    <w:rsid w:val="00493035"/>
    <w:rsid w:val="00493321"/>
    <w:rsid w:val="004936DE"/>
    <w:rsid w:val="004949B0"/>
    <w:rsid w:val="0049544E"/>
    <w:rsid w:val="00495670"/>
    <w:rsid w:val="0049567B"/>
    <w:rsid w:val="0049604B"/>
    <w:rsid w:val="00496666"/>
    <w:rsid w:val="00496AC9"/>
    <w:rsid w:val="004A040E"/>
    <w:rsid w:val="004A042D"/>
    <w:rsid w:val="004A1178"/>
    <w:rsid w:val="004A11E0"/>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F21"/>
    <w:rsid w:val="004B07C6"/>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0F3"/>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29BD"/>
    <w:rsid w:val="004C3A7A"/>
    <w:rsid w:val="004C3ADD"/>
    <w:rsid w:val="004C3C00"/>
    <w:rsid w:val="004C428E"/>
    <w:rsid w:val="004C441A"/>
    <w:rsid w:val="004C4775"/>
    <w:rsid w:val="004C483D"/>
    <w:rsid w:val="004C48A9"/>
    <w:rsid w:val="004C4D05"/>
    <w:rsid w:val="004C590B"/>
    <w:rsid w:val="004C5BF4"/>
    <w:rsid w:val="004C5E9D"/>
    <w:rsid w:val="004C6017"/>
    <w:rsid w:val="004C62DE"/>
    <w:rsid w:val="004C63C7"/>
    <w:rsid w:val="004C6D39"/>
    <w:rsid w:val="004C6D98"/>
    <w:rsid w:val="004C7217"/>
    <w:rsid w:val="004C7743"/>
    <w:rsid w:val="004C77A7"/>
    <w:rsid w:val="004C7B38"/>
    <w:rsid w:val="004D039E"/>
    <w:rsid w:val="004D04A3"/>
    <w:rsid w:val="004D0C9F"/>
    <w:rsid w:val="004D15FD"/>
    <w:rsid w:val="004D1A0A"/>
    <w:rsid w:val="004D2369"/>
    <w:rsid w:val="004D2485"/>
    <w:rsid w:val="004D2CFC"/>
    <w:rsid w:val="004D3A57"/>
    <w:rsid w:val="004D47FF"/>
    <w:rsid w:val="004D4D35"/>
    <w:rsid w:val="004D518F"/>
    <w:rsid w:val="004D5394"/>
    <w:rsid w:val="004D54D7"/>
    <w:rsid w:val="004D5BB7"/>
    <w:rsid w:val="004D6053"/>
    <w:rsid w:val="004D6FA4"/>
    <w:rsid w:val="004D7C23"/>
    <w:rsid w:val="004E01C6"/>
    <w:rsid w:val="004E0212"/>
    <w:rsid w:val="004E0ADC"/>
    <w:rsid w:val="004E0FB1"/>
    <w:rsid w:val="004E1043"/>
    <w:rsid w:val="004E19DB"/>
    <w:rsid w:val="004E1DCA"/>
    <w:rsid w:val="004E21B4"/>
    <w:rsid w:val="004E252B"/>
    <w:rsid w:val="004E2861"/>
    <w:rsid w:val="004E2A85"/>
    <w:rsid w:val="004E3F72"/>
    <w:rsid w:val="004E47D5"/>
    <w:rsid w:val="004E4A5C"/>
    <w:rsid w:val="004E4A78"/>
    <w:rsid w:val="004E551E"/>
    <w:rsid w:val="004E584D"/>
    <w:rsid w:val="004E58F6"/>
    <w:rsid w:val="004E5E37"/>
    <w:rsid w:val="004E5E4C"/>
    <w:rsid w:val="004E5F79"/>
    <w:rsid w:val="004E623E"/>
    <w:rsid w:val="004E6589"/>
    <w:rsid w:val="004E6A1D"/>
    <w:rsid w:val="004E6CF9"/>
    <w:rsid w:val="004E7152"/>
    <w:rsid w:val="004E734E"/>
    <w:rsid w:val="004E7EC0"/>
    <w:rsid w:val="004E7F48"/>
    <w:rsid w:val="004F014E"/>
    <w:rsid w:val="004F023B"/>
    <w:rsid w:val="004F0BC6"/>
    <w:rsid w:val="004F1123"/>
    <w:rsid w:val="004F1715"/>
    <w:rsid w:val="004F17DA"/>
    <w:rsid w:val="004F355B"/>
    <w:rsid w:val="004F3BD2"/>
    <w:rsid w:val="004F3CBF"/>
    <w:rsid w:val="004F4372"/>
    <w:rsid w:val="004F43E0"/>
    <w:rsid w:val="004F45EB"/>
    <w:rsid w:val="004F5079"/>
    <w:rsid w:val="004F521B"/>
    <w:rsid w:val="004F52BB"/>
    <w:rsid w:val="004F5582"/>
    <w:rsid w:val="004F59B8"/>
    <w:rsid w:val="004F62A7"/>
    <w:rsid w:val="004F62F9"/>
    <w:rsid w:val="004F66B3"/>
    <w:rsid w:val="004F6FA7"/>
    <w:rsid w:val="004F71FB"/>
    <w:rsid w:val="004F7352"/>
    <w:rsid w:val="004F7889"/>
    <w:rsid w:val="0050015C"/>
    <w:rsid w:val="00500418"/>
    <w:rsid w:val="00500CCF"/>
    <w:rsid w:val="00500E62"/>
    <w:rsid w:val="005010DE"/>
    <w:rsid w:val="005011FD"/>
    <w:rsid w:val="0050164B"/>
    <w:rsid w:val="00501A86"/>
    <w:rsid w:val="00501AA5"/>
    <w:rsid w:val="00502958"/>
    <w:rsid w:val="00502BD2"/>
    <w:rsid w:val="00502DA4"/>
    <w:rsid w:val="0050356B"/>
    <w:rsid w:val="00503F83"/>
    <w:rsid w:val="0050421C"/>
    <w:rsid w:val="00504A9B"/>
    <w:rsid w:val="00504E9A"/>
    <w:rsid w:val="00504F83"/>
    <w:rsid w:val="005059B9"/>
    <w:rsid w:val="00505F64"/>
    <w:rsid w:val="00506CC4"/>
    <w:rsid w:val="00506DCD"/>
    <w:rsid w:val="00507325"/>
    <w:rsid w:val="00507583"/>
    <w:rsid w:val="00507C36"/>
    <w:rsid w:val="00507C56"/>
    <w:rsid w:val="00507F13"/>
    <w:rsid w:val="005109D4"/>
    <w:rsid w:val="00510CF4"/>
    <w:rsid w:val="0051160A"/>
    <w:rsid w:val="005118BA"/>
    <w:rsid w:val="00512D87"/>
    <w:rsid w:val="005130DA"/>
    <w:rsid w:val="00513430"/>
    <w:rsid w:val="0051354B"/>
    <w:rsid w:val="00513DDA"/>
    <w:rsid w:val="00513E19"/>
    <w:rsid w:val="005148B4"/>
    <w:rsid w:val="00514B29"/>
    <w:rsid w:val="00514E8C"/>
    <w:rsid w:val="005152B1"/>
    <w:rsid w:val="005152F0"/>
    <w:rsid w:val="0051532D"/>
    <w:rsid w:val="00515856"/>
    <w:rsid w:val="00515F50"/>
    <w:rsid w:val="005163E6"/>
    <w:rsid w:val="005172EC"/>
    <w:rsid w:val="0051740D"/>
    <w:rsid w:val="005178CE"/>
    <w:rsid w:val="005205FF"/>
    <w:rsid w:val="00521356"/>
    <w:rsid w:val="00521CAB"/>
    <w:rsid w:val="00521DFB"/>
    <w:rsid w:val="005224EF"/>
    <w:rsid w:val="00522654"/>
    <w:rsid w:val="00522835"/>
    <w:rsid w:val="0052293D"/>
    <w:rsid w:val="00522AF4"/>
    <w:rsid w:val="00523499"/>
    <w:rsid w:val="0052373F"/>
    <w:rsid w:val="00523BC7"/>
    <w:rsid w:val="00523C08"/>
    <w:rsid w:val="00523C10"/>
    <w:rsid w:val="00523E23"/>
    <w:rsid w:val="00524066"/>
    <w:rsid w:val="005245D5"/>
    <w:rsid w:val="005247FE"/>
    <w:rsid w:val="00524889"/>
    <w:rsid w:val="0052575D"/>
    <w:rsid w:val="005259FC"/>
    <w:rsid w:val="00525A53"/>
    <w:rsid w:val="005260C7"/>
    <w:rsid w:val="005260F1"/>
    <w:rsid w:val="00526569"/>
    <w:rsid w:val="00526726"/>
    <w:rsid w:val="00526F91"/>
    <w:rsid w:val="00527256"/>
    <w:rsid w:val="00527934"/>
    <w:rsid w:val="00527AC0"/>
    <w:rsid w:val="00527B57"/>
    <w:rsid w:val="00527C8D"/>
    <w:rsid w:val="00527C9C"/>
    <w:rsid w:val="00530034"/>
    <w:rsid w:val="00530AC4"/>
    <w:rsid w:val="00531F7B"/>
    <w:rsid w:val="00532064"/>
    <w:rsid w:val="0053268A"/>
    <w:rsid w:val="005328F9"/>
    <w:rsid w:val="0053309E"/>
    <w:rsid w:val="00533169"/>
    <w:rsid w:val="00533194"/>
    <w:rsid w:val="005332C8"/>
    <w:rsid w:val="00534021"/>
    <w:rsid w:val="005343C8"/>
    <w:rsid w:val="0053464E"/>
    <w:rsid w:val="00534CBD"/>
    <w:rsid w:val="005352C8"/>
    <w:rsid w:val="005354C1"/>
    <w:rsid w:val="00535F99"/>
    <w:rsid w:val="00536356"/>
    <w:rsid w:val="0053691D"/>
    <w:rsid w:val="00536BBB"/>
    <w:rsid w:val="00536CBB"/>
    <w:rsid w:val="00536DDD"/>
    <w:rsid w:val="00537033"/>
    <w:rsid w:val="00540A37"/>
    <w:rsid w:val="00540AE7"/>
    <w:rsid w:val="00540B49"/>
    <w:rsid w:val="00541415"/>
    <w:rsid w:val="005418DB"/>
    <w:rsid w:val="00541B51"/>
    <w:rsid w:val="005425A5"/>
    <w:rsid w:val="005434EA"/>
    <w:rsid w:val="005436B8"/>
    <w:rsid w:val="005455FB"/>
    <w:rsid w:val="00545D55"/>
    <w:rsid w:val="005461AB"/>
    <w:rsid w:val="00546C6A"/>
    <w:rsid w:val="00546FBA"/>
    <w:rsid w:val="00547923"/>
    <w:rsid w:val="00547F04"/>
    <w:rsid w:val="00550924"/>
    <w:rsid w:val="00550D63"/>
    <w:rsid w:val="00550EF1"/>
    <w:rsid w:val="00550FC4"/>
    <w:rsid w:val="00551075"/>
    <w:rsid w:val="005513C8"/>
    <w:rsid w:val="00552204"/>
    <w:rsid w:val="0055236E"/>
    <w:rsid w:val="0055352C"/>
    <w:rsid w:val="005538A6"/>
    <w:rsid w:val="005543C8"/>
    <w:rsid w:val="00554F94"/>
    <w:rsid w:val="00555161"/>
    <w:rsid w:val="00555A59"/>
    <w:rsid w:val="00555BB7"/>
    <w:rsid w:val="00555DE6"/>
    <w:rsid w:val="00555EB3"/>
    <w:rsid w:val="005567F6"/>
    <w:rsid w:val="0055695F"/>
    <w:rsid w:val="00556E29"/>
    <w:rsid w:val="00557474"/>
    <w:rsid w:val="00557DAA"/>
    <w:rsid w:val="00557DAD"/>
    <w:rsid w:val="00561138"/>
    <w:rsid w:val="00561572"/>
    <w:rsid w:val="00561699"/>
    <w:rsid w:val="0056194F"/>
    <w:rsid w:val="005619E1"/>
    <w:rsid w:val="00561EEE"/>
    <w:rsid w:val="00562629"/>
    <w:rsid w:val="005628FE"/>
    <w:rsid w:val="0056364B"/>
    <w:rsid w:val="00563D49"/>
    <w:rsid w:val="00564191"/>
    <w:rsid w:val="00564557"/>
    <w:rsid w:val="0056458C"/>
    <w:rsid w:val="00564628"/>
    <w:rsid w:val="005648B9"/>
    <w:rsid w:val="00564A3C"/>
    <w:rsid w:val="00564C5F"/>
    <w:rsid w:val="00564F82"/>
    <w:rsid w:val="005653AF"/>
    <w:rsid w:val="00565501"/>
    <w:rsid w:val="00565755"/>
    <w:rsid w:val="00565DFA"/>
    <w:rsid w:val="0056601E"/>
    <w:rsid w:val="00566406"/>
    <w:rsid w:val="005664A6"/>
    <w:rsid w:val="00566538"/>
    <w:rsid w:val="0056663C"/>
    <w:rsid w:val="0056725A"/>
    <w:rsid w:val="0056741F"/>
    <w:rsid w:val="00567647"/>
    <w:rsid w:val="0056781B"/>
    <w:rsid w:val="00567BE2"/>
    <w:rsid w:val="00570102"/>
    <w:rsid w:val="00570505"/>
    <w:rsid w:val="00570FDD"/>
    <w:rsid w:val="005712E6"/>
    <w:rsid w:val="0057153C"/>
    <w:rsid w:val="00572942"/>
    <w:rsid w:val="005730DB"/>
    <w:rsid w:val="00573251"/>
    <w:rsid w:val="005733A8"/>
    <w:rsid w:val="00573B5B"/>
    <w:rsid w:val="00573F55"/>
    <w:rsid w:val="00574070"/>
    <w:rsid w:val="00575148"/>
    <w:rsid w:val="0057540E"/>
    <w:rsid w:val="005757B6"/>
    <w:rsid w:val="005761E2"/>
    <w:rsid w:val="0058000F"/>
    <w:rsid w:val="00580557"/>
    <w:rsid w:val="0058074F"/>
    <w:rsid w:val="00580A76"/>
    <w:rsid w:val="00581042"/>
    <w:rsid w:val="00581703"/>
    <w:rsid w:val="00581B15"/>
    <w:rsid w:val="005821DD"/>
    <w:rsid w:val="00583908"/>
    <w:rsid w:val="00584757"/>
    <w:rsid w:val="00584E21"/>
    <w:rsid w:val="00585E41"/>
    <w:rsid w:val="0058608B"/>
    <w:rsid w:val="005863C1"/>
    <w:rsid w:val="0058654D"/>
    <w:rsid w:val="00586786"/>
    <w:rsid w:val="00587729"/>
    <w:rsid w:val="00587886"/>
    <w:rsid w:val="00587A66"/>
    <w:rsid w:val="00590147"/>
    <w:rsid w:val="0059028F"/>
    <w:rsid w:val="00590BD1"/>
    <w:rsid w:val="00590D26"/>
    <w:rsid w:val="00591276"/>
    <w:rsid w:val="00591490"/>
    <w:rsid w:val="0059151A"/>
    <w:rsid w:val="005916C9"/>
    <w:rsid w:val="00591C7E"/>
    <w:rsid w:val="00591D27"/>
    <w:rsid w:val="00591DCF"/>
    <w:rsid w:val="00592853"/>
    <w:rsid w:val="005929B4"/>
    <w:rsid w:val="00592A3C"/>
    <w:rsid w:val="0059367F"/>
    <w:rsid w:val="00593720"/>
    <w:rsid w:val="00593909"/>
    <w:rsid w:val="00593A71"/>
    <w:rsid w:val="005941E1"/>
    <w:rsid w:val="005943E2"/>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97953"/>
    <w:rsid w:val="005A01C5"/>
    <w:rsid w:val="005A0532"/>
    <w:rsid w:val="005A07E7"/>
    <w:rsid w:val="005A0A57"/>
    <w:rsid w:val="005A0B9F"/>
    <w:rsid w:val="005A0DBB"/>
    <w:rsid w:val="005A0EBD"/>
    <w:rsid w:val="005A1270"/>
    <w:rsid w:val="005A1295"/>
    <w:rsid w:val="005A1FBF"/>
    <w:rsid w:val="005A29B1"/>
    <w:rsid w:val="005A2EBF"/>
    <w:rsid w:val="005A380B"/>
    <w:rsid w:val="005A4890"/>
    <w:rsid w:val="005A49D4"/>
    <w:rsid w:val="005A4D7C"/>
    <w:rsid w:val="005A51C9"/>
    <w:rsid w:val="005A5A96"/>
    <w:rsid w:val="005A5D7F"/>
    <w:rsid w:val="005A5DC0"/>
    <w:rsid w:val="005A6B6D"/>
    <w:rsid w:val="005A6ED5"/>
    <w:rsid w:val="005A6F0E"/>
    <w:rsid w:val="005A6F57"/>
    <w:rsid w:val="005A7235"/>
    <w:rsid w:val="005A795B"/>
    <w:rsid w:val="005A7BAF"/>
    <w:rsid w:val="005B05FA"/>
    <w:rsid w:val="005B0652"/>
    <w:rsid w:val="005B1213"/>
    <w:rsid w:val="005B1B55"/>
    <w:rsid w:val="005B1C52"/>
    <w:rsid w:val="005B1DBD"/>
    <w:rsid w:val="005B26B0"/>
    <w:rsid w:val="005B3EBD"/>
    <w:rsid w:val="005B3F0C"/>
    <w:rsid w:val="005B48E8"/>
    <w:rsid w:val="005B564F"/>
    <w:rsid w:val="005B56D9"/>
    <w:rsid w:val="005B5BA3"/>
    <w:rsid w:val="005B5E62"/>
    <w:rsid w:val="005B7230"/>
    <w:rsid w:val="005B7E97"/>
    <w:rsid w:val="005B7F46"/>
    <w:rsid w:val="005C07D2"/>
    <w:rsid w:val="005C09A7"/>
    <w:rsid w:val="005C102D"/>
    <w:rsid w:val="005C132C"/>
    <w:rsid w:val="005C17FB"/>
    <w:rsid w:val="005C1833"/>
    <w:rsid w:val="005C1838"/>
    <w:rsid w:val="005C18C2"/>
    <w:rsid w:val="005C2063"/>
    <w:rsid w:val="005C244F"/>
    <w:rsid w:val="005C2767"/>
    <w:rsid w:val="005C2922"/>
    <w:rsid w:val="005C2C01"/>
    <w:rsid w:val="005C2F60"/>
    <w:rsid w:val="005C30A7"/>
    <w:rsid w:val="005C323D"/>
    <w:rsid w:val="005C3772"/>
    <w:rsid w:val="005C39C3"/>
    <w:rsid w:val="005C4229"/>
    <w:rsid w:val="005C4580"/>
    <w:rsid w:val="005C5065"/>
    <w:rsid w:val="005C52F3"/>
    <w:rsid w:val="005C564C"/>
    <w:rsid w:val="005C56EA"/>
    <w:rsid w:val="005C6234"/>
    <w:rsid w:val="005C64DC"/>
    <w:rsid w:val="005C6605"/>
    <w:rsid w:val="005C71A0"/>
    <w:rsid w:val="005C75B8"/>
    <w:rsid w:val="005C7802"/>
    <w:rsid w:val="005C7B50"/>
    <w:rsid w:val="005D029E"/>
    <w:rsid w:val="005D0427"/>
    <w:rsid w:val="005D0776"/>
    <w:rsid w:val="005D07AE"/>
    <w:rsid w:val="005D0A0B"/>
    <w:rsid w:val="005D0C83"/>
    <w:rsid w:val="005D113B"/>
    <w:rsid w:val="005D1732"/>
    <w:rsid w:val="005D2D9A"/>
    <w:rsid w:val="005D3A6E"/>
    <w:rsid w:val="005D3B21"/>
    <w:rsid w:val="005D4019"/>
    <w:rsid w:val="005D41DC"/>
    <w:rsid w:val="005D460F"/>
    <w:rsid w:val="005D4DC5"/>
    <w:rsid w:val="005D5442"/>
    <w:rsid w:val="005D5C22"/>
    <w:rsid w:val="005D5E6C"/>
    <w:rsid w:val="005D63A9"/>
    <w:rsid w:val="005D65D5"/>
    <w:rsid w:val="005D6C56"/>
    <w:rsid w:val="005D6F49"/>
    <w:rsid w:val="005D7B83"/>
    <w:rsid w:val="005D7E8A"/>
    <w:rsid w:val="005E06FA"/>
    <w:rsid w:val="005E10D7"/>
    <w:rsid w:val="005E11A5"/>
    <w:rsid w:val="005E13D4"/>
    <w:rsid w:val="005E1435"/>
    <w:rsid w:val="005E17E9"/>
    <w:rsid w:val="005E21F3"/>
    <w:rsid w:val="005E235C"/>
    <w:rsid w:val="005E3078"/>
    <w:rsid w:val="005E34C0"/>
    <w:rsid w:val="005E392E"/>
    <w:rsid w:val="005E4565"/>
    <w:rsid w:val="005E45F3"/>
    <w:rsid w:val="005E48EA"/>
    <w:rsid w:val="005E49CA"/>
    <w:rsid w:val="005E5384"/>
    <w:rsid w:val="005E5427"/>
    <w:rsid w:val="005E5428"/>
    <w:rsid w:val="005E5A7C"/>
    <w:rsid w:val="005E5C33"/>
    <w:rsid w:val="005E6976"/>
    <w:rsid w:val="005E6C7A"/>
    <w:rsid w:val="005E703B"/>
    <w:rsid w:val="005E721A"/>
    <w:rsid w:val="005E74EC"/>
    <w:rsid w:val="005E7917"/>
    <w:rsid w:val="005E7AB6"/>
    <w:rsid w:val="005E7B1E"/>
    <w:rsid w:val="005E7CBC"/>
    <w:rsid w:val="005F0854"/>
    <w:rsid w:val="005F0A62"/>
    <w:rsid w:val="005F0FA8"/>
    <w:rsid w:val="005F1C5D"/>
    <w:rsid w:val="005F2317"/>
    <w:rsid w:val="005F2550"/>
    <w:rsid w:val="005F2B2D"/>
    <w:rsid w:val="005F2FD5"/>
    <w:rsid w:val="005F340A"/>
    <w:rsid w:val="005F3AE8"/>
    <w:rsid w:val="005F3B09"/>
    <w:rsid w:val="005F3B47"/>
    <w:rsid w:val="005F47C1"/>
    <w:rsid w:val="005F4926"/>
    <w:rsid w:val="005F4B6F"/>
    <w:rsid w:val="005F5009"/>
    <w:rsid w:val="005F5054"/>
    <w:rsid w:val="005F530F"/>
    <w:rsid w:val="005F6256"/>
    <w:rsid w:val="005F65D9"/>
    <w:rsid w:val="005F6768"/>
    <w:rsid w:val="005F69CF"/>
    <w:rsid w:val="005F6E39"/>
    <w:rsid w:val="005F6E58"/>
    <w:rsid w:val="005F7031"/>
    <w:rsid w:val="005F704C"/>
    <w:rsid w:val="005F7A22"/>
    <w:rsid w:val="005F7B9D"/>
    <w:rsid w:val="005F7CF0"/>
    <w:rsid w:val="00600501"/>
    <w:rsid w:val="00600B0C"/>
    <w:rsid w:val="00600D1A"/>
    <w:rsid w:val="00601038"/>
    <w:rsid w:val="00602DFA"/>
    <w:rsid w:val="006031D1"/>
    <w:rsid w:val="0060337E"/>
    <w:rsid w:val="006033BF"/>
    <w:rsid w:val="00603702"/>
    <w:rsid w:val="00603B4B"/>
    <w:rsid w:val="00603F20"/>
    <w:rsid w:val="00604F37"/>
    <w:rsid w:val="0060508A"/>
    <w:rsid w:val="006055AF"/>
    <w:rsid w:val="00605942"/>
    <w:rsid w:val="006059C6"/>
    <w:rsid w:val="00605C9F"/>
    <w:rsid w:val="006068E8"/>
    <w:rsid w:val="00606ADB"/>
    <w:rsid w:val="00606C07"/>
    <w:rsid w:val="006072DE"/>
    <w:rsid w:val="006075F4"/>
    <w:rsid w:val="006078A8"/>
    <w:rsid w:val="00607BAD"/>
    <w:rsid w:val="00607EC7"/>
    <w:rsid w:val="0061048A"/>
    <w:rsid w:val="00610959"/>
    <w:rsid w:val="00610AE7"/>
    <w:rsid w:val="00611178"/>
    <w:rsid w:val="0061148D"/>
    <w:rsid w:val="00611D01"/>
    <w:rsid w:val="00611F1E"/>
    <w:rsid w:val="006122EC"/>
    <w:rsid w:val="006124B3"/>
    <w:rsid w:val="00612611"/>
    <w:rsid w:val="0061279A"/>
    <w:rsid w:val="00612C60"/>
    <w:rsid w:val="00613009"/>
    <w:rsid w:val="006132EA"/>
    <w:rsid w:val="00613CA5"/>
    <w:rsid w:val="0061401C"/>
    <w:rsid w:val="0061420B"/>
    <w:rsid w:val="00614BD4"/>
    <w:rsid w:val="00614D33"/>
    <w:rsid w:val="00614F43"/>
    <w:rsid w:val="0061537D"/>
    <w:rsid w:val="0061537F"/>
    <w:rsid w:val="006156D7"/>
    <w:rsid w:val="00615CF1"/>
    <w:rsid w:val="00615DEA"/>
    <w:rsid w:val="00616A60"/>
    <w:rsid w:val="00616D0C"/>
    <w:rsid w:val="00616EE6"/>
    <w:rsid w:val="006171FB"/>
    <w:rsid w:val="00617283"/>
    <w:rsid w:val="00617A2A"/>
    <w:rsid w:val="00617A94"/>
    <w:rsid w:val="006207F4"/>
    <w:rsid w:val="00620C67"/>
    <w:rsid w:val="00621479"/>
    <w:rsid w:val="00621646"/>
    <w:rsid w:val="00621803"/>
    <w:rsid w:val="00621A34"/>
    <w:rsid w:val="006220F1"/>
    <w:rsid w:val="00623E46"/>
    <w:rsid w:val="0062431C"/>
    <w:rsid w:val="00624604"/>
    <w:rsid w:val="00624D2C"/>
    <w:rsid w:val="00624F7F"/>
    <w:rsid w:val="00625145"/>
    <w:rsid w:val="00626768"/>
    <w:rsid w:val="00627402"/>
    <w:rsid w:val="00627474"/>
    <w:rsid w:val="00627CEA"/>
    <w:rsid w:val="00627E37"/>
    <w:rsid w:val="00630480"/>
    <w:rsid w:val="0063058E"/>
    <w:rsid w:val="006305F8"/>
    <w:rsid w:val="0063197B"/>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70E1"/>
    <w:rsid w:val="00637382"/>
    <w:rsid w:val="006375B2"/>
    <w:rsid w:val="006375BB"/>
    <w:rsid w:val="006409EE"/>
    <w:rsid w:val="00640BF7"/>
    <w:rsid w:val="00640FFF"/>
    <w:rsid w:val="00641436"/>
    <w:rsid w:val="00641761"/>
    <w:rsid w:val="006425FC"/>
    <w:rsid w:val="00642631"/>
    <w:rsid w:val="0064289D"/>
    <w:rsid w:val="00642DF5"/>
    <w:rsid w:val="0064304A"/>
    <w:rsid w:val="0064380B"/>
    <w:rsid w:val="00643A4F"/>
    <w:rsid w:val="00643FF5"/>
    <w:rsid w:val="006441FD"/>
    <w:rsid w:val="00644E5A"/>
    <w:rsid w:val="00644F2C"/>
    <w:rsid w:val="00644F8F"/>
    <w:rsid w:val="006450DD"/>
    <w:rsid w:val="00645141"/>
    <w:rsid w:val="00645349"/>
    <w:rsid w:val="00645AEE"/>
    <w:rsid w:val="00646428"/>
    <w:rsid w:val="00646AFD"/>
    <w:rsid w:val="0064707F"/>
    <w:rsid w:val="006471E8"/>
    <w:rsid w:val="00647E7D"/>
    <w:rsid w:val="00647E90"/>
    <w:rsid w:val="00647FA3"/>
    <w:rsid w:val="006500F7"/>
    <w:rsid w:val="00650769"/>
    <w:rsid w:val="006516B7"/>
    <w:rsid w:val="006518E4"/>
    <w:rsid w:val="00651FB8"/>
    <w:rsid w:val="006520D5"/>
    <w:rsid w:val="0065239B"/>
    <w:rsid w:val="00652BA0"/>
    <w:rsid w:val="00653045"/>
    <w:rsid w:val="00653A25"/>
    <w:rsid w:val="00653D93"/>
    <w:rsid w:val="00653FDA"/>
    <w:rsid w:val="006541A0"/>
    <w:rsid w:val="00654C66"/>
    <w:rsid w:val="00654E99"/>
    <w:rsid w:val="00655104"/>
    <w:rsid w:val="0065548F"/>
    <w:rsid w:val="00655633"/>
    <w:rsid w:val="006558D0"/>
    <w:rsid w:val="006559BB"/>
    <w:rsid w:val="00655D93"/>
    <w:rsid w:val="00655E86"/>
    <w:rsid w:val="00656614"/>
    <w:rsid w:val="00656C4D"/>
    <w:rsid w:val="006577CD"/>
    <w:rsid w:val="00657B16"/>
    <w:rsid w:val="00657CCC"/>
    <w:rsid w:val="00660162"/>
    <w:rsid w:val="0066036D"/>
    <w:rsid w:val="006604FA"/>
    <w:rsid w:val="00660879"/>
    <w:rsid w:val="00660B3F"/>
    <w:rsid w:val="006610B1"/>
    <w:rsid w:val="00661639"/>
    <w:rsid w:val="00661655"/>
    <w:rsid w:val="0066174D"/>
    <w:rsid w:val="00661E36"/>
    <w:rsid w:val="0066318A"/>
    <w:rsid w:val="006631D3"/>
    <w:rsid w:val="00663D0F"/>
    <w:rsid w:val="00664525"/>
    <w:rsid w:val="0066465B"/>
    <w:rsid w:val="00664C81"/>
    <w:rsid w:val="0066500E"/>
    <w:rsid w:val="0066521A"/>
    <w:rsid w:val="0066540C"/>
    <w:rsid w:val="00665EAE"/>
    <w:rsid w:val="006661EA"/>
    <w:rsid w:val="00666749"/>
    <w:rsid w:val="00666909"/>
    <w:rsid w:val="00666EBC"/>
    <w:rsid w:val="00667189"/>
    <w:rsid w:val="0066749E"/>
    <w:rsid w:val="00667CCB"/>
    <w:rsid w:val="00667EFD"/>
    <w:rsid w:val="00670475"/>
    <w:rsid w:val="00670B8C"/>
    <w:rsid w:val="00670C4A"/>
    <w:rsid w:val="00671457"/>
    <w:rsid w:val="00671F3E"/>
    <w:rsid w:val="00672482"/>
    <w:rsid w:val="00672A18"/>
    <w:rsid w:val="0067322C"/>
    <w:rsid w:val="006735D0"/>
    <w:rsid w:val="006739E9"/>
    <w:rsid w:val="00674D52"/>
    <w:rsid w:val="00674E43"/>
    <w:rsid w:val="00674F93"/>
    <w:rsid w:val="0067546F"/>
    <w:rsid w:val="00676287"/>
    <w:rsid w:val="00676739"/>
    <w:rsid w:val="006768DD"/>
    <w:rsid w:val="00676CE4"/>
    <w:rsid w:val="00676EC2"/>
    <w:rsid w:val="00676F61"/>
    <w:rsid w:val="00676FA5"/>
    <w:rsid w:val="006771A4"/>
    <w:rsid w:val="006771AD"/>
    <w:rsid w:val="006774A8"/>
    <w:rsid w:val="00677572"/>
    <w:rsid w:val="00680064"/>
    <w:rsid w:val="00681229"/>
    <w:rsid w:val="00681514"/>
    <w:rsid w:val="0068185E"/>
    <w:rsid w:val="00681BE5"/>
    <w:rsid w:val="00681E30"/>
    <w:rsid w:val="0068379B"/>
    <w:rsid w:val="00683D98"/>
    <w:rsid w:val="00683D99"/>
    <w:rsid w:val="00684079"/>
    <w:rsid w:val="0068484C"/>
    <w:rsid w:val="006848EE"/>
    <w:rsid w:val="006856AA"/>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61C"/>
    <w:rsid w:val="00695634"/>
    <w:rsid w:val="00695E9C"/>
    <w:rsid w:val="0069600D"/>
    <w:rsid w:val="006963AE"/>
    <w:rsid w:val="00697053"/>
    <w:rsid w:val="006A02DC"/>
    <w:rsid w:val="006A066A"/>
    <w:rsid w:val="006A06CA"/>
    <w:rsid w:val="006A083E"/>
    <w:rsid w:val="006A0FFD"/>
    <w:rsid w:val="006A1170"/>
    <w:rsid w:val="006A14A3"/>
    <w:rsid w:val="006A159D"/>
    <w:rsid w:val="006A18BF"/>
    <w:rsid w:val="006A1F58"/>
    <w:rsid w:val="006A242E"/>
    <w:rsid w:val="006A26AB"/>
    <w:rsid w:val="006A298D"/>
    <w:rsid w:val="006A2BB4"/>
    <w:rsid w:val="006A2F80"/>
    <w:rsid w:val="006A3FD6"/>
    <w:rsid w:val="006A4076"/>
    <w:rsid w:val="006A436F"/>
    <w:rsid w:val="006A4E5B"/>
    <w:rsid w:val="006A59D8"/>
    <w:rsid w:val="006A6B7B"/>
    <w:rsid w:val="006A78F8"/>
    <w:rsid w:val="006A7C26"/>
    <w:rsid w:val="006A7E27"/>
    <w:rsid w:val="006B010E"/>
    <w:rsid w:val="006B03CA"/>
    <w:rsid w:val="006B091F"/>
    <w:rsid w:val="006B0B1E"/>
    <w:rsid w:val="006B0CAF"/>
    <w:rsid w:val="006B0ED0"/>
    <w:rsid w:val="006B0EED"/>
    <w:rsid w:val="006B147E"/>
    <w:rsid w:val="006B14F8"/>
    <w:rsid w:val="006B1854"/>
    <w:rsid w:val="006B1DF6"/>
    <w:rsid w:val="006B233F"/>
    <w:rsid w:val="006B275E"/>
    <w:rsid w:val="006B28EA"/>
    <w:rsid w:val="006B2AAD"/>
    <w:rsid w:val="006B2DA3"/>
    <w:rsid w:val="006B2FBB"/>
    <w:rsid w:val="006B378A"/>
    <w:rsid w:val="006B3BD5"/>
    <w:rsid w:val="006B4185"/>
    <w:rsid w:val="006B4224"/>
    <w:rsid w:val="006B4493"/>
    <w:rsid w:val="006B453E"/>
    <w:rsid w:val="006B4B62"/>
    <w:rsid w:val="006B53DC"/>
    <w:rsid w:val="006B5423"/>
    <w:rsid w:val="006B558A"/>
    <w:rsid w:val="006B5855"/>
    <w:rsid w:val="006B5AB2"/>
    <w:rsid w:val="006B5BC7"/>
    <w:rsid w:val="006B5C67"/>
    <w:rsid w:val="006B6B5D"/>
    <w:rsid w:val="006B6BF6"/>
    <w:rsid w:val="006B6C0D"/>
    <w:rsid w:val="006B7A88"/>
    <w:rsid w:val="006C166D"/>
    <w:rsid w:val="006C1818"/>
    <w:rsid w:val="006C1F8B"/>
    <w:rsid w:val="006C2721"/>
    <w:rsid w:val="006C2BE5"/>
    <w:rsid w:val="006C316A"/>
    <w:rsid w:val="006C3868"/>
    <w:rsid w:val="006C38FF"/>
    <w:rsid w:val="006C3B4B"/>
    <w:rsid w:val="006C3E6E"/>
    <w:rsid w:val="006C3EEA"/>
    <w:rsid w:val="006C3F92"/>
    <w:rsid w:val="006C42FA"/>
    <w:rsid w:val="006C43A6"/>
    <w:rsid w:val="006C4A4A"/>
    <w:rsid w:val="006C4C9C"/>
    <w:rsid w:val="006C4E89"/>
    <w:rsid w:val="006C5022"/>
    <w:rsid w:val="006C53EB"/>
    <w:rsid w:val="006C5434"/>
    <w:rsid w:val="006C5D29"/>
    <w:rsid w:val="006C650D"/>
    <w:rsid w:val="006C69A5"/>
    <w:rsid w:val="006C76A1"/>
    <w:rsid w:val="006C7740"/>
    <w:rsid w:val="006C7FC6"/>
    <w:rsid w:val="006D0389"/>
    <w:rsid w:val="006D0848"/>
    <w:rsid w:val="006D0BA5"/>
    <w:rsid w:val="006D0C15"/>
    <w:rsid w:val="006D0D8B"/>
    <w:rsid w:val="006D0FBF"/>
    <w:rsid w:val="006D10DC"/>
    <w:rsid w:val="006D1586"/>
    <w:rsid w:val="006D19C1"/>
    <w:rsid w:val="006D2827"/>
    <w:rsid w:val="006D2848"/>
    <w:rsid w:val="006D2B19"/>
    <w:rsid w:val="006D2EC9"/>
    <w:rsid w:val="006D3592"/>
    <w:rsid w:val="006D3A05"/>
    <w:rsid w:val="006D3B62"/>
    <w:rsid w:val="006D3FDF"/>
    <w:rsid w:val="006D4527"/>
    <w:rsid w:val="006D4B05"/>
    <w:rsid w:val="006D4F86"/>
    <w:rsid w:val="006D5F98"/>
    <w:rsid w:val="006D6665"/>
    <w:rsid w:val="006D7098"/>
    <w:rsid w:val="006D740E"/>
    <w:rsid w:val="006D7F72"/>
    <w:rsid w:val="006E00B7"/>
    <w:rsid w:val="006E0E5B"/>
    <w:rsid w:val="006E1659"/>
    <w:rsid w:val="006E3023"/>
    <w:rsid w:val="006E3369"/>
    <w:rsid w:val="006E3D12"/>
    <w:rsid w:val="006E449C"/>
    <w:rsid w:val="006E4726"/>
    <w:rsid w:val="006E4E72"/>
    <w:rsid w:val="006E50D0"/>
    <w:rsid w:val="006E5F41"/>
    <w:rsid w:val="006E64BD"/>
    <w:rsid w:val="006E663E"/>
    <w:rsid w:val="006E6EDF"/>
    <w:rsid w:val="006E7BA5"/>
    <w:rsid w:val="006F01E8"/>
    <w:rsid w:val="006F02D7"/>
    <w:rsid w:val="006F0EBB"/>
    <w:rsid w:val="006F1224"/>
    <w:rsid w:val="006F1E96"/>
    <w:rsid w:val="006F2706"/>
    <w:rsid w:val="006F2D24"/>
    <w:rsid w:val="006F352A"/>
    <w:rsid w:val="006F37F7"/>
    <w:rsid w:val="006F3909"/>
    <w:rsid w:val="006F4036"/>
    <w:rsid w:val="006F428E"/>
    <w:rsid w:val="006F48E1"/>
    <w:rsid w:val="006F4FA0"/>
    <w:rsid w:val="006F5096"/>
    <w:rsid w:val="006F5160"/>
    <w:rsid w:val="006F5374"/>
    <w:rsid w:val="006F60DF"/>
    <w:rsid w:val="006F64DE"/>
    <w:rsid w:val="006F6766"/>
    <w:rsid w:val="006F68C1"/>
    <w:rsid w:val="006F6CE2"/>
    <w:rsid w:val="006F6E10"/>
    <w:rsid w:val="006F6E97"/>
    <w:rsid w:val="00700F57"/>
    <w:rsid w:val="007014F8"/>
    <w:rsid w:val="0070150D"/>
    <w:rsid w:val="007016D2"/>
    <w:rsid w:val="00701782"/>
    <w:rsid w:val="007018D8"/>
    <w:rsid w:val="00701979"/>
    <w:rsid w:val="00701C6E"/>
    <w:rsid w:val="007029E8"/>
    <w:rsid w:val="00703013"/>
    <w:rsid w:val="00703107"/>
    <w:rsid w:val="00703138"/>
    <w:rsid w:val="00703277"/>
    <w:rsid w:val="0070356D"/>
    <w:rsid w:val="00703981"/>
    <w:rsid w:val="00703CDF"/>
    <w:rsid w:val="00703D7E"/>
    <w:rsid w:val="0070495F"/>
    <w:rsid w:val="00704A08"/>
    <w:rsid w:val="00704B6E"/>
    <w:rsid w:val="00704C4F"/>
    <w:rsid w:val="00704F10"/>
    <w:rsid w:val="00704F73"/>
    <w:rsid w:val="0070508D"/>
    <w:rsid w:val="0070542E"/>
    <w:rsid w:val="00705849"/>
    <w:rsid w:val="0070604A"/>
    <w:rsid w:val="007060D4"/>
    <w:rsid w:val="0070624C"/>
    <w:rsid w:val="00706451"/>
    <w:rsid w:val="00707E0F"/>
    <w:rsid w:val="0071068A"/>
    <w:rsid w:val="00710E19"/>
    <w:rsid w:val="00710E52"/>
    <w:rsid w:val="0071154B"/>
    <w:rsid w:val="0071174F"/>
    <w:rsid w:val="0071196A"/>
    <w:rsid w:val="007130CA"/>
    <w:rsid w:val="007131CF"/>
    <w:rsid w:val="007133C0"/>
    <w:rsid w:val="00713613"/>
    <w:rsid w:val="007137C6"/>
    <w:rsid w:val="007138FC"/>
    <w:rsid w:val="0071393D"/>
    <w:rsid w:val="00713E79"/>
    <w:rsid w:val="00714073"/>
    <w:rsid w:val="00714245"/>
    <w:rsid w:val="00715441"/>
    <w:rsid w:val="00715739"/>
    <w:rsid w:val="0071576C"/>
    <w:rsid w:val="00715C94"/>
    <w:rsid w:val="007165F0"/>
    <w:rsid w:val="00716A09"/>
    <w:rsid w:val="007170DB"/>
    <w:rsid w:val="007170E4"/>
    <w:rsid w:val="00717880"/>
    <w:rsid w:val="00717CA8"/>
    <w:rsid w:val="007205E7"/>
    <w:rsid w:val="007209C4"/>
    <w:rsid w:val="00721E9E"/>
    <w:rsid w:val="007227FE"/>
    <w:rsid w:val="0072323F"/>
    <w:rsid w:val="007233C3"/>
    <w:rsid w:val="007238D7"/>
    <w:rsid w:val="00723C95"/>
    <w:rsid w:val="00724456"/>
    <w:rsid w:val="007244E7"/>
    <w:rsid w:val="0072505F"/>
    <w:rsid w:val="00725B00"/>
    <w:rsid w:val="0072680C"/>
    <w:rsid w:val="00726B3D"/>
    <w:rsid w:val="00726C64"/>
    <w:rsid w:val="007302C6"/>
    <w:rsid w:val="00730FB0"/>
    <w:rsid w:val="007310B7"/>
    <w:rsid w:val="00731237"/>
    <w:rsid w:val="00731828"/>
    <w:rsid w:val="00731A22"/>
    <w:rsid w:val="0073207E"/>
    <w:rsid w:val="00732523"/>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7DB"/>
    <w:rsid w:val="00740BFC"/>
    <w:rsid w:val="00740F76"/>
    <w:rsid w:val="00741037"/>
    <w:rsid w:val="007422B3"/>
    <w:rsid w:val="007424BF"/>
    <w:rsid w:val="007435F1"/>
    <w:rsid w:val="00743DDD"/>
    <w:rsid w:val="00744625"/>
    <w:rsid w:val="007446BB"/>
    <w:rsid w:val="00744AF1"/>
    <w:rsid w:val="00745882"/>
    <w:rsid w:val="00745A04"/>
    <w:rsid w:val="00745A0F"/>
    <w:rsid w:val="00745DFD"/>
    <w:rsid w:val="00746197"/>
    <w:rsid w:val="0074689C"/>
    <w:rsid w:val="00746B3F"/>
    <w:rsid w:val="00747117"/>
    <w:rsid w:val="007479C2"/>
    <w:rsid w:val="00747B0D"/>
    <w:rsid w:val="007503EA"/>
    <w:rsid w:val="00751452"/>
    <w:rsid w:val="007521A5"/>
    <w:rsid w:val="00752488"/>
    <w:rsid w:val="00753959"/>
    <w:rsid w:val="00753DD6"/>
    <w:rsid w:val="00754A4A"/>
    <w:rsid w:val="007566FB"/>
    <w:rsid w:val="007567A8"/>
    <w:rsid w:val="00756D6A"/>
    <w:rsid w:val="0076043F"/>
    <w:rsid w:val="00760D17"/>
    <w:rsid w:val="00760F66"/>
    <w:rsid w:val="007611F8"/>
    <w:rsid w:val="00761200"/>
    <w:rsid w:val="00761931"/>
    <w:rsid w:val="00761BD1"/>
    <w:rsid w:val="007627BA"/>
    <w:rsid w:val="0076291E"/>
    <w:rsid w:val="00762C76"/>
    <w:rsid w:val="00762D81"/>
    <w:rsid w:val="0076317B"/>
    <w:rsid w:val="007643D5"/>
    <w:rsid w:val="00765366"/>
    <w:rsid w:val="00765914"/>
    <w:rsid w:val="0076614D"/>
    <w:rsid w:val="0076624C"/>
    <w:rsid w:val="0076627D"/>
    <w:rsid w:val="00766304"/>
    <w:rsid w:val="007665D3"/>
    <w:rsid w:val="00767A28"/>
    <w:rsid w:val="00767DD2"/>
    <w:rsid w:val="00770264"/>
    <w:rsid w:val="0077082B"/>
    <w:rsid w:val="00770E60"/>
    <w:rsid w:val="00771594"/>
    <w:rsid w:val="00771C8F"/>
    <w:rsid w:val="0077266E"/>
    <w:rsid w:val="0077292E"/>
    <w:rsid w:val="00772A5F"/>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E7E"/>
    <w:rsid w:val="00777EFA"/>
    <w:rsid w:val="007804DD"/>
    <w:rsid w:val="00780EC1"/>
    <w:rsid w:val="00780F3B"/>
    <w:rsid w:val="0078115B"/>
    <w:rsid w:val="007816EE"/>
    <w:rsid w:val="00782071"/>
    <w:rsid w:val="00782783"/>
    <w:rsid w:val="00782946"/>
    <w:rsid w:val="00782ECD"/>
    <w:rsid w:val="00783079"/>
    <w:rsid w:val="0078363B"/>
    <w:rsid w:val="00783CCF"/>
    <w:rsid w:val="00783F5B"/>
    <w:rsid w:val="00784609"/>
    <w:rsid w:val="00784720"/>
    <w:rsid w:val="0078481D"/>
    <w:rsid w:val="00784D91"/>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F28"/>
    <w:rsid w:val="007944D2"/>
    <w:rsid w:val="00794AC7"/>
    <w:rsid w:val="00794B19"/>
    <w:rsid w:val="00794FFA"/>
    <w:rsid w:val="00795B8D"/>
    <w:rsid w:val="00795E34"/>
    <w:rsid w:val="00795F0E"/>
    <w:rsid w:val="007974BA"/>
    <w:rsid w:val="00797D8F"/>
    <w:rsid w:val="007A0C00"/>
    <w:rsid w:val="007A0E15"/>
    <w:rsid w:val="007A176E"/>
    <w:rsid w:val="007A19BF"/>
    <w:rsid w:val="007A2A69"/>
    <w:rsid w:val="007A2CF1"/>
    <w:rsid w:val="007A3579"/>
    <w:rsid w:val="007A384E"/>
    <w:rsid w:val="007A3EDF"/>
    <w:rsid w:val="007A41B5"/>
    <w:rsid w:val="007A4486"/>
    <w:rsid w:val="007A4682"/>
    <w:rsid w:val="007A5879"/>
    <w:rsid w:val="007A58A8"/>
    <w:rsid w:val="007A5BDC"/>
    <w:rsid w:val="007A629D"/>
    <w:rsid w:val="007A6610"/>
    <w:rsid w:val="007A6D51"/>
    <w:rsid w:val="007A6DD3"/>
    <w:rsid w:val="007A6FF3"/>
    <w:rsid w:val="007A7120"/>
    <w:rsid w:val="007A7169"/>
    <w:rsid w:val="007A71DC"/>
    <w:rsid w:val="007A7A04"/>
    <w:rsid w:val="007B04FF"/>
    <w:rsid w:val="007B0976"/>
    <w:rsid w:val="007B0CAC"/>
    <w:rsid w:val="007B1232"/>
    <w:rsid w:val="007B15F3"/>
    <w:rsid w:val="007B1701"/>
    <w:rsid w:val="007B1C32"/>
    <w:rsid w:val="007B1DBB"/>
    <w:rsid w:val="007B1E0F"/>
    <w:rsid w:val="007B2319"/>
    <w:rsid w:val="007B2FBF"/>
    <w:rsid w:val="007B3E13"/>
    <w:rsid w:val="007B4044"/>
    <w:rsid w:val="007B4046"/>
    <w:rsid w:val="007B4300"/>
    <w:rsid w:val="007B565C"/>
    <w:rsid w:val="007B595F"/>
    <w:rsid w:val="007B5D75"/>
    <w:rsid w:val="007B6D5E"/>
    <w:rsid w:val="007B7115"/>
    <w:rsid w:val="007B736B"/>
    <w:rsid w:val="007C012E"/>
    <w:rsid w:val="007C055A"/>
    <w:rsid w:val="007C0853"/>
    <w:rsid w:val="007C0B06"/>
    <w:rsid w:val="007C0C90"/>
    <w:rsid w:val="007C0E07"/>
    <w:rsid w:val="007C0E86"/>
    <w:rsid w:val="007C249E"/>
    <w:rsid w:val="007C26CF"/>
    <w:rsid w:val="007C271B"/>
    <w:rsid w:val="007C2C14"/>
    <w:rsid w:val="007C3A55"/>
    <w:rsid w:val="007C3D67"/>
    <w:rsid w:val="007C404B"/>
    <w:rsid w:val="007C4166"/>
    <w:rsid w:val="007C44E1"/>
    <w:rsid w:val="007C48DD"/>
    <w:rsid w:val="007C4A05"/>
    <w:rsid w:val="007C5205"/>
    <w:rsid w:val="007C5711"/>
    <w:rsid w:val="007C57B9"/>
    <w:rsid w:val="007C6325"/>
    <w:rsid w:val="007C73A3"/>
    <w:rsid w:val="007C7975"/>
    <w:rsid w:val="007C7EF5"/>
    <w:rsid w:val="007D0227"/>
    <w:rsid w:val="007D06AC"/>
    <w:rsid w:val="007D0741"/>
    <w:rsid w:val="007D0A53"/>
    <w:rsid w:val="007D0FFC"/>
    <w:rsid w:val="007D1013"/>
    <w:rsid w:val="007D140E"/>
    <w:rsid w:val="007D19EC"/>
    <w:rsid w:val="007D1B28"/>
    <w:rsid w:val="007D2608"/>
    <w:rsid w:val="007D30C3"/>
    <w:rsid w:val="007D35AC"/>
    <w:rsid w:val="007D36B1"/>
    <w:rsid w:val="007D36D7"/>
    <w:rsid w:val="007D3BA1"/>
    <w:rsid w:val="007D3EC8"/>
    <w:rsid w:val="007D40AC"/>
    <w:rsid w:val="007D4317"/>
    <w:rsid w:val="007D4C12"/>
    <w:rsid w:val="007D57E0"/>
    <w:rsid w:val="007D5962"/>
    <w:rsid w:val="007D5A2B"/>
    <w:rsid w:val="007D6213"/>
    <w:rsid w:val="007D63B2"/>
    <w:rsid w:val="007D651D"/>
    <w:rsid w:val="007D71B7"/>
    <w:rsid w:val="007D7C66"/>
    <w:rsid w:val="007D7CF3"/>
    <w:rsid w:val="007E0274"/>
    <w:rsid w:val="007E02A7"/>
    <w:rsid w:val="007E0358"/>
    <w:rsid w:val="007E0415"/>
    <w:rsid w:val="007E0991"/>
    <w:rsid w:val="007E0B2C"/>
    <w:rsid w:val="007E0BD1"/>
    <w:rsid w:val="007E107F"/>
    <w:rsid w:val="007E2FD7"/>
    <w:rsid w:val="007E310B"/>
    <w:rsid w:val="007E3275"/>
    <w:rsid w:val="007E38DA"/>
    <w:rsid w:val="007E3D65"/>
    <w:rsid w:val="007E3EE2"/>
    <w:rsid w:val="007E47E7"/>
    <w:rsid w:val="007E4A98"/>
    <w:rsid w:val="007E4EB6"/>
    <w:rsid w:val="007E5DD7"/>
    <w:rsid w:val="007E6B8C"/>
    <w:rsid w:val="007E6FB9"/>
    <w:rsid w:val="007E7139"/>
    <w:rsid w:val="007E7366"/>
    <w:rsid w:val="007E7EA1"/>
    <w:rsid w:val="007E7EA4"/>
    <w:rsid w:val="007F03CE"/>
    <w:rsid w:val="007F04D3"/>
    <w:rsid w:val="007F137D"/>
    <w:rsid w:val="007F17B5"/>
    <w:rsid w:val="007F2D8D"/>
    <w:rsid w:val="007F2EBF"/>
    <w:rsid w:val="007F3044"/>
    <w:rsid w:val="007F3249"/>
    <w:rsid w:val="007F3704"/>
    <w:rsid w:val="007F41FC"/>
    <w:rsid w:val="007F4657"/>
    <w:rsid w:val="007F4A02"/>
    <w:rsid w:val="007F5609"/>
    <w:rsid w:val="007F5625"/>
    <w:rsid w:val="007F568A"/>
    <w:rsid w:val="007F59F7"/>
    <w:rsid w:val="007F5E21"/>
    <w:rsid w:val="007F6413"/>
    <w:rsid w:val="007F676E"/>
    <w:rsid w:val="007F6B11"/>
    <w:rsid w:val="007F6E2B"/>
    <w:rsid w:val="007F7033"/>
    <w:rsid w:val="007F7D12"/>
    <w:rsid w:val="007F7F02"/>
    <w:rsid w:val="00800258"/>
    <w:rsid w:val="00800C97"/>
    <w:rsid w:val="0080220F"/>
    <w:rsid w:val="008026A7"/>
    <w:rsid w:val="00802735"/>
    <w:rsid w:val="008028C2"/>
    <w:rsid w:val="00802DDB"/>
    <w:rsid w:val="00802FC1"/>
    <w:rsid w:val="00803445"/>
    <w:rsid w:val="008037D8"/>
    <w:rsid w:val="00803B7E"/>
    <w:rsid w:val="00803DA6"/>
    <w:rsid w:val="008040D9"/>
    <w:rsid w:val="0080436E"/>
    <w:rsid w:val="00804937"/>
    <w:rsid w:val="00804C02"/>
    <w:rsid w:val="00804E1E"/>
    <w:rsid w:val="00804E43"/>
    <w:rsid w:val="008050F5"/>
    <w:rsid w:val="0080519C"/>
    <w:rsid w:val="0080553F"/>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1C61"/>
    <w:rsid w:val="008227B7"/>
    <w:rsid w:val="008234D2"/>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0DD6"/>
    <w:rsid w:val="008313E0"/>
    <w:rsid w:val="008317EC"/>
    <w:rsid w:val="0083195D"/>
    <w:rsid w:val="00831B7B"/>
    <w:rsid w:val="00831D90"/>
    <w:rsid w:val="008324F3"/>
    <w:rsid w:val="00832691"/>
    <w:rsid w:val="0083296B"/>
    <w:rsid w:val="00832B8A"/>
    <w:rsid w:val="00833547"/>
    <w:rsid w:val="00833852"/>
    <w:rsid w:val="00833967"/>
    <w:rsid w:val="00833AB9"/>
    <w:rsid w:val="00833B62"/>
    <w:rsid w:val="0083436A"/>
    <w:rsid w:val="00834820"/>
    <w:rsid w:val="00834C82"/>
    <w:rsid w:val="00834DB6"/>
    <w:rsid w:val="00834F93"/>
    <w:rsid w:val="00835F72"/>
    <w:rsid w:val="00840C4A"/>
    <w:rsid w:val="008411B9"/>
    <w:rsid w:val="0084122F"/>
    <w:rsid w:val="00841573"/>
    <w:rsid w:val="00841D08"/>
    <w:rsid w:val="00842D43"/>
    <w:rsid w:val="0084323E"/>
    <w:rsid w:val="00843D50"/>
    <w:rsid w:val="008441D9"/>
    <w:rsid w:val="0084464E"/>
    <w:rsid w:val="00844D85"/>
    <w:rsid w:val="008458BF"/>
    <w:rsid w:val="00846262"/>
    <w:rsid w:val="00846370"/>
    <w:rsid w:val="008463E8"/>
    <w:rsid w:val="00847665"/>
    <w:rsid w:val="008478B7"/>
    <w:rsid w:val="00847925"/>
    <w:rsid w:val="00847BC5"/>
    <w:rsid w:val="00847F11"/>
    <w:rsid w:val="00850010"/>
    <w:rsid w:val="008503F4"/>
    <w:rsid w:val="008504A0"/>
    <w:rsid w:val="00850996"/>
    <w:rsid w:val="00850AC1"/>
    <w:rsid w:val="00850C2A"/>
    <w:rsid w:val="00850DFA"/>
    <w:rsid w:val="00851331"/>
    <w:rsid w:val="008516D1"/>
    <w:rsid w:val="00851CC8"/>
    <w:rsid w:val="00852003"/>
    <w:rsid w:val="0085212C"/>
    <w:rsid w:val="0085223F"/>
    <w:rsid w:val="008529FD"/>
    <w:rsid w:val="00852F9E"/>
    <w:rsid w:val="008539BA"/>
    <w:rsid w:val="00854053"/>
    <w:rsid w:val="008543AC"/>
    <w:rsid w:val="008548B8"/>
    <w:rsid w:val="00854965"/>
    <w:rsid w:val="008554D1"/>
    <w:rsid w:val="00855897"/>
    <w:rsid w:val="008558E0"/>
    <w:rsid w:val="008569E0"/>
    <w:rsid w:val="0085745B"/>
    <w:rsid w:val="00857AF7"/>
    <w:rsid w:val="00857BE5"/>
    <w:rsid w:val="00860109"/>
    <w:rsid w:val="008601BD"/>
    <w:rsid w:val="00860359"/>
    <w:rsid w:val="00860E43"/>
    <w:rsid w:val="00861252"/>
    <w:rsid w:val="0086171A"/>
    <w:rsid w:val="0086226C"/>
    <w:rsid w:val="00863C07"/>
    <w:rsid w:val="008640B7"/>
    <w:rsid w:val="00864379"/>
    <w:rsid w:val="008644A4"/>
    <w:rsid w:val="00864A6C"/>
    <w:rsid w:val="00864BB1"/>
    <w:rsid w:val="00864DF7"/>
    <w:rsid w:val="00865262"/>
    <w:rsid w:val="00865278"/>
    <w:rsid w:val="008654F9"/>
    <w:rsid w:val="008658C0"/>
    <w:rsid w:val="00866388"/>
    <w:rsid w:val="00866FE3"/>
    <w:rsid w:val="0086722D"/>
    <w:rsid w:val="00867459"/>
    <w:rsid w:val="00867D56"/>
    <w:rsid w:val="00867D70"/>
    <w:rsid w:val="0087018F"/>
    <w:rsid w:val="00870646"/>
    <w:rsid w:val="008706C3"/>
    <w:rsid w:val="00870BAA"/>
    <w:rsid w:val="00870D91"/>
    <w:rsid w:val="008716D1"/>
    <w:rsid w:val="008716ED"/>
    <w:rsid w:val="008718AD"/>
    <w:rsid w:val="0087193F"/>
    <w:rsid w:val="008724E6"/>
    <w:rsid w:val="008728C8"/>
    <w:rsid w:val="00872947"/>
    <w:rsid w:val="00873205"/>
    <w:rsid w:val="008735E8"/>
    <w:rsid w:val="00873662"/>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77940"/>
    <w:rsid w:val="0087796A"/>
    <w:rsid w:val="00880017"/>
    <w:rsid w:val="00880305"/>
    <w:rsid w:val="0088088A"/>
    <w:rsid w:val="00880A3F"/>
    <w:rsid w:val="00880EE2"/>
    <w:rsid w:val="00881155"/>
    <w:rsid w:val="008813BC"/>
    <w:rsid w:val="00881732"/>
    <w:rsid w:val="008818A2"/>
    <w:rsid w:val="00881E5C"/>
    <w:rsid w:val="00881FF9"/>
    <w:rsid w:val="0088213D"/>
    <w:rsid w:val="008821C6"/>
    <w:rsid w:val="0088243D"/>
    <w:rsid w:val="0088251A"/>
    <w:rsid w:val="00882530"/>
    <w:rsid w:val="0088288C"/>
    <w:rsid w:val="00882D28"/>
    <w:rsid w:val="00883A67"/>
    <w:rsid w:val="008848E9"/>
    <w:rsid w:val="00884FD8"/>
    <w:rsid w:val="00885244"/>
    <w:rsid w:val="008857C7"/>
    <w:rsid w:val="008858B3"/>
    <w:rsid w:val="00885BF6"/>
    <w:rsid w:val="008866CF"/>
    <w:rsid w:val="00886782"/>
    <w:rsid w:val="008869A1"/>
    <w:rsid w:val="00886B3F"/>
    <w:rsid w:val="008878B9"/>
    <w:rsid w:val="0089015D"/>
    <w:rsid w:val="0089021A"/>
    <w:rsid w:val="0089022E"/>
    <w:rsid w:val="00890475"/>
    <w:rsid w:val="00890A7C"/>
    <w:rsid w:val="00890D11"/>
    <w:rsid w:val="008910EE"/>
    <w:rsid w:val="00891A26"/>
    <w:rsid w:val="00891BCE"/>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55D"/>
    <w:rsid w:val="00896784"/>
    <w:rsid w:val="00896C56"/>
    <w:rsid w:val="00896CB9"/>
    <w:rsid w:val="00897051"/>
    <w:rsid w:val="00897824"/>
    <w:rsid w:val="00897BCB"/>
    <w:rsid w:val="00897C07"/>
    <w:rsid w:val="00897DBA"/>
    <w:rsid w:val="008A02FA"/>
    <w:rsid w:val="008A06A8"/>
    <w:rsid w:val="008A0BCE"/>
    <w:rsid w:val="008A1AAC"/>
    <w:rsid w:val="008A20CA"/>
    <w:rsid w:val="008A239B"/>
    <w:rsid w:val="008A23AB"/>
    <w:rsid w:val="008A28B6"/>
    <w:rsid w:val="008A2956"/>
    <w:rsid w:val="008A2EA1"/>
    <w:rsid w:val="008A2EF6"/>
    <w:rsid w:val="008A3480"/>
    <w:rsid w:val="008A3642"/>
    <w:rsid w:val="008A3C36"/>
    <w:rsid w:val="008A4F3C"/>
    <w:rsid w:val="008A51AD"/>
    <w:rsid w:val="008A53BA"/>
    <w:rsid w:val="008A551D"/>
    <w:rsid w:val="008A56BA"/>
    <w:rsid w:val="008A570A"/>
    <w:rsid w:val="008A58E4"/>
    <w:rsid w:val="008A58E7"/>
    <w:rsid w:val="008A5C1D"/>
    <w:rsid w:val="008A615A"/>
    <w:rsid w:val="008A6357"/>
    <w:rsid w:val="008A64AA"/>
    <w:rsid w:val="008A650C"/>
    <w:rsid w:val="008A66E1"/>
    <w:rsid w:val="008A6A36"/>
    <w:rsid w:val="008A6CB9"/>
    <w:rsid w:val="008A6DC1"/>
    <w:rsid w:val="008A6DD4"/>
    <w:rsid w:val="008A7083"/>
    <w:rsid w:val="008A7100"/>
    <w:rsid w:val="008A7139"/>
    <w:rsid w:val="008A776D"/>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EE"/>
    <w:rsid w:val="008B6793"/>
    <w:rsid w:val="008B6E87"/>
    <w:rsid w:val="008B7588"/>
    <w:rsid w:val="008B75C2"/>
    <w:rsid w:val="008B787A"/>
    <w:rsid w:val="008C0A89"/>
    <w:rsid w:val="008C0CBD"/>
    <w:rsid w:val="008C0E71"/>
    <w:rsid w:val="008C1852"/>
    <w:rsid w:val="008C2AF0"/>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7373"/>
    <w:rsid w:val="008C742A"/>
    <w:rsid w:val="008C74C7"/>
    <w:rsid w:val="008C76A5"/>
    <w:rsid w:val="008C7714"/>
    <w:rsid w:val="008C7F4F"/>
    <w:rsid w:val="008D007F"/>
    <w:rsid w:val="008D00F3"/>
    <w:rsid w:val="008D03C3"/>
    <w:rsid w:val="008D0F27"/>
    <w:rsid w:val="008D11F0"/>
    <w:rsid w:val="008D15A2"/>
    <w:rsid w:val="008D1839"/>
    <w:rsid w:val="008D18CD"/>
    <w:rsid w:val="008D1F86"/>
    <w:rsid w:val="008D20E0"/>
    <w:rsid w:val="008D2B6E"/>
    <w:rsid w:val="008D2C5D"/>
    <w:rsid w:val="008D335C"/>
    <w:rsid w:val="008D35B7"/>
    <w:rsid w:val="008D36BE"/>
    <w:rsid w:val="008D4007"/>
    <w:rsid w:val="008D436A"/>
    <w:rsid w:val="008D46D3"/>
    <w:rsid w:val="008D4C72"/>
    <w:rsid w:val="008D4CF8"/>
    <w:rsid w:val="008D5291"/>
    <w:rsid w:val="008D5368"/>
    <w:rsid w:val="008D561B"/>
    <w:rsid w:val="008D582B"/>
    <w:rsid w:val="008D5CF9"/>
    <w:rsid w:val="008D5D0A"/>
    <w:rsid w:val="008D6794"/>
    <w:rsid w:val="008D7F65"/>
    <w:rsid w:val="008E00C1"/>
    <w:rsid w:val="008E0178"/>
    <w:rsid w:val="008E02F8"/>
    <w:rsid w:val="008E12AF"/>
    <w:rsid w:val="008E1342"/>
    <w:rsid w:val="008E17F3"/>
    <w:rsid w:val="008E1DC9"/>
    <w:rsid w:val="008E1F11"/>
    <w:rsid w:val="008E211C"/>
    <w:rsid w:val="008E24E4"/>
    <w:rsid w:val="008E25C5"/>
    <w:rsid w:val="008E28EC"/>
    <w:rsid w:val="008E2BB3"/>
    <w:rsid w:val="008E2BC5"/>
    <w:rsid w:val="008E2C79"/>
    <w:rsid w:val="008E3176"/>
    <w:rsid w:val="008E3564"/>
    <w:rsid w:val="008E3A0B"/>
    <w:rsid w:val="008E3A90"/>
    <w:rsid w:val="008E3AAB"/>
    <w:rsid w:val="008E4043"/>
    <w:rsid w:val="008E4520"/>
    <w:rsid w:val="008E54E8"/>
    <w:rsid w:val="008E5740"/>
    <w:rsid w:val="008E5868"/>
    <w:rsid w:val="008E5ADB"/>
    <w:rsid w:val="008E5DC8"/>
    <w:rsid w:val="008E6465"/>
    <w:rsid w:val="008E6C57"/>
    <w:rsid w:val="008E7082"/>
    <w:rsid w:val="008E72AF"/>
    <w:rsid w:val="008F069E"/>
    <w:rsid w:val="008F0952"/>
    <w:rsid w:val="008F1154"/>
    <w:rsid w:val="008F1B84"/>
    <w:rsid w:val="008F1B9D"/>
    <w:rsid w:val="008F1DB6"/>
    <w:rsid w:val="008F32B6"/>
    <w:rsid w:val="008F337C"/>
    <w:rsid w:val="008F3563"/>
    <w:rsid w:val="008F39C0"/>
    <w:rsid w:val="008F39E4"/>
    <w:rsid w:val="008F57CD"/>
    <w:rsid w:val="008F5960"/>
    <w:rsid w:val="008F5CD0"/>
    <w:rsid w:val="008F629A"/>
    <w:rsid w:val="008F6A9B"/>
    <w:rsid w:val="008F6F03"/>
    <w:rsid w:val="008F7603"/>
    <w:rsid w:val="008F769D"/>
    <w:rsid w:val="008F76B7"/>
    <w:rsid w:val="008F76DC"/>
    <w:rsid w:val="008F775F"/>
    <w:rsid w:val="008F7D2F"/>
    <w:rsid w:val="009013C5"/>
    <w:rsid w:val="0090147B"/>
    <w:rsid w:val="00901649"/>
    <w:rsid w:val="009019D7"/>
    <w:rsid w:val="00901CBA"/>
    <w:rsid w:val="00901DC6"/>
    <w:rsid w:val="009021DC"/>
    <w:rsid w:val="0090254E"/>
    <w:rsid w:val="00903026"/>
    <w:rsid w:val="0090357B"/>
    <w:rsid w:val="00903832"/>
    <w:rsid w:val="009042D0"/>
    <w:rsid w:val="009044BE"/>
    <w:rsid w:val="009048EB"/>
    <w:rsid w:val="00904913"/>
    <w:rsid w:val="00904B8A"/>
    <w:rsid w:val="00904C15"/>
    <w:rsid w:val="009050B3"/>
    <w:rsid w:val="00905298"/>
    <w:rsid w:val="00905945"/>
    <w:rsid w:val="00905FEB"/>
    <w:rsid w:val="00906164"/>
    <w:rsid w:val="00906252"/>
    <w:rsid w:val="0090672E"/>
    <w:rsid w:val="009068C6"/>
    <w:rsid w:val="00906A4F"/>
    <w:rsid w:val="00906BD6"/>
    <w:rsid w:val="00907074"/>
    <w:rsid w:val="009073C7"/>
    <w:rsid w:val="009078BA"/>
    <w:rsid w:val="009079C7"/>
    <w:rsid w:val="009079F7"/>
    <w:rsid w:val="00907B44"/>
    <w:rsid w:val="00907C33"/>
    <w:rsid w:val="00907DB8"/>
    <w:rsid w:val="009108D2"/>
    <w:rsid w:val="00910C20"/>
    <w:rsid w:val="00910FE1"/>
    <w:rsid w:val="0091106A"/>
    <w:rsid w:val="00911C09"/>
    <w:rsid w:val="00911D1C"/>
    <w:rsid w:val="00912F38"/>
    <w:rsid w:val="0091340D"/>
    <w:rsid w:val="00913C58"/>
    <w:rsid w:val="009140B4"/>
    <w:rsid w:val="00914174"/>
    <w:rsid w:val="0091428A"/>
    <w:rsid w:val="00914733"/>
    <w:rsid w:val="0091495E"/>
    <w:rsid w:val="00914AA5"/>
    <w:rsid w:val="009162DD"/>
    <w:rsid w:val="009163E7"/>
    <w:rsid w:val="0091671A"/>
    <w:rsid w:val="009169F6"/>
    <w:rsid w:val="0091719D"/>
    <w:rsid w:val="00917903"/>
    <w:rsid w:val="00917BEA"/>
    <w:rsid w:val="00917DF0"/>
    <w:rsid w:val="00920189"/>
    <w:rsid w:val="00920203"/>
    <w:rsid w:val="009203A2"/>
    <w:rsid w:val="00920997"/>
    <w:rsid w:val="00920B1E"/>
    <w:rsid w:val="00920DD5"/>
    <w:rsid w:val="00921161"/>
    <w:rsid w:val="0092128B"/>
    <w:rsid w:val="00922492"/>
    <w:rsid w:val="009224EB"/>
    <w:rsid w:val="0092272F"/>
    <w:rsid w:val="00922BE2"/>
    <w:rsid w:val="00922EDE"/>
    <w:rsid w:val="009237D9"/>
    <w:rsid w:val="0092406C"/>
    <w:rsid w:val="00924096"/>
    <w:rsid w:val="009243BC"/>
    <w:rsid w:val="009244D5"/>
    <w:rsid w:val="0092523A"/>
    <w:rsid w:val="009252F1"/>
    <w:rsid w:val="00925588"/>
    <w:rsid w:val="00925A0E"/>
    <w:rsid w:val="00925AF5"/>
    <w:rsid w:val="009261FC"/>
    <w:rsid w:val="00926268"/>
    <w:rsid w:val="00926416"/>
    <w:rsid w:val="009264A2"/>
    <w:rsid w:val="0092715D"/>
    <w:rsid w:val="00927299"/>
    <w:rsid w:val="00927585"/>
    <w:rsid w:val="00930632"/>
    <w:rsid w:val="009310BC"/>
    <w:rsid w:val="00931D3F"/>
    <w:rsid w:val="009324C4"/>
    <w:rsid w:val="00932671"/>
    <w:rsid w:val="00932A7A"/>
    <w:rsid w:val="00932D26"/>
    <w:rsid w:val="00932D49"/>
    <w:rsid w:val="009330BF"/>
    <w:rsid w:val="00933817"/>
    <w:rsid w:val="00933EE7"/>
    <w:rsid w:val="00934510"/>
    <w:rsid w:val="0093476C"/>
    <w:rsid w:val="00935A1E"/>
    <w:rsid w:val="00935AA3"/>
    <w:rsid w:val="00935B7C"/>
    <w:rsid w:val="00935BC9"/>
    <w:rsid w:val="00935E3A"/>
    <w:rsid w:val="00936005"/>
    <w:rsid w:val="0093607C"/>
    <w:rsid w:val="00940008"/>
    <w:rsid w:val="00940FFA"/>
    <w:rsid w:val="00941503"/>
    <w:rsid w:val="0094185F"/>
    <w:rsid w:val="0094187D"/>
    <w:rsid w:val="00941A4A"/>
    <w:rsid w:val="009423ED"/>
    <w:rsid w:val="00942C90"/>
    <w:rsid w:val="00942F29"/>
    <w:rsid w:val="00942FB6"/>
    <w:rsid w:val="009430E1"/>
    <w:rsid w:val="009434EB"/>
    <w:rsid w:val="00943EA6"/>
    <w:rsid w:val="009443F2"/>
    <w:rsid w:val="00944510"/>
    <w:rsid w:val="009448F2"/>
    <w:rsid w:val="009451E0"/>
    <w:rsid w:val="0094524B"/>
    <w:rsid w:val="009456E3"/>
    <w:rsid w:val="00945759"/>
    <w:rsid w:val="00945925"/>
    <w:rsid w:val="00945949"/>
    <w:rsid w:val="009466E9"/>
    <w:rsid w:val="00946CB3"/>
    <w:rsid w:val="00946D20"/>
    <w:rsid w:val="00946E51"/>
    <w:rsid w:val="009470FE"/>
    <w:rsid w:val="009473F4"/>
    <w:rsid w:val="0094767D"/>
    <w:rsid w:val="00947EB9"/>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48C"/>
    <w:rsid w:val="00954AF9"/>
    <w:rsid w:val="00954DAE"/>
    <w:rsid w:val="00955410"/>
    <w:rsid w:val="009554D9"/>
    <w:rsid w:val="009558EE"/>
    <w:rsid w:val="009559D5"/>
    <w:rsid w:val="00955C17"/>
    <w:rsid w:val="00955FFA"/>
    <w:rsid w:val="00956170"/>
    <w:rsid w:val="00956BA1"/>
    <w:rsid w:val="00956D42"/>
    <w:rsid w:val="00956F0F"/>
    <w:rsid w:val="0095727F"/>
    <w:rsid w:val="009572AF"/>
    <w:rsid w:val="00957E41"/>
    <w:rsid w:val="0096016E"/>
    <w:rsid w:val="0096023A"/>
    <w:rsid w:val="009607AB"/>
    <w:rsid w:val="00961154"/>
    <w:rsid w:val="009615DB"/>
    <w:rsid w:val="00962683"/>
    <w:rsid w:val="00962E23"/>
    <w:rsid w:val="009633ED"/>
    <w:rsid w:val="0096487C"/>
    <w:rsid w:val="00964B45"/>
    <w:rsid w:val="00964BC2"/>
    <w:rsid w:val="00964D4A"/>
    <w:rsid w:val="00964EAE"/>
    <w:rsid w:val="00965023"/>
    <w:rsid w:val="009650B7"/>
    <w:rsid w:val="0096515D"/>
    <w:rsid w:val="00965841"/>
    <w:rsid w:val="00966623"/>
    <w:rsid w:val="009678DB"/>
    <w:rsid w:val="00970728"/>
    <w:rsid w:val="009707C9"/>
    <w:rsid w:val="00971303"/>
    <w:rsid w:val="00971615"/>
    <w:rsid w:val="00971E0B"/>
    <w:rsid w:val="00972101"/>
    <w:rsid w:val="00972285"/>
    <w:rsid w:val="009723CC"/>
    <w:rsid w:val="00972FB5"/>
    <w:rsid w:val="00973607"/>
    <w:rsid w:val="009736FE"/>
    <w:rsid w:val="00973B96"/>
    <w:rsid w:val="00973E3C"/>
    <w:rsid w:val="00974763"/>
    <w:rsid w:val="009757CA"/>
    <w:rsid w:val="0097617E"/>
    <w:rsid w:val="00976E76"/>
    <w:rsid w:val="00977A14"/>
    <w:rsid w:val="00977E9B"/>
    <w:rsid w:val="009805D6"/>
    <w:rsid w:val="009807BF"/>
    <w:rsid w:val="009809CE"/>
    <w:rsid w:val="0098131F"/>
    <w:rsid w:val="00981479"/>
    <w:rsid w:val="009814DA"/>
    <w:rsid w:val="00981614"/>
    <w:rsid w:val="00981BB4"/>
    <w:rsid w:val="00981F74"/>
    <w:rsid w:val="0098237C"/>
    <w:rsid w:val="009829B3"/>
    <w:rsid w:val="00982C31"/>
    <w:rsid w:val="00982D45"/>
    <w:rsid w:val="00983165"/>
    <w:rsid w:val="00983343"/>
    <w:rsid w:val="009833C4"/>
    <w:rsid w:val="009834E0"/>
    <w:rsid w:val="009838FF"/>
    <w:rsid w:val="0098410C"/>
    <w:rsid w:val="00984149"/>
    <w:rsid w:val="00984788"/>
    <w:rsid w:val="00984909"/>
    <w:rsid w:val="00984FF3"/>
    <w:rsid w:val="00984FF9"/>
    <w:rsid w:val="009850C5"/>
    <w:rsid w:val="00986326"/>
    <w:rsid w:val="00986849"/>
    <w:rsid w:val="00986BB7"/>
    <w:rsid w:val="00986D4B"/>
    <w:rsid w:val="00986F6D"/>
    <w:rsid w:val="0098727C"/>
    <w:rsid w:val="00987708"/>
    <w:rsid w:val="00987DF0"/>
    <w:rsid w:val="00987E2E"/>
    <w:rsid w:val="0099008B"/>
    <w:rsid w:val="0099177B"/>
    <w:rsid w:val="00991B8C"/>
    <w:rsid w:val="00991FAA"/>
    <w:rsid w:val="0099367E"/>
    <w:rsid w:val="00993FE4"/>
    <w:rsid w:val="0099425E"/>
    <w:rsid w:val="00994942"/>
    <w:rsid w:val="00994CDC"/>
    <w:rsid w:val="00995AC3"/>
    <w:rsid w:val="009969CD"/>
    <w:rsid w:val="0099770A"/>
    <w:rsid w:val="00997769"/>
    <w:rsid w:val="00997A2E"/>
    <w:rsid w:val="009A048E"/>
    <w:rsid w:val="009A119F"/>
    <w:rsid w:val="009A1609"/>
    <w:rsid w:val="009A16A3"/>
    <w:rsid w:val="009A1702"/>
    <w:rsid w:val="009A1A7E"/>
    <w:rsid w:val="009A1F6D"/>
    <w:rsid w:val="009A3480"/>
    <w:rsid w:val="009A3DB8"/>
    <w:rsid w:val="009A43B3"/>
    <w:rsid w:val="009A464D"/>
    <w:rsid w:val="009A496F"/>
    <w:rsid w:val="009A4B78"/>
    <w:rsid w:val="009A4C02"/>
    <w:rsid w:val="009A4D73"/>
    <w:rsid w:val="009A4E41"/>
    <w:rsid w:val="009A5297"/>
    <w:rsid w:val="009A5851"/>
    <w:rsid w:val="009A5D40"/>
    <w:rsid w:val="009A5E10"/>
    <w:rsid w:val="009A6665"/>
    <w:rsid w:val="009A743F"/>
    <w:rsid w:val="009A74F7"/>
    <w:rsid w:val="009B00F2"/>
    <w:rsid w:val="009B0FB2"/>
    <w:rsid w:val="009B1113"/>
    <w:rsid w:val="009B1C34"/>
    <w:rsid w:val="009B1D22"/>
    <w:rsid w:val="009B1E86"/>
    <w:rsid w:val="009B27C4"/>
    <w:rsid w:val="009B2BE6"/>
    <w:rsid w:val="009B2D92"/>
    <w:rsid w:val="009B31DE"/>
    <w:rsid w:val="009B3250"/>
    <w:rsid w:val="009B3D24"/>
    <w:rsid w:val="009B42D2"/>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AAD"/>
    <w:rsid w:val="009D0F71"/>
    <w:rsid w:val="009D111C"/>
    <w:rsid w:val="009D17A0"/>
    <w:rsid w:val="009D1F7A"/>
    <w:rsid w:val="009D2873"/>
    <w:rsid w:val="009D2942"/>
    <w:rsid w:val="009D2BE9"/>
    <w:rsid w:val="009D3A1A"/>
    <w:rsid w:val="009D426A"/>
    <w:rsid w:val="009D5BDB"/>
    <w:rsid w:val="009D6B03"/>
    <w:rsid w:val="009D6B3D"/>
    <w:rsid w:val="009D7422"/>
    <w:rsid w:val="009D78E7"/>
    <w:rsid w:val="009D7979"/>
    <w:rsid w:val="009E0742"/>
    <w:rsid w:val="009E0B29"/>
    <w:rsid w:val="009E1291"/>
    <w:rsid w:val="009E12BC"/>
    <w:rsid w:val="009E139D"/>
    <w:rsid w:val="009E224D"/>
    <w:rsid w:val="009E26D5"/>
    <w:rsid w:val="009E2A07"/>
    <w:rsid w:val="009E3398"/>
    <w:rsid w:val="009E3577"/>
    <w:rsid w:val="009E37A5"/>
    <w:rsid w:val="009E395B"/>
    <w:rsid w:val="009E3D2B"/>
    <w:rsid w:val="009E3E84"/>
    <w:rsid w:val="009E4097"/>
    <w:rsid w:val="009E4664"/>
    <w:rsid w:val="009E4D8E"/>
    <w:rsid w:val="009E4E90"/>
    <w:rsid w:val="009E4EB7"/>
    <w:rsid w:val="009E57C1"/>
    <w:rsid w:val="009E624A"/>
    <w:rsid w:val="009E6975"/>
    <w:rsid w:val="009E6B32"/>
    <w:rsid w:val="009E7039"/>
    <w:rsid w:val="009E70F3"/>
    <w:rsid w:val="009E750E"/>
    <w:rsid w:val="009E7E98"/>
    <w:rsid w:val="009F00EE"/>
    <w:rsid w:val="009F0827"/>
    <w:rsid w:val="009F0BED"/>
    <w:rsid w:val="009F1673"/>
    <w:rsid w:val="009F3255"/>
    <w:rsid w:val="009F34AA"/>
    <w:rsid w:val="009F3DCE"/>
    <w:rsid w:val="009F4298"/>
    <w:rsid w:val="009F44FF"/>
    <w:rsid w:val="009F45E2"/>
    <w:rsid w:val="009F46E8"/>
    <w:rsid w:val="009F472D"/>
    <w:rsid w:val="009F4CF0"/>
    <w:rsid w:val="009F4E88"/>
    <w:rsid w:val="009F50D1"/>
    <w:rsid w:val="009F539C"/>
    <w:rsid w:val="009F55CD"/>
    <w:rsid w:val="009F573B"/>
    <w:rsid w:val="009F5918"/>
    <w:rsid w:val="009F596D"/>
    <w:rsid w:val="009F6654"/>
    <w:rsid w:val="009F6A91"/>
    <w:rsid w:val="009F6AA9"/>
    <w:rsid w:val="009F71A6"/>
    <w:rsid w:val="009F71AA"/>
    <w:rsid w:val="009F754A"/>
    <w:rsid w:val="009F791F"/>
    <w:rsid w:val="009F7F86"/>
    <w:rsid w:val="00A0034D"/>
    <w:rsid w:val="00A00BFB"/>
    <w:rsid w:val="00A00DCF"/>
    <w:rsid w:val="00A0126C"/>
    <w:rsid w:val="00A012DA"/>
    <w:rsid w:val="00A0187E"/>
    <w:rsid w:val="00A01B14"/>
    <w:rsid w:val="00A026F0"/>
    <w:rsid w:val="00A02F2D"/>
    <w:rsid w:val="00A02F61"/>
    <w:rsid w:val="00A03E0E"/>
    <w:rsid w:val="00A040D1"/>
    <w:rsid w:val="00A044B7"/>
    <w:rsid w:val="00A04A0A"/>
    <w:rsid w:val="00A050A8"/>
    <w:rsid w:val="00A056A3"/>
    <w:rsid w:val="00A059AF"/>
    <w:rsid w:val="00A05B51"/>
    <w:rsid w:val="00A06286"/>
    <w:rsid w:val="00A06318"/>
    <w:rsid w:val="00A063BC"/>
    <w:rsid w:val="00A067D7"/>
    <w:rsid w:val="00A068E1"/>
    <w:rsid w:val="00A06A80"/>
    <w:rsid w:val="00A06D8A"/>
    <w:rsid w:val="00A0711F"/>
    <w:rsid w:val="00A07B0B"/>
    <w:rsid w:val="00A102A0"/>
    <w:rsid w:val="00A10860"/>
    <w:rsid w:val="00A114FA"/>
    <w:rsid w:val="00A11AF3"/>
    <w:rsid w:val="00A12ACF"/>
    <w:rsid w:val="00A12C09"/>
    <w:rsid w:val="00A13084"/>
    <w:rsid w:val="00A1327F"/>
    <w:rsid w:val="00A13817"/>
    <w:rsid w:val="00A138D3"/>
    <w:rsid w:val="00A13E0F"/>
    <w:rsid w:val="00A14010"/>
    <w:rsid w:val="00A14270"/>
    <w:rsid w:val="00A144B7"/>
    <w:rsid w:val="00A149B4"/>
    <w:rsid w:val="00A152D3"/>
    <w:rsid w:val="00A15E82"/>
    <w:rsid w:val="00A15F4F"/>
    <w:rsid w:val="00A160AB"/>
    <w:rsid w:val="00A16745"/>
    <w:rsid w:val="00A16747"/>
    <w:rsid w:val="00A17E93"/>
    <w:rsid w:val="00A20013"/>
    <w:rsid w:val="00A200E6"/>
    <w:rsid w:val="00A2056F"/>
    <w:rsid w:val="00A20582"/>
    <w:rsid w:val="00A20C65"/>
    <w:rsid w:val="00A21767"/>
    <w:rsid w:val="00A21FD5"/>
    <w:rsid w:val="00A22751"/>
    <w:rsid w:val="00A22940"/>
    <w:rsid w:val="00A22C96"/>
    <w:rsid w:val="00A23102"/>
    <w:rsid w:val="00A233D8"/>
    <w:rsid w:val="00A2343F"/>
    <w:rsid w:val="00A23505"/>
    <w:rsid w:val="00A236AC"/>
    <w:rsid w:val="00A237D0"/>
    <w:rsid w:val="00A23A4D"/>
    <w:rsid w:val="00A23F8E"/>
    <w:rsid w:val="00A2428B"/>
    <w:rsid w:val="00A247E5"/>
    <w:rsid w:val="00A248BD"/>
    <w:rsid w:val="00A24D81"/>
    <w:rsid w:val="00A24EA5"/>
    <w:rsid w:val="00A25173"/>
    <w:rsid w:val="00A252F0"/>
    <w:rsid w:val="00A259F2"/>
    <w:rsid w:val="00A263F6"/>
    <w:rsid w:val="00A26463"/>
    <w:rsid w:val="00A2660E"/>
    <w:rsid w:val="00A2678D"/>
    <w:rsid w:val="00A26916"/>
    <w:rsid w:val="00A26B47"/>
    <w:rsid w:val="00A26FF1"/>
    <w:rsid w:val="00A27547"/>
    <w:rsid w:val="00A27806"/>
    <w:rsid w:val="00A3068C"/>
    <w:rsid w:val="00A3127F"/>
    <w:rsid w:val="00A31922"/>
    <w:rsid w:val="00A31BCC"/>
    <w:rsid w:val="00A31C70"/>
    <w:rsid w:val="00A31C87"/>
    <w:rsid w:val="00A325BB"/>
    <w:rsid w:val="00A3297A"/>
    <w:rsid w:val="00A32A58"/>
    <w:rsid w:val="00A32EEC"/>
    <w:rsid w:val="00A336C5"/>
    <w:rsid w:val="00A339D9"/>
    <w:rsid w:val="00A33BD6"/>
    <w:rsid w:val="00A34979"/>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638"/>
    <w:rsid w:val="00A41A3F"/>
    <w:rsid w:val="00A41B15"/>
    <w:rsid w:val="00A41DE9"/>
    <w:rsid w:val="00A42180"/>
    <w:rsid w:val="00A4224E"/>
    <w:rsid w:val="00A4229F"/>
    <w:rsid w:val="00A428A9"/>
    <w:rsid w:val="00A42ACA"/>
    <w:rsid w:val="00A4327C"/>
    <w:rsid w:val="00A43AAB"/>
    <w:rsid w:val="00A43AFE"/>
    <w:rsid w:val="00A447E3"/>
    <w:rsid w:val="00A44AAD"/>
    <w:rsid w:val="00A44D3B"/>
    <w:rsid w:val="00A45241"/>
    <w:rsid w:val="00A45280"/>
    <w:rsid w:val="00A452B8"/>
    <w:rsid w:val="00A45BF7"/>
    <w:rsid w:val="00A463B5"/>
    <w:rsid w:val="00A463BA"/>
    <w:rsid w:val="00A46675"/>
    <w:rsid w:val="00A46A5F"/>
    <w:rsid w:val="00A471A3"/>
    <w:rsid w:val="00A47597"/>
    <w:rsid w:val="00A477AC"/>
    <w:rsid w:val="00A4795F"/>
    <w:rsid w:val="00A47E44"/>
    <w:rsid w:val="00A47F91"/>
    <w:rsid w:val="00A507D7"/>
    <w:rsid w:val="00A50A5C"/>
    <w:rsid w:val="00A50BE2"/>
    <w:rsid w:val="00A50CC6"/>
    <w:rsid w:val="00A50DF3"/>
    <w:rsid w:val="00A50E40"/>
    <w:rsid w:val="00A51462"/>
    <w:rsid w:val="00A51946"/>
    <w:rsid w:val="00A51DEC"/>
    <w:rsid w:val="00A51FF7"/>
    <w:rsid w:val="00A52079"/>
    <w:rsid w:val="00A52143"/>
    <w:rsid w:val="00A521E9"/>
    <w:rsid w:val="00A5298E"/>
    <w:rsid w:val="00A52B3E"/>
    <w:rsid w:val="00A5313B"/>
    <w:rsid w:val="00A5320E"/>
    <w:rsid w:val="00A53F7B"/>
    <w:rsid w:val="00A54090"/>
    <w:rsid w:val="00A54282"/>
    <w:rsid w:val="00A546F1"/>
    <w:rsid w:val="00A549D3"/>
    <w:rsid w:val="00A54DF0"/>
    <w:rsid w:val="00A57E98"/>
    <w:rsid w:val="00A60017"/>
    <w:rsid w:val="00A60849"/>
    <w:rsid w:val="00A6105B"/>
    <w:rsid w:val="00A61355"/>
    <w:rsid w:val="00A61668"/>
    <w:rsid w:val="00A621D3"/>
    <w:rsid w:val="00A628F8"/>
    <w:rsid w:val="00A62B7A"/>
    <w:rsid w:val="00A62D09"/>
    <w:rsid w:val="00A631A1"/>
    <w:rsid w:val="00A632EA"/>
    <w:rsid w:val="00A6339D"/>
    <w:rsid w:val="00A634BE"/>
    <w:rsid w:val="00A6386B"/>
    <w:rsid w:val="00A63AD7"/>
    <w:rsid w:val="00A63BFD"/>
    <w:rsid w:val="00A6491F"/>
    <w:rsid w:val="00A64C72"/>
    <w:rsid w:val="00A64D1A"/>
    <w:rsid w:val="00A65320"/>
    <w:rsid w:val="00A65615"/>
    <w:rsid w:val="00A65BA5"/>
    <w:rsid w:val="00A66354"/>
    <w:rsid w:val="00A66DC5"/>
    <w:rsid w:val="00A66E37"/>
    <w:rsid w:val="00A66ECF"/>
    <w:rsid w:val="00A67E38"/>
    <w:rsid w:val="00A703E4"/>
    <w:rsid w:val="00A704C9"/>
    <w:rsid w:val="00A70DC6"/>
    <w:rsid w:val="00A71080"/>
    <w:rsid w:val="00A71986"/>
    <w:rsid w:val="00A71E05"/>
    <w:rsid w:val="00A71E3D"/>
    <w:rsid w:val="00A71E73"/>
    <w:rsid w:val="00A72740"/>
    <w:rsid w:val="00A73A64"/>
    <w:rsid w:val="00A742AD"/>
    <w:rsid w:val="00A746D7"/>
    <w:rsid w:val="00A74AB2"/>
    <w:rsid w:val="00A75A27"/>
    <w:rsid w:val="00A75A46"/>
    <w:rsid w:val="00A75B36"/>
    <w:rsid w:val="00A75D2E"/>
    <w:rsid w:val="00A7663A"/>
    <w:rsid w:val="00A7696B"/>
    <w:rsid w:val="00A769D4"/>
    <w:rsid w:val="00A775AD"/>
    <w:rsid w:val="00A8008F"/>
    <w:rsid w:val="00A804C7"/>
    <w:rsid w:val="00A80625"/>
    <w:rsid w:val="00A80857"/>
    <w:rsid w:val="00A80A39"/>
    <w:rsid w:val="00A80D41"/>
    <w:rsid w:val="00A80DF0"/>
    <w:rsid w:val="00A80E64"/>
    <w:rsid w:val="00A81A16"/>
    <w:rsid w:val="00A823A7"/>
    <w:rsid w:val="00A824D4"/>
    <w:rsid w:val="00A825C8"/>
    <w:rsid w:val="00A82742"/>
    <w:rsid w:val="00A82A29"/>
    <w:rsid w:val="00A83984"/>
    <w:rsid w:val="00A83A1E"/>
    <w:rsid w:val="00A84198"/>
    <w:rsid w:val="00A841AB"/>
    <w:rsid w:val="00A84A93"/>
    <w:rsid w:val="00A84FFD"/>
    <w:rsid w:val="00A86104"/>
    <w:rsid w:val="00A8655A"/>
    <w:rsid w:val="00A87203"/>
    <w:rsid w:val="00A87744"/>
    <w:rsid w:val="00A87AE6"/>
    <w:rsid w:val="00A87B09"/>
    <w:rsid w:val="00A87C22"/>
    <w:rsid w:val="00A90590"/>
    <w:rsid w:val="00A90A97"/>
    <w:rsid w:val="00A90CB4"/>
    <w:rsid w:val="00A910DA"/>
    <w:rsid w:val="00A914B9"/>
    <w:rsid w:val="00A915B7"/>
    <w:rsid w:val="00A920E1"/>
    <w:rsid w:val="00A92AFD"/>
    <w:rsid w:val="00A933AE"/>
    <w:rsid w:val="00A93863"/>
    <w:rsid w:val="00A93928"/>
    <w:rsid w:val="00A9415E"/>
    <w:rsid w:val="00A9423F"/>
    <w:rsid w:val="00A94EBD"/>
    <w:rsid w:val="00A9510D"/>
    <w:rsid w:val="00A95580"/>
    <w:rsid w:val="00A9568A"/>
    <w:rsid w:val="00A956AC"/>
    <w:rsid w:val="00A95D2A"/>
    <w:rsid w:val="00A96214"/>
    <w:rsid w:val="00A967E8"/>
    <w:rsid w:val="00A97F4B"/>
    <w:rsid w:val="00AA04C5"/>
    <w:rsid w:val="00AA10B1"/>
    <w:rsid w:val="00AA1E17"/>
    <w:rsid w:val="00AA2803"/>
    <w:rsid w:val="00AA2AB3"/>
    <w:rsid w:val="00AA2BF2"/>
    <w:rsid w:val="00AA2D68"/>
    <w:rsid w:val="00AA2D6F"/>
    <w:rsid w:val="00AA3987"/>
    <w:rsid w:val="00AA3B68"/>
    <w:rsid w:val="00AA3E79"/>
    <w:rsid w:val="00AA42D3"/>
    <w:rsid w:val="00AA4FB4"/>
    <w:rsid w:val="00AA5C0B"/>
    <w:rsid w:val="00AA5E3B"/>
    <w:rsid w:val="00AA63AD"/>
    <w:rsid w:val="00AA65B4"/>
    <w:rsid w:val="00AA6A75"/>
    <w:rsid w:val="00AA745E"/>
    <w:rsid w:val="00AB04AB"/>
    <w:rsid w:val="00AB0733"/>
    <w:rsid w:val="00AB09D2"/>
    <w:rsid w:val="00AB0B64"/>
    <w:rsid w:val="00AB0C30"/>
    <w:rsid w:val="00AB176B"/>
    <w:rsid w:val="00AB2AF7"/>
    <w:rsid w:val="00AB37E6"/>
    <w:rsid w:val="00AB3DBA"/>
    <w:rsid w:val="00AB431C"/>
    <w:rsid w:val="00AB470E"/>
    <w:rsid w:val="00AB5467"/>
    <w:rsid w:val="00AB5A7E"/>
    <w:rsid w:val="00AB7538"/>
    <w:rsid w:val="00AB77F3"/>
    <w:rsid w:val="00AC0256"/>
    <w:rsid w:val="00AC0AAD"/>
    <w:rsid w:val="00AC1231"/>
    <w:rsid w:val="00AC1992"/>
    <w:rsid w:val="00AC1E14"/>
    <w:rsid w:val="00AC2CFA"/>
    <w:rsid w:val="00AC3263"/>
    <w:rsid w:val="00AC337E"/>
    <w:rsid w:val="00AC3E12"/>
    <w:rsid w:val="00AC406E"/>
    <w:rsid w:val="00AC430C"/>
    <w:rsid w:val="00AC4951"/>
    <w:rsid w:val="00AC4A6B"/>
    <w:rsid w:val="00AC5C19"/>
    <w:rsid w:val="00AC60F0"/>
    <w:rsid w:val="00AC6657"/>
    <w:rsid w:val="00AC6D7A"/>
    <w:rsid w:val="00AC7363"/>
    <w:rsid w:val="00AC7401"/>
    <w:rsid w:val="00AC7901"/>
    <w:rsid w:val="00AC79F3"/>
    <w:rsid w:val="00AC7FDD"/>
    <w:rsid w:val="00AD0949"/>
    <w:rsid w:val="00AD0F1D"/>
    <w:rsid w:val="00AD1179"/>
    <w:rsid w:val="00AD1359"/>
    <w:rsid w:val="00AD19F0"/>
    <w:rsid w:val="00AD1FCE"/>
    <w:rsid w:val="00AD24D1"/>
    <w:rsid w:val="00AD26E1"/>
    <w:rsid w:val="00AD29CC"/>
    <w:rsid w:val="00AD3268"/>
    <w:rsid w:val="00AD3652"/>
    <w:rsid w:val="00AD3DE2"/>
    <w:rsid w:val="00AD4135"/>
    <w:rsid w:val="00AD4261"/>
    <w:rsid w:val="00AD46F5"/>
    <w:rsid w:val="00AD4CB1"/>
    <w:rsid w:val="00AD51A3"/>
    <w:rsid w:val="00AD598B"/>
    <w:rsid w:val="00AD7154"/>
    <w:rsid w:val="00AD797D"/>
    <w:rsid w:val="00AD7E02"/>
    <w:rsid w:val="00AE0034"/>
    <w:rsid w:val="00AE0483"/>
    <w:rsid w:val="00AE08DD"/>
    <w:rsid w:val="00AE13BD"/>
    <w:rsid w:val="00AE156F"/>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24E7"/>
    <w:rsid w:val="00AF272B"/>
    <w:rsid w:val="00AF291B"/>
    <w:rsid w:val="00AF2AF6"/>
    <w:rsid w:val="00AF2DAA"/>
    <w:rsid w:val="00AF2EBD"/>
    <w:rsid w:val="00AF33AE"/>
    <w:rsid w:val="00AF34C9"/>
    <w:rsid w:val="00AF3CDC"/>
    <w:rsid w:val="00AF44B1"/>
    <w:rsid w:val="00AF5790"/>
    <w:rsid w:val="00AF5800"/>
    <w:rsid w:val="00AF6986"/>
    <w:rsid w:val="00AF69FE"/>
    <w:rsid w:val="00AF6A77"/>
    <w:rsid w:val="00AF6D1B"/>
    <w:rsid w:val="00AF73ED"/>
    <w:rsid w:val="00AF7B5B"/>
    <w:rsid w:val="00AF7D69"/>
    <w:rsid w:val="00AF7ED2"/>
    <w:rsid w:val="00B004D8"/>
    <w:rsid w:val="00B00830"/>
    <w:rsid w:val="00B00CC5"/>
    <w:rsid w:val="00B016D2"/>
    <w:rsid w:val="00B02091"/>
    <w:rsid w:val="00B02B43"/>
    <w:rsid w:val="00B03D36"/>
    <w:rsid w:val="00B04540"/>
    <w:rsid w:val="00B046F1"/>
    <w:rsid w:val="00B05116"/>
    <w:rsid w:val="00B051A7"/>
    <w:rsid w:val="00B05F1A"/>
    <w:rsid w:val="00B07B33"/>
    <w:rsid w:val="00B07FA2"/>
    <w:rsid w:val="00B100CF"/>
    <w:rsid w:val="00B1074F"/>
    <w:rsid w:val="00B10E82"/>
    <w:rsid w:val="00B111A6"/>
    <w:rsid w:val="00B115E5"/>
    <w:rsid w:val="00B118EE"/>
    <w:rsid w:val="00B11B03"/>
    <w:rsid w:val="00B11B79"/>
    <w:rsid w:val="00B11C5B"/>
    <w:rsid w:val="00B121CD"/>
    <w:rsid w:val="00B12343"/>
    <w:rsid w:val="00B12529"/>
    <w:rsid w:val="00B128C5"/>
    <w:rsid w:val="00B12B11"/>
    <w:rsid w:val="00B12C94"/>
    <w:rsid w:val="00B12D5B"/>
    <w:rsid w:val="00B135AB"/>
    <w:rsid w:val="00B135D7"/>
    <w:rsid w:val="00B13797"/>
    <w:rsid w:val="00B137BF"/>
    <w:rsid w:val="00B13A1B"/>
    <w:rsid w:val="00B13A76"/>
    <w:rsid w:val="00B142D9"/>
    <w:rsid w:val="00B1436F"/>
    <w:rsid w:val="00B14BC4"/>
    <w:rsid w:val="00B14F3D"/>
    <w:rsid w:val="00B158A3"/>
    <w:rsid w:val="00B15B25"/>
    <w:rsid w:val="00B15C36"/>
    <w:rsid w:val="00B15EA0"/>
    <w:rsid w:val="00B16069"/>
    <w:rsid w:val="00B17A4E"/>
    <w:rsid w:val="00B17B30"/>
    <w:rsid w:val="00B17C2F"/>
    <w:rsid w:val="00B2153E"/>
    <w:rsid w:val="00B21F72"/>
    <w:rsid w:val="00B21FA7"/>
    <w:rsid w:val="00B22022"/>
    <w:rsid w:val="00B225E4"/>
    <w:rsid w:val="00B22666"/>
    <w:rsid w:val="00B231C5"/>
    <w:rsid w:val="00B23F7A"/>
    <w:rsid w:val="00B240B1"/>
    <w:rsid w:val="00B24208"/>
    <w:rsid w:val="00B24374"/>
    <w:rsid w:val="00B24728"/>
    <w:rsid w:val="00B248A9"/>
    <w:rsid w:val="00B2490A"/>
    <w:rsid w:val="00B24BE3"/>
    <w:rsid w:val="00B24D28"/>
    <w:rsid w:val="00B24F1C"/>
    <w:rsid w:val="00B25D76"/>
    <w:rsid w:val="00B27032"/>
    <w:rsid w:val="00B27085"/>
    <w:rsid w:val="00B2768B"/>
    <w:rsid w:val="00B30003"/>
    <w:rsid w:val="00B3015C"/>
    <w:rsid w:val="00B30AD9"/>
    <w:rsid w:val="00B31201"/>
    <w:rsid w:val="00B31B00"/>
    <w:rsid w:val="00B31B4B"/>
    <w:rsid w:val="00B31E36"/>
    <w:rsid w:val="00B32E26"/>
    <w:rsid w:val="00B338B7"/>
    <w:rsid w:val="00B34061"/>
    <w:rsid w:val="00B34376"/>
    <w:rsid w:val="00B3440A"/>
    <w:rsid w:val="00B34441"/>
    <w:rsid w:val="00B35167"/>
    <w:rsid w:val="00B35533"/>
    <w:rsid w:val="00B35534"/>
    <w:rsid w:val="00B35738"/>
    <w:rsid w:val="00B35A87"/>
    <w:rsid w:val="00B35AFD"/>
    <w:rsid w:val="00B35F9A"/>
    <w:rsid w:val="00B3609C"/>
    <w:rsid w:val="00B36236"/>
    <w:rsid w:val="00B3662E"/>
    <w:rsid w:val="00B366D2"/>
    <w:rsid w:val="00B366FA"/>
    <w:rsid w:val="00B36E86"/>
    <w:rsid w:val="00B379BA"/>
    <w:rsid w:val="00B412FD"/>
    <w:rsid w:val="00B422BE"/>
    <w:rsid w:val="00B4241D"/>
    <w:rsid w:val="00B426BB"/>
    <w:rsid w:val="00B42EB9"/>
    <w:rsid w:val="00B436F0"/>
    <w:rsid w:val="00B441FE"/>
    <w:rsid w:val="00B44821"/>
    <w:rsid w:val="00B44AD3"/>
    <w:rsid w:val="00B45062"/>
    <w:rsid w:val="00B450EB"/>
    <w:rsid w:val="00B45152"/>
    <w:rsid w:val="00B45E54"/>
    <w:rsid w:val="00B464E4"/>
    <w:rsid w:val="00B4689A"/>
    <w:rsid w:val="00B46D5F"/>
    <w:rsid w:val="00B46E7B"/>
    <w:rsid w:val="00B47DC5"/>
    <w:rsid w:val="00B505B3"/>
    <w:rsid w:val="00B50882"/>
    <w:rsid w:val="00B50A74"/>
    <w:rsid w:val="00B51BE0"/>
    <w:rsid w:val="00B520A0"/>
    <w:rsid w:val="00B5257E"/>
    <w:rsid w:val="00B525CE"/>
    <w:rsid w:val="00B52CFD"/>
    <w:rsid w:val="00B52EED"/>
    <w:rsid w:val="00B53103"/>
    <w:rsid w:val="00B545A8"/>
    <w:rsid w:val="00B55F22"/>
    <w:rsid w:val="00B56527"/>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0764"/>
    <w:rsid w:val="00B711AB"/>
    <w:rsid w:val="00B714F0"/>
    <w:rsid w:val="00B71A40"/>
    <w:rsid w:val="00B71C8C"/>
    <w:rsid w:val="00B71CB4"/>
    <w:rsid w:val="00B71FD7"/>
    <w:rsid w:val="00B725E7"/>
    <w:rsid w:val="00B72967"/>
    <w:rsid w:val="00B72C07"/>
    <w:rsid w:val="00B72DF7"/>
    <w:rsid w:val="00B72F42"/>
    <w:rsid w:val="00B733FB"/>
    <w:rsid w:val="00B73E44"/>
    <w:rsid w:val="00B74290"/>
    <w:rsid w:val="00B74510"/>
    <w:rsid w:val="00B74BD4"/>
    <w:rsid w:val="00B74BF7"/>
    <w:rsid w:val="00B76185"/>
    <w:rsid w:val="00B76BCD"/>
    <w:rsid w:val="00B7786D"/>
    <w:rsid w:val="00B779E6"/>
    <w:rsid w:val="00B804E2"/>
    <w:rsid w:val="00B811B2"/>
    <w:rsid w:val="00B81BA3"/>
    <w:rsid w:val="00B82213"/>
    <w:rsid w:val="00B8276E"/>
    <w:rsid w:val="00B83A62"/>
    <w:rsid w:val="00B83B59"/>
    <w:rsid w:val="00B84252"/>
    <w:rsid w:val="00B8468F"/>
    <w:rsid w:val="00B849F1"/>
    <w:rsid w:val="00B84FC6"/>
    <w:rsid w:val="00B857F5"/>
    <w:rsid w:val="00B86D6C"/>
    <w:rsid w:val="00B86EB5"/>
    <w:rsid w:val="00B86F47"/>
    <w:rsid w:val="00B874B4"/>
    <w:rsid w:val="00B876C1"/>
    <w:rsid w:val="00B8787A"/>
    <w:rsid w:val="00B87887"/>
    <w:rsid w:val="00B90123"/>
    <w:rsid w:val="00B90196"/>
    <w:rsid w:val="00B911C1"/>
    <w:rsid w:val="00B91374"/>
    <w:rsid w:val="00B922C3"/>
    <w:rsid w:val="00B9272A"/>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060E"/>
    <w:rsid w:val="00BA19C4"/>
    <w:rsid w:val="00BA2B3F"/>
    <w:rsid w:val="00BA3038"/>
    <w:rsid w:val="00BA360A"/>
    <w:rsid w:val="00BA370A"/>
    <w:rsid w:val="00BA48BC"/>
    <w:rsid w:val="00BA4A29"/>
    <w:rsid w:val="00BA4BE7"/>
    <w:rsid w:val="00BA550D"/>
    <w:rsid w:val="00BA5F20"/>
    <w:rsid w:val="00BA5F44"/>
    <w:rsid w:val="00BA68D9"/>
    <w:rsid w:val="00BA6FD8"/>
    <w:rsid w:val="00BA7172"/>
    <w:rsid w:val="00BA72CF"/>
    <w:rsid w:val="00BA7B01"/>
    <w:rsid w:val="00BB02D7"/>
    <w:rsid w:val="00BB0D9F"/>
    <w:rsid w:val="00BB0DEE"/>
    <w:rsid w:val="00BB0F93"/>
    <w:rsid w:val="00BB1031"/>
    <w:rsid w:val="00BB1B33"/>
    <w:rsid w:val="00BB2480"/>
    <w:rsid w:val="00BB27FD"/>
    <w:rsid w:val="00BB2C4E"/>
    <w:rsid w:val="00BB2E29"/>
    <w:rsid w:val="00BB2F74"/>
    <w:rsid w:val="00BB3206"/>
    <w:rsid w:val="00BB32C2"/>
    <w:rsid w:val="00BB3B0D"/>
    <w:rsid w:val="00BB4144"/>
    <w:rsid w:val="00BB4369"/>
    <w:rsid w:val="00BB524C"/>
    <w:rsid w:val="00BB5DAB"/>
    <w:rsid w:val="00BB6195"/>
    <w:rsid w:val="00BB61A3"/>
    <w:rsid w:val="00BB67EA"/>
    <w:rsid w:val="00BB707E"/>
    <w:rsid w:val="00BB7568"/>
    <w:rsid w:val="00BC007C"/>
    <w:rsid w:val="00BC0157"/>
    <w:rsid w:val="00BC0497"/>
    <w:rsid w:val="00BC0986"/>
    <w:rsid w:val="00BC0AB2"/>
    <w:rsid w:val="00BC11A4"/>
    <w:rsid w:val="00BC1308"/>
    <w:rsid w:val="00BC1BF4"/>
    <w:rsid w:val="00BC2600"/>
    <w:rsid w:val="00BC2F24"/>
    <w:rsid w:val="00BC33BE"/>
    <w:rsid w:val="00BC3A47"/>
    <w:rsid w:val="00BC3EEB"/>
    <w:rsid w:val="00BC40D2"/>
    <w:rsid w:val="00BC4780"/>
    <w:rsid w:val="00BC4901"/>
    <w:rsid w:val="00BC52C8"/>
    <w:rsid w:val="00BC5485"/>
    <w:rsid w:val="00BC549C"/>
    <w:rsid w:val="00BC570E"/>
    <w:rsid w:val="00BC5A6C"/>
    <w:rsid w:val="00BC5AF6"/>
    <w:rsid w:val="00BC5B4B"/>
    <w:rsid w:val="00BC5E69"/>
    <w:rsid w:val="00BC5EDB"/>
    <w:rsid w:val="00BC69A2"/>
    <w:rsid w:val="00BC6ED6"/>
    <w:rsid w:val="00BC6F03"/>
    <w:rsid w:val="00BC6FA1"/>
    <w:rsid w:val="00BC70CE"/>
    <w:rsid w:val="00BC7487"/>
    <w:rsid w:val="00BC7DDD"/>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5984"/>
    <w:rsid w:val="00BD6D43"/>
    <w:rsid w:val="00BD7090"/>
    <w:rsid w:val="00BD7490"/>
    <w:rsid w:val="00BD767F"/>
    <w:rsid w:val="00BD7DA0"/>
    <w:rsid w:val="00BE096B"/>
    <w:rsid w:val="00BE09C3"/>
    <w:rsid w:val="00BE0C27"/>
    <w:rsid w:val="00BE15BB"/>
    <w:rsid w:val="00BE198F"/>
    <w:rsid w:val="00BE4CCF"/>
    <w:rsid w:val="00BE5964"/>
    <w:rsid w:val="00BE5D68"/>
    <w:rsid w:val="00BE660B"/>
    <w:rsid w:val="00BE6AFE"/>
    <w:rsid w:val="00BE6BBE"/>
    <w:rsid w:val="00BE7021"/>
    <w:rsid w:val="00BE7300"/>
    <w:rsid w:val="00BE76F7"/>
    <w:rsid w:val="00BE784F"/>
    <w:rsid w:val="00BE79C6"/>
    <w:rsid w:val="00BE7F3F"/>
    <w:rsid w:val="00BF0238"/>
    <w:rsid w:val="00BF0717"/>
    <w:rsid w:val="00BF1750"/>
    <w:rsid w:val="00BF178E"/>
    <w:rsid w:val="00BF189F"/>
    <w:rsid w:val="00BF18F2"/>
    <w:rsid w:val="00BF1B44"/>
    <w:rsid w:val="00BF1F01"/>
    <w:rsid w:val="00BF1FC2"/>
    <w:rsid w:val="00BF23CC"/>
    <w:rsid w:val="00BF243F"/>
    <w:rsid w:val="00BF2708"/>
    <w:rsid w:val="00BF28FC"/>
    <w:rsid w:val="00BF4C2B"/>
    <w:rsid w:val="00BF4EA5"/>
    <w:rsid w:val="00BF507A"/>
    <w:rsid w:val="00BF53F1"/>
    <w:rsid w:val="00BF5717"/>
    <w:rsid w:val="00BF585E"/>
    <w:rsid w:val="00BF5B9D"/>
    <w:rsid w:val="00BF5C45"/>
    <w:rsid w:val="00BF5FA3"/>
    <w:rsid w:val="00BF62F2"/>
    <w:rsid w:val="00BF63A5"/>
    <w:rsid w:val="00BF72A7"/>
    <w:rsid w:val="00BF7558"/>
    <w:rsid w:val="00BF7DD2"/>
    <w:rsid w:val="00C0111E"/>
    <w:rsid w:val="00C02676"/>
    <w:rsid w:val="00C029AB"/>
    <w:rsid w:val="00C02D74"/>
    <w:rsid w:val="00C03661"/>
    <w:rsid w:val="00C03BD5"/>
    <w:rsid w:val="00C03C8B"/>
    <w:rsid w:val="00C03F3C"/>
    <w:rsid w:val="00C0425C"/>
    <w:rsid w:val="00C049BE"/>
    <w:rsid w:val="00C04A71"/>
    <w:rsid w:val="00C04DF0"/>
    <w:rsid w:val="00C050BB"/>
    <w:rsid w:val="00C05A4C"/>
    <w:rsid w:val="00C05A67"/>
    <w:rsid w:val="00C0641F"/>
    <w:rsid w:val="00C06E6F"/>
    <w:rsid w:val="00C07371"/>
    <w:rsid w:val="00C075DB"/>
    <w:rsid w:val="00C07EBA"/>
    <w:rsid w:val="00C07FBC"/>
    <w:rsid w:val="00C100E7"/>
    <w:rsid w:val="00C11113"/>
    <w:rsid w:val="00C11687"/>
    <w:rsid w:val="00C11E28"/>
    <w:rsid w:val="00C11F66"/>
    <w:rsid w:val="00C1225B"/>
    <w:rsid w:val="00C122F9"/>
    <w:rsid w:val="00C1253A"/>
    <w:rsid w:val="00C128C9"/>
    <w:rsid w:val="00C12CF3"/>
    <w:rsid w:val="00C12F88"/>
    <w:rsid w:val="00C131A8"/>
    <w:rsid w:val="00C1322D"/>
    <w:rsid w:val="00C135A3"/>
    <w:rsid w:val="00C1477A"/>
    <w:rsid w:val="00C14A62"/>
    <w:rsid w:val="00C151F5"/>
    <w:rsid w:val="00C158EB"/>
    <w:rsid w:val="00C159B1"/>
    <w:rsid w:val="00C15D51"/>
    <w:rsid w:val="00C161F5"/>
    <w:rsid w:val="00C16BE6"/>
    <w:rsid w:val="00C16C92"/>
    <w:rsid w:val="00C1706B"/>
    <w:rsid w:val="00C17DB7"/>
    <w:rsid w:val="00C17E48"/>
    <w:rsid w:val="00C17F0B"/>
    <w:rsid w:val="00C201E7"/>
    <w:rsid w:val="00C20506"/>
    <w:rsid w:val="00C20AA2"/>
    <w:rsid w:val="00C20B91"/>
    <w:rsid w:val="00C21155"/>
    <w:rsid w:val="00C2146C"/>
    <w:rsid w:val="00C214D7"/>
    <w:rsid w:val="00C21561"/>
    <w:rsid w:val="00C217EE"/>
    <w:rsid w:val="00C22784"/>
    <w:rsid w:val="00C23843"/>
    <w:rsid w:val="00C23A4C"/>
    <w:rsid w:val="00C2419D"/>
    <w:rsid w:val="00C243A4"/>
    <w:rsid w:val="00C24416"/>
    <w:rsid w:val="00C248DB"/>
    <w:rsid w:val="00C26170"/>
    <w:rsid w:val="00C26B5A"/>
    <w:rsid w:val="00C26D52"/>
    <w:rsid w:val="00C303E4"/>
    <w:rsid w:val="00C30775"/>
    <w:rsid w:val="00C30B8D"/>
    <w:rsid w:val="00C3134E"/>
    <w:rsid w:val="00C315D8"/>
    <w:rsid w:val="00C31C4A"/>
    <w:rsid w:val="00C31D2D"/>
    <w:rsid w:val="00C3209A"/>
    <w:rsid w:val="00C32639"/>
    <w:rsid w:val="00C32808"/>
    <w:rsid w:val="00C32AD2"/>
    <w:rsid w:val="00C33114"/>
    <w:rsid w:val="00C34193"/>
    <w:rsid w:val="00C347FD"/>
    <w:rsid w:val="00C34DAE"/>
    <w:rsid w:val="00C34E1E"/>
    <w:rsid w:val="00C34E5A"/>
    <w:rsid w:val="00C353D2"/>
    <w:rsid w:val="00C35D9C"/>
    <w:rsid w:val="00C36219"/>
    <w:rsid w:val="00C3698E"/>
    <w:rsid w:val="00C36CCA"/>
    <w:rsid w:val="00C36E1C"/>
    <w:rsid w:val="00C36F42"/>
    <w:rsid w:val="00C3718A"/>
    <w:rsid w:val="00C3728D"/>
    <w:rsid w:val="00C379C5"/>
    <w:rsid w:val="00C37EEE"/>
    <w:rsid w:val="00C40453"/>
    <w:rsid w:val="00C40544"/>
    <w:rsid w:val="00C40E71"/>
    <w:rsid w:val="00C40FBC"/>
    <w:rsid w:val="00C4141D"/>
    <w:rsid w:val="00C41879"/>
    <w:rsid w:val="00C41A7C"/>
    <w:rsid w:val="00C42CEF"/>
    <w:rsid w:val="00C42D55"/>
    <w:rsid w:val="00C43080"/>
    <w:rsid w:val="00C4370E"/>
    <w:rsid w:val="00C43823"/>
    <w:rsid w:val="00C4384B"/>
    <w:rsid w:val="00C4393C"/>
    <w:rsid w:val="00C43F2D"/>
    <w:rsid w:val="00C44068"/>
    <w:rsid w:val="00C442AE"/>
    <w:rsid w:val="00C44DCD"/>
    <w:rsid w:val="00C4518B"/>
    <w:rsid w:val="00C45780"/>
    <w:rsid w:val="00C458D6"/>
    <w:rsid w:val="00C45919"/>
    <w:rsid w:val="00C4655A"/>
    <w:rsid w:val="00C466BF"/>
    <w:rsid w:val="00C47385"/>
    <w:rsid w:val="00C47555"/>
    <w:rsid w:val="00C476AC"/>
    <w:rsid w:val="00C47E67"/>
    <w:rsid w:val="00C47FD9"/>
    <w:rsid w:val="00C50C1A"/>
    <w:rsid w:val="00C50E1E"/>
    <w:rsid w:val="00C51508"/>
    <w:rsid w:val="00C51D73"/>
    <w:rsid w:val="00C52283"/>
    <w:rsid w:val="00C52A05"/>
    <w:rsid w:val="00C52E97"/>
    <w:rsid w:val="00C52EAF"/>
    <w:rsid w:val="00C53189"/>
    <w:rsid w:val="00C534E5"/>
    <w:rsid w:val="00C534F4"/>
    <w:rsid w:val="00C5375B"/>
    <w:rsid w:val="00C53B15"/>
    <w:rsid w:val="00C53DA9"/>
    <w:rsid w:val="00C53EF7"/>
    <w:rsid w:val="00C54280"/>
    <w:rsid w:val="00C54616"/>
    <w:rsid w:val="00C54929"/>
    <w:rsid w:val="00C550B6"/>
    <w:rsid w:val="00C55373"/>
    <w:rsid w:val="00C556B1"/>
    <w:rsid w:val="00C557BE"/>
    <w:rsid w:val="00C55A05"/>
    <w:rsid w:val="00C56101"/>
    <w:rsid w:val="00C565F2"/>
    <w:rsid w:val="00C567E3"/>
    <w:rsid w:val="00C56C45"/>
    <w:rsid w:val="00C573CC"/>
    <w:rsid w:val="00C57B81"/>
    <w:rsid w:val="00C57FB9"/>
    <w:rsid w:val="00C602BD"/>
    <w:rsid w:val="00C6077B"/>
    <w:rsid w:val="00C60950"/>
    <w:rsid w:val="00C60DD1"/>
    <w:rsid w:val="00C61565"/>
    <w:rsid w:val="00C61574"/>
    <w:rsid w:val="00C615B4"/>
    <w:rsid w:val="00C61AC6"/>
    <w:rsid w:val="00C61ACF"/>
    <w:rsid w:val="00C6211D"/>
    <w:rsid w:val="00C62537"/>
    <w:rsid w:val="00C62973"/>
    <w:rsid w:val="00C62B32"/>
    <w:rsid w:val="00C63459"/>
    <w:rsid w:val="00C63DED"/>
    <w:rsid w:val="00C63E88"/>
    <w:rsid w:val="00C6436D"/>
    <w:rsid w:val="00C64F97"/>
    <w:rsid w:val="00C65585"/>
    <w:rsid w:val="00C656EB"/>
    <w:rsid w:val="00C65DF4"/>
    <w:rsid w:val="00C661C6"/>
    <w:rsid w:val="00C672AF"/>
    <w:rsid w:val="00C67880"/>
    <w:rsid w:val="00C67B49"/>
    <w:rsid w:val="00C711F5"/>
    <w:rsid w:val="00C71326"/>
    <w:rsid w:val="00C713A1"/>
    <w:rsid w:val="00C71828"/>
    <w:rsid w:val="00C71E22"/>
    <w:rsid w:val="00C72105"/>
    <w:rsid w:val="00C74520"/>
    <w:rsid w:val="00C74954"/>
    <w:rsid w:val="00C76028"/>
    <w:rsid w:val="00C76184"/>
    <w:rsid w:val="00C76462"/>
    <w:rsid w:val="00C7673D"/>
    <w:rsid w:val="00C76A80"/>
    <w:rsid w:val="00C76C27"/>
    <w:rsid w:val="00C76F07"/>
    <w:rsid w:val="00C77960"/>
    <w:rsid w:val="00C77EF6"/>
    <w:rsid w:val="00C80B4B"/>
    <w:rsid w:val="00C80D63"/>
    <w:rsid w:val="00C812D5"/>
    <w:rsid w:val="00C81BEA"/>
    <w:rsid w:val="00C81DF5"/>
    <w:rsid w:val="00C82188"/>
    <w:rsid w:val="00C8242B"/>
    <w:rsid w:val="00C82A50"/>
    <w:rsid w:val="00C83240"/>
    <w:rsid w:val="00C83381"/>
    <w:rsid w:val="00C83607"/>
    <w:rsid w:val="00C83768"/>
    <w:rsid w:val="00C83B18"/>
    <w:rsid w:val="00C840C3"/>
    <w:rsid w:val="00C841B4"/>
    <w:rsid w:val="00C84266"/>
    <w:rsid w:val="00C8450F"/>
    <w:rsid w:val="00C8466F"/>
    <w:rsid w:val="00C849E0"/>
    <w:rsid w:val="00C84B74"/>
    <w:rsid w:val="00C8512A"/>
    <w:rsid w:val="00C85378"/>
    <w:rsid w:val="00C85970"/>
    <w:rsid w:val="00C85E9B"/>
    <w:rsid w:val="00C874C8"/>
    <w:rsid w:val="00C8768B"/>
    <w:rsid w:val="00C90165"/>
    <w:rsid w:val="00C902DA"/>
    <w:rsid w:val="00C90733"/>
    <w:rsid w:val="00C921C4"/>
    <w:rsid w:val="00C9235F"/>
    <w:rsid w:val="00C9257F"/>
    <w:rsid w:val="00C92BF4"/>
    <w:rsid w:val="00C9319C"/>
    <w:rsid w:val="00C934F6"/>
    <w:rsid w:val="00C93874"/>
    <w:rsid w:val="00C93A4C"/>
    <w:rsid w:val="00C944EB"/>
    <w:rsid w:val="00C94856"/>
    <w:rsid w:val="00C94FD2"/>
    <w:rsid w:val="00C95341"/>
    <w:rsid w:val="00C95B76"/>
    <w:rsid w:val="00C964C3"/>
    <w:rsid w:val="00C96635"/>
    <w:rsid w:val="00C966B7"/>
    <w:rsid w:val="00C969DB"/>
    <w:rsid w:val="00C96A6E"/>
    <w:rsid w:val="00C97A4A"/>
    <w:rsid w:val="00C97DC9"/>
    <w:rsid w:val="00C97EE3"/>
    <w:rsid w:val="00CA042A"/>
    <w:rsid w:val="00CA12BA"/>
    <w:rsid w:val="00CA165C"/>
    <w:rsid w:val="00CA1C0D"/>
    <w:rsid w:val="00CA1DAE"/>
    <w:rsid w:val="00CA1E62"/>
    <w:rsid w:val="00CA2267"/>
    <w:rsid w:val="00CA38AD"/>
    <w:rsid w:val="00CA3EEE"/>
    <w:rsid w:val="00CA5098"/>
    <w:rsid w:val="00CA5503"/>
    <w:rsid w:val="00CA66C3"/>
    <w:rsid w:val="00CA6CAD"/>
    <w:rsid w:val="00CA70A8"/>
    <w:rsid w:val="00CA70D0"/>
    <w:rsid w:val="00CA74A4"/>
    <w:rsid w:val="00CA7683"/>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A45"/>
    <w:rsid w:val="00CB4728"/>
    <w:rsid w:val="00CB49A6"/>
    <w:rsid w:val="00CB58E3"/>
    <w:rsid w:val="00CB59E7"/>
    <w:rsid w:val="00CB5D27"/>
    <w:rsid w:val="00CB5E4A"/>
    <w:rsid w:val="00CB6FCA"/>
    <w:rsid w:val="00CB724D"/>
    <w:rsid w:val="00CB73EA"/>
    <w:rsid w:val="00CB76E3"/>
    <w:rsid w:val="00CB7D4E"/>
    <w:rsid w:val="00CB7F1F"/>
    <w:rsid w:val="00CC002B"/>
    <w:rsid w:val="00CC07E5"/>
    <w:rsid w:val="00CC09F0"/>
    <w:rsid w:val="00CC0AB5"/>
    <w:rsid w:val="00CC0C11"/>
    <w:rsid w:val="00CC11DF"/>
    <w:rsid w:val="00CC1F52"/>
    <w:rsid w:val="00CC233F"/>
    <w:rsid w:val="00CC27FD"/>
    <w:rsid w:val="00CC29A4"/>
    <w:rsid w:val="00CC31E8"/>
    <w:rsid w:val="00CC3AB9"/>
    <w:rsid w:val="00CC3C9E"/>
    <w:rsid w:val="00CC45E0"/>
    <w:rsid w:val="00CC4BBE"/>
    <w:rsid w:val="00CC4BC3"/>
    <w:rsid w:val="00CC50C7"/>
    <w:rsid w:val="00CC55AC"/>
    <w:rsid w:val="00CC5859"/>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1C47"/>
    <w:rsid w:val="00CD22C2"/>
    <w:rsid w:val="00CD25F3"/>
    <w:rsid w:val="00CD27FF"/>
    <w:rsid w:val="00CD2875"/>
    <w:rsid w:val="00CD2DF3"/>
    <w:rsid w:val="00CD305C"/>
    <w:rsid w:val="00CD39A2"/>
    <w:rsid w:val="00CD3A6D"/>
    <w:rsid w:val="00CD3E5A"/>
    <w:rsid w:val="00CD3E63"/>
    <w:rsid w:val="00CD40A3"/>
    <w:rsid w:val="00CD4CD3"/>
    <w:rsid w:val="00CD5249"/>
    <w:rsid w:val="00CD589F"/>
    <w:rsid w:val="00CD5BE2"/>
    <w:rsid w:val="00CD60C9"/>
    <w:rsid w:val="00CD6345"/>
    <w:rsid w:val="00CD6BBB"/>
    <w:rsid w:val="00CD6EC2"/>
    <w:rsid w:val="00CD7319"/>
    <w:rsid w:val="00CD7482"/>
    <w:rsid w:val="00CE07C1"/>
    <w:rsid w:val="00CE1567"/>
    <w:rsid w:val="00CE1859"/>
    <w:rsid w:val="00CE1862"/>
    <w:rsid w:val="00CE186F"/>
    <w:rsid w:val="00CE20E3"/>
    <w:rsid w:val="00CE273A"/>
    <w:rsid w:val="00CE321C"/>
    <w:rsid w:val="00CE32E8"/>
    <w:rsid w:val="00CE353C"/>
    <w:rsid w:val="00CE3700"/>
    <w:rsid w:val="00CE3B69"/>
    <w:rsid w:val="00CE4559"/>
    <w:rsid w:val="00CE5118"/>
    <w:rsid w:val="00CE5487"/>
    <w:rsid w:val="00CE59B5"/>
    <w:rsid w:val="00CE59DB"/>
    <w:rsid w:val="00CE5B6A"/>
    <w:rsid w:val="00CE5D3A"/>
    <w:rsid w:val="00CE67D8"/>
    <w:rsid w:val="00CE68EA"/>
    <w:rsid w:val="00CE7381"/>
    <w:rsid w:val="00CE7447"/>
    <w:rsid w:val="00CE74CE"/>
    <w:rsid w:val="00CF0829"/>
    <w:rsid w:val="00CF0E74"/>
    <w:rsid w:val="00CF14E3"/>
    <w:rsid w:val="00CF1833"/>
    <w:rsid w:val="00CF1AEA"/>
    <w:rsid w:val="00CF2091"/>
    <w:rsid w:val="00CF21F6"/>
    <w:rsid w:val="00CF2278"/>
    <w:rsid w:val="00CF2C62"/>
    <w:rsid w:val="00CF2F66"/>
    <w:rsid w:val="00CF337B"/>
    <w:rsid w:val="00CF3FE7"/>
    <w:rsid w:val="00CF4416"/>
    <w:rsid w:val="00CF5762"/>
    <w:rsid w:val="00CF65B4"/>
    <w:rsid w:val="00CF69B0"/>
    <w:rsid w:val="00CF6C05"/>
    <w:rsid w:val="00CF7485"/>
    <w:rsid w:val="00CF764E"/>
    <w:rsid w:val="00CF7E56"/>
    <w:rsid w:val="00D01502"/>
    <w:rsid w:val="00D01744"/>
    <w:rsid w:val="00D01984"/>
    <w:rsid w:val="00D01C03"/>
    <w:rsid w:val="00D025CE"/>
    <w:rsid w:val="00D02A0F"/>
    <w:rsid w:val="00D02CA6"/>
    <w:rsid w:val="00D02DF3"/>
    <w:rsid w:val="00D03181"/>
    <w:rsid w:val="00D03517"/>
    <w:rsid w:val="00D037DC"/>
    <w:rsid w:val="00D0383B"/>
    <w:rsid w:val="00D03A8A"/>
    <w:rsid w:val="00D03DA5"/>
    <w:rsid w:val="00D03F27"/>
    <w:rsid w:val="00D043EE"/>
    <w:rsid w:val="00D0470D"/>
    <w:rsid w:val="00D04BFF"/>
    <w:rsid w:val="00D05249"/>
    <w:rsid w:val="00D055CA"/>
    <w:rsid w:val="00D059FC"/>
    <w:rsid w:val="00D05DEF"/>
    <w:rsid w:val="00D062A6"/>
    <w:rsid w:val="00D06861"/>
    <w:rsid w:val="00D0688A"/>
    <w:rsid w:val="00D06F22"/>
    <w:rsid w:val="00D073D9"/>
    <w:rsid w:val="00D07A9C"/>
    <w:rsid w:val="00D07C0D"/>
    <w:rsid w:val="00D10076"/>
    <w:rsid w:val="00D1033B"/>
    <w:rsid w:val="00D10360"/>
    <w:rsid w:val="00D10477"/>
    <w:rsid w:val="00D107E2"/>
    <w:rsid w:val="00D11D76"/>
    <w:rsid w:val="00D121F5"/>
    <w:rsid w:val="00D126E4"/>
    <w:rsid w:val="00D131BF"/>
    <w:rsid w:val="00D13A90"/>
    <w:rsid w:val="00D140E6"/>
    <w:rsid w:val="00D158EF"/>
    <w:rsid w:val="00D15C14"/>
    <w:rsid w:val="00D15E74"/>
    <w:rsid w:val="00D15FAA"/>
    <w:rsid w:val="00D16C3D"/>
    <w:rsid w:val="00D16ECB"/>
    <w:rsid w:val="00D16EEE"/>
    <w:rsid w:val="00D17167"/>
    <w:rsid w:val="00D17BA5"/>
    <w:rsid w:val="00D2058D"/>
    <w:rsid w:val="00D206A3"/>
    <w:rsid w:val="00D2176E"/>
    <w:rsid w:val="00D2182A"/>
    <w:rsid w:val="00D2193D"/>
    <w:rsid w:val="00D21BCD"/>
    <w:rsid w:val="00D22105"/>
    <w:rsid w:val="00D2211C"/>
    <w:rsid w:val="00D22B55"/>
    <w:rsid w:val="00D22C81"/>
    <w:rsid w:val="00D23055"/>
    <w:rsid w:val="00D230AD"/>
    <w:rsid w:val="00D2320E"/>
    <w:rsid w:val="00D2327A"/>
    <w:rsid w:val="00D234DA"/>
    <w:rsid w:val="00D23C7C"/>
    <w:rsid w:val="00D251AB"/>
    <w:rsid w:val="00D25240"/>
    <w:rsid w:val="00D25AC6"/>
    <w:rsid w:val="00D261D3"/>
    <w:rsid w:val="00D26880"/>
    <w:rsid w:val="00D31125"/>
    <w:rsid w:val="00D319DF"/>
    <w:rsid w:val="00D31C02"/>
    <w:rsid w:val="00D3225E"/>
    <w:rsid w:val="00D324BC"/>
    <w:rsid w:val="00D32B9F"/>
    <w:rsid w:val="00D33565"/>
    <w:rsid w:val="00D33761"/>
    <w:rsid w:val="00D33762"/>
    <w:rsid w:val="00D33A91"/>
    <w:rsid w:val="00D341C7"/>
    <w:rsid w:val="00D344B7"/>
    <w:rsid w:val="00D34BD1"/>
    <w:rsid w:val="00D34D55"/>
    <w:rsid w:val="00D35177"/>
    <w:rsid w:val="00D356CB"/>
    <w:rsid w:val="00D356E1"/>
    <w:rsid w:val="00D40340"/>
    <w:rsid w:val="00D40609"/>
    <w:rsid w:val="00D40983"/>
    <w:rsid w:val="00D41188"/>
    <w:rsid w:val="00D417D3"/>
    <w:rsid w:val="00D418D5"/>
    <w:rsid w:val="00D41940"/>
    <w:rsid w:val="00D41B27"/>
    <w:rsid w:val="00D41DB1"/>
    <w:rsid w:val="00D4249C"/>
    <w:rsid w:val="00D4276D"/>
    <w:rsid w:val="00D42798"/>
    <w:rsid w:val="00D42970"/>
    <w:rsid w:val="00D43AED"/>
    <w:rsid w:val="00D44916"/>
    <w:rsid w:val="00D45AE4"/>
    <w:rsid w:val="00D45CA4"/>
    <w:rsid w:val="00D45EA7"/>
    <w:rsid w:val="00D45F22"/>
    <w:rsid w:val="00D46008"/>
    <w:rsid w:val="00D47178"/>
    <w:rsid w:val="00D4752E"/>
    <w:rsid w:val="00D47842"/>
    <w:rsid w:val="00D47BEF"/>
    <w:rsid w:val="00D50826"/>
    <w:rsid w:val="00D50C9B"/>
    <w:rsid w:val="00D51675"/>
    <w:rsid w:val="00D51F73"/>
    <w:rsid w:val="00D52827"/>
    <w:rsid w:val="00D529BE"/>
    <w:rsid w:val="00D52CF6"/>
    <w:rsid w:val="00D53D3E"/>
    <w:rsid w:val="00D547E0"/>
    <w:rsid w:val="00D54992"/>
    <w:rsid w:val="00D55291"/>
    <w:rsid w:val="00D55C48"/>
    <w:rsid w:val="00D55E47"/>
    <w:rsid w:val="00D56392"/>
    <w:rsid w:val="00D56997"/>
    <w:rsid w:val="00D570E6"/>
    <w:rsid w:val="00D5730F"/>
    <w:rsid w:val="00D5774F"/>
    <w:rsid w:val="00D60809"/>
    <w:rsid w:val="00D60D7F"/>
    <w:rsid w:val="00D61C9C"/>
    <w:rsid w:val="00D62111"/>
    <w:rsid w:val="00D62229"/>
    <w:rsid w:val="00D625B8"/>
    <w:rsid w:val="00D626F8"/>
    <w:rsid w:val="00D62A03"/>
    <w:rsid w:val="00D636DC"/>
    <w:rsid w:val="00D63F14"/>
    <w:rsid w:val="00D63F4C"/>
    <w:rsid w:val="00D64613"/>
    <w:rsid w:val="00D64702"/>
    <w:rsid w:val="00D659FA"/>
    <w:rsid w:val="00D66BFD"/>
    <w:rsid w:val="00D66C91"/>
    <w:rsid w:val="00D674EE"/>
    <w:rsid w:val="00D67535"/>
    <w:rsid w:val="00D67A4D"/>
    <w:rsid w:val="00D67BC9"/>
    <w:rsid w:val="00D67DBC"/>
    <w:rsid w:val="00D704D9"/>
    <w:rsid w:val="00D70934"/>
    <w:rsid w:val="00D70BD2"/>
    <w:rsid w:val="00D713F2"/>
    <w:rsid w:val="00D721B1"/>
    <w:rsid w:val="00D7226B"/>
    <w:rsid w:val="00D72705"/>
    <w:rsid w:val="00D738BF"/>
    <w:rsid w:val="00D73B93"/>
    <w:rsid w:val="00D73C95"/>
    <w:rsid w:val="00D7400F"/>
    <w:rsid w:val="00D745C1"/>
    <w:rsid w:val="00D74784"/>
    <w:rsid w:val="00D756F6"/>
    <w:rsid w:val="00D75731"/>
    <w:rsid w:val="00D75B45"/>
    <w:rsid w:val="00D75B5C"/>
    <w:rsid w:val="00D75F8C"/>
    <w:rsid w:val="00D76050"/>
    <w:rsid w:val="00D76309"/>
    <w:rsid w:val="00D763AF"/>
    <w:rsid w:val="00D76423"/>
    <w:rsid w:val="00D767A9"/>
    <w:rsid w:val="00D767BF"/>
    <w:rsid w:val="00D77278"/>
    <w:rsid w:val="00D7749B"/>
    <w:rsid w:val="00D775B5"/>
    <w:rsid w:val="00D77961"/>
    <w:rsid w:val="00D77A47"/>
    <w:rsid w:val="00D77B20"/>
    <w:rsid w:val="00D77B3B"/>
    <w:rsid w:val="00D8007C"/>
    <w:rsid w:val="00D800BF"/>
    <w:rsid w:val="00D8079F"/>
    <w:rsid w:val="00D80D0D"/>
    <w:rsid w:val="00D8103B"/>
    <w:rsid w:val="00D8111B"/>
    <w:rsid w:val="00D81242"/>
    <w:rsid w:val="00D812D2"/>
    <w:rsid w:val="00D82C80"/>
    <w:rsid w:val="00D82D02"/>
    <w:rsid w:val="00D82D0F"/>
    <w:rsid w:val="00D83A5A"/>
    <w:rsid w:val="00D84157"/>
    <w:rsid w:val="00D84BD7"/>
    <w:rsid w:val="00D84DCA"/>
    <w:rsid w:val="00D85114"/>
    <w:rsid w:val="00D857BC"/>
    <w:rsid w:val="00D85CC6"/>
    <w:rsid w:val="00D86A92"/>
    <w:rsid w:val="00D871B6"/>
    <w:rsid w:val="00D875E1"/>
    <w:rsid w:val="00D87F1E"/>
    <w:rsid w:val="00D90275"/>
    <w:rsid w:val="00D902F5"/>
    <w:rsid w:val="00D9075D"/>
    <w:rsid w:val="00D90959"/>
    <w:rsid w:val="00D91410"/>
    <w:rsid w:val="00D91438"/>
    <w:rsid w:val="00D91594"/>
    <w:rsid w:val="00D91ABE"/>
    <w:rsid w:val="00D91DFB"/>
    <w:rsid w:val="00D92042"/>
    <w:rsid w:val="00D921DA"/>
    <w:rsid w:val="00D92C2F"/>
    <w:rsid w:val="00D92F7F"/>
    <w:rsid w:val="00D930AC"/>
    <w:rsid w:val="00D9385C"/>
    <w:rsid w:val="00D9459D"/>
    <w:rsid w:val="00D94730"/>
    <w:rsid w:val="00D94858"/>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8DA"/>
    <w:rsid w:val="00DA1C31"/>
    <w:rsid w:val="00DA1F0C"/>
    <w:rsid w:val="00DA2231"/>
    <w:rsid w:val="00DA3565"/>
    <w:rsid w:val="00DA3A5B"/>
    <w:rsid w:val="00DA3D0B"/>
    <w:rsid w:val="00DA3F51"/>
    <w:rsid w:val="00DA45DB"/>
    <w:rsid w:val="00DA48D9"/>
    <w:rsid w:val="00DA49F8"/>
    <w:rsid w:val="00DA4AAE"/>
    <w:rsid w:val="00DA5572"/>
    <w:rsid w:val="00DA5D5D"/>
    <w:rsid w:val="00DA6A15"/>
    <w:rsid w:val="00DA6CC2"/>
    <w:rsid w:val="00DA7029"/>
    <w:rsid w:val="00DA77A0"/>
    <w:rsid w:val="00DB09A2"/>
    <w:rsid w:val="00DB103D"/>
    <w:rsid w:val="00DB1448"/>
    <w:rsid w:val="00DB1907"/>
    <w:rsid w:val="00DB1998"/>
    <w:rsid w:val="00DB1FC4"/>
    <w:rsid w:val="00DB21F0"/>
    <w:rsid w:val="00DB2C5F"/>
    <w:rsid w:val="00DB3A58"/>
    <w:rsid w:val="00DB3BDF"/>
    <w:rsid w:val="00DB3C58"/>
    <w:rsid w:val="00DB3D46"/>
    <w:rsid w:val="00DB401C"/>
    <w:rsid w:val="00DB46C8"/>
    <w:rsid w:val="00DB540E"/>
    <w:rsid w:val="00DB5A63"/>
    <w:rsid w:val="00DB6166"/>
    <w:rsid w:val="00DB656B"/>
    <w:rsid w:val="00DB691E"/>
    <w:rsid w:val="00DB6C99"/>
    <w:rsid w:val="00DB75A3"/>
    <w:rsid w:val="00DC0574"/>
    <w:rsid w:val="00DC0C65"/>
    <w:rsid w:val="00DC16BF"/>
    <w:rsid w:val="00DC16E1"/>
    <w:rsid w:val="00DC16FC"/>
    <w:rsid w:val="00DC1881"/>
    <w:rsid w:val="00DC1ED7"/>
    <w:rsid w:val="00DC3A6F"/>
    <w:rsid w:val="00DC3AA5"/>
    <w:rsid w:val="00DC3D1C"/>
    <w:rsid w:val="00DC43E1"/>
    <w:rsid w:val="00DC5199"/>
    <w:rsid w:val="00DC57C2"/>
    <w:rsid w:val="00DC5A32"/>
    <w:rsid w:val="00DC5E4E"/>
    <w:rsid w:val="00DC6281"/>
    <w:rsid w:val="00DC651B"/>
    <w:rsid w:val="00DC662F"/>
    <w:rsid w:val="00DC6E78"/>
    <w:rsid w:val="00DC729A"/>
    <w:rsid w:val="00DC73B1"/>
    <w:rsid w:val="00DC7519"/>
    <w:rsid w:val="00DC7630"/>
    <w:rsid w:val="00DC7EB5"/>
    <w:rsid w:val="00DD04AC"/>
    <w:rsid w:val="00DD04DD"/>
    <w:rsid w:val="00DD0891"/>
    <w:rsid w:val="00DD0B35"/>
    <w:rsid w:val="00DD0C4D"/>
    <w:rsid w:val="00DD0F9F"/>
    <w:rsid w:val="00DD11A7"/>
    <w:rsid w:val="00DD1298"/>
    <w:rsid w:val="00DD1A9F"/>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CB6"/>
    <w:rsid w:val="00DE0077"/>
    <w:rsid w:val="00DE0137"/>
    <w:rsid w:val="00DE01BA"/>
    <w:rsid w:val="00DE0DCF"/>
    <w:rsid w:val="00DE137B"/>
    <w:rsid w:val="00DE19D9"/>
    <w:rsid w:val="00DE1DC6"/>
    <w:rsid w:val="00DE1F77"/>
    <w:rsid w:val="00DE21C6"/>
    <w:rsid w:val="00DE22AA"/>
    <w:rsid w:val="00DE288F"/>
    <w:rsid w:val="00DE2C45"/>
    <w:rsid w:val="00DE2D49"/>
    <w:rsid w:val="00DE2F4E"/>
    <w:rsid w:val="00DE3E66"/>
    <w:rsid w:val="00DE3F75"/>
    <w:rsid w:val="00DE41FC"/>
    <w:rsid w:val="00DE45F5"/>
    <w:rsid w:val="00DE4AAD"/>
    <w:rsid w:val="00DE4C0C"/>
    <w:rsid w:val="00DE4FC8"/>
    <w:rsid w:val="00DE53B5"/>
    <w:rsid w:val="00DE5A50"/>
    <w:rsid w:val="00DE60C5"/>
    <w:rsid w:val="00DE6D0C"/>
    <w:rsid w:val="00DE7323"/>
    <w:rsid w:val="00DE75F0"/>
    <w:rsid w:val="00DE77CB"/>
    <w:rsid w:val="00DE795A"/>
    <w:rsid w:val="00DE7EBA"/>
    <w:rsid w:val="00DF0040"/>
    <w:rsid w:val="00DF04BD"/>
    <w:rsid w:val="00DF068D"/>
    <w:rsid w:val="00DF0D3A"/>
    <w:rsid w:val="00DF140A"/>
    <w:rsid w:val="00DF1A9A"/>
    <w:rsid w:val="00DF1C2D"/>
    <w:rsid w:val="00DF1F8A"/>
    <w:rsid w:val="00DF2209"/>
    <w:rsid w:val="00DF248E"/>
    <w:rsid w:val="00DF3577"/>
    <w:rsid w:val="00DF3C7C"/>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07514"/>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2FF"/>
    <w:rsid w:val="00E14EFA"/>
    <w:rsid w:val="00E151B9"/>
    <w:rsid w:val="00E158C4"/>
    <w:rsid w:val="00E161E6"/>
    <w:rsid w:val="00E167C9"/>
    <w:rsid w:val="00E1698C"/>
    <w:rsid w:val="00E16BDB"/>
    <w:rsid w:val="00E172BE"/>
    <w:rsid w:val="00E17991"/>
    <w:rsid w:val="00E17CF7"/>
    <w:rsid w:val="00E205D6"/>
    <w:rsid w:val="00E209AB"/>
    <w:rsid w:val="00E216EC"/>
    <w:rsid w:val="00E2189A"/>
    <w:rsid w:val="00E21A60"/>
    <w:rsid w:val="00E22B5A"/>
    <w:rsid w:val="00E22B68"/>
    <w:rsid w:val="00E22CFD"/>
    <w:rsid w:val="00E231C9"/>
    <w:rsid w:val="00E237EB"/>
    <w:rsid w:val="00E23EBF"/>
    <w:rsid w:val="00E23FD5"/>
    <w:rsid w:val="00E24669"/>
    <w:rsid w:val="00E24836"/>
    <w:rsid w:val="00E24C48"/>
    <w:rsid w:val="00E24EE4"/>
    <w:rsid w:val="00E25981"/>
    <w:rsid w:val="00E26141"/>
    <w:rsid w:val="00E261A6"/>
    <w:rsid w:val="00E266F5"/>
    <w:rsid w:val="00E26C97"/>
    <w:rsid w:val="00E26CCC"/>
    <w:rsid w:val="00E270D3"/>
    <w:rsid w:val="00E27FC7"/>
    <w:rsid w:val="00E3050B"/>
    <w:rsid w:val="00E30700"/>
    <w:rsid w:val="00E31360"/>
    <w:rsid w:val="00E31BB3"/>
    <w:rsid w:val="00E31D28"/>
    <w:rsid w:val="00E32425"/>
    <w:rsid w:val="00E32506"/>
    <w:rsid w:val="00E3252C"/>
    <w:rsid w:val="00E325FF"/>
    <w:rsid w:val="00E32938"/>
    <w:rsid w:val="00E32CB8"/>
    <w:rsid w:val="00E32EB7"/>
    <w:rsid w:val="00E3440F"/>
    <w:rsid w:val="00E34F3A"/>
    <w:rsid w:val="00E35F99"/>
    <w:rsid w:val="00E35F9A"/>
    <w:rsid w:val="00E3637F"/>
    <w:rsid w:val="00E364B6"/>
    <w:rsid w:val="00E36723"/>
    <w:rsid w:val="00E3713C"/>
    <w:rsid w:val="00E37470"/>
    <w:rsid w:val="00E3767B"/>
    <w:rsid w:val="00E37E1C"/>
    <w:rsid w:val="00E40126"/>
    <w:rsid w:val="00E4013B"/>
    <w:rsid w:val="00E40BC3"/>
    <w:rsid w:val="00E40C85"/>
    <w:rsid w:val="00E40CBF"/>
    <w:rsid w:val="00E40E7D"/>
    <w:rsid w:val="00E40EE4"/>
    <w:rsid w:val="00E413C6"/>
    <w:rsid w:val="00E4141C"/>
    <w:rsid w:val="00E420D5"/>
    <w:rsid w:val="00E42517"/>
    <w:rsid w:val="00E42600"/>
    <w:rsid w:val="00E42948"/>
    <w:rsid w:val="00E42D55"/>
    <w:rsid w:val="00E42E95"/>
    <w:rsid w:val="00E42FFE"/>
    <w:rsid w:val="00E43050"/>
    <w:rsid w:val="00E4316E"/>
    <w:rsid w:val="00E435AB"/>
    <w:rsid w:val="00E44275"/>
    <w:rsid w:val="00E44705"/>
    <w:rsid w:val="00E44777"/>
    <w:rsid w:val="00E44F67"/>
    <w:rsid w:val="00E4535F"/>
    <w:rsid w:val="00E455E3"/>
    <w:rsid w:val="00E466BC"/>
    <w:rsid w:val="00E4686A"/>
    <w:rsid w:val="00E469F2"/>
    <w:rsid w:val="00E46EE9"/>
    <w:rsid w:val="00E479FD"/>
    <w:rsid w:val="00E47CE9"/>
    <w:rsid w:val="00E47F1A"/>
    <w:rsid w:val="00E504D6"/>
    <w:rsid w:val="00E50B6F"/>
    <w:rsid w:val="00E50EBE"/>
    <w:rsid w:val="00E50F69"/>
    <w:rsid w:val="00E50FC6"/>
    <w:rsid w:val="00E5227B"/>
    <w:rsid w:val="00E52372"/>
    <w:rsid w:val="00E5265A"/>
    <w:rsid w:val="00E52786"/>
    <w:rsid w:val="00E52F05"/>
    <w:rsid w:val="00E5312A"/>
    <w:rsid w:val="00E53579"/>
    <w:rsid w:val="00E540CA"/>
    <w:rsid w:val="00E54F3A"/>
    <w:rsid w:val="00E55560"/>
    <w:rsid w:val="00E55B28"/>
    <w:rsid w:val="00E55FCD"/>
    <w:rsid w:val="00E5642F"/>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3DA2"/>
    <w:rsid w:val="00E641E8"/>
    <w:rsid w:val="00E642AF"/>
    <w:rsid w:val="00E644C6"/>
    <w:rsid w:val="00E64555"/>
    <w:rsid w:val="00E64595"/>
    <w:rsid w:val="00E646BB"/>
    <w:rsid w:val="00E64D24"/>
    <w:rsid w:val="00E64FAF"/>
    <w:rsid w:val="00E653A6"/>
    <w:rsid w:val="00E6549C"/>
    <w:rsid w:val="00E654B9"/>
    <w:rsid w:val="00E655D4"/>
    <w:rsid w:val="00E6589D"/>
    <w:rsid w:val="00E65DBD"/>
    <w:rsid w:val="00E65E8C"/>
    <w:rsid w:val="00E665E7"/>
    <w:rsid w:val="00E66C96"/>
    <w:rsid w:val="00E66D89"/>
    <w:rsid w:val="00E67D87"/>
    <w:rsid w:val="00E70130"/>
    <w:rsid w:val="00E70D73"/>
    <w:rsid w:val="00E71063"/>
    <w:rsid w:val="00E715FC"/>
    <w:rsid w:val="00E71A45"/>
    <w:rsid w:val="00E71B55"/>
    <w:rsid w:val="00E71C21"/>
    <w:rsid w:val="00E729F7"/>
    <w:rsid w:val="00E72F23"/>
    <w:rsid w:val="00E730FC"/>
    <w:rsid w:val="00E73481"/>
    <w:rsid w:val="00E737D1"/>
    <w:rsid w:val="00E7385A"/>
    <w:rsid w:val="00E7391F"/>
    <w:rsid w:val="00E73CE6"/>
    <w:rsid w:val="00E74780"/>
    <w:rsid w:val="00E74956"/>
    <w:rsid w:val="00E752F7"/>
    <w:rsid w:val="00E75848"/>
    <w:rsid w:val="00E759D4"/>
    <w:rsid w:val="00E7631B"/>
    <w:rsid w:val="00E76348"/>
    <w:rsid w:val="00E76A3C"/>
    <w:rsid w:val="00E76F9B"/>
    <w:rsid w:val="00E77060"/>
    <w:rsid w:val="00E771FC"/>
    <w:rsid w:val="00E773E5"/>
    <w:rsid w:val="00E77BDD"/>
    <w:rsid w:val="00E806D3"/>
    <w:rsid w:val="00E81C34"/>
    <w:rsid w:val="00E81D83"/>
    <w:rsid w:val="00E821BB"/>
    <w:rsid w:val="00E822E9"/>
    <w:rsid w:val="00E826FE"/>
    <w:rsid w:val="00E8275E"/>
    <w:rsid w:val="00E827AF"/>
    <w:rsid w:val="00E82843"/>
    <w:rsid w:val="00E82DE9"/>
    <w:rsid w:val="00E83253"/>
    <w:rsid w:val="00E83714"/>
    <w:rsid w:val="00E83831"/>
    <w:rsid w:val="00E844AB"/>
    <w:rsid w:val="00E84C97"/>
    <w:rsid w:val="00E85005"/>
    <w:rsid w:val="00E85296"/>
    <w:rsid w:val="00E8533B"/>
    <w:rsid w:val="00E85E4E"/>
    <w:rsid w:val="00E86327"/>
    <w:rsid w:val="00E86A7A"/>
    <w:rsid w:val="00E86DF0"/>
    <w:rsid w:val="00E8788A"/>
    <w:rsid w:val="00E87BD2"/>
    <w:rsid w:val="00E87CDC"/>
    <w:rsid w:val="00E90B33"/>
    <w:rsid w:val="00E911E0"/>
    <w:rsid w:val="00E93407"/>
    <w:rsid w:val="00E940A8"/>
    <w:rsid w:val="00E947E8"/>
    <w:rsid w:val="00E94B0F"/>
    <w:rsid w:val="00E9503F"/>
    <w:rsid w:val="00E956F3"/>
    <w:rsid w:val="00E96E68"/>
    <w:rsid w:val="00E97013"/>
    <w:rsid w:val="00E97EA1"/>
    <w:rsid w:val="00EA0BBE"/>
    <w:rsid w:val="00EA1650"/>
    <w:rsid w:val="00EA1FBC"/>
    <w:rsid w:val="00EA20A1"/>
    <w:rsid w:val="00EA212B"/>
    <w:rsid w:val="00EA24B5"/>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75BD"/>
    <w:rsid w:val="00EA7C47"/>
    <w:rsid w:val="00EB0B39"/>
    <w:rsid w:val="00EB0F0F"/>
    <w:rsid w:val="00EB1230"/>
    <w:rsid w:val="00EB12A5"/>
    <w:rsid w:val="00EB1DEF"/>
    <w:rsid w:val="00EB24D8"/>
    <w:rsid w:val="00EB2732"/>
    <w:rsid w:val="00EB277B"/>
    <w:rsid w:val="00EB2F20"/>
    <w:rsid w:val="00EB2F35"/>
    <w:rsid w:val="00EB31DB"/>
    <w:rsid w:val="00EB3422"/>
    <w:rsid w:val="00EB3A31"/>
    <w:rsid w:val="00EB4EAF"/>
    <w:rsid w:val="00EB5424"/>
    <w:rsid w:val="00EB548E"/>
    <w:rsid w:val="00EB5C41"/>
    <w:rsid w:val="00EB5F5A"/>
    <w:rsid w:val="00EB656C"/>
    <w:rsid w:val="00EB657E"/>
    <w:rsid w:val="00EB695E"/>
    <w:rsid w:val="00EB69D1"/>
    <w:rsid w:val="00EB69D4"/>
    <w:rsid w:val="00EB6FE9"/>
    <w:rsid w:val="00EB72FF"/>
    <w:rsid w:val="00EB756F"/>
    <w:rsid w:val="00EB79C8"/>
    <w:rsid w:val="00EB7E78"/>
    <w:rsid w:val="00EC0301"/>
    <w:rsid w:val="00EC08B5"/>
    <w:rsid w:val="00EC09C6"/>
    <w:rsid w:val="00EC0AC1"/>
    <w:rsid w:val="00EC0EA5"/>
    <w:rsid w:val="00EC1056"/>
    <w:rsid w:val="00EC1470"/>
    <w:rsid w:val="00EC222E"/>
    <w:rsid w:val="00EC2716"/>
    <w:rsid w:val="00EC27F3"/>
    <w:rsid w:val="00EC2D11"/>
    <w:rsid w:val="00EC2DBB"/>
    <w:rsid w:val="00EC358E"/>
    <w:rsid w:val="00EC3FD2"/>
    <w:rsid w:val="00EC4095"/>
    <w:rsid w:val="00EC43B5"/>
    <w:rsid w:val="00EC4537"/>
    <w:rsid w:val="00EC4960"/>
    <w:rsid w:val="00EC4AE3"/>
    <w:rsid w:val="00EC5414"/>
    <w:rsid w:val="00EC54EE"/>
    <w:rsid w:val="00EC59B2"/>
    <w:rsid w:val="00EC5A3B"/>
    <w:rsid w:val="00EC5BC0"/>
    <w:rsid w:val="00EC6424"/>
    <w:rsid w:val="00EC786C"/>
    <w:rsid w:val="00EC7ADD"/>
    <w:rsid w:val="00EC7C26"/>
    <w:rsid w:val="00ED04FE"/>
    <w:rsid w:val="00ED0DD0"/>
    <w:rsid w:val="00ED1122"/>
    <w:rsid w:val="00ED1989"/>
    <w:rsid w:val="00ED21A9"/>
    <w:rsid w:val="00ED28F2"/>
    <w:rsid w:val="00ED3145"/>
    <w:rsid w:val="00ED3309"/>
    <w:rsid w:val="00ED33DC"/>
    <w:rsid w:val="00ED356E"/>
    <w:rsid w:val="00ED3792"/>
    <w:rsid w:val="00ED3BDA"/>
    <w:rsid w:val="00ED4721"/>
    <w:rsid w:val="00ED4A94"/>
    <w:rsid w:val="00ED5A3B"/>
    <w:rsid w:val="00ED5C30"/>
    <w:rsid w:val="00ED5E02"/>
    <w:rsid w:val="00ED5EED"/>
    <w:rsid w:val="00ED612A"/>
    <w:rsid w:val="00ED6846"/>
    <w:rsid w:val="00ED6B1C"/>
    <w:rsid w:val="00ED6CF7"/>
    <w:rsid w:val="00ED6F33"/>
    <w:rsid w:val="00ED7716"/>
    <w:rsid w:val="00ED7737"/>
    <w:rsid w:val="00ED7747"/>
    <w:rsid w:val="00ED77D8"/>
    <w:rsid w:val="00ED7ABC"/>
    <w:rsid w:val="00ED7CF4"/>
    <w:rsid w:val="00ED7FA2"/>
    <w:rsid w:val="00EE0786"/>
    <w:rsid w:val="00EE1B0E"/>
    <w:rsid w:val="00EE22FB"/>
    <w:rsid w:val="00EE2407"/>
    <w:rsid w:val="00EE26AE"/>
    <w:rsid w:val="00EE29C8"/>
    <w:rsid w:val="00EE2A54"/>
    <w:rsid w:val="00EE2FC2"/>
    <w:rsid w:val="00EE3B6B"/>
    <w:rsid w:val="00EE3B88"/>
    <w:rsid w:val="00EE4B75"/>
    <w:rsid w:val="00EE4D34"/>
    <w:rsid w:val="00EE4DBD"/>
    <w:rsid w:val="00EE5E1D"/>
    <w:rsid w:val="00EE6AC6"/>
    <w:rsid w:val="00EE6E26"/>
    <w:rsid w:val="00EE784F"/>
    <w:rsid w:val="00EE7A1D"/>
    <w:rsid w:val="00EE7DBD"/>
    <w:rsid w:val="00EE7E4D"/>
    <w:rsid w:val="00EF042F"/>
    <w:rsid w:val="00EF0500"/>
    <w:rsid w:val="00EF0553"/>
    <w:rsid w:val="00EF0808"/>
    <w:rsid w:val="00EF1002"/>
    <w:rsid w:val="00EF143F"/>
    <w:rsid w:val="00EF1D3B"/>
    <w:rsid w:val="00EF236B"/>
    <w:rsid w:val="00EF23D8"/>
    <w:rsid w:val="00EF2678"/>
    <w:rsid w:val="00EF2A5A"/>
    <w:rsid w:val="00EF2A87"/>
    <w:rsid w:val="00EF3A74"/>
    <w:rsid w:val="00EF3AE9"/>
    <w:rsid w:val="00EF3EA5"/>
    <w:rsid w:val="00EF49FB"/>
    <w:rsid w:val="00EF55D6"/>
    <w:rsid w:val="00EF644D"/>
    <w:rsid w:val="00EF6BAD"/>
    <w:rsid w:val="00EF6D29"/>
    <w:rsid w:val="00EF7138"/>
    <w:rsid w:val="00EF7D1F"/>
    <w:rsid w:val="00EF7E0B"/>
    <w:rsid w:val="00F00725"/>
    <w:rsid w:val="00F00881"/>
    <w:rsid w:val="00F00917"/>
    <w:rsid w:val="00F00B65"/>
    <w:rsid w:val="00F010BB"/>
    <w:rsid w:val="00F012C1"/>
    <w:rsid w:val="00F0175F"/>
    <w:rsid w:val="00F01A41"/>
    <w:rsid w:val="00F01B39"/>
    <w:rsid w:val="00F01B5A"/>
    <w:rsid w:val="00F0276D"/>
    <w:rsid w:val="00F03280"/>
    <w:rsid w:val="00F0362A"/>
    <w:rsid w:val="00F0385C"/>
    <w:rsid w:val="00F03894"/>
    <w:rsid w:val="00F03ABE"/>
    <w:rsid w:val="00F03B69"/>
    <w:rsid w:val="00F04345"/>
    <w:rsid w:val="00F047A4"/>
    <w:rsid w:val="00F04F52"/>
    <w:rsid w:val="00F0510F"/>
    <w:rsid w:val="00F05188"/>
    <w:rsid w:val="00F0563F"/>
    <w:rsid w:val="00F064EF"/>
    <w:rsid w:val="00F06558"/>
    <w:rsid w:val="00F06F42"/>
    <w:rsid w:val="00F07122"/>
    <w:rsid w:val="00F074C9"/>
    <w:rsid w:val="00F07C82"/>
    <w:rsid w:val="00F07F5E"/>
    <w:rsid w:val="00F1001E"/>
    <w:rsid w:val="00F1055F"/>
    <w:rsid w:val="00F106BB"/>
    <w:rsid w:val="00F11027"/>
    <w:rsid w:val="00F111BA"/>
    <w:rsid w:val="00F116DD"/>
    <w:rsid w:val="00F11AD3"/>
    <w:rsid w:val="00F11D9F"/>
    <w:rsid w:val="00F11E31"/>
    <w:rsid w:val="00F12C53"/>
    <w:rsid w:val="00F1360C"/>
    <w:rsid w:val="00F13AA1"/>
    <w:rsid w:val="00F13F2A"/>
    <w:rsid w:val="00F14D9E"/>
    <w:rsid w:val="00F15097"/>
    <w:rsid w:val="00F153F8"/>
    <w:rsid w:val="00F15671"/>
    <w:rsid w:val="00F1643E"/>
    <w:rsid w:val="00F16695"/>
    <w:rsid w:val="00F16811"/>
    <w:rsid w:val="00F1733F"/>
    <w:rsid w:val="00F173CF"/>
    <w:rsid w:val="00F179C0"/>
    <w:rsid w:val="00F202E3"/>
    <w:rsid w:val="00F20C6E"/>
    <w:rsid w:val="00F20D6C"/>
    <w:rsid w:val="00F20F03"/>
    <w:rsid w:val="00F22267"/>
    <w:rsid w:val="00F2255F"/>
    <w:rsid w:val="00F225CF"/>
    <w:rsid w:val="00F22882"/>
    <w:rsid w:val="00F22985"/>
    <w:rsid w:val="00F22AEF"/>
    <w:rsid w:val="00F22F7A"/>
    <w:rsid w:val="00F2343C"/>
    <w:rsid w:val="00F23CFC"/>
    <w:rsid w:val="00F24076"/>
    <w:rsid w:val="00F240CB"/>
    <w:rsid w:val="00F2492F"/>
    <w:rsid w:val="00F24B16"/>
    <w:rsid w:val="00F2500D"/>
    <w:rsid w:val="00F253C3"/>
    <w:rsid w:val="00F2596D"/>
    <w:rsid w:val="00F25CAA"/>
    <w:rsid w:val="00F26463"/>
    <w:rsid w:val="00F26AD6"/>
    <w:rsid w:val="00F2711C"/>
    <w:rsid w:val="00F27253"/>
    <w:rsid w:val="00F27327"/>
    <w:rsid w:val="00F277E8"/>
    <w:rsid w:val="00F27B04"/>
    <w:rsid w:val="00F27E3D"/>
    <w:rsid w:val="00F27EB2"/>
    <w:rsid w:val="00F301D0"/>
    <w:rsid w:val="00F30574"/>
    <w:rsid w:val="00F3069F"/>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000"/>
    <w:rsid w:val="00F35506"/>
    <w:rsid w:val="00F356D5"/>
    <w:rsid w:val="00F359A5"/>
    <w:rsid w:val="00F361AE"/>
    <w:rsid w:val="00F36240"/>
    <w:rsid w:val="00F363EB"/>
    <w:rsid w:val="00F365BA"/>
    <w:rsid w:val="00F365DE"/>
    <w:rsid w:val="00F366DA"/>
    <w:rsid w:val="00F367CF"/>
    <w:rsid w:val="00F36D37"/>
    <w:rsid w:val="00F3719A"/>
    <w:rsid w:val="00F379BF"/>
    <w:rsid w:val="00F37EA7"/>
    <w:rsid w:val="00F40505"/>
    <w:rsid w:val="00F40805"/>
    <w:rsid w:val="00F40B93"/>
    <w:rsid w:val="00F40C5E"/>
    <w:rsid w:val="00F40E3E"/>
    <w:rsid w:val="00F4163A"/>
    <w:rsid w:val="00F41873"/>
    <w:rsid w:val="00F419C3"/>
    <w:rsid w:val="00F41D91"/>
    <w:rsid w:val="00F41E2B"/>
    <w:rsid w:val="00F423BE"/>
    <w:rsid w:val="00F424A5"/>
    <w:rsid w:val="00F425EF"/>
    <w:rsid w:val="00F428AC"/>
    <w:rsid w:val="00F42EE3"/>
    <w:rsid w:val="00F43149"/>
    <w:rsid w:val="00F43660"/>
    <w:rsid w:val="00F43888"/>
    <w:rsid w:val="00F43B91"/>
    <w:rsid w:val="00F44542"/>
    <w:rsid w:val="00F448DD"/>
    <w:rsid w:val="00F44D6A"/>
    <w:rsid w:val="00F44DB8"/>
    <w:rsid w:val="00F45760"/>
    <w:rsid w:val="00F45836"/>
    <w:rsid w:val="00F45925"/>
    <w:rsid w:val="00F46BA6"/>
    <w:rsid w:val="00F46C97"/>
    <w:rsid w:val="00F4703E"/>
    <w:rsid w:val="00F4775F"/>
    <w:rsid w:val="00F47C3D"/>
    <w:rsid w:val="00F50781"/>
    <w:rsid w:val="00F50AD0"/>
    <w:rsid w:val="00F50CA3"/>
    <w:rsid w:val="00F517ED"/>
    <w:rsid w:val="00F5195A"/>
    <w:rsid w:val="00F51A7A"/>
    <w:rsid w:val="00F51F3F"/>
    <w:rsid w:val="00F528B5"/>
    <w:rsid w:val="00F528E7"/>
    <w:rsid w:val="00F52C8A"/>
    <w:rsid w:val="00F5352D"/>
    <w:rsid w:val="00F53615"/>
    <w:rsid w:val="00F53A91"/>
    <w:rsid w:val="00F54783"/>
    <w:rsid w:val="00F547E9"/>
    <w:rsid w:val="00F5494E"/>
    <w:rsid w:val="00F54ABD"/>
    <w:rsid w:val="00F54ABE"/>
    <w:rsid w:val="00F55804"/>
    <w:rsid w:val="00F55F1A"/>
    <w:rsid w:val="00F5629D"/>
    <w:rsid w:val="00F56310"/>
    <w:rsid w:val="00F5684C"/>
    <w:rsid w:val="00F57210"/>
    <w:rsid w:val="00F577FC"/>
    <w:rsid w:val="00F60241"/>
    <w:rsid w:val="00F602F0"/>
    <w:rsid w:val="00F60622"/>
    <w:rsid w:val="00F60C90"/>
    <w:rsid w:val="00F619EE"/>
    <w:rsid w:val="00F61AF8"/>
    <w:rsid w:val="00F61CF5"/>
    <w:rsid w:val="00F61FF9"/>
    <w:rsid w:val="00F62069"/>
    <w:rsid w:val="00F62159"/>
    <w:rsid w:val="00F625CC"/>
    <w:rsid w:val="00F62A7C"/>
    <w:rsid w:val="00F62B93"/>
    <w:rsid w:val="00F633E5"/>
    <w:rsid w:val="00F63C89"/>
    <w:rsid w:val="00F647EC"/>
    <w:rsid w:val="00F64FAB"/>
    <w:rsid w:val="00F65AC8"/>
    <w:rsid w:val="00F65CEA"/>
    <w:rsid w:val="00F65EED"/>
    <w:rsid w:val="00F65F15"/>
    <w:rsid w:val="00F66443"/>
    <w:rsid w:val="00F675EA"/>
    <w:rsid w:val="00F7074A"/>
    <w:rsid w:val="00F70AD6"/>
    <w:rsid w:val="00F710A5"/>
    <w:rsid w:val="00F71687"/>
    <w:rsid w:val="00F71708"/>
    <w:rsid w:val="00F717C1"/>
    <w:rsid w:val="00F71AAE"/>
    <w:rsid w:val="00F71CDB"/>
    <w:rsid w:val="00F725D3"/>
    <w:rsid w:val="00F7281E"/>
    <w:rsid w:val="00F72C1A"/>
    <w:rsid w:val="00F72C3D"/>
    <w:rsid w:val="00F737AB"/>
    <w:rsid w:val="00F73992"/>
    <w:rsid w:val="00F7406A"/>
    <w:rsid w:val="00F74216"/>
    <w:rsid w:val="00F74F0F"/>
    <w:rsid w:val="00F75731"/>
    <w:rsid w:val="00F75841"/>
    <w:rsid w:val="00F76333"/>
    <w:rsid w:val="00F77100"/>
    <w:rsid w:val="00F77718"/>
    <w:rsid w:val="00F8090F"/>
    <w:rsid w:val="00F80B4B"/>
    <w:rsid w:val="00F8139A"/>
    <w:rsid w:val="00F82AAE"/>
    <w:rsid w:val="00F834BE"/>
    <w:rsid w:val="00F838A9"/>
    <w:rsid w:val="00F849E3"/>
    <w:rsid w:val="00F84B4E"/>
    <w:rsid w:val="00F84C44"/>
    <w:rsid w:val="00F851B7"/>
    <w:rsid w:val="00F8566C"/>
    <w:rsid w:val="00F858D4"/>
    <w:rsid w:val="00F85C65"/>
    <w:rsid w:val="00F860EB"/>
    <w:rsid w:val="00F868B6"/>
    <w:rsid w:val="00F86968"/>
    <w:rsid w:val="00F86E42"/>
    <w:rsid w:val="00F87354"/>
    <w:rsid w:val="00F876E6"/>
    <w:rsid w:val="00F87825"/>
    <w:rsid w:val="00F87838"/>
    <w:rsid w:val="00F879E8"/>
    <w:rsid w:val="00F87FCE"/>
    <w:rsid w:val="00F9008B"/>
    <w:rsid w:val="00F909C7"/>
    <w:rsid w:val="00F91669"/>
    <w:rsid w:val="00F916DE"/>
    <w:rsid w:val="00F9184F"/>
    <w:rsid w:val="00F91943"/>
    <w:rsid w:val="00F91C08"/>
    <w:rsid w:val="00F9231D"/>
    <w:rsid w:val="00F92A66"/>
    <w:rsid w:val="00F931CF"/>
    <w:rsid w:val="00F93A31"/>
    <w:rsid w:val="00F93D6E"/>
    <w:rsid w:val="00F9423D"/>
    <w:rsid w:val="00F94609"/>
    <w:rsid w:val="00F95182"/>
    <w:rsid w:val="00F95625"/>
    <w:rsid w:val="00F957D2"/>
    <w:rsid w:val="00F95D94"/>
    <w:rsid w:val="00F96F86"/>
    <w:rsid w:val="00F977ED"/>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629"/>
    <w:rsid w:val="00FA57D1"/>
    <w:rsid w:val="00FA67E3"/>
    <w:rsid w:val="00FA7157"/>
    <w:rsid w:val="00FA73A6"/>
    <w:rsid w:val="00FA7698"/>
    <w:rsid w:val="00FA78C2"/>
    <w:rsid w:val="00FA7A2D"/>
    <w:rsid w:val="00FA7B4F"/>
    <w:rsid w:val="00FA7DA6"/>
    <w:rsid w:val="00FB02F8"/>
    <w:rsid w:val="00FB06E7"/>
    <w:rsid w:val="00FB0822"/>
    <w:rsid w:val="00FB0C65"/>
    <w:rsid w:val="00FB1093"/>
    <w:rsid w:val="00FB13A0"/>
    <w:rsid w:val="00FB227E"/>
    <w:rsid w:val="00FB267D"/>
    <w:rsid w:val="00FB29E5"/>
    <w:rsid w:val="00FB2A18"/>
    <w:rsid w:val="00FB2BF4"/>
    <w:rsid w:val="00FB2C8D"/>
    <w:rsid w:val="00FB2DC6"/>
    <w:rsid w:val="00FB4926"/>
    <w:rsid w:val="00FB59D4"/>
    <w:rsid w:val="00FB5E81"/>
    <w:rsid w:val="00FB6E6C"/>
    <w:rsid w:val="00FB71B0"/>
    <w:rsid w:val="00FB7ABA"/>
    <w:rsid w:val="00FB7C21"/>
    <w:rsid w:val="00FB7C46"/>
    <w:rsid w:val="00FC04E0"/>
    <w:rsid w:val="00FC0D98"/>
    <w:rsid w:val="00FC0E2F"/>
    <w:rsid w:val="00FC1042"/>
    <w:rsid w:val="00FC11C6"/>
    <w:rsid w:val="00FC1370"/>
    <w:rsid w:val="00FC17D8"/>
    <w:rsid w:val="00FC279A"/>
    <w:rsid w:val="00FC324D"/>
    <w:rsid w:val="00FC39A1"/>
    <w:rsid w:val="00FC3BC3"/>
    <w:rsid w:val="00FC3E47"/>
    <w:rsid w:val="00FC4B53"/>
    <w:rsid w:val="00FC4BAE"/>
    <w:rsid w:val="00FC4F75"/>
    <w:rsid w:val="00FC5160"/>
    <w:rsid w:val="00FC5A36"/>
    <w:rsid w:val="00FC6353"/>
    <w:rsid w:val="00FC69CF"/>
    <w:rsid w:val="00FC6B0B"/>
    <w:rsid w:val="00FC6C22"/>
    <w:rsid w:val="00FC713B"/>
    <w:rsid w:val="00FC7862"/>
    <w:rsid w:val="00FC79D5"/>
    <w:rsid w:val="00FC7B35"/>
    <w:rsid w:val="00FC7B53"/>
    <w:rsid w:val="00FC7BD8"/>
    <w:rsid w:val="00FD0177"/>
    <w:rsid w:val="00FD0AE7"/>
    <w:rsid w:val="00FD0B44"/>
    <w:rsid w:val="00FD0F70"/>
    <w:rsid w:val="00FD1312"/>
    <w:rsid w:val="00FD2315"/>
    <w:rsid w:val="00FD29A7"/>
    <w:rsid w:val="00FD2B15"/>
    <w:rsid w:val="00FD3092"/>
    <w:rsid w:val="00FD336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7DC"/>
    <w:rsid w:val="00FE08FB"/>
    <w:rsid w:val="00FE1116"/>
    <w:rsid w:val="00FE2075"/>
    <w:rsid w:val="00FE2080"/>
    <w:rsid w:val="00FE27B9"/>
    <w:rsid w:val="00FE2E37"/>
    <w:rsid w:val="00FE3640"/>
    <w:rsid w:val="00FE3780"/>
    <w:rsid w:val="00FE3954"/>
    <w:rsid w:val="00FE3CF7"/>
    <w:rsid w:val="00FE3E50"/>
    <w:rsid w:val="00FE4071"/>
    <w:rsid w:val="00FE42E3"/>
    <w:rsid w:val="00FE4953"/>
    <w:rsid w:val="00FE4ECD"/>
    <w:rsid w:val="00FE52B7"/>
    <w:rsid w:val="00FE53C5"/>
    <w:rsid w:val="00FE56A8"/>
    <w:rsid w:val="00FE5807"/>
    <w:rsid w:val="00FE5C39"/>
    <w:rsid w:val="00FE5C57"/>
    <w:rsid w:val="00FE624E"/>
    <w:rsid w:val="00FE6415"/>
    <w:rsid w:val="00FE69E7"/>
    <w:rsid w:val="00FE6BB8"/>
    <w:rsid w:val="00FE6E76"/>
    <w:rsid w:val="00FE6F5A"/>
    <w:rsid w:val="00FF027B"/>
    <w:rsid w:val="00FF1174"/>
    <w:rsid w:val="00FF165A"/>
    <w:rsid w:val="00FF1B72"/>
    <w:rsid w:val="00FF1CF1"/>
    <w:rsid w:val="00FF1F4C"/>
    <w:rsid w:val="00FF228F"/>
    <w:rsid w:val="00FF324B"/>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0FF7634"/>
    <w:rsid w:val="00FF779B"/>
    <w:rsid w:val="01531E01"/>
    <w:rsid w:val="017E3F71"/>
    <w:rsid w:val="01AA2C10"/>
    <w:rsid w:val="01AA5B27"/>
    <w:rsid w:val="02FC4DEA"/>
    <w:rsid w:val="03534993"/>
    <w:rsid w:val="037738D8"/>
    <w:rsid w:val="03941CD0"/>
    <w:rsid w:val="03A27233"/>
    <w:rsid w:val="03CA2A2C"/>
    <w:rsid w:val="03D132E5"/>
    <w:rsid w:val="03F31506"/>
    <w:rsid w:val="04141CEE"/>
    <w:rsid w:val="04245B63"/>
    <w:rsid w:val="046318C1"/>
    <w:rsid w:val="046E4522"/>
    <w:rsid w:val="049A3DD9"/>
    <w:rsid w:val="04ED7817"/>
    <w:rsid w:val="04FA5F8A"/>
    <w:rsid w:val="051E1636"/>
    <w:rsid w:val="055A2489"/>
    <w:rsid w:val="05C73D59"/>
    <w:rsid w:val="05F34C4C"/>
    <w:rsid w:val="06216784"/>
    <w:rsid w:val="06231119"/>
    <w:rsid w:val="068955F4"/>
    <w:rsid w:val="068D2B11"/>
    <w:rsid w:val="06E24909"/>
    <w:rsid w:val="075F0692"/>
    <w:rsid w:val="077D7763"/>
    <w:rsid w:val="077E558A"/>
    <w:rsid w:val="07DB054A"/>
    <w:rsid w:val="083D2AF4"/>
    <w:rsid w:val="0849753D"/>
    <w:rsid w:val="0860435E"/>
    <w:rsid w:val="086E3851"/>
    <w:rsid w:val="08EC5921"/>
    <w:rsid w:val="08F53B23"/>
    <w:rsid w:val="092755E1"/>
    <w:rsid w:val="09680BF5"/>
    <w:rsid w:val="0988000E"/>
    <w:rsid w:val="098E36E1"/>
    <w:rsid w:val="09D05185"/>
    <w:rsid w:val="0A053C89"/>
    <w:rsid w:val="0A070656"/>
    <w:rsid w:val="0A3B5B72"/>
    <w:rsid w:val="0A497799"/>
    <w:rsid w:val="0A805200"/>
    <w:rsid w:val="0A913ED8"/>
    <w:rsid w:val="0AC54BAC"/>
    <w:rsid w:val="0AF97AFD"/>
    <w:rsid w:val="0B24171E"/>
    <w:rsid w:val="0B5C3243"/>
    <w:rsid w:val="0BAD59A4"/>
    <w:rsid w:val="0BFC043E"/>
    <w:rsid w:val="0C42188D"/>
    <w:rsid w:val="0C466B45"/>
    <w:rsid w:val="0C6907A2"/>
    <w:rsid w:val="0C8F023A"/>
    <w:rsid w:val="0CA563CA"/>
    <w:rsid w:val="0CF22EB4"/>
    <w:rsid w:val="0D18022F"/>
    <w:rsid w:val="0D3260A7"/>
    <w:rsid w:val="0D584403"/>
    <w:rsid w:val="0DBE1189"/>
    <w:rsid w:val="0DEE7765"/>
    <w:rsid w:val="0F2B5D1F"/>
    <w:rsid w:val="0F4D6A99"/>
    <w:rsid w:val="0F6D0A3A"/>
    <w:rsid w:val="0F900A8A"/>
    <w:rsid w:val="0FA20C62"/>
    <w:rsid w:val="101C0A97"/>
    <w:rsid w:val="10D12E24"/>
    <w:rsid w:val="10D627FB"/>
    <w:rsid w:val="10F67974"/>
    <w:rsid w:val="118043B1"/>
    <w:rsid w:val="1199166C"/>
    <w:rsid w:val="125602EA"/>
    <w:rsid w:val="12685FCD"/>
    <w:rsid w:val="1270692A"/>
    <w:rsid w:val="12797A48"/>
    <w:rsid w:val="12DC6251"/>
    <w:rsid w:val="13241DFC"/>
    <w:rsid w:val="136F2F75"/>
    <w:rsid w:val="13985C26"/>
    <w:rsid w:val="139D4FEA"/>
    <w:rsid w:val="142323AF"/>
    <w:rsid w:val="14277B52"/>
    <w:rsid w:val="146F2C7A"/>
    <w:rsid w:val="148E0DD7"/>
    <w:rsid w:val="149E4992"/>
    <w:rsid w:val="14A56265"/>
    <w:rsid w:val="1537221F"/>
    <w:rsid w:val="15621DEB"/>
    <w:rsid w:val="1594409D"/>
    <w:rsid w:val="15A9411A"/>
    <w:rsid w:val="15B64A89"/>
    <w:rsid w:val="16792394"/>
    <w:rsid w:val="168E672D"/>
    <w:rsid w:val="16A36768"/>
    <w:rsid w:val="16D52A14"/>
    <w:rsid w:val="170E5D26"/>
    <w:rsid w:val="176522C3"/>
    <w:rsid w:val="17BE59A2"/>
    <w:rsid w:val="17F028D5"/>
    <w:rsid w:val="18077515"/>
    <w:rsid w:val="18185849"/>
    <w:rsid w:val="185165DA"/>
    <w:rsid w:val="185344DB"/>
    <w:rsid w:val="18CA5D94"/>
    <w:rsid w:val="18DE6D94"/>
    <w:rsid w:val="191D394B"/>
    <w:rsid w:val="197D7D98"/>
    <w:rsid w:val="1A3A451F"/>
    <w:rsid w:val="1A442DE9"/>
    <w:rsid w:val="1B5D4DCD"/>
    <w:rsid w:val="1B770817"/>
    <w:rsid w:val="1B841B34"/>
    <w:rsid w:val="1BAF48EB"/>
    <w:rsid w:val="1BC305D3"/>
    <w:rsid w:val="1C91688E"/>
    <w:rsid w:val="1CB36F5D"/>
    <w:rsid w:val="1CCC5F31"/>
    <w:rsid w:val="1CD55680"/>
    <w:rsid w:val="1D264979"/>
    <w:rsid w:val="1D321E13"/>
    <w:rsid w:val="1D502611"/>
    <w:rsid w:val="1DBC044E"/>
    <w:rsid w:val="1DFF68C5"/>
    <w:rsid w:val="1E14059F"/>
    <w:rsid w:val="1E7F3055"/>
    <w:rsid w:val="1E885624"/>
    <w:rsid w:val="1E8A2915"/>
    <w:rsid w:val="1E9A010F"/>
    <w:rsid w:val="1E9A600D"/>
    <w:rsid w:val="1EAE09F3"/>
    <w:rsid w:val="1EC94EB0"/>
    <w:rsid w:val="1F4849CA"/>
    <w:rsid w:val="1F873477"/>
    <w:rsid w:val="20330955"/>
    <w:rsid w:val="204F3CF0"/>
    <w:rsid w:val="205845D9"/>
    <w:rsid w:val="20605368"/>
    <w:rsid w:val="2082054F"/>
    <w:rsid w:val="20A91A2C"/>
    <w:rsid w:val="21455F84"/>
    <w:rsid w:val="215F5FD5"/>
    <w:rsid w:val="21ED694D"/>
    <w:rsid w:val="227D5699"/>
    <w:rsid w:val="22B34A0F"/>
    <w:rsid w:val="23F231B6"/>
    <w:rsid w:val="23FA5AFA"/>
    <w:rsid w:val="240A228A"/>
    <w:rsid w:val="240B5FA0"/>
    <w:rsid w:val="24225EB7"/>
    <w:rsid w:val="2443398C"/>
    <w:rsid w:val="248D14FD"/>
    <w:rsid w:val="24977600"/>
    <w:rsid w:val="24B831E2"/>
    <w:rsid w:val="24C818E6"/>
    <w:rsid w:val="250B120F"/>
    <w:rsid w:val="25192FBF"/>
    <w:rsid w:val="252C7220"/>
    <w:rsid w:val="25B73A53"/>
    <w:rsid w:val="25C04BC3"/>
    <w:rsid w:val="25FC036F"/>
    <w:rsid w:val="26071ED5"/>
    <w:rsid w:val="26223CB6"/>
    <w:rsid w:val="26226B65"/>
    <w:rsid w:val="262275D1"/>
    <w:rsid w:val="264F486A"/>
    <w:rsid w:val="26862AED"/>
    <w:rsid w:val="26A50560"/>
    <w:rsid w:val="26B9340C"/>
    <w:rsid w:val="270F55EE"/>
    <w:rsid w:val="272F1A96"/>
    <w:rsid w:val="27557937"/>
    <w:rsid w:val="27693BAB"/>
    <w:rsid w:val="277D5407"/>
    <w:rsid w:val="2788255A"/>
    <w:rsid w:val="27AE74B2"/>
    <w:rsid w:val="27F433D6"/>
    <w:rsid w:val="27F52753"/>
    <w:rsid w:val="280D0C19"/>
    <w:rsid w:val="28572A43"/>
    <w:rsid w:val="286F2FA1"/>
    <w:rsid w:val="28BE3189"/>
    <w:rsid w:val="28ED005B"/>
    <w:rsid w:val="2908119B"/>
    <w:rsid w:val="293E7698"/>
    <w:rsid w:val="29581385"/>
    <w:rsid w:val="297B0CF7"/>
    <w:rsid w:val="29884576"/>
    <w:rsid w:val="29BA425B"/>
    <w:rsid w:val="29C6391D"/>
    <w:rsid w:val="2A0B6CFA"/>
    <w:rsid w:val="2A0D2E2D"/>
    <w:rsid w:val="2B255B99"/>
    <w:rsid w:val="2B822DA1"/>
    <w:rsid w:val="2BEA59EC"/>
    <w:rsid w:val="2C17313F"/>
    <w:rsid w:val="2C541884"/>
    <w:rsid w:val="2C820DC9"/>
    <w:rsid w:val="2CC70108"/>
    <w:rsid w:val="2D4A0119"/>
    <w:rsid w:val="2DAA3648"/>
    <w:rsid w:val="2E3670CC"/>
    <w:rsid w:val="2E684015"/>
    <w:rsid w:val="2EA133AF"/>
    <w:rsid w:val="2EDD2DD9"/>
    <w:rsid w:val="2EEF432F"/>
    <w:rsid w:val="2F723467"/>
    <w:rsid w:val="30463342"/>
    <w:rsid w:val="305B25FA"/>
    <w:rsid w:val="306835D0"/>
    <w:rsid w:val="306F0C53"/>
    <w:rsid w:val="30A968DD"/>
    <w:rsid w:val="30B91060"/>
    <w:rsid w:val="30C170EB"/>
    <w:rsid w:val="30C24475"/>
    <w:rsid w:val="319430E0"/>
    <w:rsid w:val="31AB2B70"/>
    <w:rsid w:val="31BD4698"/>
    <w:rsid w:val="31F14A27"/>
    <w:rsid w:val="31FD5849"/>
    <w:rsid w:val="32081D71"/>
    <w:rsid w:val="323E7977"/>
    <w:rsid w:val="32A0292F"/>
    <w:rsid w:val="32A02B99"/>
    <w:rsid w:val="32A35E91"/>
    <w:rsid w:val="32A974A8"/>
    <w:rsid w:val="32B90062"/>
    <w:rsid w:val="32DA7ECE"/>
    <w:rsid w:val="335B5869"/>
    <w:rsid w:val="337D5F7B"/>
    <w:rsid w:val="337F6063"/>
    <w:rsid w:val="33D414D0"/>
    <w:rsid w:val="340E345D"/>
    <w:rsid w:val="341B2B8A"/>
    <w:rsid w:val="34393415"/>
    <w:rsid w:val="3439368F"/>
    <w:rsid w:val="34603E67"/>
    <w:rsid w:val="34A22009"/>
    <w:rsid w:val="3502693D"/>
    <w:rsid w:val="358B5193"/>
    <w:rsid w:val="35BE10C4"/>
    <w:rsid w:val="35CD358A"/>
    <w:rsid w:val="35DF204F"/>
    <w:rsid w:val="35E50281"/>
    <w:rsid w:val="35EC1B49"/>
    <w:rsid w:val="36007F73"/>
    <w:rsid w:val="36232DB0"/>
    <w:rsid w:val="36B9188B"/>
    <w:rsid w:val="37352C17"/>
    <w:rsid w:val="37550EC7"/>
    <w:rsid w:val="376A43FB"/>
    <w:rsid w:val="37C93D50"/>
    <w:rsid w:val="380B7491"/>
    <w:rsid w:val="381274A5"/>
    <w:rsid w:val="38167911"/>
    <w:rsid w:val="38585500"/>
    <w:rsid w:val="385F359C"/>
    <w:rsid w:val="38A071A7"/>
    <w:rsid w:val="38B5332D"/>
    <w:rsid w:val="38BF7C5A"/>
    <w:rsid w:val="38EE1CC0"/>
    <w:rsid w:val="39695A15"/>
    <w:rsid w:val="398610CE"/>
    <w:rsid w:val="39A44657"/>
    <w:rsid w:val="39D67104"/>
    <w:rsid w:val="39ED01CA"/>
    <w:rsid w:val="3A514476"/>
    <w:rsid w:val="3A52685B"/>
    <w:rsid w:val="3B6F1CAC"/>
    <w:rsid w:val="3B7751BC"/>
    <w:rsid w:val="3B8C7B58"/>
    <w:rsid w:val="3BA80B19"/>
    <w:rsid w:val="3BF13876"/>
    <w:rsid w:val="3C1607FA"/>
    <w:rsid w:val="3C4240EC"/>
    <w:rsid w:val="3C862FBA"/>
    <w:rsid w:val="3C9B0CDC"/>
    <w:rsid w:val="3C9C49EB"/>
    <w:rsid w:val="3D2959BD"/>
    <w:rsid w:val="3D3D133D"/>
    <w:rsid w:val="3D711B40"/>
    <w:rsid w:val="3DAB63D2"/>
    <w:rsid w:val="3DBB76AF"/>
    <w:rsid w:val="3DBC6972"/>
    <w:rsid w:val="3DDB5DE2"/>
    <w:rsid w:val="3E125593"/>
    <w:rsid w:val="3E4F2E22"/>
    <w:rsid w:val="3E800AA6"/>
    <w:rsid w:val="3E826019"/>
    <w:rsid w:val="3E9C24CB"/>
    <w:rsid w:val="3F0C10F2"/>
    <w:rsid w:val="3F180DC9"/>
    <w:rsid w:val="3F2F5E72"/>
    <w:rsid w:val="3F3A1FEB"/>
    <w:rsid w:val="3F790FEB"/>
    <w:rsid w:val="3F7B2E16"/>
    <w:rsid w:val="3F7B4C89"/>
    <w:rsid w:val="3FB06678"/>
    <w:rsid w:val="3FB223D4"/>
    <w:rsid w:val="407921B0"/>
    <w:rsid w:val="40A67243"/>
    <w:rsid w:val="40AB35A7"/>
    <w:rsid w:val="40DD2B7D"/>
    <w:rsid w:val="41541B00"/>
    <w:rsid w:val="417B5961"/>
    <w:rsid w:val="41A02F6B"/>
    <w:rsid w:val="41B66ED8"/>
    <w:rsid w:val="41F93484"/>
    <w:rsid w:val="41F97AB0"/>
    <w:rsid w:val="42253D73"/>
    <w:rsid w:val="42B51AC8"/>
    <w:rsid w:val="43075A43"/>
    <w:rsid w:val="435369A7"/>
    <w:rsid w:val="43572B58"/>
    <w:rsid w:val="436B2B09"/>
    <w:rsid w:val="436E7317"/>
    <w:rsid w:val="437D6522"/>
    <w:rsid w:val="44592171"/>
    <w:rsid w:val="445D5F4C"/>
    <w:rsid w:val="446C1BD7"/>
    <w:rsid w:val="446E7060"/>
    <w:rsid w:val="449E301F"/>
    <w:rsid w:val="44B0001E"/>
    <w:rsid w:val="44C4575F"/>
    <w:rsid w:val="44D86915"/>
    <w:rsid w:val="44DF5A43"/>
    <w:rsid w:val="44E4602A"/>
    <w:rsid w:val="44F912B2"/>
    <w:rsid w:val="45A8199A"/>
    <w:rsid w:val="45B80788"/>
    <w:rsid w:val="462002E9"/>
    <w:rsid w:val="464B1731"/>
    <w:rsid w:val="464D75C4"/>
    <w:rsid w:val="46CA1D25"/>
    <w:rsid w:val="47A4753D"/>
    <w:rsid w:val="47E9061B"/>
    <w:rsid w:val="48365196"/>
    <w:rsid w:val="484245C7"/>
    <w:rsid w:val="488D7CFE"/>
    <w:rsid w:val="48CC3E16"/>
    <w:rsid w:val="49323FD7"/>
    <w:rsid w:val="4A353B46"/>
    <w:rsid w:val="4A443E36"/>
    <w:rsid w:val="4A4B229A"/>
    <w:rsid w:val="4A8C631C"/>
    <w:rsid w:val="4A9106FD"/>
    <w:rsid w:val="4B8B43D8"/>
    <w:rsid w:val="4BA43B37"/>
    <w:rsid w:val="4BAB1C93"/>
    <w:rsid w:val="4BB36782"/>
    <w:rsid w:val="4BE95365"/>
    <w:rsid w:val="4BF03B4A"/>
    <w:rsid w:val="4C12409B"/>
    <w:rsid w:val="4C8A343B"/>
    <w:rsid w:val="4D243AAB"/>
    <w:rsid w:val="4D9B7742"/>
    <w:rsid w:val="4DF80A94"/>
    <w:rsid w:val="4E520566"/>
    <w:rsid w:val="4E843B5A"/>
    <w:rsid w:val="4E9B14FE"/>
    <w:rsid w:val="4EAC5711"/>
    <w:rsid w:val="4F236F63"/>
    <w:rsid w:val="4F5166AD"/>
    <w:rsid w:val="4F6C1739"/>
    <w:rsid w:val="4F6D341E"/>
    <w:rsid w:val="4F9A5CA8"/>
    <w:rsid w:val="504428BE"/>
    <w:rsid w:val="50490081"/>
    <w:rsid w:val="506508CC"/>
    <w:rsid w:val="51B2004B"/>
    <w:rsid w:val="51E00AF8"/>
    <w:rsid w:val="522851DA"/>
    <w:rsid w:val="528F1A89"/>
    <w:rsid w:val="52904232"/>
    <w:rsid w:val="529D152C"/>
    <w:rsid w:val="52A51AF3"/>
    <w:rsid w:val="52F40552"/>
    <w:rsid w:val="52F757BE"/>
    <w:rsid w:val="53262E6D"/>
    <w:rsid w:val="534909E8"/>
    <w:rsid w:val="536E7C72"/>
    <w:rsid w:val="540125D8"/>
    <w:rsid w:val="54556AEA"/>
    <w:rsid w:val="548D374D"/>
    <w:rsid w:val="54A37966"/>
    <w:rsid w:val="54B0366E"/>
    <w:rsid w:val="54F4735D"/>
    <w:rsid w:val="55131A57"/>
    <w:rsid w:val="554E2621"/>
    <w:rsid w:val="55622629"/>
    <w:rsid w:val="557C18A7"/>
    <w:rsid w:val="55801A9A"/>
    <w:rsid w:val="565E6682"/>
    <w:rsid w:val="56DC6925"/>
    <w:rsid w:val="56F269C8"/>
    <w:rsid w:val="57155104"/>
    <w:rsid w:val="577D71D5"/>
    <w:rsid w:val="5796690F"/>
    <w:rsid w:val="579C4D6E"/>
    <w:rsid w:val="57EB7006"/>
    <w:rsid w:val="57F41B3E"/>
    <w:rsid w:val="581F15F0"/>
    <w:rsid w:val="5859697C"/>
    <w:rsid w:val="589B369A"/>
    <w:rsid w:val="598E41B2"/>
    <w:rsid w:val="59B24DBC"/>
    <w:rsid w:val="59D9433B"/>
    <w:rsid w:val="59DB6423"/>
    <w:rsid w:val="5A086A79"/>
    <w:rsid w:val="5A3A2DDD"/>
    <w:rsid w:val="5A570410"/>
    <w:rsid w:val="5B433E16"/>
    <w:rsid w:val="5B5F2152"/>
    <w:rsid w:val="5B8414F2"/>
    <w:rsid w:val="5B8F4E89"/>
    <w:rsid w:val="5BDA1061"/>
    <w:rsid w:val="5BF449CD"/>
    <w:rsid w:val="5BF918A2"/>
    <w:rsid w:val="5CE57299"/>
    <w:rsid w:val="5CF0584F"/>
    <w:rsid w:val="5D020753"/>
    <w:rsid w:val="5DF07E94"/>
    <w:rsid w:val="5E251C74"/>
    <w:rsid w:val="5EB904C6"/>
    <w:rsid w:val="5F17346F"/>
    <w:rsid w:val="5F5152A6"/>
    <w:rsid w:val="5F7C7776"/>
    <w:rsid w:val="5FAB0B04"/>
    <w:rsid w:val="5FB87F49"/>
    <w:rsid w:val="5FDE0AD6"/>
    <w:rsid w:val="60E25622"/>
    <w:rsid w:val="611175F4"/>
    <w:rsid w:val="617131E7"/>
    <w:rsid w:val="62093465"/>
    <w:rsid w:val="620A0DEF"/>
    <w:rsid w:val="624C5659"/>
    <w:rsid w:val="626F5370"/>
    <w:rsid w:val="62B05DAE"/>
    <w:rsid w:val="62B8336A"/>
    <w:rsid w:val="62E13F49"/>
    <w:rsid w:val="632D067A"/>
    <w:rsid w:val="63554566"/>
    <w:rsid w:val="635F5CFB"/>
    <w:rsid w:val="639037F0"/>
    <w:rsid w:val="63D17EA6"/>
    <w:rsid w:val="63E340FD"/>
    <w:rsid w:val="63EB60FE"/>
    <w:rsid w:val="63FC040C"/>
    <w:rsid w:val="64337579"/>
    <w:rsid w:val="64441196"/>
    <w:rsid w:val="648B53C8"/>
    <w:rsid w:val="649E4FA9"/>
    <w:rsid w:val="64D94D23"/>
    <w:rsid w:val="64FF6124"/>
    <w:rsid w:val="65091B75"/>
    <w:rsid w:val="65266989"/>
    <w:rsid w:val="653278A8"/>
    <w:rsid w:val="65462DA2"/>
    <w:rsid w:val="655B7E2E"/>
    <w:rsid w:val="6568774A"/>
    <w:rsid w:val="65821E24"/>
    <w:rsid w:val="658E3D60"/>
    <w:rsid w:val="65BC6440"/>
    <w:rsid w:val="65C36E7F"/>
    <w:rsid w:val="65D21A26"/>
    <w:rsid w:val="65DA0955"/>
    <w:rsid w:val="663B7430"/>
    <w:rsid w:val="66442637"/>
    <w:rsid w:val="66671F51"/>
    <w:rsid w:val="66B659E8"/>
    <w:rsid w:val="66DF2B32"/>
    <w:rsid w:val="671E1CA4"/>
    <w:rsid w:val="671F3648"/>
    <w:rsid w:val="672A0BC3"/>
    <w:rsid w:val="679D3BAB"/>
    <w:rsid w:val="67D6400B"/>
    <w:rsid w:val="687775B2"/>
    <w:rsid w:val="68860F40"/>
    <w:rsid w:val="68A51AEC"/>
    <w:rsid w:val="68A72793"/>
    <w:rsid w:val="68BF4CB2"/>
    <w:rsid w:val="68CC15D1"/>
    <w:rsid w:val="68D6240F"/>
    <w:rsid w:val="6A125484"/>
    <w:rsid w:val="6A1B14A7"/>
    <w:rsid w:val="6A691B23"/>
    <w:rsid w:val="6A8219B9"/>
    <w:rsid w:val="6B241A17"/>
    <w:rsid w:val="6B8933DD"/>
    <w:rsid w:val="6BDF74AC"/>
    <w:rsid w:val="6C204B71"/>
    <w:rsid w:val="6CDC7B2E"/>
    <w:rsid w:val="6D732602"/>
    <w:rsid w:val="6DA676A9"/>
    <w:rsid w:val="6DDF2EBF"/>
    <w:rsid w:val="6DE91EDB"/>
    <w:rsid w:val="6E1148C4"/>
    <w:rsid w:val="6E914282"/>
    <w:rsid w:val="6E9C0F6F"/>
    <w:rsid w:val="6EBD1446"/>
    <w:rsid w:val="6F0E4EC3"/>
    <w:rsid w:val="6F8246C5"/>
    <w:rsid w:val="6F98755E"/>
    <w:rsid w:val="703838A9"/>
    <w:rsid w:val="70557737"/>
    <w:rsid w:val="706D27E8"/>
    <w:rsid w:val="706E4102"/>
    <w:rsid w:val="70A1528F"/>
    <w:rsid w:val="71662034"/>
    <w:rsid w:val="71A130D0"/>
    <w:rsid w:val="71AD7318"/>
    <w:rsid w:val="71F92460"/>
    <w:rsid w:val="721D4035"/>
    <w:rsid w:val="722B089E"/>
    <w:rsid w:val="726D70E7"/>
    <w:rsid w:val="72A63D8F"/>
    <w:rsid w:val="72CB62F8"/>
    <w:rsid w:val="72EC5BE0"/>
    <w:rsid w:val="730B4790"/>
    <w:rsid w:val="73377222"/>
    <w:rsid w:val="73CA03BA"/>
    <w:rsid w:val="73F01DFD"/>
    <w:rsid w:val="74060865"/>
    <w:rsid w:val="74075E30"/>
    <w:rsid w:val="740F63B0"/>
    <w:rsid w:val="747D74F0"/>
    <w:rsid w:val="74C31ECB"/>
    <w:rsid w:val="74C4154C"/>
    <w:rsid w:val="74E66152"/>
    <w:rsid w:val="751F15F3"/>
    <w:rsid w:val="754305AD"/>
    <w:rsid w:val="756A1283"/>
    <w:rsid w:val="75942919"/>
    <w:rsid w:val="75EA1502"/>
    <w:rsid w:val="75F03C30"/>
    <w:rsid w:val="76752A2C"/>
    <w:rsid w:val="76A53F79"/>
    <w:rsid w:val="76AB2DBF"/>
    <w:rsid w:val="76E67008"/>
    <w:rsid w:val="7708717C"/>
    <w:rsid w:val="77903751"/>
    <w:rsid w:val="781C3F2E"/>
    <w:rsid w:val="781F0229"/>
    <w:rsid w:val="78421175"/>
    <w:rsid w:val="7862316F"/>
    <w:rsid w:val="788C01D7"/>
    <w:rsid w:val="78ED13C5"/>
    <w:rsid w:val="79002D6F"/>
    <w:rsid w:val="794E5510"/>
    <w:rsid w:val="79907C4E"/>
    <w:rsid w:val="79B576B5"/>
    <w:rsid w:val="7A07034C"/>
    <w:rsid w:val="7A230282"/>
    <w:rsid w:val="7A5D252C"/>
    <w:rsid w:val="7A6F57B1"/>
    <w:rsid w:val="7A8D2CAB"/>
    <w:rsid w:val="7AAA36FF"/>
    <w:rsid w:val="7AED10D1"/>
    <w:rsid w:val="7B182FF1"/>
    <w:rsid w:val="7B28499C"/>
    <w:rsid w:val="7B826934"/>
    <w:rsid w:val="7B940CA5"/>
    <w:rsid w:val="7C9C4E59"/>
    <w:rsid w:val="7D007AE0"/>
    <w:rsid w:val="7D484705"/>
    <w:rsid w:val="7D7A1E61"/>
    <w:rsid w:val="7E092C14"/>
    <w:rsid w:val="7E2F1D63"/>
    <w:rsid w:val="7E447259"/>
    <w:rsid w:val="7EA96F8B"/>
    <w:rsid w:val="7EE26AE4"/>
    <w:rsid w:val="7EE53954"/>
    <w:rsid w:val="7EE7398F"/>
    <w:rsid w:val="7F1C7ACC"/>
    <w:rsid w:val="7F340AFD"/>
    <w:rsid w:val="7F482401"/>
    <w:rsid w:val="7F4F7D22"/>
    <w:rsid w:val="7F6106E9"/>
    <w:rsid w:val="7F6A0799"/>
    <w:rsid w:val="7F9B25B1"/>
    <w:rsid w:val="7FA426A6"/>
    <w:rsid w:val="7FC66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0"/>
    <w:qFormat/>
    <w:uiPriority w:val="0"/>
    <w:pPr>
      <w:keepNext/>
      <w:keepLines/>
      <w:spacing w:before="260" w:after="260" w:line="416" w:lineRule="auto"/>
      <w:outlineLvl w:val="2"/>
    </w:pPr>
    <w:rPr>
      <w:b/>
      <w:bCs/>
      <w:kern w:val="0"/>
      <w:sz w:val="32"/>
      <w:szCs w:val="32"/>
    </w:rPr>
  </w:style>
  <w:style w:type="paragraph" w:styleId="5">
    <w:name w:val="heading 5"/>
    <w:basedOn w:val="1"/>
    <w:next w:val="6"/>
    <w:link w:val="61"/>
    <w:qFormat/>
    <w:uiPriority w:val="0"/>
    <w:pPr>
      <w:keepNext/>
      <w:keepLines/>
      <w:numPr>
        <w:ilvl w:val="4"/>
        <w:numId w:val="1"/>
      </w:numPr>
      <w:spacing w:before="280" w:after="290" w:line="376" w:lineRule="auto"/>
      <w:outlineLvl w:val="4"/>
    </w:pPr>
    <w:rPr>
      <w:b/>
      <w:sz w:val="28"/>
    </w:rPr>
  </w:style>
  <w:style w:type="paragraph" w:styleId="7">
    <w:name w:val="heading 6"/>
    <w:basedOn w:val="1"/>
    <w:next w:val="6"/>
    <w:link w:val="62"/>
    <w:qFormat/>
    <w:uiPriority w:val="0"/>
    <w:pPr>
      <w:keepNext/>
      <w:keepLines/>
      <w:numPr>
        <w:ilvl w:val="5"/>
        <w:numId w:val="1"/>
      </w:numPr>
      <w:spacing w:before="240" w:after="64" w:line="320" w:lineRule="auto"/>
      <w:outlineLvl w:val="5"/>
    </w:pPr>
    <w:rPr>
      <w:rFonts w:ascii="Arial" w:hAnsi="Arial" w:eastAsia="黑体"/>
      <w:b/>
      <w:sz w:val="24"/>
    </w:rPr>
  </w:style>
  <w:style w:type="paragraph" w:styleId="8">
    <w:name w:val="heading 7"/>
    <w:basedOn w:val="1"/>
    <w:next w:val="6"/>
    <w:link w:val="63"/>
    <w:qFormat/>
    <w:uiPriority w:val="0"/>
    <w:pPr>
      <w:keepNext/>
      <w:keepLines/>
      <w:numPr>
        <w:ilvl w:val="6"/>
        <w:numId w:val="1"/>
      </w:numPr>
      <w:spacing w:before="240" w:after="64" w:line="320" w:lineRule="auto"/>
      <w:outlineLvl w:val="6"/>
    </w:pPr>
    <w:rPr>
      <w:b/>
      <w:sz w:val="24"/>
    </w:rPr>
  </w:style>
  <w:style w:type="paragraph" w:styleId="9">
    <w:name w:val="heading 8"/>
    <w:basedOn w:val="1"/>
    <w:next w:val="6"/>
    <w:link w:val="64"/>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6"/>
    <w:link w:val="65"/>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11">
    <w:name w:val="toc 7"/>
    <w:basedOn w:val="1"/>
    <w:next w:val="1"/>
    <w:unhideWhenUsed/>
    <w:qFormat/>
    <w:uiPriority w:val="39"/>
    <w:pPr>
      <w:ind w:left="2520" w:leftChars="1200"/>
    </w:pPr>
    <w:rPr>
      <w:rFonts w:ascii="Calibri" w:hAnsi="Calibri"/>
      <w:szCs w:val="22"/>
    </w:r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link w:val="66"/>
    <w:unhideWhenUsed/>
    <w:qFormat/>
    <w:uiPriority w:val="0"/>
    <w:pPr>
      <w:shd w:val="clear" w:color="auto" w:fill="000080"/>
    </w:pPr>
    <w:rPr>
      <w:rFonts w:hint="eastAsia" w:ascii="宋体" w:hAnsi="宋体"/>
      <w:kern w:val="0"/>
      <w:sz w:val="20"/>
      <w:szCs w:val="20"/>
    </w:rPr>
  </w:style>
  <w:style w:type="paragraph" w:styleId="15">
    <w:name w:val="annotation text"/>
    <w:basedOn w:val="1"/>
    <w:link w:val="67"/>
    <w:unhideWhenUsed/>
    <w:qFormat/>
    <w:uiPriority w:val="0"/>
    <w:pPr>
      <w:jc w:val="left"/>
    </w:pPr>
  </w:style>
  <w:style w:type="paragraph" w:styleId="16">
    <w:name w:val="Body Text 3"/>
    <w:basedOn w:val="1"/>
    <w:link w:val="68"/>
    <w:qFormat/>
    <w:uiPriority w:val="0"/>
    <w:pPr>
      <w:spacing w:line="500" w:lineRule="exact"/>
    </w:pPr>
    <w:rPr>
      <w:b/>
      <w:bCs/>
      <w:kern w:val="0"/>
      <w:sz w:val="24"/>
    </w:rPr>
  </w:style>
  <w:style w:type="paragraph" w:styleId="17">
    <w:name w:val="Body Text"/>
    <w:basedOn w:val="1"/>
    <w:link w:val="57"/>
    <w:qFormat/>
    <w:uiPriority w:val="99"/>
    <w:pPr>
      <w:spacing w:line="380" w:lineRule="exact"/>
    </w:pPr>
    <w:rPr>
      <w:kern w:val="0"/>
      <w:sz w:val="24"/>
    </w:rPr>
  </w:style>
  <w:style w:type="paragraph" w:styleId="18">
    <w:name w:val="Body Text Indent"/>
    <w:basedOn w:val="1"/>
    <w:next w:val="19"/>
    <w:link w:val="69"/>
    <w:qFormat/>
    <w:uiPriority w:val="0"/>
    <w:pPr>
      <w:ind w:firstLine="830" w:firstLineChars="352"/>
    </w:pPr>
    <w:rPr>
      <w:rFonts w:ascii="仿宋_GB2312" w:eastAsia="仿宋_GB2312"/>
      <w:kern w:val="0"/>
      <w:sz w:val="32"/>
      <w:szCs w:val="20"/>
    </w:rPr>
  </w:style>
  <w:style w:type="paragraph" w:styleId="19">
    <w:name w:val="envelope return"/>
    <w:basedOn w:val="1"/>
    <w:qFormat/>
    <w:uiPriority w:val="99"/>
    <w:pPr>
      <w:snapToGrid w:val="0"/>
    </w:pPr>
    <w:rPr>
      <w:rFonts w:ascii="Arial" w:hAnsi="Arial"/>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toc 5"/>
    <w:basedOn w:val="1"/>
    <w:next w:val="1"/>
    <w:unhideWhenUsed/>
    <w:qFormat/>
    <w:uiPriority w:val="39"/>
    <w:pPr>
      <w:ind w:left="1680" w:leftChars="800"/>
    </w:pPr>
    <w:rPr>
      <w:rFonts w:ascii="Calibri" w:hAnsi="Calibri"/>
      <w:szCs w:val="22"/>
    </w:rPr>
  </w:style>
  <w:style w:type="paragraph" w:styleId="23">
    <w:name w:val="toc 3"/>
    <w:basedOn w:val="1"/>
    <w:next w:val="1"/>
    <w:unhideWhenUsed/>
    <w:qFormat/>
    <w:uiPriority w:val="39"/>
    <w:pPr>
      <w:ind w:left="840" w:leftChars="400"/>
    </w:pPr>
    <w:rPr>
      <w:rFonts w:ascii="Calibri" w:hAnsi="Calibri"/>
      <w:szCs w:val="22"/>
    </w:rPr>
  </w:style>
  <w:style w:type="paragraph" w:styleId="24">
    <w:name w:val="Plain Text"/>
    <w:basedOn w:val="1"/>
    <w:link w:val="70"/>
    <w:qFormat/>
    <w:uiPriority w:val="0"/>
    <w:rPr>
      <w:rFonts w:ascii="宋体" w:hAnsi="Courier New"/>
      <w:kern w:val="0"/>
      <w:sz w:val="20"/>
      <w:szCs w:val="21"/>
    </w:rPr>
  </w:style>
  <w:style w:type="paragraph" w:styleId="25">
    <w:name w:val="toc 8"/>
    <w:basedOn w:val="1"/>
    <w:next w:val="1"/>
    <w:unhideWhenUsed/>
    <w:qFormat/>
    <w:uiPriority w:val="39"/>
    <w:pPr>
      <w:ind w:left="2940" w:leftChars="1400"/>
    </w:pPr>
    <w:rPr>
      <w:rFonts w:ascii="Calibri" w:hAnsi="Calibri"/>
      <w:szCs w:val="22"/>
    </w:rPr>
  </w:style>
  <w:style w:type="paragraph" w:styleId="26">
    <w:name w:val="Date"/>
    <w:basedOn w:val="1"/>
    <w:next w:val="1"/>
    <w:link w:val="71"/>
    <w:qFormat/>
    <w:uiPriority w:val="0"/>
    <w:pPr>
      <w:ind w:left="100" w:leftChars="2500"/>
    </w:pPr>
    <w:rPr>
      <w:rFonts w:ascii="宋体" w:hAnsi="Courier New"/>
      <w:kern w:val="0"/>
      <w:sz w:val="20"/>
      <w:szCs w:val="21"/>
    </w:rPr>
  </w:style>
  <w:style w:type="paragraph" w:styleId="27">
    <w:name w:val="Body Text Indent 2"/>
    <w:basedOn w:val="1"/>
    <w:link w:val="72"/>
    <w:qFormat/>
    <w:uiPriority w:val="0"/>
    <w:pPr>
      <w:ind w:firstLine="630"/>
    </w:pPr>
    <w:rPr>
      <w:kern w:val="0"/>
      <w:sz w:val="32"/>
      <w:szCs w:val="20"/>
    </w:rPr>
  </w:style>
  <w:style w:type="paragraph" w:styleId="28">
    <w:name w:val="endnote text"/>
    <w:basedOn w:val="1"/>
    <w:link w:val="73"/>
    <w:unhideWhenUsed/>
    <w:qFormat/>
    <w:uiPriority w:val="99"/>
    <w:pPr>
      <w:snapToGrid w:val="0"/>
      <w:jc w:val="left"/>
    </w:pPr>
  </w:style>
  <w:style w:type="paragraph" w:styleId="29">
    <w:name w:val="Balloon Text"/>
    <w:basedOn w:val="1"/>
    <w:link w:val="74"/>
    <w:semiHidden/>
    <w:qFormat/>
    <w:uiPriority w:val="0"/>
    <w:rPr>
      <w:kern w:val="0"/>
      <w:sz w:val="18"/>
      <w:szCs w:val="18"/>
    </w:rPr>
  </w:style>
  <w:style w:type="paragraph" w:styleId="30">
    <w:name w:val="footer"/>
    <w:basedOn w:val="1"/>
    <w:link w:val="75"/>
    <w:unhideWhenUsed/>
    <w:qFormat/>
    <w:uiPriority w:val="99"/>
    <w:pPr>
      <w:tabs>
        <w:tab w:val="center" w:pos="4153"/>
        <w:tab w:val="right" w:pos="8306"/>
      </w:tabs>
      <w:snapToGrid w:val="0"/>
      <w:jc w:val="left"/>
    </w:pPr>
    <w:rPr>
      <w:kern w:val="0"/>
      <w:sz w:val="18"/>
      <w:szCs w:val="18"/>
    </w:rPr>
  </w:style>
  <w:style w:type="paragraph" w:styleId="31">
    <w:name w:val="header"/>
    <w:basedOn w:val="1"/>
    <w:link w:val="76"/>
    <w:unhideWhenUsed/>
    <w:qFormat/>
    <w:uiPriority w:val="99"/>
    <w:pPr>
      <w:pBdr>
        <w:bottom w:val="single" w:color="auto" w:sz="6" w:space="1"/>
      </w:pBdr>
      <w:tabs>
        <w:tab w:val="center" w:pos="0"/>
        <w:tab w:val="left" w:pos="8306"/>
      </w:tabs>
      <w:snapToGrid w:val="0"/>
      <w:jc w:val="center"/>
    </w:pPr>
    <w:rPr>
      <w:sz w:val="18"/>
      <w:szCs w:val="18"/>
    </w:rPr>
  </w:style>
  <w:style w:type="paragraph" w:styleId="32">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3">
    <w:name w:val="toc 4"/>
    <w:basedOn w:val="1"/>
    <w:next w:val="1"/>
    <w:unhideWhenUsed/>
    <w:qFormat/>
    <w:uiPriority w:val="39"/>
    <w:pPr>
      <w:ind w:left="1260" w:leftChars="600"/>
    </w:pPr>
    <w:rPr>
      <w:rFonts w:ascii="Calibri" w:hAnsi="Calibri"/>
      <w:szCs w:val="22"/>
    </w:rPr>
  </w:style>
  <w:style w:type="paragraph" w:styleId="34">
    <w:name w:val="List"/>
    <w:basedOn w:val="1"/>
    <w:qFormat/>
    <w:uiPriority w:val="0"/>
    <w:pPr>
      <w:ind w:left="200" w:hanging="200" w:hangingChars="200"/>
    </w:pPr>
    <w:rPr>
      <w:sz w:val="28"/>
    </w:rPr>
  </w:style>
  <w:style w:type="paragraph" w:styleId="35">
    <w:name w:val="footnote text"/>
    <w:basedOn w:val="1"/>
    <w:link w:val="77"/>
    <w:unhideWhenUsed/>
    <w:qFormat/>
    <w:uiPriority w:val="99"/>
    <w:pPr>
      <w:snapToGrid w:val="0"/>
      <w:jc w:val="left"/>
    </w:pPr>
    <w:rPr>
      <w:sz w:val="18"/>
      <w:szCs w:val="18"/>
    </w:rPr>
  </w:style>
  <w:style w:type="paragraph" w:styleId="36">
    <w:name w:val="toc 6"/>
    <w:basedOn w:val="1"/>
    <w:next w:val="1"/>
    <w:unhideWhenUsed/>
    <w:qFormat/>
    <w:uiPriority w:val="39"/>
    <w:pPr>
      <w:ind w:left="2100" w:leftChars="1000"/>
    </w:pPr>
    <w:rPr>
      <w:rFonts w:ascii="Calibri" w:hAnsi="Calibri"/>
      <w:szCs w:val="22"/>
    </w:rPr>
  </w:style>
  <w:style w:type="paragraph" w:styleId="37">
    <w:name w:val="Body Text Indent 3"/>
    <w:basedOn w:val="1"/>
    <w:link w:val="78"/>
    <w:qFormat/>
    <w:uiPriority w:val="0"/>
    <w:pPr>
      <w:spacing w:after="120"/>
      <w:ind w:left="420" w:leftChars="200"/>
    </w:pPr>
    <w:rPr>
      <w:kern w:val="0"/>
      <w:sz w:val="16"/>
      <w:szCs w:val="16"/>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rPr>
      <w:rFonts w:ascii="Calibri" w:hAnsi="Calibri"/>
      <w:szCs w:val="22"/>
    </w:rPr>
  </w:style>
  <w:style w:type="paragraph" w:styleId="40">
    <w:name w:val="Body Text 2"/>
    <w:basedOn w:val="1"/>
    <w:link w:val="79"/>
    <w:qFormat/>
    <w:uiPriority w:val="0"/>
    <w:pPr>
      <w:spacing w:after="120" w:line="480" w:lineRule="auto"/>
    </w:pPr>
    <w:rPr>
      <w:kern w:val="0"/>
      <w:sz w:val="20"/>
    </w:rPr>
  </w:style>
  <w:style w:type="paragraph" w:styleId="41">
    <w:name w:val="Normal (Web)"/>
    <w:basedOn w:val="1"/>
    <w:qFormat/>
    <w:uiPriority w:val="99"/>
    <w:pPr>
      <w:widowControl/>
      <w:spacing w:before="100" w:beforeAutospacing="1" w:after="100" w:afterAutospacing="1"/>
      <w:jc w:val="left"/>
    </w:pPr>
    <w:rPr>
      <w:rFonts w:ascii="宋体" w:hAnsi="宋体"/>
      <w:kern w:val="0"/>
      <w:sz w:val="24"/>
    </w:rPr>
  </w:style>
  <w:style w:type="paragraph" w:styleId="42">
    <w:name w:val="index 1"/>
    <w:basedOn w:val="1"/>
    <w:next w:val="1"/>
    <w:semiHidden/>
    <w:qFormat/>
    <w:uiPriority w:val="0"/>
    <w:pPr>
      <w:spacing w:line="400" w:lineRule="exact"/>
      <w:ind w:firstLine="420" w:firstLineChars="200"/>
    </w:pPr>
    <w:rPr>
      <w:rFonts w:ascii="宋体" w:hAnsi="Courier New"/>
      <w:b/>
      <w:szCs w:val="20"/>
    </w:rPr>
  </w:style>
  <w:style w:type="paragraph" w:styleId="43">
    <w:name w:val="Title"/>
    <w:basedOn w:val="1"/>
    <w:next w:val="1"/>
    <w:link w:val="80"/>
    <w:qFormat/>
    <w:uiPriority w:val="10"/>
    <w:pPr>
      <w:spacing w:before="240" w:after="60"/>
      <w:jc w:val="center"/>
      <w:outlineLvl w:val="0"/>
    </w:pPr>
    <w:rPr>
      <w:rFonts w:ascii="Cambria" w:hAnsi="Cambria"/>
      <w:b/>
      <w:bCs/>
      <w:sz w:val="32"/>
      <w:szCs w:val="32"/>
    </w:rPr>
  </w:style>
  <w:style w:type="paragraph" w:styleId="44">
    <w:name w:val="annotation subject"/>
    <w:basedOn w:val="15"/>
    <w:next w:val="15"/>
    <w:link w:val="81"/>
    <w:unhideWhenUsed/>
    <w:qFormat/>
    <w:uiPriority w:val="99"/>
    <w:rPr>
      <w:b/>
      <w:bCs/>
    </w:rPr>
  </w:style>
  <w:style w:type="paragraph" w:styleId="45">
    <w:name w:val="Body Text First Indent 2"/>
    <w:basedOn w:val="18"/>
    <w:qFormat/>
    <w:uiPriority w:val="99"/>
    <w:pPr>
      <w:ind w:firstLine="420" w:firstLineChars="200"/>
    </w:pPr>
  </w:style>
  <w:style w:type="table" w:styleId="47">
    <w:name w:val="Table Grid"/>
    <w:basedOn w:val="4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rPr>
  </w:style>
  <w:style w:type="character" w:styleId="50">
    <w:name w:val="endnote reference"/>
    <w:unhideWhenUsed/>
    <w:qFormat/>
    <w:uiPriority w:val="99"/>
    <w:rPr>
      <w:vertAlign w:val="superscript"/>
    </w:rPr>
  </w:style>
  <w:style w:type="character" w:styleId="51">
    <w:name w:val="page number"/>
    <w:qFormat/>
    <w:uiPriority w:val="0"/>
  </w:style>
  <w:style w:type="character" w:styleId="52">
    <w:name w:val="FollowedHyperlink"/>
    <w:qFormat/>
    <w:uiPriority w:val="0"/>
    <w:rPr>
      <w:color w:val="800080"/>
      <w:u w:val="single"/>
    </w:rPr>
  </w:style>
  <w:style w:type="character" w:styleId="53">
    <w:name w:val="Hyperlink"/>
    <w:qFormat/>
    <w:uiPriority w:val="99"/>
    <w:rPr>
      <w:color w:val="0000FF"/>
      <w:u w:val="single"/>
    </w:rPr>
  </w:style>
  <w:style w:type="character" w:styleId="54">
    <w:name w:val="annotation reference"/>
    <w:unhideWhenUsed/>
    <w:qFormat/>
    <w:uiPriority w:val="0"/>
    <w:rPr>
      <w:sz w:val="21"/>
      <w:szCs w:val="21"/>
    </w:rPr>
  </w:style>
  <w:style w:type="character" w:styleId="55">
    <w:name w:val="footnote reference"/>
    <w:unhideWhenUsed/>
    <w:qFormat/>
    <w:uiPriority w:val="99"/>
    <w:rPr>
      <w:vertAlign w:val="superscript"/>
    </w:rPr>
  </w:style>
  <w:style w:type="paragraph" w:customStyle="1" w:styleId="56">
    <w:name w:val="首行缩进"/>
    <w:basedOn w:val="1"/>
    <w:qFormat/>
    <w:uiPriority w:val="0"/>
    <w:pPr>
      <w:widowControl/>
      <w:ind w:firstLine="480" w:firstLineChars="200"/>
      <w:jc w:val="left"/>
    </w:pPr>
    <w:rPr>
      <w:kern w:val="0"/>
      <w:sz w:val="24"/>
      <w:lang w:val="zh-CN"/>
    </w:rPr>
  </w:style>
  <w:style w:type="character" w:customStyle="1" w:styleId="57">
    <w:name w:val="正文文本 字符"/>
    <w:link w:val="17"/>
    <w:qFormat/>
    <w:uiPriority w:val="99"/>
    <w:rPr>
      <w:rFonts w:ascii="Times New Roman" w:hAnsi="Times New Roman" w:eastAsia="宋体" w:cs="Times New Roman"/>
      <w:sz w:val="24"/>
      <w:szCs w:val="24"/>
    </w:rPr>
  </w:style>
  <w:style w:type="character" w:customStyle="1" w:styleId="58">
    <w:name w:val="标题 1 字符1"/>
    <w:link w:val="2"/>
    <w:qFormat/>
    <w:uiPriority w:val="0"/>
    <w:rPr>
      <w:rFonts w:ascii="Times New Roman" w:hAnsi="Times New Roman" w:eastAsia="宋体" w:cs="Times New Roman"/>
      <w:b/>
      <w:bCs/>
      <w:kern w:val="44"/>
      <w:sz w:val="44"/>
      <w:szCs w:val="44"/>
    </w:rPr>
  </w:style>
  <w:style w:type="character" w:customStyle="1" w:styleId="59">
    <w:name w:val="标题 2 字符"/>
    <w:link w:val="3"/>
    <w:qFormat/>
    <w:uiPriority w:val="0"/>
    <w:rPr>
      <w:rFonts w:ascii="Arial" w:hAnsi="Arial" w:eastAsia="黑体" w:cs="Times New Roman"/>
      <w:b/>
      <w:bCs/>
      <w:sz w:val="32"/>
      <w:szCs w:val="32"/>
    </w:rPr>
  </w:style>
  <w:style w:type="character" w:customStyle="1" w:styleId="60">
    <w:name w:val="标题 3 字符"/>
    <w:link w:val="4"/>
    <w:qFormat/>
    <w:uiPriority w:val="0"/>
    <w:rPr>
      <w:rFonts w:ascii="Times New Roman" w:hAnsi="Times New Roman" w:eastAsia="宋体" w:cs="Times New Roman"/>
      <w:b/>
      <w:bCs/>
      <w:sz w:val="32"/>
      <w:szCs w:val="32"/>
    </w:rPr>
  </w:style>
  <w:style w:type="character" w:customStyle="1" w:styleId="61">
    <w:name w:val="标题 5 字符"/>
    <w:link w:val="5"/>
    <w:qFormat/>
    <w:uiPriority w:val="0"/>
    <w:rPr>
      <w:b/>
      <w:kern w:val="2"/>
      <w:sz w:val="28"/>
      <w:szCs w:val="24"/>
    </w:rPr>
  </w:style>
  <w:style w:type="character" w:customStyle="1" w:styleId="62">
    <w:name w:val="标题 6 字符"/>
    <w:link w:val="7"/>
    <w:qFormat/>
    <w:uiPriority w:val="0"/>
    <w:rPr>
      <w:rFonts w:ascii="Arial" w:hAnsi="Arial" w:eastAsia="黑体"/>
      <w:b/>
      <w:kern w:val="2"/>
      <w:sz w:val="24"/>
      <w:szCs w:val="24"/>
    </w:rPr>
  </w:style>
  <w:style w:type="character" w:customStyle="1" w:styleId="63">
    <w:name w:val="标题 7 字符"/>
    <w:link w:val="8"/>
    <w:qFormat/>
    <w:uiPriority w:val="0"/>
    <w:rPr>
      <w:rFonts w:ascii="Times New Roman" w:hAnsi="Times New Roman"/>
      <w:b/>
      <w:kern w:val="2"/>
      <w:sz w:val="24"/>
      <w:szCs w:val="24"/>
    </w:rPr>
  </w:style>
  <w:style w:type="character" w:customStyle="1" w:styleId="64">
    <w:name w:val="标题 8 字符"/>
    <w:link w:val="9"/>
    <w:qFormat/>
    <w:uiPriority w:val="0"/>
    <w:rPr>
      <w:rFonts w:ascii="Arial" w:hAnsi="Arial" w:eastAsia="黑体"/>
      <w:kern w:val="2"/>
      <w:sz w:val="24"/>
      <w:szCs w:val="24"/>
    </w:rPr>
  </w:style>
  <w:style w:type="character" w:customStyle="1" w:styleId="65">
    <w:name w:val="标题 9 字符"/>
    <w:link w:val="10"/>
    <w:qFormat/>
    <w:uiPriority w:val="0"/>
    <w:rPr>
      <w:rFonts w:ascii="Arial" w:hAnsi="Arial" w:eastAsia="黑体"/>
      <w:kern w:val="2"/>
      <w:sz w:val="21"/>
      <w:szCs w:val="24"/>
    </w:rPr>
  </w:style>
  <w:style w:type="character" w:customStyle="1" w:styleId="66">
    <w:name w:val="文档结构图 字符"/>
    <w:link w:val="14"/>
    <w:qFormat/>
    <w:uiPriority w:val="0"/>
    <w:rPr>
      <w:rFonts w:hint="eastAsia" w:ascii="宋体" w:hAnsi="宋体" w:eastAsia="宋体" w:cs="宋体"/>
    </w:rPr>
  </w:style>
  <w:style w:type="character" w:customStyle="1" w:styleId="67">
    <w:name w:val="批注文字 字符2"/>
    <w:link w:val="15"/>
    <w:qFormat/>
    <w:uiPriority w:val="0"/>
    <w:rPr>
      <w:rFonts w:ascii="Times New Roman" w:hAnsi="Times New Roman"/>
      <w:kern w:val="2"/>
      <w:sz w:val="21"/>
      <w:szCs w:val="24"/>
    </w:rPr>
  </w:style>
  <w:style w:type="character" w:customStyle="1" w:styleId="68">
    <w:name w:val="正文文本 3 字符"/>
    <w:link w:val="16"/>
    <w:qFormat/>
    <w:uiPriority w:val="0"/>
    <w:rPr>
      <w:rFonts w:ascii="Times New Roman" w:hAnsi="Times New Roman" w:eastAsia="宋体" w:cs="Times New Roman"/>
      <w:b/>
      <w:bCs/>
      <w:sz w:val="24"/>
      <w:szCs w:val="24"/>
    </w:rPr>
  </w:style>
  <w:style w:type="character" w:customStyle="1" w:styleId="69">
    <w:name w:val="正文文本缩进 字符1"/>
    <w:link w:val="18"/>
    <w:qFormat/>
    <w:uiPriority w:val="0"/>
    <w:rPr>
      <w:rFonts w:ascii="仿宋_GB2312" w:hAnsi="Times New Roman" w:eastAsia="仿宋_GB2312" w:cs="Times New Roman"/>
      <w:sz w:val="32"/>
      <w:szCs w:val="20"/>
    </w:rPr>
  </w:style>
  <w:style w:type="character" w:customStyle="1" w:styleId="70">
    <w:name w:val="纯文本 字符2"/>
    <w:link w:val="24"/>
    <w:qFormat/>
    <w:uiPriority w:val="0"/>
    <w:rPr>
      <w:rFonts w:ascii="宋体" w:hAnsi="Courier New" w:eastAsia="宋体" w:cs="Courier New"/>
      <w:szCs w:val="21"/>
    </w:rPr>
  </w:style>
  <w:style w:type="character" w:customStyle="1" w:styleId="71">
    <w:name w:val="日期 字符"/>
    <w:link w:val="26"/>
    <w:qFormat/>
    <w:uiPriority w:val="0"/>
    <w:rPr>
      <w:rFonts w:ascii="宋体" w:hAnsi="Courier New" w:eastAsia="宋体" w:cs="Courier New"/>
      <w:szCs w:val="21"/>
    </w:rPr>
  </w:style>
  <w:style w:type="character" w:customStyle="1" w:styleId="72">
    <w:name w:val="正文文本缩进 2 字符"/>
    <w:link w:val="27"/>
    <w:qFormat/>
    <w:uiPriority w:val="0"/>
    <w:rPr>
      <w:rFonts w:ascii="Times New Roman" w:hAnsi="Times New Roman" w:eastAsia="宋体" w:cs="Times New Roman"/>
      <w:sz w:val="32"/>
      <w:szCs w:val="20"/>
    </w:rPr>
  </w:style>
  <w:style w:type="character" w:customStyle="1" w:styleId="73">
    <w:name w:val="尾注文本 字符"/>
    <w:link w:val="28"/>
    <w:semiHidden/>
    <w:qFormat/>
    <w:uiPriority w:val="99"/>
    <w:rPr>
      <w:rFonts w:ascii="Times New Roman" w:hAnsi="Times New Roman"/>
      <w:kern w:val="2"/>
      <w:sz w:val="21"/>
      <w:szCs w:val="24"/>
    </w:rPr>
  </w:style>
  <w:style w:type="character" w:customStyle="1" w:styleId="74">
    <w:name w:val="批注框文本 字符"/>
    <w:link w:val="29"/>
    <w:semiHidden/>
    <w:qFormat/>
    <w:uiPriority w:val="0"/>
    <w:rPr>
      <w:rFonts w:ascii="Times New Roman" w:hAnsi="Times New Roman" w:eastAsia="宋体" w:cs="Times New Roman"/>
      <w:sz w:val="18"/>
      <w:szCs w:val="18"/>
    </w:rPr>
  </w:style>
  <w:style w:type="character" w:customStyle="1" w:styleId="75">
    <w:name w:val="页脚 字符1"/>
    <w:link w:val="30"/>
    <w:qFormat/>
    <w:uiPriority w:val="99"/>
    <w:rPr>
      <w:sz w:val="18"/>
      <w:szCs w:val="18"/>
    </w:rPr>
  </w:style>
  <w:style w:type="character" w:customStyle="1" w:styleId="76">
    <w:name w:val="页眉 字符"/>
    <w:link w:val="31"/>
    <w:qFormat/>
    <w:uiPriority w:val="99"/>
    <w:rPr>
      <w:rFonts w:ascii="Times New Roman" w:hAnsi="Times New Roman"/>
      <w:kern w:val="2"/>
      <w:sz w:val="18"/>
      <w:szCs w:val="18"/>
    </w:rPr>
  </w:style>
  <w:style w:type="character" w:customStyle="1" w:styleId="77">
    <w:name w:val="脚注文本 字符"/>
    <w:link w:val="35"/>
    <w:semiHidden/>
    <w:qFormat/>
    <w:uiPriority w:val="99"/>
    <w:rPr>
      <w:rFonts w:ascii="Times New Roman" w:hAnsi="Times New Roman"/>
      <w:kern w:val="2"/>
      <w:sz w:val="18"/>
      <w:szCs w:val="18"/>
    </w:rPr>
  </w:style>
  <w:style w:type="character" w:customStyle="1" w:styleId="78">
    <w:name w:val="正文文本缩进 3 字符"/>
    <w:link w:val="37"/>
    <w:qFormat/>
    <w:uiPriority w:val="0"/>
    <w:rPr>
      <w:rFonts w:ascii="Times New Roman" w:hAnsi="Times New Roman" w:eastAsia="宋体" w:cs="Times New Roman"/>
      <w:sz w:val="16"/>
      <w:szCs w:val="16"/>
    </w:rPr>
  </w:style>
  <w:style w:type="character" w:customStyle="1" w:styleId="79">
    <w:name w:val="正文文本 2 字符"/>
    <w:link w:val="40"/>
    <w:qFormat/>
    <w:uiPriority w:val="0"/>
    <w:rPr>
      <w:rFonts w:ascii="Times New Roman" w:hAnsi="Times New Roman" w:eastAsia="宋体" w:cs="Times New Roman"/>
      <w:szCs w:val="24"/>
    </w:rPr>
  </w:style>
  <w:style w:type="character" w:customStyle="1" w:styleId="80">
    <w:name w:val="标题 字符"/>
    <w:link w:val="43"/>
    <w:qFormat/>
    <w:uiPriority w:val="10"/>
    <w:rPr>
      <w:rFonts w:ascii="Cambria" w:hAnsi="Cambria" w:cs="Times New Roman"/>
      <w:b/>
      <w:bCs/>
      <w:kern w:val="2"/>
      <w:sz w:val="32"/>
      <w:szCs w:val="32"/>
    </w:rPr>
  </w:style>
  <w:style w:type="character" w:customStyle="1" w:styleId="81">
    <w:name w:val="批注主题 字符"/>
    <w:link w:val="44"/>
    <w:semiHidden/>
    <w:qFormat/>
    <w:uiPriority w:val="99"/>
    <w:rPr>
      <w:rFonts w:ascii="Times New Roman" w:hAnsi="Times New Roman"/>
      <w:b/>
      <w:bCs/>
      <w:kern w:val="2"/>
      <w:sz w:val="21"/>
      <w:szCs w:val="24"/>
    </w:rPr>
  </w:style>
  <w:style w:type="character" w:customStyle="1" w:styleId="82">
    <w:name w:val="批注文字 Char1"/>
    <w:semiHidden/>
    <w:qFormat/>
    <w:locked/>
    <w:uiPriority w:val="0"/>
    <w:rPr>
      <w:rFonts w:ascii="Times New Roman" w:hAnsi="Times New Roman"/>
      <w:kern w:val="2"/>
      <w:sz w:val="21"/>
      <w:szCs w:val="24"/>
    </w:rPr>
  </w:style>
  <w:style w:type="character" w:customStyle="1" w:styleId="83">
    <w:name w:val="case31"/>
    <w:qFormat/>
    <w:uiPriority w:val="0"/>
    <w:rPr>
      <w:rFonts w:hint="default" w:ascii="_x000B__x000C_" w:hAnsi="_x000B__x000C_"/>
      <w:sz w:val="21"/>
      <w:szCs w:val="21"/>
    </w:rPr>
  </w:style>
  <w:style w:type="character" w:customStyle="1" w:styleId="84">
    <w:name w:val="批注文字 Char"/>
    <w:qFormat/>
    <w:uiPriority w:val="99"/>
    <w:rPr>
      <w:rFonts w:ascii="Times New Roman" w:hAnsi="Times New Roman"/>
      <w:kern w:val="2"/>
      <w:sz w:val="21"/>
      <w:szCs w:val="24"/>
    </w:rPr>
  </w:style>
  <w:style w:type="character" w:customStyle="1" w:styleId="85">
    <w:name w:val="纯文本 Char"/>
    <w:qFormat/>
    <w:uiPriority w:val="0"/>
    <w:rPr>
      <w:rFonts w:ascii="宋体" w:hAnsi="Courier New" w:eastAsia="宋体"/>
      <w:kern w:val="2"/>
      <w:sz w:val="21"/>
      <w:lang w:val="en-US" w:eastAsia="zh-CN" w:bidi="ar-SA"/>
    </w:rPr>
  </w:style>
  <w:style w:type="character" w:customStyle="1" w:styleId="86">
    <w:name w:val="纯文本 字符1"/>
    <w:qFormat/>
    <w:uiPriority w:val="0"/>
    <w:rPr>
      <w:rFonts w:ascii="宋体" w:hAnsi="Courier New"/>
    </w:rPr>
  </w:style>
  <w:style w:type="character" w:customStyle="1" w:styleId="87">
    <w:name w:val="批注文字 字符1"/>
    <w:qFormat/>
    <w:uiPriority w:val="0"/>
    <w:rPr>
      <w:rFonts w:ascii="Times New Roman" w:hAnsi="Times New Roman"/>
      <w:kern w:val="2"/>
      <w:sz w:val="21"/>
      <w:szCs w:val="24"/>
    </w:rPr>
  </w:style>
  <w:style w:type="character" w:customStyle="1" w:styleId="88">
    <w:name w:val="正文文本 Char1"/>
    <w:semiHidden/>
    <w:qFormat/>
    <w:locked/>
    <w:uiPriority w:val="99"/>
    <w:rPr>
      <w:sz w:val="24"/>
      <w:szCs w:val="24"/>
    </w:rPr>
  </w:style>
  <w:style w:type="character" w:customStyle="1" w:styleId="89">
    <w:name w:val="apple-style-span"/>
    <w:qFormat/>
    <w:uiPriority w:val="0"/>
  </w:style>
  <w:style w:type="character" w:customStyle="1" w:styleId="90">
    <w:name w:val="textcontents"/>
    <w:qFormat/>
    <w:uiPriority w:val="0"/>
  </w:style>
  <w:style w:type="character" w:customStyle="1" w:styleId="91">
    <w:name w:val="普通文字 Char Char2"/>
    <w:qFormat/>
    <w:uiPriority w:val="0"/>
    <w:rPr>
      <w:rFonts w:ascii="宋体" w:hAnsi="Courier New" w:eastAsia="宋体"/>
      <w:kern w:val="2"/>
      <w:sz w:val="21"/>
      <w:lang w:val="en-US" w:eastAsia="zh-CN" w:bidi="ar-SA"/>
    </w:rPr>
  </w:style>
  <w:style w:type="character" w:customStyle="1" w:styleId="92">
    <w:name w:val="标题 5 Char"/>
    <w:qFormat/>
    <w:uiPriority w:val="0"/>
    <w:rPr>
      <w:b/>
      <w:kern w:val="2"/>
      <w:sz w:val="28"/>
      <w:szCs w:val="24"/>
    </w:rPr>
  </w:style>
  <w:style w:type="character" w:customStyle="1" w:styleId="93">
    <w:name w:val="批注文字 字符"/>
    <w:qFormat/>
    <w:uiPriority w:val="0"/>
    <w:rPr>
      <w:rFonts w:ascii="Times New Roman" w:hAnsi="Times New Roman"/>
      <w:kern w:val="2"/>
      <w:sz w:val="21"/>
      <w:szCs w:val="24"/>
    </w:rPr>
  </w:style>
  <w:style w:type="character" w:customStyle="1" w:styleId="94">
    <w:name w:val="标题 1 字符"/>
    <w:qFormat/>
    <w:uiPriority w:val="9"/>
    <w:rPr>
      <w:rFonts w:ascii="Times New Roman" w:hAnsi="Times New Roman" w:eastAsia="宋体" w:cs="Times New Roman"/>
      <w:b/>
      <w:bCs/>
      <w:kern w:val="44"/>
      <w:sz w:val="44"/>
      <w:szCs w:val="44"/>
    </w:rPr>
  </w:style>
  <w:style w:type="character" w:customStyle="1" w:styleId="95">
    <w:name w:val="纯文本 字符"/>
    <w:qFormat/>
    <w:uiPriority w:val="0"/>
    <w:rPr>
      <w:rFonts w:ascii="宋体" w:hAnsi="Courier New" w:eastAsia="宋体" w:cs="Courier New"/>
      <w:szCs w:val="21"/>
    </w:rPr>
  </w:style>
  <w:style w:type="character" w:customStyle="1" w:styleId="96">
    <w:name w:val="headline-content4"/>
    <w:qFormat/>
    <w:uiPriority w:val="0"/>
  </w:style>
  <w:style w:type="character" w:customStyle="1" w:styleId="9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8">
    <w:name w:val="正文文本缩进 字符"/>
    <w:qFormat/>
    <w:uiPriority w:val="0"/>
    <w:rPr>
      <w:rFonts w:ascii="仿宋_GB2312" w:hAnsi="Times New Roman" w:eastAsia="仿宋_GB2312" w:cs="Times New Roman"/>
      <w:sz w:val="32"/>
      <w:szCs w:val="20"/>
    </w:rPr>
  </w:style>
  <w:style w:type="paragraph" w:customStyle="1" w:styleId="99">
    <w:name w:val="Char1"/>
    <w:basedOn w:val="1"/>
    <w:qFormat/>
    <w:uiPriority w:val="0"/>
    <w:rPr>
      <w:szCs w:val="21"/>
    </w:rPr>
  </w:style>
  <w:style w:type="paragraph" w:styleId="100">
    <w:name w:val="List Paragraph"/>
    <w:basedOn w:val="1"/>
    <w:qFormat/>
    <w:uiPriority w:val="34"/>
    <w:pPr>
      <w:ind w:firstLine="420" w:firstLineChars="200"/>
    </w:pPr>
  </w:style>
  <w:style w:type="paragraph" w:customStyle="1" w:styleId="10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2">
    <w:name w:val="默认段落字体 Para Char Char Char Char Char Char Char Char Char1 Char Char Char Char"/>
    <w:basedOn w:val="1"/>
    <w:qFormat/>
    <w:uiPriority w:val="0"/>
    <w:rPr>
      <w:rFonts w:ascii="Tahoma" w:hAnsi="Tahoma"/>
      <w:sz w:val="24"/>
      <w:szCs w:val="20"/>
    </w:rPr>
  </w:style>
  <w:style w:type="paragraph" w:customStyle="1" w:styleId="103">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4">
    <w:name w:val="纯文本1"/>
    <w:basedOn w:val="1"/>
    <w:qFormat/>
    <w:uiPriority w:val="0"/>
    <w:rPr>
      <w:rFonts w:ascii="宋体" w:hAnsi="Courier New" w:cs="Century"/>
      <w:szCs w:val="21"/>
    </w:rPr>
  </w:style>
  <w:style w:type="paragraph" w:customStyle="1" w:styleId="105">
    <w:name w:val="Table Paragraph"/>
    <w:basedOn w:val="1"/>
    <w:qFormat/>
    <w:uiPriority w:val="1"/>
    <w:pPr>
      <w:jc w:val="left"/>
    </w:pPr>
    <w:rPr>
      <w:rFonts w:ascii="Calibri" w:hAnsi="Calibri"/>
      <w:kern w:val="0"/>
      <w:sz w:val="22"/>
      <w:szCs w:val="22"/>
      <w:lang w:eastAsia="en-US"/>
    </w:rPr>
  </w:style>
  <w:style w:type="paragraph" w:customStyle="1" w:styleId="10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7">
    <w:name w:val="表格"/>
    <w:basedOn w:val="1"/>
    <w:qFormat/>
    <w:uiPriority w:val="0"/>
    <w:pPr>
      <w:spacing w:line="400" w:lineRule="exact"/>
    </w:pPr>
    <w:rPr>
      <w:sz w:val="24"/>
    </w:rPr>
  </w:style>
  <w:style w:type="paragraph" w:customStyle="1" w:styleId="108">
    <w:name w:val="样式 首行缩进:  2 字符"/>
    <w:basedOn w:val="1"/>
    <w:qFormat/>
    <w:uiPriority w:val="0"/>
    <w:pPr>
      <w:spacing w:line="400" w:lineRule="exact"/>
      <w:ind w:firstLine="200" w:firstLineChars="200"/>
    </w:pPr>
    <w:rPr>
      <w:rFonts w:cs="宋体"/>
      <w:sz w:val="24"/>
    </w:rPr>
  </w:style>
  <w:style w:type="paragraph" w:customStyle="1" w:styleId="109">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0">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11">
    <w:name w:val="正文首行缩进两字符"/>
    <w:basedOn w:val="1"/>
    <w:qFormat/>
    <w:uiPriority w:val="0"/>
    <w:pPr>
      <w:spacing w:line="360" w:lineRule="auto"/>
      <w:ind w:firstLine="200" w:firstLineChars="200"/>
    </w:pPr>
  </w:style>
  <w:style w:type="paragraph" w:customStyle="1" w:styleId="112">
    <w:name w:val="正文段"/>
    <w:basedOn w:val="1"/>
    <w:qFormat/>
    <w:uiPriority w:val="0"/>
    <w:pPr>
      <w:widowControl/>
      <w:snapToGrid w:val="0"/>
      <w:spacing w:after="50" w:afterLines="50"/>
      <w:ind w:firstLine="200" w:firstLineChars="200"/>
    </w:pPr>
    <w:rPr>
      <w:kern w:val="0"/>
      <w:sz w:val="24"/>
      <w:szCs w:val="20"/>
    </w:rPr>
  </w:style>
  <w:style w:type="table" w:customStyle="1" w:styleId="113">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4">
    <w:name w:val="页脚 字符"/>
    <w:qFormat/>
    <w:uiPriority w:val="99"/>
  </w:style>
  <w:style w:type="character" w:customStyle="1" w:styleId="115">
    <w:name w:val="正文2 Char Char"/>
    <w:link w:val="116"/>
    <w:qFormat/>
    <w:uiPriority w:val="0"/>
    <w:rPr>
      <w:kern w:val="2"/>
      <w:sz w:val="24"/>
    </w:rPr>
  </w:style>
  <w:style w:type="paragraph" w:customStyle="1" w:styleId="116">
    <w:name w:val="正文2"/>
    <w:basedOn w:val="1"/>
    <w:link w:val="115"/>
    <w:qFormat/>
    <w:uiPriority w:val="0"/>
    <w:pPr>
      <w:adjustRightInd w:val="0"/>
      <w:spacing w:before="156" w:line="360" w:lineRule="auto"/>
      <w:ind w:firstLine="510" w:firstLineChars="200"/>
    </w:pPr>
    <w:rPr>
      <w:sz w:val="24"/>
      <w:szCs w:val="20"/>
    </w:rPr>
  </w:style>
  <w:style w:type="paragraph" w:customStyle="1" w:styleId="117">
    <w:name w:val="_Style 112"/>
    <w:unhideWhenUsed/>
    <w:qFormat/>
    <w:uiPriority w:val="99"/>
    <w:rPr>
      <w:rFonts w:ascii="Times New Roman" w:hAnsi="Times New Roman" w:eastAsia="宋体" w:cs="Times New Roman"/>
      <w:kern w:val="2"/>
      <w:sz w:val="21"/>
      <w:szCs w:val="24"/>
      <w:lang w:val="en-US" w:eastAsia="zh-CN" w:bidi="ar-SA"/>
    </w:rPr>
  </w:style>
  <w:style w:type="character" w:customStyle="1" w:styleId="118">
    <w:name w:val="表格文字 Char1"/>
    <w:link w:val="119"/>
    <w:qFormat/>
    <w:locked/>
    <w:uiPriority w:val="0"/>
    <w:rPr>
      <w:bCs/>
      <w:spacing w:val="10"/>
      <w:sz w:val="24"/>
    </w:rPr>
  </w:style>
  <w:style w:type="paragraph" w:customStyle="1" w:styleId="119">
    <w:name w:val="表格文字"/>
    <w:basedOn w:val="1"/>
    <w:next w:val="17"/>
    <w:link w:val="118"/>
    <w:qFormat/>
    <w:uiPriority w:val="0"/>
    <w:pPr>
      <w:spacing w:before="25" w:after="25"/>
      <w:jc w:val="left"/>
    </w:pPr>
    <w:rPr>
      <w:bCs/>
      <w:spacing w:val="10"/>
      <w:kern w:val="0"/>
      <w:sz w:val="24"/>
      <w:szCs w:val="20"/>
    </w:rPr>
  </w:style>
  <w:style w:type="paragraph" w:customStyle="1" w:styleId="12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21">
    <w:name w:val="列出段落1"/>
    <w:basedOn w:val="1"/>
    <w:qFormat/>
    <w:uiPriority w:val="0"/>
    <w:pPr>
      <w:ind w:firstLine="420" w:firstLineChars="200"/>
    </w:pPr>
    <w:rPr>
      <w:szCs w:val="21"/>
    </w:rPr>
  </w:style>
  <w:style w:type="paragraph" w:customStyle="1" w:styleId="12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24">
    <w:name w:val="纯文本 Char2"/>
    <w:qFormat/>
    <w:uiPriority w:val="0"/>
    <w:rPr>
      <w:rFonts w:ascii="宋体" w:hAnsi="Courier New" w:eastAsia="宋体" w:cs="Courier New"/>
      <w:szCs w:val="21"/>
    </w:rPr>
  </w:style>
  <w:style w:type="character" w:customStyle="1" w:styleId="125">
    <w:name w:val="font11"/>
    <w:basedOn w:val="48"/>
    <w:qFormat/>
    <w:uiPriority w:val="0"/>
    <w:rPr>
      <w:rFonts w:hint="eastAsia" w:ascii="宋体" w:hAnsi="宋体" w:eastAsia="宋体" w:cs="宋体"/>
      <w:color w:val="000000"/>
      <w:sz w:val="24"/>
      <w:szCs w:val="24"/>
      <w:u w:val="none"/>
    </w:rPr>
  </w:style>
  <w:style w:type="paragraph" w:customStyle="1" w:styleId="126">
    <w:name w:val="p15"/>
    <w:basedOn w:val="1"/>
    <w:qFormat/>
    <w:uiPriority w:val="0"/>
    <w:pPr>
      <w:widowControl/>
      <w:ind w:firstLine="420"/>
    </w:pPr>
    <w:rPr>
      <w:szCs w:val="21"/>
    </w:rPr>
  </w:style>
  <w:style w:type="paragraph" w:styleId="127">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28">
    <w:name w:val="BodyText"/>
    <w:basedOn w:val="1"/>
    <w:qFormat/>
    <w:uiPriority w:val="0"/>
    <w:pPr>
      <w:spacing w:line="380" w:lineRule="exact"/>
      <w:textAlignment w:val="baseline"/>
    </w:pPr>
    <w:rPr>
      <w:sz w:val="24"/>
    </w:rPr>
  </w:style>
  <w:style w:type="character" w:customStyle="1" w:styleId="129">
    <w:name w:val="NormalCharacter"/>
    <w:qFormat/>
    <w:uiPriority w:val="0"/>
  </w:style>
  <w:style w:type="character" w:customStyle="1" w:styleId="130">
    <w:name w:val="font112"/>
    <w:basedOn w:val="48"/>
    <w:qFormat/>
    <w:uiPriority w:val="0"/>
    <w:rPr>
      <w:rFonts w:hint="eastAsia" w:ascii="宋体" w:hAnsi="宋体" w:eastAsia="宋体" w:cs="宋体"/>
      <w:color w:val="000000"/>
      <w:sz w:val="20"/>
      <w:szCs w:val="20"/>
      <w:u w:val="none"/>
    </w:rPr>
  </w:style>
  <w:style w:type="paragraph" w:customStyle="1" w:styleId="131">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243</Pages>
  <Words>24959</Words>
  <Characters>30652</Characters>
  <Lines>1153</Lines>
  <Paragraphs>324</Paragraphs>
  <TotalTime>11</TotalTime>
  <ScaleCrop>false</ScaleCrop>
  <LinksUpToDate>false</LinksUpToDate>
  <CharactersWithSpaces>31461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2025-08-11T05:12:00Z</dcterms:created>
  <dc:creator>番茄花园</dc:creator>
  <cp:lastModifiedBy>everyone</cp:lastModifiedBy>
  <cp:lastPrinted>2025-11-18T03:52:00Z</cp:lastPrinted>
  <dcterms:modified xsi:type="dcterms:W3CDTF">2025-12-05T02:55:35Z</dcterms:modified>
  <dc:title>公开招标采购文件范本</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45311ED3CCD64117886EE783DED34823_13</vt:lpwstr>
  </property>
  <property fmtid="{D5CDD505-2E9C-101B-9397-08002B2CF9AE}" pid="4" name="KSOTemplateDocerSaveRecord">
    <vt:lpwstr>eyJoZGlkIjoiNmJhMzI2MjhkY2Y1OWM4MTE3MDMyODc5ZDA1MWQwNjQiLCJ1c2VySWQiOiI2MTI4OTUwMDYifQ==</vt:lpwstr>
  </property>
</Properties>
</file>