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B8FEB">
      <w:pPr>
        <w:spacing w:line="720" w:lineRule="exact"/>
        <w:ind w:firstLine="1201"/>
        <w:jc w:val="center"/>
        <w:rPr>
          <w:rFonts w:hint="eastAsia" w:ascii="华文新魏" w:eastAsia="华文新魏"/>
          <w:b/>
          <w:bCs/>
          <w:color w:val="auto"/>
          <w:kern w:val="0"/>
          <w:sz w:val="60"/>
          <w:szCs w:val="60"/>
          <w:highlight w:val="none"/>
        </w:rPr>
      </w:pPr>
      <w:bookmarkStart w:id="0" w:name="_Toc82016587"/>
    </w:p>
    <w:p w14:paraId="5C2CF8AB">
      <w:pPr>
        <w:spacing w:line="720" w:lineRule="exact"/>
        <w:ind w:firstLine="198" w:firstLineChars="33"/>
        <w:jc w:val="center"/>
        <w:rPr>
          <w:rFonts w:ascii="文鼎中隶简" w:eastAsia="文鼎中隶简"/>
          <w:color w:val="auto"/>
          <w:kern w:val="0"/>
          <w:sz w:val="60"/>
          <w:szCs w:val="60"/>
          <w:highlight w:val="none"/>
        </w:rPr>
      </w:pPr>
      <w:r>
        <w:rPr>
          <w:rFonts w:hint="eastAsia" w:ascii="华文新魏" w:eastAsia="华文新魏"/>
          <w:b/>
          <w:bCs/>
          <w:color w:val="auto"/>
          <w:kern w:val="0"/>
          <w:sz w:val="60"/>
          <w:szCs w:val="60"/>
          <w:highlight w:val="none"/>
        </w:rPr>
        <w:t>云之龙咨询集团有限公司</w:t>
      </w:r>
    </w:p>
    <w:p w14:paraId="444CB135">
      <w:pPr>
        <w:spacing w:line="720" w:lineRule="exact"/>
        <w:ind w:firstLine="1040"/>
        <w:jc w:val="center"/>
        <w:rPr>
          <w:rFonts w:ascii="文鼎中隶简" w:eastAsia="文鼎中隶简"/>
          <w:color w:val="auto"/>
          <w:kern w:val="0"/>
          <w:sz w:val="52"/>
          <w:highlight w:val="none"/>
        </w:rPr>
      </w:pPr>
      <w:r>
        <w:rPr>
          <w:rFonts w:ascii="文鼎中隶简" w:eastAsia="文鼎中隶简"/>
          <w:color w:val="auto"/>
          <w:kern w:val="0"/>
          <w:sz w:val="52"/>
          <w:highlight w:val="none"/>
        </w:rPr>
        <w:cr/>
      </w:r>
    </w:p>
    <w:p w14:paraId="4D37061C">
      <w:pPr>
        <w:spacing w:line="1000" w:lineRule="exact"/>
        <w:ind w:firstLine="1440"/>
        <w:jc w:val="center"/>
        <w:rPr>
          <w:rFonts w:ascii="楷体_GB2312" w:eastAsia="楷体_GB2312"/>
          <w:b/>
          <w:color w:val="auto"/>
          <w:kern w:val="0"/>
          <w:sz w:val="84"/>
          <w:szCs w:val="84"/>
          <w:highlight w:val="none"/>
        </w:rPr>
      </w:pPr>
      <w:r>
        <w:rPr>
          <w:rFonts w:hint="eastAsia"/>
          <w:color w:val="auto"/>
          <w:kern w:val="0"/>
          <w:sz w:val="72"/>
          <w:highlight w:val="none"/>
        </w:rPr>
        <w:cr/>
      </w:r>
      <w:r>
        <w:rPr>
          <w:rFonts w:hint="eastAsia" w:ascii="楷体_GB2312" w:eastAsia="楷体_GB2312"/>
          <w:b/>
          <w:color w:val="auto"/>
          <w:kern w:val="0"/>
          <w:sz w:val="84"/>
          <w:szCs w:val="84"/>
          <w:highlight w:val="none"/>
        </w:rPr>
        <w:t>竞争性磋商文件</w:t>
      </w:r>
      <w:r>
        <w:rPr>
          <w:rFonts w:hint="eastAsia" w:ascii="楷体_GB2312" w:eastAsia="楷体_GB2312"/>
          <w:b/>
          <w:color w:val="auto"/>
          <w:kern w:val="0"/>
          <w:sz w:val="84"/>
          <w:szCs w:val="84"/>
          <w:highlight w:val="none"/>
        </w:rPr>
        <w:cr/>
      </w:r>
      <w:r>
        <w:rPr>
          <w:rFonts w:hint="eastAsia" w:ascii="楷体_GB2312" w:eastAsia="楷体_GB2312"/>
          <w:b/>
          <w:color w:val="auto"/>
          <w:kern w:val="0"/>
          <w:sz w:val="84"/>
          <w:szCs w:val="84"/>
          <w:highlight w:val="none"/>
        </w:rPr>
        <w:cr/>
      </w:r>
    </w:p>
    <w:p w14:paraId="52F2416E">
      <w:pPr>
        <w:pStyle w:val="25"/>
        <w:ind w:firstLine="4560" w:firstLineChars="1900"/>
        <w:rPr>
          <w:color w:val="auto"/>
          <w:kern w:val="0"/>
          <w:highlight w:val="none"/>
        </w:rPr>
      </w:pPr>
    </w:p>
    <w:p w14:paraId="32C4E9F6">
      <w:pPr>
        <w:ind w:left="2871" w:leftChars="527" w:hanging="1606" w:hangingChars="500"/>
        <w:rPr>
          <w:rFonts w:ascii="宋体" w:hAnsi="宋体" w:cs="宋体"/>
          <w:b/>
          <w:bCs/>
          <w:color w:val="auto"/>
          <w:kern w:val="0"/>
          <w:sz w:val="32"/>
          <w:highlight w:val="none"/>
        </w:rPr>
      </w:pPr>
    </w:p>
    <w:p w14:paraId="7510E4C5">
      <w:pPr>
        <w:ind w:left="2879" w:leftChars="300" w:hanging="2159" w:hangingChars="672"/>
        <w:rPr>
          <w:rFonts w:hint="eastAsia" w:ascii="宋体" w:hAnsi="宋体" w:cs="宋体"/>
          <w:b/>
          <w:bCs/>
          <w:color w:val="auto"/>
          <w:kern w:val="0"/>
          <w:sz w:val="32"/>
          <w:highlight w:val="none"/>
        </w:rPr>
      </w:pPr>
      <w:r>
        <w:rPr>
          <w:rFonts w:hint="eastAsia" w:ascii="宋体" w:hAnsi="宋体" w:cs="宋体"/>
          <w:b/>
          <w:bCs/>
          <w:color w:val="auto"/>
          <w:kern w:val="0"/>
          <w:sz w:val="32"/>
          <w:highlight w:val="none"/>
        </w:rPr>
        <w:t>项目名称：2026年桂林市生态环境局10个小型水站、3个</w:t>
      </w:r>
    </w:p>
    <w:p w14:paraId="2DD8B888">
      <w:pPr>
        <w:ind w:left="2879" w:leftChars="300" w:hanging="2159" w:hangingChars="672"/>
        <w:rPr>
          <w:rFonts w:hint="eastAsia" w:ascii="宋体" w:hAnsi="宋体" w:cs="宋体"/>
          <w:b/>
          <w:bCs/>
          <w:color w:val="auto"/>
          <w:kern w:val="0"/>
          <w:sz w:val="32"/>
          <w:highlight w:val="none"/>
        </w:rPr>
      </w:pPr>
      <w:r>
        <w:rPr>
          <w:rFonts w:hint="eastAsia" w:ascii="宋体" w:hAnsi="宋体" w:cs="宋体"/>
          <w:b/>
          <w:bCs/>
          <w:color w:val="auto"/>
          <w:kern w:val="0"/>
          <w:sz w:val="32"/>
          <w:highlight w:val="none"/>
        </w:rPr>
        <w:t>水质自动监测站及2个环境空气自动监测站运行维护服务</w:t>
      </w:r>
    </w:p>
    <w:p w14:paraId="47504368">
      <w:pPr>
        <w:ind w:left="2879" w:leftChars="300" w:hanging="2159" w:hangingChars="672"/>
        <w:rPr>
          <w:rFonts w:ascii="宋体" w:hAnsi="宋体" w:cs="宋体"/>
          <w:b/>
          <w:bCs/>
          <w:color w:val="auto"/>
          <w:kern w:val="0"/>
          <w:sz w:val="32"/>
          <w:highlight w:val="none"/>
        </w:rPr>
      </w:pPr>
      <w:r>
        <w:rPr>
          <w:rFonts w:hint="eastAsia" w:ascii="宋体" w:hAnsi="宋体" w:cs="宋体"/>
          <w:b/>
          <w:bCs/>
          <w:color w:val="auto"/>
          <w:kern w:val="0"/>
          <w:sz w:val="32"/>
          <w:highlight w:val="none"/>
        </w:rPr>
        <w:t>采购</w:t>
      </w:r>
    </w:p>
    <w:p w14:paraId="6D36B9BB">
      <w:pPr>
        <w:ind w:left="2879" w:leftChars="300" w:hanging="2159" w:hangingChars="672"/>
        <w:rPr>
          <w:rFonts w:ascii="宋体" w:hAnsi="宋体" w:cs="宋体"/>
          <w:b/>
          <w:bCs/>
          <w:color w:val="auto"/>
          <w:kern w:val="0"/>
          <w:sz w:val="32"/>
          <w:highlight w:val="none"/>
        </w:rPr>
      </w:pPr>
      <w:r>
        <w:rPr>
          <w:rFonts w:hint="eastAsia" w:ascii="宋体" w:hAnsi="宋体" w:cs="宋体"/>
          <w:b/>
          <w:bCs/>
          <w:color w:val="auto"/>
          <w:kern w:val="0"/>
          <w:sz w:val="32"/>
          <w:highlight w:val="none"/>
        </w:rPr>
        <w:t>项目编号：GLZC2026-C3-990077-YZLZ</w:t>
      </w:r>
    </w:p>
    <w:p w14:paraId="678029AD">
      <w:pPr>
        <w:ind w:left="-2" w:leftChars="-1" w:firstLine="720" w:firstLineChars="300"/>
        <w:rPr>
          <w:rFonts w:ascii="宋体" w:hAnsi="宋体" w:cs="宋体"/>
          <w:color w:val="auto"/>
          <w:kern w:val="0"/>
          <w:highlight w:val="none"/>
        </w:rPr>
      </w:pPr>
    </w:p>
    <w:p w14:paraId="3ACBBDAC">
      <w:pPr>
        <w:ind w:firstLine="1446" w:firstLineChars="450"/>
        <w:jc w:val="center"/>
        <w:rPr>
          <w:rFonts w:ascii="宋体" w:hAnsi="宋体" w:cs="宋体"/>
          <w:b/>
          <w:bCs/>
          <w:color w:val="auto"/>
          <w:kern w:val="0"/>
          <w:sz w:val="32"/>
          <w:highlight w:val="none"/>
        </w:rPr>
      </w:pPr>
    </w:p>
    <w:p w14:paraId="35383192">
      <w:pPr>
        <w:ind w:firstLine="1446" w:firstLineChars="450"/>
        <w:jc w:val="center"/>
        <w:rPr>
          <w:rFonts w:ascii="宋体" w:hAnsi="宋体" w:cs="宋体"/>
          <w:b/>
          <w:bCs/>
          <w:color w:val="auto"/>
          <w:kern w:val="0"/>
          <w:sz w:val="32"/>
          <w:highlight w:val="none"/>
        </w:rPr>
      </w:pPr>
    </w:p>
    <w:p w14:paraId="47D28FD2">
      <w:pPr>
        <w:ind w:firstLine="643"/>
        <w:jc w:val="center"/>
        <w:rPr>
          <w:rFonts w:ascii="宋体" w:hAnsi="宋体" w:cs="宋体"/>
          <w:b/>
          <w:bCs/>
          <w:color w:val="auto"/>
          <w:kern w:val="0"/>
          <w:sz w:val="32"/>
          <w:highlight w:val="none"/>
        </w:rPr>
      </w:pPr>
      <w:r>
        <w:rPr>
          <w:rFonts w:hint="eastAsia" w:ascii="宋体" w:hAnsi="宋体" w:cs="宋体"/>
          <w:b/>
          <w:bCs/>
          <w:color w:val="auto"/>
          <w:kern w:val="0"/>
          <w:sz w:val="32"/>
          <w:highlight w:val="none"/>
        </w:rPr>
        <w:t>采购代理机构：云之龙咨询集团有限公司</w:t>
      </w:r>
    </w:p>
    <w:p w14:paraId="73E446B3">
      <w:pPr>
        <w:ind w:firstLine="643"/>
        <w:jc w:val="center"/>
        <w:rPr>
          <w:rFonts w:ascii="宋体" w:hAnsi="宋体" w:cs="宋体"/>
          <w:b/>
          <w:bCs/>
          <w:color w:val="auto"/>
          <w:kern w:val="0"/>
          <w:sz w:val="32"/>
          <w:highlight w:val="none"/>
        </w:rPr>
      </w:pPr>
      <w:r>
        <w:rPr>
          <w:rFonts w:hint="eastAsia" w:ascii="宋体" w:hAnsi="宋体" w:cs="宋体"/>
          <w:b/>
          <w:bCs/>
          <w:color w:val="auto"/>
          <w:kern w:val="0"/>
          <w:sz w:val="32"/>
          <w:highlight w:val="none"/>
        </w:rPr>
        <w:t xml:space="preserve"> 2026年</w:t>
      </w:r>
      <w:r>
        <w:rPr>
          <w:rFonts w:hint="eastAsia" w:ascii="宋体" w:hAnsi="宋体" w:cs="宋体"/>
          <w:b/>
          <w:bCs/>
          <w:color w:val="auto"/>
          <w:kern w:val="0"/>
          <w:sz w:val="32"/>
          <w:highlight w:val="none"/>
          <w:lang w:val="en-US" w:eastAsia="zh-CN"/>
        </w:rPr>
        <w:t>3</w:t>
      </w:r>
      <w:r>
        <w:rPr>
          <w:rFonts w:hint="eastAsia" w:ascii="宋体" w:hAnsi="宋体" w:cs="宋体"/>
          <w:b/>
          <w:bCs/>
          <w:color w:val="auto"/>
          <w:kern w:val="0"/>
          <w:sz w:val="32"/>
          <w:highlight w:val="none"/>
        </w:rPr>
        <w:t>月</w:t>
      </w:r>
      <w:r>
        <w:rPr>
          <w:rFonts w:hint="eastAsia" w:ascii="宋体" w:hAnsi="宋体" w:cs="宋体"/>
          <w:b/>
          <w:bCs/>
          <w:color w:val="auto"/>
          <w:kern w:val="0"/>
          <w:sz w:val="32"/>
          <w:highlight w:val="none"/>
          <w:lang w:val="en-US" w:eastAsia="zh-CN"/>
        </w:rPr>
        <w:t>17</w:t>
      </w:r>
      <w:r>
        <w:rPr>
          <w:rFonts w:hint="eastAsia" w:ascii="宋体" w:hAnsi="宋体" w:cs="宋体"/>
          <w:b/>
          <w:bCs/>
          <w:color w:val="auto"/>
          <w:kern w:val="0"/>
          <w:sz w:val="32"/>
          <w:highlight w:val="none"/>
        </w:rPr>
        <w:t>日</w:t>
      </w:r>
    </w:p>
    <w:p w14:paraId="314A54DE">
      <w:pPr>
        <w:pStyle w:val="25"/>
        <w:spacing w:line="420" w:lineRule="exact"/>
        <w:rPr>
          <w:rFonts w:hAnsi="宋体" w:cs="宋体"/>
          <w:color w:val="auto"/>
          <w:kern w:val="0"/>
          <w:sz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304" w:bottom="1440" w:left="1304" w:header="720" w:footer="720" w:gutter="0"/>
          <w:pgNumType w:start="0"/>
          <w:cols w:space="720" w:num="1"/>
          <w:titlePg/>
          <w:docGrid w:linePitch="331" w:charSpace="0"/>
        </w:sectPr>
      </w:pPr>
    </w:p>
    <w:p w14:paraId="47B16029">
      <w:pPr>
        <w:pStyle w:val="25"/>
        <w:spacing w:line="420" w:lineRule="exact"/>
        <w:rPr>
          <w:rFonts w:hAnsi="宋体" w:cs="宋体"/>
          <w:color w:val="auto"/>
          <w:kern w:val="0"/>
          <w:sz w:val="44"/>
          <w:highlight w:val="none"/>
        </w:rPr>
      </w:pPr>
    </w:p>
    <w:p w14:paraId="7AC2DDC2">
      <w:pPr>
        <w:pStyle w:val="25"/>
        <w:spacing w:line="420" w:lineRule="exact"/>
        <w:jc w:val="center"/>
        <w:rPr>
          <w:rFonts w:hAnsi="宋体" w:cs="宋体"/>
          <w:color w:val="auto"/>
          <w:kern w:val="0"/>
          <w:sz w:val="44"/>
          <w:highlight w:val="none"/>
        </w:rPr>
      </w:pPr>
    </w:p>
    <w:p w14:paraId="20C245A7">
      <w:pPr>
        <w:pStyle w:val="25"/>
        <w:spacing w:line="420" w:lineRule="exact"/>
        <w:jc w:val="center"/>
        <w:rPr>
          <w:rFonts w:hAnsi="宋体" w:cs="宋体"/>
          <w:color w:val="auto"/>
          <w:kern w:val="0"/>
          <w:sz w:val="44"/>
          <w:highlight w:val="none"/>
        </w:rPr>
      </w:pPr>
      <w:r>
        <w:rPr>
          <w:rFonts w:hint="eastAsia" w:hAnsi="宋体" w:cs="宋体"/>
          <w:color w:val="auto"/>
          <w:kern w:val="0"/>
          <w:sz w:val="44"/>
          <w:highlight w:val="none"/>
        </w:rPr>
        <w:t>目     录</w:t>
      </w:r>
    </w:p>
    <w:p w14:paraId="57F6D9FA">
      <w:pPr>
        <w:pStyle w:val="25"/>
        <w:tabs>
          <w:tab w:val="left" w:pos="8860"/>
          <w:tab w:val="left" w:pos="9140"/>
        </w:tabs>
        <w:rPr>
          <w:rFonts w:hAnsi="宋体" w:cs="宋体"/>
          <w:color w:val="auto"/>
          <w:kern w:val="0"/>
          <w:sz w:val="32"/>
          <w:highlight w:val="none"/>
        </w:rPr>
      </w:pPr>
    </w:p>
    <w:p w14:paraId="34154282">
      <w:pPr>
        <w:pStyle w:val="36"/>
        <w:ind w:left="480"/>
        <w:rPr>
          <w:rStyle w:val="52"/>
          <w:rFonts w:ascii="宋体" w:hAnsi="宋体" w:cs="宋体"/>
          <w:b/>
          <w:color w:val="auto"/>
          <w:kern w:val="0"/>
          <w:sz w:val="32"/>
          <w:szCs w:val="32"/>
          <w:highlight w:val="none"/>
        </w:rPr>
      </w:pPr>
      <w:r>
        <w:rPr>
          <w:rFonts w:hAnsi="宋体"/>
          <w:color w:val="auto"/>
          <w:kern w:val="0"/>
          <w:highlight w:val="none"/>
        </w:rPr>
        <w:fldChar w:fldCharType="begin"/>
      </w:r>
      <w:r>
        <w:rPr>
          <w:rFonts w:hAnsi="宋体"/>
          <w:color w:val="auto"/>
          <w:kern w:val="0"/>
          <w:highlight w:val="none"/>
        </w:rPr>
        <w:instrText xml:space="preserve"> </w:instrText>
      </w:r>
      <w:r>
        <w:rPr>
          <w:rFonts w:hint="eastAsia" w:hAnsi="宋体"/>
          <w:color w:val="auto"/>
          <w:kern w:val="0"/>
          <w:highlight w:val="none"/>
        </w:rPr>
        <w:instrText xml:space="preserve">TOC \o "1-3" \h \z \u</w:instrText>
      </w:r>
      <w:r>
        <w:rPr>
          <w:rFonts w:hAnsi="宋体"/>
          <w:color w:val="auto"/>
          <w:kern w:val="0"/>
          <w:highlight w:val="none"/>
        </w:rPr>
        <w:instrText xml:space="preserve"> </w:instrText>
      </w:r>
      <w:r>
        <w:rPr>
          <w:rFonts w:hAnsi="宋体"/>
          <w:color w:val="auto"/>
          <w:kern w:val="0"/>
          <w:highlight w:val="none"/>
        </w:rPr>
        <w:fldChar w:fldCharType="separate"/>
      </w:r>
      <w:r>
        <w:rPr>
          <w:color w:val="auto"/>
          <w:highlight w:val="none"/>
        </w:rPr>
        <w:fldChar w:fldCharType="begin"/>
      </w:r>
      <w:r>
        <w:rPr>
          <w:color w:val="auto"/>
          <w:highlight w:val="none"/>
        </w:rPr>
        <w:instrText xml:space="preserve"> HYPERLINK \l "_Toc82016584" </w:instrText>
      </w:r>
      <w:r>
        <w:rPr>
          <w:color w:val="auto"/>
          <w:highlight w:val="none"/>
        </w:rPr>
        <w:fldChar w:fldCharType="separate"/>
      </w:r>
      <w:r>
        <w:rPr>
          <w:rStyle w:val="52"/>
          <w:rFonts w:hint="eastAsia" w:ascii="宋体" w:hAnsi="宋体" w:cs="宋体"/>
          <w:b/>
          <w:color w:val="auto"/>
          <w:kern w:val="0"/>
          <w:sz w:val="32"/>
          <w:szCs w:val="32"/>
          <w:highlight w:val="none"/>
        </w:rPr>
        <w:t>第一章 竞争性磋商公告</w:t>
      </w:r>
      <w:r>
        <w:rPr>
          <w:rStyle w:val="52"/>
          <w:rFonts w:ascii="宋体" w:hAnsi="宋体" w:cs="宋体"/>
          <w:b/>
          <w:color w:val="auto"/>
          <w:kern w:val="0"/>
          <w:sz w:val="32"/>
          <w:szCs w:val="32"/>
          <w:highlight w:val="none"/>
        </w:rPr>
        <w:t>………………………………</w:t>
      </w:r>
      <w:r>
        <w:rPr>
          <w:rStyle w:val="52"/>
          <w:rFonts w:hint="eastAsia" w:ascii="宋体" w:hAnsi="宋体" w:cs="宋体"/>
          <w:b/>
          <w:color w:val="auto"/>
          <w:kern w:val="0"/>
          <w:sz w:val="32"/>
          <w:szCs w:val="32"/>
          <w:highlight w:val="none"/>
        </w:rPr>
        <w:t>2</w:t>
      </w:r>
      <w:r>
        <w:rPr>
          <w:rStyle w:val="52"/>
          <w:rFonts w:hint="eastAsia" w:ascii="宋体" w:hAnsi="宋体" w:cs="宋体"/>
          <w:b/>
          <w:color w:val="auto"/>
          <w:kern w:val="0"/>
          <w:sz w:val="32"/>
          <w:szCs w:val="32"/>
          <w:highlight w:val="none"/>
        </w:rPr>
        <w:fldChar w:fldCharType="end"/>
      </w:r>
    </w:p>
    <w:p w14:paraId="2EA54447">
      <w:pPr>
        <w:pStyle w:val="36"/>
        <w:ind w:left="480"/>
        <w:rPr>
          <w:rStyle w:val="52"/>
          <w:rFonts w:ascii="宋体" w:hAnsi="宋体" w:cs="宋体"/>
          <w:b/>
          <w:color w:val="auto"/>
          <w:kern w:val="0"/>
          <w:sz w:val="32"/>
          <w:szCs w:val="32"/>
          <w:highlight w:val="none"/>
        </w:rPr>
      </w:pPr>
      <w:r>
        <w:rPr>
          <w:color w:val="auto"/>
          <w:highlight w:val="none"/>
        </w:rPr>
        <w:fldChar w:fldCharType="begin"/>
      </w:r>
      <w:r>
        <w:rPr>
          <w:color w:val="auto"/>
          <w:highlight w:val="none"/>
        </w:rPr>
        <w:instrText xml:space="preserve"> HYPERLINK \l "_Toc82016586" </w:instrText>
      </w:r>
      <w:r>
        <w:rPr>
          <w:color w:val="auto"/>
          <w:highlight w:val="none"/>
        </w:rPr>
        <w:fldChar w:fldCharType="separate"/>
      </w:r>
      <w:r>
        <w:rPr>
          <w:rStyle w:val="52"/>
          <w:rFonts w:hint="eastAsia" w:ascii="宋体" w:hAnsi="宋体" w:cs="宋体"/>
          <w:b/>
          <w:color w:val="auto"/>
          <w:kern w:val="0"/>
          <w:sz w:val="32"/>
          <w:szCs w:val="32"/>
          <w:highlight w:val="none"/>
        </w:rPr>
        <w:t>第二章 供应商须知</w:t>
      </w:r>
      <w:r>
        <w:rPr>
          <w:rStyle w:val="52"/>
          <w:rFonts w:ascii="宋体" w:hAnsi="宋体" w:cs="宋体"/>
          <w:b/>
          <w:color w:val="auto"/>
          <w:kern w:val="0"/>
          <w:sz w:val="32"/>
          <w:szCs w:val="32"/>
          <w:highlight w:val="none"/>
        </w:rPr>
        <w:t>……………………………………</w:t>
      </w:r>
      <w:r>
        <w:rPr>
          <w:rStyle w:val="52"/>
          <w:rFonts w:hint="eastAsia" w:ascii="宋体" w:hAnsi="宋体" w:cs="宋体"/>
          <w:b/>
          <w:color w:val="auto"/>
          <w:kern w:val="0"/>
          <w:sz w:val="32"/>
          <w:szCs w:val="32"/>
          <w:highlight w:val="none"/>
        </w:rPr>
        <w:t>6</w:t>
      </w:r>
      <w:r>
        <w:rPr>
          <w:rStyle w:val="52"/>
          <w:rFonts w:hint="eastAsia" w:ascii="宋体" w:hAnsi="宋体" w:cs="宋体"/>
          <w:b/>
          <w:color w:val="auto"/>
          <w:kern w:val="0"/>
          <w:sz w:val="32"/>
          <w:szCs w:val="32"/>
          <w:highlight w:val="none"/>
        </w:rPr>
        <w:fldChar w:fldCharType="end"/>
      </w:r>
    </w:p>
    <w:p w14:paraId="15392379">
      <w:pPr>
        <w:pStyle w:val="36"/>
        <w:ind w:left="480"/>
        <w:rPr>
          <w:rStyle w:val="52"/>
          <w:rFonts w:hint="eastAsia" w:ascii="宋体" w:hAnsi="宋体" w:eastAsia="宋体" w:cs="宋体"/>
          <w:b/>
          <w:color w:val="auto"/>
          <w:kern w:val="0"/>
          <w:sz w:val="32"/>
          <w:szCs w:val="32"/>
          <w:highlight w:val="none"/>
          <w:lang w:val="en-US" w:eastAsia="zh-CN"/>
        </w:rPr>
      </w:pPr>
      <w:r>
        <w:rPr>
          <w:color w:val="auto"/>
          <w:highlight w:val="none"/>
        </w:rPr>
        <w:fldChar w:fldCharType="begin"/>
      </w:r>
      <w:r>
        <w:rPr>
          <w:color w:val="auto"/>
          <w:highlight w:val="none"/>
        </w:rPr>
        <w:instrText xml:space="preserve"> HYPERLINK \l "_Toc82016587" </w:instrText>
      </w:r>
      <w:r>
        <w:rPr>
          <w:color w:val="auto"/>
          <w:highlight w:val="none"/>
        </w:rPr>
        <w:fldChar w:fldCharType="separate"/>
      </w:r>
      <w:r>
        <w:rPr>
          <w:rStyle w:val="52"/>
          <w:rFonts w:hint="eastAsia" w:ascii="宋体" w:hAnsi="宋体" w:cs="宋体"/>
          <w:b/>
          <w:color w:val="auto"/>
          <w:kern w:val="0"/>
          <w:sz w:val="32"/>
          <w:szCs w:val="32"/>
          <w:highlight w:val="none"/>
        </w:rPr>
        <w:t>第三章</w:t>
      </w:r>
      <w:r>
        <w:rPr>
          <w:rStyle w:val="52"/>
          <w:rFonts w:ascii="宋体" w:hAnsi="宋体" w:cs="宋体"/>
          <w:b/>
          <w:color w:val="auto"/>
          <w:kern w:val="0"/>
          <w:sz w:val="32"/>
          <w:szCs w:val="32"/>
          <w:highlight w:val="none"/>
        </w:rPr>
        <w:t xml:space="preserve"> </w:t>
      </w:r>
      <w:r>
        <w:rPr>
          <w:rStyle w:val="52"/>
          <w:rFonts w:hint="eastAsia" w:ascii="宋体" w:hAnsi="宋体" w:cs="宋体"/>
          <w:b/>
          <w:color w:val="auto"/>
          <w:kern w:val="0"/>
          <w:sz w:val="32"/>
          <w:szCs w:val="32"/>
          <w:highlight w:val="none"/>
        </w:rPr>
        <w:t>采购需求</w:t>
      </w:r>
      <w:r>
        <w:rPr>
          <w:rStyle w:val="52"/>
          <w:rFonts w:ascii="宋体" w:hAnsi="宋体" w:cs="宋体"/>
          <w:b/>
          <w:color w:val="auto"/>
          <w:kern w:val="0"/>
          <w:sz w:val="32"/>
          <w:szCs w:val="32"/>
          <w:highlight w:val="none"/>
        </w:rPr>
        <w:t>………………………………………</w:t>
      </w:r>
      <w:r>
        <w:rPr>
          <w:rStyle w:val="52"/>
          <w:rFonts w:hint="eastAsia" w:ascii="宋体" w:hAnsi="宋体" w:cs="宋体"/>
          <w:b/>
          <w:color w:val="auto"/>
          <w:kern w:val="0"/>
          <w:sz w:val="32"/>
          <w:szCs w:val="32"/>
          <w:highlight w:val="none"/>
          <w:lang w:val="en-US" w:eastAsia="zh-CN"/>
        </w:rPr>
        <w:t>3</w:t>
      </w:r>
      <w:r>
        <w:rPr>
          <w:rStyle w:val="52"/>
          <w:rFonts w:hint="eastAsia" w:ascii="宋体" w:hAnsi="宋体" w:cs="宋体"/>
          <w:b/>
          <w:color w:val="auto"/>
          <w:kern w:val="0"/>
          <w:sz w:val="32"/>
          <w:szCs w:val="32"/>
          <w:highlight w:val="none"/>
        </w:rPr>
        <w:fldChar w:fldCharType="end"/>
      </w:r>
      <w:r>
        <w:rPr>
          <w:rStyle w:val="52"/>
          <w:rFonts w:hint="eastAsia" w:ascii="宋体" w:hAnsi="宋体" w:cs="宋体"/>
          <w:b/>
          <w:color w:val="auto"/>
          <w:kern w:val="0"/>
          <w:sz w:val="32"/>
          <w:szCs w:val="32"/>
          <w:highlight w:val="none"/>
          <w:lang w:val="en-US" w:eastAsia="zh-CN"/>
        </w:rPr>
        <w:t>0</w:t>
      </w:r>
    </w:p>
    <w:p w14:paraId="4C129DF7">
      <w:pPr>
        <w:pStyle w:val="36"/>
        <w:ind w:left="480"/>
        <w:rPr>
          <w:rStyle w:val="52"/>
          <w:rFonts w:hint="default" w:ascii="宋体" w:hAnsi="宋体" w:eastAsia="宋体" w:cs="宋体"/>
          <w:color w:val="auto"/>
          <w:kern w:val="0"/>
          <w:sz w:val="32"/>
          <w:szCs w:val="32"/>
          <w:highlight w:val="none"/>
          <w:lang w:val="en-US" w:eastAsia="zh-CN"/>
        </w:rPr>
      </w:pPr>
      <w:r>
        <w:rPr>
          <w:color w:val="auto"/>
          <w:highlight w:val="none"/>
        </w:rPr>
        <w:fldChar w:fldCharType="begin"/>
      </w:r>
      <w:r>
        <w:rPr>
          <w:color w:val="auto"/>
          <w:highlight w:val="none"/>
        </w:rPr>
        <w:instrText xml:space="preserve"> HYPERLINK \l "_Toc82016588" </w:instrText>
      </w:r>
      <w:r>
        <w:rPr>
          <w:color w:val="auto"/>
          <w:highlight w:val="none"/>
        </w:rPr>
        <w:fldChar w:fldCharType="separate"/>
      </w:r>
      <w:r>
        <w:rPr>
          <w:rStyle w:val="52"/>
          <w:rFonts w:hint="eastAsia" w:ascii="宋体" w:hAnsi="宋体" w:cs="宋体"/>
          <w:b/>
          <w:color w:val="auto"/>
          <w:kern w:val="0"/>
          <w:sz w:val="32"/>
          <w:szCs w:val="32"/>
          <w:highlight w:val="none"/>
        </w:rPr>
        <w:t>第四章 评审办法</w:t>
      </w:r>
      <w:r>
        <w:rPr>
          <w:rStyle w:val="52"/>
          <w:rFonts w:ascii="宋体" w:hAnsi="宋体" w:cs="宋体"/>
          <w:b/>
          <w:color w:val="auto"/>
          <w:kern w:val="0"/>
          <w:sz w:val="32"/>
          <w:szCs w:val="32"/>
          <w:highlight w:val="none"/>
        </w:rPr>
        <w:t>………………………………………</w:t>
      </w:r>
      <w:r>
        <w:rPr>
          <w:rStyle w:val="52"/>
          <w:rFonts w:ascii="宋体" w:hAnsi="宋体" w:cs="宋体"/>
          <w:b/>
          <w:color w:val="auto"/>
          <w:kern w:val="0"/>
          <w:sz w:val="32"/>
          <w:szCs w:val="32"/>
          <w:highlight w:val="none"/>
        </w:rPr>
        <w:fldChar w:fldCharType="end"/>
      </w:r>
      <w:r>
        <w:rPr>
          <w:rStyle w:val="52"/>
          <w:rFonts w:hint="eastAsia" w:ascii="宋体" w:hAnsi="宋体" w:cs="宋体"/>
          <w:b/>
          <w:color w:val="auto"/>
          <w:kern w:val="0"/>
          <w:sz w:val="32"/>
          <w:szCs w:val="32"/>
          <w:highlight w:val="none"/>
          <w:lang w:val="en-US" w:eastAsia="zh-CN"/>
        </w:rPr>
        <w:t>73</w:t>
      </w:r>
    </w:p>
    <w:p w14:paraId="0142F1BD">
      <w:pPr>
        <w:pStyle w:val="36"/>
        <w:ind w:left="480"/>
        <w:rPr>
          <w:rStyle w:val="52"/>
          <w:rFonts w:hint="eastAsia" w:ascii="宋体" w:hAnsi="宋体" w:eastAsia="宋体" w:cs="宋体"/>
          <w:b/>
          <w:color w:val="auto"/>
          <w:kern w:val="0"/>
          <w:sz w:val="32"/>
          <w:szCs w:val="32"/>
          <w:highlight w:val="none"/>
          <w:lang w:eastAsia="zh-CN"/>
        </w:rPr>
      </w:pPr>
      <w:r>
        <w:rPr>
          <w:color w:val="auto"/>
          <w:highlight w:val="none"/>
        </w:rPr>
        <w:fldChar w:fldCharType="begin"/>
      </w:r>
      <w:r>
        <w:rPr>
          <w:color w:val="auto"/>
          <w:highlight w:val="none"/>
        </w:rPr>
        <w:instrText xml:space="preserve"> HYPERLINK \l "_Toc82016592" </w:instrText>
      </w:r>
      <w:r>
        <w:rPr>
          <w:color w:val="auto"/>
          <w:highlight w:val="none"/>
        </w:rPr>
        <w:fldChar w:fldCharType="separate"/>
      </w:r>
      <w:r>
        <w:rPr>
          <w:rStyle w:val="52"/>
          <w:rFonts w:hint="eastAsia" w:ascii="宋体" w:hAnsi="宋体" w:cs="宋体"/>
          <w:b/>
          <w:color w:val="auto"/>
          <w:kern w:val="0"/>
          <w:sz w:val="32"/>
          <w:szCs w:val="32"/>
          <w:highlight w:val="none"/>
        </w:rPr>
        <w:t>第五章</w:t>
      </w:r>
      <w:r>
        <w:rPr>
          <w:rStyle w:val="52"/>
          <w:rFonts w:ascii="宋体" w:hAnsi="宋体" w:cs="宋体"/>
          <w:b/>
          <w:color w:val="auto"/>
          <w:kern w:val="0"/>
          <w:sz w:val="32"/>
          <w:szCs w:val="32"/>
          <w:highlight w:val="none"/>
        </w:rPr>
        <w:t xml:space="preserve"> </w:t>
      </w:r>
      <w:r>
        <w:rPr>
          <w:rStyle w:val="52"/>
          <w:rFonts w:hint="eastAsia" w:ascii="宋体" w:hAnsi="宋体" w:cs="宋体"/>
          <w:b/>
          <w:color w:val="auto"/>
          <w:kern w:val="0"/>
          <w:sz w:val="32"/>
          <w:szCs w:val="32"/>
          <w:highlight w:val="none"/>
        </w:rPr>
        <w:t>政府采购合同</w:t>
      </w:r>
      <w:r>
        <w:rPr>
          <w:rStyle w:val="52"/>
          <w:rFonts w:ascii="宋体" w:hAnsi="宋体" w:cs="宋体"/>
          <w:b/>
          <w:color w:val="auto"/>
          <w:kern w:val="0"/>
          <w:sz w:val="32"/>
          <w:szCs w:val="32"/>
          <w:highlight w:val="none"/>
        </w:rPr>
        <w:t>…………………………………</w:t>
      </w:r>
      <w:r>
        <w:rPr>
          <w:rStyle w:val="52"/>
          <w:rFonts w:ascii="宋体" w:hAnsi="宋体" w:cs="宋体"/>
          <w:b/>
          <w:color w:val="auto"/>
          <w:kern w:val="0"/>
          <w:sz w:val="32"/>
          <w:szCs w:val="32"/>
          <w:highlight w:val="none"/>
        </w:rPr>
        <w:fldChar w:fldCharType="end"/>
      </w:r>
      <w:r>
        <w:rPr>
          <w:rFonts w:hint="eastAsia" w:ascii="宋体" w:hAnsi="宋体" w:cs="宋体"/>
          <w:b/>
          <w:color w:val="auto"/>
          <w:kern w:val="0"/>
          <w:sz w:val="32"/>
          <w:szCs w:val="32"/>
          <w:highlight w:val="none"/>
        </w:rPr>
        <w:t>8</w:t>
      </w:r>
      <w:r>
        <w:rPr>
          <w:rFonts w:hint="eastAsia" w:ascii="宋体" w:hAnsi="宋体" w:cs="宋体"/>
          <w:b/>
          <w:color w:val="auto"/>
          <w:kern w:val="0"/>
          <w:sz w:val="32"/>
          <w:szCs w:val="32"/>
          <w:highlight w:val="none"/>
          <w:lang w:val="en-US" w:eastAsia="zh-CN"/>
        </w:rPr>
        <w:t>3</w:t>
      </w:r>
    </w:p>
    <w:p w14:paraId="00408D72">
      <w:pPr>
        <w:pStyle w:val="36"/>
        <w:ind w:left="480"/>
        <w:rPr>
          <w:rStyle w:val="52"/>
          <w:rFonts w:hint="eastAsia" w:ascii="宋体" w:hAnsi="宋体" w:eastAsia="宋体" w:cs="宋体"/>
          <w:b/>
          <w:color w:val="auto"/>
          <w:kern w:val="0"/>
          <w:sz w:val="32"/>
          <w:szCs w:val="32"/>
          <w:highlight w:val="none"/>
          <w:u w:val="none"/>
          <w:lang w:eastAsia="zh-CN"/>
        </w:rPr>
      </w:pPr>
      <w:r>
        <w:rPr>
          <w:color w:val="auto"/>
          <w:highlight w:val="none"/>
        </w:rPr>
        <w:fldChar w:fldCharType="begin"/>
      </w:r>
      <w:r>
        <w:rPr>
          <w:color w:val="auto"/>
          <w:highlight w:val="none"/>
        </w:rPr>
        <w:instrText xml:space="preserve"> HYPERLINK \l "_Toc82016593" </w:instrText>
      </w:r>
      <w:r>
        <w:rPr>
          <w:color w:val="auto"/>
          <w:highlight w:val="none"/>
        </w:rPr>
        <w:fldChar w:fldCharType="separate"/>
      </w:r>
      <w:r>
        <w:rPr>
          <w:rStyle w:val="52"/>
          <w:rFonts w:hint="eastAsia" w:ascii="宋体" w:hAnsi="宋体" w:cs="宋体"/>
          <w:b/>
          <w:color w:val="auto"/>
          <w:kern w:val="0"/>
          <w:sz w:val="32"/>
          <w:szCs w:val="32"/>
          <w:highlight w:val="none"/>
        </w:rPr>
        <w:t>第六章</w:t>
      </w:r>
      <w:r>
        <w:rPr>
          <w:rStyle w:val="52"/>
          <w:rFonts w:ascii="宋体" w:hAnsi="宋体" w:cs="宋体"/>
          <w:b/>
          <w:color w:val="auto"/>
          <w:kern w:val="0"/>
          <w:sz w:val="32"/>
          <w:szCs w:val="32"/>
          <w:highlight w:val="none"/>
        </w:rPr>
        <w:t xml:space="preserve"> </w:t>
      </w:r>
      <w:r>
        <w:rPr>
          <w:rStyle w:val="52"/>
          <w:rFonts w:hint="eastAsia" w:ascii="宋体" w:hAnsi="宋体" w:cs="宋体"/>
          <w:b/>
          <w:color w:val="auto"/>
          <w:kern w:val="0"/>
          <w:sz w:val="32"/>
          <w:szCs w:val="32"/>
          <w:highlight w:val="none"/>
        </w:rPr>
        <w:t>响应文件（格式）</w:t>
      </w:r>
      <w:r>
        <w:rPr>
          <w:rStyle w:val="52"/>
          <w:rFonts w:ascii="宋体" w:hAnsi="宋体" w:cs="宋体"/>
          <w:b/>
          <w:color w:val="auto"/>
          <w:kern w:val="0"/>
          <w:sz w:val="32"/>
          <w:szCs w:val="32"/>
          <w:highlight w:val="none"/>
        </w:rPr>
        <w:t>……………………………</w:t>
      </w:r>
      <w:r>
        <w:rPr>
          <w:rStyle w:val="52"/>
          <w:rFonts w:ascii="宋体" w:hAnsi="宋体" w:cs="宋体"/>
          <w:b/>
          <w:color w:val="auto"/>
          <w:kern w:val="0"/>
          <w:sz w:val="32"/>
          <w:szCs w:val="32"/>
          <w:highlight w:val="none"/>
        </w:rPr>
        <w:fldChar w:fldCharType="end"/>
      </w:r>
      <w:r>
        <w:rPr>
          <w:rFonts w:hint="eastAsia" w:ascii="宋体" w:hAnsi="宋体" w:cs="宋体"/>
          <w:b/>
          <w:color w:val="auto"/>
          <w:kern w:val="0"/>
          <w:sz w:val="32"/>
          <w:szCs w:val="32"/>
          <w:highlight w:val="none"/>
        </w:rPr>
        <w:t>10</w:t>
      </w:r>
      <w:r>
        <w:rPr>
          <w:rFonts w:hint="eastAsia" w:ascii="宋体" w:hAnsi="宋体" w:cs="宋体"/>
          <w:b/>
          <w:color w:val="auto"/>
          <w:kern w:val="0"/>
          <w:sz w:val="32"/>
          <w:szCs w:val="32"/>
          <w:highlight w:val="none"/>
          <w:lang w:val="en-US" w:eastAsia="zh-CN"/>
        </w:rPr>
        <w:t>5</w:t>
      </w:r>
    </w:p>
    <w:p w14:paraId="477F0137">
      <w:pPr>
        <w:pStyle w:val="24"/>
        <w:tabs>
          <w:tab w:val="right" w:leader="dot" w:pos="9288"/>
        </w:tabs>
        <w:ind w:left="960"/>
        <w:rPr>
          <w:color w:val="auto"/>
          <w:highlight w:val="none"/>
        </w:rPr>
      </w:pPr>
    </w:p>
    <w:p w14:paraId="6E5E8629">
      <w:pPr>
        <w:pStyle w:val="25"/>
        <w:tabs>
          <w:tab w:val="left" w:pos="8860"/>
          <w:tab w:val="left" w:pos="9140"/>
        </w:tabs>
        <w:spacing w:line="520" w:lineRule="exact"/>
        <w:rPr>
          <w:rFonts w:hAnsi="宋体" w:cs="宋体"/>
          <w:color w:val="auto"/>
          <w:kern w:val="0"/>
          <w:sz w:val="32"/>
          <w:highlight w:val="none"/>
        </w:rPr>
      </w:pPr>
      <w:r>
        <w:rPr>
          <w:rFonts w:hAnsi="宋体" w:cs="宋体"/>
          <w:color w:val="auto"/>
          <w:kern w:val="0"/>
          <w:sz w:val="32"/>
          <w:highlight w:val="none"/>
        </w:rPr>
        <w:fldChar w:fldCharType="end"/>
      </w:r>
    </w:p>
    <w:p w14:paraId="3B4DCBE8">
      <w:pPr>
        <w:pStyle w:val="25"/>
        <w:tabs>
          <w:tab w:val="left" w:pos="8860"/>
          <w:tab w:val="left" w:pos="9140"/>
        </w:tabs>
        <w:spacing w:line="520" w:lineRule="exact"/>
        <w:ind w:firstLine="737"/>
        <w:rPr>
          <w:rFonts w:hAnsi="宋体" w:cs="宋体"/>
          <w:color w:val="auto"/>
          <w:kern w:val="0"/>
          <w:szCs w:val="21"/>
          <w:highlight w:val="none"/>
        </w:rPr>
      </w:pPr>
      <w:r>
        <w:rPr>
          <w:rFonts w:hint="eastAsia" w:hAnsi="宋体" w:cs="宋体"/>
          <w:color w:val="auto"/>
          <w:kern w:val="0"/>
          <w:szCs w:val="21"/>
          <w:highlight w:val="none"/>
        </w:rPr>
        <w:t xml:space="preserve"> </w:t>
      </w:r>
    </w:p>
    <w:p w14:paraId="3294443F">
      <w:pPr>
        <w:ind w:firstLine="3120" w:firstLineChars="1300"/>
        <w:rPr>
          <w:color w:val="auto"/>
          <w:kern w:val="0"/>
          <w:szCs w:val="21"/>
          <w:highlight w:val="none"/>
        </w:rPr>
      </w:pPr>
    </w:p>
    <w:p w14:paraId="7D0AEADE">
      <w:pPr>
        <w:ind w:firstLine="3120" w:firstLineChars="1300"/>
        <w:rPr>
          <w:color w:val="auto"/>
          <w:kern w:val="0"/>
          <w:szCs w:val="21"/>
          <w:highlight w:val="none"/>
        </w:rPr>
      </w:pPr>
    </w:p>
    <w:p w14:paraId="26E13984">
      <w:pPr>
        <w:ind w:firstLine="3120" w:firstLineChars="1300"/>
        <w:rPr>
          <w:color w:val="auto"/>
          <w:kern w:val="0"/>
          <w:szCs w:val="21"/>
          <w:highlight w:val="none"/>
        </w:rPr>
      </w:pPr>
    </w:p>
    <w:p w14:paraId="296841F7">
      <w:pPr>
        <w:ind w:firstLine="3120" w:firstLineChars="1300"/>
        <w:rPr>
          <w:color w:val="auto"/>
          <w:kern w:val="0"/>
          <w:szCs w:val="21"/>
          <w:highlight w:val="none"/>
        </w:rPr>
      </w:pPr>
    </w:p>
    <w:p w14:paraId="1FB75F5F">
      <w:pPr>
        <w:ind w:firstLine="3120" w:firstLineChars="1300"/>
        <w:rPr>
          <w:color w:val="auto"/>
          <w:kern w:val="0"/>
          <w:szCs w:val="21"/>
          <w:highlight w:val="none"/>
        </w:rPr>
      </w:pPr>
    </w:p>
    <w:p w14:paraId="58D293A8">
      <w:pPr>
        <w:ind w:firstLine="3120" w:firstLineChars="1300"/>
        <w:rPr>
          <w:color w:val="auto"/>
          <w:kern w:val="0"/>
          <w:szCs w:val="21"/>
          <w:highlight w:val="none"/>
        </w:rPr>
      </w:pPr>
    </w:p>
    <w:p w14:paraId="21776D33">
      <w:pPr>
        <w:ind w:firstLine="3120" w:firstLineChars="1300"/>
        <w:rPr>
          <w:color w:val="auto"/>
          <w:kern w:val="0"/>
          <w:szCs w:val="21"/>
          <w:highlight w:val="none"/>
        </w:rPr>
      </w:pPr>
    </w:p>
    <w:p w14:paraId="7DA4F6D8">
      <w:pPr>
        <w:ind w:firstLine="3120" w:firstLineChars="1300"/>
        <w:rPr>
          <w:color w:val="auto"/>
          <w:kern w:val="0"/>
          <w:szCs w:val="21"/>
          <w:highlight w:val="none"/>
        </w:rPr>
      </w:pPr>
    </w:p>
    <w:p w14:paraId="3C9EBAF3">
      <w:pPr>
        <w:ind w:firstLine="3120" w:firstLineChars="1300"/>
        <w:rPr>
          <w:color w:val="auto"/>
          <w:kern w:val="0"/>
          <w:szCs w:val="21"/>
          <w:highlight w:val="none"/>
        </w:rPr>
      </w:pPr>
    </w:p>
    <w:p w14:paraId="3076C722">
      <w:pPr>
        <w:ind w:firstLine="3120" w:firstLineChars="1300"/>
        <w:rPr>
          <w:color w:val="auto"/>
          <w:kern w:val="0"/>
          <w:szCs w:val="21"/>
          <w:highlight w:val="none"/>
        </w:rPr>
      </w:pPr>
    </w:p>
    <w:p w14:paraId="57C2286F">
      <w:pPr>
        <w:ind w:firstLine="3120" w:firstLineChars="1300"/>
        <w:rPr>
          <w:color w:val="auto"/>
          <w:kern w:val="0"/>
          <w:szCs w:val="21"/>
          <w:highlight w:val="none"/>
        </w:rPr>
      </w:pPr>
    </w:p>
    <w:p w14:paraId="4E96164C">
      <w:pPr>
        <w:ind w:firstLine="3120" w:firstLineChars="1300"/>
        <w:rPr>
          <w:color w:val="auto"/>
          <w:kern w:val="0"/>
          <w:szCs w:val="21"/>
          <w:highlight w:val="none"/>
        </w:rPr>
      </w:pPr>
    </w:p>
    <w:p w14:paraId="6EE231A1">
      <w:pPr>
        <w:ind w:firstLine="3120" w:firstLineChars="1300"/>
        <w:rPr>
          <w:color w:val="auto"/>
          <w:kern w:val="0"/>
          <w:szCs w:val="21"/>
          <w:highlight w:val="none"/>
        </w:rPr>
      </w:pPr>
    </w:p>
    <w:p w14:paraId="7696ED63">
      <w:pPr>
        <w:ind w:firstLine="3120" w:firstLineChars="1300"/>
        <w:rPr>
          <w:color w:val="auto"/>
          <w:kern w:val="0"/>
          <w:szCs w:val="21"/>
          <w:highlight w:val="none"/>
        </w:rPr>
      </w:pPr>
    </w:p>
    <w:p w14:paraId="171DF191">
      <w:pPr>
        <w:pStyle w:val="18"/>
        <w:rPr>
          <w:color w:val="auto"/>
          <w:highlight w:val="none"/>
        </w:rPr>
      </w:pPr>
    </w:p>
    <w:p w14:paraId="72C9123A">
      <w:pPr>
        <w:ind w:firstLine="3120" w:firstLineChars="1300"/>
        <w:rPr>
          <w:color w:val="auto"/>
          <w:kern w:val="0"/>
          <w:szCs w:val="21"/>
          <w:highlight w:val="none"/>
        </w:rPr>
      </w:pPr>
    </w:p>
    <w:p w14:paraId="26CD3102">
      <w:pPr>
        <w:ind w:firstLine="3120" w:firstLineChars="1300"/>
        <w:rPr>
          <w:color w:val="auto"/>
          <w:kern w:val="0"/>
          <w:szCs w:val="21"/>
          <w:highlight w:val="none"/>
        </w:rPr>
      </w:pPr>
    </w:p>
    <w:p w14:paraId="28DDEFF9">
      <w:pPr>
        <w:numPr>
          <w:ilvl w:val="0"/>
          <w:numId w:val="2"/>
        </w:numPr>
        <w:tabs>
          <w:tab w:val="left" w:pos="1080"/>
        </w:tabs>
        <w:spacing w:line="480" w:lineRule="exact"/>
        <w:ind w:left="1077" w:hanging="1077" w:firstLineChars="0"/>
        <w:jc w:val="center"/>
        <w:outlineLvl w:val="1"/>
        <w:rPr>
          <w:rFonts w:ascii="宋体" w:hAnsi="宋体" w:cs="宋体"/>
          <w:b/>
          <w:color w:val="auto"/>
          <w:kern w:val="0"/>
          <w:sz w:val="32"/>
          <w:szCs w:val="32"/>
          <w:highlight w:val="none"/>
        </w:rPr>
      </w:pPr>
      <w:bookmarkStart w:id="1" w:name="_Toc82016584"/>
      <w:bookmarkStart w:id="2" w:name="_Toc44229878"/>
      <w:bookmarkStart w:id="3" w:name="_Toc44405619"/>
      <w:r>
        <w:rPr>
          <w:rFonts w:hint="eastAsia" w:ascii="宋体" w:hAnsi="宋体" w:cs="宋体"/>
          <w:b/>
          <w:color w:val="auto"/>
          <w:kern w:val="0"/>
          <w:sz w:val="32"/>
          <w:szCs w:val="32"/>
          <w:highlight w:val="none"/>
        </w:rPr>
        <w:t>竞争性磋商公告</w:t>
      </w:r>
      <w:bookmarkEnd w:id="1"/>
    </w:p>
    <w:p w14:paraId="654BD98E">
      <w:pPr>
        <w:spacing w:line="320" w:lineRule="exact"/>
        <w:ind w:firstLine="0" w:firstLineChars="0"/>
        <w:rPr>
          <w:rFonts w:ascii="宋体" w:hAnsi="宋体" w:cs="宋体"/>
          <w:color w:val="auto"/>
          <w:sz w:val="21"/>
          <w:szCs w:val="24"/>
          <w:highlight w:val="none"/>
        </w:rPr>
      </w:pPr>
    </w:p>
    <w:p w14:paraId="29E5FBF9">
      <w:pPr>
        <w:pBdr>
          <w:top w:val="single" w:color="auto" w:sz="4" w:space="1"/>
          <w:left w:val="single" w:color="auto" w:sz="4" w:space="4"/>
          <w:bottom w:val="single" w:color="auto" w:sz="4" w:space="1"/>
          <w:right w:val="single" w:color="auto" w:sz="4" w:space="4"/>
        </w:pBdr>
        <w:spacing w:line="320" w:lineRule="exact"/>
        <w:ind w:firstLine="420"/>
        <w:rPr>
          <w:rFonts w:ascii="宋体" w:hAnsi="宋体" w:cs="宋体"/>
          <w:color w:val="auto"/>
          <w:sz w:val="21"/>
          <w:szCs w:val="24"/>
          <w:highlight w:val="none"/>
        </w:rPr>
      </w:pPr>
      <w:bookmarkStart w:id="4" w:name="_Hlk37430271"/>
      <w:r>
        <w:rPr>
          <w:rFonts w:hint="eastAsia" w:ascii="宋体" w:hAnsi="宋体" w:cs="宋体"/>
          <w:color w:val="auto"/>
          <w:sz w:val="21"/>
          <w:szCs w:val="24"/>
          <w:highlight w:val="none"/>
        </w:rPr>
        <w:t>项目概况</w:t>
      </w:r>
    </w:p>
    <w:p w14:paraId="77003BB2">
      <w:pPr>
        <w:pBdr>
          <w:top w:val="single" w:color="auto" w:sz="4" w:space="1"/>
          <w:left w:val="single" w:color="auto" w:sz="4" w:space="4"/>
          <w:bottom w:val="single" w:color="auto" w:sz="4" w:space="1"/>
          <w:right w:val="single" w:color="auto" w:sz="4" w:space="4"/>
        </w:pBdr>
        <w:wordWrap w:val="0"/>
        <w:spacing w:line="32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2026年桂林市生态环境局10个小型水站、3个水质自动监测站及2个环境空气自动监测站运行维护服务采购项目的潜在供应商应在广西政府采购云平台（www.gcy.zfcg.gxzf.gov.cn）获取竞争性磋商文件，并于2026年</w:t>
      </w:r>
      <w:r>
        <w:rPr>
          <w:rFonts w:hint="eastAsia" w:ascii="宋体" w:hAnsi="宋体" w:cs="宋体"/>
          <w:color w:val="auto"/>
          <w:sz w:val="21"/>
          <w:szCs w:val="24"/>
          <w:highlight w:val="none"/>
          <w:lang w:val="en-US" w:eastAsia="zh-CN"/>
        </w:rPr>
        <w:t>3</w:t>
      </w:r>
      <w:r>
        <w:rPr>
          <w:rFonts w:hint="eastAsia" w:ascii="宋体" w:hAnsi="宋体" w:cs="宋体"/>
          <w:color w:val="auto"/>
          <w:sz w:val="21"/>
          <w:szCs w:val="24"/>
          <w:highlight w:val="none"/>
        </w:rPr>
        <w:t>月</w:t>
      </w:r>
      <w:r>
        <w:rPr>
          <w:rFonts w:hint="eastAsia" w:ascii="宋体" w:hAnsi="宋体" w:cs="宋体"/>
          <w:color w:val="auto"/>
          <w:sz w:val="21"/>
          <w:szCs w:val="24"/>
          <w:highlight w:val="none"/>
          <w:lang w:val="en-US" w:eastAsia="zh-CN"/>
        </w:rPr>
        <w:t>30</w:t>
      </w:r>
      <w:r>
        <w:rPr>
          <w:rFonts w:hint="eastAsia" w:ascii="宋体" w:hAnsi="宋体" w:cs="宋体"/>
          <w:color w:val="auto"/>
          <w:sz w:val="21"/>
          <w:szCs w:val="24"/>
          <w:highlight w:val="none"/>
        </w:rPr>
        <w:t>日上午9时30分（北京时间）前提交响应文件。</w:t>
      </w:r>
    </w:p>
    <w:bookmarkEnd w:id="4"/>
    <w:p w14:paraId="5EFF1D5D">
      <w:pPr>
        <w:spacing w:line="400" w:lineRule="exact"/>
        <w:ind w:firstLine="422"/>
        <w:rPr>
          <w:rFonts w:hint="eastAsia" w:ascii="宋体" w:hAnsi="宋体" w:cs="宋体"/>
          <w:b/>
          <w:bCs/>
          <w:color w:val="auto"/>
          <w:sz w:val="21"/>
          <w:szCs w:val="21"/>
          <w:highlight w:val="none"/>
        </w:rPr>
      </w:pPr>
      <w:bookmarkStart w:id="5" w:name="_Toc82016585"/>
      <w:bookmarkStart w:id="6" w:name="_Toc28359089"/>
      <w:bookmarkStart w:id="7" w:name="_Toc35393798"/>
      <w:bookmarkStart w:id="8" w:name="_Toc28359012"/>
      <w:bookmarkStart w:id="9" w:name="_Toc35393629"/>
      <w:r>
        <w:rPr>
          <w:rFonts w:hint="eastAsia" w:ascii="宋体" w:hAnsi="宋体" w:cs="宋体"/>
          <w:b/>
          <w:bCs/>
          <w:color w:val="auto"/>
          <w:sz w:val="21"/>
          <w:szCs w:val="21"/>
          <w:highlight w:val="none"/>
        </w:rPr>
        <w:t>一、项目基本情况</w:t>
      </w:r>
      <w:bookmarkEnd w:id="5"/>
      <w:bookmarkEnd w:id="6"/>
      <w:bookmarkEnd w:id="7"/>
      <w:bookmarkEnd w:id="8"/>
      <w:bookmarkEnd w:id="9"/>
    </w:p>
    <w:p w14:paraId="7C1662CE">
      <w:pPr>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项目编号：</w:t>
      </w:r>
      <w:bookmarkStart w:id="44" w:name="_GoBack"/>
      <w:r>
        <w:rPr>
          <w:rFonts w:hint="eastAsia" w:ascii="宋体" w:hAnsi="宋体" w:cs="宋体"/>
          <w:color w:val="auto"/>
          <w:sz w:val="21"/>
          <w:szCs w:val="21"/>
          <w:highlight w:val="none"/>
        </w:rPr>
        <w:t>GLZC2026-C3-990077-YZLZ（代理编号：YZLGL2026-C3-010-GLZC）</w:t>
      </w:r>
      <w:bookmarkEnd w:id="44"/>
      <w:r>
        <w:rPr>
          <w:rFonts w:hint="eastAsia" w:ascii="宋体" w:hAnsi="宋体" w:cs="宋体"/>
          <w:color w:val="auto"/>
          <w:sz w:val="21"/>
          <w:szCs w:val="21"/>
          <w:highlight w:val="none"/>
        </w:rPr>
        <w:t xml:space="preserve"> </w:t>
      </w:r>
    </w:p>
    <w:p w14:paraId="01D979DE">
      <w:pPr>
        <w:spacing w:line="400" w:lineRule="exact"/>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项目名称：</w:t>
      </w:r>
      <w:r>
        <w:rPr>
          <w:rFonts w:hint="eastAsia" w:ascii="宋体" w:hAnsi="宋体" w:cs="宋体"/>
          <w:color w:val="auto"/>
          <w:sz w:val="21"/>
          <w:szCs w:val="24"/>
          <w:highlight w:val="none"/>
        </w:rPr>
        <w:t>2026年桂林市生态环境局10个小型水站、3个水质自动监测站及2个环境空气自动监测站运行维护服务采购</w:t>
      </w:r>
    </w:p>
    <w:p w14:paraId="0F24E509">
      <w:pPr>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采购方式：竞争性磋商</w:t>
      </w:r>
    </w:p>
    <w:p w14:paraId="15734445">
      <w:pPr>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预算金额（元）：1410000.00</w:t>
      </w:r>
    </w:p>
    <w:p w14:paraId="020EC5D0">
      <w:pPr>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最高限价：无。</w:t>
      </w:r>
    </w:p>
    <w:p w14:paraId="0BC77FA0">
      <w:pPr>
        <w:adjustRightInd w:val="0"/>
        <w:snapToGrid w:val="0"/>
        <w:spacing w:line="340" w:lineRule="exact"/>
        <w:ind w:firstLine="420"/>
        <w:rPr>
          <w:color w:val="auto"/>
          <w:sz w:val="21"/>
          <w:szCs w:val="24"/>
          <w:highlight w:val="none"/>
        </w:rPr>
      </w:pPr>
      <w:r>
        <w:rPr>
          <w:rFonts w:hint="eastAsia"/>
          <w:color w:val="auto"/>
          <w:sz w:val="21"/>
          <w:szCs w:val="24"/>
          <w:highlight w:val="none"/>
        </w:rPr>
        <w:t>采购需求：</w:t>
      </w:r>
    </w:p>
    <w:p w14:paraId="7F77E667">
      <w:pPr>
        <w:spacing w:line="400" w:lineRule="exact"/>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分标1（预算金额：620000.00元）：</w:t>
      </w:r>
    </w:p>
    <w:p w14:paraId="35CF06FA">
      <w:pPr>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（1）标的名称、数量：10个小型水站运行维护服务1项；</w:t>
      </w:r>
    </w:p>
    <w:p w14:paraId="624B8267">
      <w:pPr>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（2）简要服务内容及要求或服务要求：</w:t>
      </w:r>
      <w:r>
        <w:rPr>
          <w:rFonts w:ascii="宋体" w:hAnsi="宋体" w:cs="宋体"/>
          <w:color w:val="auto"/>
          <w:sz w:val="21"/>
          <w:szCs w:val="21"/>
          <w:highlight w:val="none"/>
        </w:rPr>
        <w:t>本次服务项目为对已建成投运的10个小型水质自动监测站（分别位于木龙湖入口、桂湖、榕湖、桃花江徐家村河段壅水坝、穿山公园、文昌桥、南溪河、灵剑溪、芳莲池、道光河）委托运维。其中，6个水质自动站（木龙湖入口、桂湖、榕湖、桃花江徐家村河段壅水坝、穿山公园、文昌桥）配置水温、电导率、pH值、溶解氧、氨氮、化学需氧量、浊度等监测指标；4个水质自动站（南溪河、灵剑溪、芳莲池、道光河）配置水温、电导率、PH、溶解氧、浊度、氨氮、COD、TOC、DOC、SAC等监测指标。水质自动站的正常运行，为应急防控和各项综合决策提供稳定有效的数据。运维内容包括水质自动站所有监测仪器、辅助设备、数据平台等。如需进一步了解详细内容，详见竞争性磋商文件中《采购需求》。</w:t>
      </w:r>
    </w:p>
    <w:p w14:paraId="05D6A49B">
      <w:pPr>
        <w:adjustRightInd w:val="0"/>
        <w:snapToGrid w:val="0"/>
        <w:spacing w:line="340" w:lineRule="exact"/>
        <w:ind w:firstLine="420"/>
        <w:rPr>
          <w:rFonts w:ascii="宋体" w:hAnsi="宋体"/>
          <w:color w:val="auto"/>
          <w:sz w:val="21"/>
          <w:szCs w:val="24"/>
          <w:highlight w:val="none"/>
        </w:rPr>
      </w:pPr>
      <w:r>
        <w:rPr>
          <w:rFonts w:hint="eastAsia" w:ascii="宋体" w:hAnsi="宋体"/>
          <w:color w:val="auto"/>
          <w:sz w:val="21"/>
          <w:szCs w:val="24"/>
          <w:highlight w:val="none"/>
        </w:rPr>
        <w:t>合同履行期限（服务期限）：1年。</w:t>
      </w:r>
    </w:p>
    <w:p w14:paraId="1675731A">
      <w:pPr>
        <w:spacing w:line="400" w:lineRule="exact"/>
        <w:ind w:firstLine="422"/>
        <w:rPr>
          <w:rFonts w:ascii="宋体" w:hAnsi="宋体" w:cs="宋体"/>
          <w:b/>
          <w:bCs/>
          <w:color w:val="auto"/>
          <w:sz w:val="21"/>
          <w:szCs w:val="24"/>
          <w:highlight w:val="none"/>
        </w:rPr>
      </w:pPr>
      <w:r>
        <w:rPr>
          <w:rFonts w:hint="eastAsia" w:ascii="宋体" w:hAnsi="宋体" w:cs="宋体"/>
          <w:b/>
          <w:bCs/>
          <w:color w:val="auto"/>
          <w:sz w:val="21"/>
          <w:szCs w:val="24"/>
          <w:highlight w:val="none"/>
        </w:rPr>
        <w:t>分标2（预算金额：520000.00元）：</w:t>
      </w:r>
    </w:p>
    <w:p w14:paraId="32CD670A">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（1）标的名称、数量：3个水质自动监测站运行维护服务</w:t>
      </w:r>
      <w:r>
        <w:rPr>
          <w:rFonts w:hint="eastAsia" w:ascii="宋体" w:hAnsi="宋体" w:cs="宋体"/>
          <w:color w:val="auto"/>
          <w:sz w:val="21"/>
          <w:szCs w:val="21"/>
          <w:highlight w:val="none"/>
        </w:rPr>
        <w:t>1项</w:t>
      </w:r>
      <w:r>
        <w:rPr>
          <w:rFonts w:hint="eastAsia" w:ascii="宋体" w:hAnsi="宋体" w:cs="宋体"/>
          <w:color w:val="auto"/>
          <w:sz w:val="21"/>
          <w:szCs w:val="24"/>
          <w:highlight w:val="none"/>
        </w:rPr>
        <w:t>；</w:t>
      </w:r>
    </w:p>
    <w:p w14:paraId="0CF6C620">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2）简要服务内容及要求或服务要求：本次服务需运行维护的主体为桂林市3个地表水水质自动站：漓江活动试验坝、大河环境自动监测站、漓江双潭村站，运维的内容包括3个水质自动监测站（监测指标：水温、pH、溶解氧、电导率、浊度、氨氮、高锰酸盐指数、总磷、总氮、六价铬、总锰、铜、铅、锌、镉、砷、汞、叶绿素α、生物毒性、蓝绿藻15至18个指标不等）的水质自动站所有监测仪器、辅助设备、</w:t>
      </w:r>
      <w:r>
        <w:rPr>
          <w:rFonts w:hint="eastAsia" w:ascii="宋体" w:hAnsi="宋体" w:cs="宋体"/>
          <w:color w:val="auto"/>
          <w:sz w:val="21"/>
          <w:szCs w:val="24"/>
          <w:highlight w:val="none"/>
          <w:lang w:eastAsia="zh-CN"/>
        </w:rPr>
        <w:t>显示屏、</w:t>
      </w:r>
      <w:r>
        <w:rPr>
          <w:rFonts w:hint="eastAsia" w:ascii="宋体" w:hAnsi="宋体" w:cs="宋体"/>
          <w:color w:val="auto"/>
          <w:sz w:val="21"/>
          <w:szCs w:val="24"/>
          <w:highlight w:val="none"/>
        </w:rPr>
        <w:t>站房设施及站房外围的运行维护维修等。如需进一步了解详细内容，详见竞争性磋商文件中《采购需求》。</w:t>
      </w:r>
    </w:p>
    <w:p w14:paraId="721B64C8">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合同履行期限（服务期限）：1年。</w:t>
      </w:r>
    </w:p>
    <w:p w14:paraId="1FF63E7A">
      <w:pPr>
        <w:spacing w:line="400" w:lineRule="exact"/>
        <w:ind w:firstLine="422"/>
        <w:rPr>
          <w:rFonts w:ascii="宋体" w:hAnsi="宋体" w:cs="宋体"/>
          <w:b/>
          <w:bCs/>
          <w:color w:val="auto"/>
          <w:sz w:val="21"/>
          <w:szCs w:val="24"/>
          <w:highlight w:val="none"/>
        </w:rPr>
      </w:pPr>
      <w:r>
        <w:rPr>
          <w:rFonts w:hint="eastAsia" w:ascii="宋体" w:hAnsi="宋体" w:cs="宋体"/>
          <w:b/>
          <w:bCs/>
          <w:color w:val="auto"/>
          <w:sz w:val="21"/>
          <w:szCs w:val="24"/>
          <w:highlight w:val="none"/>
        </w:rPr>
        <w:t>分标3（预算金额：270000.00元）：</w:t>
      </w:r>
    </w:p>
    <w:p w14:paraId="44C77E80">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（1）标的名称、数量：2个环境空气自动监测站运行维护服务</w:t>
      </w:r>
      <w:r>
        <w:rPr>
          <w:rFonts w:hint="eastAsia" w:ascii="宋体" w:hAnsi="宋体" w:cs="宋体"/>
          <w:color w:val="auto"/>
          <w:sz w:val="21"/>
          <w:szCs w:val="21"/>
          <w:highlight w:val="none"/>
        </w:rPr>
        <w:t>1项</w:t>
      </w:r>
      <w:r>
        <w:rPr>
          <w:rFonts w:hint="eastAsia" w:ascii="宋体" w:hAnsi="宋体" w:cs="宋体"/>
          <w:color w:val="auto"/>
          <w:sz w:val="21"/>
          <w:szCs w:val="24"/>
          <w:highlight w:val="none"/>
        </w:rPr>
        <w:t>；</w:t>
      </w:r>
    </w:p>
    <w:p w14:paraId="344CC679">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（2）简要服务内容及要求或服务要求：本次托管的系统运行维护包括空气自动监测子站所有监测仪器、辅助设备、监测站房设施</w:t>
      </w:r>
      <w:r>
        <w:rPr>
          <w:rFonts w:hint="eastAsia" w:ascii="宋体" w:hAnsi="宋体" w:cs="宋体"/>
          <w:color w:val="auto"/>
          <w:sz w:val="21"/>
          <w:szCs w:val="24"/>
          <w:highlight w:val="none"/>
          <w:lang w:eastAsia="zh-CN"/>
        </w:rPr>
        <w:t>等</w:t>
      </w:r>
      <w:r>
        <w:rPr>
          <w:rFonts w:hint="eastAsia" w:ascii="宋体" w:hAnsi="宋体" w:cs="宋体"/>
          <w:color w:val="auto"/>
          <w:sz w:val="21"/>
          <w:szCs w:val="24"/>
          <w:highlight w:val="none"/>
        </w:rPr>
        <w:t>，其中监测仪器包括分析仪、零气发生器、动态气体校准仪和气象监测系统等，辅助设备包括子站工控机、样品采集系统、数据传输系统、防雷系统、钢瓶气、UPS及发电系统、温控系统、安全设施、子站环境条件控制设施等。如需进一步了解详细内容，详见竞争性磋商文件中《采购需求》。</w:t>
      </w:r>
    </w:p>
    <w:p w14:paraId="0066DEDC">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合同履行期限（服务期限）：1年。</w:t>
      </w:r>
    </w:p>
    <w:p w14:paraId="05805BAB">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本项目各分标均不接受联合体参与磋商。</w:t>
      </w:r>
      <w:bookmarkStart w:id="10" w:name="_Toc28359090"/>
      <w:bookmarkStart w:id="11" w:name="_Toc28359013"/>
      <w:bookmarkStart w:id="12" w:name="_Toc35393799"/>
      <w:bookmarkStart w:id="13" w:name="_Toc35393630"/>
    </w:p>
    <w:p w14:paraId="28495603">
      <w:pPr>
        <w:spacing w:line="400" w:lineRule="exact"/>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二、申请人的资格要求</w:t>
      </w:r>
      <w:bookmarkEnd w:id="10"/>
      <w:bookmarkEnd w:id="11"/>
      <w:bookmarkEnd w:id="12"/>
      <w:bookmarkEnd w:id="13"/>
    </w:p>
    <w:p w14:paraId="20757D5B">
      <w:pPr>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5656CB8F">
      <w:pPr>
        <w:spacing w:line="400" w:lineRule="exact"/>
        <w:ind w:firstLine="420"/>
        <w:rPr>
          <w:color w:val="auto"/>
          <w:sz w:val="21"/>
          <w:szCs w:val="24"/>
          <w:highlight w:val="none"/>
        </w:rPr>
      </w:pPr>
      <w:bookmarkStart w:id="14" w:name="_Toc28359014"/>
      <w:bookmarkStart w:id="15" w:name="_Toc28359091"/>
      <w:r>
        <w:rPr>
          <w:rFonts w:hint="eastAsia" w:ascii="宋体" w:hAnsi="宋体" w:cs="宋体"/>
          <w:color w:val="auto"/>
          <w:sz w:val="21"/>
          <w:szCs w:val="21"/>
          <w:highlight w:val="none"/>
        </w:rPr>
        <w:t>2.落实政府采购政策需满足的资格要求：本项目专门面向中小企业采购，供应商须满足《政府采购促进中小企业发展管理办法》（财库〔2020〕46号）第二条规定。</w:t>
      </w:r>
      <w:r>
        <w:rPr>
          <w:rFonts w:hint="eastAsia" w:ascii="宋体" w:hAnsi="宋体" w:cs="宋体"/>
          <w:color w:val="auto"/>
          <w:kern w:val="0"/>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p>
    <w:p w14:paraId="5ACC17AF">
      <w:pPr>
        <w:spacing w:line="360" w:lineRule="exact"/>
        <w:ind w:firstLine="420"/>
        <w:rPr>
          <w:rFonts w:ascii="宋体" w:hAnsi="宋体"/>
          <w:color w:val="auto"/>
          <w:spacing w:val="1"/>
          <w:kern w:val="0"/>
          <w:highlight w:val="none"/>
        </w:rPr>
      </w:pPr>
      <w:r>
        <w:rPr>
          <w:rFonts w:hint="eastAsia" w:ascii="宋体" w:hAnsi="宋体" w:cs="宋体"/>
          <w:color w:val="auto"/>
          <w:sz w:val="21"/>
          <w:szCs w:val="21"/>
          <w:highlight w:val="none"/>
        </w:rPr>
        <w:t>3.本项目的特定资格要求：无。</w:t>
      </w:r>
    </w:p>
    <w:p w14:paraId="62B577ED">
      <w:pPr>
        <w:spacing w:line="400" w:lineRule="exact"/>
        <w:ind w:firstLine="422"/>
        <w:rPr>
          <w:rFonts w:ascii="宋体" w:hAnsi="宋体" w:cs="宋体"/>
          <w:b/>
          <w:bCs/>
          <w:color w:val="auto"/>
          <w:sz w:val="21"/>
          <w:szCs w:val="21"/>
          <w:highlight w:val="none"/>
        </w:rPr>
      </w:pPr>
      <w:bookmarkStart w:id="16" w:name="_Toc35393800"/>
      <w:bookmarkStart w:id="17" w:name="_Toc35393631"/>
      <w:r>
        <w:rPr>
          <w:rFonts w:hint="eastAsia" w:ascii="宋体" w:hAnsi="宋体" w:cs="宋体"/>
          <w:b/>
          <w:bCs/>
          <w:color w:val="auto"/>
          <w:sz w:val="21"/>
          <w:szCs w:val="21"/>
          <w:highlight w:val="none"/>
        </w:rPr>
        <w:t>三、获取采购文件</w:t>
      </w:r>
      <w:bookmarkEnd w:id="14"/>
      <w:bookmarkEnd w:id="15"/>
      <w:bookmarkEnd w:id="16"/>
      <w:bookmarkEnd w:id="17"/>
    </w:p>
    <w:p w14:paraId="66C6B9C1">
      <w:pPr>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时间：2026年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日至</w:t>
      </w:r>
      <w:r>
        <w:rPr>
          <w:rFonts w:hint="eastAsia" w:ascii="宋体" w:hAnsi="宋体" w:cs="宋体"/>
          <w:color w:val="auto"/>
          <w:sz w:val="21"/>
          <w:szCs w:val="24"/>
          <w:highlight w:val="none"/>
        </w:rPr>
        <w:t>2026年</w:t>
      </w:r>
      <w:r>
        <w:rPr>
          <w:rFonts w:hint="eastAsia" w:ascii="宋体" w:hAnsi="宋体" w:cs="宋体"/>
          <w:color w:val="auto"/>
          <w:sz w:val="21"/>
          <w:szCs w:val="24"/>
          <w:highlight w:val="none"/>
          <w:lang w:val="en-US" w:eastAsia="zh-CN"/>
        </w:rPr>
        <w:t>3</w:t>
      </w:r>
      <w:r>
        <w:rPr>
          <w:rFonts w:hint="eastAsia" w:ascii="宋体" w:hAnsi="宋体" w:cs="宋体"/>
          <w:color w:val="auto"/>
          <w:sz w:val="21"/>
          <w:szCs w:val="24"/>
          <w:highlight w:val="none"/>
        </w:rPr>
        <w:t>月</w:t>
      </w:r>
      <w:r>
        <w:rPr>
          <w:rFonts w:hint="eastAsia" w:ascii="宋体" w:hAnsi="宋体" w:cs="宋体"/>
          <w:color w:val="auto"/>
          <w:sz w:val="21"/>
          <w:szCs w:val="24"/>
          <w:highlight w:val="none"/>
          <w:lang w:val="en-US" w:eastAsia="zh-CN"/>
        </w:rPr>
        <w:t>30</w:t>
      </w:r>
      <w:r>
        <w:rPr>
          <w:rFonts w:hint="eastAsia" w:ascii="宋体" w:hAnsi="宋体" w:cs="宋体"/>
          <w:color w:val="auto"/>
          <w:sz w:val="21"/>
          <w:szCs w:val="24"/>
          <w:highlight w:val="none"/>
        </w:rPr>
        <w:t>日</w:t>
      </w:r>
      <w:r>
        <w:rPr>
          <w:rFonts w:hint="eastAsia" w:ascii="宋体" w:hAnsi="宋体" w:cs="宋体"/>
          <w:color w:val="auto"/>
          <w:sz w:val="21"/>
          <w:szCs w:val="21"/>
          <w:highlight w:val="none"/>
        </w:rPr>
        <w:t>，每天上午</w:t>
      </w:r>
      <w:r>
        <w:rPr>
          <w:rFonts w:hint="eastAsia" w:ascii="宋体" w:hAnsi="宋体" w:cs="宋体"/>
          <w:color w:val="auto"/>
          <w:sz w:val="21"/>
          <w:szCs w:val="21"/>
          <w:highlight w:val="none"/>
          <w:u w:val="single"/>
        </w:rPr>
        <w:t>00:00</w:t>
      </w:r>
      <w:r>
        <w:rPr>
          <w:rFonts w:hint="eastAsia" w:ascii="宋体" w:hAnsi="宋体" w:cs="宋体"/>
          <w:color w:val="auto"/>
          <w:sz w:val="21"/>
          <w:szCs w:val="21"/>
          <w:highlight w:val="none"/>
        </w:rPr>
        <w:t>至</w:t>
      </w:r>
      <w:r>
        <w:rPr>
          <w:rFonts w:hint="eastAsia" w:ascii="宋体" w:hAnsi="宋体" w:cs="宋体"/>
          <w:color w:val="auto"/>
          <w:sz w:val="21"/>
          <w:szCs w:val="21"/>
          <w:highlight w:val="none"/>
          <w:u w:val="single"/>
        </w:rPr>
        <w:t>12:00</w:t>
      </w:r>
      <w:r>
        <w:rPr>
          <w:rFonts w:hint="eastAsia" w:ascii="宋体" w:hAnsi="宋体" w:cs="宋体"/>
          <w:color w:val="auto"/>
          <w:sz w:val="21"/>
          <w:szCs w:val="21"/>
          <w:highlight w:val="none"/>
        </w:rPr>
        <w:t>，下午</w:t>
      </w:r>
      <w:r>
        <w:rPr>
          <w:rFonts w:hint="eastAsia" w:ascii="宋体" w:hAnsi="宋体" w:cs="宋体"/>
          <w:color w:val="auto"/>
          <w:sz w:val="21"/>
          <w:szCs w:val="21"/>
          <w:highlight w:val="none"/>
          <w:u w:val="single"/>
        </w:rPr>
        <w:t>12:01</w:t>
      </w:r>
      <w:r>
        <w:rPr>
          <w:rFonts w:hint="eastAsia" w:ascii="宋体" w:hAnsi="宋体" w:cs="宋体"/>
          <w:color w:val="auto"/>
          <w:sz w:val="21"/>
          <w:szCs w:val="21"/>
          <w:highlight w:val="none"/>
        </w:rPr>
        <w:t>至</w:t>
      </w:r>
      <w:r>
        <w:rPr>
          <w:rFonts w:hint="eastAsia" w:ascii="宋体" w:hAnsi="宋体" w:cs="宋体"/>
          <w:color w:val="auto"/>
          <w:sz w:val="21"/>
          <w:szCs w:val="21"/>
          <w:highlight w:val="none"/>
          <w:u w:val="single"/>
        </w:rPr>
        <w:t>23:59</w:t>
      </w:r>
      <w:r>
        <w:rPr>
          <w:rFonts w:hint="eastAsia" w:ascii="宋体" w:hAnsi="宋体" w:cs="宋体"/>
          <w:color w:val="auto"/>
          <w:sz w:val="21"/>
          <w:szCs w:val="21"/>
          <w:highlight w:val="none"/>
        </w:rPr>
        <w:t>（北京时间，法定节假日除外）</w:t>
      </w:r>
    </w:p>
    <w:p w14:paraId="70D10836">
      <w:pPr>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sz w:val="21"/>
          <w:szCs w:val="24"/>
          <w:highlight w:val="none"/>
        </w:rPr>
        <w:t>广西政府采购云平台（www.gcy.zfcg.gxzf.gov.cn）。</w:t>
      </w:r>
    </w:p>
    <w:p w14:paraId="1E34FD6D">
      <w:pPr>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方式：</w:t>
      </w:r>
      <w:r>
        <w:rPr>
          <w:rFonts w:hint="eastAsia" w:ascii="宋体" w:hAnsi="宋体" w:cs="宋体"/>
          <w:color w:val="auto"/>
          <w:kern w:val="0"/>
          <w:sz w:val="21"/>
          <w:szCs w:val="21"/>
          <w:highlight w:val="none"/>
        </w:rPr>
        <w:t>潜在供应商登录</w:t>
      </w:r>
      <w:r>
        <w:rPr>
          <w:rFonts w:hint="eastAsia" w:ascii="宋体" w:hAnsi="宋体" w:cs="宋体"/>
          <w:color w:val="auto"/>
          <w:sz w:val="21"/>
          <w:szCs w:val="24"/>
          <w:highlight w:val="none"/>
        </w:rPr>
        <w:t>广西政府采购云平台（www.gcy.zfcg.gxzf.gov.cn）免费</w:t>
      </w:r>
      <w:r>
        <w:rPr>
          <w:rFonts w:hint="eastAsia" w:ascii="宋体" w:hAnsi="宋体" w:cs="宋体"/>
          <w:color w:val="auto"/>
          <w:sz w:val="21"/>
          <w:szCs w:val="21"/>
          <w:highlight w:val="none"/>
        </w:rPr>
        <w:t>获取竞争性磋商文件电子版。</w:t>
      </w:r>
      <w:r>
        <w:rPr>
          <w:rFonts w:hint="eastAsia" w:ascii="宋体" w:hAnsi="宋体" w:cs="宋体"/>
          <w:b/>
          <w:bCs/>
          <w:color w:val="auto"/>
          <w:sz w:val="21"/>
          <w:szCs w:val="21"/>
          <w:highlight w:val="none"/>
        </w:rPr>
        <w:t>供应商应在广西政府采购云平台进行“申请获取采购文件”操作，否则，将导致无法在线编制响应文件并参与竞标，其不利后果由供应商自行承担。</w:t>
      </w:r>
    </w:p>
    <w:p w14:paraId="71EAF12C">
      <w:pPr>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售价（元）：0。</w:t>
      </w:r>
      <w:bookmarkStart w:id="18" w:name="_Toc35393801"/>
      <w:bookmarkStart w:id="19" w:name="_Toc28359092"/>
      <w:bookmarkStart w:id="20" w:name="_Toc28359015"/>
      <w:bookmarkStart w:id="21" w:name="_Toc35393632"/>
    </w:p>
    <w:p w14:paraId="5D331620">
      <w:pPr>
        <w:spacing w:line="400" w:lineRule="exact"/>
        <w:ind w:firstLine="422"/>
        <w:rPr>
          <w:rFonts w:ascii="宋体" w:hAnsi="宋体" w:cs="宋体"/>
          <w:color w:val="auto"/>
          <w:sz w:val="21"/>
          <w:szCs w:val="21"/>
          <w:highlight w:val="none"/>
        </w:rPr>
      </w:pPr>
      <w:r>
        <w:rPr>
          <w:rFonts w:hint="eastAsia" w:ascii="宋体" w:hAnsi="宋体" w:cs="宋体"/>
          <w:b/>
          <w:bCs/>
          <w:color w:val="auto"/>
          <w:sz w:val="21"/>
          <w:szCs w:val="21"/>
          <w:highlight w:val="none"/>
        </w:rPr>
        <w:t>四、响应文件提交</w:t>
      </w:r>
      <w:bookmarkEnd w:id="18"/>
      <w:bookmarkEnd w:id="19"/>
      <w:bookmarkEnd w:id="20"/>
      <w:bookmarkEnd w:id="21"/>
    </w:p>
    <w:p w14:paraId="0BE4AE42">
      <w:pPr>
        <w:spacing w:line="400" w:lineRule="exact"/>
        <w:ind w:firstLine="420"/>
        <w:rPr>
          <w:rFonts w:ascii="宋体" w:hAnsi="宋体" w:cs="宋体"/>
          <w:bCs/>
          <w:color w:val="auto"/>
          <w:sz w:val="21"/>
          <w:szCs w:val="21"/>
          <w:highlight w:val="none"/>
        </w:rPr>
      </w:pPr>
      <w:r>
        <w:rPr>
          <w:rFonts w:hint="eastAsia" w:ascii="宋体" w:hAnsi="宋体" w:cs="宋体"/>
          <w:color w:val="auto"/>
          <w:sz w:val="21"/>
          <w:szCs w:val="21"/>
          <w:highlight w:val="none"/>
        </w:rPr>
        <w:t>截止时间：</w:t>
      </w:r>
      <w:r>
        <w:rPr>
          <w:rFonts w:hint="eastAsia" w:ascii="宋体" w:hAnsi="宋体" w:cs="宋体"/>
          <w:color w:val="auto"/>
          <w:sz w:val="21"/>
          <w:szCs w:val="24"/>
          <w:highlight w:val="none"/>
          <w:u w:val="single"/>
        </w:rPr>
        <w:t>2026年</w:t>
      </w:r>
      <w:r>
        <w:rPr>
          <w:rFonts w:hint="eastAsia" w:ascii="宋体" w:hAnsi="宋体" w:cs="宋体"/>
          <w:color w:val="auto"/>
          <w:sz w:val="21"/>
          <w:szCs w:val="24"/>
          <w:highlight w:val="none"/>
          <w:u w:val="single"/>
          <w:lang w:val="en-US" w:eastAsia="zh-CN"/>
        </w:rPr>
        <w:t>3</w:t>
      </w:r>
      <w:r>
        <w:rPr>
          <w:rFonts w:hint="eastAsia" w:ascii="宋体" w:hAnsi="宋体" w:cs="宋体"/>
          <w:color w:val="auto"/>
          <w:sz w:val="21"/>
          <w:szCs w:val="24"/>
          <w:highlight w:val="none"/>
          <w:u w:val="single"/>
        </w:rPr>
        <w:t>月</w:t>
      </w:r>
      <w:r>
        <w:rPr>
          <w:rFonts w:hint="eastAsia" w:ascii="宋体" w:hAnsi="宋体" w:cs="宋体"/>
          <w:color w:val="auto"/>
          <w:sz w:val="21"/>
          <w:szCs w:val="24"/>
          <w:highlight w:val="none"/>
          <w:u w:val="single"/>
          <w:lang w:val="en-US" w:eastAsia="zh-CN"/>
        </w:rPr>
        <w:t>30</w:t>
      </w:r>
      <w:r>
        <w:rPr>
          <w:rFonts w:hint="eastAsia" w:ascii="宋体" w:hAnsi="宋体" w:cs="宋体"/>
          <w:color w:val="auto"/>
          <w:sz w:val="21"/>
          <w:szCs w:val="24"/>
          <w:highlight w:val="none"/>
          <w:u w:val="single"/>
        </w:rPr>
        <w:t>日上午9时30分</w:t>
      </w:r>
      <w:r>
        <w:rPr>
          <w:rFonts w:hint="eastAsia" w:ascii="宋体" w:hAnsi="宋体" w:cs="宋体"/>
          <w:color w:val="auto"/>
          <w:sz w:val="21"/>
          <w:szCs w:val="24"/>
          <w:highlight w:val="none"/>
        </w:rPr>
        <w:t>（北京时</w:t>
      </w:r>
      <w:r>
        <w:rPr>
          <w:rFonts w:hint="eastAsia" w:ascii="宋体" w:hAnsi="宋体" w:cs="宋体"/>
          <w:bCs/>
          <w:color w:val="auto"/>
          <w:sz w:val="21"/>
          <w:szCs w:val="21"/>
          <w:highlight w:val="none"/>
        </w:rPr>
        <w:t>间）</w:t>
      </w:r>
    </w:p>
    <w:p w14:paraId="5EFDCB47">
      <w:pPr>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地点：</w:t>
      </w:r>
      <w:bookmarkStart w:id="22" w:name="_Toc28359016"/>
      <w:bookmarkStart w:id="23" w:name="_Toc35393633"/>
      <w:bookmarkStart w:id="24" w:name="_Toc35393802"/>
      <w:bookmarkStart w:id="25" w:name="_Toc28359093"/>
      <w:r>
        <w:rPr>
          <w:rFonts w:hint="eastAsia" w:ascii="宋体" w:hAnsi="宋体" w:cs="宋体"/>
          <w:color w:val="auto"/>
          <w:sz w:val="21"/>
          <w:szCs w:val="21"/>
          <w:highlight w:val="none"/>
        </w:rPr>
        <w:t>登录广西政府采购云平台在线提交。</w:t>
      </w:r>
    </w:p>
    <w:p w14:paraId="496C5090">
      <w:pPr>
        <w:spacing w:line="400" w:lineRule="exact"/>
        <w:ind w:firstLine="422"/>
        <w:rPr>
          <w:rFonts w:ascii="宋体" w:hAnsi="宋体" w:cs="宋体"/>
          <w:color w:val="auto"/>
          <w:sz w:val="21"/>
          <w:szCs w:val="21"/>
          <w:highlight w:val="none"/>
        </w:rPr>
      </w:pPr>
      <w:r>
        <w:rPr>
          <w:rFonts w:hint="eastAsia" w:ascii="宋体" w:hAnsi="宋体" w:cs="宋体"/>
          <w:b/>
          <w:bCs/>
          <w:color w:val="auto"/>
          <w:sz w:val="21"/>
          <w:szCs w:val="21"/>
          <w:highlight w:val="none"/>
        </w:rPr>
        <w:t>五、开启</w:t>
      </w:r>
      <w:bookmarkEnd w:id="22"/>
      <w:bookmarkEnd w:id="23"/>
      <w:bookmarkEnd w:id="24"/>
      <w:bookmarkEnd w:id="25"/>
    </w:p>
    <w:p w14:paraId="5B5B821F">
      <w:pPr>
        <w:spacing w:line="400" w:lineRule="exact"/>
        <w:ind w:firstLine="420"/>
        <w:rPr>
          <w:rFonts w:ascii="宋体" w:hAnsi="宋体" w:cs="宋体"/>
          <w:bCs/>
          <w:color w:val="auto"/>
          <w:sz w:val="21"/>
          <w:szCs w:val="21"/>
          <w:highlight w:val="none"/>
          <w:u w:val="single"/>
        </w:rPr>
      </w:pPr>
      <w:r>
        <w:rPr>
          <w:rFonts w:hint="eastAsia" w:ascii="宋体" w:hAnsi="宋体" w:cs="宋体"/>
          <w:color w:val="auto"/>
          <w:sz w:val="21"/>
          <w:szCs w:val="21"/>
          <w:highlight w:val="none"/>
        </w:rPr>
        <w:t>时间：</w:t>
      </w:r>
      <w:r>
        <w:rPr>
          <w:rFonts w:hint="eastAsia" w:ascii="宋体" w:hAnsi="宋体" w:cs="宋体"/>
          <w:color w:val="auto"/>
          <w:sz w:val="21"/>
          <w:szCs w:val="24"/>
          <w:highlight w:val="none"/>
          <w:u w:val="single"/>
        </w:rPr>
        <w:t>2026年</w:t>
      </w:r>
      <w:r>
        <w:rPr>
          <w:rFonts w:hint="eastAsia" w:ascii="宋体" w:hAnsi="宋体" w:cs="宋体"/>
          <w:color w:val="auto"/>
          <w:sz w:val="21"/>
          <w:szCs w:val="24"/>
          <w:highlight w:val="none"/>
          <w:u w:val="single"/>
          <w:lang w:val="en-US" w:eastAsia="zh-CN"/>
        </w:rPr>
        <w:t>3</w:t>
      </w:r>
      <w:r>
        <w:rPr>
          <w:rFonts w:hint="eastAsia" w:ascii="宋体" w:hAnsi="宋体" w:cs="宋体"/>
          <w:color w:val="auto"/>
          <w:sz w:val="21"/>
          <w:szCs w:val="24"/>
          <w:highlight w:val="none"/>
          <w:u w:val="single"/>
        </w:rPr>
        <w:t>月</w:t>
      </w:r>
      <w:r>
        <w:rPr>
          <w:rFonts w:hint="eastAsia" w:ascii="宋体" w:hAnsi="宋体" w:cs="宋体"/>
          <w:color w:val="auto"/>
          <w:sz w:val="21"/>
          <w:szCs w:val="24"/>
          <w:highlight w:val="none"/>
          <w:u w:val="single"/>
          <w:lang w:val="en-US" w:eastAsia="zh-CN"/>
        </w:rPr>
        <w:t>30</w:t>
      </w:r>
      <w:r>
        <w:rPr>
          <w:rFonts w:hint="eastAsia" w:ascii="宋体" w:hAnsi="宋体" w:cs="宋体"/>
          <w:color w:val="auto"/>
          <w:sz w:val="21"/>
          <w:szCs w:val="24"/>
          <w:highlight w:val="none"/>
          <w:u w:val="single"/>
        </w:rPr>
        <w:t>日上午9时30分</w:t>
      </w:r>
      <w:r>
        <w:rPr>
          <w:rFonts w:hint="eastAsia" w:ascii="宋体" w:hAnsi="宋体" w:cs="宋体"/>
          <w:bCs/>
          <w:color w:val="auto"/>
          <w:sz w:val="21"/>
          <w:szCs w:val="21"/>
          <w:highlight w:val="none"/>
        </w:rPr>
        <w:t>（北京时间）</w:t>
      </w:r>
    </w:p>
    <w:p w14:paraId="609BC8FC">
      <w:pPr>
        <w:spacing w:line="400" w:lineRule="exact"/>
        <w:ind w:left="240" w:leftChars="100"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地点：</w:t>
      </w:r>
      <w:bookmarkStart w:id="26" w:name="_Toc28359094"/>
      <w:bookmarkStart w:id="27" w:name="_Toc35393803"/>
      <w:bookmarkStart w:id="28" w:name="_Toc28359017"/>
      <w:bookmarkStart w:id="29" w:name="_Toc35393634"/>
      <w:r>
        <w:rPr>
          <w:rFonts w:hint="eastAsia" w:ascii="宋体" w:hAnsi="宋体" w:cs="宋体"/>
          <w:color w:val="auto"/>
          <w:sz w:val="21"/>
          <w:szCs w:val="21"/>
          <w:highlight w:val="none"/>
        </w:rPr>
        <w:t>通过</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在线解密开启。</w:t>
      </w:r>
    </w:p>
    <w:p w14:paraId="537A50B3">
      <w:pPr>
        <w:spacing w:line="400" w:lineRule="exact"/>
        <w:ind w:left="240" w:leftChars="100" w:firstLine="211" w:firstLineChars="100"/>
        <w:rPr>
          <w:rFonts w:ascii="宋体" w:hAnsi="宋体" w:cs="宋体"/>
          <w:color w:val="auto"/>
          <w:sz w:val="21"/>
          <w:szCs w:val="21"/>
          <w:highlight w:val="none"/>
        </w:rPr>
      </w:pPr>
      <w:r>
        <w:rPr>
          <w:rFonts w:hint="eastAsia" w:ascii="宋体" w:hAnsi="宋体" w:cs="宋体"/>
          <w:b/>
          <w:bCs/>
          <w:color w:val="auto"/>
          <w:sz w:val="21"/>
          <w:szCs w:val="21"/>
          <w:highlight w:val="none"/>
        </w:rPr>
        <w:t>六、公告期限</w:t>
      </w:r>
      <w:bookmarkEnd w:id="26"/>
      <w:bookmarkEnd w:id="27"/>
      <w:bookmarkEnd w:id="28"/>
      <w:bookmarkEnd w:id="29"/>
    </w:p>
    <w:p w14:paraId="1676C51D">
      <w:pPr>
        <w:spacing w:line="40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自本公告发布之日起5个工作日。</w:t>
      </w:r>
      <w:bookmarkStart w:id="30" w:name="_Toc35393635"/>
      <w:bookmarkStart w:id="31" w:name="_Toc35393804"/>
    </w:p>
    <w:p w14:paraId="65749418">
      <w:pPr>
        <w:numPr>
          <w:ilvl w:val="0"/>
          <w:numId w:val="3"/>
        </w:numPr>
        <w:spacing w:line="400" w:lineRule="exact"/>
        <w:ind w:firstLine="422"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其他补充事宜</w:t>
      </w:r>
      <w:bookmarkEnd w:id="30"/>
      <w:bookmarkEnd w:id="31"/>
    </w:p>
    <w:p w14:paraId="44623D27">
      <w:pPr>
        <w:spacing w:line="400" w:lineRule="exact"/>
        <w:ind w:firstLine="420"/>
        <w:rPr>
          <w:rFonts w:ascii="宋体" w:hAnsi="宋体" w:cs="宋体"/>
          <w:bCs/>
          <w:color w:val="auto"/>
          <w:sz w:val="21"/>
          <w:szCs w:val="21"/>
          <w:highlight w:val="none"/>
        </w:rPr>
      </w:pPr>
      <w:r>
        <w:rPr>
          <w:rFonts w:hint="eastAsia" w:ascii="宋体" w:hAnsi="宋体" w:cs="宋体"/>
          <w:bCs/>
          <w:color w:val="auto"/>
          <w:sz w:val="21"/>
          <w:szCs w:val="21"/>
          <w:highlight w:val="none"/>
        </w:rPr>
        <w:t>1.信息公告发布媒体：中国政府采购网（www.ccgp.gov.cn）、广西壮族自治区政府采购网（zfcg.gxzf.gov.cn）、桂林市政府采购网（zfcg.czj.guilin.gov.cn）。</w:t>
      </w:r>
    </w:p>
    <w:p w14:paraId="07D0D23E">
      <w:pPr>
        <w:spacing w:line="400" w:lineRule="exact"/>
        <w:ind w:left="480" w:leftChars="200" w:firstLine="0" w:firstLineChars="0"/>
        <w:rPr>
          <w:rFonts w:ascii="宋体" w:hAnsi="宋体" w:cs="宋体"/>
          <w:bCs/>
          <w:color w:val="auto"/>
          <w:sz w:val="21"/>
          <w:szCs w:val="21"/>
          <w:highlight w:val="none"/>
        </w:rPr>
      </w:pPr>
      <w:r>
        <w:rPr>
          <w:rFonts w:hint="eastAsia" w:ascii="宋体" w:hAnsi="宋体" w:cs="宋体"/>
          <w:bCs/>
          <w:color w:val="auto"/>
          <w:sz w:val="21"/>
          <w:szCs w:val="21"/>
          <w:highlight w:val="none"/>
        </w:rPr>
        <w:t>2.本项目需要落实的政府采购政策：</w:t>
      </w:r>
    </w:p>
    <w:p w14:paraId="711E5C87">
      <w:pPr>
        <w:spacing w:line="400" w:lineRule="exact"/>
        <w:ind w:left="480" w:leftChars="200" w:firstLine="0" w:firstLineChars="0"/>
        <w:rPr>
          <w:rFonts w:ascii="宋体" w:hAnsi="宋体" w:cs="宋体"/>
          <w:bCs/>
          <w:color w:val="auto"/>
          <w:sz w:val="21"/>
          <w:szCs w:val="21"/>
          <w:highlight w:val="none"/>
        </w:rPr>
      </w:pPr>
      <w:r>
        <w:rPr>
          <w:rFonts w:hint="eastAsia" w:ascii="宋体" w:hAnsi="宋体" w:cs="宋体"/>
          <w:bCs/>
          <w:color w:val="auto"/>
          <w:sz w:val="21"/>
          <w:szCs w:val="21"/>
          <w:highlight w:val="none"/>
        </w:rPr>
        <w:t>（1）政府采购促进中小企业发展</w:t>
      </w:r>
      <w:r>
        <w:rPr>
          <w:rFonts w:hint="eastAsia" w:ascii="宋体" w:hAnsi="宋体" w:cs="宋体"/>
          <w:color w:val="auto"/>
          <w:sz w:val="21"/>
          <w:szCs w:val="21"/>
          <w:highlight w:val="none"/>
        </w:rPr>
        <w:t>；</w:t>
      </w:r>
    </w:p>
    <w:p w14:paraId="34D0963D">
      <w:pPr>
        <w:spacing w:line="400" w:lineRule="exact"/>
        <w:ind w:left="480" w:leftChars="200" w:firstLine="0" w:firstLineChars="0"/>
        <w:rPr>
          <w:rFonts w:ascii="宋体" w:hAnsi="宋体" w:cs="宋体"/>
          <w:bCs/>
          <w:color w:val="auto"/>
          <w:sz w:val="21"/>
          <w:szCs w:val="21"/>
          <w:highlight w:val="none"/>
        </w:rPr>
      </w:pPr>
      <w:r>
        <w:rPr>
          <w:rFonts w:hint="eastAsia" w:ascii="宋体" w:hAnsi="宋体" w:cs="宋体"/>
          <w:bCs/>
          <w:color w:val="auto"/>
          <w:sz w:val="21"/>
          <w:szCs w:val="21"/>
          <w:highlight w:val="none"/>
        </w:rPr>
        <w:t>（2）政府采购支持监狱企业发展；</w:t>
      </w:r>
    </w:p>
    <w:p w14:paraId="41206AEA">
      <w:pPr>
        <w:spacing w:line="400" w:lineRule="exact"/>
        <w:ind w:left="480" w:leftChars="200" w:firstLine="0" w:firstLineChars="0"/>
        <w:rPr>
          <w:rFonts w:ascii="宋体" w:hAnsi="宋体" w:cs="宋体"/>
          <w:bCs/>
          <w:color w:val="auto"/>
          <w:sz w:val="21"/>
          <w:szCs w:val="21"/>
          <w:highlight w:val="none"/>
        </w:rPr>
      </w:pPr>
      <w:r>
        <w:rPr>
          <w:rFonts w:hint="eastAsia" w:ascii="宋体" w:hAnsi="宋体" w:cs="宋体"/>
          <w:bCs/>
          <w:color w:val="auto"/>
          <w:sz w:val="21"/>
          <w:szCs w:val="21"/>
          <w:highlight w:val="none"/>
        </w:rPr>
        <w:t>（3）政府采购促进残疾人就业政策；</w:t>
      </w:r>
    </w:p>
    <w:p w14:paraId="13B27B29">
      <w:pPr>
        <w:spacing w:line="400" w:lineRule="exact"/>
        <w:ind w:left="480" w:leftChars="200" w:firstLine="0" w:firstLineChars="0"/>
        <w:rPr>
          <w:rFonts w:ascii="宋体" w:hAnsi="宋体" w:cs="宋体"/>
          <w:bCs/>
          <w:color w:val="auto"/>
          <w:sz w:val="21"/>
          <w:szCs w:val="21"/>
          <w:highlight w:val="none"/>
        </w:rPr>
      </w:pPr>
      <w:r>
        <w:rPr>
          <w:rFonts w:hint="eastAsia" w:ascii="宋体" w:hAnsi="宋体" w:cs="宋体"/>
          <w:bCs/>
          <w:color w:val="auto"/>
          <w:sz w:val="21"/>
          <w:szCs w:val="21"/>
          <w:highlight w:val="none"/>
        </w:rPr>
        <w:t>（4）本项目为服务项目，不涉及强制采购节能产品；</w:t>
      </w:r>
    </w:p>
    <w:p w14:paraId="412B99CE">
      <w:pPr>
        <w:spacing w:line="400" w:lineRule="exact"/>
        <w:ind w:left="480" w:leftChars="200" w:firstLine="0" w:firstLineChars="0"/>
        <w:rPr>
          <w:rFonts w:ascii="宋体" w:hAnsi="宋体" w:cs="宋体"/>
          <w:bCs/>
          <w:color w:val="auto"/>
          <w:sz w:val="21"/>
          <w:szCs w:val="21"/>
          <w:highlight w:val="none"/>
        </w:rPr>
      </w:pPr>
      <w:r>
        <w:rPr>
          <w:rFonts w:hint="eastAsia" w:ascii="宋体" w:hAnsi="宋体" w:cs="宋体"/>
          <w:bCs/>
          <w:color w:val="auto"/>
          <w:sz w:val="21"/>
          <w:szCs w:val="21"/>
          <w:highlight w:val="none"/>
        </w:rPr>
        <w:t>（5）政府采购支持采用本国产品的政策；</w:t>
      </w:r>
    </w:p>
    <w:p w14:paraId="40B8395F">
      <w:pPr>
        <w:spacing w:line="400" w:lineRule="exact"/>
        <w:ind w:left="480" w:leftChars="200" w:firstLine="0" w:firstLineChars="0"/>
        <w:rPr>
          <w:rFonts w:ascii="宋体" w:hAnsi="宋体" w:cs="宋体"/>
          <w:bCs/>
          <w:color w:val="auto"/>
          <w:sz w:val="21"/>
          <w:szCs w:val="21"/>
          <w:highlight w:val="none"/>
        </w:rPr>
      </w:pPr>
      <w:r>
        <w:rPr>
          <w:rFonts w:hint="eastAsia" w:ascii="宋体" w:hAnsi="宋体" w:cs="宋体"/>
          <w:bCs/>
          <w:color w:val="auto"/>
          <w:sz w:val="21"/>
          <w:szCs w:val="21"/>
          <w:highlight w:val="none"/>
        </w:rPr>
        <w:t>（6）优先采购节能产品、环境标志产品。</w:t>
      </w:r>
    </w:p>
    <w:p w14:paraId="767DBA90">
      <w:pPr>
        <w:spacing w:line="400" w:lineRule="exact"/>
        <w:ind w:firstLine="420"/>
        <w:rPr>
          <w:rFonts w:ascii="宋体" w:hAnsi="宋体" w:cs="宋体"/>
          <w:color w:val="auto"/>
          <w:sz w:val="21"/>
          <w:szCs w:val="21"/>
          <w:highlight w:val="none"/>
        </w:rPr>
      </w:pPr>
      <w:bookmarkStart w:id="32" w:name="_Toc28359018"/>
      <w:bookmarkStart w:id="33" w:name="_Toc28359095"/>
      <w:bookmarkStart w:id="34" w:name="_Toc35393805"/>
      <w:bookmarkStart w:id="35" w:name="_Toc35393636"/>
      <w:r>
        <w:rPr>
          <w:rFonts w:hint="eastAsia" w:ascii="宋体" w:hAnsi="宋体" w:cs="宋体"/>
          <w:bCs/>
          <w:color w:val="auto"/>
          <w:sz w:val="21"/>
          <w:szCs w:val="21"/>
          <w:highlight w:val="none"/>
        </w:rPr>
        <w:t>3.</w:t>
      </w:r>
      <w:r>
        <w:rPr>
          <w:rFonts w:hint="eastAsia" w:ascii="宋体" w:hAnsi="宋体" w:cs="宋体"/>
          <w:color w:val="auto"/>
          <w:sz w:val="21"/>
          <w:szCs w:val="21"/>
          <w:highlight w:val="none"/>
        </w:rPr>
        <w:t>资格条件特别说明：</w:t>
      </w:r>
    </w:p>
    <w:p w14:paraId="506B2A56">
      <w:pPr>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A44012E">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DEE16AE">
      <w:pPr>
        <w:spacing w:line="400" w:lineRule="exact"/>
        <w:ind w:left="480" w:leftChars="200" w:firstLine="0" w:firstLineChars="0"/>
        <w:rPr>
          <w:rFonts w:ascii="宋体" w:hAnsi="宋体" w:cs="宋体"/>
          <w:bCs/>
          <w:color w:val="auto"/>
          <w:sz w:val="21"/>
          <w:szCs w:val="21"/>
          <w:highlight w:val="none"/>
        </w:rPr>
      </w:pPr>
      <w:r>
        <w:rPr>
          <w:rFonts w:hint="eastAsia" w:ascii="宋体" w:hAnsi="宋体" w:cs="宋体"/>
          <w:bCs/>
          <w:color w:val="auto"/>
          <w:sz w:val="21"/>
          <w:szCs w:val="21"/>
          <w:highlight w:val="none"/>
        </w:rPr>
        <w:t>4.</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电子竞标相关事宜：</w:t>
      </w:r>
    </w:p>
    <w:p w14:paraId="11E8EA4E">
      <w:pPr>
        <w:adjustRightInd w:val="0"/>
        <w:snapToGrid w:val="0"/>
        <w:spacing w:line="400" w:lineRule="exact"/>
        <w:ind w:firstLine="420"/>
        <w:rPr>
          <w:rFonts w:ascii="宋体" w:hAnsi="宋体" w:cs="宋体"/>
          <w:bCs/>
          <w:color w:val="auto"/>
          <w:sz w:val="21"/>
          <w:szCs w:val="21"/>
          <w:highlight w:val="none"/>
        </w:rPr>
      </w:pPr>
      <w:r>
        <w:rPr>
          <w:rFonts w:hint="eastAsia" w:ascii="宋体" w:hAnsi="宋体" w:cs="宋体"/>
          <w:bCs/>
          <w:color w:val="auto"/>
          <w:sz w:val="21"/>
          <w:szCs w:val="21"/>
          <w:highlight w:val="none"/>
        </w:rPr>
        <w:t>（1）本项目实行全流程电子化采购，供应商通过</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参与电子竞标，并应做好以下相关准备工作：①在</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进行电子签章或电子签名；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电子投标客户端”）并安装成功。供应商应当在响应文件提交截止时间前在</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完成身份认证，确保能够对相关数据电文进行加密和使用电子签章；④自备计算机和网络设备并确保能接入互联网（费用由供应商自行承担，设备应确保可进行视频通话和读取</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CA证书）。因供应商未做好相关准备工作等自身原因导致无法参加本项目电子竞标或竞标失败的，造成的一切后果，由供应商自行承担。</w:t>
      </w:r>
    </w:p>
    <w:p w14:paraId="2F7164B0">
      <w:pPr>
        <w:adjustRightInd w:val="0"/>
        <w:snapToGrid w:val="0"/>
        <w:spacing w:line="400" w:lineRule="exact"/>
        <w:ind w:firstLine="420"/>
        <w:rPr>
          <w:rFonts w:ascii="宋体" w:hAnsi="宋体" w:cs="宋体"/>
          <w:bCs/>
          <w:color w:val="auto"/>
          <w:sz w:val="21"/>
          <w:szCs w:val="21"/>
          <w:highlight w:val="none"/>
        </w:rPr>
      </w:pPr>
      <w:r>
        <w:rPr>
          <w:rFonts w:hint="eastAsia" w:ascii="宋体" w:hAnsi="宋体" w:cs="宋体"/>
          <w:bCs/>
          <w:color w:val="auto"/>
          <w:sz w:val="21"/>
          <w:szCs w:val="21"/>
          <w:highlight w:val="none"/>
        </w:rPr>
        <w:t>（2）电子竞标具体操作流程参考《政府采购项目电子交易管理操作指南－供应商》（详见桂林市政府采购网—采购资讯—重要通知）；如遇平台技术问题详询0771-3381253、95763。</w:t>
      </w:r>
    </w:p>
    <w:p w14:paraId="2C30902D">
      <w:pPr>
        <w:adjustRightInd w:val="0"/>
        <w:snapToGrid w:val="0"/>
        <w:spacing w:line="400" w:lineRule="exact"/>
        <w:ind w:firstLine="420"/>
        <w:rPr>
          <w:rFonts w:ascii="宋体" w:hAnsi="宋体" w:cs="宋体"/>
          <w:color w:val="auto"/>
          <w:sz w:val="21"/>
          <w:szCs w:val="21"/>
          <w:highlight w:val="none"/>
        </w:rPr>
      </w:pPr>
      <w:r>
        <w:rPr>
          <w:rFonts w:hint="eastAsia" w:ascii="宋体" w:hAnsi="宋体" w:cs="宋体"/>
          <w:bCs/>
          <w:color w:val="auto"/>
          <w:sz w:val="21"/>
          <w:szCs w:val="21"/>
          <w:highlight w:val="none"/>
        </w:rPr>
        <w:t>（3）</w:t>
      </w:r>
      <w:r>
        <w:rPr>
          <w:rFonts w:hint="eastAsia" w:ascii="宋体" w:hAnsi="宋体" w:cs="宋体"/>
          <w:color w:val="auto"/>
          <w:kern w:val="0"/>
          <w:sz w:val="21"/>
          <w:szCs w:val="21"/>
          <w:highlight w:val="none"/>
        </w:rPr>
        <w:t>电子响应文件的制作、加密、</w:t>
      </w:r>
      <w:r>
        <w:rPr>
          <w:rFonts w:hint="eastAsia" w:ascii="宋体" w:hAnsi="宋体" w:cs="宋体"/>
          <w:color w:val="auto"/>
          <w:sz w:val="21"/>
          <w:szCs w:val="21"/>
          <w:highlight w:val="none"/>
        </w:rPr>
        <w:t>提交、解密等相关事宜详见第二章 “供应商须知”。</w:t>
      </w:r>
    </w:p>
    <w:p w14:paraId="5E17D8D3">
      <w:pPr>
        <w:adjustRightInd w:val="0"/>
        <w:snapToGrid w:val="0"/>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kern w:val="0"/>
          <w:sz w:val="21"/>
          <w:szCs w:val="21"/>
          <w:highlight w:val="none"/>
        </w:rPr>
        <w:t>监督管理机构：桂林市财政局    联系电话：0773-2829504</w:t>
      </w:r>
    </w:p>
    <w:p w14:paraId="53E6059F">
      <w:pPr>
        <w:spacing w:line="400" w:lineRule="exact"/>
        <w:ind w:firstLine="422"/>
        <w:rPr>
          <w:rFonts w:ascii="宋体" w:hAnsi="宋体" w:cs="宋体"/>
          <w:b/>
          <w:color w:val="auto"/>
          <w:sz w:val="21"/>
          <w:szCs w:val="21"/>
          <w:highlight w:val="none"/>
        </w:rPr>
      </w:pPr>
      <w:r>
        <w:rPr>
          <w:rFonts w:hint="eastAsia" w:ascii="宋体" w:hAnsi="宋体" w:cs="宋体"/>
          <w:b/>
          <w:color w:val="auto"/>
          <w:sz w:val="21"/>
          <w:szCs w:val="21"/>
          <w:highlight w:val="none"/>
        </w:rPr>
        <w:t>八、凡对本次采购提出询问，请按以下方式联系</w:t>
      </w:r>
      <w:bookmarkEnd w:id="32"/>
      <w:bookmarkEnd w:id="33"/>
      <w:bookmarkEnd w:id="34"/>
      <w:bookmarkEnd w:id="35"/>
    </w:p>
    <w:p w14:paraId="3A727EFA">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1.采购人信息</w:t>
      </w:r>
    </w:p>
    <w:p w14:paraId="557E0AF8">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名 称：桂林市生态环境局</w:t>
      </w:r>
    </w:p>
    <w:p w14:paraId="5F77B73D">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地址：广西桂林市临桂区万福路鼎晟大厦2#楼</w:t>
      </w:r>
    </w:p>
    <w:p w14:paraId="0EBD95A0">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联系方式：李晓　0773-38</w:t>
      </w:r>
      <w:r>
        <w:rPr>
          <w:rFonts w:hint="eastAsia" w:ascii="宋体" w:hAnsi="宋体" w:cs="宋体"/>
          <w:color w:val="auto"/>
          <w:sz w:val="21"/>
          <w:szCs w:val="24"/>
          <w:highlight w:val="none"/>
          <w:lang w:val="en-US" w:eastAsia="zh-CN"/>
        </w:rPr>
        <w:t>12672</w:t>
      </w:r>
      <w:r>
        <w:rPr>
          <w:rFonts w:hint="eastAsia" w:ascii="宋体" w:hAnsi="宋体" w:cs="宋体"/>
          <w:color w:val="auto"/>
          <w:sz w:val="21"/>
          <w:szCs w:val="24"/>
          <w:highlight w:val="none"/>
        </w:rPr>
        <w:t xml:space="preserve">  </w:t>
      </w:r>
    </w:p>
    <w:p w14:paraId="1A21D546">
      <w:pPr>
        <w:spacing w:line="400" w:lineRule="exact"/>
        <w:ind w:firstLine="420"/>
        <w:jc w:val="left"/>
        <w:rPr>
          <w:rFonts w:ascii="宋体" w:hAnsi="宋体" w:cs="宋体"/>
          <w:color w:val="auto"/>
          <w:kern w:val="0"/>
          <w:sz w:val="21"/>
          <w:szCs w:val="24"/>
          <w:highlight w:val="none"/>
        </w:rPr>
      </w:pPr>
      <w:r>
        <w:rPr>
          <w:rFonts w:hint="eastAsia" w:ascii="宋体" w:hAnsi="宋体" w:cs="宋体"/>
          <w:color w:val="auto"/>
          <w:kern w:val="0"/>
          <w:sz w:val="21"/>
          <w:szCs w:val="24"/>
          <w:highlight w:val="none"/>
        </w:rPr>
        <w:t>2.采购代理机构信息</w:t>
      </w:r>
    </w:p>
    <w:p w14:paraId="1EFF901C">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名    称：云之龙咨询集团有限公司</w:t>
      </w:r>
    </w:p>
    <w:p w14:paraId="4D48460E">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地　　址：广西桂林市临桂区西城北路2号耀辉•美好家园2幢12层</w:t>
      </w:r>
    </w:p>
    <w:p w14:paraId="68B476A7">
      <w:pPr>
        <w:spacing w:line="400" w:lineRule="exact"/>
        <w:ind w:firstLine="420"/>
        <w:rPr>
          <w:rFonts w:ascii="宋体" w:hAnsi="宋体" w:cs="宋体"/>
          <w:color w:val="auto"/>
          <w:sz w:val="21"/>
          <w:szCs w:val="20"/>
          <w:highlight w:val="none"/>
        </w:rPr>
      </w:pPr>
      <w:r>
        <w:rPr>
          <w:rFonts w:hint="eastAsia" w:ascii="宋体" w:hAnsi="宋体" w:cs="宋体"/>
          <w:color w:val="auto"/>
          <w:sz w:val="21"/>
          <w:szCs w:val="20"/>
          <w:highlight w:val="none"/>
        </w:rPr>
        <w:t>项目联系人：</w:t>
      </w:r>
      <w:r>
        <w:rPr>
          <w:rFonts w:hint="eastAsia" w:ascii="宋体" w:hAnsi="宋体" w:cs="宋体"/>
          <w:color w:val="auto"/>
          <w:sz w:val="21"/>
          <w:szCs w:val="24"/>
          <w:highlight w:val="none"/>
        </w:rPr>
        <w:t>吕雯</w:t>
      </w:r>
      <w:r>
        <w:rPr>
          <w:rFonts w:hint="eastAsia" w:ascii="宋体" w:hAnsi="宋体" w:cs="宋体"/>
          <w:color w:val="auto"/>
          <w:sz w:val="21"/>
          <w:szCs w:val="20"/>
          <w:highlight w:val="none"/>
        </w:rPr>
        <w:t xml:space="preserve"> </w:t>
      </w:r>
    </w:p>
    <w:p w14:paraId="6E38D043">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 xml:space="preserve">联系方式：0773-2887388、2887399 </w:t>
      </w:r>
    </w:p>
    <w:p w14:paraId="149A9440">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　</w:t>
      </w:r>
    </w:p>
    <w:p w14:paraId="0936231C">
      <w:pPr>
        <w:spacing w:line="400" w:lineRule="exact"/>
        <w:ind w:firstLine="420"/>
        <w:rPr>
          <w:rFonts w:ascii="宋体" w:hAnsi="宋体" w:cs="宋体"/>
          <w:bCs/>
          <w:color w:val="auto"/>
          <w:sz w:val="21"/>
          <w:szCs w:val="21"/>
          <w:highlight w:val="none"/>
        </w:rPr>
      </w:pPr>
    </w:p>
    <w:p w14:paraId="7CEDA410">
      <w:pPr>
        <w:spacing w:line="400" w:lineRule="exact"/>
        <w:ind w:firstLine="0" w:firstLineChars="0"/>
        <w:rPr>
          <w:rFonts w:ascii="宋体" w:hAnsi="宋体" w:cs="宋体"/>
          <w:bCs/>
          <w:color w:val="auto"/>
          <w:sz w:val="21"/>
          <w:szCs w:val="21"/>
          <w:highlight w:val="none"/>
        </w:rPr>
      </w:pPr>
    </w:p>
    <w:p w14:paraId="43BBF12C">
      <w:pPr>
        <w:spacing w:line="400" w:lineRule="exact"/>
        <w:ind w:firstLine="420"/>
        <w:rPr>
          <w:rFonts w:ascii="宋体" w:hAnsi="宋体" w:cs="宋体"/>
          <w:bCs/>
          <w:color w:val="auto"/>
          <w:sz w:val="21"/>
          <w:szCs w:val="21"/>
          <w:highlight w:val="none"/>
        </w:rPr>
      </w:pPr>
    </w:p>
    <w:p w14:paraId="1C200C76">
      <w:pPr>
        <w:spacing w:line="400" w:lineRule="exact"/>
        <w:ind w:firstLine="420"/>
        <w:rPr>
          <w:rFonts w:ascii="宋体" w:hAnsi="宋体" w:cs="宋体"/>
          <w:bCs/>
          <w:color w:val="auto"/>
          <w:sz w:val="21"/>
          <w:szCs w:val="21"/>
          <w:highlight w:val="none"/>
        </w:rPr>
      </w:pPr>
    </w:p>
    <w:p w14:paraId="148ADECA">
      <w:pPr>
        <w:spacing w:line="400" w:lineRule="exact"/>
        <w:ind w:firstLine="480"/>
        <w:rPr>
          <w:rFonts w:ascii="宋体" w:hAnsi="宋体" w:cs="宋体"/>
          <w:bCs/>
          <w:color w:val="auto"/>
          <w:szCs w:val="21"/>
          <w:highlight w:val="none"/>
        </w:rPr>
      </w:pPr>
    </w:p>
    <w:p w14:paraId="2E91AFA5">
      <w:pPr>
        <w:spacing w:line="400" w:lineRule="exact"/>
        <w:ind w:firstLine="480"/>
        <w:rPr>
          <w:rFonts w:ascii="宋体" w:hAnsi="宋体" w:cs="宋体"/>
          <w:bCs/>
          <w:color w:val="auto"/>
          <w:szCs w:val="21"/>
          <w:highlight w:val="none"/>
        </w:rPr>
      </w:pPr>
    </w:p>
    <w:p w14:paraId="260C12A0">
      <w:pPr>
        <w:spacing w:line="400" w:lineRule="exact"/>
        <w:ind w:firstLine="480"/>
        <w:rPr>
          <w:rFonts w:ascii="宋体" w:hAnsi="宋体" w:cs="宋体"/>
          <w:bCs/>
          <w:color w:val="auto"/>
          <w:szCs w:val="21"/>
          <w:highlight w:val="none"/>
        </w:rPr>
      </w:pPr>
    </w:p>
    <w:p w14:paraId="38335B1E">
      <w:pPr>
        <w:spacing w:line="400" w:lineRule="exact"/>
        <w:ind w:firstLine="480"/>
        <w:rPr>
          <w:rFonts w:ascii="宋体" w:hAnsi="宋体" w:cs="宋体"/>
          <w:bCs/>
          <w:color w:val="auto"/>
          <w:szCs w:val="21"/>
          <w:highlight w:val="none"/>
        </w:rPr>
      </w:pPr>
    </w:p>
    <w:p w14:paraId="253B6352">
      <w:pPr>
        <w:spacing w:line="400" w:lineRule="exact"/>
        <w:ind w:firstLine="480"/>
        <w:rPr>
          <w:rFonts w:ascii="宋体" w:hAnsi="宋体" w:cs="宋体"/>
          <w:bCs/>
          <w:color w:val="auto"/>
          <w:szCs w:val="21"/>
          <w:highlight w:val="none"/>
        </w:rPr>
      </w:pPr>
    </w:p>
    <w:p w14:paraId="725DF6F6">
      <w:pPr>
        <w:spacing w:line="400" w:lineRule="exact"/>
        <w:ind w:firstLine="480"/>
        <w:rPr>
          <w:rFonts w:ascii="宋体" w:hAnsi="宋体" w:cs="宋体"/>
          <w:bCs/>
          <w:color w:val="auto"/>
          <w:szCs w:val="21"/>
          <w:highlight w:val="none"/>
        </w:rPr>
      </w:pPr>
    </w:p>
    <w:p w14:paraId="19D821B9">
      <w:pPr>
        <w:spacing w:line="400" w:lineRule="exact"/>
        <w:ind w:firstLine="480"/>
        <w:rPr>
          <w:rFonts w:ascii="宋体" w:hAnsi="宋体" w:cs="宋体"/>
          <w:bCs/>
          <w:color w:val="auto"/>
          <w:szCs w:val="21"/>
          <w:highlight w:val="none"/>
        </w:rPr>
      </w:pPr>
    </w:p>
    <w:p w14:paraId="13926E7B">
      <w:pPr>
        <w:spacing w:line="400" w:lineRule="exact"/>
        <w:ind w:firstLine="480"/>
        <w:rPr>
          <w:rFonts w:ascii="宋体" w:hAnsi="宋体" w:cs="宋体"/>
          <w:bCs/>
          <w:color w:val="auto"/>
          <w:szCs w:val="21"/>
          <w:highlight w:val="none"/>
        </w:rPr>
      </w:pPr>
    </w:p>
    <w:p w14:paraId="73A527F7">
      <w:pPr>
        <w:spacing w:line="400" w:lineRule="exact"/>
        <w:ind w:firstLine="480"/>
        <w:rPr>
          <w:rFonts w:ascii="宋体" w:hAnsi="宋体" w:cs="宋体"/>
          <w:bCs/>
          <w:color w:val="auto"/>
          <w:szCs w:val="21"/>
          <w:highlight w:val="none"/>
        </w:rPr>
      </w:pPr>
    </w:p>
    <w:p w14:paraId="21FB3348">
      <w:pPr>
        <w:spacing w:line="400" w:lineRule="exact"/>
        <w:ind w:firstLine="480"/>
        <w:rPr>
          <w:rFonts w:ascii="宋体" w:hAnsi="宋体" w:cs="宋体"/>
          <w:bCs/>
          <w:color w:val="auto"/>
          <w:szCs w:val="21"/>
          <w:highlight w:val="none"/>
        </w:rPr>
      </w:pPr>
    </w:p>
    <w:p w14:paraId="3CEB1112">
      <w:pPr>
        <w:spacing w:line="400" w:lineRule="exact"/>
        <w:ind w:firstLine="480"/>
        <w:rPr>
          <w:rFonts w:ascii="宋体" w:hAnsi="宋体" w:cs="宋体"/>
          <w:bCs/>
          <w:color w:val="auto"/>
          <w:szCs w:val="21"/>
          <w:highlight w:val="none"/>
        </w:rPr>
      </w:pPr>
    </w:p>
    <w:p w14:paraId="05E25772">
      <w:pPr>
        <w:spacing w:line="400" w:lineRule="exact"/>
        <w:ind w:firstLine="480"/>
        <w:rPr>
          <w:rFonts w:ascii="宋体" w:hAnsi="宋体" w:cs="宋体"/>
          <w:bCs/>
          <w:color w:val="auto"/>
          <w:szCs w:val="21"/>
          <w:highlight w:val="none"/>
        </w:rPr>
      </w:pPr>
    </w:p>
    <w:p w14:paraId="20FAB70F">
      <w:pPr>
        <w:spacing w:line="400" w:lineRule="exact"/>
        <w:ind w:firstLine="480"/>
        <w:rPr>
          <w:rFonts w:ascii="宋体" w:hAnsi="宋体" w:cs="宋体"/>
          <w:bCs/>
          <w:color w:val="auto"/>
          <w:szCs w:val="21"/>
          <w:highlight w:val="none"/>
        </w:rPr>
      </w:pPr>
    </w:p>
    <w:p w14:paraId="4D4D73EB">
      <w:pPr>
        <w:spacing w:line="400" w:lineRule="exact"/>
        <w:ind w:firstLine="480"/>
        <w:rPr>
          <w:rFonts w:ascii="宋体" w:hAnsi="宋体" w:cs="宋体"/>
          <w:bCs/>
          <w:color w:val="auto"/>
          <w:szCs w:val="21"/>
          <w:highlight w:val="none"/>
        </w:rPr>
      </w:pPr>
    </w:p>
    <w:p w14:paraId="2F64E46D">
      <w:pPr>
        <w:spacing w:line="400" w:lineRule="exact"/>
        <w:ind w:firstLine="480"/>
        <w:rPr>
          <w:rFonts w:ascii="宋体" w:hAnsi="宋体" w:cs="宋体"/>
          <w:bCs/>
          <w:color w:val="auto"/>
          <w:szCs w:val="21"/>
          <w:highlight w:val="none"/>
        </w:rPr>
      </w:pPr>
    </w:p>
    <w:p w14:paraId="4C9BEC35">
      <w:pPr>
        <w:spacing w:line="400" w:lineRule="exact"/>
        <w:ind w:firstLine="480"/>
        <w:rPr>
          <w:rFonts w:ascii="宋体" w:hAnsi="宋体" w:cs="宋体"/>
          <w:bCs/>
          <w:color w:val="auto"/>
          <w:szCs w:val="21"/>
          <w:highlight w:val="none"/>
        </w:rPr>
      </w:pPr>
    </w:p>
    <w:p w14:paraId="14C19974">
      <w:pPr>
        <w:spacing w:line="400" w:lineRule="exact"/>
        <w:ind w:firstLine="480"/>
        <w:rPr>
          <w:rFonts w:ascii="宋体" w:hAnsi="宋体" w:cs="宋体"/>
          <w:bCs/>
          <w:color w:val="auto"/>
          <w:szCs w:val="21"/>
          <w:highlight w:val="none"/>
        </w:rPr>
      </w:pPr>
    </w:p>
    <w:p w14:paraId="6228B5B4">
      <w:pPr>
        <w:spacing w:line="400" w:lineRule="exact"/>
        <w:ind w:firstLine="480"/>
        <w:rPr>
          <w:rFonts w:ascii="宋体" w:hAnsi="宋体" w:cs="宋体"/>
          <w:bCs/>
          <w:color w:val="auto"/>
          <w:szCs w:val="21"/>
          <w:highlight w:val="none"/>
        </w:rPr>
      </w:pPr>
    </w:p>
    <w:p w14:paraId="4ECFADEE">
      <w:pPr>
        <w:spacing w:line="400" w:lineRule="exact"/>
        <w:ind w:firstLine="480"/>
        <w:rPr>
          <w:rFonts w:ascii="宋体" w:hAnsi="宋体" w:cs="宋体"/>
          <w:bCs/>
          <w:color w:val="auto"/>
          <w:szCs w:val="21"/>
          <w:highlight w:val="none"/>
        </w:rPr>
      </w:pPr>
    </w:p>
    <w:p w14:paraId="105060C0">
      <w:pPr>
        <w:spacing w:line="400" w:lineRule="exact"/>
        <w:ind w:firstLine="480"/>
        <w:rPr>
          <w:rFonts w:ascii="宋体" w:hAnsi="宋体" w:cs="宋体"/>
          <w:bCs/>
          <w:color w:val="auto"/>
          <w:szCs w:val="21"/>
          <w:highlight w:val="none"/>
        </w:rPr>
      </w:pPr>
    </w:p>
    <w:p w14:paraId="769C5EB1">
      <w:pPr>
        <w:spacing w:line="400" w:lineRule="exact"/>
        <w:ind w:firstLine="480"/>
        <w:rPr>
          <w:rFonts w:ascii="宋体" w:hAnsi="宋体" w:cs="宋体"/>
          <w:bCs/>
          <w:color w:val="auto"/>
          <w:szCs w:val="21"/>
          <w:highlight w:val="none"/>
        </w:rPr>
      </w:pPr>
    </w:p>
    <w:p w14:paraId="6F0687C3">
      <w:pPr>
        <w:spacing w:line="400" w:lineRule="exact"/>
        <w:ind w:firstLine="480"/>
        <w:rPr>
          <w:rFonts w:ascii="宋体" w:hAnsi="宋体" w:cs="宋体"/>
          <w:bCs/>
          <w:color w:val="auto"/>
          <w:szCs w:val="21"/>
          <w:highlight w:val="none"/>
        </w:rPr>
      </w:pPr>
    </w:p>
    <w:p w14:paraId="67E9AE4D">
      <w:pPr>
        <w:pStyle w:val="18"/>
        <w:rPr>
          <w:bCs/>
          <w:color w:val="auto"/>
          <w:highlight w:val="none"/>
        </w:rPr>
      </w:pPr>
    </w:p>
    <w:p w14:paraId="0AD09F83">
      <w:pPr>
        <w:pStyle w:val="18"/>
        <w:rPr>
          <w:bCs/>
          <w:color w:val="auto"/>
          <w:highlight w:val="none"/>
        </w:rPr>
      </w:pPr>
    </w:p>
    <w:bookmarkEnd w:id="2"/>
    <w:bookmarkEnd w:id="3"/>
    <w:p w14:paraId="00840869">
      <w:pPr>
        <w:numPr>
          <w:ilvl w:val="0"/>
          <w:numId w:val="4"/>
        </w:numPr>
        <w:spacing w:line="360" w:lineRule="exact"/>
        <w:ind w:left="1077" w:hanging="1077" w:firstLineChars="0"/>
        <w:jc w:val="center"/>
        <w:outlineLvl w:val="1"/>
        <w:rPr>
          <w:rFonts w:ascii="宋体" w:hAnsi="宋体" w:cs="宋体"/>
          <w:b/>
          <w:color w:val="auto"/>
          <w:kern w:val="0"/>
          <w:sz w:val="32"/>
          <w:szCs w:val="32"/>
          <w:highlight w:val="none"/>
        </w:rPr>
      </w:pPr>
      <w:bookmarkStart w:id="36" w:name="_Toc82016586"/>
      <w:r>
        <w:rPr>
          <w:rFonts w:hint="eastAsia" w:ascii="宋体" w:hAnsi="宋体" w:cs="宋体"/>
          <w:b/>
          <w:color w:val="auto"/>
          <w:kern w:val="0"/>
          <w:sz w:val="32"/>
          <w:szCs w:val="32"/>
          <w:highlight w:val="none"/>
        </w:rPr>
        <w:t>供应商须知</w:t>
      </w:r>
      <w:bookmarkEnd w:id="36"/>
    </w:p>
    <w:p w14:paraId="644350E0">
      <w:pPr>
        <w:tabs>
          <w:tab w:val="left" w:pos="1065"/>
          <w:tab w:val="center" w:pos="4411"/>
        </w:tabs>
        <w:spacing w:line="360" w:lineRule="exact"/>
        <w:ind w:left="0" w:lef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供 应 商 须 知 前 附 表</w:t>
      </w:r>
    </w:p>
    <w:tbl>
      <w:tblPr>
        <w:tblStyle w:val="45"/>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816"/>
        <w:gridCol w:w="1446"/>
        <w:gridCol w:w="6588"/>
      </w:tblGrid>
      <w:tr w14:paraId="15CA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5828C14">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816" w:type="dxa"/>
            <w:vAlign w:val="center"/>
          </w:tcPr>
          <w:p w14:paraId="7C448D04">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条款号</w:t>
            </w:r>
          </w:p>
        </w:tc>
        <w:tc>
          <w:tcPr>
            <w:tcW w:w="1446" w:type="dxa"/>
            <w:vAlign w:val="center"/>
          </w:tcPr>
          <w:p w14:paraId="6CE2C3AB">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条款名称</w:t>
            </w:r>
          </w:p>
        </w:tc>
        <w:tc>
          <w:tcPr>
            <w:tcW w:w="6588" w:type="dxa"/>
            <w:vAlign w:val="center"/>
          </w:tcPr>
          <w:p w14:paraId="527962A4">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内容、要求</w:t>
            </w:r>
          </w:p>
        </w:tc>
      </w:tr>
      <w:tr w14:paraId="58DF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6513A18">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16" w:type="dxa"/>
            <w:vAlign w:val="center"/>
          </w:tcPr>
          <w:p w14:paraId="752E5A25">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1446" w:type="dxa"/>
            <w:vAlign w:val="center"/>
          </w:tcPr>
          <w:p w14:paraId="0E453CD3">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项目名称及项目编号</w:t>
            </w:r>
          </w:p>
        </w:tc>
        <w:tc>
          <w:tcPr>
            <w:tcW w:w="6588" w:type="dxa"/>
            <w:vAlign w:val="center"/>
          </w:tcPr>
          <w:p w14:paraId="113B160A">
            <w:pPr>
              <w:spacing w:line="38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项目名称：</w:t>
            </w:r>
            <w:r>
              <w:rPr>
                <w:rFonts w:hint="eastAsia" w:ascii="宋体" w:hAnsi="宋体" w:cs="宋体"/>
                <w:color w:val="auto"/>
                <w:sz w:val="21"/>
                <w:szCs w:val="24"/>
                <w:highlight w:val="none"/>
              </w:rPr>
              <w:t>2026年桂林市生态环境局10个小型水站、3个水质自动监测站及2个环境空气自动监测站运行维护服务采购</w:t>
            </w:r>
          </w:p>
          <w:p w14:paraId="22C937A1">
            <w:pPr>
              <w:spacing w:line="380" w:lineRule="exact"/>
              <w:ind w:firstLine="0" w:firstLineChars="0"/>
              <w:jc w:val="left"/>
              <w:rPr>
                <w:rFonts w:ascii="宋体" w:hAnsi="宋体" w:cs="宋体"/>
                <w:color w:val="auto"/>
                <w:sz w:val="21"/>
                <w:szCs w:val="21"/>
                <w:highlight w:val="none"/>
              </w:rPr>
            </w:pPr>
            <w:r>
              <w:rPr>
                <w:rFonts w:hint="eastAsia" w:ascii="宋体" w:hAnsi="宋体" w:cs="宋体"/>
                <w:color w:val="auto"/>
                <w:kern w:val="0"/>
                <w:sz w:val="21"/>
                <w:szCs w:val="21"/>
                <w:highlight w:val="none"/>
              </w:rPr>
              <w:t>项目编号：</w:t>
            </w:r>
            <w:r>
              <w:rPr>
                <w:rFonts w:hint="eastAsia" w:ascii="宋体" w:hAnsi="宋体" w:cs="宋体"/>
                <w:color w:val="auto"/>
                <w:sz w:val="21"/>
                <w:szCs w:val="21"/>
                <w:highlight w:val="none"/>
              </w:rPr>
              <w:t>GLZC2026-C3-990077-YZLZ</w:t>
            </w:r>
          </w:p>
          <w:p w14:paraId="1C67E598">
            <w:pPr>
              <w:spacing w:line="380" w:lineRule="exact"/>
              <w:ind w:firstLine="0" w:firstLineChars="0"/>
              <w:jc w:val="left"/>
              <w:rPr>
                <w:rFonts w:ascii="宋体" w:hAnsi="宋体" w:cs="宋体"/>
                <w:color w:val="auto"/>
                <w:kern w:val="0"/>
                <w:sz w:val="21"/>
                <w:szCs w:val="24"/>
                <w:highlight w:val="none"/>
              </w:rPr>
            </w:pPr>
            <w:r>
              <w:rPr>
                <w:rFonts w:hint="eastAsia" w:ascii="宋体" w:hAnsi="宋体" w:cs="宋体"/>
                <w:color w:val="auto"/>
                <w:sz w:val="21"/>
                <w:szCs w:val="21"/>
                <w:highlight w:val="none"/>
              </w:rPr>
              <w:t>代理编号：YZLGL2026-C3-010-GLZC</w:t>
            </w:r>
          </w:p>
        </w:tc>
      </w:tr>
      <w:tr w14:paraId="7C6A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1B7C52CA">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816" w:type="dxa"/>
            <w:vAlign w:val="center"/>
          </w:tcPr>
          <w:p w14:paraId="0B80DBAA">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446" w:type="dxa"/>
            <w:vAlign w:val="center"/>
          </w:tcPr>
          <w:p w14:paraId="6977B8C9">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供应商资格</w:t>
            </w:r>
          </w:p>
        </w:tc>
        <w:tc>
          <w:tcPr>
            <w:tcW w:w="6588" w:type="dxa"/>
            <w:vAlign w:val="center"/>
          </w:tcPr>
          <w:p w14:paraId="30F8E16B">
            <w:pPr>
              <w:spacing w:line="38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3.1满足《中华人民共和国政府采购法》第二十二条规定。</w:t>
            </w:r>
          </w:p>
          <w:p w14:paraId="56EC9D03">
            <w:pPr>
              <w:spacing w:line="38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3.2落实政府采购政策需满足的资格要求：本项目专门面向中小企业采购，供应商须满足《政府采购促进中小企业发展管理办法》（财库〔2020〕46号）第二条规定。</w:t>
            </w:r>
            <w:r>
              <w:rPr>
                <w:rFonts w:hint="eastAsia" w:ascii="宋体" w:hAnsi="宋体" w:cs="宋体"/>
                <w:color w:val="auto"/>
                <w:kern w:val="0"/>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p>
          <w:p w14:paraId="4E505F72">
            <w:pPr>
              <w:spacing w:line="380" w:lineRule="exact"/>
              <w:ind w:firstLine="0" w:firstLineChars="0"/>
              <w:rPr>
                <w:rFonts w:ascii="宋体" w:hAnsi="宋体"/>
                <w:color w:val="auto"/>
                <w:spacing w:val="1"/>
                <w:kern w:val="0"/>
                <w:highlight w:val="none"/>
              </w:rPr>
            </w:pPr>
            <w:r>
              <w:rPr>
                <w:rFonts w:hint="eastAsia" w:ascii="宋体" w:hAnsi="宋体" w:cs="宋体"/>
                <w:color w:val="auto"/>
                <w:sz w:val="21"/>
                <w:szCs w:val="21"/>
                <w:highlight w:val="none"/>
              </w:rPr>
              <w:t>3.3本项目的特定资格要求：无。</w:t>
            </w:r>
          </w:p>
        </w:tc>
      </w:tr>
      <w:tr w14:paraId="3EE5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19D942DC">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816" w:type="dxa"/>
            <w:vAlign w:val="center"/>
          </w:tcPr>
          <w:p w14:paraId="3EE6A300">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446" w:type="dxa"/>
            <w:vAlign w:val="center"/>
          </w:tcPr>
          <w:p w14:paraId="31080FDE">
            <w:pPr>
              <w:spacing w:line="380" w:lineRule="exact"/>
              <w:ind w:firstLine="0" w:firstLineChars="0"/>
              <w:jc w:val="center"/>
              <w:rPr>
                <w:rFonts w:ascii="宋体" w:hAnsi="宋体" w:cs="宋体"/>
                <w:b/>
                <w:color w:val="auto"/>
                <w:kern w:val="0"/>
                <w:sz w:val="21"/>
                <w:szCs w:val="21"/>
                <w:highlight w:val="none"/>
              </w:rPr>
            </w:pPr>
            <w:r>
              <w:rPr>
                <w:rFonts w:hint="eastAsia" w:ascii="宋体" w:hAnsi="宋体" w:cs="宋体"/>
                <w:color w:val="auto"/>
                <w:kern w:val="0"/>
                <w:sz w:val="21"/>
                <w:szCs w:val="21"/>
                <w:highlight w:val="none"/>
              </w:rPr>
              <w:t>参与电子竞标的准备工作</w:t>
            </w:r>
          </w:p>
        </w:tc>
        <w:tc>
          <w:tcPr>
            <w:tcW w:w="6588" w:type="dxa"/>
            <w:vAlign w:val="center"/>
          </w:tcPr>
          <w:p w14:paraId="1D557B76">
            <w:pPr>
              <w:spacing w:line="380" w:lineRule="exact"/>
              <w:ind w:firstLine="0" w:firstLineChars="0"/>
              <w:rPr>
                <w:rFonts w:ascii="宋体" w:hAnsi="宋体" w:cs="宋体"/>
                <w:bCs/>
                <w:color w:val="auto"/>
                <w:sz w:val="21"/>
                <w:szCs w:val="21"/>
                <w:highlight w:val="none"/>
              </w:rPr>
            </w:pPr>
            <w:r>
              <w:rPr>
                <w:rFonts w:hint="eastAsia" w:ascii="宋体" w:hAnsi="宋体" w:cs="宋体"/>
                <w:bCs/>
                <w:color w:val="auto"/>
                <w:sz w:val="21"/>
                <w:szCs w:val="21"/>
                <w:highlight w:val="none"/>
              </w:rPr>
              <w:t>4.1本项目实行全流程电子化采购，供应商通过</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参与电子竞标，并应做好以下相关准备工作：①在</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进行电子签章或电子签名；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电子投标客户端”）并安装成功。供应商应当在响应文件提交截止时间前在</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完成身份认证，确保能够对相关数据电文进行加密和使用电子签章；④自备计算机和网络设备并确保能接入互联网（费用由供应商自行承担，设备应确保可进行视频通话和读取</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CA证书）。因供应商未做好相关准备工作等自身原因导致无法参加本项目电子竞标或竞标失败的，造成的一切后果，由供应商自行承担。</w:t>
            </w:r>
          </w:p>
          <w:p w14:paraId="736E201A">
            <w:pPr>
              <w:spacing w:line="380" w:lineRule="exact"/>
              <w:ind w:firstLine="0" w:firstLineChars="0"/>
              <w:rPr>
                <w:rFonts w:ascii="宋体" w:hAnsi="宋体" w:cs="宋体"/>
                <w:bCs/>
                <w:color w:val="auto"/>
                <w:sz w:val="21"/>
                <w:szCs w:val="21"/>
                <w:highlight w:val="none"/>
              </w:rPr>
            </w:pPr>
            <w:r>
              <w:rPr>
                <w:rFonts w:hint="eastAsia" w:ascii="宋体" w:hAnsi="宋体" w:cs="宋体"/>
                <w:bCs/>
                <w:color w:val="auto"/>
                <w:sz w:val="21"/>
                <w:szCs w:val="21"/>
                <w:highlight w:val="none"/>
              </w:rPr>
              <w:t>4.2电子竞标具体操作流程参考《政府采购项目电子交易管理操作指南－供应商》（详见桂林市政府采购网—采购资讯—重要通知）；如遇平台技术问题详询0771-3381253、95763。</w:t>
            </w:r>
          </w:p>
          <w:p w14:paraId="62D27529">
            <w:pPr>
              <w:spacing w:line="38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4.3不论磋商结果如何，供应商均应自行承担所有与磋商有关的全部费用。 </w:t>
            </w:r>
          </w:p>
        </w:tc>
      </w:tr>
      <w:tr w14:paraId="49EA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A24EA23">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816" w:type="dxa"/>
            <w:vAlign w:val="center"/>
          </w:tcPr>
          <w:p w14:paraId="45370520">
            <w:pPr>
              <w:spacing w:line="380" w:lineRule="exact"/>
              <w:ind w:firstLine="0" w:firstLineChars="0"/>
              <w:jc w:val="center"/>
              <w:rPr>
                <w:rFonts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13</w:t>
            </w:r>
          </w:p>
        </w:tc>
        <w:tc>
          <w:tcPr>
            <w:tcW w:w="1446" w:type="dxa"/>
            <w:vAlign w:val="center"/>
          </w:tcPr>
          <w:p w14:paraId="6ACC703E">
            <w:pPr>
              <w:spacing w:line="380" w:lineRule="exact"/>
              <w:ind w:firstLine="0" w:firstLineChars="0"/>
              <w:jc w:val="center"/>
              <w:rPr>
                <w:rFonts w:ascii="宋体" w:hAnsi="宋体" w:cs="宋体"/>
                <w:color w:val="auto"/>
                <w:kern w:val="0"/>
                <w:position w:val="-2"/>
                <w:sz w:val="21"/>
                <w:szCs w:val="21"/>
                <w:highlight w:val="none"/>
              </w:rPr>
            </w:pPr>
            <w:r>
              <w:rPr>
                <w:rFonts w:hint="eastAsia" w:ascii="宋体" w:hAnsi="宋体" w:cs="宋体"/>
                <w:color w:val="auto"/>
                <w:kern w:val="0"/>
                <w:sz w:val="21"/>
                <w:szCs w:val="21"/>
                <w:highlight w:val="none"/>
              </w:rPr>
              <w:t>磋商报价及采购预算金额</w:t>
            </w:r>
          </w:p>
        </w:tc>
        <w:tc>
          <w:tcPr>
            <w:tcW w:w="6588" w:type="dxa"/>
            <w:vAlign w:val="center"/>
          </w:tcPr>
          <w:p w14:paraId="3FFAEFA3">
            <w:pPr>
              <w:tabs>
                <w:tab w:val="left" w:pos="1305"/>
              </w:tabs>
              <w:spacing w:line="38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13.1供应商必须就“采购需求”中所竞分标的所有内容作完整唯一报价，响应文件只允许有一个报价方案，有选择的或有条件的报价将不予接受。</w:t>
            </w:r>
          </w:p>
          <w:p w14:paraId="18C81676">
            <w:pPr>
              <w:tabs>
                <w:tab w:val="left" w:pos="1305"/>
              </w:tabs>
              <w:spacing w:line="38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13.2采购预算金额（人民币）：分标1预算人民币陆拾贰万元整（¥620000.00）；分标2预算人民币伍拾贰万元整（¥520000.00）；分标3预算人民币贰拾柒万元整（¥270000.00），供应商所竞分标报价超过相应分标采购预算金额的，响应文件按分标作无效处理。</w:t>
            </w:r>
          </w:p>
          <w:p w14:paraId="4F1262F7">
            <w:pPr>
              <w:tabs>
                <w:tab w:val="left" w:pos="1305"/>
              </w:tabs>
              <w:spacing w:line="38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13.3磋商报价</w:t>
            </w:r>
          </w:p>
          <w:p w14:paraId="0F6B7D1E">
            <w:pPr>
              <w:tabs>
                <w:tab w:val="left" w:pos="1305"/>
              </w:tabs>
              <w:spacing w:line="38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分标1</w:t>
            </w:r>
            <w:r>
              <w:rPr>
                <w:rFonts w:hint="eastAsia" w:ascii="宋体" w:hAnsi="宋体" w:cs="宋体"/>
                <w:color w:val="auto"/>
                <w:sz w:val="21"/>
                <w:szCs w:val="21"/>
                <w:highlight w:val="none"/>
              </w:rPr>
              <w:t>磋商报价应包括本次采购范围内运维服务的价款、完成本项目服务的相关费用（包含技术服务费、耗材、拟投入本项目的设备（备机）、人员成本、劳务费、资料收集、研究、指导、交通、通讯、差旅费、管理费、利润、税费、验收以及合同明示或暗示的所有责任、义务、风险及运营期间所需水、电、通讯所需费用）、运维期间租赁费等费用总和，供应商综合考虑在报价中。该价格不因供应商在计算报价中的失误、漏项、多项而作任何调整；供应商的报价在合同实施期间应保持不变</w:t>
            </w:r>
            <w:r>
              <w:rPr>
                <w:rFonts w:hint="eastAsia" w:ascii="宋体" w:hAnsi="宋体" w:cs="宋体"/>
                <w:color w:val="auto"/>
                <w:kern w:val="0"/>
                <w:sz w:val="21"/>
                <w:szCs w:val="21"/>
                <w:highlight w:val="none"/>
              </w:rPr>
              <w:t>。</w:t>
            </w:r>
          </w:p>
          <w:p w14:paraId="29ABA424">
            <w:pPr>
              <w:tabs>
                <w:tab w:val="left" w:pos="1305"/>
              </w:tabs>
              <w:spacing w:line="380" w:lineRule="exact"/>
              <w:ind w:firstLine="0" w:firstLineChars="0"/>
              <w:rPr>
                <w:rFonts w:ascii="宋体" w:hAnsi="宋体" w:cs="宋体"/>
                <w:color w:val="auto"/>
                <w:sz w:val="21"/>
                <w:szCs w:val="21"/>
                <w:highlight w:val="none"/>
              </w:rPr>
            </w:pPr>
            <w:r>
              <w:rPr>
                <w:rFonts w:hint="eastAsia" w:ascii="宋体" w:hAnsi="宋体" w:cs="宋体"/>
                <w:color w:val="auto"/>
                <w:kern w:val="0"/>
                <w:sz w:val="21"/>
                <w:szCs w:val="21"/>
                <w:highlight w:val="none"/>
              </w:rPr>
              <w:t>分标2：</w:t>
            </w:r>
            <w:r>
              <w:rPr>
                <w:rFonts w:hint="eastAsia" w:ascii="宋体" w:hAnsi="宋体" w:cs="宋体"/>
                <w:color w:val="auto"/>
                <w:sz w:val="21"/>
                <w:szCs w:val="21"/>
                <w:highlight w:val="none"/>
              </w:rPr>
              <w:t>磋商报价应包括本次采购范围内的服务价款、各种人力成本、拟投入设备成本、设备维修维护、零配件试剂更换、软件维护、仪器质量控制、站房维护、辅助仪器检定、防雷检测费、消防设备、水电费、交通运输费、专用工具、交通费、法定税费、不可预见费、合理利润及其它成本费等的各项费用的总和。供应商综合考虑在报价中，采购人不再支付任何费用。</w:t>
            </w:r>
          </w:p>
          <w:p w14:paraId="38C4D46B">
            <w:pPr>
              <w:tabs>
                <w:tab w:val="left" w:pos="1305"/>
              </w:tabs>
              <w:spacing w:line="38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分标3：磋商报价应包括本次采购范围内运维服务的价款、完成本项目服务的相关费用（包含技术服务费、耗材、拟投入本项目的设备（备机）、人员成本、劳务费、资料收集、研究、指导、交通、通讯、差旅费、管理费、利润、税费、验收以及合同明示或暗示的所有责任、义务、风险及运营期间所需水、电、通讯所需费用）等费用总和，供应商综合考虑在报价中。该价格不因供应商在计算报价中的失误、漏项、多项而作任何调整；供应商的报价在合同实施期间应保持不变。</w:t>
            </w:r>
          </w:p>
          <w:p w14:paraId="7215D074">
            <w:pPr>
              <w:spacing w:line="380" w:lineRule="exact"/>
              <w:ind w:firstLine="0" w:firstLineChars="0"/>
              <w:rPr>
                <w:rFonts w:ascii="宋体" w:hAnsi="宋体" w:cs="宋体"/>
                <w:b/>
                <w:color w:val="auto"/>
                <w:kern w:val="0"/>
                <w:sz w:val="21"/>
                <w:szCs w:val="21"/>
                <w:highlight w:val="none"/>
              </w:rPr>
            </w:pPr>
            <w:r>
              <w:rPr>
                <w:rFonts w:hint="eastAsia" w:ascii="宋体" w:hAnsi="宋体" w:cs="宋体"/>
                <w:color w:val="auto"/>
                <w:kern w:val="0"/>
                <w:sz w:val="21"/>
                <w:szCs w:val="21"/>
                <w:highlight w:val="none"/>
              </w:rPr>
              <w:t>13.4</w:t>
            </w:r>
            <w:r>
              <w:rPr>
                <w:rFonts w:hint="eastAsia" w:ascii="宋体" w:hAnsi="宋体"/>
                <w:color w:val="auto"/>
                <w:kern w:val="0"/>
                <w:sz w:val="21"/>
                <w:szCs w:val="21"/>
                <w:highlight w:val="none"/>
              </w:rPr>
              <w:t>未书面退出磋商的供应商必须在规定时间内登录</w:t>
            </w:r>
            <w:r>
              <w:rPr>
                <w:rFonts w:hint="eastAsia" w:ascii="宋体" w:hAnsi="宋体" w:cs="宋体"/>
                <w:color w:val="auto"/>
                <w:sz w:val="21"/>
                <w:szCs w:val="24"/>
                <w:highlight w:val="none"/>
              </w:rPr>
              <w:t>广西政府采购云平台</w:t>
            </w:r>
            <w:r>
              <w:rPr>
                <w:rFonts w:hint="eastAsia" w:ascii="宋体" w:hAnsi="宋体"/>
                <w:color w:val="auto"/>
                <w:kern w:val="0"/>
                <w:sz w:val="21"/>
                <w:szCs w:val="21"/>
                <w:highlight w:val="none"/>
              </w:rPr>
              <w:t>在线提交最后报价，其最后报价不得超出采购预算；磋商过程中磋商文件未做实质性变动的，</w:t>
            </w:r>
            <w:r>
              <w:rPr>
                <w:rFonts w:hint="eastAsia" w:ascii="宋体" w:hAnsi="宋体"/>
                <w:b/>
                <w:color w:val="auto"/>
                <w:kern w:val="0"/>
                <w:sz w:val="21"/>
                <w:szCs w:val="21"/>
                <w:highlight w:val="none"/>
              </w:rPr>
              <w:t>最后报价不得超过首次报价</w:t>
            </w:r>
            <w:r>
              <w:rPr>
                <w:rFonts w:hint="eastAsia" w:ascii="宋体" w:hAnsi="宋体" w:cs="宋体"/>
                <w:b/>
                <w:color w:val="auto"/>
                <w:kern w:val="0"/>
                <w:sz w:val="21"/>
                <w:szCs w:val="21"/>
                <w:highlight w:val="none"/>
              </w:rPr>
              <w:t xml:space="preserve">。 </w:t>
            </w:r>
          </w:p>
        </w:tc>
      </w:tr>
      <w:tr w14:paraId="3B86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54743652">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816" w:type="dxa"/>
            <w:vAlign w:val="center"/>
          </w:tcPr>
          <w:p w14:paraId="0954C0CF">
            <w:pPr>
              <w:spacing w:line="380" w:lineRule="exact"/>
              <w:ind w:firstLine="0" w:firstLineChars="0"/>
              <w:jc w:val="center"/>
              <w:rPr>
                <w:rFonts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14</w:t>
            </w:r>
          </w:p>
        </w:tc>
        <w:tc>
          <w:tcPr>
            <w:tcW w:w="1446" w:type="dxa"/>
            <w:vAlign w:val="center"/>
          </w:tcPr>
          <w:p w14:paraId="13757096">
            <w:pPr>
              <w:spacing w:line="380" w:lineRule="exact"/>
              <w:ind w:firstLine="0" w:firstLineChars="0"/>
              <w:jc w:val="center"/>
              <w:rPr>
                <w:rFonts w:ascii="宋体" w:hAnsi="宋体" w:cs="宋体"/>
                <w:color w:val="auto"/>
                <w:kern w:val="0"/>
                <w:position w:val="-2"/>
                <w:sz w:val="21"/>
                <w:szCs w:val="21"/>
                <w:highlight w:val="none"/>
              </w:rPr>
            </w:pPr>
            <w:r>
              <w:rPr>
                <w:rFonts w:hint="eastAsia" w:ascii="宋体" w:hAnsi="宋体" w:cs="宋体"/>
                <w:color w:val="auto"/>
                <w:kern w:val="0"/>
                <w:sz w:val="21"/>
                <w:szCs w:val="21"/>
                <w:highlight w:val="none"/>
              </w:rPr>
              <w:t>响应文件有效期</w:t>
            </w:r>
          </w:p>
        </w:tc>
        <w:tc>
          <w:tcPr>
            <w:tcW w:w="6588" w:type="dxa"/>
            <w:vAlign w:val="center"/>
          </w:tcPr>
          <w:p w14:paraId="1B6CE47D">
            <w:pPr>
              <w:tabs>
                <w:tab w:val="left" w:pos="1305"/>
              </w:tabs>
              <w:spacing w:line="38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自响应文件提交截止时间之日起90天，有效期不足的响应文件将被拒绝。 </w:t>
            </w:r>
          </w:p>
        </w:tc>
      </w:tr>
      <w:tr w14:paraId="58AF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2C24E915">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816" w:type="dxa"/>
            <w:vAlign w:val="center"/>
          </w:tcPr>
          <w:p w14:paraId="1F0E9316">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1446" w:type="dxa"/>
            <w:vAlign w:val="center"/>
          </w:tcPr>
          <w:p w14:paraId="0D2D7F46">
            <w:pPr>
              <w:spacing w:line="380" w:lineRule="exact"/>
              <w:ind w:firstLine="0" w:firstLineChars="0"/>
              <w:jc w:val="center"/>
              <w:rPr>
                <w:rFonts w:ascii="宋体" w:hAnsi="宋体" w:cs="宋体"/>
                <w:bCs/>
                <w:color w:val="auto"/>
                <w:sz w:val="21"/>
                <w:szCs w:val="21"/>
                <w:highlight w:val="none"/>
              </w:rPr>
            </w:pPr>
            <w:r>
              <w:rPr>
                <w:rFonts w:hint="eastAsia" w:ascii="宋体" w:hAnsi="宋体" w:cs="宋体"/>
                <w:color w:val="auto"/>
                <w:kern w:val="0"/>
                <w:sz w:val="21"/>
                <w:szCs w:val="21"/>
                <w:highlight w:val="none"/>
              </w:rPr>
              <w:t>电子响应文件的制作、加密</w:t>
            </w:r>
          </w:p>
        </w:tc>
        <w:tc>
          <w:tcPr>
            <w:tcW w:w="6588" w:type="dxa"/>
            <w:vAlign w:val="center"/>
          </w:tcPr>
          <w:p w14:paraId="25785076">
            <w:pPr>
              <w:spacing w:line="380" w:lineRule="exact"/>
              <w:ind w:firstLine="0" w:firstLineChars="0"/>
              <w:jc w:val="left"/>
              <w:rPr>
                <w:rFonts w:ascii="宋体" w:hAnsi="宋体" w:cs="宋体"/>
                <w:bCs/>
                <w:color w:val="auto"/>
                <w:sz w:val="21"/>
                <w:szCs w:val="21"/>
                <w:highlight w:val="none"/>
              </w:rPr>
            </w:pPr>
            <w:r>
              <w:rPr>
                <w:rFonts w:hint="eastAsia" w:ascii="宋体" w:hAnsi="宋体" w:cs="宋体"/>
                <w:color w:val="auto"/>
                <w:kern w:val="0"/>
                <w:sz w:val="21"/>
                <w:szCs w:val="21"/>
                <w:highlight w:val="none"/>
              </w:rPr>
              <w:t>15.1</w:t>
            </w:r>
            <w:r>
              <w:rPr>
                <w:rFonts w:hint="eastAsia" w:ascii="宋体" w:hAnsi="宋体" w:cs="宋体"/>
                <w:bCs/>
                <w:color w:val="auto"/>
                <w:sz w:val="21"/>
                <w:szCs w:val="21"/>
                <w:highlight w:val="none"/>
              </w:rPr>
              <w:t>供应商制作电子响应文件前，应登录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进行“申请获取采购文件”操作，否则，将导致无法在线编制响应文件并参与竞标，其不利后果由供应商自行承担。</w:t>
            </w:r>
          </w:p>
          <w:p w14:paraId="13B382E8">
            <w:pPr>
              <w:spacing w:line="380" w:lineRule="exact"/>
              <w:ind w:firstLine="0" w:firstLineChars="0"/>
              <w:jc w:val="left"/>
              <w:rPr>
                <w:rFonts w:ascii="宋体" w:hAnsi="宋体" w:cs="宋体"/>
                <w:bCs/>
                <w:color w:val="auto"/>
                <w:sz w:val="21"/>
                <w:szCs w:val="21"/>
                <w:highlight w:val="none"/>
              </w:rPr>
            </w:pPr>
            <w:r>
              <w:rPr>
                <w:rFonts w:hint="eastAsia" w:ascii="宋体" w:hAnsi="宋体" w:cs="宋体"/>
                <w:bCs/>
                <w:color w:val="auto"/>
                <w:sz w:val="21"/>
                <w:szCs w:val="21"/>
                <w:highlight w:val="none"/>
              </w:rPr>
              <w:t>15.2供应商下载或获取竞争性磋商文件后，登录“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电子投标客户端”，按照本磋商文件</w:t>
            </w:r>
            <w:r>
              <w:rPr>
                <w:rFonts w:hint="eastAsia" w:ascii="宋体" w:hAnsi="宋体" w:cs="宋体"/>
                <w:color w:val="auto"/>
                <w:sz w:val="21"/>
                <w:szCs w:val="21"/>
                <w:highlight w:val="none"/>
              </w:rPr>
              <w:t>规定的响应文件格式、顺序</w:t>
            </w:r>
            <w:r>
              <w:rPr>
                <w:rFonts w:hint="eastAsia" w:ascii="宋体" w:hAnsi="宋体" w:cs="宋体"/>
                <w:bCs/>
                <w:color w:val="auto"/>
                <w:sz w:val="21"/>
                <w:szCs w:val="21"/>
                <w:highlight w:val="none"/>
              </w:rPr>
              <w:t>以及</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的要求，通过“</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电子投标客户端”编制电子响应文件。</w:t>
            </w:r>
          </w:p>
          <w:p w14:paraId="68B1AF0F">
            <w:pPr>
              <w:spacing w:line="38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15.3</w:t>
            </w:r>
            <w:r>
              <w:rPr>
                <w:rFonts w:hint="eastAsia"/>
                <w:color w:val="auto"/>
                <w:sz w:val="21"/>
                <w:szCs w:val="24"/>
                <w:highlight w:val="none"/>
              </w:rPr>
              <w:t>供应商</w:t>
            </w:r>
            <w:r>
              <w:rPr>
                <w:color w:val="auto"/>
                <w:sz w:val="21"/>
                <w:szCs w:val="24"/>
                <w:highlight w:val="none"/>
              </w:rPr>
              <w:t>应按“</w:t>
            </w:r>
            <w:r>
              <w:rPr>
                <w:rFonts w:hint="eastAsia" w:ascii="宋体" w:hAnsi="宋体" w:cs="宋体"/>
                <w:color w:val="auto"/>
                <w:sz w:val="21"/>
                <w:szCs w:val="24"/>
                <w:highlight w:val="none"/>
              </w:rPr>
              <w:t>广西政府采购云平台</w:t>
            </w:r>
            <w:r>
              <w:rPr>
                <w:color w:val="auto"/>
                <w:sz w:val="21"/>
                <w:szCs w:val="24"/>
                <w:highlight w:val="none"/>
              </w:rPr>
              <w:t>电子投标客户端”载明的“标书关联”功能进行电子</w:t>
            </w:r>
            <w:r>
              <w:rPr>
                <w:rFonts w:hint="eastAsia"/>
                <w:color w:val="auto"/>
                <w:sz w:val="21"/>
                <w:szCs w:val="24"/>
                <w:highlight w:val="none"/>
              </w:rPr>
              <w:t>响应</w:t>
            </w:r>
            <w:r>
              <w:rPr>
                <w:color w:val="auto"/>
                <w:sz w:val="21"/>
                <w:szCs w:val="24"/>
                <w:highlight w:val="none"/>
              </w:rPr>
              <w:t>文件的关联定位，以便</w:t>
            </w:r>
            <w:r>
              <w:rPr>
                <w:rFonts w:hint="eastAsia"/>
                <w:color w:val="auto"/>
                <w:sz w:val="21"/>
                <w:szCs w:val="24"/>
                <w:highlight w:val="none"/>
              </w:rPr>
              <w:t>磋商小组</w:t>
            </w:r>
            <w:r>
              <w:rPr>
                <w:color w:val="auto"/>
                <w:sz w:val="21"/>
                <w:szCs w:val="24"/>
                <w:highlight w:val="none"/>
              </w:rPr>
              <w:t>在评审时点击相应评审项可直接定位到该评审内容；如</w:t>
            </w:r>
            <w:r>
              <w:rPr>
                <w:rFonts w:hint="eastAsia"/>
                <w:color w:val="auto"/>
                <w:sz w:val="21"/>
                <w:szCs w:val="24"/>
                <w:highlight w:val="none"/>
              </w:rPr>
              <w:t>供应商</w:t>
            </w:r>
            <w:r>
              <w:rPr>
                <w:color w:val="auto"/>
                <w:sz w:val="21"/>
                <w:szCs w:val="24"/>
                <w:highlight w:val="none"/>
              </w:rPr>
              <w:t>的电子</w:t>
            </w:r>
            <w:r>
              <w:rPr>
                <w:rFonts w:hint="eastAsia"/>
                <w:color w:val="auto"/>
                <w:sz w:val="21"/>
                <w:szCs w:val="24"/>
                <w:highlight w:val="none"/>
              </w:rPr>
              <w:t>响应</w:t>
            </w:r>
            <w:r>
              <w:rPr>
                <w:color w:val="auto"/>
                <w:sz w:val="21"/>
                <w:szCs w:val="24"/>
                <w:highlight w:val="none"/>
              </w:rPr>
              <w:t>文件未能关联定位相应内容，或者关联定位的内容与该评审项不符，导致</w:t>
            </w:r>
            <w:r>
              <w:rPr>
                <w:rFonts w:hint="eastAsia"/>
                <w:color w:val="auto"/>
                <w:sz w:val="21"/>
                <w:szCs w:val="24"/>
                <w:highlight w:val="none"/>
              </w:rPr>
              <w:t>磋商小组</w:t>
            </w:r>
            <w:r>
              <w:rPr>
                <w:color w:val="auto"/>
                <w:sz w:val="21"/>
                <w:szCs w:val="24"/>
                <w:highlight w:val="none"/>
              </w:rPr>
              <w:t>无法查询并做出对</w:t>
            </w:r>
            <w:r>
              <w:rPr>
                <w:rFonts w:hint="eastAsia"/>
                <w:color w:val="auto"/>
                <w:sz w:val="21"/>
                <w:szCs w:val="24"/>
                <w:highlight w:val="none"/>
              </w:rPr>
              <w:t>供应商</w:t>
            </w:r>
            <w:r>
              <w:rPr>
                <w:color w:val="auto"/>
                <w:sz w:val="21"/>
                <w:szCs w:val="24"/>
                <w:highlight w:val="none"/>
              </w:rPr>
              <w:t>不利的评审，相关后果由</w:t>
            </w:r>
            <w:r>
              <w:rPr>
                <w:rFonts w:hint="eastAsia"/>
                <w:color w:val="auto"/>
                <w:sz w:val="21"/>
                <w:szCs w:val="24"/>
                <w:highlight w:val="none"/>
              </w:rPr>
              <w:t>供应商</w:t>
            </w:r>
            <w:r>
              <w:rPr>
                <w:color w:val="auto"/>
                <w:sz w:val="21"/>
                <w:szCs w:val="24"/>
                <w:highlight w:val="none"/>
              </w:rPr>
              <w:t>自行承担。</w:t>
            </w:r>
          </w:p>
          <w:p w14:paraId="0395B5CF">
            <w:pPr>
              <w:spacing w:line="38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15.4电子响应文件不得涂改，若有修改错漏处，须由法定代表人或授权委托代理人签字（或电子签名）。因响应文件字迹潦草、表达不清、内容不完整、编排混乱导致响应文件被误读、漏读，或者在竞争性磋商文件规定的部位查找不到相关内容的，其不利后果由供应商自行承担。</w:t>
            </w:r>
          </w:p>
          <w:p w14:paraId="216C7422">
            <w:pPr>
              <w:spacing w:line="380" w:lineRule="exact"/>
              <w:ind w:firstLine="0" w:firstLineChars="0"/>
              <w:jc w:val="left"/>
              <w:rPr>
                <w:rFonts w:ascii="宋体" w:hAnsi="宋体" w:cs="宋体"/>
                <w:color w:val="auto"/>
                <w:kern w:val="0"/>
                <w:sz w:val="21"/>
                <w:szCs w:val="21"/>
                <w:highlight w:val="none"/>
              </w:rPr>
            </w:pPr>
            <w:r>
              <w:rPr>
                <w:rFonts w:hint="eastAsia" w:ascii="宋体" w:hAnsi="宋体" w:cs="宋体"/>
                <w:color w:val="auto"/>
                <w:sz w:val="21"/>
                <w:szCs w:val="21"/>
                <w:highlight w:val="none"/>
              </w:rPr>
              <w:t>15.5供应商编制、生成电子响应文件后应当</w:t>
            </w:r>
            <w:r>
              <w:rPr>
                <w:rFonts w:hint="eastAsia" w:ascii="宋体" w:hAnsi="宋体" w:cs="宋体"/>
                <w:bCs/>
                <w:color w:val="auto"/>
                <w:sz w:val="21"/>
                <w:szCs w:val="21"/>
                <w:highlight w:val="none"/>
              </w:rPr>
              <w:t>加密响应文件。供应商未按规定编制并加密的响应文件，</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将予以拒收。</w:t>
            </w:r>
          </w:p>
        </w:tc>
      </w:tr>
      <w:tr w14:paraId="3C79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728D32CB">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816" w:type="dxa"/>
            <w:vAlign w:val="center"/>
          </w:tcPr>
          <w:p w14:paraId="2DE294FA">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15.6</w:t>
            </w:r>
          </w:p>
        </w:tc>
        <w:tc>
          <w:tcPr>
            <w:tcW w:w="1446" w:type="dxa"/>
            <w:vAlign w:val="center"/>
          </w:tcPr>
          <w:p w14:paraId="6879FEC7">
            <w:pPr>
              <w:spacing w:line="38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供应商公章及签字</w:t>
            </w:r>
          </w:p>
        </w:tc>
        <w:tc>
          <w:tcPr>
            <w:tcW w:w="6588" w:type="dxa"/>
            <w:vAlign w:val="center"/>
          </w:tcPr>
          <w:p w14:paraId="2B300ED5">
            <w:pPr>
              <w:spacing w:line="380" w:lineRule="exact"/>
              <w:ind w:firstLine="0" w:firstLineChars="0"/>
              <w:jc w:val="left"/>
              <w:rPr>
                <w:rFonts w:ascii="宋体" w:hAnsi="宋体" w:cs="宋体"/>
                <w:color w:val="auto"/>
                <w:sz w:val="21"/>
                <w:szCs w:val="24"/>
                <w:highlight w:val="none"/>
              </w:rPr>
            </w:pPr>
            <w:r>
              <w:rPr>
                <w:rFonts w:hint="eastAsia" w:ascii="宋体" w:hAnsi="宋体" w:cs="宋体"/>
                <w:color w:val="auto"/>
                <w:sz w:val="21"/>
                <w:szCs w:val="24"/>
                <w:highlight w:val="none"/>
              </w:rPr>
              <w:t>15.6.1本竞争性磋商文件中描述供应商的“公章”是指根据我国对公章的管理规定，使用供应商法定主体行为名称制作的印章，除本竞争性磋商文件有特殊规定外，供应商的其他形式印章均不能代替公章。</w:t>
            </w:r>
          </w:p>
          <w:p w14:paraId="6DB5C27D">
            <w:pPr>
              <w:spacing w:line="380" w:lineRule="exact"/>
              <w:ind w:firstLine="0" w:firstLineChars="0"/>
              <w:jc w:val="left"/>
              <w:rPr>
                <w:rFonts w:ascii="宋体" w:hAnsi="宋体" w:cs="宋体"/>
                <w:color w:val="auto"/>
                <w:sz w:val="21"/>
                <w:szCs w:val="24"/>
                <w:highlight w:val="none"/>
              </w:rPr>
            </w:pPr>
            <w:r>
              <w:rPr>
                <w:rFonts w:hint="eastAsia" w:ascii="宋体" w:hAnsi="宋体" w:cs="宋体"/>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70F32FB1">
            <w:pPr>
              <w:spacing w:line="380" w:lineRule="exact"/>
              <w:ind w:firstLine="0" w:firstLineChars="0"/>
              <w:jc w:val="left"/>
              <w:rPr>
                <w:rFonts w:ascii="宋体" w:hAnsi="宋体" w:cs="宋体"/>
                <w:color w:val="auto"/>
                <w:sz w:val="21"/>
                <w:szCs w:val="24"/>
                <w:highlight w:val="none"/>
              </w:rPr>
            </w:pPr>
            <w:r>
              <w:rPr>
                <w:rFonts w:hint="eastAsia" w:ascii="宋体" w:hAnsi="宋体" w:cs="宋体"/>
                <w:color w:val="auto"/>
                <w:sz w:val="21"/>
                <w:szCs w:val="24"/>
                <w:highlight w:val="none"/>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r>
              <w:rPr>
                <w:rFonts w:hint="eastAsia" w:ascii="宋体" w:hAnsi="宋体" w:cs="宋体"/>
                <w:color w:val="auto"/>
                <w:sz w:val="21"/>
                <w:szCs w:val="21"/>
                <w:highlight w:val="none"/>
              </w:rPr>
              <w:t>。</w:t>
            </w:r>
          </w:p>
        </w:tc>
      </w:tr>
      <w:tr w14:paraId="6F6F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1CC6E0DC">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816" w:type="dxa"/>
            <w:vAlign w:val="center"/>
          </w:tcPr>
          <w:p w14:paraId="14AD0F86">
            <w:pPr>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16</w:t>
            </w:r>
          </w:p>
        </w:tc>
        <w:tc>
          <w:tcPr>
            <w:tcW w:w="1446" w:type="dxa"/>
            <w:vAlign w:val="center"/>
          </w:tcPr>
          <w:p w14:paraId="4E39329D">
            <w:pPr>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首次响应文件的提交、撤回、修改</w:t>
            </w:r>
          </w:p>
        </w:tc>
        <w:tc>
          <w:tcPr>
            <w:tcW w:w="6588" w:type="dxa"/>
            <w:vAlign w:val="center"/>
          </w:tcPr>
          <w:p w14:paraId="03578DF3">
            <w:pPr>
              <w:spacing w:line="360" w:lineRule="exact"/>
              <w:ind w:firstLine="0" w:firstLineChars="0"/>
              <w:rPr>
                <w:rFonts w:ascii="宋体" w:hAnsi="宋体" w:cs="宋体"/>
                <w:bCs/>
                <w:color w:val="auto"/>
                <w:sz w:val="21"/>
                <w:szCs w:val="21"/>
                <w:highlight w:val="none"/>
              </w:rPr>
            </w:pPr>
            <w:r>
              <w:rPr>
                <w:rFonts w:hint="eastAsia" w:ascii="宋体" w:hAnsi="宋体" w:cs="宋体"/>
                <w:color w:val="auto"/>
                <w:sz w:val="21"/>
                <w:szCs w:val="21"/>
                <w:highlight w:val="none"/>
              </w:rPr>
              <w:t>16.1响应文件的提交截止时间：</w:t>
            </w:r>
            <w:r>
              <w:rPr>
                <w:rFonts w:hint="eastAsia" w:ascii="宋体" w:hAnsi="宋体" w:cs="宋体"/>
                <w:color w:val="auto"/>
                <w:sz w:val="21"/>
                <w:szCs w:val="21"/>
                <w:highlight w:val="none"/>
                <w:u w:val="single"/>
              </w:rPr>
              <w:t>2026年</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u w:val="single"/>
              </w:rPr>
              <w:t>日</w:t>
            </w:r>
            <w:r>
              <w:rPr>
                <w:rFonts w:hint="eastAsia" w:ascii="宋体" w:hAnsi="宋体" w:cs="宋体"/>
                <w:color w:val="auto"/>
                <w:sz w:val="21"/>
                <w:szCs w:val="24"/>
                <w:highlight w:val="none"/>
                <w:u w:val="single"/>
              </w:rPr>
              <w:t>上午9时30分</w:t>
            </w:r>
            <w:r>
              <w:rPr>
                <w:rFonts w:hint="eastAsia" w:ascii="宋体" w:hAnsi="宋体" w:cs="宋体"/>
                <w:bCs/>
                <w:color w:val="auto"/>
                <w:sz w:val="21"/>
                <w:szCs w:val="21"/>
                <w:highlight w:val="none"/>
              </w:rPr>
              <w:t>（北京时间）</w:t>
            </w:r>
          </w:p>
          <w:p w14:paraId="50ED5FBE">
            <w:pPr>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16.2地点：通过</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在线提交。</w:t>
            </w:r>
          </w:p>
          <w:p w14:paraId="3D7EEC44">
            <w:pPr>
              <w:spacing w:line="360" w:lineRule="exact"/>
              <w:ind w:firstLine="0" w:firstLineChars="0"/>
              <w:rPr>
                <w:rFonts w:ascii="宋体" w:hAnsi="宋体" w:cs="宋体"/>
                <w:bCs/>
                <w:color w:val="auto"/>
                <w:sz w:val="21"/>
                <w:szCs w:val="21"/>
                <w:highlight w:val="none"/>
              </w:rPr>
            </w:pPr>
            <w:r>
              <w:rPr>
                <w:rFonts w:hint="eastAsia" w:ascii="宋体" w:hAnsi="宋体" w:cs="宋体"/>
                <w:bCs/>
                <w:color w:val="auto"/>
                <w:sz w:val="21"/>
                <w:szCs w:val="21"/>
                <w:highlight w:val="none"/>
              </w:rPr>
              <w:t>16.3供应商应当在响应文件提交截止时间前，将生成的电子响应文件上传提交至</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highlight w:val="none"/>
              </w:rPr>
              <w:t>在响应文件提交截止时间后的响应文件有效期内，供应商不得撤回其响应文件。</w:t>
            </w:r>
            <w:r>
              <w:rPr>
                <w:rFonts w:hint="eastAsia" w:ascii="宋体" w:hAnsi="宋体" w:cs="宋体"/>
                <w:bCs/>
                <w:color w:val="auto"/>
                <w:sz w:val="21"/>
                <w:szCs w:val="21"/>
                <w:highlight w:val="none"/>
              </w:rPr>
              <w:t>响应文件提交截止时间前未成功将电子响应文件上传</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的，视为未提交响应文件。</w:t>
            </w:r>
          </w:p>
          <w:p w14:paraId="493ACA4A">
            <w:pPr>
              <w:tabs>
                <w:tab w:val="left" w:pos="1305"/>
              </w:tabs>
              <w:spacing w:line="36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16.4除竞争性磋商文件另有规定外，供应商所提交的响应文件不予退还。</w:t>
            </w:r>
          </w:p>
        </w:tc>
      </w:tr>
      <w:tr w14:paraId="0B77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1C04BD8C">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816" w:type="dxa"/>
            <w:vAlign w:val="center"/>
          </w:tcPr>
          <w:p w14:paraId="7CE85E86">
            <w:pPr>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17</w:t>
            </w:r>
          </w:p>
        </w:tc>
        <w:tc>
          <w:tcPr>
            <w:tcW w:w="1446" w:type="dxa"/>
            <w:vAlign w:val="center"/>
          </w:tcPr>
          <w:p w14:paraId="797F437F">
            <w:pPr>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响应文件的解密</w:t>
            </w:r>
          </w:p>
        </w:tc>
        <w:tc>
          <w:tcPr>
            <w:tcW w:w="6588" w:type="dxa"/>
            <w:vAlign w:val="center"/>
          </w:tcPr>
          <w:p w14:paraId="224D530E">
            <w:pPr>
              <w:tabs>
                <w:tab w:val="left" w:pos="1305"/>
              </w:tabs>
              <w:spacing w:line="360" w:lineRule="exact"/>
              <w:ind w:firstLine="0" w:firstLineChars="0"/>
              <w:rPr>
                <w:rFonts w:ascii="宋体" w:hAnsi="宋体" w:cs="宋体"/>
                <w:color w:val="auto"/>
                <w:kern w:val="0"/>
                <w:sz w:val="21"/>
                <w:szCs w:val="21"/>
                <w:highlight w:val="none"/>
              </w:rPr>
            </w:pPr>
            <w:r>
              <w:rPr>
                <w:rFonts w:ascii="宋体" w:hAnsi="宋体" w:cs="宋体"/>
                <w:color w:val="auto"/>
                <w:kern w:val="0"/>
                <w:sz w:val="21"/>
                <w:szCs w:val="21"/>
                <w:highlight w:val="none"/>
              </w:rPr>
              <w:t>响应文件提交截止时间后，采购代理机构开启解密响应文件操作，</w:t>
            </w:r>
            <w:r>
              <w:rPr>
                <w:rFonts w:hint="eastAsia" w:ascii="宋体" w:hAnsi="宋体" w:cs="宋体"/>
                <w:color w:val="auto"/>
                <w:sz w:val="21"/>
                <w:szCs w:val="24"/>
                <w:highlight w:val="none"/>
              </w:rPr>
              <w:t>广西政府采购云平台</w:t>
            </w:r>
            <w:r>
              <w:rPr>
                <w:rFonts w:ascii="宋体" w:hAnsi="宋体" w:cs="宋体"/>
                <w:color w:val="auto"/>
                <w:kern w:val="0"/>
                <w:sz w:val="21"/>
                <w:szCs w:val="21"/>
                <w:highlight w:val="none"/>
              </w:rPr>
              <w:t>向各供应商发出电子加密响应文件解密通知，由供应商在系统发出解密通知后30分钟内自行使用加密的CA通过“项目采购</w:t>
            </w:r>
            <w:r>
              <w:rPr>
                <w:rFonts w:hint="eastAsia" w:ascii="宋体" w:hAnsi="宋体" w:cs="宋体"/>
                <w:bCs/>
                <w:color w:val="auto"/>
                <w:sz w:val="21"/>
                <w:szCs w:val="21"/>
                <w:highlight w:val="none"/>
              </w:rPr>
              <w:t>－</w:t>
            </w:r>
            <w:r>
              <w:rPr>
                <w:rFonts w:ascii="宋体" w:hAnsi="宋体" w:cs="宋体"/>
                <w:color w:val="auto"/>
                <w:kern w:val="0"/>
                <w:sz w:val="21"/>
                <w:szCs w:val="21"/>
                <w:highlight w:val="none"/>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kern w:val="0"/>
                <w:sz w:val="21"/>
                <w:szCs w:val="21"/>
                <w:highlight w:val="none"/>
                <w:u w:val="single"/>
                <w:lang w:val="en-US" w:eastAsia="zh-CN"/>
              </w:rPr>
              <w:t>9</w:t>
            </w:r>
            <w:r>
              <w:rPr>
                <w:rFonts w:ascii="宋体" w:hAnsi="宋体" w:cs="宋体"/>
                <w:color w:val="auto"/>
                <w:kern w:val="0"/>
                <w:sz w:val="21"/>
                <w:szCs w:val="21"/>
                <w:highlight w:val="none"/>
              </w:rPr>
              <w:t>号</w:t>
            </w:r>
            <w:r>
              <w:rPr>
                <w:rFonts w:ascii="宋体" w:hAnsi="宋体" w:cs="宋体"/>
                <w:color w:val="auto"/>
                <w:kern w:val="0"/>
                <w:sz w:val="21"/>
                <w:szCs w:val="21"/>
                <w:highlight w:val="none"/>
              </w:rPr>
              <w:t>开标室（广西桂林市临桂区西城中路69号创业大厦西辅楼4楼北区）】</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或以电子邮件的形式提交电子备份响应文件（接收电子备份响应文件的电子邮箱为：guilinyl@vip.sina.com）</w:t>
            </w:r>
            <w:r>
              <w:rPr>
                <w:rFonts w:hint="eastAsia" w:ascii="宋体" w:hAnsi="宋体" w:cs="宋体"/>
                <w:color w:val="auto"/>
                <w:kern w:val="0"/>
                <w:sz w:val="21"/>
                <w:szCs w:val="21"/>
                <w:highlight w:val="none"/>
              </w:rPr>
              <w:t>；供应商未在上述规定的时间、地点（电子邮箱）提交的电子备份响应文件，采购代理机构不予接收或承认。</w:t>
            </w:r>
            <w:r>
              <w:rPr>
                <w:rFonts w:ascii="宋体" w:hAnsi="宋体" w:cs="宋体"/>
                <w:color w:val="auto"/>
                <w:kern w:val="0"/>
                <w:sz w:val="21"/>
                <w:szCs w:val="21"/>
                <w:highlight w:val="none"/>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highlight w:val="none"/>
              </w:rPr>
              <w:t>磋商。</w:t>
            </w:r>
          </w:p>
        </w:tc>
      </w:tr>
      <w:tr w14:paraId="2E26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13C7ACFD">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816" w:type="dxa"/>
            <w:vAlign w:val="center"/>
          </w:tcPr>
          <w:p w14:paraId="6E4418EF">
            <w:pPr>
              <w:spacing w:line="360" w:lineRule="exact"/>
              <w:ind w:firstLine="105" w:firstLineChars="50"/>
              <w:jc w:val="center"/>
              <w:rPr>
                <w:rFonts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18.1</w:t>
            </w:r>
          </w:p>
        </w:tc>
        <w:tc>
          <w:tcPr>
            <w:tcW w:w="1446" w:type="dxa"/>
            <w:vAlign w:val="center"/>
          </w:tcPr>
          <w:p w14:paraId="457D7D6A">
            <w:pPr>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磋商小组组成</w:t>
            </w:r>
          </w:p>
        </w:tc>
        <w:tc>
          <w:tcPr>
            <w:tcW w:w="6588" w:type="dxa"/>
            <w:vAlign w:val="center"/>
          </w:tcPr>
          <w:p w14:paraId="7A411742">
            <w:pPr>
              <w:pStyle w:val="16"/>
              <w:spacing w:line="36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磋商小组由采购人代表和评审专家共3人以上（含3人）单数组成，其中评审专家人数不得少于磋商小组成员总数的2/3。</w:t>
            </w:r>
          </w:p>
        </w:tc>
      </w:tr>
      <w:tr w14:paraId="3D62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A3ED176">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816" w:type="dxa"/>
            <w:vAlign w:val="center"/>
          </w:tcPr>
          <w:p w14:paraId="26F657F6">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18.2</w:t>
            </w:r>
          </w:p>
        </w:tc>
        <w:tc>
          <w:tcPr>
            <w:tcW w:w="1446" w:type="dxa"/>
            <w:vAlign w:val="center"/>
          </w:tcPr>
          <w:p w14:paraId="539945C4">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磋商时间、地点、人员</w:t>
            </w:r>
          </w:p>
        </w:tc>
        <w:tc>
          <w:tcPr>
            <w:tcW w:w="6588" w:type="dxa"/>
          </w:tcPr>
          <w:p w14:paraId="3A166265">
            <w:pPr>
              <w:spacing w:line="36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18.2.1 磋商时间：首次响应文件提交截止时间后。</w:t>
            </w:r>
          </w:p>
          <w:p w14:paraId="07C98FA4">
            <w:pPr>
              <w:spacing w:line="360" w:lineRule="exact"/>
              <w:ind w:firstLine="0" w:firstLineChars="0"/>
              <w:rPr>
                <w:rFonts w:ascii="宋体" w:hAnsi="宋体" w:cs="宋体"/>
                <w:bCs/>
                <w:color w:val="auto"/>
                <w:sz w:val="21"/>
                <w:szCs w:val="21"/>
                <w:highlight w:val="none"/>
              </w:rPr>
            </w:pPr>
            <w:r>
              <w:rPr>
                <w:rFonts w:hint="eastAsia" w:ascii="宋体" w:hAnsi="宋体" w:cs="宋体"/>
                <w:color w:val="auto"/>
                <w:kern w:val="0"/>
                <w:sz w:val="21"/>
                <w:szCs w:val="21"/>
                <w:highlight w:val="none"/>
              </w:rPr>
              <w:t>18.2.2 磋商地点：</w:t>
            </w:r>
            <w:r>
              <w:rPr>
                <w:rFonts w:hint="eastAsia" w:ascii="宋体" w:hAnsi="宋体" w:cs="宋体"/>
                <w:bCs/>
                <w:color w:val="auto"/>
                <w:sz w:val="21"/>
                <w:szCs w:val="21"/>
                <w:highlight w:val="none"/>
              </w:rPr>
              <w:t>供应商代表在响应文件提交当天实时登录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5A983CFA">
            <w:pPr>
              <w:spacing w:line="360" w:lineRule="exact"/>
              <w:ind w:firstLine="0" w:firstLineChars="0"/>
              <w:rPr>
                <w:rFonts w:ascii="宋体" w:hAnsi="宋体" w:cs="宋体"/>
                <w:bCs/>
                <w:color w:val="auto"/>
                <w:sz w:val="21"/>
                <w:szCs w:val="21"/>
                <w:highlight w:val="none"/>
              </w:rPr>
            </w:pPr>
            <w:r>
              <w:rPr>
                <w:rFonts w:hint="eastAsia" w:ascii="宋体" w:hAnsi="宋体" w:cs="宋体"/>
                <w:bCs/>
                <w:color w:val="auto"/>
                <w:sz w:val="21"/>
                <w:szCs w:val="21"/>
                <w:highlight w:val="none"/>
              </w:rPr>
              <w:t>18.2.3磋商参加人员：供应商法定代表人或相应的委托代理</w:t>
            </w:r>
            <w:r>
              <w:rPr>
                <w:rFonts w:hint="eastAsia" w:ascii="宋体" w:hAnsi="宋体" w:cs="宋体"/>
                <w:bCs/>
                <w:color w:val="auto"/>
                <w:spacing w:val="-4"/>
                <w:sz w:val="21"/>
                <w:szCs w:val="21"/>
                <w:highlight w:val="none"/>
              </w:rPr>
              <w:t>人参加磋商。请供应商实时登录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等候在线磋商。</w:t>
            </w:r>
          </w:p>
          <w:p w14:paraId="1D6817B7">
            <w:pPr>
              <w:spacing w:line="360" w:lineRule="exact"/>
              <w:ind w:firstLine="0" w:firstLineChars="0"/>
              <w:rPr>
                <w:rFonts w:ascii="宋体" w:hAnsi="宋体" w:cs="宋体"/>
                <w:color w:val="auto"/>
                <w:sz w:val="21"/>
                <w:szCs w:val="21"/>
                <w:highlight w:val="none"/>
              </w:rPr>
            </w:pPr>
            <w:r>
              <w:rPr>
                <w:rFonts w:hint="eastAsia" w:ascii="宋体" w:hAnsi="宋体" w:cs="宋体"/>
                <w:bCs/>
                <w:color w:val="auto"/>
                <w:sz w:val="21"/>
                <w:szCs w:val="21"/>
                <w:highlight w:val="none"/>
              </w:rPr>
              <w:t>18.2.4 首次响应文件提交截止时间后，登录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在线解密开启。</w:t>
            </w:r>
          </w:p>
        </w:tc>
      </w:tr>
      <w:tr w14:paraId="76BD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86" w:type="dxa"/>
            <w:vAlign w:val="center"/>
          </w:tcPr>
          <w:p w14:paraId="0AAB85C9">
            <w:pPr>
              <w:spacing w:line="360" w:lineRule="exact"/>
              <w:ind w:firstLine="0" w:firstLineChars="0"/>
              <w:jc w:val="center"/>
              <w:rPr>
                <w:rFonts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12</w:t>
            </w:r>
          </w:p>
        </w:tc>
        <w:tc>
          <w:tcPr>
            <w:tcW w:w="816" w:type="dxa"/>
            <w:vAlign w:val="center"/>
          </w:tcPr>
          <w:p w14:paraId="71382584">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19.2</w:t>
            </w:r>
          </w:p>
        </w:tc>
        <w:tc>
          <w:tcPr>
            <w:tcW w:w="1446" w:type="dxa"/>
            <w:vAlign w:val="center"/>
          </w:tcPr>
          <w:p w14:paraId="12042D52">
            <w:pPr>
              <w:spacing w:line="360" w:lineRule="exact"/>
              <w:ind w:left="34" w:leftChars="14"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评审办法</w:t>
            </w:r>
          </w:p>
        </w:tc>
        <w:tc>
          <w:tcPr>
            <w:tcW w:w="6588" w:type="dxa"/>
            <w:vAlign w:val="center"/>
          </w:tcPr>
          <w:p w14:paraId="454B59B6">
            <w:pPr>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综合评分法，具体详见第四章“评审办法”。</w:t>
            </w:r>
          </w:p>
        </w:tc>
      </w:tr>
      <w:tr w14:paraId="0D83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5E0E833C">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816" w:type="dxa"/>
            <w:vAlign w:val="center"/>
          </w:tcPr>
          <w:p w14:paraId="6DCD7454">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26</w:t>
            </w:r>
          </w:p>
        </w:tc>
        <w:tc>
          <w:tcPr>
            <w:tcW w:w="1446" w:type="dxa"/>
            <w:vAlign w:val="center"/>
          </w:tcPr>
          <w:p w14:paraId="7DF4AB0E">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信用查询</w:t>
            </w:r>
          </w:p>
        </w:tc>
        <w:tc>
          <w:tcPr>
            <w:tcW w:w="6588" w:type="dxa"/>
            <w:vAlign w:val="center"/>
          </w:tcPr>
          <w:p w14:paraId="2E5331B2">
            <w:pPr>
              <w:spacing w:line="360" w:lineRule="exact"/>
              <w:ind w:left="73" w:leftChars="20" w:hanging="25" w:hangingChars="12"/>
              <w:rPr>
                <w:rFonts w:ascii="宋体" w:hAnsi="宋体" w:cs="宋体"/>
                <w:color w:val="auto"/>
                <w:kern w:val="0"/>
                <w:sz w:val="21"/>
                <w:szCs w:val="21"/>
                <w:highlight w:val="none"/>
              </w:rPr>
            </w:pPr>
            <w:r>
              <w:rPr>
                <w:rFonts w:hint="eastAsia" w:ascii="宋体" w:hAnsi="宋体" w:cs="宋体"/>
                <w:color w:val="auto"/>
                <w:kern w:val="0"/>
                <w:sz w:val="21"/>
                <w:szCs w:val="21"/>
                <w:highlight w:val="none"/>
              </w:rPr>
              <w:t>根据《关于做好政府采购有关信用主体标识码登记及在政府采购活动中查询使用信用记录有关问题的通知》（桂财采〔2016〕37号），由采购代理机构对第一成交候选人进行信用查询：</w:t>
            </w:r>
          </w:p>
          <w:p w14:paraId="48A64C03">
            <w:pPr>
              <w:spacing w:line="36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（1）查询渠道：“信用中国”网站（www.creditchina.gov.cn）、中国政府采购网（www.ccgp.gov.cn）等；</w:t>
            </w:r>
          </w:p>
          <w:p w14:paraId="2EBEDA78">
            <w:pPr>
              <w:spacing w:line="36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（2）查询截止时间：成交通知书发出前；</w:t>
            </w:r>
          </w:p>
          <w:p w14:paraId="6ACFFD17">
            <w:pPr>
              <w:spacing w:line="36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（3）信用信息查询记录和证据留存方式：在查询网站中直接打印查询记录，打印材料作为采购活动资料保存；</w:t>
            </w:r>
          </w:p>
          <w:p w14:paraId="482D50D8">
            <w:pPr>
              <w:spacing w:line="36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r>
              <w:rPr>
                <w:rFonts w:hint="eastAsia" w:ascii="宋体" w:hAnsi="宋体" w:cs="宋体"/>
                <w:color w:val="auto"/>
                <w:sz w:val="21"/>
                <w:szCs w:val="21"/>
                <w:highlight w:val="none"/>
              </w:rPr>
              <w:t>信用信息使用规则：在“信用中国”网站（www.creditchina.gov.cn）、中国政府采购网（www.ccgp.gov.cn）等渠道被列入失信被执行人、重大税收违法失信主体、政府采购严重违法失信行为记录名单，以及其他不符合《中华人民共和国政府采购法》第二十二条规定条件的供应商，将取消其成交候选人资格。</w:t>
            </w:r>
          </w:p>
        </w:tc>
      </w:tr>
      <w:tr w14:paraId="66B6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7F65DCC8">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816" w:type="dxa"/>
            <w:vAlign w:val="center"/>
          </w:tcPr>
          <w:p w14:paraId="01D3F067">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c>
          <w:tcPr>
            <w:tcW w:w="1446" w:type="dxa"/>
            <w:vAlign w:val="center"/>
          </w:tcPr>
          <w:p w14:paraId="3ABA49C1">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成交公告</w:t>
            </w:r>
          </w:p>
          <w:p w14:paraId="17AC3CA5">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及成交通知书</w:t>
            </w:r>
          </w:p>
        </w:tc>
        <w:tc>
          <w:tcPr>
            <w:tcW w:w="6588" w:type="dxa"/>
          </w:tcPr>
          <w:p w14:paraId="459F5404">
            <w:pPr>
              <w:spacing w:line="36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27.1 采购代理机构于评审结束后两个工作日内将评审报告送交采购人，采购人应当自收到评审报告之日起五个工作日内在评审报告推荐的成交候选供应商中按顺序确定成交供应商，采购代理机构在成交供应商确定之日起两个工作日内发出成交通知书，并在指定媒体上公告成交信息。</w:t>
            </w:r>
          </w:p>
          <w:p w14:paraId="0C6701A3">
            <w:pPr>
              <w:spacing w:line="36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27.3在发布成交公告的同时，采购代理机构向成交供应商发出成交通知书。成交供应商应自接到通知之日起七个工作日内，办理成交通知书领取手续。</w:t>
            </w:r>
          </w:p>
        </w:tc>
      </w:tr>
      <w:tr w14:paraId="23AD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1292AAD">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816" w:type="dxa"/>
            <w:vAlign w:val="center"/>
          </w:tcPr>
          <w:p w14:paraId="2356E40C">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28.1</w:t>
            </w:r>
          </w:p>
        </w:tc>
        <w:tc>
          <w:tcPr>
            <w:tcW w:w="1446" w:type="dxa"/>
            <w:vAlign w:val="center"/>
          </w:tcPr>
          <w:p w14:paraId="577778DA">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履约保证金</w:t>
            </w:r>
          </w:p>
        </w:tc>
        <w:tc>
          <w:tcPr>
            <w:tcW w:w="6588" w:type="dxa"/>
            <w:vAlign w:val="center"/>
          </w:tcPr>
          <w:p w14:paraId="1D641608">
            <w:pPr>
              <w:spacing w:line="360" w:lineRule="exact"/>
              <w:ind w:firstLine="0" w:firstLineChars="0"/>
              <w:rPr>
                <w:rFonts w:ascii="宋体" w:hAnsi="宋体" w:cs="宋体"/>
                <w:b/>
                <w:color w:val="auto"/>
                <w:sz w:val="21"/>
                <w:szCs w:val="21"/>
                <w:highlight w:val="none"/>
              </w:rPr>
            </w:pPr>
            <w:r>
              <w:rPr>
                <w:rFonts w:hint="eastAsia" w:ascii="宋体" w:hAnsi="宋体" w:cs="宋体"/>
                <w:color w:val="auto"/>
                <w:kern w:val="0"/>
                <w:sz w:val="21"/>
                <w:szCs w:val="21"/>
                <w:highlight w:val="none"/>
              </w:rPr>
              <w:t>若成交供应商为中型企业的，则按合同金额的2%提交；若成交供应商为小微企业的，则免收履约保证金。成交供应商必须在成交通知书发出之日起8个工作日内，且在与采购人签订合同前将履约保证金以支票、汇票、本票或者金融机构、担保机构出具的保函等非现金形式提交至采购人指定账户。</w:t>
            </w:r>
          </w:p>
        </w:tc>
      </w:tr>
      <w:tr w14:paraId="0B96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2DCE13A">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816" w:type="dxa"/>
            <w:vAlign w:val="center"/>
          </w:tcPr>
          <w:p w14:paraId="4EB954DF">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29.1</w:t>
            </w:r>
          </w:p>
        </w:tc>
        <w:tc>
          <w:tcPr>
            <w:tcW w:w="1446" w:type="dxa"/>
            <w:vAlign w:val="center"/>
          </w:tcPr>
          <w:p w14:paraId="36F9D0F2">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签订合同时间</w:t>
            </w:r>
          </w:p>
        </w:tc>
        <w:tc>
          <w:tcPr>
            <w:tcW w:w="6588" w:type="dxa"/>
            <w:vAlign w:val="center"/>
          </w:tcPr>
          <w:p w14:paraId="28D196E7">
            <w:pPr>
              <w:spacing w:line="36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成交通知书发出之日起8个工作日内。成交供应商领取成交通知书后，应按规定与采购人签订合同。</w:t>
            </w:r>
          </w:p>
        </w:tc>
      </w:tr>
      <w:tr w14:paraId="7305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35D84DC2">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816" w:type="dxa"/>
            <w:vAlign w:val="center"/>
          </w:tcPr>
          <w:p w14:paraId="462BDA87">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29.3</w:t>
            </w:r>
          </w:p>
        </w:tc>
        <w:tc>
          <w:tcPr>
            <w:tcW w:w="1446" w:type="dxa"/>
            <w:vAlign w:val="center"/>
          </w:tcPr>
          <w:p w14:paraId="1B6B38B9">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合同公告</w:t>
            </w:r>
          </w:p>
        </w:tc>
        <w:tc>
          <w:tcPr>
            <w:tcW w:w="6588" w:type="dxa"/>
            <w:vAlign w:val="center"/>
          </w:tcPr>
          <w:p w14:paraId="7B6BD636">
            <w:pPr>
              <w:spacing w:line="36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政府采购合同双方自签订之日起2个工作日内在省级以上人民政府财政部门指定媒体上公告。</w:t>
            </w:r>
          </w:p>
        </w:tc>
      </w:tr>
      <w:tr w14:paraId="7056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4394F7B1">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816" w:type="dxa"/>
            <w:vAlign w:val="center"/>
          </w:tcPr>
          <w:p w14:paraId="44EF1A8A">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30.1</w:t>
            </w:r>
          </w:p>
        </w:tc>
        <w:tc>
          <w:tcPr>
            <w:tcW w:w="1446" w:type="dxa"/>
            <w:vAlign w:val="center"/>
          </w:tcPr>
          <w:p w14:paraId="23DA06C9">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采购代理服务费</w:t>
            </w:r>
          </w:p>
        </w:tc>
        <w:tc>
          <w:tcPr>
            <w:tcW w:w="6588" w:type="dxa"/>
          </w:tcPr>
          <w:p w14:paraId="7E432103">
            <w:pPr>
              <w:spacing w:line="36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项目各分标次采购代理服务费按本须知第30.2条“采购代理服务收费标准”中的“服务采购”收费标准计算（不足人民币5000元的，按5000元计），由成交供应商于成交公告发出之日起5个工作日内向采购代理机构一次性支付，否则，其不利后果由成交供应商承担。</w:t>
            </w:r>
          </w:p>
        </w:tc>
      </w:tr>
      <w:tr w14:paraId="133A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3CEE3823">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c>
          <w:tcPr>
            <w:tcW w:w="816" w:type="dxa"/>
            <w:vAlign w:val="center"/>
          </w:tcPr>
          <w:p w14:paraId="19EC6E29">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33</w:t>
            </w:r>
          </w:p>
        </w:tc>
        <w:tc>
          <w:tcPr>
            <w:tcW w:w="1446" w:type="dxa"/>
            <w:vAlign w:val="center"/>
          </w:tcPr>
          <w:p w14:paraId="1E4ACD66">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解释权</w:t>
            </w:r>
          </w:p>
        </w:tc>
        <w:tc>
          <w:tcPr>
            <w:tcW w:w="6588" w:type="dxa"/>
          </w:tcPr>
          <w:p w14:paraId="36B685DE">
            <w:pPr>
              <w:spacing w:line="36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0276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404A68D2">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816" w:type="dxa"/>
            <w:vAlign w:val="center"/>
          </w:tcPr>
          <w:p w14:paraId="01A41377">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34</w:t>
            </w:r>
          </w:p>
        </w:tc>
        <w:tc>
          <w:tcPr>
            <w:tcW w:w="1446" w:type="dxa"/>
            <w:vAlign w:val="center"/>
          </w:tcPr>
          <w:p w14:paraId="0E8B612C">
            <w:pPr>
              <w:spacing w:line="36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监督管理机构</w:t>
            </w:r>
          </w:p>
        </w:tc>
        <w:tc>
          <w:tcPr>
            <w:tcW w:w="6588" w:type="dxa"/>
            <w:vAlign w:val="center"/>
          </w:tcPr>
          <w:p w14:paraId="141B9D85">
            <w:pPr>
              <w:spacing w:line="36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桂林市财政局    联系电话：0773-2829504</w:t>
            </w:r>
          </w:p>
        </w:tc>
      </w:tr>
    </w:tbl>
    <w:p w14:paraId="7944C5D9">
      <w:pPr>
        <w:spacing w:line="380" w:lineRule="exact"/>
        <w:ind w:firstLine="0" w:firstLineChars="0"/>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一、总则</w:t>
      </w:r>
    </w:p>
    <w:p w14:paraId="5E66FE81">
      <w:pPr>
        <w:spacing w:line="380" w:lineRule="exact"/>
        <w:ind w:firstLine="413" w:firstLineChars="196"/>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1.适应范围</w:t>
      </w:r>
    </w:p>
    <w:p w14:paraId="303E91A0">
      <w:pPr>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1.1 项目名称及项目编号：</w:t>
      </w:r>
    </w:p>
    <w:p w14:paraId="6B657D24">
      <w:pPr>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项目名称：</w:t>
      </w:r>
      <w:r>
        <w:rPr>
          <w:rFonts w:hint="eastAsia" w:ascii="宋体" w:hAnsi="宋体" w:cs="宋体"/>
          <w:color w:val="auto"/>
          <w:sz w:val="21"/>
          <w:szCs w:val="24"/>
          <w:highlight w:val="none"/>
        </w:rPr>
        <w:t>2026年桂林市生态环境局10个小型水站、3个水质自动监测站及2个环境空气自动监测站运行维护服务采购</w:t>
      </w:r>
    </w:p>
    <w:p w14:paraId="2F7EBC00">
      <w:pPr>
        <w:spacing w:line="380" w:lineRule="exact"/>
        <w:ind w:firstLine="435" w:firstLineChars="0"/>
        <w:rPr>
          <w:rFonts w:ascii="宋体" w:hAnsi="宋体" w:cs="宋体"/>
          <w:color w:val="auto"/>
          <w:sz w:val="21"/>
          <w:szCs w:val="21"/>
          <w:highlight w:val="none"/>
        </w:rPr>
      </w:pPr>
      <w:r>
        <w:rPr>
          <w:rFonts w:hint="eastAsia" w:ascii="宋体" w:hAnsi="宋体" w:cs="宋体"/>
          <w:color w:val="auto"/>
          <w:kern w:val="0"/>
          <w:sz w:val="21"/>
          <w:szCs w:val="21"/>
          <w:highlight w:val="none"/>
        </w:rPr>
        <w:t>项目编号</w:t>
      </w:r>
      <w:r>
        <w:rPr>
          <w:rFonts w:hint="eastAsia" w:ascii="宋体" w:hAnsi="宋体" w:cs="宋体"/>
          <w:color w:val="auto"/>
          <w:sz w:val="21"/>
          <w:szCs w:val="24"/>
          <w:highlight w:val="none"/>
        </w:rPr>
        <w:t>：GLZC2026-C3-990077-YZLZ</w:t>
      </w:r>
    </w:p>
    <w:p w14:paraId="2BFF1176">
      <w:pPr>
        <w:spacing w:line="380" w:lineRule="exact"/>
        <w:ind w:firstLine="435"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代理编号：YZLGL2026-C3-010-GLZC </w:t>
      </w:r>
    </w:p>
    <w:p w14:paraId="734D9DF3">
      <w:pPr>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1.2 本竞争性磋商文件（以下简称磋商文件）适用于本磋商项目的磋商、评审、合同履约、验收、付款等行为（法律法规另有规定的，从其规定）。</w:t>
      </w:r>
    </w:p>
    <w:p w14:paraId="03B17B6D">
      <w:pPr>
        <w:spacing w:line="380" w:lineRule="exact"/>
        <w:ind w:firstLine="435" w:firstLineChars="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2.定义</w:t>
      </w:r>
    </w:p>
    <w:p w14:paraId="4AD8B9B9">
      <w:pPr>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2.1“供应商”：是指符合本次采购项目的供应商资格并提交响应文件、参加磋商的供应商。如果该供应商在本次磋商中成交，即成为“成交供应商”。</w:t>
      </w:r>
    </w:p>
    <w:p w14:paraId="7759BFBA">
      <w:pPr>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r>
        <w:rPr>
          <w:rFonts w:hint="eastAsia" w:hAnsi="宋体"/>
          <w:color w:val="auto"/>
          <w:sz w:val="21"/>
          <w:highlight w:val="none"/>
        </w:rPr>
        <w:t>供应商为其他组织或者自然人时，本竞争性磋商文件规定的法定代表人指负责人或者自然人。本竞争性磋商文件所称负责人是指参加竞标的其他组织营业执照或者执业许可证等证照上的负责人，本竞争性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491D3463">
      <w:pPr>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2.3“</w:t>
      </w:r>
      <w:r>
        <w:rPr>
          <w:rFonts w:ascii="宋体" w:hAnsi="宋体" w:cs="宋体"/>
          <w:color w:val="auto"/>
          <w:kern w:val="0"/>
          <w:sz w:val="21"/>
          <w:szCs w:val="21"/>
          <w:highlight w:val="none"/>
        </w:rPr>
        <w:t>货物</w:t>
      </w:r>
      <w:r>
        <w:rPr>
          <w:rFonts w:hint="eastAsia" w:ascii="宋体" w:hAnsi="宋体" w:cs="宋体"/>
          <w:color w:val="auto"/>
          <w:kern w:val="0"/>
          <w:sz w:val="21"/>
          <w:szCs w:val="21"/>
          <w:highlight w:val="none"/>
        </w:rPr>
        <w:t>”：系</w:t>
      </w:r>
      <w:r>
        <w:rPr>
          <w:rFonts w:ascii="宋体" w:hAnsi="宋体" w:cs="宋体"/>
          <w:color w:val="auto"/>
          <w:kern w:val="0"/>
          <w:sz w:val="21"/>
          <w:szCs w:val="21"/>
          <w:highlight w:val="none"/>
        </w:rPr>
        <w:t>指各种形态和种类的物品，包括原材料、燃料、设备、产品等</w:t>
      </w:r>
      <w:r>
        <w:rPr>
          <w:rFonts w:hint="eastAsia" w:ascii="宋体" w:hAnsi="宋体" w:cs="宋体"/>
          <w:color w:val="auto"/>
          <w:kern w:val="0"/>
          <w:sz w:val="21"/>
          <w:szCs w:val="21"/>
          <w:highlight w:val="none"/>
        </w:rPr>
        <w:t>。</w:t>
      </w:r>
    </w:p>
    <w:p w14:paraId="006F9083">
      <w:pPr>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2.4“服务”：系指按磋商文件规定，供应商须承担的</w:t>
      </w:r>
      <w:r>
        <w:rPr>
          <w:rFonts w:hint="eastAsia" w:ascii="宋体" w:hAnsi="宋体" w:cs="宋体"/>
          <w:color w:val="auto"/>
          <w:sz w:val="21"/>
          <w:szCs w:val="24"/>
          <w:highlight w:val="none"/>
        </w:rPr>
        <w:t>2026年桂林市生态环境局10个小型水站、3个水质自动监测站及2个环境空气自动监测站运行维护服务</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rPr>
        <w:t>以及本项目采购标的涉及的相关义务。</w:t>
      </w:r>
    </w:p>
    <w:p w14:paraId="53079D33">
      <w:pPr>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2.5 “项目”：系指供应商按磋商文件规定向采购人提供的货物和服务。</w:t>
      </w:r>
    </w:p>
    <w:p w14:paraId="66267C6D">
      <w:pPr>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2.6 “书面形式”：包括信函、传真、电报等。</w:t>
      </w:r>
    </w:p>
    <w:p w14:paraId="6D80512A">
      <w:pPr>
        <w:adjustRightInd w:val="0"/>
        <w:snapToGrid w:val="0"/>
        <w:spacing w:line="380" w:lineRule="exact"/>
        <w:ind w:firstLine="482"/>
        <w:jc w:val="left"/>
        <w:rPr>
          <w:rFonts w:ascii="宋体" w:hAnsi="宋体" w:cs="宋体"/>
          <w:b/>
          <w:color w:val="auto"/>
          <w:kern w:val="0"/>
          <w:szCs w:val="20"/>
          <w:highlight w:val="none"/>
        </w:rPr>
      </w:pPr>
      <w:r>
        <w:rPr>
          <w:rFonts w:hint="eastAsia" w:ascii="宋体" w:hAnsi="宋体" w:cs="宋体"/>
          <w:b/>
          <w:color w:val="auto"/>
          <w:kern w:val="0"/>
          <w:szCs w:val="20"/>
          <w:highlight w:val="none"/>
        </w:rPr>
        <w:t>2.7“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6EB6A3DA">
      <w:pPr>
        <w:adjustRightInd w:val="0"/>
        <w:snapToGrid w:val="0"/>
        <w:spacing w:line="380" w:lineRule="exact"/>
        <w:ind w:firstLine="482"/>
        <w:jc w:val="left"/>
        <w:rPr>
          <w:rFonts w:ascii="宋体" w:hAnsi="宋体" w:cs="宋体"/>
          <w:b/>
          <w:color w:val="auto"/>
          <w:kern w:val="0"/>
          <w:szCs w:val="20"/>
          <w:highlight w:val="none"/>
        </w:rPr>
      </w:pPr>
      <w:r>
        <w:rPr>
          <w:rFonts w:hint="eastAsia" w:ascii="宋体" w:hAnsi="宋体" w:cs="宋体"/>
          <w:b/>
          <w:color w:val="auto"/>
          <w:kern w:val="0"/>
          <w:szCs w:val="20"/>
          <w:highlight w:val="none"/>
        </w:rPr>
        <w:t>2.8实质性要求：“采购需求”中标注“▲”项的条款、磋商文件中要求“必须提供”的条款以及标明不满足及响应无效的条款均属于实质性要求。</w:t>
      </w:r>
    </w:p>
    <w:p w14:paraId="6FB8DC1A">
      <w:pPr>
        <w:spacing w:line="380" w:lineRule="exact"/>
        <w:ind w:firstLine="435" w:firstLineChars="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3.供应商资格</w:t>
      </w:r>
    </w:p>
    <w:p w14:paraId="21E0BFAB">
      <w:pPr>
        <w:spacing w:line="38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3.1满足《中华人民共和国政府采购法》第二十二条规定。</w:t>
      </w:r>
    </w:p>
    <w:p w14:paraId="4625BE17">
      <w:pPr>
        <w:spacing w:line="38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3.2落实政府采购政策需满足的资格要求：本项目专门面向中小企业采购，供应商须满足《政府采购促进中小企业发展管理办法》（财库〔2020〕46号）第二条规定。</w:t>
      </w:r>
      <w:r>
        <w:rPr>
          <w:rFonts w:hint="eastAsia" w:ascii="宋体" w:hAnsi="宋体" w:cs="宋体"/>
          <w:color w:val="auto"/>
          <w:kern w:val="0"/>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p>
    <w:p w14:paraId="30FA5053">
      <w:pPr>
        <w:spacing w:line="380" w:lineRule="exact"/>
        <w:ind w:firstLine="420"/>
        <w:rPr>
          <w:rFonts w:ascii="宋体" w:hAnsi="宋体"/>
          <w:color w:val="auto"/>
          <w:spacing w:val="1"/>
          <w:kern w:val="0"/>
          <w:highlight w:val="none"/>
        </w:rPr>
      </w:pPr>
      <w:r>
        <w:rPr>
          <w:rFonts w:hint="eastAsia" w:ascii="宋体" w:hAnsi="宋体" w:cs="宋体"/>
          <w:color w:val="auto"/>
          <w:sz w:val="21"/>
          <w:szCs w:val="21"/>
          <w:highlight w:val="none"/>
        </w:rPr>
        <w:t>3.3本项目的特定资格要求：无。</w:t>
      </w:r>
    </w:p>
    <w:p w14:paraId="0DE83D13">
      <w:pPr>
        <w:spacing w:line="380" w:lineRule="exact"/>
        <w:ind w:firstLine="435" w:firstLineChars="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4.参与电子竞标的准备工作</w:t>
      </w:r>
    </w:p>
    <w:p w14:paraId="217BA8DE">
      <w:pPr>
        <w:tabs>
          <w:tab w:val="left" w:pos="1635"/>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4.1本项目实行全流程电子化采购，供应商通过</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参与电子竞标，并应做好以下相关准备工作：①在</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eastAsia" w:ascii="宋体" w:hAnsi="宋体" w:cs="宋体"/>
          <w:bCs/>
          <w:color w:val="auto"/>
          <w:sz w:val="21"/>
          <w:szCs w:val="21"/>
          <w:highlight w:val="none"/>
        </w:rPr>
        <w:t>以便供应商采用CA证书对其响应文件进行电子签章或电子签名</w:t>
      </w:r>
      <w:r>
        <w:rPr>
          <w:rFonts w:hint="eastAsia" w:ascii="宋体" w:hAnsi="宋体" w:cs="宋体"/>
          <w:color w:val="auto"/>
          <w:kern w:val="0"/>
          <w:sz w:val="21"/>
          <w:szCs w:val="21"/>
          <w:highlight w:val="none"/>
        </w:rPr>
        <w:t>；③下载“广西壮族自治区全流程电子招投标项目管理系统－供应商客户端”（操作方法详见广西壮族自治区政府采购网—办事服务—下载专区，以下称“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电子投标客户端”）并安装成功。供应商应当在响应文件提交截止时间前在</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完成身份认证，确保能够对相关数据电文进行加密和使用电子签章；④自备计算机和网络设备并确保能接入互联网（费用由供应商自行承担，设备应确保可进行视频通话和读取</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CA证书）。因供应商未做好相关准备工作等自身原因导致无法参加本项目电子竞标或竞标失败的，造成的一切后果，由供应商自行承担。</w:t>
      </w:r>
    </w:p>
    <w:p w14:paraId="200A1183">
      <w:pPr>
        <w:tabs>
          <w:tab w:val="left" w:pos="1635"/>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4.2电子竞标具体操作流程参考《政府采购项目电子交易管理操作指南－供应商》（详见桂林市政府采购网—采购资讯—重要通知）；如遇平台技术问题详询</w:t>
      </w:r>
      <w:r>
        <w:rPr>
          <w:rFonts w:hint="eastAsia" w:ascii="宋体" w:hAnsi="宋体" w:cs="宋体"/>
          <w:bCs/>
          <w:color w:val="auto"/>
          <w:sz w:val="21"/>
          <w:szCs w:val="21"/>
          <w:highlight w:val="none"/>
        </w:rPr>
        <w:t>0771-3381253、</w:t>
      </w:r>
      <w:r>
        <w:rPr>
          <w:rFonts w:hint="eastAsia" w:ascii="宋体" w:hAnsi="宋体" w:cs="宋体"/>
          <w:color w:val="auto"/>
          <w:kern w:val="0"/>
          <w:sz w:val="21"/>
          <w:szCs w:val="21"/>
          <w:highlight w:val="none"/>
        </w:rPr>
        <w:t>95763。</w:t>
      </w:r>
    </w:p>
    <w:p w14:paraId="3D4E7F4B">
      <w:pPr>
        <w:tabs>
          <w:tab w:val="left" w:pos="1635"/>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4.3不论磋商结果如何，供应商均应自行承担所有与磋商有关的全部费用。</w:t>
      </w:r>
    </w:p>
    <w:p w14:paraId="07763CA3">
      <w:pPr>
        <w:tabs>
          <w:tab w:val="left" w:pos="1635"/>
        </w:tabs>
        <w:spacing w:line="380" w:lineRule="exact"/>
        <w:ind w:firstLine="435" w:firstLineChars="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5.联合体要求：</w:t>
      </w:r>
    </w:p>
    <w:p w14:paraId="5E00EB44">
      <w:pPr>
        <w:snapToGrid w:val="0"/>
        <w:spacing w:line="380" w:lineRule="exact"/>
        <w:ind w:firstLine="420"/>
        <w:jc w:val="left"/>
        <w:rPr>
          <w:rFonts w:ascii="宋体" w:hAnsi="宋体" w:cs="宋体"/>
          <w:b/>
          <w:color w:val="auto"/>
          <w:kern w:val="0"/>
          <w:sz w:val="21"/>
          <w:szCs w:val="21"/>
          <w:highlight w:val="none"/>
        </w:rPr>
      </w:pPr>
      <w:r>
        <w:rPr>
          <w:rFonts w:hint="eastAsia" w:ascii="宋体" w:hAnsi="宋体" w:cs="宋体"/>
          <w:color w:val="auto"/>
          <w:kern w:val="0"/>
          <w:sz w:val="21"/>
          <w:szCs w:val="21"/>
          <w:highlight w:val="none"/>
        </w:rPr>
        <w:t>本项目不接受联合体参与磋商。</w:t>
      </w:r>
    </w:p>
    <w:p w14:paraId="644E766E">
      <w:pPr>
        <w:tabs>
          <w:tab w:val="left" w:pos="2190"/>
        </w:tabs>
        <w:spacing w:line="380" w:lineRule="exact"/>
        <w:ind w:firstLine="413" w:firstLineChars="196"/>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6.质疑和投诉</w:t>
      </w:r>
      <w:r>
        <w:rPr>
          <w:rFonts w:hint="eastAsia" w:ascii="宋体" w:hAnsi="宋体" w:cs="宋体"/>
          <w:b/>
          <w:color w:val="auto"/>
          <w:kern w:val="0"/>
          <w:sz w:val="21"/>
          <w:szCs w:val="21"/>
          <w:highlight w:val="none"/>
        </w:rPr>
        <w:tab/>
      </w:r>
    </w:p>
    <w:p w14:paraId="312234ED">
      <w:pPr>
        <w:tabs>
          <w:tab w:val="left" w:pos="2190"/>
        </w:tabs>
        <w:spacing w:line="380" w:lineRule="exact"/>
        <w:ind w:firstLine="435" w:firstLineChars="0"/>
        <w:rPr>
          <w:rFonts w:ascii="宋体" w:hAnsi="宋体" w:cs="宋体"/>
          <w:color w:val="auto"/>
          <w:sz w:val="21"/>
          <w:szCs w:val="21"/>
          <w:highlight w:val="none"/>
        </w:rPr>
      </w:pPr>
      <w:r>
        <w:rPr>
          <w:rFonts w:hint="eastAsia" w:ascii="宋体" w:hAnsi="宋体" w:cs="宋体"/>
          <w:color w:val="auto"/>
          <w:sz w:val="21"/>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1"/>
          <w:szCs w:val="21"/>
          <w:highlight w:val="none"/>
        </w:rPr>
        <w:t>（“质疑函”格式见附表1）</w:t>
      </w:r>
      <w:r>
        <w:rPr>
          <w:rFonts w:hint="eastAsia" w:ascii="宋体" w:hAnsi="宋体" w:cs="宋体"/>
          <w:color w:val="auto"/>
          <w:sz w:val="21"/>
          <w:szCs w:val="21"/>
          <w:highlight w:val="none"/>
        </w:rPr>
        <w:t>。否则，采购代理机构有权拒收。</w:t>
      </w:r>
    </w:p>
    <w:p w14:paraId="08552F35">
      <w:pPr>
        <w:tabs>
          <w:tab w:val="left" w:pos="2190"/>
        </w:tabs>
        <w:spacing w:line="380" w:lineRule="exact"/>
        <w:ind w:firstLine="435" w:firstLineChars="0"/>
        <w:rPr>
          <w:rFonts w:ascii="宋体" w:hAnsi="宋体" w:cs="宋体"/>
          <w:color w:val="auto"/>
          <w:sz w:val="21"/>
          <w:szCs w:val="21"/>
          <w:highlight w:val="none"/>
        </w:rPr>
      </w:pPr>
      <w:r>
        <w:rPr>
          <w:rFonts w:hint="eastAsia" w:ascii="宋体" w:hAnsi="宋体" w:cs="宋体"/>
          <w:color w:val="auto"/>
          <w:sz w:val="21"/>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4700C631">
      <w:pPr>
        <w:tabs>
          <w:tab w:val="left" w:pos="2190"/>
        </w:tabs>
        <w:spacing w:line="380" w:lineRule="exact"/>
        <w:ind w:firstLine="435" w:firstLineChars="0"/>
        <w:rPr>
          <w:rFonts w:ascii="宋体" w:hAnsi="宋体" w:cs="宋体"/>
          <w:color w:val="auto"/>
          <w:sz w:val="21"/>
          <w:szCs w:val="21"/>
          <w:highlight w:val="none"/>
        </w:rPr>
      </w:pPr>
      <w:r>
        <w:rPr>
          <w:rFonts w:hint="eastAsia" w:ascii="宋体" w:hAnsi="宋体" w:cs="宋体"/>
          <w:color w:val="auto"/>
          <w:sz w:val="21"/>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03C019A6">
      <w:pPr>
        <w:tabs>
          <w:tab w:val="left" w:pos="2190"/>
        </w:tabs>
        <w:spacing w:line="380" w:lineRule="exact"/>
        <w:ind w:firstLine="435" w:firstLineChars="0"/>
        <w:rPr>
          <w:rFonts w:ascii="宋体" w:hAnsi="宋体" w:cs="宋体"/>
          <w:color w:val="auto"/>
          <w:sz w:val="21"/>
          <w:szCs w:val="21"/>
          <w:highlight w:val="none"/>
        </w:rPr>
      </w:pPr>
      <w:r>
        <w:rPr>
          <w:rFonts w:hint="eastAsia" w:ascii="宋体" w:hAnsi="宋体" w:cs="宋体"/>
          <w:color w:val="auto"/>
          <w:sz w:val="21"/>
          <w:szCs w:val="21"/>
          <w:highlight w:val="none"/>
        </w:rPr>
        <w:t>6.2 供应商对采购代理机构的质疑答复不满意或者采购代理机构未在规定的时间内作出答复的，可以在答复期满后十五个工作日内向桂林市政府采购监督管理机构投诉</w:t>
      </w:r>
      <w:r>
        <w:rPr>
          <w:rFonts w:hint="eastAsia" w:ascii="宋体" w:hAnsi="宋体" w:cs="宋体"/>
          <w:b/>
          <w:color w:val="auto"/>
          <w:sz w:val="21"/>
          <w:szCs w:val="21"/>
          <w:highlight w:val="none"/>
        </w:rPr>
        <w:t>（“投诉书”格式见附表2）</w:t>
      </w:r>
      <w:r>
        <w:rPr>
          <w:rFonts w:hint="eastAsia" w:ascii="宋体" w:hAnsi="宋体" w:cs="宋体"/>
          <w:color w:val="auto"/>
          <w:sz w:val="21"/>
          <w:szCs w:val="21"/>
          <w:highlight w:val="none"/>
        </w:rPr>
        <w:t>。</w:t>
      </w:r>
    </w:p>
    <w:p w14:paraId="7BA4B298">
      <w:pPr>
        <w:tabs>
          <w:tab w:val="left" w:pos="2190"/>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sz w:val="21"/>
          <w:szCs w:val="21"/>
          <w:highlight w:val="none"/>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1"/>
          <w:szCs w:val="21"/>
          <w:highlight w:val="none"/>
        </w:rPr>
        <w:t>。</w:t>
      </w:r>
    </w:p>
    <w:p w14:paraId="78646162">
      <w:pPr>
        <w:tabs>
          <w:tab w:val="left" w:pos="2190"/>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供应商提出质疑应当提交质疑函和必要的证明材料，针对同一采购程序环节的质疑必须在法定质疑期内一次性提出。质疑函应当包括下列内容：</w:t>
      </w:r>
    </w:p>
    <w:p w14:paraId="3DF8E9A8">
      <w:pPr>
        <w:tabs>
          <w:tab w:val="left" w:pos="2190"/>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（1）供应商的姓名或者名称、地址、邮编、联系人及联系电话；</w:t>
      </w:r>
    </w:p>
    <w:p w14:paraId="1128B204">
      <w:pPr>
        <w:tabs>
          <w:tab w:val="left" w:pos="2190"/>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（2）质疑项目的名称、编号；</w:t>
      </w:r>
    </w:p>
    <w:p w14:paraId="61421114">
      <w:pPr>
        <w:tabs>
          <w:tab w:val="left" w:pos="2190"/>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（3）具体、明确的质疑事项和与质疑事项相关的请求；</w:t>
      </w:r>
    </w:p>
    <w:p w14:paraId="3E960D00">
      <w:pPr>
        <w:tabs>
          <w:tab w:val="left" w:pos="2190"/>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（4）事实依据；</w:t>
      </w:r>
    </w:p>
    <w:p w14:paraId="1D7D7F96">
      <w:pPr>
        <w:tabs>
          <w:tab w:val="left" w:pos="2190"/>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（5）必要的法律依据；</w:t>
      </w:r>
    </w:p>
    <w:p w14:paraId="72945503">
      <w:pPr>
        <w:tabs>
          <w:tab w:val="left" w:pos="2190"/>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（6）提出质疑的日期。</w:t>
      </w:r>
    </w:p>
    <w:p w14:paraId="3F8E44C8">
      <w:pPr>
        <w:tabs>
          <w:tab w:val="left" w:pos="2190"/>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供应商为自然人的，应当由本人签字；供应商为法人或者其他组织的，应当由法定代表人、主要负责人，或者其授权代表签字或者盖章，并加盖公章。</w:t>
      </w:r>
    </w:p>
    <w:p w14:paraId="4FF18DB0">
      <w:pPr>
        <w:tabs>
          <w:tab w:val="left" w:pos="2190"/>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接收质疑函方式：以书面形式</w:t>
      </w:r>
    </w:p>
    <w:p w14:paraId="00D57B66">
      <w:pPr>
        <w:tabs>
          <w:tab w:val="left" w:pos="2190"/>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质疑联系部门及联系方式：云之龙咨询集团有限公司桂林分公司，联系人：吕雯，联系电话：0773-2887388、2887399。通讯地址：</w:t>
      </w:r>
      <w:r>
        <w:rPr>
          <w:rFonts w:hint="eastAsia" w:ascii="宋体" w:hAnsi="宋体" w:cs="宋体"/>
          <w:color w:val="auto"/>
          <w:kern w:val="0"/>
          <w:sz w:val="21"/>
          <w:szCs w:val="24"/>
          <w:highlight w:val="none"/>
        </w:rPr>
        <w:t>广西桂林市临桂区西城北路2号耀辉•美好家园2幢12层</w:t>
      </w:r>
      <w:r>
        <w:rPr>
          <w:rFonts w:hint="eastAsia" w:ascii="宋体" w:hAnsi="宋体" w:cs="宋体"/>
          <w:color w:val="auto"/>
          <w:kern w:val="0"/>
          <w:sz w:val="21"/>
          <w:szCs w:val="21"/>
          <w:highlight w:val="none"/>
        </w:rPr>
        <w:t>云之龙咨询集团有限公司。</w:t>
      </w:r>
    </w:p>
    <w:p w14:paraId="18EB9F18">
      <w:pPr>
        <w:tabs>
          <w:tab w:val="left" w:pos="2190"/>
        </w:tabs>
        <w:spacing w:line="380" w:lineRule="exact"/>
        <w:ind w:firstLine="435" w:firstLineChars="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7.转包与分包</w:t>
      </w:r>
    </w:p>
    <w:p w14:paraId="2243278D">
      <w:pPr>
        <w:tabs>
          <w:tab w:val="left" w:pos="2190"/>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7.1 本项目不允许转包。</w:t>
      </w:r>
    </w:p>
    <w:p w14:paraId="0551044F">
      <w:pPr>
        <w:spacing w:line="380" w:lineRule="exact"/>
        <w:ind w:firstLine="420"/>
        <w:rPr>
          <w:rFonts w:ascii="宋体" w:hAnsi="宋体" w:cs="宋体"/>
          <w:color w:val="auto"/>
          <w:sz w:val="21"/>
          <w:szCs w:val="24"/>
          <w:highlight w:val="none"/>
        </w:rPr>
      </w:pPr>
      <w:r>
        <w:rPr>
          <w:rFonts w:hint="eastAsia" w:ascii="宋体" w:hAnsi="宋体" w:cs="宋体"/>
          <w:color w:val="auto"/>
          <w:kern w:val="0"/>
          <w:sz w:val="21"/>
          <w:szCs w:val="21"/>
          <w:highlight w:val="none"/>
        </w:rPr>
        <w:t>7.2 本项目不可以分包。</w:t>
      </w:r>
    </w:p>
    <w:p w14:paraId="101F0FC0">
      <w:pPr>
        <w:tabs>
          <w:tab w:val="left" w:pos="1635"/>
        </w:tabs>
        <w:spacing w:line="380" w:lineRule="exact"/>
        <w:ind w:firstLine="435" w:firstLineChars="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8. 特别说明</w:t>
      </w:r>
    </w:p>
    <w:p w14:paraId="12ABE7B2">
      <w:pPr>
        <w:tabs>
          <w:tab w:val="left" w:pos="1635"/>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关联供应商不得参加同一合同项下政府采购活动，否则响应文件将被视为无效：</w:t>
      </w:r>
    </w:p>
    <w:p w14:paraId="67E45690">
      <w:pPr>
        <w:tabs>
          <w:tab w:val="left" w:pos="1635"/>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（1）单位负责人为同一人或者存在直接控股、管理关系的不同供应商，不得参加同一合同项下的政府采购活动。</w:t>
      </w:r>
    </w:p>
    <w:p w14:paraId="3DD9D207">
      <w:pPr>
        <w:tabs>
          <w:tab w:val="left" w:pos="1635"/>
        </w:tabs>
        <w:spacing w:line="380" w:lineRule="exact"/>
        <w:ind w:firstLine="435"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（2）为采购项目提供整体设计、规范编制或者项目管理、监理、检测等服务的供应商，不得再参加该采购项目的其他采购活动。</w:t>
      </w:r>
    </w:p>
    <w:p w14:paraId="685B3480">
      <w:pPr>
        <w:tabs>
          <w:tab w:val="left" w:pos="2190"/>
        </w:tabs>
        <w:spacing w:line="380" w:lineRule="exact"/>
        <w:ind w:firstLine="435" w:firstLineChars="0"/>
        <w:jc w:val="center"/>
        <w:rPr>
          <w:rFonts w:ascii="宋体" w:hAnsi="宋体" w:cs="宋体"/>
          <w:b/>
          <w:color w:val="auto"/>
          <w:kern w:val="0"/>
          <w:sz w:val="28"/>
          <w:szCs w:val="28"/>
          <w:highlight w:val="none"/>
        </w:rPr>
      </w:pPr>
    </w:p>
    <w:p w14:paraId="0DFA0A2A">
      <w:pPr>
        <w:tabs>
          <w:tab w:val="left" w:pos="2190"/>
        </w:tabs>
        <w:spacing w:line="380" w:lineRule="exact"/>
        <w:ind w:firstLine="435" w:firstLineChars="0"/>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二、磋商文件</w:t>
      </w:r>
    </w:p>
    <w:p w14:paraId="4C64A3CE">
      <w:pPr>
        <w:tabs>
          <w:tab w:val="left" w:pos="2190"/>
        </w:tabs>
        <w:spacing w:line="380" w:lineRule="exact"/>
        <w:ind w:firstLine="437" w:firstLineChars="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9.磋商文件的构成</w:t>
      </w:r>
    </w:p>
    <w:p w14:paraId="4BECF8AA">
      <w:pPr>
        <w:tabs>
          <w:tab w:val="left" w:pos="2190"/>
        </w:tabs>
        <w:spacing w:line="380" w:lineRule="exact"/>
        <w:ind w:firstLine="437"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（1）竞争性磋商公告；</w:t>
      </w:r>
    </w:p>
    <w:p w14:paraId="5D0C8200">
      <w:pPr>
        <w:tabs>
          <w:tab w:val="left" w:pos="2190"/>
        </w:tabs>
        <w:spacing w:line="380" w:lineRule="exact"/>
        <w:ind w:firstLine="437"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（2）供应商须知；</w:t>
      </w:r>
    </w:p>
    <w:p w14:paraId="43E41796">
      <w:pPr>
        <w:tabs>
          <w:tab w:val="left" w:pos="2190"/>
        </w:tabs>
        <w:spacing w:line="380" w:lineRule="exact"/>
        <w:ind w:firstLine="437"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（3）采购需求；</w:t>
      </w:r>
    </w:p>
    <w:p w14:paraId="2069AA50">
      <w:pPr>
        <w:tabs>
          <w:tab w:val="left" w:pos="2190"/>
        </w:tabs>
        <w:spacing w:line="380" w:lineRule="exact"/>
        <w:ind w:firstLine="437"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（4）评审办法；</w:t>
      </w:r>
    </w:p>
    <w:p w14:paraId="10B78A38">
      <w:pPr>
        <w:tabs>
          <w:tab w:val="left" w:pos="2190"/>
        </w:tabs>
        <w:spacing w:line="380" w:lineRule="exact"/>
        <w:ind w:firstLine="437"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（5）政府采购合同；</w:t>
      </w:r>
    </w:p>
    <w:p w14:paraId="6C3E40EF">
      <w:pPr>
        <w:tabs>
          <w:tab w:val="left" w:pos="2190"/>
        </w:tabs>
        <w:spacing w:line="380" w:lineRule="exact"/>
        <w:ind w:firstLine="437"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（6）响应文件（格式）。</w:t>
      </w:r>
    </w:p>
    <w:p w14:paraId="2B4E12AD">
      <w:pPr>
        <w:tabs>
          <w:tab w:val="left" w:pos="2190"/>
        </w:tabs>
        <w:spacing w:line="380" w:lineRule="exact"/>
        <w:ind w:firstLine="437" w:firstLineChars="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10.磋商文件的澄清与修改</w:t>
      </w:r>
    </w:p>
    <w:p w14:paraId="6D2F4871">
      <w:pPr>
        <w:tabs>
          <w:tab w:val="left" w:pos="2190"/>
        </w:tabs>
        <w:spacing w:line="380" w:lineRule="exact"/>
        <w:ind w:firstLine="437"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三个工作日前在本项目竞争性磋商公告发布的同一媒体上发布更正公告，不足三个工作日的，应当顺延首次响应文件提交截止时间。</w:t>
      </w:r>
    </w:p>
    <w:p w14:paraId="49FB0FD6">
      <w:pPr>
        <w:tabs>
          <w:tab w:val="left" w:pos="2190"/>
        </w:tabs>
        <w:spacing w:line="380" w:lineRule="exact"/>
        <w:ind w:firstLine="437"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F9B5717">
      <w:pPr>
        <w:tabs>
          <w:tab w:val="left" w:pos="2190"/>
        </w:tabs>
        <w:spacing w:line="380" w:lineRule="exact"/>
        <w:ind w:firstLine="437"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10.3澄清或者修改的内容为磋商文件的组成部分。当澄清或者修改通知就同一内容的表述不一致时，以最后发出的书面文件为准。</w:t>
      </w:r>
    </w:p>
    <w:p w14:paraId="4568D8BC">
      <w:pPr>
        <w:tabs>
          <w:tab w:val="left" w:pos="2190"/>
        </w:tabs>
        <w:spacing w:line="380" w:lineRule="exact"/>
        <w:ind w:firstLine="437"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10.4 磋商文件的澄清或者修改都应该通过本项目采购代理机构以法定形式发布，采购人非通过本机构，不得擅自澄清、答复、修改或补充磋商文件。</w:t>
      </w:r>
    </w:p>
    <w:p w14:paraId="624F73CB">
      <w:pPr>
        <w:tabs>
          <w:tab w:val="left" w:pos="2190"/>
        </w:tabs>
        <w:spacing w:line="380" w:lineRule="exact"/>
        <w:ind w:firstLine="437"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10.5 采购代理机构可以视采购具体情况，延长响应文件提交截止时间和磋商时间，并在本项目竞争性磋商公告发布的同一媒体上发布变更公告。</w:t>
      </w:r>
    </w:p>
    <w:p w14:paraId="1D1A283C">
      <w:pPr>
        <w:tabs>
          <w:tab w:val="left" w:pos="2190"/>
        </w:tabs>
        <w:spacing w:line="380" w:lineRule="exact"/>
        <w:ind w:firstLine="435" w:firstLineChars="0"/>
        <w:jc w:val="center"/>
        <w:rPr>
          <w:rFonts w:ascii="宋体" w:hAnsi="宋体" w:cs="宋体"/>
          <w:b/>
          <w:color w:val="auto"/>
          <w:kern w:val="0"/>
          <w:sz w:val="28"/>
          <w:szCs w:val="28"/>
          <w:highlight w:val="none"/>
        </w:rPr>
      </w:pPr>
    </w:p>
    <w:p w14:paraId="0F865872">
      <w:pPr>
        <w:tabs>
          <w:tab w:val="left" w:pos="2190"/>
        </w:tabs>
        <w:spacing w:line="380" w:lineRule="exact"/>
        <w:ind w:firstLine="435" w:firstLineChars="0"/>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三、响应文件的编制</w:t>
      </w:r>
    </w:p>
    <w:p w14:paraId="2FFBCE4E">
      <w:pPr>
        <w:tabs>
          <w:tab w:val="left" w:pos="2190"/>
        </w:tabs>
        <w:spacing w:line="380" w:lineRule="exact"/>
        <w:ind w:firstLine="435" w:firstLineChars="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11.响应文件（以下简称响应文件）的组成及要求</w:t>
      </w:r>
    </w:p>
    <w:p w14:paraId="6A264559">
      <w:pPr>
        <w:tabs>
          <w:tab w:val="left" w:pos="1305"/>
        </w:tabs>
        <w:spacing w:line="380" w:lineRule="exact"/>
        <w:ind w:firstLine="422"/>
        <w:rPr>
          <w:rFonts w:ascii="宋体" w:hAnsi="宋体" w:cs="宋体"/>
          <w:color w:val="auto"/>
          <w:kern w:val="0"/>
          <w:sz w:val="21"/>
          <w:szCs w:val="21"/>
          <w:highlight w:val="none"/>
        </w:rPr>
      </w:pPr>
      <w:r>
        <w:rPr>
          <w:rFonts w:hint="eastAsia" w:ascii="宋体" w:hAnsi="宋体" w:cs="宋体"/>
          <w:b/>
          <w:color w:val="auto"/>
          <w:kern w:val="0"/>
          <w:sz w:val="21"/>
          <w:szCs w:val="21"/>
          <w:highlight w:val="none"/>
        </w:rPr>
        <w:t>11.1响应文件组成【格式见第六章“响应文件（格式）”】</w:t>
      </w:r>
    </w:p>
    <w:p w14:paraId="593F5E51">
      <w:pPr>
        <w:tabs>
          <w:tab w:val="left" w:pos="1305"/>
        </w:tabs>
        <w:spacing w:line="380" w:lineRule="exact"/>
        <w:ind w:firstLine="422"/>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11.1.1资格性响应证明材料：</w:t>
      </w:r>
    </w:p>
    <w:p w14:paraId="6F123459">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（1）响应函</w:t>
      </w:r>
      <w:r>
        <w:rPr>
          <w:rFonts w:hint="eastAsia" w:ascii="宋体" w:hAnsi="宋体" w:cs="宋体"/>
          <w:b/>
          <w:color w:val="auto"/>
          <w:kern w:val="0"/>
          <w:sz w:val="21"/>
          <w:szCs w:val="21"/>
          <w:highlight w:val="none"/>
        </w:rPr>
        <w:t>（必须提供）；</w:t>
      </w:r>
    </w:p>
    <w:p w14:paraId="286F1BE4">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sz w:val="21"/>
          <w:szCs w:val="21"/>
          <w:highlight w:val="none"/>
        </w:rPr>
        <w:t>（2）供应商相应的法定代表人身份证正反两面复印件</w:t>
      </w:r>
      <w:r>
        <w:rPr>
          <w:rFonts w:hint="eastAsia" w:ascii="宋体" w:hAnsi="宋体" w:cs="宋体"/>
          <w:b/>
          <w:color w:val="auto"/>
          <w:sz w:val="21"/>
          <w:szCs w:val="21"/>
          <w:highlight w:val="none"/>
        </w:rPr>
        <w:t>（必须提供）</w:t>
      </w:r>
      <w:r>
        <w:rPr>
          <w:rFonts w:hint="eastAsia" w:ascii="宋体" w:hAnsi="宋体" w:cs="宋体"/>
          <w:color w:val="auto"/>
          <w:sz w:val="21"/>
          <w:szCs w:val="21"/>
          <w:highlight w:val="none"/>
        </w:rPr>
        <w:t>；</w:t>
      </w:r>
    </w:p>
    <w:p w14:paraId="498DC07C">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sz w:val="21"/>
          <w:szCs w:val="21"/>
          <w:highlight w:val="none"/>
        </w:rPr>
        <w:t>（3）供应商的授权委托书、委托代理人</w:t>
      </w:r>
      <w:r>
        <w:rPr>
          <w:rFonts w:hint="eastAsia" w:ascii="宋体" w:hAnsi="宋体" w:cs="宋体"/>
          <w:color w:val="auto"/>
          <w:sz w:val="21"/>
          <w:szCs w:val="24"/>
          <w:highlight w:val="none"/>
        </w:rPr>
        <w:t>身份证正反面</w:t>
      </w:r>
      <w:r>
        <w:rPr>
          <w:rFonts w:hint="eastAsia" w:ascii="宋体" w:hAnsi="宋体" w:cs="宋体"/>
          <w:color w:val="auto"/>
          <w:sz w:val="21"/>
          <w:szCs w:val="21"/>
          <w:highlight w:val="none"/>
        </w:rPr>
        <w:t>复印件</w:t>
      </w:r>
      <w:r>
        <w:rPr>
          <w:rFonts w:hint="eastAsia" w:ascii="宋体" w:hAnsi="宋体" w:cs="宋体"/>
          <w:b/>
          <w:color w:val="auto"/>
          <w:sz w:val="21"/>
          <w:szCs w:val="21"/>
          <w:highlight w:val="none"/>
        </w:rPr>
        <w:t>（委托代理时必须提供）</w:t>
      </w:r>
      <w:r>
        <w:rPr>
          <w:rFonts w:hint="eastAsia" w:ascii="宋体" w:hAnsi="宋体" w:cs="宋体"/>
          <w:color w:val="auto"/>
          <w:sz w:val="21"/>
          <w:szCs w:val="21"/>
          <w:highlight w:val="none"/>
        </w:rPr>
        <w:t>；</w:t>
      </w:r>
    </w:p>
    <w:p w14:paraId="5E1E39E6">
      <w:pPr>
        <w:tabs>
          <w:tab w:val="left" w:pos="1305"/>
        </w:tabs>
        <w:spacing w:line="38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（4）供应商的法人或者其他组织营业执照等证明文件复印件</w:t>
      </w:r>
      <w:r>
        <w:rPr>
          <w:rFonts w:hint="eastAsia" w:ascii="宋体" w:hAnsi="宋体" w:cs="宋体"/>
          <w:b/>
          <w:color w:val="auto"/>
          <w:sz w:val="21"/>
          <w:szCs w:val="21"/>
          <w:highlight w:val="none"/>
        </w:rPr>
        <w:t>（必须提供，自然人除外）；</w:t>
      </w:r>
    </w:p>
    <w:p w14:paraId="48A01920">
      <w:pPr>
        <w:tabs>
          <w:tab w:val="left" w:pos="1305"/>
        </w:tabs>
        <w:spacing w:line="380" w:lineRule="exact"/>
        <w:ind w:firstLine="422"/>
        <w:rPr>
          <w:rFonts w:ascii="宋体" w:hAnsi="宋体"/>
          <w:color w:val="auto"/>
          <w:szCs w:val="21"/>
          <w:highlight w:val="none"/>
        </w:rPr>
      </w:pPr>
      <w:r>
        <w:rPr>
          <w:rFonts w:hint="eastAsia" w:ascii="宋体" w:hAnsi="宋体" w:cs="宋体"/>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0F0C208">
      <w:pPr>
        <w:spacing w:line="380" w:lineRule="exact"/>
        <w:ind w:firstLine="411" w:firstLineChars="196"/>
        <w:rPr>
          <w:rFonts w:ascii="宋体" w:hAnsi="宋体" w:cs="宋体"/>
          <w:color w:val="auto"/>
          <w:kern w:val="0"/>
          <w:sz w:val="21"/>
          <w:szCs w:val="21"/>
          <w:highlight w:val="none"/>
        </w:rPr>
      </w:pPr>
      <w:r>
        <w:rPr>
          <w:rFonts w:hint="eastAsia" w:ascii="宋体" w:hAnsi="宋体" w:cs="宋体"/>
          <w:color w:val="auto"/>
          <w:kern w:val="0"/>
          <w:sz w:val="21"/>
          <w:szCs w:val="21"/>
          <w:highlight w:val="none"/>
        </w:rPr>
        <w:t>（5）供应商2024年度或2025年度内的财务状况报告（或2025年以来银行出具的资信证明）复印件</w:t>
      </w:r>
      <w:r>
        <w:rPr>
          <w:rFonts w:hint="eastAsia" w:ascii="宋体" w:hAnsi="宋体" w:cs="宋体"/>
          <w:b/>
          <w:color w:val="auto"/>
          <w:kern w:val="0"/>
          <w:sz w:val="21"/>
          <w:szCs w:val="21"/>
          <w:highlight w:val="none"/>
        </w:rPr>
        <w:t>（必须提供）；</w:t>
      </w:r>
    </w:p>
    <w:p w14:paraId="6F508BD6">
      <w:pPr>
        <w:spacing w:line="380" w:lineRule="exact"/>
        <w:ind w:firstLine="411" w:firstLineChars="196"/>
        <w:rPr>
          <w:rFonts w:ascii="宋体" w:hAnsi="宋体" w:cs="宋体"/>
          <w:color w:val="auto"/>
          <w:kern w:val="0"/>
          <w:sz w:val="21"/>
          <w:szCs w:val="21"/>
          <w:highlight w:val="none"/>
        </w:rPr>
      </w:pPr>
      <w:r>
        <w:rPr>
          <w:rFonts w:hint="eastAsia" w:ascii="宋体" w:hAnsi="宋体" w:cs="宋体"/>
          <w:color w:val="auto"/>
          <w:kern w:val="0"/>
          <w:sz w:val="21"/>
          <w:szCs w:val="21"/>
          <w:highlight w:val="none"/>
        </w:rPr>
        <w:t>（6）供应商依法缴纳税收的相关材料</w:t>
      </w:r>
      <w:r>
        <w:rPr>
          <w:rFonts w:hint="eastAsia" w:ascii="宋体" w:hAnsi="宋体" w:cs="宋体"/>
          <w:b/>
          <w:bCs/>
          <w:color w:val="auto"/>
          <w:kern w:val="0"/>
          <w:sz w:val="21"/>
          <w:szCs w:val="21"/>
          <w:highlight w:val="none"/>
        </w:rPr>
        <w:t>（必须提供）</w:t>
      </w:r>
      <w:r>
        <w:rPr>
          <w:rFonts w:hint="eastAsia" w:ascii="宋体" w:hAnsi="宋体" w:cs="宋体"/>
          <w:color w:val="auto"/>
          <w:kern w:val="0"/>
          <w:sz w:val="21"/>
          <w:szCs w:val="21"/>
          <w:highlight w:val="none"/>
        </w:rPr>
        <w:t>；</w:t>
      </w:r>
    </w:p>
    <w:p w14:paraId="00119645">
      <w:pPr>
        <w:spacing w:line="380" w:lineRule="exact"/>
        <w:ind w:firstLine="411" w:firstLineChars="196"/>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注：供应商必须提供2025年7月以来任意1个月的依法缴纳税收的证明材料复印件；依法免税的供应商，必须提供符合免税条件的证明材料。从成立之日起到响应文件提交截止时间止不足要求月数的，则无需提交。</w:t>
      </w:r>
    </w:p>
    <w:p w14:paraId="3DBE7C8E">
      <w:pPr>
        <w:spacing w:line="380" w:lineRule="exact"/>
        <w:ind w:firstLine="411" w:firstLineChars="196"/>
        <w:rPr>
          <w:rFonts w:ascii="宋体" w:hAnsi="宋体" w:cs="宋体"/>
          <w:color w:val="auto"/>
          <w:kern w:val="0"/>
          <w:sz w:val="21"/>
          <w:szCs w:val="21"/>
          <w:highlight w:val="none"/>
        </w:rPr>
      </w:pPr>
      <w:r>
        <w:rPr>
          <w:rFonts w:hint="eastAsia" w:ascii="宋体" w:hAnsi="宋体" w:cs="宋体"/>
          <w:color w:val="auto"/>
          <w:kern w:val="0"/>
          <w:sz w:val="21"/>
          <w:szCs w:val="21"/>
          <w:highlight w:val="none"/>
        </w:rPr>
        <w:t>（7）供应商依法缴纳社会保障资金的相关材料</w:t>
      </w:r>
      <w:r>
        <w:rPr>
          <w:rFonts w:hint="eastAsia" w:ascii="宋体" w:hAnsi="宋体" w:cs="宋体"/>
          <w:b/>
          <w:bCs/>
          <w:color w:val="auto"/>
          <w:kern w:val="0"/>
          <w:sz w:val="21"/>
          <w:szCs w:val="21"/>
          <w:highlight w:val="none"/>
        </w:rPr>
        <w:t>（必须提供）</w:t>
      </w:r>
      <w:r>
        <w:rPr>
          <w:rFonts w:hint="eastAsia" w:ascii="宋体" w:hAnsi="宋体" w:cs="宋体"/>
          <w:color w:val="auto"/>
          <w:kern w:val="0"/>
          <w:sz w:val="21"/>
          <w:szCs w:val="21"/>
          <w:highlight w:val="none"/>
        </w:rPr>
        <w:t>；　</w:t>
      </w:r>
    </w:p>
    <w:p w14:paraId="4FBD22DC">
      <w:pPr>
        <w:spacing w:line="380" w:lineRule="exact"/>
        <w:ind w:firstLine="411" w:firstLineChars="196"/>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供应商必须提供2025年7月以来任意1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25EF4025">
      <w:pPr>
        <w:spacing w:line="380" w:lineRule="exact"/>
        <w:ind w:firstLine="411" w:firstLineChars="196"/>
        <w:rPr>
          <w:rFonts w:ascii="宋体" w:hAnsi="宋体" w:cs="宋体"/>
          <w:color w:val="auto"/>
          <w:kern w:val="0"/>
          <w:sz w:val="21"/>
          <w:szCs w:val="21"/>
          <w:highlight w:val="none"/>
        </w:rPr>
      </w:pPr>
      <w:r>
        <w:rPr>
          <w:rFonts w:hint="eastAsia" w:ascii="宋体" w:hAnsi="宋体" w:cs="宋体"/>
          <w:color w:val="auto"/>
          <w:kern w:val="0"/>
          <w:sz w:val="21"/>
          <w:szCs w:val="21"/>
          <w:highlight w:val="none"/>
        </w:rPr>
        <w:t>（8）供应商参加政府采购活动前3年内在经营活动中没有重大违法记录及有关信用信息的书面声明或信用信息报告</w:t>
      </w:r>
      <w:r>
        <w:rPr>
          <w:rFonts w:hint="eastAsia" w:ascii="宋体" w:hAnsi="宋体" w:cs="宋体"/>
          <w:b/>
          <w:bCs/>
          <w:color w:val="auto"/>
          <w:kern w:val="0"/>
          <w:sz w:val="21"/>
          <w:szCs w:val="21"/>
          <w:highlight w:val="none"/>
        </w:rPr>
        <w:t>（必须提供）</w:t>
      </w:r>
      <w:r>
        <w:rPr>
          <w:rFonts w:hint="eastAsia" w:ascii="宋体" w:hAnsi="宋体" w:cs="宋体"/>
          <w:color w:val="auto"/>
          <w:kern w:val="0"/>
          <w:sz w:val="21"/>
          <w:szCs w:val="21"/>
          <w:highlight w:val="none"/>
        </w:rPr>
        <w:t>；</w:t>
      </w:r>
    </w:p>
    <w:p w14:paraId="667C8655">
      <w:pPr>
        <w:spacing w:line="380" w:lineRule="exact"/>
        <w:ind w:firstLine="413" w:firstLineChars="196"/>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注：供应商为广西经营主体的，可通过信用中国（广西）网站 （http://xygx.fgw.gxzf.gov.cn）下载信用信息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供应商根据注册地信用中国网站的要求获取。</w:t>
      </w:r>
    </w:p>
    <w:p w14:paraId="523A623D">
      <w:pPr>
        <w:spacing w:line="380" w:lineRule="exact"/>
        <w:ind w:firstLine="411" w:firstLineChars="196"/>
        <w:rPr>
          <w:rFonts w:ascii="宋体" w:hAnsi="宋体" w:cs="宋体"/>
          <w:color w:val="auto"/>
          <w:kern w:val="0"/>
          <w:sz w:val="21"/>
          <w:szCs w:val="21"/>
          <w:highlight w:val="none"/>
        </w:rPr>
      </w:pPr>
      <w:r>
        <w:rPr>
          <w:rFonts w:hint="eastAsia" w:ascii="宋体" w:hAnsi="宋体" w:cs="宋体"/>
          <w:color w:val="auto"/>
          <w:kern w:val="0"/>
          <w:sz w:val="21"/>
          <w:szCs w:val="21"/>
          <w:highlight w:val="none"/>
        </w:rPr>
        <w:t>（9）供应商参加本项目无围标串标行为的承诺函</w:t>
      </w:r>
      <w:r>
        <w:rPr>
          <w:rFonts w:hint="eastAsia" w:ascii="宋体" w:hAnsi="宋体" w:cs="宋体"/>
          <w:b/>
          <w:color w:val="auto"/>
          <w:kern w:val="0"/>
          <w:sz w:val="21"/>
          <w:szCs w:val="21"/>
          <w:highlight w:val="none"/>
        </w:rPr>
        <w:t>（必须提供）；</w:t>
      </w:r>
    </w:p>
    <w:p w14:paraId="24D7A590">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（10）供应商属于中小企业的相关证明材料</w:t>
      </w:r>
      <w:r>
        <w:rPr>
          <w:rFonts w:hint="eastAsia" w:ascii="宋体" w:hAnsi="宋体" w:cs="宋体"/>
          <w:b/>
          <w:color w:val="auto"/>
          <w:kern w:val="0"/>
          <w:sz w:val="21"/>
          <w:szCs w:val="21"/>
          <w:highlight w:val="none"/>
        </w:rPr>
        <w:t>（必须提供）；</w:t>
      </w:r>
    </w:p>
    <w:p w14:paraId="7FF75243">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供应商根据自身情况，相应提供以下证明材料：</w:t>
      </w:r>
    </w:p>
    <w:p w14:paraId="4E1BC315">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①供应商如为符合政策要求的中小企业且承接本项目全部服务的，提供《中小企业声明函》（并对声明的真实性负责）。</w:t>
      </w:r>
    </w:p>
    <w:p w14:paraId="1A17E874">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②供应商如属于监狱企业且承接本项目全部服务的，提供由省级以上监狱管理局、戒毒管理局（含新疆生产建设兵团）出具的属于监狱企业的证明文件。</w:t>
      </w:r>
    </w:p>
    <w:p w14:paraId="223D6C3B">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③供应商如属于符合条件的残疾人福利性单位且承接本项目全部服务的，提供《残疾人福利性单位声明函》（并对声明的真实性负责）。</w:t>
      </w:r>
    </w:p>
    <w:p w14:paraId="296DCEDA">
      <w:pPr>
        <w:tabs>
          <w:tab w:val="left" w:pos="1305"/>
        </w:tabs>
        <w:spacing w:line="380" w:lineRule="exact"/>
        <w:ind w:firstLine="422"/>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11.1.2符合性响应证明材料：</w:t>
      </w:r>
    </w:p>
    <w:p w14:paraId="74A55C9B">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（1）磋商报价表</w:t>
      </w:r>
      <w:r>
        <w:rPr>
          <w:rFonts w:hint="eastAsia" w:ascii="宋体" w:hAnsi="宋体" w:cs="宋体"/>
          <w:b/>
          <w:color w:val="auto"/>
          <w:kern w:val="0"/>
          <w:sz w:val="21"/>
          <w:szCs w:val="21"/>
          <w:highlight w:val="none"/>
        </w:rPr>
        <w:t>（必须提供）</w:t>
      </w:r>
      <w:r>
        <w:rPr>
          <w:rFonts w:hint="eastAsia" w:ascii="宋体" w:hAnsi="宋体" w:cs="宋体"/>
          <w:color w:val="auto"/>
          <w:kern w:val="0"/>
          <w:sz w:val="21"/>
          <w:szCs w:val="21"/>
          <w:highlight w:val="none"/>
        </w:rPr>
        <w:t>；</w:t>
      </w:r>
    </w:p>
    <w:p w14:paraId="06DE973B">
      <w:pPr>
        <w:adjustRightInd w:val="0"/>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（2）服务内容要求及商务要求响应表</w:t>
      </w:r>
      <w:r>
        <w:rPr>
          <w:rFonts w:hint="eastAsia" w:ascii="宋体" w:hAnsi="宋体" w:cs="宋体"/>
          <w:b/>
          <w:color w:val="auto"/>
          <w:sz w:val="21"/>
          <w:szCs w:val="24"/>
          <w:highlight w:val="none"/>
        </w:rPr>
        <w:t>（必须提供）</w:t>
      </w:r>
      <w:r>
        <w:rPr>
          <w:rFonts w:hint="eastAsia" w:ascii="宋体" w:hAnsi="宋体" w:cs="宋体"/>
          <w:b/>
          <w:bCs/>
          <w:color w:val="auto"/>
          <w:kern w:val="0"/>
          <w:sz w:val="21"/>
          <w:szCs w:val="21"/>
          <w:highlight w:val="none"/>
        </w:rPr>
        <w:t>；</w:t>
      </w:r>
    </w:p>
    <w:p w14:paraId="245C5BB9">
      <w:pPr>
        <w:tabs>
          <w:tab w:val="left" w:pos="1305"/>
        </w:tabs>
        <w:spacing w:line="380" w:lineRule="exact"/>
        <w:ind w:firstLine="42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（3）“采购需求”须提供的有效证明文件</w:t>
      </w:r>
      <w:r>
        <w:rPr>
          <w:rFonts w:hint="eastAsia" w:ascii="宋体" w:hAnsi="宋体" w:cs="宋体"/>
          <w:b/>
          <w:color w:val="auto"/>
          <w:kern w:val="0"/>
          <w:sz w:val="21"/>
          <w:szCs w:val="21"/>
          <w:highlight w:val="none"/>
        </w:rPr>
        <w:t>（必须提供）</w:t>
      </w:r>
      <w:r>
        <w:rPr>
          <w:rFonts w:hint="eastAsia" w:ascii="宋体" w:hAnsi="宋体" w:cs="宋体"/>
          <w:bCs/>
          <w:color w:val="auto"/>
          <w:kern w:val="0"/>
          <w:sz w:val="21"/>
          <w:szCs w:val="21"/>
          <w:highlight w:val="none"/>
        </w:rPr>
        <w:t>。</w:t>
      </w:r>
    </w:p>
    <w:p w14:paraId="06377EE9">
      <w:pPr>
        <w:tabs>
          <w:tab w:val="left" w:pos="1305"/>
        </w:tabs>
        <w:spacing w:line="380" w:lineRule="exact"/>
        <w:ind w:firstLine="422"/>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11.1.3其他有效证明材料：</w:t>
      </w:r>
    </w:p>
    <w:p w14:paraId="1A0C54B0">
      <w:pPr>
        <w:pStyle w:val="25"/>
        <w:spacing w:line="380" w:lineRule="exact"/>
        <w:ind w:firstLine="420" w:firstLineChars="200"/>
        <w:rPr>
          <w:rFonts w:ascii="宋体" w:hAnsi="宋体" w:cs="宋体"/>
          <w:color w:val="auto"/>
          <w:sz w:val="21"/>
          <w:szCs w:val="21"/>
          <w:highlight w:val="none"/>
        </w:rPr>
      </w:pPr>
      <w:r>
        <w:rPr>
          <w:rFonts w:hint="eastAsia" w:ascii="宋体" w:hAnsi="宋体" w:cs="宋体"/>
          <w:bCs/>
          <w:color w:val="auto"/>
          <w:kern w:val="0"/>
          <w:sz w:val="21"/>
          <w:szCs w:val="21"/>
          <w:highlight w:val="none"/>
        </w:rPr>
        <w:t>（</w:t>
      </w:r>
      <w:r>
        <w:rPr>
          <w:rFonts w:hint="eastAsia" w:ascii="宋体" w:hAnsi="宋体" w:cs="宋体"/>
          <w:bCs/>
          <w:color w:val="auto"/>
          <w:kern w:val="0"/>
          <w:sz w:val="21"/>
          <w:szCs w:val="21"/>
          <w:highlight w:val="none"/>
          <w:lang w:val="en-US"/>
        </w:rPr>
        <w:t>1</w:t>
      </w:r>
      <w:r>
        <w:rPr>
          <w:rFonts w:hint="eastAsia" w:ascii="宋体" w:hAnsi="宋体" w:cs="宋体"/>
          <w:bCs/>
          <w:color w:val="auto"/>
          <w:kern w:val="0"/>
          <w:sz w:val="21"/>
          <w:szCs w:val="21"/>
          <w:highlight w:val="none"/>
        </w:rPr>
        <w:t>）</w:t>
      </w:r>
      <w:r>
        <w:rPr>
          <w:rFonts w:hint="eastAsia" w:ascii="宋体" w:hAnsi="宋体" w:cs="宋体"/>
          <w:bCs/>
          <w:color w:val="auto"/>
          <w:spacing w:val="-4"/>
          <w:sz w:val="21"/>
          <w:szCs w:val="21"/>
          <w:highlight w:val="none"/>
        </w:rPr>
        <w:t>供应</w:t>
      </w:r>
      <w:r>
        <w:rPr>
          <w:rFonts w:hint="eastAsia" w:ascii="宋体" w:hAnsi="宋体" w:cs="宋体"/>
          <w:color w:val="auto"/>
          <w:spacing w:val="-4"/>
          <w:sz w:val="21"/>
          <w:szCs w:val="21"/>
          <w:highlight w:val="none"/>
        </w:rPr>
        <w:t>商的项目实施方案</w:t>
      </w:r>
      <w:r>
        <w:rPr>
          <w:rFonts w:hint="eastAsia" w:ascii="宋体" w:hAnsi="宋体" w:cs="宋体"/>
          <w:b/>
          <w:color w:val="auto"/>
          <w:sz w:val="21"/>
          <w:szCs w:val="21"/>
          <w:highlight w:val="none"/>
          <w:lang w:val="en-US"/>
        </w:rPr>
        <w:t>（如有，请提供）</w:t>
      </w:r>
      <w:r>
        <w:rPr>
          <w:rFonts w:hint="eastAsia" w:ascii="宋体" w:hAnsi="宋体" w:cs="宋体"/>
          <w:color w:val="auto"/>
          <w:spacing w:val="-4"/>
          <w:sz w:val="21"/>
          <w:szCs w:val="21"/>
          <w:highlight w:val="none"/>
        </w:rPr>
        <w:t>；</w:t>
      </w:r>
    </w:p>
    <w:p w14:paraId="6619A593">
      <w:pPr>
        <w:tabs>
          <w:tab w:val="left" w:pos="1305"/>
        </w:tabs>
        <w:spacing w:line="380" w:lineRule="exact"/>
        <w:ind w:firstLine="404"/>
        <w:rPr>
          <w:rFonts w:ascii="宋体" w:hAnsi="宋体" w:cs="宋体"/>
          <w:color w:val="auto"/>
          <w:spacing w:val="-4"/>
          <w:sz w:val="21"/>
          <w:szCs w:val="21"/>
          <w:highlight w:val="none"/>
          <w:lang w:val="en-GB"/>
        </w:rPr>
      </w:pPr>
      <w:r>
        <w:rPr>
          <w:rFonts w:hint="eastAsia" w:ascii="宋体" w:hAnsi="宋体" w:cs="宋体"/>
          <w:color w:val="auto"/>
          <w:spacing w:val="-4"/>
          <w:sz w:val="21"/>
          <w:szCs w:val="21"/>
          <w:highlight w:val="none"/>
          <w:lang w:val="en-GB"/>
        </w:rPr>
        <w:t>（</w:t>
      </w:r>
      <w:r>
        <w:rPr>
          <w:rFonts w:hint="eastAsia" w:ascii="宋体" w:hAnsi="宋体" w:cs="宋体"/>
          <w:color w:val="auto"/>
          <w:spacing w:val="-4"/>
          <w:sz w:val="21"/>
          <w:szCs w:val="21"/>
          <w:highlight w:val="none"/>
        </w:rPr>
        <w:t>2</w:t>
      </w:r>
      <w:r>
        <w:rPr>
          <w:rFonts w:hint="eastAsia" w:ascii="宋体" w:hAnsi="宋体" w:cs="宋体"/>
          <w:color w:val="auto"/>
          <w:spacing w:val="-4"/>
          <w:sz w:val="21"/>
          <w:szCs w:val="21"/>
          <w:highlight w:val="none"/>
          <w:lang w:val="en-GB"/>
        </w:rPr>
        <w:t>）</w:t>
      </w:r>
      <w:r>
        <w:rPr>
          <w:rFonts w:hint="eastAsia" w:ascii="宋体" w:hAnsi="宋体" w:cs="宋体"/>
          <w:color w:val="auto"/>
          <w:spacing w:val="-4"/>
          <w:sz w:val="21"/>
          <w:szCs w:val="21"/>
          <w:highlight w:val="none"/>
        </w:rPr>
        <w:t>供应商的</w:t>
      </w:r>
      <w:r>
        <w:rPr>
          <w:rFonts w:hint="eastAsia" w:ascii="宋体" w:hAnsi="宋体" w:cs="宋体"/>
          <w:color w:val="auto"/>
          <w:spacing w:val="-4"/>
          <w:sz w:val="21"/>
          <w:szCs w:val="21"/>
          <w:highlight w:val="none"/>
          <w:lang w:val="en-GB"/>
        </w:rPr>
        <w:t>服务方案</w:t>
      </w:r>
      <w:r>
        <w:rPr>
          <w:rFonts w:hint="eastAsia" w:ascii="宋体" w:hAnsi="宋体" w:cs="宋体"/>
          <w:b/>
          <w:bCs/>
          <w:color w:val="auto"/>
          <w:spacing w:val="-4"/>
          <w:sz w:val="21"/>
          <w:szCs w:val="21"/>
          <w:highlight w:val="none"/>
          <w:lang w:val="en-GB"/>
        </w:rPr>
        <w:t>（如有，请提供）</w:t>
      </w:r>
      <w:r>
        <w:rPr>
          <w:rFonts w:hint="eastAsia" w:ascii="宋体" w:hAnsi="宋体" w:cs="宋体"/>
          <w:color w:val="auto"/>
          <w:spacing w:val="-4"/>
          <w:sz w:val="21"/>
          <w:szCs w:val="21"/>
          <w:highlight w:val="none"/>
        </w:rPr>
        <w:t>；</w:t>
      </w:r>
    </w:p>
    <w:p w14:paraId="00F1D6BE">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bCs/>
          <w:color w:val="auto"/>
          <w:kern w:val="0"/>
          <w:sz w:val="21"/>
          <w:szCs w:val="21"/>
          <w:highlight w:val="none"/>
        </w:rPr>
        <w:t>（3）供</w:t>
      </w:r>
      <w:r>
        <w:rPr>
          <w:rFonts w:hint="eastAsia" w:ascii="宋体" w:hAnsi="宋体" w:cs="宋体"/>
          <w:color w:val="auto"/>
          <w:kern w:val="0"/>
          <w:sz w:val="21"/>
          <w:szCs w:val="21"/>
          <w:highlight w:val="none"/>
        </w:rPr>
        <w:t>应商可结合本项目的评审办法视自身情况自行提交相关证明材料</w:t>
      </w:r>
      <w:r>
        <w:rPr>
          <w:rFonts w:hint="eastAsia" w:ascii="宋体" w:hAnsi="宋体" w:cs="宋体"/>
          <w:b/>
          <w:color w:val="auto"/>
          <w:kern w:val="0"/>
          <w:sz w:val="21"/>
          <w:szCs w:val="21"/>
          <w:highlight w:val="none"/>
        </w:rPr>
        <w:t>（如有，请提供）</w:t>
      </w:r>
      <w:r>
        <w:rPr>
          <w:rFonts w:hint="eastAsia" w:ascii="宋体" w:hAnsi="宋体" w:cs="宋体"/>
          <w:color w:val="auto"/>
          <w:kern w:val="0"/>
          <w:sz w:val="21"/>
          <w:szCs w:val="21"/>
          <w:highlight w:val="none"/>
        </w:rPr>
        <w:t>。</w:t>
      </w:r>
    </w:p>
    <w:p w14:paraId="58C7DE6F">
      <w:pPr>
        <w:spacing w:line="380" w:lineRule="exact"/>
        <w:ind w:firstLine="422"/>
        <w:rPr>
          <w:rFonts w:ascii="宋体" w:hAnsi="宋体"/>
          <w:b/>
          <w:color w:val="auto"/>
          <w:sz w:val="21"/>
          <w:szCs w:val="21"/>
          <w:highlight w:val="none"/>
        </w:rPr>
      </w:pPr>
      <w:r>
        <w:rPr>
          <w:rFonts w:hint="eastAsia" w:ascii="宋体" w:hAnsi="宋体"/>
          <w:b/>
          <w:color w:val="auto"/>
          <w:sz w:val="21"/>
          <w:szCs w:val="21"/>
          <w:highlight w:val="none"/>
        </w:rPr>
        <w:t>供应商提供的以上相关证明材料必须真实有效，属于“必须提供”的材料应加盖供应商电子签章，否则，响应文件按无效处理；其中“必须提供”的材料在“响应文件（格式）”中有要求法定代表人或相应的授权委托代理人在规定位置签字（或电子签名）的，必须按规定签字（或电子签名），否则，响应文件按无效处理。</w:t>
      </w:r>
    </w:p>
    <w:p w14:paraId="06AD3700">
      <w:pPr>
        <w:spacing w:line="38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11.2供应商应按竞争性磋商文件第六章“响应文件（格式）”编制响应文件。</w:t>
      </w:r>
    </w:p>
    <w:p w14:paraId="3E239E71">
      <w:pPr>
        <w:tabs>
          <w:tab w:val="left" w:pos="1305"/>
        </w:tabs>
        <w:spacing w:line="380" w:lineRule="exact"/>
        <w:ind w:firstLine="422"/>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12.响应文件的语言及计量</w:t>
      </w:r>
    </w:p>
    <w:p w14:paraId="77822BAA">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57D2180F">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12.2 响应计量单位，磋商文件已有明确规定的，使用磋商文件规定的计量单位；磋商文件没有规定的，必须采用中华人民共和国法定计量单位（货币单位：人民币元），否则视同未响应。</w:t>
      </w:r>
    </w:p>
    <w:p w14:paraId="31F1E8AB">
      <w:pPr>
        <w:tabs>
          <w:tab w:val="left" w:pos="1305"/>
        </w:tabs>
        <w:spacing w:line="380" w:lineRule="exact"/>
        <w:ind w:firstLine="422"/>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13.磋商报价及采购预算金额</w:t>
      </w:r>
    </w:p>
    <w:p w14:paraId="2877AD35">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13.1供应商必须就“采购需求”中所竞分标的所有内容作完整唯一报价，响应文件只允许有一个报价方案，有选择的或有条件的报价将不予接受。</w:t>
      </w:r>
    </w:p>
    <w:p w14:paraId="123C8FDE">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13.2采购预算金额（人民币）：分标1预算人民币陆拾贰万元整（¥620000.00）；分标2预算人民币伍拾贰万元整（¥520000.00）；分标3预算人民币贰拾柒万元整（¥270000.00），供应商所竞分标报价超过相应分标采购预算金额的，响应文件按分标作无效处理。</w:t>
      </w:r>
    </w:p>
    <w:p w14:paraId="3867E14F">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13.3磋商报价</w:t>
      </w:r>
    </w:p>
    <w:p w14:paraId="043B6D3E">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分标1</w:t>
      </w:r>
      <w:r>
        <w:rPr>
          <w:rFonts w:hint="eastAsia" w:ascii="宋体" w:hAnsi="宋体" w:cs="宋体"/>
          <w:color w:val="auto"/>
          <w:sz w:val="21"/>
          <w:szCs w:val="21"/>
          <w:highlight w:val="none"/>
        </w:rPr>
        <w:t>磋商报价应包括本次采购范围内运维服务的价款、完成本项目服务的相关费用（包含技术服务费、耗材、拟投入本项目的设备（备机）、人员成本、劳务费、资料收集、研究、指导、交通、通讯、差旅费、管理费、利润、税费、验收以及合同明示或暗示的所有责任、义务、风险及运营期间所需水、电、通讯所需费用）、运维期间租赁费等费用总和，供应商综合考虑在报价中。该价格不因供应商在计算报价中的失误、漏项、多项而作任何调整；供应商的报价在合同实施期间应保持不变</w:t>
      </w:r>
      <w:r>
        <w:rPr>
          <w:rFonts w:hint="eastAsia" w:ascii="宋体" w:hAnsi="宋体" w:cs="宋体"/>
          <w:color w:val="auto"/>
          <w:kern w:val="0"/>
          <w:sz w:val="21"/>
          <w:szCs w:val="21"/>
          <w:highlight w:val="none"/>
        </w:rPr>
        <w:t>。</w:t>
      </w:r>
    </w:p>
    <w:p w14:paraId="76DA9952">
      <w:pPr>
        <w:tabs>
          <w:tab w:val="left" w:pos="1305"/>
        </w:tabs>
        <w:spacing w:line="380" w:lineRule="exact"/>
        <w:ind w:firstLine="420"/>
        <w:rPr>
          <w:rFonts w:ascii="宋体" w:hAnsi="宋体" w:cs="宋体"/>
          <w:color w:val="auto"/>
          <w:sz w:val="21"/>
          <w:szCs w:val="21"/>
          <w:highlight w:val="none"/>
        </w:rPr>
      </w:pPr>
      <w:r>
        <w:rPr>
          <w:rFonts w:hint="eastAsia" w:ascii="宋体" w:hAnsi="宋体" w:cs="宋体"/>
          <w:color w:val="auto"/>
          <w:kern w:val="0"/>
          <w:sz w:val="21"/>
          <w:szCs w:val="21"/>
          <w:highlight w:val="none"/>
        </w:rPr>
        <w:t>分标2：</w:t>
      </w:r>
      <w:r>
        <w:rPr>
          <w:rFonts w:hint="eastAsia" w:ascii="宋体" w:hAnsi="宋体" w:cs="宋体"/>
          <w:color w:val="auto"/>
          <w:sz w:val="21"/>
          <w:szCs w:val="21"/>
          <w:highlight w:val="none"/>
        </w:rPr>
        <w:t>磋商报价应包括本次采购范围内的服务价款、各种人力成本、拟投入设备成本、设备维修维护、零配件试剂更换、软件维护、仪器质量控制、站房维护、辅助仪器检定、防雷检测费、消防设备、水电费、交通运输费、专用工具、交通费、法定税费、不可预见费、合理利润及其它成本费等的各项费用的总和。供应商综合考虑在报价中，采购人不再支付任何费用。</w:t>
      </w:r>
    </w:p>
    <w:p w14:paraId="3B38C8AA">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sz w:val="21"/>
          <w:szCs w:val="21"/>
          <w:highlight w:val="none"/>
        </w:rPr>
        <w:t>分标3：磋商报价应包括本次采购范围内运维服务的价款、完成本项目服务的相关费用（包含技术服务费、耗材、拟投入本项目的设备（备机）、人员成本、劳务费、资料收集、研究、指导、交通、通讯、差旅费、管理费、利润、税费、验收以及合同明示或暗示的所有责任、义务、风险及运营期间所需水、电、通讯所需费用）等费用总和，供应商综合考虑在报价中。该价格不因供应商在计算报价中的失误、漏项、多项而作任何调整；供应商的报价在合同实施期间应保持不变。</w:t>
      </w:r>
    </w:p>
    <w:p w14:paraId="0C76EE90">
      <w:pPr>
        <w:tabs>
          <w:tab w:val="left" w:pos="1305"/>
        </w:tabs>
        <w:spacing w:line="380" w:lineRule="exact"/>
        <w:ind w:firstLine="420"/>
        <w:rPr>
          <w:rFonts w:ascii="宋体" w:hAnsi="宋体" w:cs="宋体"/>
          <w:b/>
          <w:color w:val="auto"/>
          <w:kern w:val="0"/>
          <w:sz w:val="21"/>
          <w:szCs w:val="21"/>
          <w:highlight w:val="none"/>
        </w:rPr>
      </w:pPr>
      <w:r>
        <w:rPr>
          <w:rFonts w:hint="eastAsia" w:ascii="宋体" w:hAnsi="宋体" w:cs="宋体"/>
          <w:color w:val="auto"/>
          <w:kern w:val="0"/>
          <w:sz w:val="21"/>
          <w:szCs w:val="21"/>
          <w:highlight w:val="none"/>
        </w:rPr>
        <w:t>13.4</w:t>
      </w:r>
      <w:r>
        <w:rPr>
          <w:rFonts w:hint="eastAsia" w:ascii="宋体" w:hAnsi="宋体"/>
          <w:color w:val="auto"/>
          <w:kern w:val="0"/>
          <w:sz w:val="21"/>
          <w:szCs w:val="21"/>
          <w:highlight w:val="none"/>
        </w:rPr>
        <w:t>未书面退出磋商的供应商必须在规定时间内登录</w:t>
      </w:r>
      <w:r>
        <w:rPr>
          <w:rFonts w:hint="eastAsia" w:ascii="宋体" w:hAnsi="宋体" w:cs="宋体"/>
          <w:color w:val="auto"/>
          <w:sz w:val="21"/>
          <w:szCs w:val="24"/>
          <w:highlight w:val="none"/>
        </w:rPr>
        <w:t>广西政府采购云平台</w:t>
      </w:r>
      <w:r>
        <w:rPr>
          <w:rFonts w:hint="eastAsia" w:ascii="宋体" w:hAnsi="宋体"/>
          <w:color w:val="auto"/>
          <w:kern w:val="0"/>
          <w:sz w:val="21"/>
          <w:szCs w:val="21"/>
          <w:highlight w:val="none"/>
        </w:rPr>
        <w:t>在线提交最后报价，其最后报价不得超出采购预算；磋商过程中磋商文件未做实质性变动的，</w:t>
      </w:r>
      <w:r>
        <w:rPr>
          <w:rFonts w:hint="eastAsia" w:ascii="宋体" w:hAnsi="宋体"/>
          <w:b/>
          <w:color w:val="auto"/>
          <w:kern w:val="0"/>
          <w:sz w:val="21"/>
          <w:szCs w:val="21"/>
          <w:highlight w:val="none"/>
        </w:rPr>
        <w:t>最后报价不得超过首次报价</w:t>
      </w:r>
      <w:r>
        <w:rPr>
          <w:rFonts w:hint="eastAsia" w:ascii="宋体" w:hAnsi="宋体" w:cs="宋体"/>
          <w:b/>
          <w:color w:val="auto"/>
          <w:kern w:val="0"/>
          <w:sz w:val="21"/>
          <w:szCs w:val="21"/>
          <w:highlight w:val="none"/>
        </w:rPr>
        <w:t xml:space="preserve">。 </w:t>
      </w:r>
    </w:p>
    <w:p w14:paraId="49AAC4C2">
      <w:pPr>
        <w:tabs>
          <w:tab w:val="left" w:pos="1305"/>
        </w:tabs>
        <w:spacing w:line="380" w:lineRule="exact"/>
        <w:ind w:firstLine="422"/>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14.响应文件有效期</w:t>
      </w:r>
    </w:p>
    <w:p w14:paraId="374B1407">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响应文件有效期：自响应文件提交截止时间之日起90天，有效期不足的响应文件将被拒绝。</w:t>
      </w:r>
    </w:p>
    <w:p w14:paraId="564C2A4E">
      <w:pPr>
        <w:tabs>
          <w:tab w:val="left" w:pos="1305"/>
        </w:tabs>
        <w:spacing w:line="380" w:lineRule="exact"/>
        <w:ind w:firstLine="422"/>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15.电子响应文件的制作、加密要求</w:t>
      </w:r>
    </w:p>
    <w:p w14:paraId="42FFE367">
      <w:pPr>
        <w:snapToGrid w:val="0"/>
        <w:spacing w:line="380" w:lineRule="exact"/>
        <w:ind w:firstLine="420"/>
        <w:jc w:val="left"/>
        <w:rPr>
          <w:rFonts w:ascii="宋体" w:hAnsi="宋体" w:cs="宋体"/>
          <w:color w:val="auto"/>
          <w:sz w:val="21"/>
          <w:szCs w:val="24"/>
          <w:highlight w:val="none"/>
        </w:rPr>
      </w:pPr>
      <w:r>
        <w:rPr>
          <w:rFonts w:hint="eastAsia" w:ascii="宋体" w:hAnsi="宋体" w:cs="宋体"/>
          <w:color w:val="auto"/>
          <w:sz w:val="21"/>
          <w:szCs w:val="24"/>
          <w:highlight w:val="none"/>
        </w:rPr>
        <w:t>15.1</w:t>
      </w:r>
      <w:r>
        <w:rPr>
          <w:rFonts w:hint="eastAsia" w:ascii="宋体" w:hAnsi="宋体" w:cs="宋体"/>
          <w:bCs/>
          <w:color w:val="auto"/>
          <w:sz w:val="21"/>
          <w:szCs w:val="21"/>
          <w:highlight w:val="none"/>
        </w:rPr>
        <w:t>供应商制作电子响应文件前，应登录广西政府采购云平台进行“申请获取采购文件”操作，否则，将导致无法在线编制响应文件并参与竞标，其不利后果由供应商自行承担</w:t>
      </w:r>
      <w:r>
        <w:rPr>
          <w:rFonts w:hint="eastAsia" w:ascii="宋体" w:hAnsi="宋体" w:cs="宋体"/>
          <w:color w:val="auto"/>
          <w:sz w:val="21"/>
          <w:szCs w:val="24"/>
          <w:highlight w:val="none"/>
        </w:rPr>
        <w:t>。</w:t>
      </w:r>
    </w:p>
    <w:p w14:paraId="6DC3C3ED">
      <w:pPr>
        <w:snapToGrid w:val="0"/>
        <w:spacing w:line="380" w:lineRule="exact"/>
        <w:ind w:firstLine="420"/>
        <w:jc w:val="left"/>
        <w:rPr>
          <w:rFonts w:ascii="宋体" w:hAnsi="宋体" w:cs="宋体"/>
          <w:color w:val="auto"/>
          <w:sz w:val="21"/>
          <w:szCs w:val="24"/>
          <w:highlight w:val="none"/>
        </w:rPr>
      </w:pPr>
      <w:r>
        <w:rPr>
          <w:rFonts w:hint="eastAsia" w:ascii="宋体" w:hAnsi="宋体" w:cs="宋体"/>
          <w:color w:val="auto"/>
          <w:sz w:val="21"/>
          <w:szCs w:val="24"/>
          <w:highlight w:val="none"/>
        </w:rPr>
        <w:t>15.2供应商下载或获取竞争性磋商文件后，登录“广西政府采购云平台电子投标客户端”，按照本磋商文件规定的响应文件格式、顺序以及广西政府采购云平台的要求，通过“广西政府采购云平台电子投标客户端”编制电子响应文件。</w:t>
      </w:r>
    </w:p>
    <w:p w14:paraId="0A404F51">
      <w:pPr>
        <w:snapToGrid w:val="0"/>
        <w:spacing w:line="380" w:lineRule="exact"/>
        <w:ind w:firstLine="420"/>
        <w:jc w:val="left"/>
        <w:rPr>
          <w:rFonts w:ascii="宋体" w:hAnsi="宋体" w:cs="宋体"/>
          <w:color w:val="auto"/>
          <w:sz w:val="21"/>
          <w:szCs w:val="24"/>
          <w:highlight w:val="none"/>
        </w:rPr>
      </w:pPr>
      <w:r>
        <w:rPr>
          <w:rFonts w:hint="eastAsia" w:ascii="宋体" w:hAnsi="宋体" w:cs="宋体"/>
          <w:color w:val="auto"/>
          <w:sz w:val="21"/>
          <w:szCs w:val="24"/>
          <w:highlight w:val="none"/>
        </w:rPr>
        <w:t>15.3</w:t>
      </w:r>
      <w:r>
        <w:rPr>
          <w:rFonts w:hint="eastAsia"/>
          <w:color w:val="auto"/>
          <w:sz w:val="21"/>
          <w:szCs w:val="24"/>
          <w:highlight w:val="none"/>
        </w:rPr>
        <w:t>供应商</w:t>
      </w:r>
      <w:r>
        <w:rPr>
          <w:color w:val="auto"/>
          <w:sz w:val="21"/>
          <w:szCs w:val="24"/>
          <w:highlight w:val="none"/>
        </w:rPr>
        <w:t>应按“</w:t>
      </w:r>
      <w:r>
        <w:rPr>
          <w:rFonts w:hint="eastAsia"/>
          <w:color w:val="auto"/>
          <w:sz w:val="21"/>
          <w:szCs w:val="24"/>
          <w:highlight w:val="none"/>
        </w:rPr>
        <w:t>广西政府采购云平台电子投标客户端</w:t>
      </w:r>
      <w:r>
        <w:rPr>
          <w:color w:val="auto"/>
          <w:sz w:val="21"/>
          <w:szCs w:val="24"/>
          <w:highlight w:val="none"/>
        </w:rPr>
        <w:t>”载明的“标书关联”功能进行电子</w:t>
      </w:r>
      <w:r>
        <w:rPr>
          <w:rFonts w:hint="eastAsia"/>
          <w:color w:val="auto"/>
          <w:sz w:val="21"/>
          <w:szCs w:val="24"/>
          <w:highlight w:val="none"/>
        </w:rPr>
        <w:t>响应</w:t>
      </w:r>
      <w:r>
        <w:rPr>
          <w:color w:val="auto"/>
          <w:sz w:val="21"/>
          <w:szCs w:val="24"/>
          <w:highlight w:val="none"/>
        </w:rPr>
        <w:t>文件的关联定位，以便</w:t>
      </w:r>
      <w:r>
        <w:rPr>
          <w:rFonts w:hint="eastAsia"/>
          <w:color w:val="auto"/>
          <w:sz w:val="21"/>
          <w:szCs w:val="24"/>
          <w:highlight w:val="none"/>
        </w:rPr>
        <w:t>磋商小组</w:t>
      </w:r>
      <w:r>
        <w:rPr>
          <w:color w:val="auto"/>
          <w:sz w:val="21"/>
          <w:szCs w:val="24"/>
          <w:highlight w:val="none"/>
        </w:rPr>
        <w:t>在评审时点击相应评审项可直接定位到该评审内容；如</w:t>
      </w:r>
      <w:r>
        <w:rPr>
          <w:rFonts w:hint="eastAsia"/>
          <w:color w:val="auto"/>
          <w:sz w:val="21"/>
          <w:szCs w:val="24"/>
          <w:highlight w:val="none"/>
        </w:rPr>
        <w:t>供应商</w:t>
      </w:r>
      <w:r>
        <w:rPr>
          <w:color w:val="auto"/>
          <w:sz w:val="21"/>
          <w:szCs w:val="24"/>
          <w:highlight w:val="none"/>
        </w:rPr>
        <w:t>的电子</w:t>
      </w:r>
      <w:r>
        <w:rPr>
          <w:rFonts w:hint="eastAsia"/>
          <w:color w:val="auto"/>
          <w:sz w:val="21"/>
          <w:szCs w:val="24"/>
          <w:highlight w:val="none"/>
        </w:rPr>
        <w:t>响应</w:t>
      </w:r>
      <w:r>
        <w:rPr>
          <w:color w:val="auto"/>
          <w:sz w:val="21"/>
          <w:szCs w:val="24"/>
          <w:highlight w:val="none"/>
        </w:rPr>
        <w:t>文件未能关联定位相应内容，或者关联定位的内容与该评审项不符，导致</w:t>
      </w:r>
      <w:r>
        <w:rPr>
          <w:rFonts w:hint="eastAsia"/>
          <w:color w:val="auto"/>
          <w:sz w:val="21"/>
          <w:szCs w:val="24"/>
          <w:highlight w:val="none"/>
        </w:rPr>
        <w:t>磋商小组</w:t>
      </w:r>
      <w:r>
        <w:rPr>
          <w:color w:val="auto"/>
          <w:sz w:val="21"/>
          <w:szCs w:val="24"/>
          <w:highlight w:val="none"/>
        </w:rPr>
        <w:t>无法查询并做出对</w:t>
      </w:r>
      <w:r>
        <w:rPr>
          <w:rFonts w:hint="eastAsia"/>
          <w:color w:val="auto"/>
          <w:sz w:val="21"/>
          <w:szCs w:val="24"/>
          <w:highlight w:val="none"/>
        </w:rPr>
        <w:t>供应商</w:t>
      </w:r>
      <w:r>
        <w:rPr>
          <w:color w:val="auto"/>
          <w:sz w:val="21"/>
          <w:szCs w:val="24"/>
          <w:highlight w:val="none"/>
        </w:rPr>
        <w:t>不利的评审，相关后果由</w:t>
      </w:r>
      <w:r>
        <w:rPr>
          <w:rFonts w:hint="eastAsia"/>
          <w:color w:val="auto"/>
          <w:sz w:val="21"/>
          <w:szCs w:val="24"/>
          <w:highlight w:val="none"/>
        </w:rPr>
        <w:t>供应商</w:t>
      </w:r>
      <w:r>
        <w:rPr>
          <w:color w:val="auto"/>
          <w:sz w:val="21"/>
          <w:szCs w:val="24"/>
          <w:highlight w:val="none"/>
        </w:rPr>
        <w:t>自行承担。</w:t>
      </w:r>
    </w:p>
    <w:p w14:paraId="602F7F69">
      <w:pPr>
        <w:snapToGrid w:val="0"/>
        <w:spacing w:line="380" w:lineRule="exact"/>
        <w:ind w:firstLine="420"/>
        <w:jc w:val="left"/>
        <w:rPr>
          <w:rFonts w:ascii="宋体" w:hAnsi="宋体" w:cs="宋体"/>
          <w:color w:val="auto"/>
          <w:sz w:val="21"/>
          <w:szCs w:val="24"/>
          <w:highlight w:val="none"/>
        </w:rPr>
      </w:pPr>
      <w:r>
        <w:rPr>
          <w:rFonts w:hint="eastAsia" w:ascii="宋体" w:hAnsi="宋体" w:cs="宋体"/>
          <w:color w:val="auto"/>
          <w:sz w:val="21"/>
          <w:szCs w:val="24"/>
          <w:highlight w:val="none"/>
        </w:rPr>
        <w:t>15.4</w:t>
      </w:r>
      <w:r>
        <w:rPr>
          <w:rFonts w:hint="eastAsia" w:ascii="宋体" w:hAnsi="宋体" w:cs="宋体"/>
          <w:color w:val="auto"/>
          <w:sz w:val="21"/>
          <w:szCs w:val="21"/>
          <w:highlight w:val="none"/>
        </w:rPr>
        <w:t>电子响应文件不得涂改，若有修改错漏处，须由法定代表人或授权委托代理人签字（或电子签名）。因响应文件字迹潦草、表达不清、内容不完整、编排混乱导致响应文件被误读、漏读，或者在竞争性磋商文件规定的部位查找不到相关内容的，其不利后果由供应商自行承担</w:t>
      </w:r>
      <w:r>
        <w:rPr>
          <w:rFonts w:hint="eastAsia" w:ascii="宋体" w:hAnsi="宋体" w:cs="宋体"/>
          <w:color w:val="auto"/>
          <w:sz w:val="21"/>
          <w:szCs w:val="24"/>
          <w:highlight w:val="none"/>
        </w:rPr>
        <w:t>。</w:t>
      </w:r>
    </w:p>
    <w:p w14:paraId="1937C6B3">
      <w:pPr>
        <w:snapToGrid w:val="0"/>
        <w:spacing w:line="380" w:lineRule="exact"/>
        <w:ind w:firstLine="420"/>
        <w:jc w:val="left"/>
        <w:rPr>
          <w:rFonts w:ascii="宋体" w:hAnsi="宋体" w:cs="宋体"/>
          <w:color w:val="auto"/>
          <w:sz w:val="21"/>
          <w:szCs w:val="24"/>
          <w:highlight w:val="none"/>
        </w:rPr>
      </w:pPr>
      <w:r>
        <w:rPr>
          <w:rFonts w:hint="eastAsia" w:ascii="宋体" w:hAnsi="宋体" w:cs="宋体"/>
          <w:color w:val="auto"/>
          <w:sz w:val="21"/>
          <w:szCs w:val="24"/>
          <w:highlight w:val="none"/>
        </w:rPr>
        <w:t>15.5供应商编制、生成电子响应文件后应当加密响应文件。供应商未按规定编制并加密的响应文件，广西政府采购云平台将予以拒收。</w:t>
      </w:r>
    </w:p>
    <w:p w14:paraId="0BCE758E">
      <w:pPr>
        <w:snapToGrid w:val="0"/>
        <w:spacing w:line="380" w:lineRule="exact"/>
        <w:ind w:firstLine="420"/>
        <w:jc w:val="left"/>
        <w:rPr>
          <w:rFonts w:ascii="宋体" w:hAnsi="宋体" w:cs="宋体"/>
          <w:b/>
          <w:color w:val="auto"/>
          <w:kern w:val="0"/>
          <w:sz w:val="21"/>
          <w:szCs w:val="21"/>
          <w:highlight w:val="none"/>
        </w:rPr>
      </w:pPr>
      <w:r>
        <w:rPr>
          <w:rFonts w:hint="eastAsia" w:ascii="宋体" w:hAnsi="宋体" w:cs="宋体"/>
          <w:color w:val="auto"/>
          <w:kern w:val="0"/>
          <w:sz w:val="21"/>
          <w:szCs w:val="21"/>
          <w:highlight w:val="none"/>
        </w:rPr>
        <w:t>15.6</w:t>
      </w:r>
      <w:r>
        <w:rPr>
          <w:rFonts w:hint="eastAsia" w:ascii="宋体" w:hAnsi="宋体" w:cs="宋体"/>
          <w:b/>
          <w:color w:val="auto"/>
          <w:kern w:val="0"/>
          <w:sz w:val="21"/>
          <w:szCs w:val="21"/>
          <w:highlight w:val="none"/>
        </w:rPr>
        <w:t>供应商公章及签字</w:t>
      </w:r>
    </w:p>
    <w:p w14:paraId="0A8088BA">
      <w:pPr>
        <w:snapToGrid w:val="0"/>
        <w:spacing w:line="380" w:lineRule="exact"/>
        <w:ind w:firstLine="420"/>
        <w:jc w:val="left"/>
        <w:rPr>
          <w:rFonts w:ascii="宋体" w:hAnsi="宋体" w:cs="宋体"/>
          <w:color w:val="auto"/>
          <w:sz w:val="21"/>
          <w:szCs w:val="24"/>
          <w:highlight w:val="none"/>
        </w:rPr>
      </w:pPr>
      <w:r>
        <w:rPr>
          <w:rFonts w:hint="eastAsia" w:ascii="宋体" w:hAnsi="宋体" w:cs="宋体"/>
          <w:color w:val="auto"/>
          <w:sz w:val="21"/>
          <w:szCs w:val="24"/>
          <w:highlight w:val="none"/>
        </w:rPr>
        <w:t>15.6.1本竞争性磋商文件中描述供应商的“公章”是指根据我国对公章的管理规定，使用供应商法定主体行为名称制作的印章，除本竞争性磋商文件有特殊规定外，供应商的其他形式印章均不能代替公章。</w:t>
      </w:r>
    </w:p>
    <w:p w14:paraId="000A0DA2">
      <w:pPr>
        <w:snapToGrid w:val="0"/>
        <w:spacing w:line="380" w:lineRule="exact"/>
        <w:ind w:firstLine="420"/>
        <w:jc w:val="left"/>
        <w:rPr>
          <w:rFonts w:ascii="宋体" w:hAnsi="宋体" w:cs="宋体"/>
          <w:color w:val="auto"/>
          <w:sz w:val="21"/>
          <w:szCs w:val="24"/>
          <w:highlight w:val="none"/>
        </w:rPr>
      </w:pPr>
      <w:r>
        <w:rPr>
          <w:rFonts w:hint="eastAsia" w:ascii="宋体" w:hAnsi="宋体" w:cs="宋体"/>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1CB9ACF6">
      <w:pPr>
        <w:snapToGrid w:val="0"/>
        <w:spacing w:line="380" w:lineRule="exact"/>
        <w:ind w:firstLine="420"/>
        <w:jc w:val="left"/>
        <w:rPr>
          <w:rFonts w:ascii="宋体" w:hAnsi="宋体" w:cs="宋体"/>
          <w:color w:val="auto"/>
          <w:sz w:val="21"/>
          <w:szCs w:val="24"/>
          <w:highlight w:val="none"/>
        </w:rPr>
      </w:pPr>
      <w:r>
        <w:rPr>
          <w:rFonts w:hint="eastAsia" w:ascii="宋体" w:hAnsi="宋体" w:cs="宋体"/>
          <w:color w:val="auto"/>
          <w:sz w:val="21"/>
          <w:szCs w:val="24"/>
          <w:highlight w:val="none"/>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p>
    <w:p w14:paraId="1A2D1A2F">
      <w:pPr>
        <w:tabs>
          <w:tab w:val="left" w:pos="1305"/>
        </w:tabs>
        <w:spacing w:line="380" w:lineRule="exact"/>
        <w:ind w:firstLine="422"/>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16.首次响应文件的提交、撤回、修改</w:t>
      </w:r>
    </w:p>
    <w:p w14:paraId="4F5242C2">
      <w:pPr>
        <w:spacing w:line="380" w:lineRule="exact"/>
        <w:ind w:firstLine="420"/>
        <w:rPr>
          <w:rFonts w:ascii="宋体" w:hAnsi="宋体" w:cs="宋体"/>
          <w:bCs/>
          <w:color w:val="auto"/>
          <w:sz w:val="21"/>
          <w:szCs w:val="21"/>
          <w:highlight w:val="none"/>
        </w:rPr>
      </w:pPr>
      <w:r>
        <w:rPr>
          <w:rFonts w:hint="eastAsia" w:ascii="宋体" w:hAnsi="宋体" w:cs="宋体"/>
          <w:color w:val="auto"/>
          <w:sz w:val="21"/>
          <w:szCs w:val="21"/>
          <w:highlight w:val="none"/>
        </w:rPr>
        <w:t>16.1响应文件的提交截止时间：</w:t>
      </w:r>
      <w:r>
        <w:rPr>
          <w:rFonts w:hint="eastAsia" w:ascii="宋体" w:hAnsi="宋体" w:cs="宋体"/>
          <w:color w:val="auto"/>
          <w:sz w:val="21"/>
          <w:szCs w:val="24"/>
          <w:highlight w:val="none"/>
          <w:u w:val="single"/>
        </w:rPr>
        <w:t>2026年</w:t>
      </w:r>
      <w:r>
        <w:rPr>
          <w:rFonts w:hint="eastAsia" w:ascii="宋体" w:hAnsi="宋体" w:cs="宋体"/>
          <w:color w:val="auto"/>
          <w:sz w:val="21"/>
          <w:szCs w:val="24"/>
          <w:highlight w:val="none"/>
          <w:u w:val="single"/>
          <w:lang w:val="en-US" w:eastAsia="zh-CN"/>
        </w:rPr>
        <w:t>3</w:t>
      </w:r>
      <w:r>
        <w:rPr>
          <w:rFonts w:hint="eastAsia" w:ascii="宋体" w:hAnsi="宋体" w:cs="宋体"/>
          <w:color w:val="auto"/>
          <w:sz w:val="21"/>
          <w:szCs w:val="24"/>
          <w:highlight w:val="none"/>
          <w:u w:val="single"/>
        </w:rPr>
        <w:t>月</w:t>
      </w:r>
      <w:r>
        <w:rPr>
          <w:rFonts w:hint="eastAsia" w:ascii="宋体" w:hAnsi="宋体" w:cs="宋体"/>
          <w:color w:val="auto"/>
          <w:sz w:val="21"/>
          <w:szCs w:val="24"/>
          <w:highlight w:val="none"/>
          <w:u w:val="single"/>
          <w:lang w:val="en-US" w:eastAsia="zh-CN"/>
        </w:rPr>
        <w:t>30</w:t>
      </w:r>
      <w:r>
        <w:rPr>
          <w:rFonts w:hint="eastAsia" w:ascii="宋体" w:hAnsi="宋体" w:cs="宋体"/>
          <w:color w:val="auto"/>
          <w:sz w:val="21"/>
          <w:szCs w:val="24"/>
          <w:highlight w:val="none"/>
          <w:u w:val="single"/>
        </w:rPr>
        <w:t>日上午9时30分</w:t>
      </w:r>
      <w:r>
        <w:rPr>
          <w:rFonts w:hint="eastAsia" w:ascii="宋体" w:hAnsi="宋体" w:cs="宋体"/>
          <w:bCs/>
          <w:color w:val="auto"/>
          <w:sz w:val="21"/>
          <w:szCs w:val="21"/>
          <w:highlight w:val="none"/>
        </w:rPr>
        <w:t>（北京时间）</w:t>
      </w:r>
    </w:p>
    <w:p w14:paraId="21D7E378">
      <w:pPr>
        <w:spacing w:line="38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16.2地点：通过</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在线提交。</w:t>
      </w:r>
    </w:p>
    <w:p w14:paraId="723E4802">
      <w:pPr>
        <w:adjustRightInd w:val="0"/>
        <w:snapToGrid w:val="0"/>
        <w:spacing w:line="380" w:lineRule="exact"/>
        <w:ind w:firstLine="420"/>
        <w:rPr>
          <w:rFonts w:ascii="宋体" w:hAnsi="宋体" w:cs="宋体"/>
          <w:bCs/>
          <w:color w:val="auto"/>
          <w:sz w:val="21"/>
          <w:szCs w:val="21"/>
          <w:highlight w:val="none"/>
        </w:rPr>
      </w:pPr>
      <w:r>
        <w:rPr>
          <w:rFonts w:hint="eastAsia" w:ascii="宋体" w:hAnsi="宋体" w:cs="宋体"/>
          <w:bCs/>
          <w:color w:val="auto"/>
          <w:sz w:val="21"/>
          <w:szCs w:val="21"/>
          <w:highlight w:val="none"/>
        </w:rPr>
        <w:t>16.3供应商应当在响应文件提交截止时间前，将生成的电子响应文件上传提交至</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highlight w:val="none"/>
        </w:rPr>
        <w:t>在响应文件提交截止时间后的响应文件有效期内，供应商不得撤回其响应文件。</w:t>
      </w:r>
      <w:r>
        <w:rPr>
          <w:rFonts w:hint="eastAsia" w:ascii="宋体" w:hAnsi="宋体" w:cs="宋体"/>
          <w:bCs/>
          <w:color w:val="auto"/>
          <w:sz w:val="21"/>
          <w:szCs w:val="21"/>
          <w:highlight w:val="none"/>
        </w:rPr>
        <w:t>响应文件提交截止时间前未成功将电子响应文件上传</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的，视为未提交响应文件。</w:t>
      </w:r>
    </w:p>
    <w:p w14:paraId="5A5D77A0">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16.4除竞争性磋商文件另有规定外，供应商所提交的响应文件不予退还。</w:t>
      </w:r>
    </w:p>
    <w:p w14:paraId="4EC31B8D">
      <w:pPr>
        <w:tabs>
          <w:tab w:val="left" w:pos="1305"/>
        </w:tabs>
        <w:spacing w:line="380" w:lineRule="exact"/>
        <w:ind w:firstLine="422"/>
        <w:rPr>
          <w:rFonts w:ascii="宋体" w:hAnsi="宋体" w:cs="宋体"/>
          <w:color w:val="auto"/>
          <w:sz w:val="18"/>
          <w:szCs w:val="18"/>
          <w:highlight w:val="none"/>
        </w:rPr>
      </w:pPr>
      <w:r>
        <w:rPr>
          <w:rFonts w:hint="eastAsia" w:ascii="宋体" w:hAnsi="宋体" w:cs="宋体"/>
          <w:b/>
          <w:color w:val="auto"/>
          <w:kern w:val="0"/>
          <w:sz w:val="21"/>
          <w:szCs w:val="21"/>
          <w:highlight w:val="none"/>
        </w:rPr>
        <w:t>17.响应文件的解密</w:t>
      </w:r>
    </w:p>
    <w:p w14:paraId="2E04D5AD">
      <w:pPr>
        <w:tabs>
          <w:tab w:val="left" w:pos="1305"/>
        </w:tabs>
        <w:spacing w:line="380" w:lineRule="exact"/>
        <w:ind w:firstLine="420"/>
        <w:rPr>
          <w:rFonts w:ascii="宋体" w:hAnsi="宋体" w:cs="宋体"/>
          <w:color w:val="auto"/>
          <w:kern w:val="0"/>
          <w:sz w:val="21"/>
          <w:szCs w:val="21"/>
          <w:highlight w:val="none"/>
        </w:rPr>
      </w:pPr>
      <w:r>
        <w:rPr>
          <w:rFonts w:ascii="宋体" w:hAnsi="宋体" w:cs="宋体"/>
          <w:color w:val="auto"/>
          <w:kern w:val="0"/>
          <w:sz w:val="21"/>
          <w:szCs w:val="21"/>
          <w:highlight w:val="none"/>
        </w:rPr>
        <w:t>响应文件提交截止时间后，采购代理机构开启解密响应文件操作，</w:t>
      </w:r>
      <w:r>
        <w:rPr>
          <w:rFonts w:hint="eastAsia" w:ascii="宋体" w:hAnsi="宋体" w:cs="宋体"/>
          <w:color w:val="auto"/>
          <w:sz w:val="21"/>
          <w:szCs w:val="24"/>
          <w:highlight w:val="none"/>
        </w:rPr>
        <w:t>广西政府采购云平台</w:t>
      </w:r>
      <w:r>
        <w:rPr>
          <w:rFonts w:ascii="宋体" w:hAnsi="宋体" w:cs="宋体"/>
          <w:color w:val="auto"/>
          <w:kern w:val="0"/>
          <w:sz w:val="21"/>
          <w:szCs w:val="21"/>
          <w:highlight w:val="none"/>
        </w:rPr>
        <w:t>向各供应商发出电子加密响应文件解密通知，由供应商在系统发出解密通知后30分钟内自行使用加密的CA通过“项目采购</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w:t>
      </w:r>
      <w:r>
        <w:rPr>
          <w:rFonts w:ascii="宋体" w:hAnsi="宋体" w:cs="宋体"/>
          <w:color w:val="auto"/>
          <w:kern w:val="0"/>
          <w:sz w:val="21"/>
          <w:szCs w:val="21"/>
          <w:highlight w:val="none"/>
        </w:rPr>
        <w:t>心</w:t>
      </w:r>
      <w:r>
        <w:rPr>
          <w:rFonts w:hint="eastAsia" w:ascii="宋体" w:hAnsi="宋体" w:cs="宋体"/>
          <w:color w:val="auto"/>
          <w:kern w:val="0"/>
          <w:sz w:val="21"/>
          <w:szCs w:val="21"/>
          <w:highlight w:val="none"/>
          <w:u w:val="single"/>
          <w:lang w:val="en-US" w:eastAsia="zh-CN"/>
        </w:rPr>
        <w:t>9</w:t>
      </w:r>
      <w:r>
        <w:rPr>
          <w:rFonts w:ascii="宋体" w:hAnsi="宋体" w:cs="宋体"/>
          <w:color w:val="auto"/>
          <w:kern w:val="0"/>
          <w:sz w:val="21"/>
          <w:szCs w:val="21"/>
          <w:highlight w:val="none"/>
        </w:rPr>
        <w:t>号开</w:t>
      </w:r>
      <w:r>
        <w:rPr>
          <w:rFonts w:ascii="宋体" w:hAnsi="宋体" w:cs="宋体"/>
          <w:color w:val="auto"/>
          <w:kern w:val="0"/>
          <w:sz w:val="21"/>
          <w:szCs w:val="21"/>
          <w:highlight w:val="none"/>
        </w:rPr>
        <w:t>标室（广西桂林市临桂区西城中路69号创业大厦西辅楼4楼北区）】</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或以电子邮件的形式提交电子备份响应文件（接收电子备份响应文件的电子邮箱为：guilinyl@vip.sina.com）</w:t>
      </w:r>
      <w:r>
        <w:rPr>
          <w:rFonts w:hint="eastAsia" w:ascii="宋体" w:hAnsi="宋体" w:cs="宋体"/>
          <w:color w:val="auto"/>
          <w:kern w:val="0"/>
          <w:sz w:val="21"/>
          <w:szCs w:val="21"/>
          <w:highlight w:val="none"/>
        </w:rPr>
        <w:t>；供应商未在上述规定的时间、地点（电子邮箱）提交的电子备份响应文件，采购代理机构不予接收或承认。</w:t>
      </w:r>
      <w:r>
        <w:rPr>
          <w:rFonts w:ascii="宋体" w:hAnsi="宋体" w:cs="宋体"/>
          <w:color w:val="auto"/>
          <w:kern w:val="0"/>
          <w:sz w:val="21"/>
          <w:szCs w:val="21"/>
          <w:highlight w:val="none"/>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highlight w:val="none"/>
        </w:rPr>
        <w:t>磋商。</w:t>
      </w:r>
    </w:p>
    <w:p w14:paraId="0A862571">
      <w:pPr>
        <w:tabs>
          <w:tab w:val="left" w:pos="1305"/>
        </w:tabs>
        <w:spacing w:line="380" w:lineRule="exact"/>
        <w:ind w:firstLine="420"/>
        <w:rPr>
          <w:rFonts w:ascii="宋体" w:hAnsi="宋体" w:cs="宋体"/>
          <w:color w:val="auto"/>
          <w:kern w:val="0"/>
          <w:sz w:val="21"/>
          <w:szCs w:val="21"/>
          <w:highlight w:val="none"/>
        </w:rPr>
      </w:pPr>
    </w:p>
    <w:p w14:paraId="5757207D">
      <w:pPr>
        <w:tabs>
          <w:tab w:val="left" w:pos="1305"/>
        </w:tabs>
        <w:spacing w:line="380" w:lineRule="exact"/>
        <w:ind w:firstLine="562"/>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四、竞争性磋商（简称磋商）与评审</w:t>
      </w:r>
    </w:p>
    <w:p w14:paraId="44863D57">
      <w:pPr>
        <w:tabs>
          <w:tab w:val="center" w:pos="4411"/>
          <w:tab w:val="left" w:pos="5475"/>
        </w:tabs>
        <w:spacing w:line="380" w:lineRule="exact"/>
        <w:ind w:firstLine="422"/>
        <w:jc w:val="left"/>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18.磋商小组组成及磋商时间、地点、人员</w:t>
      </w:r>
    </w:p>
    <w:p w14:paraId="6CEC1BF4">
      <w:pPr>
        <w:spacing w:line="380" w:lineRule="exact"/>
        <w:ind w:firstLine="435" w:firstLineChars="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18.1 磋商小组组成：</w:t>
      </w:r>
    </w:p>
    <w:p w14:paraId="38F94851">
      <w:pPr>
        <w:tabs>
          <w:tab w:val="left" w:pos="1140"/>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磋商小组由采购人代表和评审专家共3人以上（含3人）单数组成，其中评审专家人数不得少于磋商小组成员总数的2/3。</w:t>
      </w:r>
    </w:p>
    <w:p w14:paraId="4E581BD3">
      <w:pPr>
        <w:tabs>
          <w:tab w:val="left" w:pos="1305"/>
        </w:tabs>
        <w:spacing w:line="380" w:lineRule="exact"/>
        <w:ind w:firstLine="422"/>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18.2 磋商时间、地点、人员：</w:t>
      </w:r>
    </w:p>
    <w:p w14:paraId="253043AC">
      <w:pPr>
        <w:spacing w:line="380" w:lineRule="exact"/>
        <w:ind w:left="360" w:leftChars="150" w:firstLine="105" w:firstLineChars="50"/>
        <w:rPr>
          <w:rFonts w:ascii="宋体" w:hAnsi="宋体" w:cs="宋体"/>
          <w:color w:val="auto"/>
          <w:kern w:val="0"/>
          <w:sz w:val="21"/>
          <w:szCs w:val="21"/>
          <w:highlight w:val="none"/>
        </w:rPr>
      </w:pPr>
      <w:r>
        <w:rPr>
          <w:rFonts w:hint="eastAsia" w:ascii="宋体" w:hAnsi="宋体" w:cs="宋体"/>
          <w:color w:val="auto"/>
          <w:kern w:val="0"/>
          <w:sz w:val="21"/>
          <w:szCs w:val="21"/>
          <w:highlight w:val="none"/>
        </w:rPr>
        <w:t>18.2.1 磋商时间：首次响应文件提交截止时间后。</w:t>
      </w:r>
    </w:p>
    <w:p w14:paraId="47A0E50A">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18.2.2 磋商地点：</w:t>
      </w:r>
      <w:r>
        <w:rPr>
          <w:rFonts w:hint="eastAsia" w:ascii="宋体" w:hAnsi="宋体" w:cs="宋体"/>
          <w:bCs/>
          <w:color w:val="auto"/>
          <w:sz w:val="21"/>
          <w:szCs w:val="21"/>
          <w:highlight w:val="none"/>
        </w:rPr>
        <w:t>供应商代表在响应文件提交当天实时登录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027F9C62">
      <w:pPr>
        <w:tabs>
          <w:tab w:val="left" w:pos="1140"/>
        </w:tabs>
        <w:spacing w:line="380" w:lineRule="exact"/>
        <w:ind w:firstLine="478" w:firstLineChars="228"/>
        <w:rPr>
          <w:rFonts w:ascii="宋体" w:hAnsi="宋体" w:cs="宋体"/>
          <w:color w:val="auto"/>
          <w:sz w:val="21"/>
          <w:szCs w:val="21"/>
          <w:highlight w:val="none"/>
        </w:rPr>
      </w:pPr>
      <w:r>
        <w:rPr>
          <w:rFonts w:hint="eastAsia" w:ascii="宋体" w:hAnsi="宋体" w:cs="宋体"/>
          <w:color w:val="auto"/>
          <w:kern w:val="0"/>
          <w:sz w:val="21"/>
          <w:szCs w:val="21"/>
          <w:highlight w:val="none"/>
        </w:rPr>
        <w:t>18.2.3 磋商参加人员：</w:t>
      </w:r>
      <w:r>
        <w:rPr>
          <w:rFonts w:hint="eastAsia" w:ascii="宋体" w:hAnsi="宋体" w:cs="宋体"/>
          <w:color w:val="auto"/>
          <w:sz w:val="21"/>
          <w:szCs w:val="21"/>
          <w:highlight w:val="none"/>
        </w:rPr>
        <w:t>供应商法定代表人或相应的委托代理人参加磋商。请供应商</w:t>
      </w:r>
      <w:r>
        <w:rPr>
          <w:rFonts w:hint="eastAsia" w:ascii="宋体" w:hAnsi="宋体" w:cs="宋体"/>
          <w:bCs/>
          <w:color w:val="auto"/>
          <w:sz w:val="21"/>
          <w:szCs w:val="21"/>
          <w:highlight w:val="none"/>
        </w:rPr>
        <w:t>实时登录</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等候在线磋商。</w:t>
      </w:r>
    </w:p>
    <w:p w14:paraId="749F16B8">
      <w:pPr>
        <w:spacing w:line="38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18.2.4 首次响应文件提交截止时间后，登录</w:t>
      </w:r>
      <w:r>
        <w:rPr>
          <w:rFonts w:hint="eastAsia" w:ascii="宋体" w:hAnsi="宋体" w:cs="宋体"/>
          <w:bCs/>
          <w:color w:val="auto"/>
          <w:sz w:val="21"/>
          <w:szCs w:val="21"/>
          <w:highlight w:val="none"/>
        </w:rPr>
        <w:t>广西政府采购云平台</w:t>
      </w:r>
      <w:r>
        <w:rPr>
          <w:rFonts w:hint="eastAsia" w:ascii="宋体" w:hAnsi="宋体" w:cs="宋体"/>
          <w:color w:val="auto"/>
          <w:sz w:val="21"/>
          <w:szCs w:val="21"/>
          <w:highlight w:val="none"/>
        </w:rPr>
        <w:t>在线解密开启。</w:t>
      </w:r>
    </w:p>
    <w:p w14:paraId="163776C0">
      <w:pPr>
        <w:tabs>
          <w:tab w:val="left" w:pos="1140"/>
        </w:tabs>
        <w:spacing w:line="380" w:lineRule="exact"/>
        <w:ind w:left="472" w:leftChars="172" w:hanging="59" w:hangingChars="28"/>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19.评审原则和评审办法</w:t>
      </w:r>
    </w:p>
    <w:p w14:paraId="68D36F80">
      <w:pPr>
        <w:tabs>
          <w:tab w:val="left" w:pos="1140"/>
        </w:tabs>
        <w:spacing w:line="380" w:lineRule="exact"/>
        <w:ind w:firstLine="359" w:firstLineChars="171"/>
        <w:rPr>
          <w:rFonts w:ascii="宋体" w:hAnsi="宋体" w:cs="宋体"/>
          <w:color w:val="auto"/>
          <w:kern w:val="0"/>
          <w:sz w:val="21"/>
          <w:szCs w:val="21"/>
          <w:highlight w:val="none"/>
        </w:rPr>
      </w:pPr>
      <w:r>
        <w:rPr>
          <w:rFonts w:hint="eastAsia" w:ascii="宋体" w:hAnsi="宋体" w:cs="宋体"/>
          <w:color w:val="auto"/>
          <w:kern w:val="0"/>
          <w:sz w:val="21"/>
          <w:szCs w:val="20"/>
          <w:highlight w:val="none"/>
        </w:rPr>
        <w:t xml:space="preserve">19.1 </w:t>
      </w:r>
      <w:r>
        <w:rPr>
          <w:rFonts w:hint="eastAsia" w:ascii="宋体" w:hAnsi="宋体" w:cs="宋体"/>
          <w:color w:val="auto"/>
          <w:kern w:val="0"/>
          <w:sz w:val="21"/>
          <w:szCs w:val="21"/>
          <w:highlight w:val="none"/>
        </w:rPr>
        <w:t>磋商小组必须坚持公平、公正、科学和择优的原则。</w:t>
      </w:r>
    </w:p>
    <w:p w14:paraId="126973D8">
      <w:pPr>
        <w:spacing w:line="38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19.2综合评分法，具体详见“第四章 评审办法”。</w:t>
      </w:r>
    </w:p>
    <w:p w14:paraId="728DDFFC">
      <w:pPr>
        <w:spacing w:line="380" w:lineRule="exact"/>
        <w:ind w:firstLine="359" w:firstLineChars="171"/>
        <w:rPr>
          <w:rFonts w:ascii="宋体" w:hAnsi="宋体" w:cs="宋体"/>
          <w:color w:val="auto"/>
          <w:kern w:val="0"/>
          <w:sz w:val="21"/>
          <w:szCs w:val="21"/>
          <w:highlight w:val="none"/>
        </w:rPr>
      </w:pPr>
      <w:r>
        <w:rPr>
          <w:rFonts w:hint="eastAsia" w:ascii="宋体" w:hAnsi="宋体" w:cs="宋体"/>
          <w:color w:val="auto"/>
          <w:kern w:val="0"/>
          <w:sz w:val="21"/>
          <w:szCs w:val="21"/>
          <w:highlight w:val="none"/>
        </w:rPr>
        <w:t>19.3 磋商小组应按磋商文件进行评审，不得擅自更改评审办法。</w:t>
      </w:r>
    </w:p>
    <w:p w14:paraId="47D6C16E">
      <w:pPr>
        <w:spacing w:line="380" w:lineRule="exact"/>
        <w:ind w:firstLine="359" w:firstLineChars="171"/>
        <w:rPr>
          <w:rFonts w:ascii="宋体" w:hAnsi="宋体" w:cs="宋体"/>
          <w:color w:val="auto"/>
          <w:kern w:val="0"/>
          <w:sz w:val="21"/>
          <w:szCs w:val="21"/>
          <w:highlight w:val="none"/>
        </w:rPr>
      </w:pPr>
      <w:r>
        <w:rPr>
          <w:rFonts w:hint="eastAsia" w:ascii="宋体" w:hAnsi="宋体" w:cs="宋体"/>
          <w:color w:val="auto"/>
          <w:kern w:val="0"/>
          <w:sz w:val="21"/>
          <w:szCs w:val="21"/>
          <w:highlight w:val="none"/>
        </w:rPr>
        <w:t>19.4 在评审过程中，磋商小组任何人不得对某个供应商发表任何倾向性意见，不得向其他磋商小组成员明示或者暗示自己的评审意见。</w:t>
      </w:r>
    </w:p>
    <w:p w14:paraId="14C76E9B">
      <w:pPr>
        <w:tabs>
          <w:tab w:val="left" w:pos="1140"/>
        </w:tabs>
        <w:spacing w:line="380" w:lineRule="exact"/>
        <w:ind w:firstLine="359" w:firstLineChars="171"/>
        <w:rPr>
          <w:rFonts w:ascii="宋体" w:hAnsi="宋体" w:cs="宋体"/>
          <w:color w:val="auto"/>
          <w:kern w:val="0"/>
          <w:sz w:val="21"/>
          <w:szCs w:val="21"/>
          <w:highlight w:val="none"/>
        </w:rPr>
      </w:pPr>
      <w:r>
        <w:rPr>
          <w:rFonts w:hint="eastAsia" w:ascii="宋体" w:hAnsi="宋体" w:cs="宋体"/>
          <w:color w:val="auto"/>
          <w:kern w:val="0"/>
          <w:sz w:val="21"/>
          <w:szCs w:val="21"/>
          <w:highlight w:val="none"/>
        </w:rPr>
        <w:t>19.5磋商小组成员对需要共同认定的事项存在争议的，按照少数服从多数的原则作出结论。持不同意见的磋商小组成员应当在评审报告上签署不同意见并说明理由，否则视为同意。</w:t>
      </w:r>
    </w:p>
    <w:p w14:paraId="41EAFB63">
      <w:pPr>
        <w:tabs>
          <w:tab w:val="left" w:pos="1140"/>
        </w:tabs>
        <w:spacing w:line="380" w:lineRule="exact"/>
        <w:ind w:left="472" w:leftChars="172" w:hanging="59" w:hangingChars="28"/>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20.评审程序及磋商要求</w:t>
      </w:r>
    </w:p>
    <w:p w14:paraId="6EBADEF4">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20.1磋商小组成员的通讯工具或相关电子设备交由桂林市公共资源交易中心统一保管后到达评标室，采购代理机构核实磋商小组成员身份，告知回避要求，宣布评审工作纪律和程序，推选磋商小组组长。</w:t>
      </w:r>
    </w:p>
    <w:p w14:paraId="12081641">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20.2 磋商小组应当审查供应商的响应文件并作出评价；要求供应商解释或者澄清其响应文件；编写评审报告；告知采购人、采购代理机构在评审过程中发现的供应商的违法违规行为。</w:t>
      </w:r>
    </w:p>
    <w:p w14:paraId="5B4A6665">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20.3 磋商小组依据法律法规和竞争性磋商文件的规定，</w:t>
      </w:r>
      <w:r>
        <w:rPr>
          <w:rFonts w:hint="eastAsia" w:ascii="宋体" w:hAnsi="宋体" w:cs="宋体"/>
          <w:color w:val="auto"/>
          <w:kern w:val="0"/>
          <w:sz w:val="21"/>
          <w:szCs w:val="20"/>
          <w:highlight w:val="none"/>
        </w:rPr>
        <w:t>首先对响应文件进行资格性审查，</w:t>
      </w:r>
      <w:r>
        <w:rPr>
          <w:rFonts w:hint="eastAsia" w:ascii="宋体" w:hAnsi="宋体" w:cs="宋体"/>
          <w:color w:val="auto"/>
          <w:kern w:val="0"/>
          <w:sz w:val="21"/>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p>
    <w:p w14:paraId="50472607">
      <w:pPr>
        <w:spacing w:line="380" w:lineRule="exact"/>
        <w:ind w:firstLine="422"/>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20.4磋商小组在对供应商进行资格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48AC59D">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20.4.1查询渠道：《国家企业信用信息公示系统》（网址：</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rFonts w:hint="eastAsia" w:ascii="宋体" w:hAnsi="Courier New"/>
          <w:color w:val="auto"/>
          <w:sz w:val="21"/>
          <w:szCs w:val="21"/>
          <w:highlight w:val="none"/>
        </w:rPr>
        <w:t>www.gsxt.gov.cn/index.html</w:t>
      </w:r>
      <w:r>
        <w:rPr>
          <w:rFonts w:hint="eastAsia" w:ascii="宋体" w:hAnsi="Courier New"/>
          <w:color w:val="auto"/>
          <w:sz w:val="21"/>
          <w:szCs w:val="21"/>
          <w:highlight w:val="none"/>
        </w:rPr>
        <w:fldChar w:fldCharType="end"/>
      </w:r>
      <w:r>
        <w:rPr>
          <w:rFonts w:hint="eastAsia" w:ascii="宋体" w:hAnsi="宋体" w:cs="宋体"/>
          <w:color w:val="auto"/>
          <w:kern w:val="0"/>
          <w:sz w:val="21"/>
          <w:szCs w:val="21"/>
          <w:highlight w:val="none"/>
        </w:rPr>
        <w:t>）</w:t>
      </w:r>
    </w:p>
    <w:p w14:paraId="6ACC0787">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20.4.2审查流程：</w:t>
      </w:r>
    </w:p>
    <w:p w14:paraId="3049AAAC">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（1）进入《国家企业信用信息公示系统》（网址：www.gsxt.gov.cn/index.html），输入企业名称，进入企业信息主页面；</w:t>
      </w:r>
    </w:p>
    <w:p w14:paraId="1525603A">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（2）查看主页“股东及出资信息”栏，或年报中的“股东及出资信息”栏信息；</w:t>
      </w:r>
    </w:p>
    <w:p w14:paraId="55E95F72">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（3）将各供应商的股东及出资信息进行比对，得出审查结论；</w:t>
      </w:r>
    </w:p>
    <w:p w14:paraId="74FF721A">
      <w:pPr>
        <w:snapToGrid w:val="0"/>
        <w:spacing w:line="380" w:lineRule="exact"/>
        <w:ind w:firstLine="420"/>
        <w:rPr>
          <w:rFonts w:ascii="宋体" w:hAnsi="宋体" w:cs="宋体"/>
          <w:color w:val="auto"/>
          <w:kern w:val="0"/>
          <w:sz w:val="21"/>
          <w:szCs w:val="24"/>
          <w:highlight w:val="none"/>
        </w:rPr>
      </w:pPr>
      <w:r>
        <w:rPr>
          <w:rFonts w:hint="eastAsia" w:ascii="宋体" w:hAnsi="宋体" w:cs="宋体"/>
          <w:color w:val="auto"/>
          <w:kern w:val="0"/>
          <w:sz w:val="21"/>
          <w:szCs w:val="24"/>
          <w:highlight w:val="none"/>
        </w:rPr>
        <w:t>（4）将相关资料作为评审资料打印存档。</w:t>
      </w:r>
    </w:p>
    <w:p w14:paraId="06C9398C">
      <w:pPr>
        <w:spacing w:line="380" w:lineRule="exact"/>
        <w:ind w:firstLine="422"/>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做进一步核实确认，如确认供应商之间存在上述关联供应商情形的，关联供应商均按响应文件无效处理。</w:t>
      </w:r>
    </w:p>
    <w:p w14:paraId="70B16B20">
      <w:pPr>
        <w:spacing w:line="380" w:lineRule="exact"/>
        <w:ind w:firstLine="420"/>
        <w:rPr>
          <w:rFonts w:ascii="宋体" w:hAnsi="宋体" w:cs="宋体"/>
          <w:color w:val="auto"/>
          <w:sz w:val="21"/>
          <w:szCs w:val="21"/>
          <w:highlight w:val="none"/>
        </w:rPr>
      </w:pPr>
      <w:r>
        <w:rPr>
          <w:rFonts w:hint="eastAsia" w:ascii="宋体" w:hAnsi="宋体" w:cs="宋体"/>
          <w:color w:val="auto"/>
          <w:kern w:val="0"/>
          <w:sz w:val="21"/>
          <w:szCs w:val="21"/>
          <w:highlight w:val="none"/>
        </w:rPr>
        <w:t>20.5磋商小组在对响应文件的有效性、完整性和响应程度进行审查时，可以要求供应商对</w:t>
      </w:r>
      <w:r>
        <w:rPr>
          <w:rFonts w:hint="eastAsia" w:ascii="宋体" w:hAnsi="宋体" w:cs="宋体"/>
          <w:color w:val="auto"/>
          <w:sz w:val="21"/>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广西政府采购云平台采用在线书面形式，澄清、说明或者补正应当加盖供应商电子签章，或者由法定代表人或其授权委托代理人签字（或者电子签名）。</w:t>
      </w:r>
    </w:p>
    <w:p w14:paraId="61679E76">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5F370E2D">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磋商小组所有成员应当按已确定的磋商顺序集中与单一供应商分别进行磋商，并给予所有实质性响应竞争性磋商文件要求的供应商平等的磋商机会。</w:t>
      </w:r>
    </w:p>
    <w:p w14:paraId="5E27B11B">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磋商中，磋商小组不得透露与磋商有关的其他供应商的技术资料、价格和其他信息。</w:t>
      </w:r>
    </w:p>
    <w:p w14:paraId="33C25411">
      <w:pPr>
        <w:widowControl/>
        <w:tabs>
          <w:tab w:val="left" w:pos="540"/>
        </w:tabs>
        <w:spacing w:line="380" w:lineRule="exact"/>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采购代理机构（磋商小组）对磋商过程和磋商内容进行记录，磋商双方在记录上签字确认</w:t>
      </w:r>
      <w:r>
        <w:rPr>
          <w:rFonts w:hint="eastAsia" w:ascii="宋体" w:hAnsi="宋体" w:cs="宋体"/>
          <w:color w:val="auto"/>
          <w:sz w:val="21"/>
          <w:szCs w:val="21"/>
          <w:highlight w:val="none"/>
        </w:rPr>
        <w:t>（或电子签章、电子签名）</w:t>
      </w:r>
      <w:r>
        <w:rPr>
          <w:rFonts w:hint="eastAsia" w:ascii="宋体" w:hAnsi="宋体" w:cs="宋体"/>
          <w:color w:val="auto"/>
          <w:kern w:val="0"/>
          <w:sz w:val="21"/>
          <w:szCs w:val="21"/>
          <w:highlight w:val="none"/>
        </w:rPr>
        <w:t>。</w:t>
      </w:r>
    </w:p>
    <w:p w14:paraId="411FE24C">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20.6在磋商过程中，磋商小组可以根据磋商文件和磋商情况实质性变动采购需求中的技术、服务要求以及合同草案条款，但不得变动磋商文件中的其他内容。实质性变动的内容，须经采购人代表确认。</w:t>
      </w:r>
    </w:p>
    <w:p w14:paraId="7F395A71">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对磋商文件作出的实质性变动是磋商文件的有效组成部分，磋商小组应当及时通过广西政府采购云平台以书面形式同时通知所有参加磋商的供应商。</w:t>
      </w:r>
    </w:p>
    <w:p w14:paraId="564FA346">
      <w:pPr>
        <w:spacing w:line="38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供应商必须按照磋商文件的变动情况和磋商小组的要求重新提交响应文件，并由其法定代表人或相应的授权委托代表签字（或电子签名）或者加盖供应商电子签章。逾时不交的，视同放弃磋商。</w:t>
      </w:r>
    </w:p>
    <w:p w14:paraId="4837A8F1">
      <w:pPr>
        <w:widowControl/>
        <w:spacing w:line="380" w:lineRule="exact"/>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20.7最后报价</w:t>
      </w:r>
    </w:p>
    <w:p w14:paraId="1A5910B3">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20.7.1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65E27320">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发布项目终止公告并说明原因，重新开展采购活动。</w:t>
      </w:r>
    </w:p>
    <w:p w14:paraId="3B677322">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20.7.3最后报价是供应商响应文件的有效组成部分。</w:t>
      </w:r>
    </w:p>
    <w:p w14:paraId="0AB8B765">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20.8已提交响应文件的供应商，在提交最后报价之前，可以根据磋商情况书面退出磋商。</w:t>
      </w:r>
    </w:p>
    <w:p w14:paraId="6B606193">
      <w:pPr>
        <w:widowControl/>
        <w:tabs>
          <w:tab w:val="left" w:pos="540"/>
        </w:tabs>
        <w:spacing w:line="380" w:lineRule="exact"/>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未书面退出磋商的供应商必须在规定时间内通过广西政府采购云平台在线提交最后报价；磋商过程中磋商文件未做实质性变动的，</w:t>
      </w:r>
      <w:r>
        <w:rPr>
          <w:rFonts w:hint="eastAsia" w:ascii="宋体" w:hAnsi="宋体"/>
          <w:color w:val="auto"/>
          <w:sz w:val="21"/>
          <w:szCs w:val="21"/>
          <w:highlight w:val="none"/>
        </w:rPr>
        <w:t>最后报价不得超过首次报价</w:t>
      </w:r>
      <w:r>
        <w:rPr>
          <w:rFonts w:hint="eastAsia" w:ascii="宋体" w:hAnsi="宋体" w:cs="宋体"/>
          <w:color w:val="auto"/>
          <w:kern w:val="0"/>
          <w:sz w:val="21"/>
          <w:szCs w:val="21"/>
          <w:highlight w:val="none"/>
        </w:rPr>
        <w:t>。</w:t>
      </w:r>
    </w:p>
    <w:p w14:paraId="6B8C33F8">
      <w:pPr>
        <w:widowControl/>
        <w:tabs>
          <w:tab w:val="left" w:pos="540"/>
        </w:tabs>
        <w:spacing w:line="380" w:lineRule="exact"/>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20.9综合比较与评价：</w:t>
      </w:r>
    </w:p>
    <w:p w14:paraId="7CB29CC3">
      <w:pPr>
        <w:tabs>
          <w:tab w:val="left" w:pos="1140"/>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20.9.1 磋商小组按竞争性磋商文件中规定的评审办法，对资格性审查和符合性审查合格的响应文件进行商务和技术评估，综合比较与评价。</w:t>
      </w:r>
    </w:p>
    <w:p w14:paraId="6B34E5CA">
      <w:pPr>
        <w:tabs>
          <w:tab w:val="left" w:pos="1140"/>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20.9.2磋商小组成员应当独立对每个供应商的响应文件进行评价，最终汇总每个供应商的得分。各供应商的得分为所有磋商小组的有效评分的算术平均数。</w:t>
      </w:r>
    </w:p>
    <w:p w14:paraId="67606773">
      <w:pPr>
        <w:tabs>
          <w:tab w:val="left" w:pos="1140"/>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20.9.3采购代理机构对评审数据进行校对、核对，对畸高、畸低的重大差异评分提示磋商小组复核或书面说明理由。</w:t>
      </w:r>
    </w:p>
    <w:p w14:paraId="786D845C">
      <w:pPr>
        <w:spacing w:line="380" w:lineRule="exact"/>
        <w:ind w:firstLine="422"/>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20.10异常低价响应审查</w:t>
      </w:r>
    </w:p>
    <w:p w14:paraId="1C7BB89B">
      <w:pPr>
        <w:spacing w:line="380" w:lineRule="exact"/>
        <w:ind w:firstLine="422"/>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20.10.1异常低价响应情形（本项目在评审过程中出现下列情形之一的，磋商小组应当启动异常低价响应审查程序）：</w:t>
      </w:r>
    </w:p>
    <w:p w14:paraId="5165DD76">
      <w:pPr>
        <w:spacing w:line="380" w:lineRule="exact"/>
        <w:ind w:firstLine="422"/>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w:t>
      </w:r>
      <w:r>
        <w:rPr>
          <w:rFonts w:ascii="宋体" w:hAnsi="宋体" w:cs="宋体"/>
          <w:b/>
          <w:bCs/>
          <w:color w:val="auto"/>
          <w:kern w:val="0"/>
          <w:sz w:val="21"/>
          <w:szCs w:val="21"/>
          <w:highlight w:val="none"/>
        </w:rPr>
        <w:t>1</w:t>
      </w:r>
      <w:r>
        <w:rPr>
          <w:rFonts w:hint="eastAsia" w:ascii="宋体" w:hAnsi="宋体" w:cs="宋体"/>
          <w:b/>
          <w:bCs/>
          <w:color w:val="auto"/>
          <w:kern w:val="0"/>
          <w:sz w:val="21"/>
          <w:szCs w:val="21"/>
          <w:highlight w:val="none"/>
        </w:rPr>
        <w:t>）</w:t>
      </w:r>
      <w:r>
        <w:rPr>
          <w:rFonts w:ascii="宋体" w:hAnsi="宋体" w:cs="宋体"/>
          <w:b/>
          <w:bCs/>
          <w:color w:val="auto"/>
          <w:kern w:val="0"/>
          <w:sz w:val="21"/>
          <w:szCs w:val="21"/>
          <w:highlight w:val="none"/>
        </w:rPr>
        <w:t>响应报价低于全部通过符合性审查供应商响应报价平均值</w:t>
      </w:r>
      <w:r>
        <w:rPr>
          <w:rFonts w:hint="eastAsia" w:ascii="宋体" w:hAnsi="宋体" w:cs="宋体"/>
          <w:b/>
          <w:bCs/>
          <w:color w:val="auto"/>
          <w:kern w:val="0"/>
          <w:sz w:val="21"/>
          <w:szCs w:val="21"/>
          <w:highlight w:val="none"/>
        </w:rPr>
        <w:t>65</w:t>
      </w:r>
      <w:r>
        <w:rPr>
          <w:rFonts w:ascii="宋体" w:hAnsi="宋体" w:cs="宋体"/>
          <w:b/>
          <w:bCs/>
          <w:color w:val="auto"/>
          <w:kern w:val="0"/>
          <w:sz w:val="21"/>
          <w:szCs w:val="21"/>
          <w:highlight w:val="none"/>
        </w:rPr>
        <w:t>%的，即响应报价</w:t>
      </w:r>
      <w:r>
        <w:rPr>
          <w:rFonts w:hint="eastAsia" w:ascii="宋体" w:hAnsi="宋体" w:cs="宋体"/>
          <w:b/>
          <w:bCs/>
          <w:color w:val="auto"/>
          <w:kern w:val="0"/>
          <w:sz w:val="21"/>
          <w:szCs w:val="21"/>
          <w:highlight w:val="none"/>
        </w:rPr>
        <w:t>＜</w:t>
      </w:r>
      <w:r>
        <w:rPr>
          <w:rFonts w:ascii="宋体" w:hAnsi="宋体" w:cs="宋体"/>
          <w:b/>
          <w:bCs/>
          <w:color w:val="auto"/>
          <w:kern w:val="0"/>
          <w:sz w:val="21"/>
          <w:szCs w:val="21"/>
          <w:highlight w:val="none"/>
        </w:rPr>
        <w:t>全部通过符合性审查供应商响应报价平均值×</w:t>
      </w:r>
      <w:r>
        <w:rPr>
          <w:rFonts w:hint="eastAsia" w:ascii="宋体" w:hAnsi="宋体" w:cs="宋体"/>
          <w:b/>
          <w:bCs/>
          <w:color w:val="auto"/>
          <w:kern w:val="0"/>
          <w:sz w:val="21"/>
          <w:szCs w:val="21"/>
          <w:highlight w:val="none"/>
        </w:rPr>
        <w:t>65</w:t>
      </w:r>
      <w:r>
        <w:rPr>
          <w:rFonts w:ascii="宋体" w:hAnsi="宋体" w:cs="宋体"/>
          <w:b/>
          <w:bCs/>
          <w:color w:val="auto"/>
          <w:kern w:val="0"/>
          <w:sz w:val="21"/>
          <w:szCs w:val="21"/>
          <w:highlight w:val="none"/>
        </w:rPr>
        <w:t xml:space="preserve">%； </w:t>
      </w:r>
    </w:p>
    <w:p w14:paraId="4BEDD8D3">
      <w:pPr>
        <w:spacing w:line="380" w:lineRule="exact"/>
        <w:ind w:firstLine="422"/>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w:t>
      </w:r>
      <w:r>
        <w:rPr>
          <w:rFonts w:ascii="宋体" w:hAnsi="宋体" w:cs="宋体"/>
          <w:b/>
          <w:bCs/>
          <w:color w:val="auto"/>
          <w:kern w:val="0"/>
          <w:sz w:val="21"/>
          <w:szCs w:val="21"/>
          <w:highlight w:val="none"/>
        </w:rPr>
        <w:t>响应报价低于通过符合性审查的次低报价供应商响应报价</w:t>
      </w:r>
      <w:r>
        <w:rPr>
          <w:rFonts w:hint="eastAsia" w:ascii="宋体" w:hAnsi="宋体" w:cs="宋体"/>
          <w:b/>
          <w:bCs/>
          <w:color w:val="auto"/>
          <w:kern w:val="0"/>
          <w:sz w:val="21"/>
          <w:szCs w:val="21"/>
          <w:highlight w:val="none"/>
        </w:rPr>
        <w:t>65</w:t>
      </w:r>
      <w:r>
        <w:rPr>
          <w:rFonts w:ascii="宋体" w:hAnsi="宋体" w:cs="宋体"/>
          <w:b/>
          <w:bCs/>
          <w:color w:val="auto"/>
          <w:kern w:val="0"/>
          <w:sz w:val="21"/>
          <w:szCs w:val="21"/>
          <w:highlight w:val="none"/>
        </w:rPr>
        <w:t>%的，即响应报价</w:t>
      </w:r>
      <w:r>
        <w:rPr>
          <w:rFonts w:hint="eastAsia" w:ascii="宋体" w:hAnsi="宋体" w:cs="宋体"/>
          <w:b/>
          <w:bCs/>
          <w:color w:val="auto"/>
          <w:kern w:val="0"/>
          <w:sz w:val="21"/>
          <w:szCs w:val="21"/>
          <w:highlight w:val="none"/>
        </w:rPr>
        <w:t>＜</w:t>
      </w:r>
      <w:r>
        <w:rPr>
          <w:rFonts w:ascii="宋体" w:hAnsi="宋体" w:cs="宋体"/>
          <w:b/>
          <w:bCs/>
          <w:color w:val="auto"/>
          <w:kern w:val="0"/>
          <w:sz w:val="21"/>
          <w:szCs w:val="21"/>
          <w:highlight w:val="none"/>
        </w:rPr>
        <w:t>通过符合性审查的次低报价供应商响应报价×</w:t>
      </w:r>
      <w:r>
        <w:rPr>
          <w:rFonts w:hint="eastAsia" w:ascii="宋体" w:hAnsi="宋体" w:cs="宋体"/>
          <w:b/>
          <w:bCs/>
          <w:color w:val="auto"/>
          <w:kern w:val="0"/>
          <w:sz w:val="21"/>
          <w:szCs w:val="21"/>
          <w:highlight w:val="none"/>
        </w:rPr>
        <w:t>65</w:t>
      </w:r>
      <w:r>
        <w:rPr>
          <w:rFonts w:ascii="宋体" w:hAnsi="宋体" w:cs="宋体"/>
          <w:b/>
          <w:bCs/>
          <w:color w:val="auto"/>
          <w:kern w:val="0"/>
          <w:sz w:val="21"/>
          <w:szCs w:val="21"/>
          <w:highlight w:val="none"/>
        </w:rPr>
        <w:t xml:space="preserve">%； </w:t>
      </w:r>
    </w:p>
    <w:p w14:paraId="7EA3F223">
      <w:pPr>
        <w:spacing w:line="380" w:lineRule="exact"/>
        <w:ind w:firstLine="422"/>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（3）</w:t>
      </w:r>
      <w:r>
        <w:rPr>
          <w:rFonts w:ascii="宋体" w:hAnsi="宋体" w:cs="宋体"/>
          <w:b/>
          <w:bCs/>
          <w:color w:val="auto"/>
          <w:kern w:val="0"/>
          <w:sz w:val="21"/>
          <w:szCs w:val="21"/>
          <w:highlight w:val="none"/>
        </w:rPr>
        <w:t>响应报价低于采购项目</w:t>
      </w:r>
      <w:r>
        <w:rPr>
          <w:rFonts w:hint="eastAsia" w:ascii="宋体" w:hAnsi="宋体" w:cs="宋体"/>
          <w:b/>
          <w:bCs/>
          <w:color w:val="auto"/>
          <w:kern w:val="0"/>
          <w:sz w:val="21"/>
          <w:szCs w:val="21"/>
          <w:highlight w:val="none"/>
        </w:rPr>
        <w:t>采购预算金额65</w:t>
      </w:r>
      <w:r>
        <w:rPr>
          <w:rFonts w:ascii="宋体" w:hAnsi="宋体" w:cs="宋体"/>
          <w:b/>
          <w:bCs/>
          <w:color w:val="auto"/>
          <w:kern w:val="0"/>
          <w:sz w:val="21"/>
          <w:szCs w:val="21"/>
          <w:highlight w:val="none"/>
        </w:rPr>
        <w:t>%的，即响应报价</w:t>
      </w:r>
      <w:r>
        <w:rPr>
          <w:rFonts w:hint="eastAsia" w:ascii="宋体" w:hAnsi="宋体" w:cs="宋体"/>
          <w:b/>
          <w:bCs/>
          <w:color w:val="auto"/>
          <w:kern w:val="0"/>
          <w:sz w:val="21"/>
          <w:szCs w:val="21"/>
          <w:highlight w:val="none"/>
        </w:rPr>
        <w:t>＜</w:t>
      </w:r>
      <w:r>
        <w:rPr>
          <w:rFonts w:ascii="宋体" w:hAnsi="宋体" w:cs="宋体"/>
          <w:b/>
          <w:bCs/>
          <w:color w:val="auto"/>
          <w:kern w:val="0"/>
          <w:sz w:val="21"/>
          <w:szCs w:val="21"/>
          <w:highlight w:val="none"/>
        </w:rPr>
        <w:t>采购项目</w:t>
      </w:r>
      <w:r>
        <w:rPr>
          <w:rFonts w:hint="eastAsia" w:ascii="宋体" w:hAnsi="宋体" w:cs="宋体"/>
          <w:b/>
          <w:bCs/>
          <w:color w:val="auto"/>
          <w:kern w:val="0"/>
          <w:sz w:val="21"/>
          <w:szCs w:val="21"/>
          <w:highlight w:val="none"/>
        </w:rPr>
        <w:t>采购预算金额</w:t>
      </w:r>
      <w:r>
        <w:rPr>
          <w:rFonts w:ascii="宋体" w:hAnsi="宋体" w:cs="宋体"/>
          <w:b/>
          <w:bCs/>
          <w:color w:val="auto"/>
          <w:kern w:val="0"/>
          <w:sz w:val="21"/>
          <w:szCs w:val="21"/>
          <w:highlight w:val="none"/>
        </w:rPr>
        <w:t>×</w:t>
      </w:r>
      <w:r>
        <w:rPr>
          <w:rFonts w:hint="eastAsia" w:ascii="宋体" w:hAnsi="宋体" w:cs="宋体"/>
          <w:b/>
          <w:bCs/>
          <w:color w:val="auto"/>
          <w:kern w:val="0"/>
          <w:sz w:val="21"/>
          <w:szCs w:val="21"/>
          <w:highlight w:val="none"/>
        </w:rPr>
        <w:t>65</w:t>
      </w:r>
      <w:r>
        <w:rPr>
          <w:rFonts w:ascii="宋体" w:hAnsi="宋体" w:cs="宋体"/>
          <w:b/>
          <w:bCs/>
          <w:color w:val="auto"/>
          <w:kern w:val="0"/>
          <w:sz w:val="21"/>
          <w:szCs w:val="21"/>
          <w:highlight w:val="none"/>
        </w:rPr>
        <w:t xml:space="preserve">%； </w:t>
      </w:r>
    </w:p>
    <w:p w14:paraId="728D2099">
      <w:pPr>
        <w:spacing w:line="380" w:lineRule="exact"/>
        <w:ind w:firstLine="422"/>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（4）磋商小组</w:t>
      </w:r>
      <w:r>
        <w:rPr>
          <w:rFonts w:ascii="宋体" w:hAnsi="宋体" w:cs="宋体"/>
          <w:b/>
          <w:bCs/>
          <w:color w:val="auto"/>
          <w:kern w:val="0"/>
          <w:sz w:val="21"/>
          <w:szCs w:val="21"/>
          <w:highlight w:val="none"/>
        </w:rPr>
        <w:t xml:space="preserve">基于专业判断，认为供应商报价过低，有可能影响产品质量或者不能诚信履约的其他情形。 </w:t>
      </w:r>
    </w:p>
    <w:p w14:paraId="2B287F66">
      <w:pPr>
        <w:spacing w:line="380" w:lineRule="exact"/>
        <w:ind w:firstLine="422"/>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20.10.2</w:t>
      </w:r>
      <w:bookmarkStart w:id="37" w:name="OLE_LINK40"/>
      <w:r>
        <w:rPr>
          <w:rFonts w:hint="eastAsia" w:ascii="宋体" w:hAnsi="宋体" w:cs="宋体"/>
          <w:b/>
          <w:bCs/>
          <w:color w:val="auto"/>
          <w:kern w:val="0"/>
          <w:sz w:val="21"/>
          <w:szCs w:val="21"/>
          <w:highlight w:val="none"/>
        </w:rPr>
        <w:t>异常低价竞标审查</w:t>
      </w:r>
      <w:bookmarkEnd w:id="37"/>
      <w:r>
        <w:rPr>
          <w:rFonts w:hint="eastAsia" w:ascii="宋体" w:hAnsi="宋体" w:cs="宋体"/>
          <w:b/>
          <w:bCs/>
          <w:color w:val="auto"/>
          <w:kern w:val="0"/>
          <w:sz w:val="21"/>
          <w:szCs w:val="21"/>
          <w:highlight w:val="none"/>
        </w:rPr>
        <w:t>流程：</w:t>
      </w:r>
    </w:p>
    <w:p w14:paraId="4BAC4299">
      <w:pPr>
        <w:spacing w:line="380" w:lineRule="exact"/>
        <w:ind w:firstLine="422"/>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磋商小组启动异常低价竞标审查程序后，应当要求相关供应商在评审现场合理的时间内提供书面说明及必要的证明材料，对磋商价格作出解释。书面说明、证明材料主要是项目具体成本测算等与报价合理性相关的说明、材料。磋商小组应当结合同类产品在主要电商平台的价格、该行业当地薪资水平等情况，依据专业经验对报价合理性进行判断。如果供应商不提供书面说明、证明材料，或者提供的书面说明、证明材料不能证明其报价合理性的，磋商小组应当将其作为响应文件无效处理。以上审查相关情况应当在评审报告中记录。</w:t>
      </w:r>
    </w:p>
    <w:p w14:paraId="2A83B98E">
      <w:pPr>
        <w:tabs>
          <w:tab w:val="left" w:pos="1140"/>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20.11 在评审过程中出现法律法规和磋商文件均没有明确规定的情形时，由磋商小组现场协商解决，协商不一致的，由全体磋商小组投票表决，以得票率二分之一以上专家的意见为准。</w:t>
      </w:r>
    </w:p>
    <w:p w14:paraId="1A724B7D">
      <w:pPr>
        <w:tabs>
          <w:tab w:val="left" w:pos="1140"/>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20.12采购代理机构发现磋商小组有明显的违规倾向或歧视现象，或不按评审办法进行，或其他不正常行为的，应当及时制止。如制止无效，应及时向</w:t>
      </w:r>
      <w:r>
        <w:rPr>
          <w:rFonts w:hint="eastAsia" w:ascii="宋体" w:hAnsi="宋体" w:cs="宋体"/>
          <w:color w:val="auto"/>
          <w:sz w:val="21"/>
          <w:szCs w:val="21"/>
          <w:highlight w:val="none"/>
        </w:rPr>
        <w:t>桂林市</w:t>
      </w:r>
      <w:r>
        <w:rPr>
          <w:rFonts w:hint="eastAsia" w:ascii="宋体" w:hAnsi="宋体" w:cs="宋体"/>
          <w:color w:val="auto"/>
          <w:kern w:val="0"/>
          <w:sz w:val="21"/>
          <w:szCs w:val="21"/>
          <w:highlight w:val="none"/>
        </w:rPr>
        <w:t>政府采购监督管理机构报告。</w:t>
      </w:r>
    </w:p>
    <w:p w14:paraId="2DC6B827">
      <w:pPr>
        <w:spacing w:line="380" w:lineRule="exact"/>
        <w:ind w:firstLine="422"/>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21.</w:t>
      </w:r>
      <w:r>
        <w:rPr>
          <w:rFonts w:hint="eastAsia" w:ascii="宋体" w:hAnsi="宋体" w:cs="宋体"/>
          <w:b/>
          <w:color w:val="auto"/>
          <w:kern w:val="0"/>
          <w:sz w:val="21"/>
          <w:szCs w:val="20"/>
          <w:highlight w:val="none"/>
        </w:rPr>
        <w:t>推荐及确定成交候选供应商原则</w:t>
      </w:r>
    </w:p>
    <w:p w14:paraId="3B937D6B">
      <w:pPr>
        <w:tabs>
          <w:tab w:val="left" w:pos="1140"/>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服务方案分由高到低顺序排列并推荐成交候选供应商。</w:t>
      </w:r>
    </w:p>
    <w:p w14:paraId="243F5621">
      <w:pPr>
        <w:tabs>
          <w:tab w:val="left" w:pos="1140"/>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采购代理机构在评审结束后2个工作日内将评审报告送采购人确认。采购人应当在收到评审报告后5个工作日内，从评审报告提出的成交候选供应商中，按照排序由高到低的原则确定成交供应商。</w:t>
      </w:r>
      <w:r>
        <w:rPr>
          <w:rFonts w:hint="eastAsia" w:ascii="宋体" w:hAnsi="宋体" w:cs="宋体"/>
          <w:color w:val="auto"/>
          <w:kern w:val="0"/>
          <w:sz w:val="21"/>
          <w:szCs w:val="21"/>
          <w:highlight w:val="none"/>
        </w:rPr>
        <w:t>本项目确定一名成交供应商。</w:t>
      </w:r>
    </w:p>
    <w:p w14:paraId="2CD7E4D0">
      <w:pPr>
        <w:tabs>
          <w:tab w:val="left" w:pos="1140"/>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7171DB92">
      <w:pPr>
        <w:tabs>
          <w:tab w:val="left" w:pos="1140"/>
        </w:tabs>
        <w:spacing w:line="380" w:lineRule="exact"/>
        <w:ind w:firstLine="422"/>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4）本项目分为分标1、分标1、分标3三个分标，供应商可以参与任意一个或多个分标的磋商，但最多只能成为其中1个分标的成交供应商，推荐原则如下：本项目评审顺序为分标1→分标2→分标3，若某供应商同时在两个或以上分标综合得分排名第一时，则按分标1→分标2→分标3的先后顺序推荐成交候选供应商。即该供应商一旦被推荐为分标1的第一成交候选供应商，则在其综合得分排名第一的其他分标将被推荐为末位成交候选供应商，相应分标的其他供应商排名依次自动上升一位，以此类推，直至所有分标成交候选供应商推荐顺序确定为止。</w:t>
      </w:r>
    </w:p>
    <w:p w14:paraId="38017257">
      <w:pPr>
        <w:tabs>
          <w:tab w:val="left" w:pos="1140"/>
        </w:tabs>
        <w:spacing w:line="380" w:lineRule="exact"/>
        <w:ind w:firstLine="422"/>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 xml:space="preserve"> 注：当不同分标排名第一的供应商出现单位负责人为同一人或者存在控股、管理关系情形时，将视同为同一投标人，成交候选供应商的推荐按上述推荐原则执行。</w:t>
      </w:r>
    </w:p>
    <w:p w14:paraId="2A8C48A7">
      <w:pPr>
        <w:widowControl/>
        <w:shd w:val="clear" w:color="auto" w:fill="FFFFFF"/>
        <w:spacing w:line="380" w:lineRule="exact"/>
        <w:ind w:firstLine="480" w:firstLineChars="0"/>
        <w:jc w:val="left"/>
        <w:rPr>
          <w:rFonts w:ascii="宋体" w:hAnsi="宋体" w:cs="宋体"/>
          <w:b/>
          <w:color w:val="auto"/>
          <w:kern w:val="0"/>
          <w:sz w:val="21"/>
          <w:szCs w:val="21"/>
          <w:highlight w:val="none"/>
        </w:rPr>
      </w:pPr>
      <w:r>
        <w:rPr>
          <w:rFonts w:hint="eastAsia" w:ascii="宋体" w:hAnsi="宋体" w:cs="宋体"/>
          <w:b/>
          <w:bCs/>
          <w:color w:val="auto"/>
          <w:kern w:val="0"/>
          <w:sz w:val="21"/>
          <w:szCs w:val="21"/>
          <w:highlight w:val="none"/>
        </w:rPr>
        <w:t>22.</w:t>
      </w:r>
      <w:r>
        <w:rPr>
          <w:rFonts w:hint="eastAsia" w:ascii="宋体" w:hAnsi="宋体" w:cs="宋体"/>
          <w:b/>
          <w:color w:val="auto"/>
          <w:kern w:val="0"/>
          <w:sz w:val="21"/>
          <w:szCs w:val="21"/>
          <w:highlight w:val="none"/>
        </w:rPr>
        <w:t>属于下列情况之一者，响应文件无效：</w:t>
      </w:r>
    </w:p>
    <w:p w14:paraId="62CBE85C">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（1）未按磋商文件规定完整提交响应文件或未按规定要求签字、签章的，或未提供授权委托书（委托代理的）；</w:t>
      </w:r>
    </w:p>
    <w:p w14:paraId="439E0C61">
      <w:pPr>
        <w:snapToGrid w:val="0"/>
        <w:spacing w:line="380" w:lineRule="exact"/>
        <w:ind w:firstLine="420"/>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（2）超越了行政审批的经营范围的；</w:t>
      </w:r>
    </w:p>
    <w:p w14:paraId="214DC1DA">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（3）不具备磋商文件规定的资格要求的</w:t>
      </w:r>
      <w:r>
        <w:rPr>
          <w:rFonts w:hint="eastAsia" w:ascii="宋体" w:hAnsi="宋体" w:cs="宋体"/>
          <w:color w:val="auto"/>
          <w:kern w:val="0"/>
          <w:sz w:val="21"/>
          <w:szCs w:val="24"/>
          <w:highlight w:val="none"/>
        </w:rPr>
        <w:t>；</w:t>
      </w:r>
    </w:p>
    <w:p w14:paraId="3F128F27">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（4）响应文件未按磋商文件的内容和要求编制，或提供虚假材料的；</w:t>
      </w:r>
    </w:p>
    <w:p w14:paraId="460AA588">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（5）响应文件有效期、服务年限、服务承诺不能满足磋商文件要求的；</w:t>
      </w:r>
    </w:p>
    <w:p w14:paraId="217D2E7F">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hint="eastAsia" w:ascii="宋体" w:hAnsi="宋体" w:cs="宋体"/>
          <w:color w:val="auto"/>
          <w:kern w:val="0"/>
          <w:sz w:val="21"/>
          <w:szCs w:val="24"/>
          <w:highlight w:val="none"/>
        </w:rPr>
        <w:t>供应商</w:t>
      </w:r>
      <w:r>
        <w:rPr>
          <w:rFonts w:hint="eastAsia" w:ascii="宋体" w:hAnsi="宋体" w:cs="宋体"/>
          <w:color w:val="auto"/>
          <w:kern w:val="0"/>
          <w:sz w:val="21"/>
          <w:szCs w:val="21"/>
          <w:highlight w:val="none"/>
        </w:rPr>
        <w:t>未就“采购需求”中的所有服务内容作完整唯一报价的</w:t>
      </w:r>
      <w:r>
        <w:rPr>
          <w:rFonts w:hint="eastAsia" w:ascii="宋体" w:hAnsi="宋体" w:cs="宋体"/>
          <w:color w:val="auto"/>
          <w:kern w:val="0"/>
          <w:sz w:val="21"/>
          <w:szCs w:val="24"/>
          <w:highlight w:val="none"/>
        </w:rPr>
        <w:t>；</w:t>
      </w:r>
    </w:p>
    <w:p w14:paraId="5A6D7AAD">
      <w:pPr>
        <w:snapToGrid w:val="0"/>
        <w:spacing w:line="380" w:lineRule="exact"/>
        <w:ind w:firstLine="411" w:firstLineChars="196"/>
        <w:outlineLvl w:val="4"/>
        <w:rPr>
          <w:rFonts w:ascii="宋体" w:hAnsi="宋体" w:cs="宋体"/>
          <w:color w:val="auto"/>
          <w:kern w:val="0"/>
          <w:sz w:val="21"/>
          <w:szCs w:val="24"/>
          <w:highlight w:val="none"/>
        </w:rPr>
      </w:pPr>
      <w:r>
        <w:rPr>
          <w:rFonts w:hint="eastAsia" w:ascii="宋体" w:hAnsi="宋体" w:cs="宋体"/>
          <w:color w:val="auto"/>
          <w:kern w:val="0"/>
          <w:sz w:val="21"/>
          <w:szCs w:val="24"/>
          <w:highlight w:val="none"/>
        </w:rPr>
        <w:t>（7）</w:t>
      </w:r>
      <w:r>
        <w:rPr>
          <w:rFonts w:hint="eastAsia" w:ascii="宋体" w:hAnsi="宋体" w:cs="宋体"/>
          <w:color w:val="auto"/>
          <w:kern w:val="0"/>
          <w:sz w:val="21"/>
          <w:szCs w:val="21"/>
          <w:highlight w:val="none"/>
        </w:rPr>
        <w:t>未在磋商小组规定的时间内重新提交响应文件的；</w:t>
      </w:r>
    </w:p>
    <w:p w14:paraId="3508360F">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（8）未满足磋商文件实质性要求的；或者响应文件有采购人不能接受的附加条件的；</w:t>
      </w:r>
    </w:p>
    <w:p w14:paraId="170EB6EB">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（9）供应商为联合体参与磋商的；</w:t>
      </w:r>
    </w:p>
    <w:p w14:paraId="2A8C0434">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0"/>
          <w:highlight w:val="none"/>
        </w:rPr>
        <w:t>（10）</w:t>
      </w:r>
      <w:r>
        <w:rPr>
          <w:rFonts w:hint="eastAsia" w:ascii="宋体" w:hAnsi="宋体" w:cs="宋体"/>
          <w:color w:val="auto"/>
          <w:kern w:val="0"/>
          <w:sz w:val="21"/>
          <w:szCs w:val="21"/>
          <w:highlight w:val="none"/>
        </w:rPr>
        <w:t>不符合法律法规和磋商文件规定的其他实质性要求和条件的。</w:t>
      </w:r>
    </w:p>
    <w:p w14:paraId="588A0685">
      <w:pPr>
        <w:snapToGrid w:val="0"/>
        <w:spacing w:line="380" w:lineRule="exact"/>
        <w:ind w:left="406" w:leftChars="169" w:firstLine="103" w:firstLineChars="49"/>
        <w:outlineLvl w:val="4"/>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供应商有下列情形之一的，视为串通参与磋商，响应文件将被视为无效：</w:t>
      </w:r>
    </w:p>
    <w:p w14:paraId="42290F08">
      <w:pPr>
        <w:snapToGrid w:val="0"/>
        <w:spacing w:line="380" w:lineRule="exact"/>
        <w:ind w:left="406" w:leftChars="169" w:firstLine="102" w:firstLineChars="49"/>
        <w:outlineLvl w:val="4"/>
        <w:rPr>
          <w:rFonts w:ascii="宋体" w:hAnsi="宋体" w:cs="宋体"/>
          <w:color w:val="auto"/>
          <w:kern w:val="0"/>
          <w:sz w:val="21"/>
          <w:szCs w:val="24"/>
          <w:highlight w:val="none"/>
        </w:rPr>
      </w:pPr>
      <w:r>
        <w:rPr>
          <w:rFonts w:hint="eastAsia" w:ascii="宋体" w:hAnsi="宋体" w:cs="宋体"/>
          <w:color w:val="auto"/>
          <w:kern w:val="0"/>
          <w:sz w:val="21"/>
          <w:szCs w:val="24"/>
          <w:highlight w:val="none"/>
        </w:rPr>
        <w:t>（1）不同供应商的响应文件由同一单位或者个人编制的；</w:t>
      </w:r>
    </w:p>
    <w:p w14:paraId="3C328344">
      <w:pPr>
        <w:snapToGrid w:val="0"/>
        <w:spacing w:line="380" w:lineRule="exact"/>
        <w:ind w:left="406" w:leftChars="169" w:firstLine="102" w:firstLineChars="49"/>
        <w:outlineLvl w:val="4"/>
        <w:rPr>
          <w:rFonts w:ascii="宋体" w:hAnsi="宋体" w:cs="宋体"/>
          <w:color w:val="auto"/>
          <w:kern w:val="0"/>
          <w:sz w:val="21"/>
          <w:szCs w:val="24"/>
          <w:highlight w:val="none"/>
        </w:rPr>
      </w:pPr>
      <w:r>
        <w:rPr>
          <w:rFonts w:hint="eastAsia" w:ascii="宋体" w:hAnsi="宋体" w:cs="宋体"/>
          <w:color w:val="auto"/>
          <w:kern w:val="0"/>
          <w:sz w:val="21"/>
          <w:szCs w:val="24"/>
          <w:highlight w:val="none"/>
        </w:rPr>
        <w:t>（2）不同供应商委托同一单位或者个人办理磋商事宜的；</w:t>
      </w:r>
    </w:p>
    <w:p w14:paraId="78E2ADFA">
      <w:pPr>
        <w:snapToGrid w:val="0"/>
        <w:spacing w:line="380" w:lineRule="exact"/>
        <w:ind w:left="406" w:leftChars="169" w:firstLine="102" w:firstLineChars="49"/>
        <w:outlineLvl w:val="4"/>
        <w:rPr>
          <w:rFonts w:ascii="宋体" w:hAnsi="宋体" w:cs="宋体"/>
          <w:color w:val="auto"/>
          <w:kern w:val="0"/>
          <w:sz w:val="21"/>
          <w:szCs w:val="24"/>
          <w:highlight w:val="none"/>
        </w:rPr>
      </w:pPr>
      <w:r>
        <w:rPr>
          <w:rFonts w:hint="eastAsia" w:ascii="宋体" w:hAnsi="宋体" w:cs="宋体"/>
          <w:color w:val="auto"/>
          <w:kern w:val="0"/>
          <w:sz w:val="21"/>
          <w:szCs w:val="24"/>
          <w:highlight w:val="none"/>
        </w:rPr>
        <w:t>（3）不同的供应商的响应文件载明的项目管理员为同一个人的；</w:t>
      </w:r>
    </w:p>
    <w:p w14:paraId="2B394DB4">
      <w:pPr>
        <w:snapToGrid w:val="0"/>
        <w:spacing w:line="380" w:lineRule="exact"/>
        <w:ind w:left="406" w:leftChars="169" w:firstLine="102" w:firstLineChars="49"/>
        <w:outlineLvl w:val="4"/>
        <w:rPr>
          <w:rFonts w:ascii="宋体" w:hAnsi="宋体" w:cs="宋体"/>
          <w:color w:val="auto"/>
          <w:kern w:val="0"/>
          <w:sz w:val="21"/>
          <w:szCs w:val="24"/>
          <w:highlight w:val="none"/>
        </w:rPr>
      </w:pPr>
      <w:r>
        <w:rPr>
          <w:rFonts w:hint="eastAsia" w:ascii="宋体" w:hAnsi="宋体" w:cs="宋体"/>
          <w:color w:val="auto"/>
          <w:kern w:val="0"/>
          <w:sz w:val="21"/>
          <w:szCs w:val="24"/>
          <w:highlight w:val="none"/>
        </w:rPr>
        <w:t xml:space="preserve">（4）不同供应商的响应文件异常一致或最后报价呈规律性差异的； </w:t>
      </w:r>
    </w:p>
    <w:p w14:paraId="5066ABDC">
      <w:pPr>
        <w:snapToGrid w:val="0"/>
        <w:spacing w:line="380" w:lineRule="exact"/>
        <w:ind w:left="406" w:leftChars="169" w:firstLine="102" w:firstLineChars="49"/>
        <w:outlineLvl w:val="4"/>
        <w:rPr>
          <w:rFonts w:ascii="宋体" w:hAnsi="宋体" w:cs="宋体"/>
          <w:color w:val="auto"/>
          <w:kern w:val="0"/>
          <w:sz w:val="21"/>
          <w:szCs w:val="24"/>
          <w:highlight w:val="none"/>
        </w:rPr>
      </w:pPr>
      <w:r>
        <w:rPr>
          <w:rFonts w:hint="eastAsia" w:ascii="宋体" w:hAnsi="宋体" w:cs="宋体"/>
          <w:color w:val="auto"/>
          <w:kern w:val="0"/>
          <w:sz w:val="21"/>
          <w:szCs w:val="24"/>
          <w:highlight w:val="none"/>
        </w:rPr>
        <w:t>（5）不同供应商的响应文件相互混装的；</w:t>
      </w:r>
    </w:p>
    <w:p w14:paraId="0DDBFCFA">
      <w:pPr>
        <w:snapToGrid w:val="0"/>
        <w:spacing w:line="380" w:lineRule="exact"/>
        <w:ind w:left="406" w:leftChars="169" w:firstLine="102" w:firstLineChars="49"/>
        <w:outlineLvl w:val="4"/>
        <w:rPr>
          <w:rFonts w:ascii="宋体" w:hAnsi="宋体" w:cs="宋体"/>
          <w:b/>
          <w:color w:val="auto"/>
          <w:kern w:val="0"/>
          <w:szCs w:val="24"/>
          <w:highlight w:val="none"/>
        </w:rPr>
      </w:pPr>
      <w:r>
        <w:rPr>
          <w:rFonts w:hint="eastAsia" w:ascii="宋体" w:hAnsi="宋体" w:cs="宋体"/>
          <w:color w:val="auto"/>
          <w:kern w:val="0"/>
          <w:sz w:val="21"/>
          <w:szCs w:val="24"/>
          <w:highlight w:val="none"/>
        </w:rPr>
        <w:t>（6）磋商文件未做实质性变动，供应商最后报价高于首次报价的</w:t>
      </w:r>
      <w:r>
        <w:rPr>
          <w:rFonts w:hint="eastAsia" w:ascii="宋体" w:hAnsi="宋体" w:cs="宋体"/>
          <w:b/>
          <w:color w:val="auto"/>
          <w:kern w:val="0"/>
          <w:szCs w:val="24"/>
          <w:highlight w:val="none"/>
        </w:rPr>
        <w:t>。</w:t>
      </w:r>
    </w:p>
    <w:p w14:paraId="4B84C56E">
      <w:pPr>
        <w:snapToGrid w:val="0"/>
        <w:spacing w:line="380" w:lineRule="exact"/>
        <w:ind w:firstLine="413" w:firstLineChars="196"/>
        <w:outlineLvl w:val="4"/>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23.出现下列情形之一的，采购人或者采购代理机构应当终止竞争性磋商采购活动，发布项目终止公告并说明原因，重新开展采购活动：</w:t>
      </w:r>
    </w:p>
    <w:p w14:paraId="3F96F928">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（1）因情况变化，不再符合规定的竞争性磋商采购人方式适用情形的；</w:t>
      </w:r>
    </w:p>
    <w:p w14:paraId="1DE15876">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（2）出现影响采购公正的违法、违规行为的；</w:t>
      </w:r>
    </w:p>
    <w:p w14:paraId="690B740B">
      <w:pPr>
        <w:widowControl/>
        <w:spacing w:line="380" w:lineRule="exact"/>
        <w:ind w:firstLine="422" w:firstLineChars="201"/>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（3）除本须知第20.7.2条及法律法规规定的情形外，在采购过程中符合要求的供应商或者报价未超过采购预算的供应商不足3家的。</w:t>
      </w:r>
    </w:p>
    <w:p w14:paraId="776FA747">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14:paraId="11715478">
      <w:pPr>
        <w:snapToGrid w:val="0"/>
        <w:spacing w:line="380" w:lineRule="exact"/>
        <w:ind w:firstLine="422"/>
        <w:outlineLvl w:val="4"/>
        <w:rPr>
          <w:rFonts w:ascii="宋体" w:hAnsi="宋体" w:cs="宋体"/>
          <w:b/>
          <w:color w:val="auto"/>
          <w:kern w:val="0"/>
          <w:sz w:val="21"/>
          <w:szCs w:val="24"/>
          <w:highlight w:val="none"/>
        </w:rPr>
      </w:pPr>
      <w:r>
        <w:rPr>
          <w:rFonts w:hint="eastAsia" w:ascii="宋体" w:hAnsi="宋体" w:cs="宋体"/>
          <w:b/>
          <w:color w:val="auto"/>
          <w:kern w:val="0"/>
          <w:sz w:val="21"/>
          <w:szCs w:val="24"/>
          <w:highlight w:val="none"/>
        </w:rPr>
        <w:t>25.磋商过程的监控</w:t>
      </w:r>
    </w:p>
    <w:p w14:paraId="43C234DE">
      <w:pPr>
        <w:spacing w:line="380" w:lineRule="exact"/>
        <w:ind w:firstLine="411" w:firstLineChars="196"/>
        <w:rPr>
          <w:rFonts w:ascii="宋体" w:hAnsi="宋体" w:cs="宋体"/>
          <w:color w:val="auto"/>
          <w:kern w:val="0"/>
          <w:sz w:val="21"/>
          <w:szCs w:val="20"/>
          <w:highlight w:val="none"/>
        </w:rPr>
      </w:pPr>
      <w:r>
        <w:rPr>
          <w:rFonts w:hint="eastAsia" w:ascii="宋体" w:hAnsi="宋体" w:cs="宋体"/>
          <w:color w:val="auto"/>
          <w:kern w:val="0"/>
          <w:sz w:val="21"/>
          <w:szCs w:val="20"/>
          <w:highlight w:val="none"/>
        </w:rPr>
        <w:t>本项目磋商过程实行全程录音、录像监控，供应商在磋商过程中所进行的试图影响磋商结果的不公正活动，可能导致其</w:t>
      </w:r>
      <w:r>
        <w:rPr>
          <w:rFonts w:hint="eastAsia" w:ascii="宋体" w:hAnsi="宋体" w:cs="宋体"/>
          <w:color w:val="auto"/>
          <w:kern w:val="0"/>
          <w:sz w:val="21"/>
          <w:szCs w:val="21"/>
          <w:highlight w:val="none"/>
        </w:rPr>
        <w:t>响应</w:t>
      </w:r>
      <w:r>
        <w:rPr>
          <w:rFonts w:hint="eastAsia" w:ascii="宋体" w:hAnsi="宋体" w:cs="宋体"/>
          <w:color w:val="auto"/>
          <w:kern w:val="0"/>
          <w:sz w:val="21"/>
          <w:szCs w:val="20"/>
          <w:highlight w:val="none"/>
        </w:rPr>
        <w:t>被拒绝。</w:t>
      </w:r>
    </w:p>
    <w:p w14:paraId="0C73081C">
      <w:pPr>
        <w:snapToGrid w:val="0"/>
        <w:spacing w:line="380" w:lineRule="exact"/>
        <w:ind w:firstLine="422"/>
        <w:outlineLvl w:val="4"/>
        <w:rPr>
          <w:rFonts w:ascii="宋体" w:hAnsi="宋体" w:cs="宋体"/>
          <w:b/>
          <w:color w:val="auto"/>
          <w:kern w:val="0"/>
          <w:sz w:val="21"/>
          <w:szCs w:val="24"/>
          <w:highlight w:val="none"/>
        </w:rPr>
      </w:pPr>
      <w:r>
        <w:rPr>
          <w:rFonts w:hint="eastAsia" w:ascii="宋体" w:hAnsi="宋体" w:cs="宋体"/>
          <w:b/>
          <w:color w:val="auto"/>
          <w:kern w:val="0"/>
          <w:sz w:val="21"/>
          <w:szCs w:val="24"/>
          <w:highlight w:val="none"/>
        </w:rPr>
        <w:t xml:space="preserve">26. 信用查询 </w:t>
      </w:r>
    </w:p>
    <w:p w14:paraId="340ADD62">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根据《关于做好政府采购有关信用主体标识码登记及在政府采购活动中查询使用信用记录有关问题的通知》（桂财采〔2016〕37号），由采购代理机构对第一成交候选人进行信用查询：</w:t>
      </w:r>
    </w:p>
    <w:p w14:paraId="1FDBCFD2">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⑴查询渠道：“信用中国”网站（www.creditchina.gov.cn）、中国政府采购网（www.ccgp.gov.cn）等；</w:t>
      </w:r>
    </w:p>
    <w:p w14:paraId="4EC06F40">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⑵查询截止时间：成交通知书发出前；</w:t>
      </w:r>
    </w:p>
    <w:p w14:paraId="4778BA6C">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⑶信用信息查询记录和证据留存方式：在查询网站中直接打印查询记录，打印材料作为采购活动资料保存；</w:t>
      </w:r>
    </w:p>
    <w:p w14:paraId="7D94A8B5">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    </w:t>
      </w:r>
    </w:p>
    <w:p w14:paraId="4B192209">
      <w:pPr>
        <w:spacing w:line="380" w:lineRule="exact"/>
        <w:ind w:firstLine="413" w:firstLineChars="196"/>
        <w:rPr>
          <w:rFonts w:ascii="宋体" w:hAnsi="宋体" w:cs="宋体"/>
          <w:b/>
          <w:color w:val="auto"/>
          <w:kern w:val="0"/>
          <w:sz w:val="21"/>
          <w:szCs w:val="20"/>
          <w:highlight w:val="none"/>
        </w:rPr>
      </w:pPr>
      <w:r>
        <w:rPr>
          <w:rFonts w:hint="eastAsia" w:ascii="宋体" w:hAnsi="宋体" w:cs="宋体"/>
          <w:b/>
          <w:color w:val="auto"/>
          <w:kern w:val="0"/>
          <w:sz w:val="21"/>
          <w:szCs w:val="20"/>
          <w:highlight w:val="none"/>
        </w:rPr>
        <w:t>27</w:t>
      </w:r>
      <w:r>
        <w:rPr>
          <w:rFonts w:hint="eastAsia" w:ascii="宋体" w:hAnsi="宋体" w:cs="宋体"/>
          <w:b/>
          <w:color w:val="auto"/>
          <w:kern w:val="0"/>
          <w:sz w:val="21"/>
          <w:szCs w:val="21"/>
          <w:highlight w:val="none"/>
        </w:rPr>
        <w:t>.</w:t>
      </w:r>
      <w:r>
        <w:rPr>
          <w:rFonts w:hint="eastAsia" w:ascii="宋体" w:hAnsi="宋体" w:cs="宋体"/>
          <w:b/>
          <w:color w:val="auto"/>
          <w:kern w:val="0"/>
          <w:sz w:val="21"/>
          <w:szCs w:val="24"/>
          <w:highlight w:val="none"/>
        </w:rPr>
        <w:t>成交公告及成交通知书</w:t>
      </w:r>
    </w:p>
    <w:p w14:paraId="1E3B9DE5">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27.1 采购代理机构于评审结束后两个工作日内将评审报告送交采购人，采购人应当自收到评审报告之日起五个工作日内在评审报告推荐的成交候选供应商中按顺序确定成交供应商，采购代理机构在成交供应商确定之日起两个工作日内发出成交通知书，并在指定媒体上公告成交信息。</w:t>
      </w:r>
    </w:p>
    <w:p w14:paraId="70251FDF">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27.2中小企业在政府采购活动过程中，请根据自己的真实情况出具《中小企业声明函》。采购人或采购代理机构在公告成交结果时，同时公告其《中小企业声明函》，接受社会监督。</w:t>
      </w:r>
    </w:p>
    <w:p w14:paraId="5B44AB5E">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27.3在发布成交公告的同时，采购代理机构向成交供应商发出成交通知书。成交供应商应自接到通知之日起七个工作日内，办理成交通知书领取手续。</w:t>
      </w:r>
    </w:p>
    <w:p w14:paraId="746F0AA4">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27.4采购代理机构无义务向未成交的供应商解释未成交原因和退还响应文件。</w:t>
      </w:r>
    </w:p>
    <w:p w14:paraId="62F81915">
      <w:pPr>
        <w:spacing w:line="360" w:lineRule="exact"/>
        <w:ind w:left="3" w:firstLine="0" w:firstLineChars="0"/>
        <w:jc w:val="center"/>
        <w:rPr>
          <w:rFonts w:ascii="宋体" w:hAnsi="宋体" w:cs="宋体"/>
          <w:b/>
          <w:color w:val="auto"/>
          <w:kern w:val="0"/>
          <w:sz w:val="28"/>
          <w:szCs w:val="28"/>
          <w:highlight w:val="none"/>
        </w:rPr>
      </w:pPr>
    </w:p>
    <w:p w14:paraId="62E71CDC">
      <w:pPr>
        <w:spacing w:line="380" w:lineRule="exact"/>
        <w:ind w:left="3" w:firstLine="0" w:firstLineChars="0"/>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五、签订合同</w:t>
      </w:r>
    </w:p>
    <w:p w14:paraId="574B02C8">
      <w:pPr>
        <w:spacing w:line="380" w:lineRule="exact"/>
        <w:ind w:firstLine="413" w:firstLineChars="196"/>
        <w:rPr>
          <w:rFonts w:ascii="宋体" w:hAnsi="宋体" w:cs="宋体"/>
          <w:b/>
          <w:color w:val="auto"/>
          <w:kern w:val="0"/>
          <w:sz w:val="21"/>
          <w:szCs w:val="24"/>
          <w:highlight w:val="none"/>
        </w:rPr>
      </w:pPr>
      <w:r>
        <w:rPr>
          <w:rFonts w:hint="eastAsia" w:ascii="宋体" w:hAnsi="宋体" w:cs="宋体"/>
          <w:b/>
          <w:color w:val="auto"/>
          <w:kern w:val="0"/>
          <w:sz w:val="21"/>
          <w:szCs w:val="24"/>
          <w:highlight w:val="none"/>
        </w:rPr>
        <w:t>28</w:t>
      </w:r>
      <w:r>
        <w:rPr>
          <w:rFonts w:hint="eastAsia" w:ascii="宋体" w:hAnsi="宋体" w:cs="宋体"/>
          <w:b/>
          <w:color w:val="auto"/>
          <w:kern w:val="0"/>
          <w:sz w:val="21"/>
          <w:szCs w:val="21"/>
          <w:highlight w:val="none"/>
        </w:rPr>
        <w:t>.</w:t>
      </w:r>
      <w:r>
        <w:rPr>
          <w:rFonts w:hint="eastAsia" w:ascii="宋体" w:hAnsi="宋体" w:cs="宋体"/>
          <w:b/>
          <w:color w:val="auto"/>
          <w:kern w:val="0"/>
          <w:sz w:val="21"/>
          <w:szCs w:val="24"/>
          <w:highlight w:val="none"/>
        </w:rPr>
        <w:t>履约保证金</w:t>
      </w:r>
    </w:p>
    <w:p w14:paraId="73B68AD8">
      <w:pPr>
        <w:spacing w:line="380" w:lineRule="exact"/>
        <w:ind w:firstLine="420"/>
        <w:rPr>
          <w:rFonts w:ascii="宋体" w:hAnsi="宋体" w:cs="宋体"/>
          <w:b/>
          <w:color w:val="auto"/>
          <w:sz w:val="21"/>
          <w:szCs w:val="21"/>
          <w:highlight w:val="none"/>
        </w:rPr>
      </w:pPr>
      <w:r>
        <w:rPr>
          <w:rFonts w:hint="eastAsia" w:ascii="宋体" w:hAnsi="宋体" w:cs="宋体"/>
          <w:color w:val="auto"/>
          <w:kern w:val="0"/>
          <w:sz w:val="21"/>
          <w:szCs w:val="21"/>
          <w:highlight w:val="none"/>
        </w:rPr>
        <w:t>28.1履约保证金：若成交供应商为中型企业的，则按合同金额的2%提交；若成交供应商为小微企业的，则免收履约保证金。成交供应商必须在成交通知书发出之日起8个工作日内，且在与采购人签订合同前将履约保证金以支票、汇票、本票或者金融机构、担保机构出具的保函等非现金形式提交至采购人指定账户。</w:t>
      </w:r>
    </w:p>
    <w:p w14:paraId="3CF978A7">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28.2 如果成交供应商没能按上述第28.1款规定执行，采购人将上报桂林市政府采购监督管理机构，取消该成交资格，并有权授予第二成交候选供应商为成交供应商资格或重新组织采购。</w:t>
      </w:r>
    </w:p>
    <w:p w14:paraId="499685FE">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28.3成交供应商履行完成合同约定权利义务事项，若无违约情况，凭《桂林市政府采购项目合同验收书》（详见附表3）和履约保证金交纳凭证向采购人申请办理退还手续，采购人不得额外要求成交供应商提交其他证明材料，并应当自收到退还资料之日起5个工作日内退还其履约保证金（无息）。如成交供应商不按双方签订的合同规定履约，则履约保证金不予退还，履约保证金不足以赔偿损失的，按实际损失赔偿。</w:t>
      </w:r>
    </w:p>
    <w:p w14:paraId="2E9F4D9F">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29.签订合同</w:t>
      </w:r>
    </w:p>
    <w:p w14:paraId="30719944">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4"/>
          <w:highlight w:val="none"/>
        </w:rPr>
        <w:t xml:space="preserve">29.1 </w:t>
      </w:r>
      <w:r>
        <w:rPr>
          <w:rFonts w:hint="eastAsia" w:ascii="宋体" w:hAnsi="宋体" w:cs="宋体"/>
          <w:color w:val="auto"/>
          <w:kern w:val="0"/>
          <w:sz w:val="21"/>
          <w:szCs w:val="21"/>
          <w:highlight w:val="none"/>
        </w:rPr>
        <w:t>签订合同时间：成交通知书发出之日起8个工作日内。成交供应商领取成交通知书后，应按规定与采购人签订合同。</w:t>
      </w:r>
    </w:p>
    <w:p w14:paraId="11118AA4">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69006D3F">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（1）成交后不与采购人签订合同的（不可抗力除外）；</w:t>
      </w:r>
    </w:p>
    <w:p w14:paraId="506C0884">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（2）将成交项目转让给他人，或者在响应文件中未说明，且未经采购人同意，将成交项目分包给他人的；</w:t>
      </w:r>
    </w:p>
    <w:p w14:paraId="5B8F88BE">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（3）拒绝履行合同义务的。</w:t>
      </w:r>
    </w:p>
    <w:p w14:paraId="2C7DC43B">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29.3 合同公告：政府采购合同双方自签订之日起2个工作日内在省级以上人民政府财政部门指定媒体上公告。</w:t>
      </w:r>
    </w:p>
    <w:p w14:paraId="6FDDD1CA">
      <w:pPr>
        <w:spacing w:line="240" w:lineRule="auto"/>
        <w:ind w:left="2940" w:firstLine="0" w:firstLineChars="0"/>
        <w:rPr>
          <w:color w:val="auto"/>
          <w:sz w:val="21"/>
          <w:szCs w:val="24"/>
          <w:highlight w:val="none"/>
        </w:rPr>
      </w:pPr>
    </w:p>
    <w:p w14:paraId="2BC621BA">
      <w:pPr>
        <w:spacing w:line="240" w:lineRule="auto"/>
        <w:ind w:left="2940" w:firstLine="0" w:firstLineChars="0"/>
        <w:rPr>
          <w:color w:val="auto"/>
          <w:sz w:val="21"/>
          <w:szCs w:val="24"/>
          <w:highlight w:val="none"/>
        </w:rPr>
      </w:pPr>
    </w:p>
    <w:p w14:paraId="6B08B369">
      <w:pPr>
        <w:spacing w:line="380" w:lineRule="exact"/>
        <w:ind w:left="3" w:firstLine="0" w:firstLineChars="0"/>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六、其他事项</w:t>
      </w:r>
    </w:p>
    <w:p w14:paraId="47D7B0FD">
      <w:pPr>
        <w:spacing w:line="380" w:lineRule="exact"/>
        <w:ind w:firstLine="413" w:firstLineChars="196"/>
        <w:rPr>
          <w:rFonts w:ascii="宋体" w:hAnsi="宋体" w:cs="宋体"/>
          <w:b/>
          <w:color w:val="auto"/>
          <w:kern w:val="0"/>
          <w:sz w:val="21"/>
          <w:szCs w:val="24"/>
          <w:highlight w:val="none"/>
        </w:rPr>
      </w:pPr>
      <w:r>
        <w:rPr>
          <w:rFonts w:hint="eastAsia" w:ascii="宋体" w:hAnsi="宋体" w:cs="宋体"/>
          <w:b/>
          <w:color w:val="auto"/>
          <w:kern w:val="0"/>
          <w:sz w:val="21"/>
          <w:szCs w:val="24"/>
          <w:highlight w:val="none"/>
        </w:rPr>
        <w:t>30</w:t>
      </w:r>
      <w:r>
        <w:rPr>
          <w:rFonts w:hint="eastAsia" w:ascii="宋体" w:hAnsi="宋体" w:cs="宋体"/>
          <w:b/>
          <w:color w:val="auto"/>
          <w:kern w:val="0"/>
          <w:sz w:val="21"/>
          <w:szCs w:val="21"/>
          <w:highlight w:val="none"/>
        </w:rPr>
        <w:t>.采购</w:t>
      </w:r>
      <w:r>
        <w:rPr>
          <w:rFonts w:hint="eastAsia" w:ascii="宋体" w:hAnsi="宋体" w:cs="宋体"/>
          <w:b/>
          <w:color w:val="auto"/>
          <w:kern w:val="0"/>
          <w:sz w:val="21"/>
          <w:szCs w:val="24"/>
          <w:highlight w:val="none"/>
        </w:rPr>
        <w:t>代理服务费</w:t>
      </w:r>
    </w:p>
    <w:p w14:paraId="38ADBED7">
      <w:pPr>
        <w:snapToGrid w:val="0"/>
        <w:spacing w:line="380" w:lineRule="exact"/>
        <w:ind w:firstLine="411" w:firstLineChars="196"/>
        <w:outlineLvl w:val="4"/>
        <w:rPr>
          <w:rFonts w:ascii="宋体" w:hAnsi="宋体" w:cs="宋体"/>
          <w:color w:val="auto"/>
          <w:kern w:val="0"/>
          <w:sz w:val="21"/>
          <w:szCs w:val="21"/>
          <w:highlight w:val="none"/>
        </w:rPr>
      </w:pPr>
      <w:r>
        <w:rPr>
          <w:rFonts w:hint="eastAsia" w:ascii="宋体" w:hAnsi="宋体" w:cs="宋体"/>
          <w:color w:val="auto"/>
          <w:kern w:val="0"/>
          <w:sz w:val="21"/>
          <w:szCs w:val="21"/>
          <w:highlight w:val="none"/>
        </w:rPr>
        <w:t>30.1本项目各分标采购代理服务费按本须知第30.2条“采购代理服务收费标准”中的“服务</w:t>
      </w:r>
      <w:r>
        <w:rPr>
          <w:rFonts w:hint="eastAsia" w:ascii="宋体" w:hAnsi="宋体" w:cs="宋体"/>
          <w:color w:val="auto"/>
          <w:kern w:val="0"/>
          <w:sz w:val="21"/>
          <w:szCs w:val="20"/>
          <w:highlight w:val="none"/>
        </w:rPr>
        <w:t>采购</w:t>
      </w:r>
      <w:r>
        <w:rPr>
          <w:rFonts w:hint="eastAsia" w:ascii="宋体" w:hAnsi="宋体" w:cs="宋体"/>
          <w:color w:val="auto"/>
          <w:kern w:val="0"/>
          <w:sz w:val="21"/>
          <w:szCs w:val="21"/>
          <w:highlight w:val="none"/>
        </w:rPr>
        <w:t>”收费标准计算（不足人民币5000元的，按5000元计），由成交供应商于成交公告发出之日起5个工作日内向</w:t>
      </w:r>
      <w:r>
        <w:rPr>
          <w:rFonts w:hint="eastAsia"/>
          <w:color w:val="auto"/>
          <w:highlight w:val="none"/>
        </w:rPr>
        <w:t>采购代理机构一次性支付，</w:t>
      </w:r>
      <w:r>
        <w:rPr>
          <w:rFonts w:hint="eastAsia" w:ascii="宋体" w:hAnsi="宋体" w:cs="宋体"/>
          <w:color w:val="auto"/>
          <w:kern w:val="0"/>
          <w:sz w:val="21"/>
          <w:szCs w:val="21"/>
          <w:highlight w:val="none"/>
        </w:rPr>
        <w:t>否则，其不利后果由成交供应商承担。</w:t>
      </w:r>
    </w:p>
    <w:p w14:paraId="7C7F0B47">
      <w:pPr>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30.2采购代理服务收费标准：</w:t>
      </w:r>
    </w:p>
    <w:tbl>
      <w:tblPr>
        <w:tblStyle w:val="45"/>
        <w:tblW w:w="909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14:paraId="2D14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14:paraId="30E0A671">
            <w:pPr>
              <w:spacing w:line="340" w:lineRule="exact"/>
              <w:ind w:left="25" w:firstLine="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mc:AlternateContent>
                <mc:Choice Requires="wps">
                  <w:drawing>
                    <wp:anchor distT="0" distB="0" distL="114300" distR="114300" simplePos="0" relativeHeight="251668480"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105"/>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3.35pt;margin-top:0.85pt;height:51.45pt;width:115.25pt;z-index:251668480;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B&#10;UzTWAAAACAEAAA8AAAAAAAAAAQAgAAAAIgAAAGRycy9kb3ducmV2LnhtbFBLAQIUABQAAAAIAIdO&#10;4kB5+KxK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kern w:val="0"/>
                <w:sz w:val="21"/>
                <w:szCs w:val="20"/>
                <w:highlight w:val="none"/>
              </w:rPr>
              <w:t>费率           服务类型</w:t>
            </w:r>
          </w:p>
          <w:p w14:paraId="355E1C6F">
            <w:pPr>
              <w:spacing w:line="340" w:lineRule="exact"/>
              <w:ind w:left="25" w:firstLine="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mc:AlternateContent>
                <mc:Choice Requires="wps">
                  <w:drawing>
                    <wp:anchor distT="0" distB="0" distL="114300" distR="114300" simplePos="0" relativeHeight="25167155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10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5.4pt;margin-top:3.1pt;height:31.2pt;width:144pt;z-index:25167155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AO&#10;r0TWAAAACAEAAA8AAAAAAAAAAQAgAAAAIgAAAGRycy9kb3ducmV2LnhtbFBLAQIUABQAAAAIAIdO&#10;4kCBStpN7AEAAOQDAAAOAAAAAAAAAAEAIAAAACUBAABkcnMvZTJvRG9jLnhtbFBLBQYAAAAABgAG&#10;AFkBAACDBQAAAAA=&#10;">
                      <v:fill on="f" focussize="0,0"/>
                      <v:stroke color="#000000" joinstyle="round"/>
                      <v:imagedata o:title=""/>
                      <o:lock v:ext="edit" aspectratio="f"/>
                    </v:line>
                  </w:pict>
                </mc:Fallback>
              </mc:AlternateContent>
            </w:r>
          </w:p>
          <w:p w14:paraId="7675B0ED">
            <w:pPr>
              <w:spacing w:line="340" w:lineRule="exact"/>
              <w:ind w:left="25" w:firstLine="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成交金额</w:t>
            </w:r>
          </w:p>
        </w:tc>
        <w:tc>
          <w:tcPr>
            <w:tcW w:w="1858" w:type="dxa"/>
            <w:vAlign w:val="center"/>
          </w:tcPr>
          <w:p w14:paraId="1C1175CD">
            <w:pPr>
              <w:spacing w:line="340" w:lineRule="exact"/>
              <w:ind w:left="25" w:firstLine="0" w:firstLineChars="0"/>
              <w:jc w:val="center"/>
              <w:rPr>
                <w:rFonts w:ascii="宋体" w:hAnsi="宋体" w:cs="宋体"/>
                <w:color w:val="auto"/>
                <w:kern w:val="0"/>
                <w:sz w:val="21"/>
                <w:szCs w:val="20"/>
                <w:highlight w:val="none"/>
              </w:rPr>
            </w:pPr>
            <w:r>
              <w:rPr>
                <w:rFonts w:hint="eastAsia" w:ascii="宋体" w:hAnsi="宋体" w:cs="宋体"/>
                <w:color w:val="auto"/>
                <w:kern w:val="0"/>
                <w:sz w:val="21"/>
                <w:szCs w:val="20"/>
                <w:highlight w:val="none"/>
              </w:rPr>
              <w:t>货物采购</w:t>
            </w:r>
          </w:p>
        </w:tc>
        <w:tc>
          <w:tcPr>
            <w:tcW w:w="2012" w:type="dxa"/>
            <w:vAlign w:val="center"/>
          </w:tcPr>
          <w:p w14:paraId="64E0FD22">
            <w:pPr>
              <w:spacing w:line="340" w:lineRule="exact"/>
              <w:ind w:left="25" w:firstLine="0" w:firstLineChars="0"/>
              <w:jc w:val="center"/>
              <w:rPr>
                <w:rFonts w:ascii="宋体" w:hAnsi="宋体" w:cs="宋体"/>
                <w:color w:val="auto"/>
                <w:kern w:val="0"/>
                <w:sz w:val="21"/>
                <w:szCs w:val="20"/>
                <w:highlight w:val="none"/>
              </w:rPr>
            </w:pPr>
            <w:r>
              <w:rPr>
                <w:rFonts w:hint="eastAsia" w:ascii="宋体" w:hAnsi="宋体" w:cs="宋体"/>
                <w:color w:val="auto"/>
                <w:kern w:val="0"/>
                <w:sz w:val="21"/>
                <w:szCs w:val="20"/>
                <w:highlight w:val="none"/>
              </w:rPr>
              <w:t>服务采购</w:t>
            </w:r>
          </w:p>
        </w:tc>
        <w:tc>
          <w:tcPr>
            <w:tcW w:w="2315" w:type="dxa"/>
            <w:vAlign w:val="center"/>
          </w:tcPr>
          <w:p w14:paraId="265BDC04">
            <w:pPr>
              <w:spacing w:line="340" w:lineRule="exact"/>
              <w:ind w:left="25" w:firstLine="0" w:firstLineChars="0"/>
              <w:jc w:val="center"/>
              <w:rPr>
                <w:rFonts w:ascii="宋体" w:hAnsi="宋体" w:cs="宋体"/>
                <w:color w:val="auto"/>
                <w:kern w:val="0"/>
                <w:sz w:val="21"/>
                <w:szCs w:val="20"/>
                <w:highlight w:val="none"/>
              </w:rPr>
            </w:pPr>
            <w:r>
              <w:rPr>
                <w:rFonts w:hint="eastAsia" w:ascii="宋体" w:hAnsi="宋体" w:cs="宋体"/>
                <w:color w:val="auto"/>
                <w:kern w:val="0"/>
                <w:sz w:val="21"/>
                <w:szCs w:val="20"/>
                <w:highlight w:val="none"/>
              </w:rPr>
              <w:t>工程采购</w:t>
            </w:r>
          </w:p>
        </w:tc>
      </w:tr>
      <w:tr w14:paraId="4564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tcPr>
          <w:p w14:paraId="005C6026">
            <w:pPr>
              <w:spacing w:line="340" w:lineRule="exact"/>
              <w:ind w:left="25" w:firstLine="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100万元以下</w:t>
            </w:r>
          </w:p>
        </w:tc>
        <w:tc>
          <w:tcPr>
            <w:tcW w:w="1858" w:type="dxa"/>
          </w:tcPr>
          <w:p w14:paraId="72E13DC9">
            <w:pPr>
              <w:spacing w:line="340" w:lineRule="exact"/>
              <w:ind w:left="25" w:firstLine="0" w:firstLineChars="0"/>
              <w:jc w:val="center"/>
              <w:rPr>
                <w:rFonts w:ascii="宋体" w:hAnsi="宋体" w:cs="宋体"/>
                <w:color w:val="auto"/>
                <w:kern w:val="0"/>
                <w:sz w:val="21"/>
                <w:szCs w:val="24"/>
                <w:highlight w:val="none"/>
              </w:rPr>
            </w:pPr>
            <w:r>
              <w:rPr>
                <w:rFonts w:hint="eastAsia" w:ascii="宋体" w:hAnsi="宋体" w:cs="宋体"/>
                <w:color w:val="auto"/>
                <w:kern w:val="0"/>
                <w:sz w:val="21"/>
                <w:szCs w:val="24"/>
                <w:highlight w:val="none"/>
              </w:rPr>
              <w:t>1.5%</w:t>
            </w:r>
          </w:p>
        </w:tc>
        <w:tc>
          <w:tcPr>
            <w:tcW w:w="2012" w:type="dxa"/>
          </w:tcPr>
          <w:p w14:paraId="460C39C3">
            <w:pPr>
              <w:spacing w:line="340" w:lineRule="exact"/>
              <w:ind w:left="25" w:firstLine="0" w:firstLineChars="0"/>
              <w:jc w:val="center"/>
              <w:rPr>
                <w:rFonts w:ascii="宋体" w:hAnsi="宋体" w:cs="宋体"/>
                <w:color w:val="auto"/>
                <w:kern w:val="0"/>
                <w:sz w:val="21"/>
                <w:szCs w:val="24"/>
                <w:highlight w:val="none"/>
              </w:rPr>
            </w:pPr>
            <w:r>
              <w:rPr>
                <w:rFonts w:hint="eastAsia" w:ascii="宋体" w:hAnsi="宋体" w:cs="宋体"/>
                <w:color w:val="auto"/>
                <w:kern w:val="0"/>
                <w:sz w:val="21"/>
                <w:szCs w:val="24"/>
                <w:highlight w:val="none"/>
              </w:rPr>
              <w:t>1.5%</w:t>
            </w:r>
          </w:p>
        </w:tc>
        <w:tc>
          <w:tcPr>
            <w:tcW w:w="2315" w:type="dxa"/>
          </w:tcPr>
          <w:p w14:paraId="5E10CBB9">
            <w:pPr>
              <w:spacing w:line="340" w:lineRule="exact"/>
              <w:ind w:left="25" w:firstLine="0" w:firstLineChars="0"/>
              <w:jc w:val="center"/>
              <w:rPr>
                <w:rFonts w:ascii="宋体" w:hAnsi="宋体" w:cs="宋体"/>
                <w:color w:val="auto"/>
                <w:kern w:val="0"/>
                <w:sz w:val="21"/>
                <w:szCs w:val="24"/>
                <w:highlight w:val="none"/>
              </w:rPr>
            </w:pPr>
            <w:r>
              <w:rPr>
                <w:rFonts w:hint="eastAsia" w:ascii="宋体" w:hAnsi="宋体" w:cs="宋体"/>
                <w:color w:val="auto"/>
                <w:kern w:val="0"/>
                <w:sz w:val="21"/>
                <w:szCs w:val="24"/>
                <w:highlight w:val="none"/>
              </w:rPr>
              <w:t>1.0%</w:t>
            </w:r>
          </w:p>
        </w:tc>
      </w:tr>
      <w:tr w14:paraId="597A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tcPr>
          <w:p w14:paraId="38192096">
            <w:pPr>
              <w:spacing w:line="340" w:lineRule="exact"/>
              <w:ind w:left="25" w:firstLine="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100万～500万元</w:t>
            </w:r>
          </w:p>
        </w:tc>
        <w:tc>
          <w:tcPr>
            <w:tcW w:w="1858" w:type="dxa"/>
          </w:tcPr>
          <w:p w14:paraId="3703FCF3">
            <w:pPr>
              <w:spacing w:line="340" w:lineRule="exact"/>
              <w:ind w:left="25" w:firstLine="0" w:firstLineChars="0"/>
              <w:jc w:val="center"/>
              <w:rPr>
                <w:rFonts w:ascii="宋体" w:hAnsi="宋体" w:cs="宋体"/>
                <w:color w:val="auto"/>
                <w:kern w:val="0"/>
                <w:sz w:val="21"/>
                <w:szCs w:val="24"/>
                <w:highlight w:val="none"/>
              </w:rPr>
            </w:pPr>
            <w:r>
              <w:rPr>
                <w:rFonts w:hint="eastAsia" w:ascii="宋体" w:hAnsi="宋体" w:cs="宋体"/>
                <w:color w:val="auto"/>
                <w:kern w:val="0"/>
                <w:sz w:val="21"/>
                <w:szCs w:val="24"/>
                <w:highlight w:val="none"/>
              </w:rPr>
              <w:t>1.1%</w:t>
            </w:r>
          </w:p>
        </w:tc>
        <w:tc>
          <w:tcPr>
            <w:tcW w:w="2012" w:type="dxa"/>
          </w:tcPr>
          <w:p w14:paraId="2F0BC3AE">
            <w:pPr>
              <w:spacing w:line="340" w:lineRule="exact"/>
              <w:ind w:left="25" w:firstLine="0" w:firstLineChars="0"/>
              <w:jc w:val="center"/>
              <w:rPr>
                <w:rFonts w:ascii="宋体" w:hAnsi="宋体" w:cs="宋体"/>
                <w:color w:val="auto"/>
                <w:kern w:val="0"/>
                <w:sz w:val="21"/>
                <w:szCs w:val="24"/>
                <w:highlight w:val="none"/>
              </w:rPr>
            </w:pPr>
            <w:r>
              <w:rPr>
                <w:rFonts w:hint="eastAsia" w:ascii="宋体" w:hAnsi="宋体" w:cs="宋体"/>
                <w:color w:val="auto"/>
                <w:kern w:val="0"/>
                <w:sz w:val="21"/>
                <w:szCs w:val="24"/>
                <w:highlight w:val="none"/>
              </w:rPr>
              <w:t>0.8%</w:t>
            </w:r>
          </w:p>
        </w:tc>
        <w:tc>
          <w:tcPr>
            <w:tcW w:w="2315" w:type="dxa"/>
          </w:tcPr>
          <w:p w14:paraId="715EB609">
            <w:pPr>
              <w:spacing w:line="340" w:lineRule="exact"/>
              <w:ind w:left="25" w:firstLine="0" w:firstLineChars="0"/>
              <w:jc w:val="center"/>
              <w:rPr>
                <w:rFonts w:ascii="宋体" w:hAnsi="宋体" w:cs="宋体"/>
                <w:color w:val="auto"/>
                <w:kern w:val="0"/>
                <w:sz w:val="21"/>
                <w:szCs w:val="24"/>
                <w:highlight w:val="none"/>
              </w:rPr>
            </w:pPr>
            <w:r>
              <w:rPr>
                <w:rFonts w:hint="eastAsia" w:ascii="宋体" w:hAnsi="宋体" w:cs="宋体"/>
                <w:color w:val="auto"/>
                <w:kern w:val="0"/>
                <w:sz w:val="21"/>
                <w:szCs w:val="24"/>
                <w:highlight w:val="none"/>
              </w:rPr>
              <w:t>0.7%</w:t>
            </w:r>
          </w:p>
        </w:tc>
      </w:tr>
      <w:tr w14:paraId="1298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493DBA9A">
            <w:pPr>
              <w:spacing w:line="340" w:lineRule="exact"/>
              <w:ind w:left="25" w:firstLine="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500万～1000万元</w:t>
            </w:r>
          </w:p>
        </w:tc>
        <w:tc>
          <w:tcPr>
            <w:tcW w:w="1858" w:type="dxa"/>
          </w:tcPr>
          <w:p w14:paraId="602C81CE">
            <w:pPr>
              <w:spacing w:line="340" w:lineRule="exact"/>
              <w:ind w:left="25" w:firstLine="0" w:firstLineChars="0"/>
              <w:jc w:val="center"/>
              <w:rPr>
                <w:rFonts w:ascii="宋体" w:hAnsi="宋体" w:cs="宋体"/>
                <w:color w:val="auto"/>
                <w:kern w:val="0"/>
                <w:sz w:val="21"/>
                <w:szCs w:val="20"/>
                <w:highlight w:val="none"/>
              </w:rPr>
            </w:pPr>
            <w:r>
              <w:rPr>
                <w:rFonts w:hint="eastAsia" w:ascii="宋体" w:hAnsi="宋体" w:cs="宋体"/>
                <w:color w:val="auto"/>
                <w:kern w:val="0"/>
                <w:sz w:val="21"/>
                <w:szCs w:val="20"/>
                <w:highlight w:val="none"/>
              </w:rPr>
              <w:t>0.8%</w:t>
            </w:r>
          </w:p>
        </w:tc>
        <w:tc>
          <w:tcPr>
            <w:tcW w:w="2012" w:type="dxa"/>
          </w:tcPr>
          <w:p w14:paraId="267CB034">
            <w:pPr>
              <w:spacing w:line="340" w:lineRule="exact"/>
              <w:ind w:left="25" w:firstLine="0" w:firstLineChars="0"/>
              <w:jc w:val="center"/>
              <w:rPr>
                <w:rFonts w:ascii="宋体" w:hAnsi="宋体" w:cs="宋体"/>
                <w:color w:val="auto"/>
                <w:kern w:val="0"/>
                <w:sz w:val="21"/>
                <w:szCs w:val="20"/>
                <w:highlight w:val="none"/>
              </w:rPr>
            </w:pPr>
            <w:r>
              <w:rPr>
                <w:rFonts w:hint="eastAsia" w:ascii="宋体" w:hAnsi="宋体" w:cs="宋体"/>
                <w:color w:val="auto"/>
                <w:kern w:val="0"/>
                <w:sz w:val="21"/>
                <w:szCs w:val="20"/>
                <w:highlight w:val="none"/>
              </w:rPr>
              <w:t>0.45%</w:t>
            </w:r>
          </w:p>
        </w:tc>
        <w:tc>
          <w:tcPr>
            <w:tcW w:w="2315" w:type="dxa"/>
          </w:tcPr>
          <w:p w14:paraId="188071BE">
            <w:pPr>
              <w:spacing w:line="340" w:lineRule="exact"/>
              <w:ind w:left="25" w:firstLine="0" w:firstLineChars="0"/>
              <w:jc w:val="center"/>
              <w:rPr>
                <w:rFonts w:ascii="宋体" w:hAnsi="宋体" w:cs="宋体"/>
                <w:color w:val="auto"/>
                <w:kern w:val="0"/>
                <w:sz w:val="21"/>
                <w:szCs w:val="20"/>
                <w:highlight w:val="none"/>
              </w:rPr>
            </w:pPr>
            <w:r>
              <w:rPr>
                <w:rFonts w:hint="eastAsia" w:ascii="宋体" w:hAnsi="宋体" w:cs="宋体"/>
                <w:color w:val="auto"/>
                <w:kern w:val="0"/>
                <w:sz w:val="21"/>
                <w:szCs w:val="20"/>
                <w:highlight w:val="none"/>
              </w:rPr>
              <w:t>0.55%</w:t>
            </w:r>
          </w:p>
        </w:tc>
      </w:tr>
      <w:tr w14:paraId="39CC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74A937C1">
            <w:pPr>
              <w:spacing w:line="340" w:lineRule="exact"/>
              <w:ind w:left="25" w:firstLine="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1000万～5000万元</w:t>
            </w:r>
          </w:p>
        </w:tc>
        <w:tc>
          <w:tcPr>
            <w:tcW w:w="1858" w:type="dxa"/>
          </w:tcPr>
          <w:p w14:paraId="1ACCEC90">
            <w:pPr>
              <w:spacing w:line="340" w:lineRule="exact"/>
              <w:ind w:left="25" w:firstLine="0" w:firstLineChars="0"/>
              <w:jc w:val="center"/>
              <w:rPr>
                <w:rFonts w:ascii="宋体" w:hAnsi="宋体" w:cs="宋体"/>
                <w:color w:val="auto"/>
                <w:kern w:val="0"/>
                <w:sz w:val="21"/>
                <w:szCs w:val="20"/>
                <w:highlight w:val="none"/>
              </w:rPr>
            </w:pPr>
            <w:r>
              <w:rPr>
                <w:rFonts w:hint="eastAsia" w:ascii="宋体" w:hAnsi="宋体" w:cs="宋体"/>
                <w:color w:val="auto"/>
                <w:kern w:val="0"/>
                <w:sz w:val="21"/>
                <w:szCs w:val="20"/>
                <w:highlight w:val="none"/>
              </w:rPr>
              <w:t>0.5%</w:t>
            </w:r>
          </w:p>
        </w:tc>
        <w:tc>
          <w:tcPr>
            <w:tcW w:w="2012" w:type="dxa"/>
          </w:tcPr>
          <w:p w14:paraId="429C171F">
            <w:pPr>
              <w:spacing w:line="340" w:lineRule="exact"/>
              <w:ind w:left="25" w:firstLine="0" w:firstLineChars="0"/>
              <w:jc w:val="center"/>
              <w:rPr>
                <w:rFonts w:ascii="宋体" w:hAnsi="宋体" w:cs="宋体"/>
                <w:color w:val="auto"/>
                <w:kern w:val="0"/>
                <w:sz w:val="21"/>
                <w:szCs w:val="20"/>
                <w:highlight w:val="none"/>
              </w:rPr>
            </w:pPr>
            <w:r>
              <w:rPr>
                <w:rFonts w:hint="eastAsia" w:ascii="宋体" w:hAnsi="宋体" w:cs="宋体"/>
                <w:color w:val="auto"/>
                <w:kern w:val="0"/>
                <w:sz w:val="21"/>
                <w:szCs w:val="20"/>
                <w:highlight w:val="none"/>
              </w:rPr>
              <w:t>0.25%</w:t>
            </w:r>
          </w:p>
        </w:tc>
        <w:tc>
          <w:tcPr>
            <w:tcW w:w="2315" w:type="dxa"/>
          </w:tcPr>
          <w:p w14:paraId="792FCCAF">
            <w:pPr>
              <w:spacing w:line="340" w:lineRule="exact"/>
              <w:ind w:left="25" w:firstLine="0" w:firstLineChars="0"/>
              <w:jc w:val="center"/>
              <w:rPr>
                <w:rFonts w:ascii="宋体" w:hAnsi="宋体" w:cs="宋体"/>
                <w:color w:val="auto"/>
                <w:kern w:val="0"/>
                <w:sz w:val="21"/>
                <w:szCs w:val="20"/>
                <w:highlight w:val="none"/>
              </w:rPr>
            </w:pPr>
            <w:r>
              <w:rPr>
                <w:rFonts w:hint="eastAsia" w:ascii="宋体" w:hAnsi="宋体" w:cs="宋体"/>
                <w:color w:val="auto"/>
                <w:kern w:val="0"/>
                <w:sz w:val="21"/>
                <w:szCs w:val="20"/>
                <w:highlight w:val="none"/>
              </w:rPr>
              <w:t>0.35%</w:t>
            </w:r>
          </w:p>
        </w:tc>
      </w:tr>
      <w:tr w14:paraId="3DE1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7095F2EE">
            <w:pPr>
              <w:spacing w:line="340" w:lineRule="exact"/>
              <w:ind w:left="25" w:firstLine="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5000万元～1亿元</w:t>
            </w:r>
          </w:p>
        </w:tc>
        <w:tc>
          <w:tcPr>
            <w:tcW w:w="1858" w:type="dxa"/>
          </w:tcPr>
          <w:p w14:paraId="439599AF">
            <w:pPr>
              <w:spacing w:line="340" w:lineRule="exact"/>
              <w:ind w:left="25" w:firstLine="0" w:firstLineChars="0"/>
              <w:jc w:val="center"/>
              <w:rPr>
                <w:rFonts w:ascii="宋体" w:hAnsi="宋体" w:cs="宋体"/>
                <w:color w:val="auto"/>
                <w:kern w:val="0"/>
                <w:sz w:val="21"/>
                <w:szCs w:val="20"/>
                <w:highlight w:val="none"/>
              </w:rPr>
            </w:pPr>
            <w:r>
              <w:rPr>
                <w:rFonts w:hint="eastAsia" w:ascii="宋体" w:hAnsi="宋体" w:cs="宋体"/>
                <w:color w:val="auto"/>
                <w:kern w:val="0"/>
                <w:sz w:val="21"/>
                <w:szCs w:val="20"/>
                <w:highlight w:val="none"/>
              </w:rPr>
              <w:t>0.25%</w:t>
            </w:r>
          </w:p>
        </w:tc>
        <w:tc>
          <w:tcPr>
            <w:tcW w:w="2012" w:type="dxa"/>
          </w:tcPr>
          <w:p w14:paraId="5D35A6EA">
            <w:pPr>
              <w:spacing w:line="340" w:lineRule="exact"/>
              <w:ind w:left="25" w:firstLine="0" w:firstLineChars="0"/>
              <w:jc w:val="center"/>
              <w:rPr>
                <w:rFonts w:ascii="宋体" w:hAnsi="宋体" w:cs="宋体"/>
                <w:color w:val="auto"/>
                <w:kern w:val="0"/>
                <w:sz w:val="21"/>
                <w:szCs w:val="20"/>
                <w:highlight w:val="none"/>
              </w:rPr>
            </w:pPr>
            <w:r>
              <w:rPr>
                <w:rFonts w:hint="eastAsia" w:ascii="宋体" w:hAnsi="宋体" w:cs="宋体"/>
                <w:color w:val="auto"/>
                <w:kern w:val="0"/>
                <w:sz w:val="21"/>
                <w:szCs w:val="20"/>
                <w:highlight w:val="none"/>
              </w:rPr>
              <w:t>0.1%</w:t>
            </w:r>
          </w:p>
        </w:tc>
        <w:tc>
          <w:tcPr>
            <w:tcW w:w="2315" w:type="dxa"/>
          </w:tcPr>
          <w:p w14:paraId="6E513EC3">
            <w:pPr>
              <w:spacing w:line="340" w:lineRule="exact"/>
              <w:ind w:left="25" w:firstLine="0" w:firstLineChars="0"/>
              <w:jc w:val="center"/>
              <w:rPr>
                <w:rFonts w:ascii="宋体" w:hAnsi="宋体" w:cs="宋体"/>
                <w:color w:val="auto"/>
                <w:kern w:val="0"/>
                <w:sz w:val="21"/>
                <w:szCs w:val="20"/>
                <w:highlight w:val="none"/>
              </w:rPr>
            </w:pPr>
            <w:r>
              <w:rPr>
                <w:rFonts w:hint="eastAsia" w:ascii="宋体" w:hAnsi="宋体" w:cs="宋体"/>
                <w:color w:val="auto"/>
                <w:kern w:val="0"/>
                <w:sz w:val="21"/>
                <w:szCs w:val="20"/>
                <w:highlight w:val="none"/>
              </w:rPr>
              <w:t>0.2%</w:t>
            </w:r>
          </w:p>
        </w:tc>
      </w:tr>
    </w:tbl>
    <w:p w14:paraId="193411B1">
      <w:pPr>
        <w:wordWrap w:val="0"/>
        <w:spacing w:line="380" w:lineRule="exact"/>
        <w:ind w:left="25" w:firstLine="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注：代理服务收费按差额定率累进法计算。</w:t>
      </w:r>
    </w:p>
    <w:p w14:paraId="7D977FB9">
      <w:pPr>
        <w:wordWrap w:val="0"/>
        <w:spacing w:line="380" w:lineRule="exact"/>
        <w:ind w:firstLine="422"/>
        <w:rPr>
          <w:rFonts w:ascii="宋体" w:hAnsi="宋体" w:cs="宋体"/>
          <w:b/>
          <w:color w:val="auto"/>
          <w:kern w:val="0"/>
          <w:sz w:val="21"/>
          <w:szCs w:val="24"/>
          <w:highlight w:val="none"/>
        </w:rPr>
      </w:pPr>
      <w:r>
        <w:rPr>
          <w:rFonts w:hint="eastAsia" w:ascii="宋体" w:hAnsi="宋体" w:cs="宋体"/>
          <w:b/>
          <w:color w:val="auto"/>
          <w:kern w:val="0"/>
          <w:sz w:val="21"/>
          <w:szCs w:val="24"/>
          <w:highlight w:val="none"/>
        </w:rPr>
        <w:t>31.采购代理机构银行账户（用于缴纳采购代理服务费）：</w:t>
      </w:r>
    </w:p>
    <w:p w14:paraId="380BE6E6">
      <w:pPr>
        <w:wordWrap w:val="0"/>
        <w:spacing w:line="380" w:lineRule="exact"/>
        <w:ind w:left="480" w:leftChars="200" w:firstLine="0" w:firstLineChars="0"/>
        <w:rPr>
          <w:rFonts w:ascii="宋体" w:hAnsi="宋体"/>
          <w:color w:val="auto"/>
          <w:sz w:val="21"/>
          <w:szCs w:val="21"/>
          <w:highlight w:val="none"/>
        </w:rPr>
      </w:pPr>
      <w:r>
        <w:rPr>
          <w:rFonts w:hint="eastAsia" w:ascii="宋体" w:hAnsi="宋体"/>
          <w:color w:val="auto"/>
          <w:sz w:val="21"/>
          <w:szCs w:val="21"/>
          <w:highlight w:val="none"/>
        </w:rPr>
        <w:t>开户名称：云之龙咨询集团有限公司桂林分公司</w:t>
      </w:r>
    </w:p>
    <w:p w14:paraId="3BA5E7C9">
      <w:pPr>
        <w:wordWrap w:val="0"/>
        <w:spacing w:line="380" w:lineRule="exact"/>
        <w:ind w:left="480" w:leftChars="200" w:firstLine="0" w:firstLineChars="0"/>
        <w:rPr>
          <w:rFonts w:ascii="宋体" w:hAnsi="宋体"/>
          <w:color w:val="auto"/>
          <w:sz w:val="21"/>
          <w:szCs w:val="21"/>
          <w:highlight w:val="none"/>
        </w:rPr>
      </w:pPr>
      <w:r>
        <w:rPr>
          <w:rFonts w:hint="eastAsia" w:ascii="宋体" w:hAnsi="宋体"/>
          <w:color w:val="auto"/>
          <w:sz w:val="21"/>
          <w:szCs w:val="21"/>
          <w:highlight w:val="none"/>
        </w:rPr>
        <w:t>银行账号：8113001014300158041</w:t>
      </w:r>
    </w:p>
    <w:p w14:paraId="66B9E8E0">
      <w:pPr>
        <w:wordWrap w:val="0"/>
        <w:spacing w:line="380" w:lineRule="exact"/>
        <w:ind w:left="480" w:leftChars="200" w:firstLine="0" w:firstLineChars="0"/>
        <w:rPr>
          <w:rFonts w:ascii="宋体" w:hAnsi="宋体" w:cs="宋体"/>
          <w:color w:val="auto"/>
          <w:sz w:val="21"/>
          <w:szCs w:val="21"/>
          <w:highlight w:val="none"/>
        </w:rPr>
      </w:pPr>
      <w:r>
        <w:rPr>
          <w:rFonts w:hint="eastAsia" w:ascii="宋体" w:hAnsi="宋体"/>
          <w:color w:val="auto"/>
          <w:sz w:val="21"/>
          <w:szCs w:val="21"/>
          <w:highlight w:val="none"/>
        </w:rPr>
        <w:t>开户银行：中信银行股份有限公司南宁东葛支行</w:t>
      </w:r>
    </w:p>
    <w:p w14:paraId="0527D7EF">
      <w:pPr>
        <w:wordWrap w:val="0"/>
        <w:spacing w:line="380" w:lineRule="exact"/>
        <w:ind w:firstLine="422"/>
        <w:rPr>
          <w:rFonts w:ascii="宋体" w:hAnsi="宋体" w:cs="宋体"/>
          <w:b/>
          <w:color w:val="auto"/>
          <w:kern w:val="0"/>
          <w:sz w:val="21"/>
          <w:szCs w:val="24"/>
          <w:highlight w:val="none"/>
        </w:rPr>
      </w:pPr>
      <w:r>
        <w:rPr>
          <w:rFonts w:hint="eastAsia" w:ascii="宋体" w:hAnsi="宋体" w:cs="宋体"/>
          <w:b/>
          <w:color w:val="auto"/>
          <w:kern w:val="0"/>
          <w:sz w:val="21"/>
          <w:szCs w:val="24"/>
          <w:highlight w:val="none"/>
        </w:rPr>
        <w:t>32.广西线上“政采贷”政策详见附表4.</w:t>
      </w:r>
    </w:p>
    <w:p w14:paraId="64939748">
      <w:pPr>
        <w:wordWrap w:val="0"/>
        <w:spacing w:line="380" w:lineRule="exact"/>
        <w:ind w:firstLine="422"/>
        <w:rPr>
          <w:rFonts w:ascii="宋体" w:hAnsi="宋体" w:cs="宋体"/>
          <w:color w:val="auto"/>
          <w:kern w:val="0"/>
          <w:sz w:val="21"/>
          <w:szCs w:val="21"/>
          <w:highlight w:val="none"/>
        </w:rPr>
      </w:pPr>
      <w:r>
        <w:rPr>
          <w:rFonts w:hint="eastAsia" w:ascii="宋体" w:hAnsi="宋体" w:cs="宋体"/>
          <w:b/>
          <w:color w:val="auto"/>
          <w:kern w:val="0"/>
          <w:sz w:val="21"/>
          <w:szCs w:val="24"/>
          <w:highlight w:val="none"/>
        </w:rPr>
        <w:t>33.解释权：</w:t>
      </w:r>
      <w:r>
        <w:rPr>
          <w:rFonts w:hint="eastAsia" w:ascii="宋体" w:hAnsi="宋体" w:cs="宋体"/>
          <w:color w:val="auto"/>
          <w:kern w:val="0"/>
          <w:sz w:val="21"/>
          <w:szCs w:val="21"/>
          <w:highlight w:val="none"/>
        </w:rPr>
        <w:t>本竞争性磋商文件是根据《中华人民共和国政府采购法》《中华人民共和国政府采购法实施条例》《政府采购竞争性磋商采购人事管理暂行办法》和政府采购管理有关规定编制，本竞争性磋商文件的解释权属于采购代理机构。</w:t>
      </w:r>
    </w:p>
    <w:p w14:paraId="0D1F8C7C">
      <w:pPr>
        <w:wordWrap w:val="0"/>
        <w:spacing w:line="380" w:lineRule="exact"/>
        <w:ind w:firstLine="422"/>
        <w:rPr>
          <w:rFonts w:ascii="宋体" w:hAnsi="宋体" w:cs="宋体"/>
          <w:color w:val="auto"/>
          <w:kern w:val="0"/>
          <w:sz w:val="21"/>
          <w:szCs w:val="21"/>
          <w:highlight w:val="none"/>
        </w:rPr>
      </w:pPr>
      <w:r>
        <w:rPr>
          <w:rFonts w:hint="eastAsia" w:ascii="宋体" w:hAnsi="宋体" w:cs="宋体"/>
          <w:b/>
          <w:color w:val="auto"/>
          <w:kern w:val="0"/>
          <w:sz w:val="21"/>
          <w:szCs w:val="24"/>
          <w:highlight w:val="none"/>
        </w:rPr>
        <w:t>34.监督管理机构：</w:t>
      </w:r>
      <w:r>
        <w:rPr>
          <w:rFonts w:hint="eastAsia" w:ascii="宋体" w:hAnsi="宋体" w:cs="宋体"/>
          <w:color w:val="auto"/>
          <w:kern w:val="0"/>
          <w:sz w:val="21"/>
          <w:szCs w:val="21"/>
          <w:highlight w:val="none"/>
        </w:rPr>
        <w:t>桂林市财政局    联系电话：0773-2829504</w:t>
      </w:r>
    </w:p>
    <w:p w14:paraId="0E5D3709">
      <w:pPr>
        <w:snapToGrid w:val="0"/>
        <w:spacing w:line="240" w:lineRule="auto"/>
        <w:ind w:firstLine="0" w:firstLineChars="0"/>
        <w:rPr>
          <w:rFonts w:ascii="宋体" w:hAnsi="宋体" w:cs="宋体"/>
          <w:b/>
          <w:color w:val="auto"/>
          <w:szCs w:val="24"/>
          <w:highlight w:val="none"/>
        </w:rPr>
      </w:pPr>
    </w:p>
    <w:p w14:paraId="2914FA69">
      <w:pPr>
        <w:snapToGrid w:val="0"/>
        <w:spacing w:line="240" w:lineRule="auto"/>
        <w:ind w:firstLine="0" w:firstLineChars="0"/>
        <w:rPr>
          <w:rFonts w:ascii="宋体" w:hAnsi="宋体" w:cs="宋体"/>
          <w:b/>
          <w:color w:val="auto"/>
          <w:szCs w:val="24"/>
          <w:highlight w:val="none"/>
        </w:rPr>
      </w:pPr>
    </w:p>
    <w:p w14:paraId="24D75315">
      <w:pPr>
        <w:snapToGrid w:val="0"/>
        <w:spacing w:line="240" w:lineRule="auto"/>
        <w:ind w:firstLine="0" w:firstLineChars="0"/>
        <w:rPr>
          <w:rFonts w:ascii="宋体" w:hAnsi="宋体" w:cs="宋体"/>
          <w:b/>
          <w:color w:val="auto"/>
          <w:szCs w:val="24"/>
          <w:highlight w:val="none"/>
        </w:rPr>
      </w:pPr>
    </w:p>
    <w:p w14:paraId="739B044C">
      <w:pPr>
        <w:snapToGrid w:val="0"/>
        <w:spacing w:line="240" w:lineRule="auto"/>
        <w:ind w:firstLine="0" w:firstLineChars="0"/>
        <w:rPr>
          <w:rFonts w:ascii="宋体" w:hAnsi="宋体" w:cs="宋体"/>
          <w:b/>
          <w:color w:val="auto"/>
          <w:szCs w:val="24"/>
          <w:highlight w:val="none"/>
        </w:rPr>
      </w:pPr>
    </w:p>
    <w:p w14:paraId="1D00D63E">
      <w:pPr>
        <w:snapToGrid w:val="0"/>
        <w:spacing w:line="240" w:lineRule="auto"/>
        <w:ind w:firstLine="0" w:firstLineChars="0"/>
        <w:rPr>
          <w:rFonts w:ascii="宋体" w:hAnsi="宋体" w:cs="宋体"/>
          <w:b/>
          <w:color w:val="auto"/>
          <w:szCs w:val="24"/>
          <w:highlight w:val="none"/>
        </w:rPr>
      </w:pPr>
    </w:p>
    <w:p w14:paraId="4427BB1A">
      <w:pPr>
        <w:snapToGrid w:val="0"/>
        <w:spacing w:line="240" w:lineRule="auto"/>
        <w:ind w:firstLine="0" w:firstLineChars="0"/>
        <w:rPr>
          <w:rFonts w:ascii="宋体" w:hAnsi="宋体" w:cs="宋体"/>
          <w:b/>
          <w:color w:val="auto"/>
          <w:szCs w:val="24"/>
          <w:highlight w:val="none"/>
        </w:rPr>
      </w:pPr>
    </w:p>
    <w:p w14:paraId="43419F39">
      <w:pPr>
        <w:snapToGrid w:val="0"/>
        <w:spacing w:line="240" w:lineRule="auto"/>
        <w:ind w:firstLine="0" w:firstLineChars="0"/>
        <w:rPr>
          <w:rFonts w:ascii="宋体" w:hAnsi="宋体" w:cs="宋体"/>
          <w:b/>
          <w:color w:val="auto"/>
          <w:szCs w:val="24"/>
          <w:highlight w:val="none"/>
        </w:rPr>
      </w:pPr>
    </w:p>
    <w:p w14:paraId="47863230">
      <w:pPr>
        <w:snapToGrid w:val="0"/>
        <w:spacing w:line="240" w:lineRule="auto"/>
        <w:ind w:firstLine="0" w:firstLineChars="0"/>
        <w:rPr>
          <w:rFonts w:ascii="宋体" w:hAnsi="宋体" w:cs="宋体"/>
          <w:b/>
          <w:color w:val="auto"/>
          <w:szCs w:val="24"/>
          <w:highlight w:val="none"/>
        </w:rPr>
      </w:pPr>
    </w:p>
    <w:p w14:paraId="0240252C">
      <w:pPr>
        <w:snapToGrid w:val="0"/>
        <w:spacing w:line="240" w:lineRule="auto"/>
        <w:ind w:firstLine="0" w:firstLineChars="0"/>
        <w:rPr>
          <w:rFonts w:ascii="宋体" w:hAnsi="宋体" w:cs="宋体"/>
          <w:b/>
          <w:color w:val="auto"/>
          <w:szCs w:val="24"/>
          <w:highlight w:val="none"/>
        </w:rPr>
      </w:pPr>
    </w:p>
    <w:p w14:paraId="71DEB244">
      <w:pPr>
        <w:snapToGrid w:val="0"/>
        <w:spacing w:line="240" w:lineRule="auto"/>
        <w:ind w:firstLine="0" w:firstLineChars="0"/>
        <w:rPr>
          <w:rFonts w:ascii="宋体" w:hAnsi="宋体" w:cs="宋体"/>
          <w:b/>
          <w:color w:val="auto"/>
          <w:szCs w:val="24"/>
          <w:highlight w:val="none"/>
        </w:rPr>
      </w:pPr>
    </w:p>
    <w:p w14:paraId="0769DE22">
      <w:pPr>
        <w:snapToGrid w:val="0"/>
        <w:spacing w:line="240" w:lineRule="auto"/>
        <w:ind w:firstLine="0" w:firstLineChars="0"/>
        <w:rPr>
          <w:rFonts w:ascii="宋体" w:hAnsi="宋体" w:cs="宋体"/>
          <w:b/>
          <w:color w:val="auto"/>
          <w:szCs w:val="24"/>
          <w:highlight w:val="none"/>
        </w:rPr>
      </w:pPr>
    </w:p>
    <w:p w14:paraId="037B7979">
      <w:pPr>
        <w:snapToGrid w:val="0"/>
        <w:spacing w:line="240" w:lineRule="auto"/>
        <w:ind w:firstLine="0" w:firstLineChars="0"/>
        <w:rPr>
          <w:rFonts w:ascii="宋体" w:hAnsi="宋体" w:cs="宋体"/>
          <w:b/>
          <w:color w:val="auto"/>
          <w:szCs w:val="24"/>
          <w:highlight w:val="none"/>
        </w:rPr>
      </w:pPr>
    </w:p>
    <w:p w14:paraId="32EFD67F">
      <w:pPr>
        <w:snapToGrid w:val="0"/>
        <w:spacing w:line="240" w:lineRule="auto"/>
        <w:ind w:firstLine="0" w:firstLineChars="0"/>
        <w:rPr>
          <w:rFonts w:ascii="宋体" w:hAnsi="宋体" w:cs="宋体"/>
          <w:b/>
          <w:color w:val="auto"/>
          <w:szCs w:val="24"/>
          <w:highlight w:val="none"/>
        </w:rPr>
      </w:pPr>
    </w:p>
    <w:p w14:paraId="3604A12D">
      <w:pPr>
        <w:snapToGrid w:val="0"/>
        <w:spacing w:line="240" w:lineRule="auto"/>
        <w:ind w:firstLine="0" w:firstLineChars="0"/>
        <w:rPr>
          <w:rFonts w:ascii="宋体" w:hAnsi="宋体" w:cs="宋体"/>
          <w:b/>
          <w:color w:val="auto"/>
          <w:szCs w:val="24"/>
          <w:highlight w:val="none"/>
        </w:rPr>
      </w:pPr>
    </w:p>
    <w:p w14:paraId="6AA8096C">
      <w:pPr>
        <w:snapToGrid w:val="0"/>
        <w:spacing w:line="240" w:lineRule="auto"/>
        <w:ind w:firstLine="0" w:firstLineChars="0"/>
        <w:rPr>
          <w:rFonts w:ascii="宋体" w:hAnsi="宋体" w:cs="宋体"/>
          <w:b/>
          <w:color w:val="auto"/>
          <w:szCs w:val="24"/>
          <w:highlight w:val="none"/>
        </w:rPr>
      </w:pPr>
    </w:p>
    <w:p w14:paraId="4B7E586A">
      <w:pPr>
        <w:snapToGrid w:val="0"/>
        <w:spacing w:line="240" w:lineRule="auto"/>
        <w:ind w:firstLine="0" w:firstLineChars="0"/>
        <w:rPr>
          <w:rFonts w:ascii="宋体" w:hAnsi="宋体" w:cs="宋体"/>
          <w:b/>
          <w:color w:val="auto"/>
          <w:szCs w:val="24"/>
          <w:highlight w:val="none"/>
        </w:rPr>
      </w:pPr>
    </w:p>
    <w:p w14:paraId="4912AEBA">
      <w:pPr>
        <w:snapToGrid w:val="0"/>
        <w:spacing w:line="240" w:lineRule="auto"/>
        <w:ind w:firstLine="0" w:firstLineChars="0"/>
        <w:rPr>
          <w:rFonts w:ascii="宋体" w:hAnsi="宋体" w:cs="宋体"/>
          <w:b/>
          <w:color w:val="auto"/>
          <w:szCs w:val="24"/>
          <w:highlight w:val="none"/>
        </w:rPr>
      </w:pPr>
    </w:p>
    <w:p w14:paraId="6CC5F5B3">
      <w:pPr>
        <w:snapToGrid w:val="0"/>
        <w:spacing w:line="240" w:lineRule="auto"/>
        <w:ind w:firstLine="0" w:firstLineChars="0"/>
        <w:rPr>
          <w:rFonts w:ascii="宋体" w:hAnsi="宋体" w:cs="宋体"/>
          <w:b/>
          <w:color w:val="auto"/>
          <w:szCs w:val="24"/>
          <w:highlight w:val="none"/>
        </w:rPr>
      </w:pPr>
    </w:p>
    <w:p w14:paraId="016FD5F5">
      <w:pPr>
        <w:snapToGrid w:val="0"/>
        <w:spacing w:line="240" w:lineRule="auto"/>
        <w:ind w:firstLine="0" w:firstLineChars="0"/>
        <w:rPr>
          <w:rFonts w:ascii="宋体" w:hAnsi="宋体" w:cs="宋体"/>
          <w:b/>
          <w:color w:val="auto"/>
          <w:szCs w:val="24"/>
          <w:highlight w:val="none"/>
        </w:rPr>
      </w:pPr>
    </w:p>
    <w:p w14:paraId="3A6FCA48">
      <w:pPr>
        <w:snapToGrid w:val="0"/>
        <w:spacing w:line="240" w:lineRule="auto"/>
        <w:ind w:firstLine="0" w:firstLineChars="0"/>
        <w:rPr>
          <w:rFonts w:ascii="宋体" w:hAnsi="宋体" w:cs="宋体"/>
          <w:b/>
          <w:color w:val="auto"/>
          <w:szCs w:val="24"/>
          <w:highlight w:val="none"/>
        </w:rPr>
      </w:pPr>
    </w:p>
    <w:p w14:paraId="6DB0016C">
      <w:pPr>
        <w:snapToGrid w:val="0"/>
        <w:spacing w:line="240" w:lineRule="auto"/>
        <w:ind w:firstLine="0" w:firstLineChars="0"/>
        <w:rPr>
          <w:rFonts w:ascii="宋体" w:hAnsi="宋体" w:cs="宋体"/>
          <w:b/>
          <w:color w:val="auto"/>
          <w:szCs w:val="24"/>
          <w:highlight w:val="none"/>
        </w:rPr>
      </w:pPr>
    </w:p>
    <w:p w14:paraId="14338CAA">
      <w:pPr>
        <w:snapToGrid w:val="0"/>
        <w:spacing w:line="240" w:lineRule="auto"/>
        <w:ind w:firstLine="0" w:firstLineChars="0"/>
        <w:rPr>
          <w:rFonts w:ascii="宋体" w:hAnsi="宋体" w:cs="宋体"/>
          <w:b/>
          <w:color w:val="auto"/>
          <w:szCs w:val="24"/>
          <w:highlight w:val="none"/>
        </w:rPr>
      </w:pPr>
    </w:p>
    <w:p w14:paraId="18A81620">
      <w:pPr>
        <w:snapToGrid w:val="0"/>
        <w:spacing w:line="240" w:lineRule="auto"/>
        <w:ind w:firstLine="0" w:firstLineChars="0"/>
        <w:rPr>
          <w:rFonts w:ascii="宋体" w:hAnsi="宋体" w:cs="宋体"/>
          <w:b/>
          <w:color w:val="auto"/>
          <w:szCs w:val="24"/>
          <w:highlight w:val="none"/>
        </w:rPr>
      </w:pPr>
    </w:p>
    <w:p w14:paraId="03657E3B">
      <w:pPr>
        <w:snapToGrid w:val="0"/>
        <w:spacing w:line="240" w:lineRule="auto"/>
        <w:ind w:firstLine="0" w:firstLineChars="0"/>
        <w:rPr>
          <w:rFonts w:ascii="宋体" w:hAnsi="宋体" w:cs="宋体"/>
          <w:b/>
          <w:color w:val="auto"/>
          <w:szCs w:val="24"/>
          <w:highlight w:val="none"/>
        </w:rPr>
      </w:pPr>
    </w:p>
    <w:p w14:paraId="67A83E2D">
      <w:pPr>
        <w:snapToGrid w:val="0"/>
        <w:spacing w:line="240" w:lineRule="auto"/>
        <w:ind w:firstLine="0" w:firstLineChars="0"/>
        <w:rPr>
          <w:rFonts w:ascii="宋体" w:hAnsi="宋体" w:cs="宋体"/>
          <w:b/>
          <w:color w:val="auto"/>
          <w:szCs w:val="24"/>
          <w:highlight w:val="none"/>
        </w:rPr>
      </w:pPr>
    </w:p>
    <w:p w14:paraId="3C662CA6">
      <w:pPr>
        <w:snapToGrid w:val="0"/>
        <w:spacing w:line="240" w:lineRule="auto"/>
        <w:ind w:firstLine="0" w:firstLineChars="0"/>
        <w:rPr>
          <w:rFonts w:ascii="宋体" w:hAnsi="宋体" w:cs="宋体"/>
          <w:b/>
          <w:color w:val="auto"/>
          <w:szCs w:val="24"/>
          <w:highlight w:val="none"/>
        </w:rPr>
      </w:pPr>
    </w:p>
    <w:p w14:paraId="36CBB026">
      <w:pPr>
        <w:snapToGrid w:val="0"/>
        <w:spacing w:line="240" w:lineRule="auto"/>
        <w:ind w:firstLine="0" w:firstLineChars="0"/>
        <w:rPr>
          <w:rFonts w:ascii="宋体" w:hAnsi="宋体" w:cs="宋体"/>
          <w:b/>
          <w:color w:val="auto"/>
          <w:szCs w:val="24"/>
          <w:highlight w:val="none"/>
        </w:rPr>
      </w:pPr>
    </w:p>
    <w:p w14:paraId="3F318576">
      <w:pPr>
        <w:snapToGrid w:val="0"/>
        <w:spacing w:line="240" w:lineRule="auto"/>
        <w:ind w:firstLine="0" w:firstLineChars="0"/>
        <w:rPr>
          <w:rFonts w:ascii="宋体" w:hAnsi="宋体" w:cs="宋体"/>
          <w:b/>
          <w:color w:val="auto"/>
          <w:szCs w:val="24"/>
          <w:highlight w:val="none"/>
        </w:rPr>
      </w:pPr>
    </w:p>
    <w:p w14:paraId="69D9C9AB">
      <w:pPr>
        <w:snapToGrid w:val="0"/>
        <w:spacing w:line="240" w:lineRule="auto"/>
        <w:ind w:firstLine="0" w:firstLineChars="0"/>
        <w:rPr>
          <w:rFonts w:ascii="宋体" w:hAnsi="宋体" w:cs="宋体"/>
          <w:b/>
          <w:color w:val="auto"/>
          <w:szCs w:val="24"/>
          <w:highlight w:val="none"/>
        </w:rPr>
      </w:pPr>
    </w:p>
    <w:p w14:paraId="631AA21A">
      <w:pPr>
        <w:snapToGrid w:val="0"/>
        <w:spacing w:line="240" w:lineRule="auto"/>
        <w:ind w:firstLine="0" w:firstLineChars="0"/>
        <w:rPr>
          <w:rFonts w:ascii="宋体" w:hAnsi="宋体" w:cs="宋体"/>
          <w:b/>
          <w:color w:val="auto"/>
          <w:szCs w:val="24"/>
          <w:highlight w:val="none"/>
        </w:rPr>
      </w:pPr>
    </w:p>
    <w:p w14:paraId="0FC99863">
      <w:pPr>
        <w:snapToGrid w:val="0"/>
        <w:spacing w:line="240" w:lineRule="auto"/>
        <w:ind w:firstLine="0" w:firstLineChars="0"/>
        <w:rPr>
          <w:rFonts w:ascii="宋体" w:hAnsi="宋体" w:cs="宋体"/>
          <w:b/>
          <w:color w:val="auto"/>
          <w:szCs w:val="24"/>
          <w:highlight w:val="none"/>
        </w:rPr>
      </w:pPr>
    </w:p>
    <w:p w14:paraId="43E7D8BE">
      <w:pPr>
        <w:snapToGrid w:val="0"/>
        <w:spacing w:line="240" w:lineRule="auto"/>
        <w:ind w:firstLine="0" w:firstLineChars="0"/>
        <w:rPr>
          <w:rFonts w:ascii="宋体" w:hAnsi="宋体" w:cs="宋体"/>
          <w:b/>
          <w:color w:val="auto"/>
          <w:szCs w:val="24"/>
          <w:highlight w:val="none"/>
        </w:rPr>
      </w:pPr>
    </w:p>
    <w:p w14:paraId="3072D581">
      <w:pPr>
        <w:snapToGrid w:val="0"/>
        <w:spacing w:line="240" w:lineRule="auto"/>
        <w:ind w:firstLine="0" w:firstLineChars="0"/>
        <w:rPr>
          <w:rFonts w:ascii="宋体" w:hAnsi="宋体" w:cs="宋体"/>
          <w:b/>
          <w:color w:val="auto"/>
          <w:szCs w:val="24"/>
          <w:highlight w:val="none"/>
        </w:rPr>
      </w:pPr>
    </w:p>
    <w:p w14:paraId="40757F98">
      <w:pPr>
        <w:snapToGrid w:val="0"/>
        <w:spacing w:line="240" w:lineRule="auto"/>
        <w:ind w:firstLine="0" w:firstLineChars="0"/>
        <w:rPr>
          <w:rFonts w:ascii="宋体" w:hAnsi="宋体" w:cs="宋体"/>
          <w:b/>
          <w:color w:val="auto"/>
          <w:szCs w:val="24"/>
          <w:highlight w:val="none"/>
        </w:rPr>
      </w:pPr>
    </w:p>
    <w:p w14:paraId="76ACB9DD">
      <w:pPr>
        <w:snapToGrid w:val="0"/>
        <w:spacing w:line="240" w:lineRule="auto"/>
        <w:ind w:firstLine="0" w:firstLineChars="0"/>
        <w:rPr>
          <w:rFonts w:ascii="宋体" w:hAnsi="宋体" w:cs="宋体"/>
          <w:b/>
          <w:color w:val="auto"/>
          <w:szCs w:val="24"/>
          <w:highlight w:val="none"/>
        </w:rPr>
      </w:pPr>
    </w:p>
    <w:p w14:paraId="5B6356B5">
      <w:pPr>
        <w:snapToGrid w:val="0"/>
        <w:spacing w:line="240" w:lineRule="auto"/>
        <w:ind w:firstLine="0" w:firstLineChars="0"/>
        <w:rPr>
          <w:rFonts w:ascii="宋体" w:hAnsi="宋体" w:cs="宋体"/>
          <w:b/>
          <w:color w:val="auto"/>
          <w:szCs w:val="24"/>
          <w:highlight w:val="none"/>
        </w:rPr>
      </w:pPr>
      <w:r>
        <w:rPr>
          <w:rFonts w:hint="eastAsia" w:ascii="宋体" w:hAnsi="宋体" w:cs="宋体"/>
          <w:b/>
          <w:color w:val="auto"/>
          <w:szCs w:val="24"/>
          <w:highlight w:val="none"/>
        </w:rPr>
        <w:t>附表1：</w:t>
      </w:r>
    </w:p>
    <w:p w14:paraId="0D024EAD">
      <w:pPr>
        <w:spacing w:line="460" w:lineRule="exact"/>
        <w:ind w:firstLine="0" w:firstLineChars="0"/>
        <w:jc w:val="center"/>
        <w:rPr>
          <w:rFonts w:ascii="宋体" w:hAnsi="宋体" w:cs="宋体"/>
          <w:color w:val="auto"/>
          <w:sz w:val="44"/>
          <w:szCs w:val="24"/>
          <w:highlight w:val="none"/>
        </w:rPr>
      </w:pPr>
      <w:r>
        <w:rPr>
          <w:rFonts w:hint="eastAsia" w:ascii="宋体" w:hAnsi="宋体" w:cs="宋体"/>
          <w:color w:val="auto"/>
          <w:sz w:val="44"/>
          <w:szCs w:val="24"/>
          <w:highlight w:val="none"/>
        </w:rPr>
        <w:t>质疑函（格式）</w:t>
      </w:r>
    </w:p>
    <w:p w14:paraId="2C90EC0F">
      <w:pPr>
        <w:snapToGrid w:val="0"/>
        <w:spacing w:line="360" w:lineRule="exact"/>
        <w:ind w:firstLine="422"/>
        <w:rPr>
          <w:rFonts w:ascii="宋体" w:hAnsi="宋体" w:cs="宋体"/>
          <w:b/>
          <w:bCs/>
          <w:color w:val="auto"/>
          <w:sz w:val="21"/>
          <w:szCs w:val="20"/>
          <w:highlight w:val="none"/>
        </w:rPr>
      </w:pPr>
      <w:r>
        <w:rPr>
          <w:rFonts w:hint="eastAsia" w:ascii="宋体" w:hAnsi="宋体" w:cs="宋体"/>
          <w:b/>
          <w:bCs/>
          <w:color w:val="auto"/>
          <w:sz w:val="21"/>
          <w:szCs w:val="20"/>
          <w:highlight w:val="none"/>
        </w:rPr>
        <w:t>一、质疑供应商基本信息：</w:t>
      </w:r>
    </w:p>
    <w:p w14:paraId="4EBCD18B">
      <w:pPr>
        <w:snapToGrid w:val="0"/>
        <w:spacing w:line="360" w:lineRule="exact"/>
        <w:ind w:firstLine="420"/>
        <w:rPr>
          <w:rFonts w:ascii="宋体" w:hAnsi="宋体" w:cs="宋体"/>
          <w:bCs/>
          <w:color w:val="auto"/>
          <w:sz w:val="21"/>
          <w:szCs w:val="20"/>
          <w:highlight w:val="none"/>
          <w:u w:val="single"/>
        </w:rPr>
      </w:pPr>
      <w:r>
        <w:rPr>
          <w:rFonts w:hint="eastAsia" w:ascii="宋体" w:hAnsi="宋体" w:cs="宋体"/>
          <w:bCs/>
          <w:color w:val="auto"/>
          <w:sz w:val="21"/>
          <w:szCs w:val="20"/>
          <w:highlight w:val="none"/>
        </w:rPr>
        <w:t>质疑供应商：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3CBF9005">
      <w:pPr>
        <w:snapToGrid w:val="0"/>
        <w:spacing w:line="360" w:lineRule="exact"/>
        <w:ind w:firstLine="420"/>
        <w:rPr>
          <w:rFonts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1C04F772">
      <w:pPr>
        <w:snapToGrid w:val="0"/>
        <w:spacing w:line="360" w:lineRule="exact"/>
        <w:ind w:firstLine="420"/>
        <w:rPr>
          <w:rFonts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05958BE9">
      <w:pPr>
        <w:snapToGrid w:val="0"/>
        <w:spacing w:line="360" w:lineRule="exact"/>
        <w:ind w:firstLine="420"/>
        <w:rPr>
          <w:rFonts w:ascii="宋体" w:hAnsi="宋体" w:cs="宋体"/>
          <w:bCs/>
          <w:color w:val="auto"/>
          <w:sz w:val="21"/>
          <w:szCs w:val="20"/>
          <w:highlight w:val="non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p>
    <w:p w14:paraId="552525A9">
      <w:pPr>
        <w:snapToGrid w:val="0"/>
        <w:spacing w:line="360" w:lineRule="exact"/>
        <w:ind w:firstLine="420"/>
        <w:rPr>
          <w:rFonts w:ascii="宋体" w:hAnsi="宋体" w:cs="宋体"/>
          <w:bCs/>
          <w:color w:val="auto"/>
          <w:sz w:val="21"/>
          <w:szCs w:val="20"/>
          <w:highlight w:val="none"/>
          <w:u w:val="singl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0D22B132">
      <w:pPr>
        <w:snapToGrid w:val="0"/>
        <w:spacing w:line="360" w:lineRule="exact"/>
        <w:ind w:firstLine="420"/>
        <w:rPr>
          <w:rFonts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06F474C1">
      <w:pPr>
        <w:snapToGrid w:val="0"/>
        <w:spacing w:line="360" w:lineRule="exact"/>
        <w:ind w:firstLine="422"/>
        <w:rPr>
          <w:rFonts w:ascii="宋体" w:hAnsi="宋体" w:cs="宋体"/>
          <w:b/>
          <w:bCs/>
          <w:color w:val="auto"/>
          <w:sz w:val="21"/>
          <w:szCs w:val="20"/>
          <w:highlight w:val="none"/>
        </w:rPr>
      </w:pPr>
      <w:r>
        <w:rPr>
          <w:rFonts w:hint="eastAsia" w:ascii="宋体" w:hAnsi="宋体" w:cs="宋体"/>
          <w:b/>
          <w:bCs/>
          <w:color w:val="auto"/>
          <w:sz w:val="21"/>
          <w:szCs w:val="20"/>
          <w:highlight w:val="none"/>
        </w:rPr>
        <w:t>二、质疑项目基本情况：</w:t>
      </w:r>
    </w:p>
    <w:p w14:paraId="6B2FBC52">
      <w:pPr>
        <w:spacing w:line="360" w:lineRule="exact"/>
        <w:ind w:left="29" w:leftChars="12" w:firstLine="413" w:firstLineChars="197"/>
        <w:rPr>
          <w:rFonts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项目的名称：</w:t>
      </w:r>
      <w:r>
        <w:rPr>
          <w:rFonts w:hint="eastAsia" w:ascii="宋体" w:hAnsi="宋体" w:cs="宋体"/>
          <w:bCs/>
          <w:color w:val="auto"/>
          <w:sz w:val="21"/>
          <w:szCs w:val="20"/>
          <w:highlight w:val="none"/>
          <w:u w:val="single"/>
        </w:rPr>
        <w:t xml:space="preserve">                                     </w:t>
      </w:r>
    </w:p>
    <w:p w14:paraId="21587613">
      <w:pPr>
        <w:spacing w:line="360" w:lineRule="exact"/>
        <w:ind w:left="29" w:leftChars="12" w:firstLine="413" w:firstLineChars="197"/>
        <w:rPr>
          <w:rFonts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项目的编号：</w:t>
      </w:r>
      <w:r>
        <w:rPr>
          <w:rFonts w:hint="eastAsia" w:ascii="宋体" w:hAnsi="宋体" w:cs="宋体"/>
          <w:bCs/>
          <w:color w:val="auto"/>
          <w:sz w:val="21"/>
          <w:szCs w:val="20"/>
          <w:highlight w:val="none"/>
          <w:u w:val="single"/>
        </w:rPr>
        <w:t xml:space="preserve">                                     </w:t>
      </w:r>
      <w:r>
        <w:rPr>
          <w:rFonts w:hint="eastAsia" w:ascii="宋体" w:hAnsi="宋体" w:cs="宋体"/>
          <w:color w:val="auto"/>
          <w:sz w:val="21"/>
          <w:szCs w:val="21"/>
          <w:highlight w:val="none"/>
        </w:rPr>
        <w:t xml:space="preserve"> </w:t>
      </w:r>
    </w:p>
    <w:p w14:paraId="59B67A1D">
      <w:pPr>
        <w:spacing w:line="360" w:lineRule="exact"/>
        <w:ind w:left="29" w:leftChars="12" w:firstLine="413" w:firstLineChars="197"/>
        <w:rPr>
          <w:rFonts w:ascii="宋体" w:hAnsi="宋体" w:cs="宋体"/>
          <w:color w:val="auto"/>
          <w:sz w:val="21"/>
          <w:szCs w:val="21"/>
          <w:highlight w:val="none"/>
        </w:rPr>
      </w:pPr>
      <w:r>
        <w:rPr>
          <w:rFonts w:hint="eastAsia" w:ascii="宋体" w:hAnsi="宋体" w:cs="宋体"/>
          <w:color w:val="auto"/>
          <w:sz w:val="21"/>
          <w:szCs w:val="21"/>
          <w:highlight w:val="none"/>
        </w:rPr>
        <w:t>采购人名称：</w:t>
      </w:r>
      <w:r>
        <w:rPr>
          <w:rFonts w:hint="eastAsia" w:ascii="宋体" w:hAnsi="宋体" w:cs="宋体"/>
          <w:bCs/>
          <w:color w:val="auto"/>
          <w:sz w:val="21"/>
          <w:szCs w:val="20"/>
          <w:highlight w:val="none"/>
          <w:u w:val="single"/>
        </w:rPr>
        <w:t xml:space="preserve">                                         </w:t>
      </w:r>
    </w:p>
    <w:p w14:paraId="487781C0">
      <w:pPr>
        <w:spacing w:line="360" w:lineRule="exact"/>
        <w:ind w:left="29" w:leftChars="12" w:firstLine="413" w:firstLineChars="197"/>
        <w:rPr>
          <w:rFonts w:ascii="宋体" w:hAnsi="宋体" w:cs="宋体"/>
          <w:color w:val="auto"/>
          <w:sz w:val="21"/>
          <w:szCs w:val="21"/>
          <w:highlight w:val="none"/>
        </w:rPr>
      </w:pPr>
      <w:r>
        <w:rPr>
          <w:rFonts w:hint="eastAsia" w:ascii="宋体" w:hAnsi="宋体" w:cs="宋体"/>
          <w:color w:val="auto"/>
          <w:sz w:val="21"/>
          <w:szCs w:val="21"/>
          <w:highlight w:val="none"/>
        </w:rPr>
        <w:t>质疑事项：</w:t>
      </w:r>
    </w:p>
    <w:p w14:paraId="2BB98D13">
      <w:pPr>
        <w:spacing w:line="360" w:lineRule="exact"/>
        <w:ind w:left="29" w:leftChars="12" w:firstLine="441" w:firstLineChars="147"/>
        <w:rPr>
          <w:rFonts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磋商文件   磋商文件获取日期：</w:t>
      </w:r>
      <w:r>
        <w:rPr>
          <w:rFonts w:hint="eastAsia" w:ascii="宋体" w:hAnsi="宋体" w:cs="宋体"/>
          <w:bCs/>
          <w:color w:val="auto"/>
          <w:sz w:val="21"/>
          <w:szCs w:val="20"/>
          <w:highlight w:val="none"/>
          <w:u w:val="single"/>
        </w:rPr>
        <w:t xml:space="preserve">                                   </w:t>
      </w:r>
    </w:p>
    <w:p w14:paraId="0865E214">
      <w:pPr>
        <w:spacing w:line="360" w:lineRule="exact"/>
        <w:ind w:left="29" w:leftChars="12" w:firstLine="441" w:firstLineChars="147"/>
        <w:rPr>
          <w:rFonts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采购过程   </w:t>
      </w:r>
    </w:p>
    <w:p w14:paraId="479EDA61">
      <w:pPr>
        <w:spacing w:line="360" w:lineRule="exact"/>
        <w:ind w:left="29" w:leftChars="12" w:firstLine="441" w:firstLineChars="147"/>
        <w:rPr>
          <w:rFonts w:ascii="宋体" w:hAnsi="宋体" w:cs="宋体"/>
          <w:bCs/>
          <w:color w:val="auto"/>
          <w:sz w:val="21"/>
          <w:szCs w:val="20"/>
          <w:highlight w:val="none"/>
          <w:u w:val="singl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成交结果   </w:t>
      </w:r>
    </w:p>
    <w:p w14:paraId="342C8F29">
      <w:pPr>
        <w:spacing w:line="360" w:lineRule="exact"/>
        <w:ind w:left="29" w:leftChars="12" w:firstLine="413" w:firstLineChars="196"/>
        <w:rPr>
          <w:rFonts w:ascii="宋体" w:hAnsi="宋体" w:cs="宋体"/>
          <w:b/>
          <w:color w:val="auto"/>
          <w:sz w:val="21"/>
          <w:szCs w:val="21"/>
          <w:highlight w:val="none"/>
        </w:rPr>
      </w:pPr>
      <w:r>
        <w:rPr>
          <w:rFonts w:hint="eastAsia" w:ascii="宋体" w:hAnsi="宋体" w:cs="宋体"/>
          <w:b/>
          <w:color w:val="auto"/>
          <w:sz w:val="21"/>
          <w:szCs w:val="21"/>
          <w:highlight w:val="none"/>
        </w:rPr>
        <w:t>三、质疑事项具体内容</w:t>
      </w:r>
    </w:p>
    <w:p w14:paraId="2C7CDC28">
      <w:pPr>
        <w:spacing w:line="360" w:lineRule="exact"/>
        <w:ind w:left="29" w:leftChars="12" w:firstLine="413" w:firstLineChars="197"/>
        <w:rPr>
          <w:rFonts w:ascii="宋体" w:hAnsi="宋体" w:cs="宋体"/>
          <w:color w:val="auto"/>
          <w:sz w:val="21"/>
          <w:szCs w:val="21"/>
          <w:highlight w:val="none"/>
        </w:rPr>
      </w:pPr>
      <w:r>
        <w:rPr>
          <w:rFonts w:hint="eastAsia" w:ascii="宋体" w:hAnsi="宋体" w:cs="宋体"/>
          <w:color w:val="auto"/>
          <w:sz w:val="21"/>
          <w:szCs w:val="21"/>
          <w:highlight w:val="none"/>
        </w:rPr>
        <w:t>质疑事项1：</w:t>
      </w:r>
      <w:r>
        <w:rPr>
          <w:rFonts w:hint="eastAsia" w:ascii="宋体" w:hAnsi="宋体" w:cs="宋体"/>
          <w:bCs/>
          <w:color w:val="auto"/>
          <w:sz w:val="21"/>
          <w:szCs w:val="20"/>
          <w:highlight w:val="none"/>
          <w:u w:val="single"/>
        </w:rPr>
        <w:t xml:space="preserve">                                                                    </w:t>
      </w:r>
    </w:p>
    <w:p w14:paraId="4D16B037">
      <w:pPr>
        <w:spacing w:line="360" w:lineRule="exact"/>
        <w:ind w:left="29" w:leftChars="12" w:firstLine="413" w:firstLineChars="197"/>
        <w:rPr>
          <w:rFonts w:ascii="宋体" w:hAnsi="宋体" w:cs="宋体"/>
          <w:color w:val="auto"/>
          <w:sz w:val="21"/>
          <w:szCs w:val="21"/>
          <w:highlight w:val="none"/>
        </w:rPr>
      </w:pPr>
      <w:r>
        <w:rPr>
          <w:rFonts w:hint="eastAsia" w:ascii="宋体" w:hAnsi="宋体" w:cs="宋体"/>
          <w:color w:val="auto"/>
          <w:sz w:val="21"/>
          <w:szCs w:val="21"/>
          <w:highlight w:val="none"/>
        </w:rPr>
        <w:t>事实依据：</w:t>
      </w:r>
      <w:r>
        <w:rPr>
          <w:rFonts w:hint="eastAsia" w:ascii="宋体" w:hAnsi="宋体" w:cs="宋体"/>
          <w:bCs/>
          <w:color w:val="auto"/>
          <w:sz w:val="21"/>
          <w:szCs w:val="20"/>
          <w:highlight w:val="none"/>
          <w:u w:val="single"/>
        </w:rPr>
        <w:t xml:space="preserve">                                                                      </w:t>
      </w:r>
    </w:p>
    <w:p w14:paraId="7A7304F8">
      <w:pPr>
        <w:spacing w:line="360" w:lineRule="exact"/>
        <w:ind w:left="29" w:leftChars="12" w:firstLine="413" w:firstLineChars="197"/>
        <w:rPr>
          <w:rFonts w:ascii="宋体" w:hAnsi="宋体" w:cs="宋体"/>
          <w:color w:val="auto"/>
          <w:sz w:val="21"/>
          <w:szCs w:val="21"/>
          <w:highlight w:val="none"/>
        </w:rPr>
      </w:pPr>
      <w:r>
        <w:rPr>
          <w:rFonts w:hint="eastAsia" w:ascii="宋体" w:hAnsi="宋体" w:cs="宋体"/>
          <w:color w:val="auto"/>
          <w:sz w:val="21"/>
          <w:szCs w:val="21"/>
          <w:highlight w:val="none"/>
        </w:rPr>
        <w:t>法律依据：</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0"/>
          <w:highlight w:val="none"/>
          <w:u w:val="single"/>
        </w:rPr>
        <w:t xml:space="preserve">               </w:t>
      </w:r>
    </w:p>
    <w:p w14:paraId="299299E1">
      <w:pPr>
        <w:spacing w:line="360" w:lineRule="exact"/>
        <w:ind w:left="29" w:leftChars="12" w:firstLine="413" w:firstLineChars="197"/>
        <w:rPr>
          <w:rFonts w:ascii="宋体" w:hAnsi="宋体" w:cs="宋体"/>
          <w:color w:val="auto"/>
          <w:sz w:val="21"/>
          <w:szCs w:val="21"/>
          <w:highlight w:val="none"/>
        </w:rPr>
      </w:pPr>
      <w:r>
        <w:rPr>
          <w:rFonts w:hint="eastAsia" w:ascii="宋体" w:hAnsi="宋体" w:cs="宋体"/>
          <w:color w:val="auto"/>
          <w:sz w:val="21"/>
          <w:szCs w:val="21"/>
          <w:highlight w:val="none"/>
        </w:rPr>
        <w:t>质疑事项2</w:t>
      </w:r>
    </w:p>
    <w:p w14:paraId="782602E9">
      <w:pPr>
        <w:spacing w:line="360" w:lineRule="exact"/>
        <w:ind w:left="29" w:leftChars="12" w:firstLine="413" w:firstLineChars="197"/>
        <w:rPr>
          <w:rFonts w:ascii="宋体" w:hAnsi="宋体" w:cs="宋体"/>
          <w:color w:val="auto"/>
          <w:sz w:val="21"/>
          <w:szCs w:val="21"/>
          <w:highlight w:val="none"/>
        </w:rPr>
      </w:pPr>
      <w:r>
        <w:rPr>
          <w:rFonts w:hint="eastAsia" w:ascii="宋体" w:hAnsi="宋体" w:cs="宋体"/>
          <w:color w:val="auto"/>
          <w:sz w:val="21"/>
          <w:szCs w:val="21"/>
          <w:highlight w:val="none"/>
        </w:rPr>
        <w:t>……</w:t>
      </w:r>
    </w:p>
    <w:p w14:paraId="654A8AFF">
      <w:pPr>
        <w:spacing w:line="360" w:lineRule="exact"/>
        <w:ind w:left="29" w:leftChars="12" w:firstLine="413" w:firstLineChars="197"/>
        <w:rPr>
          <w:rFonts w:ascii="宋体" w:hAnsi="宋体" w:cs="宋体"/>
          <w:color w:val="auto"/>
          <w:sz w:val="21"/>
          <w:szCs w:val="21"/>
          <w:highlight w:val="none"/>
        </w:rPr>
      </w:pPr>
      <w:r>
        <w:rPr>
          <w:rFonts w:hint="eastAsia" w:ascii="宋体" w:hAnsi="宋体" w:cs="宋体"/>
          <w:color w:val="auto"/>
          <w:sz w:val="21"/>
          <w:szCs w:val="21"/>
          <w:highlight w:val="none"/>
        </w:rPr>
        <w:t>四、与质疑事项相关的质疑请求：</w:t>
      </w:r>
    </w:p>
    <w:p w14:paraId="77C33745">
      <w:pPr>
        <w:spacing w:line="360" w:lineRule="exact"/>
        <w:ind w:left="29" w:leftChars="12" w:firstLine="413" w:firstLineChars="197"/>
        <w:rPr>
          <w:rFonts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172C3BB8">
      <w:pPr>
        <w:spacing w:line="360" w:lineRule="exact"/>
        <w:ind w:left="29" w:leftChars="12" w:firstLine="308" w:firstLineChars="147"/>
        <w:rPr>
          <w:rFonts w:ascii="宋体" w:hAnsi="宋体" w:cs="宋体"/>
          <w:color w:val="auto"/>
          <w:sz w:val="21"/>
          <w:szCs w:val="21"/>
          <w:highlight w:val="none"/>
        </w:rPr>
      </w:pPr>
    </w:p>
    <w:p w14:paraId="16FBB9D1">
      <w:pPr>
        <w:spacing w:line="360" w:lineRule="exact"/>
        <w:ind w:left="29" w:leftChars="12" w:firstLine="413" w:firstLineChars="197"/>
        <w:rPr>
          <w:rFonts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521454B3">
      <w:pPr>
        <w:spacing w:line="360" w:lineRule="exact"/>
        <w:ind w:left="29" w:leftChars="12" w:firstLine="308" w:firstLineChars="147"/>
        <w:rPr>
          <w:rFonts w:ascii="宋体" w:hAnsi="宋体" w:cs="宋体"/>
          <w:color w:val="auto"/>
          <w:sz w:val="21"/>
          <w:szCs w:val="21"/>
          <w:highlight w:val="none"/>
        </w:rPr>
      </w:pPr>
    </w:p>
    <w:p w14:paraId="710245B2">
      <w:pPr>
        <w:spacing w:line="360" w:lineRule="exact"/>
        <w:ind w:left="29" w:leftChars="12" w:firstLine="413" w:firstLineChars="197"/>
        <w:rPr>
          <w:rFonts w:ascii="宋体" w:hAnsi="宋体" w:cs="宋体"/>
          <w:color w:val="auto"/>
          <w:sz w:val="21"/>
          <w:szCs w:val="21"/>
          <w:highlight w:val="none"/>
        </w:rPr>
      </w:pPr>
      <w:r>
        <w:rPr>
          <w:rFonts w:hint="eastAsia" w:ascii="宋体" w:hAnsi="宋体" w:cs="宋体"/>
          <w:color w:val="auto"/>
          <w:sz w:val="21"/>
          <w:szCs w:val="21"/>
          <w:highlight w:val="none"/>
        </w:rPr>
        <w:t>日期：</w:t>
      </w:r>
    </w:p>
    <w:p w14:paraId="7F38A25D">
      <w:pPr>
        <w:snapToGrid w:val="0"/>
        <w:spacing w:line="340" w:lineRule="exact"/>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说明：</w:t>
      </w:r>
    </w:p>
    <w:p w14:paraId="3AB9CEC9">
      <w:pPr>
        <w:snapToGrid w:val="0"/>
        <w:spacing w:line="340" w:lineRule="exact"/>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1.供应商提出质疑时，应提交质疑函和必要的证明材料。</w:t>
      </w:r>
    </w:p>
    <w:p w14:paraId="053EB862">
      <w:pPr>
        <w:snapToGrid w:val="0"/>
        <w:spacing w:line="340" w:lineRule="exact"/>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344664">
      <w:pPr>
        <w:snapToGrid w:val="0"/>
        <w:spacing w:line="340" w:lineRule="exact"/>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3.质疑函的质疑事项应具体、明确，并有必要的事实依据和法律依据。</w:t>
      </w:r>
    </w:p>
    <w:p w14:paraId="3A7D4C69">
      <w:pPr>
        <w:snapToGrid w:val="0"/>
        <w:spacing w:line="340" w:lineRule="exact"/>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4.质疑函的质疑请求应与质疑事项相关。</w:t>
      </w:r>
    </w:p>
    <w:p w14:paraId="73E92910">
      <w:pPr>
        <w:snapToGrid w:val="0"/>
        <w:spacing w:line="340" w:lineRule="exact"/>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5.质疑供应商为自然人的，质疑函应由本人签字；质疑供应商为法人或者其他组织的，质疑函应由法定代表人、主要负责人，或者其授权代表签字或者盖章，并加盖公章。</w:t>
      </w:r>
    </w:p>
    <w:p w14:paraId="52D9519C">
      <w:pPr>
        <w:snapToGrid w:val="0"/>
        <w:spacing w:line="340" w:lineRule="exact"/>
        <w:ind w:firstLine="0" w:firstLineChars="0"/>
        <w:rPr>
          <w:rFonts w:ascii="宋体" w:hAnsi="宋体" w:cs="宋体"/>
          <w:b/>
          <w:color w:val="auto"/>
          <w:szCs w:val="24"/>
          <w:highlight w:val="none"/>
        </w:rPr>
      </w:pPr>
    </w:p>
    <w:p w14:paraId="761C9ED1">
      <w:pPr>
        <w:snapToGrid w:val="0"/>
        <w:spacing w:line="340" w:lineRule="exact"/>
        <w:ind w:firstLine="0" w:firstLineChars="0"/>
        <w:rPr>
          <w:rFonts w:ascii="宋体" w:hAnsi="宋体" w:cs="宋体"/>
          <w:b/>
          <w:color w:val="auto"/>
          <w:szCs w:val="24"/>
          <w:highlight w:val="none"/>
        </w:rPr>
      </w:pPr>
      <w:r>
        <w:rPr>
          <w:rFonts w:hint="eastAsia" w:ascii="宋体" w:hAnsi="宋体" w:cs="宋体"/>
          <w:b/>
          <w:color w:val="auto"/>
          <w:szCs w:val="24"/>
          <w:highlight w:val="none"/>
        </w:rPr>
        <w:t>附表2：</w:t>
      </w:r>
    </w:p>
    <w:p w14:paraId="4305AD43">
      <w:pPr>
        <w:spacing w:line="460" w:lineRule="exact"/>
        <w:ind w:firstLine="0" w:firstLineChars="0"/>
        <w:jc w:val="center"/>
        <w:rPr>
          <w:rFonts w:ascii="宋体" w:hAnsi="宋体" w:cs="宋体"/>
          <w:color w:val="auto"/>
          <w:sz w:val="44"/>
          <w:szCs w:val="24"/>
          <w:highlight w:val="none"/>
        </w:rPr>
      </w:pPr>
      <w:r>
        <w:rPr>
          <w:rFonts w:hint="eastAsia" w:ascii="宋体" w:hAnsi="宋体" w:cs="宋体"/>
          <w:color w:val="auto"/>
          <w:sz w:val="44"/>
          <w:szCs w:val="24"/>
          <w:highlight w:val="none"/>
        </w:rPr>
        <w:t>投诉书（格式）</w:t>
      </w:r>
    </w:p>
    <w:p w14:paraId="4BD4CE90">
      <w:pPr>
        <w:snapToGrid w:val="0"/>
        <w:spacing w:line="400" w:lineRule="exact"/>
        <w:ind w:firstLine="422"/>
        <w:rPr>
          <w:rFonts w:ascii="宋体" w:hAnsi="宋体" w:cs="宋体"/>
          <w:b/>
          <w:bCs/>
          <w:color w:val="auto"/>
          <w:sz w:val="21"/>
          <w:szCs w:val="20"/>
          <w:highlight w:val="none"/>
        </w:rPr>
      </w:pPr>
      <w:r>
        <w:rPr>
          <w:rFonts w:hint="eastAsia" w:ascii="宋体" w:hAnsi="宋体" w:cs="宋体"/>
          <w:b/>
          <w:bCs/>
          <w:color w:val="auto"/>
          <w:sz w:val="21"/>
          <w:szCs w:val="20"/>
          <w:highlight w:val="none"/>
        </w:rPr>
        <w:t>一、投诉相关主体基本情况：</w:t>
      </w:r>
    </w:p>
    <w:p w14:paraId="3E054161">
      <w:pPr>
        <w:snapToGrid w:val="0"/>
        <w:spacing w:line="400" w:lineRule="exact"/>
        <w:ind w:firstLine="420"/>
        <w:rPr>
          <w:rFonts w:ascii="宋体" w:hAnsi="宋体" w:cs="宋体"/>
          <w:bCs/>
          <w:color w:val="auto"/>
          <w:sz w:val="21"/>
          <w:szCs w:val="20"/>
          <w:highlight w:val="none"/>
          <w:u w:val="single"/>
        </w:rPr>
      </w:pPr>
      <w:r>
        <w:rPr>
          <w:rFonts w:hint="eastAsia" w:ascii="宋体" w:hAnsi="宋体" w:cs="宋体"/>
          <w:bCs/>
          <w:color w:val="auto"/>
          <w:sz w:val="21"/>
          <w:szCs w:val="20"/>
          <w:highlight w:val="none"/>
        </w:rPr>
        <w:t>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6AAA029F">
      <w:pPr>
        <w:snapToGrid w:val="0"/>
        <w:spacing w:line="400" w:lineRule="exact"/>
        <w:ind w:firstLine="420"/>
        <w:rPr>
          <w:rFonts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17338C8B">
      <w:pPr>
        <w:snapToGrid w:val="0"/>
        <w:spacing w:line="400" w:lineRule="exact"/>
        <w:ind w:firstLine="420"/>
        <w:rPr>
          <w:rFonts w:ascii="宋体" w:hAnsi="宋体" w:cs="宋体"/>
          <w:bCs/>
          <w:color w:val="auto"/>
          <w:sz w:val="21"/>
          <w:szCs w:val="20"/>
          <w:highlight w:val="none"/>
          <w:u w:val="single"/>
        </w:rPr>
      </w:pPr>
      <w:r>
        <w:rPr>
          <w:rFonts w:hint="eastAsia" w:ascii="宋体" w:hAnsi="宋体" w:cs="宋体"/>
          <w:bCs/>
          <w:color w:val="auto"/>
          <w:sz w:val="21"/>
          <w:szCs w:val="20"/>
          <w:highlight w:val="none"/>
        </w:rPr>
        <w:t>法定代表人/主要负责人：</w:t>
      </w:r>
      <w:r>
        <w:rPr>
          <w:rFonts w:hint="eastAsia" w:ascii="宋体" w:hAnsi="宋体" w:cs="宋体"/>
          <w:bCs/>
          <w:color w:val="auto"/>
          <w:sz w:val="21"/>
          <w:szCs w:val="20"/>
          <w:highlight w:val="none"/>
          <w:u w:val="single"/>
        </w:rPr>
        <w:t xml:space="preserve">                                                         </w:t>
      </w:r>
    </w:p>
    <w:p w14:paraId="2FA370DC">
      <w:pPr>
        <w:snapToGrid w:val="0"/>
        <w:spacing w:line="400" w:lineRule="exact"/>
        <w:ind w:firstLine="420"/>
        <w:rPr>
          <w:rFonts w:ascii="宋体" w:hAnsi="宋体" w:cs="宋体"/>
          <w:bCs/>
          <w:color w:val="auto"/>
          <w:sz w:val="21"/>
          <w:szCs w:val="20"/>
          <w:highlight w:val="non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2C2D82E3">
      <w:pPr>
        <w:snapToGrid w:val="0"/>
        <w:spacing w:line="400" w:lineRule="exact"/>
        <w:ind w:firstLine="420"/>
        <w:rPr>
          <w:rFonts w:ascii="宋体" w:hAnsi="宋体" w:cs="宋体"/>
          <w:bCs/>
          <w:color w:val="auto"/>
          <w:sz w:val="21"/>
          <w:szCs w:val="20"/>
          <w:highlight w:val="none"/>
          <w:u w:val="singl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69030592">
      <w:pPr>
        <w:snapToGrid w:val="0"/>
        <w:spacing w:line="400" w:lineRule="exact"/>
        <w:ind w:firstLine="420"/>
        <w:rPr>
          <w:rFonts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33F99A57">
      <w:pPr>
        <w:snapToGrid w:val="0"/>
        <w:spacing w:line="400" w:lineRule="exact"/>
        <w:ind w:firstLine="420"/>
        <w:rPr>
          <w:rFonts w:ascii="宋体" w:hAnsi="宋体" w:cs="宋体"/>
          <w:bCs/>
          <w:color w:val="auto"/>
          <w:sz w:val="21"/>
          <w:szCs w:val="20"/>
          <w:highlight w:val="none"/>
        </w:rPr>
      </w:pPr>
      <w:r>
        <w:rPr>
          <w:rFonts w:hint="eastAsia" w:ascii="宋体" w:hAnsi="宋体" w:cs="宋体"/>
          <w:bCs/>
          <w:color w:val="auto"/>
          <w:sz w:val="21"/>
          <w:szCs w:val="20"/>
          <w:highlight w:val="none"/>
        </w:rPr>
        <w:t>被投诉人1：</w:t>
      </w:r>
    </w:p>
    <w:p w14:paraId="09A2CF74">
      <w:pPr>
        <w:snapToGrid w:val="0"/>
        <w:spacing w:line="400" w:lineRule="exact"/>
        <w:ind w:firstLine="420"/>
        <w:rPr>
          <w:rFonts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45FD526F">
      <w:pPr>
        <w:snapToGrid w:val="0"/>
        <w:spacing w:line="400" w:lineRule="exact"/>
        <w:ind w:firstLine="420"/>
        <w:rPr>
          <w:rFonts w:ascii="宋体" w:hAnsi="宋体" w:cs="宋体"/>
          <w:bCs/>
          <w:color w:val="auto"/>
          <w:sz w:val="21"/>
          <w:szCs w:val="20"/>
          <w:highlight w:val="none"/>
          <w:u w:val="singl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22503621">
      <w:pPr>
        <w:snapToGrid w:val="0"/>
        <w:spacing w:line="400" w:lineRule="exact"/>
        <w:ind w:firstLine="420"/>
        <w:rPr>
          <w:rFonts w:ascii="宋体" w:hAnsi="宋体" w:cs="宋体"/>
          <w:bCs/>
          <w:color w:val="auto"/>
          <w:sz w:val="21"/>
          <w:szCs w:val="20"/>
          <w:highlight w:val="none"/>
        </w:rPr>
      </w:pPr>
      <w:r>
        <w:rPr>
          <w:rFonts w:hint="eastAsia" w:ascii="宋体" w:hAnsi="宋体" w:cs="宋体"/>
          <w:bCs/>
          <w:color w:val="auto"/>
          <w:sz w:val="21"/>
          <w:szCs w:val="20"/>
          <w:highlight w:val="none"/>
        </w:rPr>
        <w:t>被投诉人2：</w:t>
      </w:r>
    </w:p>
    <w:p w14:paraId="7A39669A">
      <w:pPr>
        <w:snapToGrid w:val="0"/>
        <w:spacing w:line="400" w:lineRule="exact"/>
        <w:ind w:firstLine="420"/>
        <w:rPr>
          <w:rFonts w:ascii="宋体" w:hAnsi="宋体" w:cs="宋体"/>
          <w:bCs/>
          <w:color w:val="auto"/>
          <w:sz w:val="21"/>
          <w:szCs w:val="20"/>
          <w:highlight w:val="none"/>
        </w:rPr>
      </w:pPr>
      <w:r>
        <w:rPr>
          <w:rFonts w:hint="eastAsia" w:ascii="宋体" w:hAnsi="宋体" w:cs="宋体"/>
          <w:bCs/>
          <w:color w:val="auto"/>
          <w:sz w:val="21"/>
          <w:szCs w:val="20"/>
          <w:highlight w:val="none"/>
        </w:rPr>
        <w:t>……</w:t>
      </w:r>
    </w:p>
    <w:p w14:paraId="07222141">
      <w:pPr>
        <w:snapToGrid w:val="0"/>
        <w:spacing w:line="400" w:lineRule="exact"/>
        <w:ind w:firstLine="420"/>
        <w:rPr>
          <w:rFonts w:ascii="宋体" w:hAnsi="宋体" w:cs="宋体"/>
          <w:bCs/>
          <w:color w:val="auto"/>
          <w:sz w:val="21"/>
          <w:szCs w:val="20"/>
          <w:highlight w:val="none"/>
          <w:u w:val="single"/>
        </w:rPr>
      </w:pPr>
      <w:r>
        <w:rPr>
          <w:rFonts w:hint="eastAsia" w:ascii="宋体" w:hAnsi="宋体" w:cs="宋体"/>
          <w:bCs/>
          <w:color w:val="auto"/>
          <w:sz w:val="21"/>
          <w:szCs w:val="20"/>
          <w:highlight w:val="none"/>
        </w:rPr>
        <w:t>相关供应商：</w:t>
      </w:r>
      <w:r>
        <w:rPr>
          <w:rFonts w:hint="eastAsia" w:ascii="宋体" w:hAnsi="宋体" w:cs="宋体"/>
          <w:bCs/>
          <w:color w:val="auto"/>
          <w:sz w:val="21"/>
          <w:szCs w:val="20"/>
          <w:highlight w:val="none"/>
          <w:u w:val="single"/>
        </w:rPr>
        <w:t xml:space="preserve">                                                                       </w:t>
      </w:r>
    </w:p>
    <w:p w14:paraId="43625F1A">
      <w:pPr>
        <w:snapToGrid w:val="0"/>
        <w:spacing w:line="400" w:lineRule="exact"/>
        <w:ind w:firstLine="420"/>
        <w:rPr>
          <w:rFonts w:ascii="宋体" w:hAnsi="宋体" w:cs="宋体"/>
          <w:bCs/>
          <w:color w:val="auto"/>
          <w:sz w:val="21"/>
          <w:szCs w:val="20"/>
          <w:highlight w:val="none"/>
          <w:u w:val="singl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p>
    <w:p w14:paraId="2FE753E5">
      <w:pPr>
        <w:snapToGrid w:val="0"/>
        <w:spacing w:line="400" w:lineRule="exact"/>
        <w:ind w:firstLine="420"/>
        <w:rPr>
          <w:rFonts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588A3DCC">
      <w:pPr>
        <w:snapToGrid w:val="0"/>
        <w:spacing w:line="400" w:lineRule="exact"/>
        <w:ind w:firstLine="422"/>
        <w:rPr>
          <w:rFonts w:ascii="宋体" w:hAnsi="宋体" w:cs="宋体"/>
          <w:b/>
          <w:bCs/>
          <w:color w:val="auto"/>
          <w:sz w:val="21"/>
          <w:szCs w:val="20"/>
          <w:highlight w:val="none"/>
        </w:rPr>
      </w:pPr>
      <w:r>
        <w:rPr>
          <w:rFonts w:hint="eastAsia" w:ascii="宋体" w:hAnsi="宋体" w:cs="宋体"/>
          <w:b/>
          <w:bCs/>
          <w:color w:val="auto"/>
          <w:sz w:val="21"/>
          <w:szCs w:val="20"/>
          <w:highlight w:val="none"/>
        </w:rPr>
        <w:t>二、投诉项目基本情况：</w:t>
      </w:r>
    </w:p>
    <w:p w14:paraId="4A71B17F">
      <w:pPr>
        <w:spacing w:line="400" w:lineRule="exact"/>
        <w:ind w:left="29" w:leftChars="12" w:firstLine="413" w:firstLineChars="197"/>
        <w:rPr>
          <w:rFonts w:ascii="宋体" w:hAnsi="宋体" w:cs="宋体"/>
          <w:color w:val="auto"/>
          <w:sz w:val="21"/>
          <w:szCs w:val="21"/>
          <w:highlight w:val="none"/>
        </w:rPr>
      </w:pPr>
      <w:r>
        <w:rPr>
          <w:rFonts w:hint="eastAsia" w:ascii="宋体" w:hAnsi="宋体" w:cs="宋体"/>
          <w:bCs/>
          <w:color w:val="auto"/>
          <w:sz w:val="21"/>
          <w:szCs w:val="20"/>
          <w:highlight w:val="none"/>
        </w:rPr>
        <w:t>采购</w:t>
      </w:r>
      <w:r>
        <w:rPr>
          <w:rFonts w:hint="eastAsia" w:ascii="宋体" w:hAnsi="宋体" w:cs="宋体"/>
          <w:color w:val="auto"/>
          <w:sz w:val="21"/>
          <w:szCs w:val="21"/>
          <w:highlight w:val="none"/>
        </w:rPr>
        <w:t>项目的名称：</w:t>
      </w:r>
      <w:r>
        <w:rPr>
          <w:rFonts w:hint="eastAsia" w:ascii="宋体" w:hAnsi="宋体" w:cs="宋体"/>
          <w:bCs/>
          <w:color w:val="auto"/>
          <w:sz w:val="21"/>
          <w:szCs w:val="20"/>
          <w:highlight w:val="none"/>
          <w:u w:val="single"/>
        </w:rPr>
        <w:t xml:space="preserve">                                                                   </w:t>
      </w:r>
    </w:p>
    <w:p w14:paraId="06B32EAE">
      <w:pPr>
        <w:spacing w:line="400" w:lineRule="exact"/>
        <w:ind w:left="29" w:leftChars="12" w:firstLine="413" w:firstLineChars="197"/>
        <w:rPr>
          <w:rFonts w:ascii="宋体" w:hAnsi="宋体" w:cs="宋体"/>
          <w:color w:val="auto"/>
          <w:sz w:val="21"/>
          <w:szCs w:val="21"/>
          <w:highlight w:val="none"/>
        </w:rPr>
      </w:pPr>
      <w:r>
        <w:rPr>
          <w:rFonts w:hint="eastAsia" w:ascii="宋体" w:hAnsi="宋体" w:cs="宋体"/>
          <w:bCs/>
          <w:color w:val="auto"/>
          <w:sz w:val="21"/>
          <w:szCs w:val="20"/>
          <w:highlight w:val="none"/>
        </w:rPr>
        <w:t>采购</w:t>
      </w:r>
      <w:r>
        <w:rPr>
          <w:rFonts w:hint="eastAsia" w:ascii="宋体" w:hAnsi="宋体" w:cs="宋体"/>
          <w:color w:val="auto"/>
          <w:sz w:val="21"/>
          <w:szCs w:val="21"/>
          <w:highlight w:val="none"/>
        </w:rPr>
        <w:t>项目的编号：</w:t>
      </w:r>
      <w:r>
        <w:rPr>
          <w:rFonts w:hint="eastAsia" w:ascii="宋体" w:hAnsi="宋体" w:cs="宋体"/>
          <w:bCs/>
          <w:color w:val="auto"/>
          <w:sz w:val="21"/>
          <w:szCs w:val="20"/>
          <w:highlight w:val="none"/>
          <w:u w:val="single"/>
        </w:rPr>
        <w:t xml:space="preserve">                                        </w:t>
      </w:r>
    </w:p>
    <w:p w14:paraId="23127F03">
      <w:pPr>
        <w:spacing w:line="400" w:lineRule="exact"/>
        <w:ind w:left="29" w:leftChars="12" w:firstLine="413" w:firstLineChars="197"/>
        <w:rPr>
          <w:rFonts w:ascii="宋体" w:hAnsi="宋体" w:cs="宋体"/>
          <w:bCs/>
          <w:color w:val="auto"/>
          <w:sz w:val="21"/>
          <w:szCs w:val="20"/>
          <w:highlight w:val="none"/>
          <w:u w:val="single"/>
        </w:rPr>
      </w:pPr>
      <w:r>
        <w:rPr>
          <w:rFonts w:hint="eastAsia" w:ascii="宋体" w:hAnsi="宋体" w:cs="宋体"/>
          <w:color w:val="auto"/>
          <w:sz w:val="21"/>
          <w:szCs w:val="21"/>
          <w:highlight w:val="none"/>
        </w:rPr>
        <w:t>采购人名称：</w:t>
      </w:r>
      <w:r>
        <w:rPr>
          <w:rFonts w:hint="eastAsia" w:ascii="宋体" w:hAnsi="宋体" w:cs="宋体"/>
          <w:bCs/>
          <w:color w:val="auto"/>
          <w:sz w:val="21"/>
          <w:szCs w:val="20"/>
          <w:highlight w:val="none"/>
          <w:u w:val="single"/>
        </w:rPr>
        <w:t xml:space="preserve">                                                                        </w:t>
      </w:r>
    </w:p>
    <w:p w14:paraId="179F599A">
      <w:pPr>
        <w:spacing w:line="400" w:lineRule="exact"/>
        <w:ind w:left="29" w:leftChars="12" w:firstLine="413" w:firstLineChars="197"/>
        <w:rPr>
          <w:rFonts w:ascii="宋体" w:hAnsi="宋体" w:cs="宋体"/>
          <w:bCs/>
          <w:color w:val="auto"/>
          <w:sz w:val="21"/>
          <w:szCs w:val="20"/>
          <w:highlight w:val="none"/>
          <w:u w:val="single"/>
        </w:rPr>
      </w:pPr>
      <w:r>
        <w:rPr>
          <w:rFonts w:hint="eastAsia" w:ascii="宋体" w:hAnsi="宋体" w:cs="宋体"/>
          <w:color w:val="auto"/>
          <w:sz w:val="21"/>
          <w:szCs w:val="21"/>
          <w:highlight w:val="none"/>
        </w:rPr>
        <w:t>代理机构名称：</w:t>
      </w:r>
      <w:r>
        <w:rPr>
          <w:rFonts w:hint="eastAsia" w:ascii="宋体" w:hAnsi="宋体" w:cs="宋体"/>
          <w:bCs/>
          <w:color w:val="auto"/>
          <w:sz w:val="21"/>
          <w:szCs w:val="20"/>
          <w:highlight w:val="none"/>
          <w:u w:val="single"/>
        </w:rPr>
        <w:t xml:space="preserve">                                                                      </w:t>
      </w:r>
    </w:p>
    <w:p w14:paraId="573D35AC">
      <w:pPr>
        <w:spacing w:line="400" w:lineRule="exact"/>
        <w:ind w:left="29" w:leftChars="12" w:firstLine="413" w:firstLineChars="197"/>
        <w:rPr>
          <w:rFonts w:ascii="宋体" w:hAnsi="宋体" w:cs="宋体"/>
          <w:bCs/>
          <w:color w:val="auto"/>
          <w:sz w:val="21"/>
          <w:szCs w:val="20"/>
          <w:highlight w:val="none"/>
          <w:u w:val="single"/>
        </w:rPr>
      </w:pPr>
      <w:r>
        <w:rPr>
          <w:rFonts w:hint="eastAsia" w:ascii="宋体" w:hAnsi="宋体" w:cs="宋体"/>
          <w:bCs/>
          <w:color w:val="auto"/>
          <w:sz w:val="21"/>
          <w:szCs w:val="20"/>
          <w:highlight w:val="none"/>
        </w:rPr>
        <w:t>采购文件公告：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6240E152">
      <w:pPr>
        <w:spacing w:line="400" w:lineRule="exact"/>
        <w:ind w:left="29" w:leftChars="12" w:firstLine="413" w:firstLineChars="197"/>
        <w:rPr>
          <w:rFonts w:ascii="宋体" w:hAnsi="宋体" w:cs="宋体"/>
          <w:b/>
          <w:color w:val="auto"/>
          <w:sz w:val="21"/>
          <w:szCs w:val="21"/>
          <w:highlight w:val="none"/>
        </w:rPr>
      </w:pPr>
      <w:r>
        <w:rPr>
          <w:rFonts w:hint="eastAsia" w:ascii="宋体" w:hAnsi="宋体" w:cs="宋体"/>
          <w:bCs/>
          <w:color w:val="auto"/>
          <w:sz w:val="21"/>
          <w:szCs w:val="20"/>
          <w:highlight w:val="none"/>
        </w:rPr>
        <w:t>采购结果公告：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6E10FED2">
      <w:pPr>
        <w:spacing w:line="400" w:lineRule="exact"/>
        <w:ind w:left="29" w:leftChars="12" w:firstLine="413" w:firstLineChars="196"/>
        <w:rPr>
          <w:rFonts w:ascii="宋体" w:hAnsi="宋体" w:cs="宋体"/>
          <w:b/>
          <w:color w:val="auto"/>
          <w:sz w:val="21"/>
          <w:szCs w:val="21"/>
          <w:highlight w:val="none"/>
        </w:rPr>
      </w:pPr>
      <w:r>
        <w:rPr>
          <w:rFonts w:hint="eastAsia" w:ascii="宋体" w:hAnsi="宋体" w:cs="宋体"/>
          <w:b/>
          <w:color w:val="auto"/>
          <w:sz w:val="21"/>
          <w:szCs w:val="21"/>
          <w:highlight w:val="none"/>
        </w:rPr>
        <w:t>三、质疑基本情况</w:t>
      </w:r>
    </w:p>
    <w:p w14:paraId="1D0CBE0B">
      <w:pPr>
        <w:spacing w:line="400" w:lineRule="exact"/>
        <w:ind w:left="29" w:leftChars="12" w:firstLine="833" w:firstLineChars="397"/>
        <w:rPr>
          <w:rFonts w:ascii="宋体" w:hAnsi="宋体" w:cs="宋体"/>
          <w:color w:val="auto"/>
          <w:sz w:val="21"/>
          <w:szCs w:val="21"/>
          <w:highlight w:val="none"/>
        </w:rPr>
      </w:pPr>
      <w:r>
        <w:rPr>
          <w:rFonts w:hint="eastAsia" w:ascii="宋体" w:hAnsi="宋体" w:cs="宋体"/>
          <w:color w:val="auto"/>
          <w:sz w:val="21"/>
          <w:szCs w:val="21"/>
          <w:highlight w:val="none"/>
        </w:rPr>
        <w:t>投诉人于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日，向</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提出质疑，质疑事项为：</w:t>
      </w:r>
    </w:p>
    <w:p w14:paraId="0CE37A4D">
      <w:pPr>
        <w:spacing w:line="400" w:lineRule="exact"/>
        <w:ind w:firstLine="0" w:firstLineChars="0"/>
        <w:rPr>
          <w:rFonts w:ascii="宋体" w:hAnsi="宋体" w:cs="宋体"/>
          <w:bCs/>
          <w:color w:val="auto"/>
          <w:sz w:val="21"/>
          <w:szCs w:val="20"/>
          <w:highlight w:val="none"/>
          <w:u w:val="single"/>
        </w:rPr>
      </w:pP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0DD78855">
      <w:pPr>
        <w:spacing w:line="400" w:lineRule="exact"/>
        <w:ind w:firstLine="0" w:firstLineChars="0"/>
        <w:rPr>
          <w:rFonts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2095ECBD">
      <w:pPr>
        <w:spacing w:line="400" w:lineRule="exact"/>
        <w:ind w:firstLine="0" w:firstLineChars="0"/>
        <w:rPr>
          <w:rFonts w:ascii="宋体" w:hAnsi="宋体" w:cs="宋体"/>
          <w:color w:val="auto"/>
          <w:sz w:val="21"/>
          <w:szCs w:val="21"/>
          <w:highlight w:val="non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采购人/代理机构</w:t>
      </w:r>
      <w:r>
        <w:rPr>
          <w:rFonts w:hint="eastAsia" w:ascii="宋体" w:hAnsi="宋体" w:cs="宋体"/>
          <w:bCs/>
          <w:color w:val="auto"/>
          <w:sz w:val="21"/>
          <w:szCs w:val="20"/>
          <w:highlight w:val="none"/>
        </w:rPr>
        <w:t>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bCs/>
          <w:color w:val="auto"/>
          <w:sz w:val="21"/>
          <w:szCs w:val="20"/>
          <w:highlight w:val="none"/>
        </w:rPr>
        <w:t xml:space="preserve">就质疑事项作出了答复/没有在法定期限内作出答复。                                                                                             </w:t>
      </w:r>
    </w:p>
    <w:p w14:paraId="32A7C98E">
      <w:pPr>
        <w:spacing w:line="400" w:lineRule="exact"/>
        <w:ind w:left="29" w:leftChars="12" w:firstLine="413" w:firstLineChars="196"/>
        <w:rPr>
          <w:rFonts w:ascii="宋体" w:hAnsi="宋体" w:cs="宋体"/>
          <w:b/>
          <w:color w:val="auto"/>
          <w:sz w:val="21"/>
          <w:szCs w:val="21"/>
          <w:highlight w:val="none"/>
        </w:rPr>
      </w:pPr>
      <w:r>
        <w:rPr>
          <w:rFonts w:hint="eastAsia" w:ascii="宋体" w:hAnsi="宋体" w:cs="宋体"/>
          <w:b/>
          <w:color w:val="auto"/>
          <w:sz w:val="21"/>
          <w:szCs w:val="21"/>
          <w:highlight w:val="none"/>
        </w:rPr>
        <w:t>四、投诉事项具体内容</w:t>
      </w:r>
    </w:p>
    <w:p w14:paraId="69EC1D95">
      <w:pPr>
        <w:spacing w:line="400" w:lineRule="exact"/>
        <w:ind w:left="29" w:leftChars="12" w:firstLine="413" w:firstLineChars="197"/>
        <w:rPr>
          <w:rFonts w:ascii="宋体" w:hAnsi="宋体" w:cs="宋体"/>
          <w:bCs/>
          <w:color w:val="auto"/>
          <w:sz w:val="21"/>
          <w:szCs w:val="20"/>
          <w:highlight w:val="none"/>
          <w:u w:val="single"/>
        </w:rPr>
      </w:pPr>
      <w:r>
        <w:rPr>
          <w:rFonts w:hint="eastAsia" w:ascii="宋体" w:hAnsi="宋体" w:cs="宋体"/>
          <w:color w:val="auto"/>
          <w:sz w:val="21"/>
          <w:szCs w:val="21"/>
          <w:highlight w:val="none"/>
        </w:rPr>
        <w:t>投诉事项1：</w:t>
      </w:r>
      <w:r>
        <w:rPr>
          <w:rFonts w:hint="eastAsia" w:ascii="宋体" w:hAnsi="宋体" w:cs="宋体"/>
          <w:bCs/>
          <w:color w:val="auto"/>
          <w:sz w:val="21"/>
          <w:szCs w:val="20"/>
          <w:highlight w:val="none"/>
          <w:u w:val="single"/>
        </w:rPr>
        <w:t xml:space="preserve">                                                                           </w:t>
      </w:r>
    </w:p>
    <w:p w14:paraId="2237C488">
      <w:pPr>
        <w:spacing w:line="400" w:lineRule="exact"/>
        <w:ind w:firstLine="420"/>
        <w:rPr>
          <w:rFonts w:ascii="宋体" w:hAnsi="宋体" w:cs="宋体"/>
          <w:bCs/>
          <w:color w:val="auto"/>
          <w:sz w:val="21"/>
          <w:szCs w:val="20"/>
          <w:highlight w:val="none"/>
          <w:u w:val="single"/>
        </w:rPr>
      </w:pPr>
      <w:r>
        <w:rPr>
          <w:rFonts w:hint="eastAsia" w:ascii="宋体" w:hAnsi="宋体" w:cs="宋体"/>
          <w:bCs/>
          <w:color w:val="auto"/>
          <w:sz w:val="21"/>
          <w:szCs w:val="20"/>
          <w:highlight w:val="none"/>
        </w:rPr>
        <w:t>事实依据：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507B625B">
      <w:pPr>
        <w:spacing w:line="400" w:lineRule="exact"/>
        <w:ind w:left="29" w:leftChars="12" w:firstLine="413" w:firstLineChars="197"/>
        <w:rPr>
          <w:rFonts w:ascii="宋体" w:hAnsi="宋体" w:cs="宋体"/>
          <w:color w:val="auto"/>
          <w:sz w:val="21"/>
          <w:szCs w:val="21"/>
          <w:highlight w:val="none"/>
        </w:rPr>
      </w:pPr>
      <w:r>
        <w:rPr>
          <w:rFonts w:hint="eastAsia" w:ascii="宋体" w:hAnsi="宋体" w:cs="宋体"/>
          <w:bCs/>
          <w:color w:val="auto"/>
          <w:sz w:val="21"/>
          <w:szCs w:val="20"/>
          <w:highlight w:val="none"/>
          <w:u w:val="single"/>
        </w:rPr>
        <w:t xml:space="preserve">                                                                                        </w:t>
      </w:r>
    </w:p>
    <w:p w14:paraId="28792BCE">
      <w:pPr>
        <w:spacing w:line="400" w:lineRule="exact"/>
        <w:ind w:firstLine="420"/>
        <w:rPr>
          <w:rFonts w:ascii="宋体" w:hAnsi="宋体" w:cs="宋体"/>
          <w:bCs/>
          <w:color w:val="auto"/>
          <w:sz w:val="21"/>
          <w:szCs w:val="20"/>
          <w:highlight w:val="none"/>
          <w:u w:val="single"/>
        </w:rPr>
      </w:pPr>
      <w:r>
        <w:rPr>
          <w:rFonts w:hint="eastAsia" w:ascii="宋体" w:hAnsi="宋体" w:cs="宋体"/>
          <w:bCs/>
          <w:color w:val="auto"/>
          <w:sz w:val="21"/>
          <w:szCs w:val="20"/>
          <w:highlight w:val="none"/>
        </w:rPr>
        <w:t>法律依据：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4B924325">
      <w:pPr>
        <w:spacing w:line="400" w:lineRule="exact"/>
        <w:ind w:left="29" w:leftChars="12" w:firstLine="308" w:firstLineChars="147"/>
        <w:rPr>
          <w:rFonts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4526BCF4">
      <w:pPr>
        <w:spacing w:line="400" w:lineRule="exact"/>
        <w:ind w:left="29" w:leftChars="12" w:firstLine="413" w:firstLineChars="197"/>
        <w:rPr>
          <w:rFonts w:ascii="宋体" w:hAnsi="宋体" w:cs="宋体"/>
          <w:bCs/>
          <w:color w:val="auto"/>
          <w:sz w:val="21"/>
          <w:szCs w:val="20"/>
          <w:highlight w:val="none"/>
        </w:rPr>
      </w:pPr>
      <w:r>
        <w:rPr>
          <w:rFonts w:hint="eastAsia" w:ascii="宋体" w:hAnsi="宋体" w:cs="宋体"/>
          <w:color w:val="auto"/>
          <w:sz w:val="21"/>
          <w:szCs w:val="21"/>
          <w:highlight w:val="none"/>
        </w:rPr>
        <w:t xml:space="preserve">投诉事项2  </w:t>
      </w:r>
      <w:r>
        <w:rPr>
          <w:rFonts w:hint="eastAsia" w:ascii="宋体" w:hAnsi="宋体" w:cs="宋体"/>
          <w:bCs/>
          <w:color w:val="auto"/>
          <w:sz w:val="21"/>
          <w:szCs w:val="20"/>
          <w:highlight w:val="none"/>
        </w:rPr>
        <w:t xml:space="preserve">   </w:t>
      </w:r>
    </w:p>
    <w:p w14:paraId="7A2BC6A9">
      <w:pPr>
        <w:spacing w:line="400" w:lineRule="exact"/>
        <w:ind w:left="29" w:leftChars="12" w:firstLine="413" w:firstLineChars="197"/>
        <w:rPr>
          <w:rFonts w:ascii="宋体" w:hAnsi="宋体" w:cs="宋体"/>
          <w:bCs/>
          <w:color w:val="auto"/>
          <w:sz w:val="21"/>
          <w:szCs w:val="20"/>
          <w:highlight w:val="none"/>
        </w:rPr>
      </w:pPr>
      <w:r>
        <w:rPr>
          <w:rFonts w:hint="eastAsia" w:ascii="宋体" w:hAnsi="宋体" w:cs="宋体"/>
          <w:bCs/>
          <w:color w:val="auto"/>
          <w:sz w:val="21"/>
          <w:szCs w:val="20"/>
          <w:highlight w:val="none"/>
        </w:rPr>
        <w:t>……</w:t>
      </w:r>
    </w:p>
    <w:p w14:paraId="7C71426B">
      <w:pPr>
        <w:spacing w:line="400" w:lineRule="exact"/>
        <w:ind w:left="29" w:leftChars="12" w:firstLine="413" w:firstLineChars="196"/>
        <w:rPr>
          <w:rFonts w:ascii="宋体" w:hAnsi="宋体" w:cs="宋体"/>
          <w:b/>
          <w:color w:val="auto"/>
          <w:sz w:val="21"/>
          <w:szCs w:val="21"/>
          <w:highlight w:val="none"/>
        </w:rPr>
      </w:pPr>
      <w:r>
        <w:rPr>
          <w:rFonts w:hint="eastAsia" w:ascii="宋体" w:hAnsi="宋体" w:cs="宋体"/>
          <w:b/>
          <w:color w:val="auto"/>
          <w:sz w:val="21"/>
          <w:szCs w:val="21"/>
          <w:highlight w:val="none"/>
        </w:rPr>
        <w:t>五、与投诉事项相关的投诉请求：</w:t>
      </w:r>
    </w:p>
    <w:p w14:paraId="200DFAFC">
      <w:pPr>
        <w:spacing w:line="400" w:lineRule="exact"/>
        <w:ind w:left="29" w:leftChars="12" w:firstLine="413" w:firstLineChars="197"/>
        <w:rPr>
          <w:rFonts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53624F9E">
      <w:pPr>
        <w:spacing w:line="400" w:lineRule="exact"/>
        <w:ind w:left="29" w:leftChars="12" w:firstLine="308" w:firstLineChars="147"/>
        <w:rPr>
          <w:rFonts w:ascii="宋体" w:hAnsi="宋体" w:cs="宋体"/>
          <w:color w:val="auto"/>
          <w:sz w:val="21"/>
          <w:szCs w:val="21"/>
          <w:highlight w:val="none"/>
        </w:rPr>
      </w:pPr>
    </w:p>
    <w:p w14:paraId="7D953178">
      <w:pPr>
        <w:spacing w:line="400" w:lineRule="exact"/>
        <w:ind w:left="29" w:leftChars="12" w:firstLine="413" w:firstLineChars="197"/>
        <w:rPr>
          <w:rFonts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5F97B6F6">
      <w:pPr>
        <w:spacing w:line="400" w:lineRule="exact"/>
        <w:ind w:left="29" w:leftChars="12" w:firstLine="308" w:firstLineChars="147"/>
        <w:rPr>
          <w:rFonts w:ascii="宋体" w:hAnsi="宋体" w:cs="宋体"/>
          <w:color w:val="auto"/>
          <w:sz w:val="21"/>
          <w:szCs w:val="21"/>
          <w:highlight w:val="none"/>
        </w:rPr>
      </w:pPr>
    </w:p>
    <w:p w14:paraId="5A52EAA2">
      <w:pPr>
        <w:spacing w:line="400" w:lineRule="exact"/>
        <w:ind w:left="29" w:leftChars="12" w:firstLine="413" w:firstLineChars="197"/>
        <w:rPr>
          <w:rFonts w:ascii="宋体" w:hAnsi="宋体" w:cs="宋体"/>
          <w:color w:val="auto"/>
          <w:sz w:val="21"/>
          <w:szCs w:val="21"/>
          <w:highlight w:val="none"/>
        </w:rPr>
      </w:pPr>
      <w:r>
        <w:rPr>
          <w:rFonts w:hint="eastAsia" w:ascii="宋体" w:hAnsi="宋体" w:cs="宋体"/>
          <w:color w:val="auto"/>
          <w:sz w:val="21"/>
          <w:szCs w:val="21"/>
          <w:highlight w:val="none"/>
        </w:rPr>
        <w:t>日期：</w:t>
      </w:r>
    </w:p>
    <w:p w14:paraId="3A003EF0">
      <w:pPr>
        <w:spacing w:line="360" w:lineRule="exact"/>
        <w:ind w:left="29" w:leftChars="12" w:firstLine="413" w:firstLineChars="197"/>
        <w:rPr>
          <w:rFonts w:ascii="宋体" w:hAnsi="宋体" w:cs="宋体"/>
          <w:color w:val="auto"/>
          <w:sz w:val="21"/>
          <w:szCs w:val="21"/>
          <w:highlight w:val="none"/>
        </w:rPr>
      </w:pPr>
      <w:r>
        <w:rPr>
          <w:rFonts w:hint="eastAsia" w:ascii="宋体" w:hAnsi="宋体" w:cs="宋体"/>
          <w:bCs/>
          <w:color w:val="auto"/>
          <w:sz w:val="21"/>
          <w:szCs w:val="20"/>
          <w:highlight w:val="none"/>
        </w:rPr>
        <w:t xml:space="preserve">                                                                                 </w:t>
      </w:r>
    </w:p>
    <w:p w14:paraId="367B6138">
      <w:pPr>
        <w:snapToGrid w:val="0"/>
        <w:spacing w:line="340" w:lineRule="exact"/>
        <w:ind w:firstLine="0" w:firstLineChars="0"/>
        <w:rPr>
          <w:rFonts w:ascii="宋体" w:hAnsi="宋体" w:cs="宋体"/>
          <w:b/>
          <w:color w:val="auto"/>
          <w:sz w:val="21"/>
          <w:szCs w:val="21"/>
          <w:highlight w:val="none"/>
        </w:rPr>
      </w:pPr>
    </w:p>
    <w:p w14:paraId="364D67A1">
      <w:pPr>
        <w:spacing w:line="340" w:lineRule="exact"/>
        <w:ind w:left="29" w:leftChars="12" w:firstLine="310" w:firstLineChars="147"/>
        <w:rPr>
          <w:rFonts w:ascii="宋体" w:hAnsi="宋体" w:cs="宋体"/>
          <w:b/>
          <w:color w:val="auto"/>
          <w:sz w:val="21"/>
          <w:szCs w:val="21"/>
          <w:highlight w:val="none"/>
        </w:rPr>
      </w:pPr>
      <w:r>
        <w:rPr>
          <w:rFonts w:hint="eastAsia" w:ascii="宋体" w:hAnsi="宋体" w:cs="宋体"/>
          <w:b/>
          <w:color w:val="auto"/>
          <w:sz w:val="21"/>
          <w:szCs w:val="21"/>
          <w:highlight w:val="none"/>
        </w:rPr>
        <w:t>说明：</w:t>
      </w:r>
    </w:p>
    <w:p w14:paraId="528D4D80">
      <w:pPr>
        <w:spacing w:line="340" w:lineRule="exact"/>
        <w:ind w:left="29" w:leftChars="12" w:firstLine="310" w:firstLineChars="147"/>
        <w:rPr>
          <w:rFonts w:ascii="宋体" w:hAnsi="宋体" w:cs="宋体"/>
          <w:b/>
          <w:color w:val="auto"/>
          <w:sz w:val="21"/>
          <w:szCs w:val="21"/>
          <w:highlight w:val="none"/>
        </w:rPr>
      </w:pPr>
      <w:r>
        <w:rPr>
          <w:rFonts w:hint="eastAsia" w:ascii="宋体" w:hAnsi="宋体" w:cs="宋体"/>
          <w:b/>
          <w:color w:val="auto"/>
          <w:sz w:val="21"/>
          <w:szCs w:val="21"/>
          <w:highlight w:val="none"/>
        </w:rPr>
        <w:t>1.投诉人提起投诉时，应当提交投诉书和必要的证明材料，并按照被投诉人和与投诉事项有关的供应商数量提供投诉书副本。</w:t>
      </w:r>
    </w:p>
    <w:p w14:paraId="11E30251">
      <w:pPr>
        <w:spacing w:line="340" w:lineRule="exact"/>
        <w:ind w:left="29" w:leftChars="12" w:firstLine="310" w:firstLineChars="147"/>
        <w:rPr>
          <w:rFonts w:ascii="宋体" w:hAnsi="宋体"/>
          <w:b/>
          <w:color w:val="auto"/>
          <w:sz w:val="21"/>
          <w:szCs w:val="20"/>
          <w:highlight w:val="none"/>
        </w:rPr>
      </w:pPr>
      <w:r>
        <w:rPr>
          <w:rFonts w:hint="eastAsia" w:ascii="宋体" w:hAnsi="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CDC9698">
      <w:pPr>
        <w:spacing w:line="340" w:lineRule="exact"/>
        <w:ind w:left="29" w:leftChars="12" w:firstLine="310" w:firstLineChars="147"/>
        <w:rPr>
          <w:rFonts w:ascii="宋体" w:hAnsi="宋体" w:cs="宋体"/>
          <w:b/>
          <w:color w:val="auto"/>
          <w:sz w:val="21"/>
          <w:szCs w:val="21"/>
          <w:highlight w:val="none"/>
        </w:rPr>
      </w:pPr>
      <w:r>
        <w:rPr>
          <w:rFonts w:hint="eastAsia" w:ascii="宋体" w:hAnsi="宋体" w:cs="宋体"/>
          <w:b/>
          <w:color w:val="auto"/>
          <w:sz w:val="21"/>
          <w:szCs w:val="21"/>
          <w:highlight w:val="none"/>
        </w:rPr>
        <w:t>3.投诉书应简要列明质疑事项，质疑函、质疑答复等作为附件材料提供。</w:t>
      </w:r>
    </w:p>
    <w:p w14:paraId="458A35C3">
      <w:pPr>
        <w:spacing w:line="340" w:lineRule="exact"/>
        <w:ind w:left="29" w:leftChars="12" w:firstLine="310" w:firstLineChars="147"/>
        <w:rPr>
          <w:rFonts w:ascii="宋体" w:hAnsi="宋体" w:cs="宋体"/>
          <w:b/>
          <w:color w:val="auto"/>
          <w:sz w:val="21"/>
          <w:szCs w:val="21"/>
          <w:highlight w:val="none"/>
        </w:rPr>
      </w:pPr>
      <w:r>
        <w:rPr>
          <w:rFonts w:hint="eastAsia" w:ascii="宋体" w:hAnsi="宋体" w:cs="宋体"/>
          <w:b/>
          <w:color w:val="auto"/>
          <w:sz w:val="21"/>
          <w:szCs w:val="21"/>
          <w:highlight w:val="none"/>
        </w:rPr>
        <w:t>4.投诉书的投诉事项应具体、明确，并有必要的事实依据和法律依据。</w:t>
      </w:r>
    </w:p>
    <w:p w14:paraId="623D4CEF">
      <w:pPr>
        <w:spacing w:line="340" w:lineRule="exact"/>
        <w:ind w:left="29" w:leftChars="12" w:firstLine="310" w:firstLineChars="147"/>
        <w:rPr>
          <w:rFonts w:ascii="宋体" w:hAnsi="宋体" w:cs="宋体"/>
          <w:b/>
          <w:color w:val="auto"/>
          <w:sz w:val="21"/>
          <w:szCs w:val="21"/>
          <w:highlight w:val="none"/>
        </w:rPr>
      </w:pPr>
      <w:r>
        <w:rPr>
          <w:rFonts w:hint="eastAsia" w:ascii="宋体" w:hAnsi="宋体" w:cs="宋体"/>
          <w:b/>
          <w:color w:val="auto"/>
          <w:sz w:val="21"/>
          <w:szCs w:val="21"/>
          <w:highlight w:val="none"/>
        </w:rPr>
        <w:t>5.投诉书的投诉请求应与投诉事项相关。</w:t>
      </w:r>
    </w:p>
    <w:p w14:paraId="64BD5785">
      <w:pPr>
        <w:spacing w:line="340" w:lineRule="exact"/>
        <w:ind w:left="29" w:leftChars="12" w:firstLine="310" w:firstLineChars="147"/>
        <w:rPr>
          <w:rFonts w:ascii="宋体" w:hAnsi="宋体" w:cs="宋体"/>
          <w:b/>
          <w:color w:val="auto"/>
          <w:sz w:val="21"/>
          <w:szCs w:val="21"/>
          <w:highlight w:val="none"/>
        </w:rPr>
      </w:pPr>
      <w:r>
        <w:rPr>
          <w:rFonts w:hint="eastAsia" w:ascii="宋体" w:hAnsi="宋体" w:cs="宋体"/>
          <w:b/>
          <w:color w:val="auto"/>
          <w:sz w:val="21"/>
          <w:szCs w:val="21"/>
          <w:highlight w:val="none"/>
        </w:rPr>
        <w:t>6.投诉人为自然人的，投诉书应由本人签字；投诉人为法人或者其他组织的，投诉书应由法定代表人、主要负责人，或者其授权代表签字或者盖章，并加盖公章。</w:t>
      </w:r>
    </w:p>
    <w:p w14:paraId="4ED37C55">
      <w:pPr>
        <w:spacing w:line="340" w:lineRule="exact"/>
        <w:ind w:left="29" w:leftChars="12" w:firstLine="310" w:firstLineChars="147"/>
        <w:rPr>
          <w:rFonts w:ascii="宋体" w:hAnsi="宋体" w:cs="宋体"/>
          <w:b/>
          <w:color w:val="auto"/>
          <w:kern w:val="0"/>
          <w:sz w:val="21"/>
          <w:szCs w:val="21"/>
          <w:highlight w:val="none"/>
        </w:rPr>
      </w:pPr>
    </w:p>
    <w:p w14:paraId="22559BC0">
      <w:pPr>
        <w:spacing w:line="340" w:lineRule="exact"/>
        <w:ind w:left="29" w:leftChars="12" w:firstLine="310" w:firstLineChars="147"/>
        <w:rPr>
          <w:rFonts w:ascii="宋体" w:hAnsi="宋体"/>
          <w:b/>
          <w:color w:val="auto"/>
          <w:kern w:val="0"/>
          <w:sz w:val="21"/>
          <w:szCs w:val="21"/>
          <w:highlight w:val="none"/>
        </w:rPr>
      </w:pPr>
    </w:p>
    <w:p w14:paraId="4944EA8B">
      <w:pPr>
        <w:tabs>
          <w:tab w:val="center" w:pos="4410"/>
          <w:tab w:val="left" w:pos="6735"/>
        </w:tabs>
        <w:spacing w:line="480" w:lineRule="auto"/>
        <w:ind w:firstLine="0" w:firstLineChars="0"/>
        <w:jc w:val="center"/>
        <w:rPr>
          <w:rFonts w:ascii="宋体" w:hAnsi="宋体"/>
          <w:b/>
          <w:color w:val="auto"/>
          <w:kern w:val="0"/>
          <w:sz w:val="32"/>
          <w:szCs w:val="32"/>
          <w:highlight w:val="none"/>
        </w:rPr>
      </w:pPr>
    </w:p>
    <w:p w14:paraId="73E6AF82">
      <w:pPr>
        <w:tabs>
          <w:tab w:val="center" w:pos="4410"/>
          <w:tab w:val="left" w:pos="6735"/>
        </w:tabs>
        <w:spacing w:line="480" w:lineRule="auto"/>
        <w:ind w:firstLine="0" w:firstLineChars="0"/>
        <w:jc w:val="center"/>
        <w:rPr>
          <w:rFonts w:ascii="宋体" w:hAnsi="宋体"/>
          <w:b/>
          <w:color w:val="auto"/>
          <w:kern w:val="0"/>
          <w:sz w:val="32"/>
          <w:szCs w:val="32"/>
          <w:highlight w:val="none"/>
        </w:rPr>
      </w:pPr>
    </w:p>
    <w:p w14:paraId="73E80655">
      <w:pPr>
        <w:tabs>
          <w:tab w:val="center" w:pos="4410"/>
          <w:tab w:val="left" w:pos="6735"/>
        </w:tabs>
        <w:spacing w:line="480" w:lineRule="auto"/>
        <w:ind w:firstLine="0" w:firstLineChars="0"/>
        <w:jc w:val="center"/>
        <w:rPr>
          <w:rFonts w:ascii="宋体" w:hAnsi="宋体"/>
          <w:b/>
          <w:color w:val="auto"/>
          <w:kern w:val="0"/>
          <w:sz w:val="32"/>
          <w:szCs w:val="32"/>
          <w:highlight w:val="none"/>
        </w:rPr>
      </w:pPr>
    </w:p>
    <w:p w14:paraId="2747F1AD">
      <w:pPr>
        <w:tabs>
          <w:tab w:val="center" w:pos="4410"/>
          <w:tab w:val="left" w:pos="6735"/>
        </w:tabs>
        <w:spacing w:line="480" w:lineRule="auto"/>
        <w:ind w:firstLine="0" w:firstLineChars="0"/>
        <w:jc w:val="center"/>
        <w:rPr>
          <w:rFonts w:ascii="宋体" w:hAnsi="宋体"/>
          <w:b/>
          <w:color w:val="auto"/>
          <w:kern w:val="0"/>
          <w:sz w:val="32"/>
          <w:szCs w:val="32"/>
          <w:highlight w:val="none"/>
        </w:rPr>
      </w:pPr>
    </w:p>
    <w:p w14:paraId="0E0F4B00">
      <w:pPr>
        <w:pStyle w:val="18"/>
        <w:rPr>
          <w:color w:val="auto"/>
          <w:highlight w:val="none"/>
        </w:rPr>
      </w:pPr>
    </w:p>
    <w:p w14:paraId="7BBCE79C">
      <w:pPr>
        <w:spacing w:line="240" w:lineRule="auto"/>
        <w:ind w:firstLine="0" w:firstLineChars="0"/>
        <w:rPr>
          <w:color w:val="auto"/>
          <w:sz w:val="21"/>
          <w:szCs w:val="24"/>
          <w:highlight w:val="none"/>
        </w:rPr>
      </w:pPr>
    </w:p>
    <w:p w14:paraId="190E36BF">
      <w:pPr>
        <w:snapToGrid w:val="0"/>
        <w:spacing w:line="340" w:lineRule="exact"/>
        <w:ind w:firstLine="0" w:firstLineChars="0"/>
        <w:rPr>
          <w:rFonts w:ascii="宋体" w:hAnsi="宋体" w:cs="宋体"/>
          <w:b/>
          <w:color w:val="auto"/>
          <w:szCs w:val="24"/>
          <w:highlight w:val="none"/>
        </w:rPr>
      </w:pPr>
    </w:p>
    <w:p w14:paraId="51570697">
      <w:pPr>
        <w:snapToGrid w:val="0"/>
        <w:spacing w:line="340" w:lineRule="exact"/>
        <w:ind w:firstLine="0" w:firstLineChars="0"/>
        <w:rPr>
          <w:rFonts w:ascii="宋体" w:hAnsi="宋体" w:cs="宋体"/>
          <w:b/>
          <w:color w:val="auto"/>
          <w:szCs w:val="24"/>
          <w:highlight w:val="none"/>
        </w:rPr>
      </w:pPr>
      <w:r>
        <w:rPr>
          <w:rFonts w:hint="eastAsia" w:ascii="宋体" w:hAnsi="宋体" w:cs="宋体"/>
          <w:b/>
          <w:color w:val="auto"/>
          <w:szCs w:val="24"/>
          <w:highlight w:val="none"/>
        </w:rPr>
        <w:t>附表3：</w:t>
      </w:r>
    </w:p>
    <w:p w14:paraId="12A4BA75">
      <w:pPr>
        <w:spacing w:line="460" w:lineRule="exact"/>
        <w:ind w:firstLine="0" w:firstLineChars="0"/>
        <w:jc w:val="center"/>
        <w:rPr>
          <w:rFonts w:ascii="宋体" w:hAnsi="宋体" w:cs="宋体"/>
          <w:color w:val="auto"/>
          <w:sz w:val="44"/>
          <w:szCs w:val="24"/>
          <w:highlight w:val="none"/>
        </w:rPr>
      </w:pPr>
    </w:p>
    <w:p w14:paraId="5491C7AF">
      <w:pPr>
        <w:spacing w:line="460" w:lineRule="exact"/>
        <w:ind w:firstLine="0" w:firstLineChars="0"/>
        <w:jc w:val="center"/>
        <w:rPr>
          <w:rFonts w:ascii="宋体" w:hAnsi="宋体" w:cs="宋体"/>
          <w:color w:val="auto"/>
          <w:sz w:val="44"/>
          <w:szCs w:val="24"/>
          <w:highlight w:val="none"/>
        </w:rPr>
      </w:pPr>
      <w:r>
        <w:rPr>
          <w:rFonts w:hint="eastAsia" w:ascii="宋体" w:hAnsi="宋体" w:cs="宋体"/>
          <w:color w:val="auto"/>
          <w:sz w:val="44"/>
          <w:szCs w:val="24"/>
          <w:highlight w:val="none"/>
        </w:rPr>
        <w:t>桂林市政府采购项目合同验收书（格式）</w:t>
      </w:r>
    </w:p>
    <w:p w14:paraId="77A672B7">
      <w:pPr>
        <w:widowControl/>
        <w:spacing w:line="600" w:lineRule="atLeast"/>
        <w:ind w:firstLine="0" w:firstLineChars="0"/>
        <w:jc w:val="center"/>
        <w:rPr>
          <w:rFonts w:ascii="Arial Unicode MS" w:hAnsi="仿宋" w:eastAsia="Arial Unicode MS"/>
          <w:color w:val="auto"/>
          <w:kern w:val="0"/>
          <w:sz w:val="36"/>
          <w:szCs w:val="36"/>
          <w:highlight w:val="none"/>
        </w:rPr>
      </w:pPr>
    </w:p>
    <w:p w14:paraId="478BD722">
      <w:pPr>
        <w:widowControl/>
        <w:spacing w:line="460" w:lineRule="exact"/>
        <w:ind w:firstLine="482" w:firstLineChars="0"/>
        <w:jc w:val="left"/>
        <w:rPr>
          <w:rFonts w:ascii="宋体" w:hAnsi="宋体"/>
          <w:color w:val="auto"/>
          <w:kern w:val="0"/>
          <w:sz w:val="30"/>
          <w:szCs w:val="30"/>
          <w:highlight w:val="none"/>
        </w:rPr>
      </w:pPr>
      <w:r>
        <w:rPr>
          <w:rFonts w:hint="eastAsia" w:ascii="宋体" w:hAnsi="宋体" w:cs="仿宋"/>
          <w:color w:val="auto"/>
          <w:kern w:val="0"/>
          <w:szCs w:val="24"/>
          <w:highlight w:val="none"/>
        </w:rPr>
        <w:t>根据政府采购项目（</w:t>
      </w:r>
      <w:r>
        <w:rPr>
          <w:rFonts w:hint="eastAsia" w:ascii="宋体" w:hAnsi="宋体" w:cs="仿宋"/>
          <w:color w:val="auto"/>
          <w:kern w:val="0"/>
          <w:szCs w:val="24"/>
          <w:highlight w:val="none"/>
          <w:u w:val="single"/>
        </w:rPr>
        <w:t>采购合同编号：</w:t>
      </w:r>
      <w:r>
        <w:rPr>
          <w:rFonts w:ascii="宋体" w:hAnsi="宋体"/>
          <w:color w:val="auto"/>
          <w:kern w:val="0"/>
          <w:szCs w:val="24"/>
          <w:highlight w:val="none"/>
          <w:u w:val="single"/>
        </w:rPr>
        <w:softHyphen/>
      </w:r>
      <w:r>
        <w:rPr>
          <w:rFonts w:ascii="宋体" w:hAnsi="宋体"/>
          <w:color w:val="auto"/>
          <w:kern w:val="0"/>
          <w:szCs w:val="24"/>
          <w:highlight w:val="none"/>
          <w:u w:val="single"/>
        </w:rPr>
        <w:t>   </w:t>
      </w:r>
      <w:r>
        <w:rPr>
          <w:rFonts w:hint="eastAsia" w:ascii="宋体" w:hAnsi="宋体" w:cs="仿宋"/>
          <w:color w:val="auto"/>
          <w:kern w:val="0"/>
          <w:szCs w:val="24"/>
          <w:highlight w:val="none"/>
        </w:rPr>
        <w:t>）的约定，采购人对（</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项目名称</w:t>
      </w:r>
      <w:r>
        <w:rPr>
          <w:rFonts w:ascii="宋体" w:hAnsi="宋体"/>
          <w:color w:val="auto"/>
          <w:kern w:val="0"/>
          <w:szCs w:val="24"/>
          <w:highlight w:val="none"/>
          <w:u w:val="single"/>
        </w:rPr>
        <w:t>   </w:t>
      </w:r>
      <w:r>
        <w:rPr>
          <w:rFonts w:hint="eastAsia" w:ascii="宋体" w:hAnsi="宋体" w:cs="仿宋"/>
          <w:color w:val="auto"/>
          <w:kern w:val="0"/>
          <w:szCs w:val="24"/>
          <w:highlight w:val="none"/>
        </w:rPr>
        <w:t>）政府采购项目成交供应商（</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公司名称</w:t>
      </w:r>
      <w:r>
        <w:rPr>
          <w:rFonts w:ascii="宋体" w:hAnsi="宋体"/>
          <w:color w:val="auto"/>
          <w:kern w:val="0"/>
          <w:szCs w:val="24"/>
          <w:highlight w:val="none"/>
          <w:u w:val="single"/>
        </w:rPr>
        <w:t>         </w:t>
      </w:r>
      <w:r>
        <w:rPr>
          <w:rFonts w:hint="eastAsia" w:ascii="宋体" w:hAnsi="宋体" w:cs="仿宋"/>
          <w:color w:val="auto"/>
          <w:kern w:val="0"/>
          <w:szCs w:val="24"/>
          <w:highlight w:val="none"/>
        </w:rPr>
        <w:t>）提供的服务进行了验收，验收情况如下：</w:t>
      </w:r>
    </w:p>
    <w:tbl>
      <w:tblPr>
        <w:tblStyle w:val="45"/>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23EE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5AC9088B">
            <w:pPr>
              <w:widowControl/>
              <w:spacing w:line="320" w:lineRule="atLeast"/>
              <w:ind w:firstLine="5"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验收方式：</w:t>
            </w:r>
          </w:p>
        </w:tc>
        <w:tc>
          <w:tcPr>
            <w:tcW w:w="5806" w:type="dxa"/>
            <w:gridSpan w:val="5"/>
            <w:vAlign w:val="center"/>
          </w:tcPr>
          <w:p w14:paraId="6D59AA7D">
            <w:pPr>
              <w:widowControl/>
              <w:spacing w:line="320" w:lineRule="atLeast"/>
              <w:ind w:firstLine="480" w:firstLineChars="0"/>
              <w:jc w:val="center"/>
              <w:rPr>
                <w:rFonts w:ascii="宋体"/>
                <w:color w:val="auto"/>
                <w:kern w:val="0"/>
                <w:sz w:val="21"/>
                <w:szCs w:val="24"/>
                <w:highlight w:val="none"/>
              </w:rPr>
            </w:pP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自行验收</w:t>
            </w:r>
            <w:r>
              <w:rPr>
                <w:rFonts w:ascii="宋体"/>
                <w:color w:val="auto"/>
                <w:kern w:val="0"/>
                <w:sz w:val="21"/>
                <w:szCs w:val="24"/>
                <w:highlight w:val="none"/>
              </w:rPr>
              <w:t>        </w:t>
            </w: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委托验收</w:t>
            </w:r>
          </w:p>
        </w:tc>
      </w:tr>
      <w:tr w14:paraId="108D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0D505910">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序号</w:t>
            </w:r>
          </w:p>
        </w:tc>
        <w:tc>
          <w:tcPr>
            <w:tcW w:w="2294" w:type="dxa"/>
            <w:vAlign w:val="center"/>
          </w:tcPr>
          <w:p w14:paraId="5E7581B1">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名</w:t>
            </w:r>
            <w:r>
              <w:rPr>
                <w:rFonts w:ascii="宋体"/>
                <w:color w:val="auto"/>
                <w:kern w:val="0"/>
                <w:sz w:val="21"/>
                <w:szCs w:val="24"/>
                <w:highlight w:val="none"/>
              </w:rPr>
              <w:t> </w:t>
            </w:r>
            <w:r>
              <w:rPr>
                <w:rFonts w:hint="eastAsia" w:ascii="宋体" w:hAnsi="宋体" w:cs="宋体"/>
                <w:color w:val="auto"/>
                <w:kern w:val="0"/>
                <w:sz w:val="21"/>
                <w:szCs w:val="24"/>
                <w:highlight w:val="none"/>
              </w:rPr>
              <w:t>称</w:t>
            </w:r>
          </w:p>
        </w:tc>
        <w:tc>
          <w:tcPr>
            <w:tcW w:w="3441" w:type="dxa"/>
            <w:gridSpan w:val="2"/>
            <w:vAlign w:val="center"/>
          </w:tcPr>
          <w:p w14:paraId="5CFD5D0F">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服务内容、标准</w:t>
            </w:r>
          </w:p>
        </w:tc>
        <w:tc>
          <w:tcPr>
            <w:tcW w:w="998" w:type="dxa"/>
            <w:gridSpan w:val="2"/>
            <w:vAlign w:val="center"/>
          </w:tcPr>
          <w:p w14:paraId="7EE7E8A7">
            <w:pPr>
              <w:widowControl/>
              <w:spacing w:line="320" w:lineRule="atLeast"/>
              <w:ind w:firstLine="0"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数量</w:t>
            </w:r>
          </w:p>
        </w:tc>
        <w:tc>
          <w:tcPr>
            <w:tcW w:w="1367" w:type="dxa"/>
            <w:vAlign w:val="center"/>
          </w:tcPr>
          <w:p w14:paraId="21D55790">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金</w:t>
            </w:r>
            <w:r>
              <w:rPr>
                <w:rFonts w:ascii="宋体"/>
                <w:color w:val="auto"/>
                <w:kern w:val="0"/>
                <w:sz w:val="21"/>
                <w:szCs w:val="24"/>
                <w:highlight w:val="none"/>
              </w:rPr>
              <w:t> </w:t>
            </w:r>
            <w:r>
              <w:rPr>
                <w:rFonts w:hint="eastAsia" w:ascii="宋体" w:hAnsi="宋体" w:cs="宋体"/>
                <w:color w:val="auto"/>
                <w:kern w:val="0"/>
                <w:sz w:val="21"/>
                <w:szCs w:val="24"/>
                <w:highlight w:val="none"/>
              </w:rPr>
              <w:t>额</w:t>
            </w:r>
          </w:p>
        </w:tc>
      </w:tr>
      <w:tr w14:paraId="1875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0CD5F828">
            <w:pPr>
              <w:widowControl/>
              <w:spacing w:line="320" w:lineRule="atLeast"/>
              <w:ind w:firstLine="5"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vAlign w:val="center"/>
          </w:tcPr>
          <w:p w14:paraId="079DBF5F">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vAlign w:val="center"/>
          </w:tcPr>
          <w:p w14:paraId="49C352C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vAlign w:val="center"/>
          </w:tcPr>
          <w:p w14:paraId="654AE5F8">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056540DA">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671B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716C5424">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vAlign w:val="center"/>
          </w:tcPr>
          <w:p w14:paraId="63E4CC82">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vAlign w:val="center"/>
          </w:tcPr>
          <w:p w14:paraId="5B867290">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vAlign w:val="center"/>
          </w:tcPr>
          <w:p w14:paraId="4FE5E84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420C2609">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708C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37C547F5">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vAlign w:val="center"/>
          </w:tcPr>
          <w:p w14:paraId="266657E0">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vAlign w:val="center"/>
          </w:tcPr>
          <w:p w14:paraId="3F45E5FF">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vAlign w:val="center"/>
          </w:tcPr>
          <w:p w14:paraId="77953542">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32292C1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5FF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5D38A1CD">
            <w:pPr>
              <w:widowControl/>
              <w:spacing w:line="320" w:lineRule="atLeast"/>
              <w:ind w:firstLine="5"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合</w:t>
            </w:r>
            <w:r>
              <w:rPr>
                <w:rFonts w:ascii="宋体"/>
                <w:color w:val="auto"/>
                <w:kern w:val="0"/>
                <w:sz w:val="21"/>
                <w:szCs w:val="24"/>
                <w:highlight w:val="none"/>
              </w:rPr>
              <w:t>       </w:t>
            </w:r>
            <w:r>
              <w:rPr>
                <w:rFonts w:hint="eastAsia" w:ascii="宋体" w:hAnsi="宋体" w:cs="宋体"/>
                <w:color w:val="auto"/>
                <w:kern w:val="0"/>
                <w:sz w:val="21"/>
                <w:szCs w:val="24"/>
                <w:highlight w:val="none"/>
              </w:rPr>
              <w:t>计</w:t>
            </w:r>
          </w:p>
        </w:tc>
        <w:tc>
          <w:tcPr>
            <w:tcW w:w="998" w:type="dxa"/>
            <w:gridSpan w:val="2"/>
            <w:vAlign w:val="center"/>
          </w:tcPr>
          <w:p w14:paraId="60A4223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13C0A126">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20C2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0366FB44">
            <w:pPr>
              <w:widowControl/>
              <w:spacing w:line="320" w:lineRule="atLeast"/>
              <w:ind w:firstLine="2"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合计大写金额：</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万</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元</w:t>
            </w:r>
          </w:p>
        </w:tc>
      </w:tr>
      <w:tr w14:paraId="081E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4D86BE7D">
            <w:pPr>
              <w:widowControl/>
              <w:spacing w:line="320" w:lineRule="atLeast"/>
              <w:ind w:firstLine="2"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服务期限</w:t>
            </w:r>
          </w:p>
        </w:tc>
        <w:tc>
          <w:tcPr>
            <w:tcW w:w="3240" w:type="dxa"/>
            <w:gridSpan w:val="2"/>
            <w:vAlign w:val="center"/>
          </w:tcPr>
          <w:p w14:paraId="4546ADF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700" w:type="dxa"/>
            <w:gridSpan w:val="2"/>
            <w:vAlign w:val="center"/>
          </w:tcPr>
          <w:p w14:paraId="438D5797">
            <w:pPr>
              <w:widowControl/>
              <w:spacing w:line="320" w:lineRule="atLeast"/>
              <w:ind w:firstLine="46"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验收日期</w:t>
            </w:r>
          </w:p>
        </w:tc>
        <w:tc>
          <w:tcPr>
            <w:tcW w:w="2160" w:type="dxa"/>
            <w:gridSpan w:val="2"/>
            <w:vAlign w:val="center"/>
          </w:tcPr>
          <w:p w14:paraId="20661AC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1668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1882203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240" w:type="dxa"/>
            <w:gridSpan w:val="2"/>
            <w:vAlign w:val="center"/>
          </w:tcPr>
          <w:p w14:paraId="531A05DD">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700" w:type="dxa"/>
            <w:gridSpan w:val="2"/>
            <w:vAlign w:val="center"/>
          </w:tcPr>
          <w:p w14:paraId="285FD81D">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160" w:type="dxa"/>
            <w:gridSpan w:val="2"/>
            <w:vAlign w:val="center"/>
          </w:tcPr>
          <w:p w14:paraId="7FF2886E">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67A7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4E2BD1DA">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验收具体内容</w:t>
            </w:r>
          </w:p>
        </w:tc>
        <w:tc>
          <w:tcPr>
            <w:tcW w:w="8100" w:type="dxa"/>
            <w:gridSpan w:val="6"/>
            <w:tcMar>
              <w:top w:w="0" w:type="dxa"/>
              <w:left w:w="108" w:type="dxa"/>
              <w:bottom w:w="0" w:type="dxa"/>
              <w:right w:w="108" w:type="dxa"/>
            </w:tcMar>
            <w:vAlign w:val="center"/>
          </w:tcPr>
          <w:p w14:paraId="021E837F">
            <w:pPr>
              <w:widowControl/>
              <w:spacing w:line="320" w:lineRule="atLeast"/>
              <w:ind w:firstLine="0" w:firstLineChars="0"/>
              <w:jc w:val="left"/>
              <w:rPr>
                <w:rFonts w:ascii="宋体" w:hAnsi="宋体" w:cs="宋体"/>
                <w:color w:val="auto"/>
                <w:kern w:val="0"/>
                <w:sz w:val="21"/>
                <w:szCs w:val="24"/>
                <w:highlight w:val="none"/>
              </w:rPr>
            </w:pPr>
            <w:r>
              <w:rPr>
                <w:rFonts w:hint="eastAsia" w:ascii="宋体" w:hAnsi="宋体" w:cs="宋体"/>
                <w:color w:val="auto"/>
                <w:kern w:val="0"/>
                <w:sz w:val="21"/>
                <w:szCs w:val="24"/>
                <w:highlight w:val="none"/>
              </w:rPr>
              <w:t>（按</w:t>
            </w:r>
            <w:r>
              <w:rPr>
                <w:rFonts w:hint="eastAsia" w:ascii="宋体" w:hAnsi="宋体"/>
                <w:color w:val="auto"/>
                <w:sz w:val="21"/>
                <w:szCs w:val="21"/>
                <w:highlight w:val="none"/>
              </w:rPr>
              <w:t>采购文件、成交供应商响应文件承诺、合同条款、国家</w:t>
            </w:r>
            <w:r>
              <w:rPr>
                <w:rFonts w:hint="eastAsia" w:ascii="宋体" w:hAnsi="宋体" w:cs="宋体"/>
                <w:color w:val="auto"/>
                <w:sz w:val="21"/>
                <w:szCs w:val="21"/>
                <w:highlight w:val="none"/>
              </w:rPr>
              <w:t>相关标准规范以及行政主管部门政策文件</w:t>
            </w:r>
            <w:r>
              <w:rPr>
                <w:rFonts w:hint="eastAsia" w:ascii="宋体" w:hAnsi="宋体"/>
                <w:color w:val="auto"/>
                <w:sz w:val="21"/>
                <w:szCs w:val="21"/>
                <w:highlight w:val="none"/>
              </w:rPr>
              <w:t>进行验收。</w:t>
            </w:r>
            <w:r>
              <w:rPr>
                <w:rFonts w:hint="eastAsia" w:ascii="宋体" w:hAnsi="宋体" w:cs="宋体"/>
                <w:color w:val="auto"/>
                <w:kern w:val="0"/>
                <w:sz w:val="21"/>
                <w:szCs w:val="24"/>
                <w:highlight w:val="none"/>
              </w:rPr>
              <w:t>见附件）</w:t>
            </w:r>
          </w:p>
        </w:tc>
      </w:tr>
      <w:tr w14:paraId="1DEC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19BA1B78">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验收小组意见</w:t>
            </w:r>
          </w:p>
        </w:tc>
        <w:tc>
          <w:tcPr>
            <w:tcW w:w="8100" w:type="dxa"/>
            <w:gridSpan w:val="6"/>
            <w:vAlign w:val="center"/>
          </w:tcPr>
          <w:p w14:paraId="13BC9407">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验收结论性意见：</w:t>
            </w:r>
          </w:p>
          <w:p w14:paraId="44878452">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p>
        </w:tc>
      </w:tr>
      <w:tr w14:paraId="75C3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02878D5E">
            <w:pPr>
              <w:widowControl/>
              <w:spacing w:line="240" w:lineRule="auto"/>
              <w:ind w:firstLine="0" w:firstLineChars="0"/>
              <w:jc w:val="left"/>
              <w:rPr>
                <w:rFonts w:ascii="宋体"/>
                <w:color w:val="auto"/>
                <w:kern w:val="0"/>
                <w:sz w:val="21"/>
                <w:szCs w:val="24"/>
                <w:highlight w:val="none"/>
              </w:rPr>
            </w:pPr>
          </w:p>
        </w:tc>
        <w:tc>
          <w:tcPr>
            <w:tcW w:w="8100" w:type="dxa"/>
            <w:gridSpan w:val="6"/>
            <w:vAlign w:val="center"/>
          </w:tcPr>
          <w:p w14:paraId="2546F883">
            <w:pPr>
              <w:widowControl/>
              <w:spacing w:line="320" w:lineRule="atLeast"/>
              <w:ind w:firstLine="96"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有异议的意见和说明理由：</w:t>
            </w:r>
          </w:p>
          <w:p w14:paraId="2EB87742">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ascii="宋体" w:hAnsi="宋体" w:cs="宋体"/>
                <w:color w:val="auto"/>
                <w:kern w:val="0"/>
                <w:sz w:val="21"/>
                <w:szCs w:val="24"/>
                <w:highlight w:val="none"/>
              </w:rPr>
              <w:t xml:space="preserve">                              </w:t>
            </w:r>
            <w:r>
              <w:rPr>
                <w:rFonts w:hint="eastAsia" w:ascii="宋体" w:hAnsi="宋体" w:cs="宋体"/>
                <w:color w:val="auto"/>
                <w:kern w:val="0"/>
                <w:sz w:val="21"/>
                <w:szCs w:val="24"/>
                <w:highlight w:val="none"/>
              </w:rPr>
              <w:t>签字：</w:t>
            </w:r>
          </w:p>
        </w:tc>
      </w:tr>
      <w:tr w14:paraId="04FB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7AB175A5">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验收小组成员签字：</w:t>
            </w:r>
          </w:p>
        </w:tc>
      </w:tr>
      <w:tr w14:paraId="6E37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355DC916">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监督人员或其他相关人员签字：</w:t>
            </w:r>
          </w:p>
          <w:p w14:paraId="69F81B2B">
            <w:pPr>
              <w:widowControl/>
              <w:spacing w:line="320" w:lineRule="atLeast"/>
              <w:ind w:firstLine="74"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或受邀机构的意见（盖章）：</w:t>
            </w:r>
          </w:p>
        </w:tc>
      </w:tr>
      <w:tr w14:paraId="2894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57BBFBF6">
            <w:pPr>
              <w:widowControl/>
              <w:spacing w:line="320" w:lineRule="atLeast"/>
              <w:ind w:firstLine="74"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中标或者成交供应商负责人签字或盖章：</w:t>
            </w:r>
          </w:p>
          <w:p w14:paraId="61BDFF61">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color w:val="auto"/>
                <w:kern w:val="0"/>
                <w:sz w:val="21"/>
                <w:szCs w:val="24"/>
                <w:highlight w:val="none"/>
              </w:rPr>
              <w:t xml:space="preserve">  </w:t>
            </w:r>
            <w:r>
              <w:rPr>
                <w:rFonts w:hint="eastAsia" w:ascii="宋体" w:hAnsi="宋体" w:cs="宋体"/>
                <w:color w:val="auto"/>
                <w:kern w:val="0"/>
                <w:sz w:val="21"/>
                <w:szCs w:val="24"/>
                <w:highlight w:val="none"/>
              </w:rPr>
              <w:t xml:space="preserve">月  </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c>
          <w:tcPr>
            <w:tcW w:w="4860" w:type="dxa"/>
            <w:gridSpan w:val="4"/>
            <w:vAlign w:val="center"/>
          </w:tcPr>
          <w:p w14:paraId="50FB2579">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采购人或受托机构的意见（盖章）：</w:t>
            </w:r>
          </w:p>
          <w:p w14:paraId="4DD968C0">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hAnsi="宋体" w:cs="宋体"/>
                <w:color w:val="auto"/>
                <w:kern w:val="0"/>
                <w:sz w:val="21"/>
                <w:szCs w:val="24"/>
                <w:highlight w:val="none"/>
              </w:rPr>
              <w:t>月</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r>
    </w:tbl>
    <w:p w14:paraId="60373EF3">
      <w:pPr>
        <w:snapToGrid w:val="0"/>
        <w:spacing w:line="340" w:lineRule="exact"/>
        <w:ind w:firstLine="0" w:firstLineChars="0"/>
        <w:rPr>
          <w:rFonts w:ascii="宋体" w:hAnsi="宋体" w:cs="宋体"/>
          <w:b/>
          <w:color w:val="auto"/>
          <w:szCs w:val="24"/>
          <w:highlight w:val="none"/>
        </w:rPr>
      </w:pPr>
    </w:p>
    <w:p w14:paraId="4276D0A3">
      <w:pPr>
        <w:snapToGrid w:val="0"/>
        <w:spacing w:line="340" w:lineRule="exact"/>
        <w:ind w:firstLine="0" w:firstLineChars="0"/>
        <w:rPr>
          <w:rFonts w:ascii="宋体" w:hAnsi="宋体" w:cs="宋体"/>
          <w:b/>
          <w:color w:val="auto"/>
          <w:szCs w:val="24"/>
          <w:highlight w:val="none"/>
        </w:rPr>
      </w:pPr>
    </w:p>
    <w:p w14:paraId="632EC751">
      <w:pPr>
        <w:snapToGrid w:val="0"/>
        <w:spacing w:line="340" w:lineRule="exact"/>
        <w:ind w:firstLine="0" w:firstLineChars="0"/>
        <w:rPr>
          <w:rFonts w:ascii="宋体" w:hAnsi="宋体" w:cs="宋体"/>
          <w:b/>
          <w:color w:val="auto"/>
          <w:szCs w:val="24"/>
          <w:highlight w:val="none"/>
        </w:rPr>
      </w:pPr>
    </w:p>
    <w:p w14:paraId="14A160EB">
      <w:pPr>
        <w:snapToGrid w:val="0"/>
        <w:spacing w:line="340" w:lineRule="exact"/>
        <w:ind w:firstLine="0" w:firstLineChars="0"/>
        <w:rPr>
          <w:rFonts w:ascii="宋体" w:hAnsi="宋体" w:cs="宋体"/>
          <w:b/>
          <w:color w:val="auto"/>
          <w:szCs w:val="24"/>
          <w:highlight w:val="none"/>
        </w:rPr>
      </w:pPr>
      <w:r>
        <w:rPr>
          <w:rFonts w:hint="eastAsia" w:ascii="宋体" w:hAnsi="宋体" w:cs="宋体"/>
          <w:b/>
          <w:color w:val="auto"/>
          <w:szCs w:val="24"/>
          <w:highlight w:val="none"/>
        </w:rPr>
        <w:t>附表4：</w:t>
      </w:r>
    </w:p>
    <w:p w14:paraId="0E0FDFD5">
      <w:pPr>
        <w:spacing w:line="360" w:lineRule="exact"/>
        <w:ind w:firstLine="643"/>
        <w:jc w:val="center"/>
        <w:rPr>
          <w:rFonts w:ascii="宋体" w:hAnsi="宋体"/>
          <w:b/>
          <w:color w:val="auto"/>
          <w:sz w:val="32"/>
          <w:szCs w:val="32"/>
          <w:highlight w:val="none"/>
        </w:rPr>
      </w:pPr>
    </w:p>
    <w:p w14:paraId="120A944C">
      <w:pPr>
        <w:spacing w:line="360" w:lineRule="exact"/>
        <w:ind w:firstLine="480"/>
        <w:jc w:val="center"/>
        <w:rPr>
          <w:rFonts w:ascii="宋体" w:hAnsi="宋体"/>
          <w:b/>
          <w:color w:val="auto"/>
          <w:sz w:val="32"/>
          <w:szCs w:val="32"/>
          <w:highlight w:val="none"/>
        </w:rPr>
      </w:pPr>
      <w:r>
        <w:rPr>
          <w:color w:val="auto"/>
          <w:highlight w:val="none"/>
        </w:rPr>
        <w:drawing>
          <wp:anchor distT="0" distB="0" distL="114300" distR="114300" simplePos="0" relativeHeight="251661312"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3"/>
                    <a:stretch>
                      <a:fillRect/>
                    </a:stretch>
                  </pic:blipFill>
                  <pic:spPr>
                    <a:xfrm>
                      <a:off x="0" y="0"/>
                      <a:ext cx="5904230" cy="6205855"/>
                    </a:xfrm>
                    <a:prstGeom prst="rect">
                      <a:avLst/>
                    </a:prstGeom>
                    <a:noFill/>
                    <a:ln>
                      <a:noFill/>
                    </a:ln>
                  </pic:spPr>
                </pic:pic>
              </a:graphicData>
            </a:graphic>
          </wp:anchor>
        </w:drawing>
      </w:r>
    </w:p>
    <w:p w14:paraId="3AE7D7A4">
      <w:pPr>
        <w:spacing w:line="360" w:lineRule="exact"/>
        <w:ind w:firstLine="643"/>
        <w:jc w:val="center"/>
        <w:rPr>
          <w:rFonts w:ascii="宋体" w:hAnsi="宋体"/>
          <w:b/>
          <w:color w:val="auto"/>
          <w:sz w:val="32"/>
          <w:szCs w:val="32"/>
          <w:highlight w:val="none"/>
        </w:rPr>
      </w:pPr>
    </w:p>
    <w:p w14:paraId="6B48729C">
      <w:pPr>
        <w:spacing w:line="360" w:lineRule="exact"/>
        <w:ind w:firstLine="643"/>
        <w:jc w:val="center"/>
        <w:rPr>
          <w:rFonts w:ascii="宋体" w:hAnsi="宋体"/>
          <w:b/>
          <w:color w:val="auto"/>
          <w:sz w:val="32"/>
          <w:szCs w:val="32"/>
          <w:highlight w:val="none"/>
        </w:rPr>
      </w:pPr>
    </w:p>
    <w:p w14:paraId="5561C82D">
      <w:pPr>
        <w:spacing w:line="360" w:lineRule="exact"/>
        <w:ind w:firstLine="643"/>
        <w:jc w:val="center"/>
        <w:rPr>
          <w:rFonts w:ascii="宋体" w:hAnsi="宋体"/>
          <w:b/>
          <w:color w:val="auto"/>
          <w:sz w:val="32"/>
          <w:szCs w:val="32"/>
          <w:highlight w:val="none"/>
        </w:rPr>
      </w:pPr>
    </w:p>
    <w:p w14:paraId="234949C8">
      <w:pPr>
        <w:spacing w:line="360" w:lineRule="exact"/>
        <w:ind w:firstLine="643"/>
        <w:jc w:val="center"/>
        <w:rPr>
          <w:rFonts w:ascii="宋体" w:hAnsi="宋体"/>
          <w:b/>
          <w:color w:val="auto"/>
          <w:sz w:val="32"/>
          <w:szCs w:val="32"/>
          <w:highlight w:val="none"/>
        </w:rPr>
      </w:pPr>
    </w:p>
    <w:p w14:paraId="4DA0328E">
      <w:pPr>
        <w:spacing w:line="360" w:lineRule="exact"/>
        <w:ind w:firstLine="643"/>
        <w:jc w:val="center"/>
        <w:rPr>
          <w:rFonts w:ascii="宋体" w:hAnsi="宋体"/>
          <w:b/>
          <w:color w:val="auto"/>
          <w:sz w:val="32"/>
          <w:szCs w:val="32"/>
          <w:highlight w:val="none"/>
        </w:rPr>
      </w:pPr>
    </w:p>
    <w:p w14:paraId="15C05492">
      <w:pPr>
        <w:spacing w:line="360" w:lineRule="exact"/>
        <w:ind w:firstLine="643"/>
        <w:jc w:val="center"/>
        <w:rPr>
          <w:rFonts w:ascii="宋体" w:hAnsi="宋体"/>
          <w:b/>
          <w:color w:val="auto"/>
          <w:sz w:val="32"/>
          <w:szCs w:val="32"/>
          <w:highlight w:val="none"/>
        </w:rPr>
      </w:pPr>
    </w:p>
    <w:p w14:paraId="0E79167F">
      <w:pPr>
        <w:spacing w:line="360" w:lineRule="exact"/>
        <w:ind w:firstLine="643"/>
        <w:jc w:val="center"/>
        <w:rPr>
          <w:rFonts w:ascii="宋体" w:hAnsi="宋体"/>
          <w:b/>
          <w:color w:val="auto"/>
          <w:sz w:val="32"/>
          <w:szCs w:val="32"/>
          <w:highlight w:val="none"/>
        </w:rPr>
      </w:pPr>
    </w:p>
    <w:p w14:paraId="5660B51E">
      <w:pPr>
        <w:spacing w:line="360" w:lineRule="exact"/>
        <w:ind w:firstLine="643"/>
        <w:jc w:val="center"/>
        <w:rPr>
          <w:rFonts w:ascii="宋体" w:hAnsi="宋体"/>
          <w:b/>
          <w:color w:val="auto"/>
          <w:sz w:val="32"/>
          <w:szCs w:val="32"/>
          <w:highlight w:val="none"/>
        </w:rPr>
      </w:pPr>
    </w:p>
    <w:p w14:paraId="57111577">
      <w:pPr>
        <w:tabs>
          <w:tab w:val="center" w:pos="4410"/>
          <w:tab w:val="left" w:pos="6735"/>
        </w:tabs>
        <w:spacing w:line="480" w:lineRule="auto"/>
        <w:ind w:firstLine="643"/>
        <w:jc w:val="center"/>
        <w:outlineLvl w:val="1"/>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第三章  采购需求</w:t>
      </w:r>
      <w:bookmarkEnd w:id="0"/>
    </w:p>
    <w:p w14:paraId="457160B4">
      <w:pPr>
        <w:adjustRightInd w:val="0"/>
        <w:snapToGrid w:val="0"/>
        <w:spacing w:line="380" w:lineRule="exact"/>
        <w:ind w:firstLine="198" w:firstLineChars="82"/>
        <w:rPr>
          <w:rFonts w:ascii="宋体" w:hAnsi="宋体"/>
          <w:b/>
          <w:bCs/>
          <w:color w:val="auto"/>
          <w:kern w:val="44"/>
          <w:szCs w:val="24"/>
          <w:highlight w:val="none"/>
          <w:lang w:val="zh-CN"/>
        </w:rPr>
      </w:pPr>
      <w:r>
        <w:rPr>
          <w:rFonts w:hint="eastAsia" w:ascii="宋体" w:hAnsi="宋体"/>
          <w:b/>
          <w:bCs/>
          <w:color w:val="auto"/>
          <w:kern w:val="44"/>
          <w:szCs w:val="24"/>
          <w:highlight w:val="none"/>
          <w:lang w:val="zh-CN"/>
        </w:rPr>
        <w:t>Ⅰ、说明</w:t>
      </w:r>
    </w:p>
    <w:p w14:paraId="2997B781">
      <w:pPr>
        <w:adjustRightInd w:val="0"/>
        <w:snapToGrid w:val="0"/>
        <w:spacing w:line="380" w:lineRule="exact"/>
        <w:ind w:firstLine="413" w:firstLineChars="196"/>
        <w:rPr>
          <w:rFonts w:ascii="宋体" w:hAnsi="宋体" w:cs="宋体"/>
          <w:b/>
          <w:bCs/>
          <w:color w:val="auto"/>
          <w:kern w:val="0"/>
          <w:szCs w:val="24"/>
          <w:highlight w:val="none"/>
        </w:rPr>
      </w:pPr>
      <w:r>
        <w:rPr>
          <w:rFonts w:hint="eastAsia" w:ascii="宋体" w:hAnsi="宋体" w:cs="宋体"/>
          <w:b/>
          <w:bCs/>
          <w:color w:val="auto"/>
          <w:kern w:val="0"/>
          <w:sz w:val="21"/>
          <w:szCs w:val="21"/>
          <w:highlight w:val="none"/>
        </w:rPr>
        <w:t>一、本项目所要执行的政府采购政策</w:t>
      </w:r>
      <w:r>
        <w:rPr>
          <w:rFonts w:hint="eastAsia" w:ascii="宋体" w:hAnsi="宋体" w:cs="宋体"/>
          <w:b/>
          <w:bCs/>
          <w:color w:val="auto"/>
          <w:kern w:val="0"/>
          <w:szCs w:val="24"/>
          <w:highlight w:val="none"/>
        </w:rPr>
        <w:t>：</w:t>
      </w:r>
    </w:p>
    <w:p w14:paraId="3C6788BC">
      <w:pPr>
        <w:adjustRightInd w:val="0"/>
        <w:snapToGrid w:val="0"/>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sz w:val="21"/>
          <w:szCs w:val="21"/>
          <w:highlight w:val="none"/>
        </w:rPr>
        <w:t>本项目专门面向中小企业采购，供应商须满足《政府采购促进中小企业发展管理办法》（财库〔2020〕46号）第二条规定。</w:t>
      </w:r>
    </w:p>
    <w:p w14:paraId="6AF568F7">
      <w:pPr>
        <w:adjustRightInd w:val="0"/>
        <w:snapToGrid w:val="0"/>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2.根据财政部、司法部关于政府采购支持监狱企业发展有关问题的通知（财库〔2014〕68号），监狱企业视同小型、微型企业，享受预留份额等政府采购政策。</w:t>
      </w:r>
    </w:p>
    <w:p w14:paraId="63C8AF4F">
      <w:pPr>
        <w:adjustRightInd w:val="0"/>
        <w:snapToGrid w:val="0"/>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3.按照《关于促进残疾人就业政府采购政策的通知》（财库〔2017〕141号）的规定，残疾人福利性单位视同小型、微型企业，享受预留份额等促进中小企业发展政府采购政策。</w:t>
      </w:r>
    </w:p>
    <w:p w14:paraId="24FA52FA">
      <w:pPr>
        <w:adjustRightInd w:val="0"/>
        <w:snapToGrid w:val="0"/>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4.优先采购节能产品、环境标志产品。</w:t>
      </w:r>
    </w:p>
    <w:p w14:paraId="324DFC2A">
      <w:pPr>
        <w:adjustRightInd w:val="0"/>
        <w:snapToGrid w:val="0"/>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5.本项目为服务项目，不涉及强制采购节能产品。</w:t>
      </w:r>
    </w:p>
    <w:p w14:paraId="74CFABB3">
      <w:pPr>
        <w:adjustRightInd w:val="0"/>
        <w:snapToGrid w:val="0"/>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6.政府采购支持采用本国产品的政策。</w:t>
      </w:r>
    </w:p>
    <w:p w14:paraId="5DFAE710">
      <w:pPr>
        <w:spacing w:line="380" w:lineRule="exact"/>
        <w:ind w:firstLine="315" w:firstLineChars="15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供应商所提供的标的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p w14:paraId="7D7F4685">
      <w:pPr>
        <w:spacing w:line="380" w:lineRule="exact"/>
        <w:ind w:firstLine="316" w:firstLineChars="15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三、本项目政府采购预算金额为：分标1预算人民币陆拾贰万元整（</w:t>
      </w:r>
      <w:r>
        <w:rPr>
          <w:rFonts w:hint="eastAsia" w:ascii="宋体" w:hAnsi="宋体"/>
          <w:b/>
          <w:color w:val="auto"/>
          <w:sz w:val="21"/>
          <w:szCs w:val="21"/>
          <w:highlight w:val="none"/>
        </w:rPr>
        <w:t>¥</w:t>
      </w:r>
      <w:r>
        <w:rPr>
          <w:rFonts w:hint="eastAsia" w:ascii="宋体" w:hAnsi="宋体" w:cs="宋体"/>
          <w:b/>
          <w:color w:val="auto"/>
          <w:kern w:val="0"/>
          <w:sz w:val="21"/>
          <w:szCs w:val="21"/>
          <w:highlight w:val="none"/>
        </w:rPr>
        <w:t>620000.00）；分标2预算人民币伍拾贰万元整（</w:t>
      </w:r>
      <w:r>
        <w:rPr>
          <w:rFonts w:hint="eastAsia" w:ascii="宋体" w:hAnsi="宋体"/>
          <w:b/>
          <w:color w:val="auto"/>
          <w:sz w:val="21"/>
          <w:szCs w:val="21"/>
          <w:highlight w:val="none"/>
        </w:rPr>
        <w:t>¥</w:t>
      </w:r>
      <w:r>
        <w:rPr>
          <w:rFonts w:hint="eastAsia" w:ascii="宋体" w:hAnsi="宋体" w:cs="宋体"/>
          <w:b/>
          <w:color w:val="auto"/>
          <w:kern w:val="0"/>
          <w:sz w:val="21"/>
          <w:szCs w:val="21"/>
          <w:highlight w:val="none"/>
        </w:rPr>
        <w:t>520000.00）；分标3预算人民币贰拾柒万元整（</w:t>
      </w:r>
      <w:r>
        <w:rPr>
          <w:rFonts w:hint="eastAsia" w:ascii="宋体" w:hAnsi="宋体"/>
          <w:b/>
          <w:color w:val="auto"/>
          <w:sz w:val="21"/>
          <w:szCs w:val="21"/>
          <w:highlight w:val="none"/>
        </w:rPr>
        <w:t>¥</w:t>
      </w:r>
      <w:r>
        <w:rPr>
          <w:rFonts w:hint="eastAsia" w:ascii="宋体" w:hAnsi="宋体" w:cs="宋体"/>
          <w:b/>
          <w:color w:val="auto"/>
          <w:kern w:val="0"/>
          <w:sz w:val="21"/>
          <w:szCs w:val="21"/>
          <w:highlight w:val="none"/>
        </w:rPr>
        <w:t>270000.00），供应商所竞分标报价超过相应分标采购预算金额的，响应文件按分标作无效处理。</w:t>
      </w:r>
    </w:p>
    <w:p w14:paraId="16C16A3C">
      <w:pPr>
        <w:spacing w:line="380" w:lineRule="exact"/>
        <w:ind w:firstLine="316" w:firstLineChars="150"/>
        <w:rPr>
          <w:rFonts w:ascii="宋体" w:hAnsi="宋体"/>
          <w:b/>
          <w:color w:val="auto"/>
          <w:sz w:val="21"/>
          <w:szCs w:val="21"/>
          <w:highlight w:val="none"/>
        </w:rPr>
      </w:pPr>
      <w:r>
        <w:rPr>
          <w:rFonts w:hint="eastAsia" w:ascii="宋体" w:hAnsi="宋体" w:cs="宋体"/>
          <w:b/>
          <w:color w:val="auto"/>
          <w:kern w:val="0"/>
          <w:sz w:val="21"/>
          <w:szCs w:val="21"/>
          <w:highlight w:val="none"/>
        </w:rPr>
        <w:t>四、</w:t>
      </w:r>
      <w:r>
        <w:rPr>
          <w:rFonts w:hint="eastAsia" w:ascii="宋体" w:hAnsi="宋体"/>
          <w:b/>
          <w:color w:val="auto"/>
          <w:sz w:val="21"/>
          <w:szCs w:val="21"/>
          <w:highlight w:val="none"/>
        </w:rPr>
        <w:t>本“采购需求”中</w:t>
      </w:r>
      <w:r>
        <w:rPr>
          <w:rFonts w:hint="eastAsia" w:ascii="宋体" w:hAnsi="宋体" w:cs="新宋体"/>
          <w:b/>
          <w:color w:val="auto"/>
          <w:kern w:val="0"/>
          <w:sz w:val="21"/>
          <w:szCs w:val="21"/>
          <w:highlight w:val="none"/>
        </w:rPr>
        <w:t>标注“▲”项的条款、磋商文件中要求“必须提供”的条款以及标明不满足即响应无效的条款均属于实质性要求</w:t>
      </w:r>
      <w:r>
        <w:rPr>
          <w:rFonts w:hint="eastAsia" w:ascii="宋体" w:hAnsi="宋体"/>
          <w:b/>
          <w:color w:val="auto"/>
          <w:sz w:val="21"/>
          <w:szCs w:val="21"/>
          <w:highlight w:val="none"/>
        </w:rPr>
        <w:t>。</w:t>
      </w:r>
    </w:p>
    <w:p w14:paraId="15153479">
      <w:pPr>
        <w:spacing w:line="380" w:lineRule="exact"/>
        <w:ind w:firstLine="316" w:firstLineChars="150"/>
        <w:rPr>
          <w:rFonts w:ascii="宋体" w:hAnsi="宋体"/>
          <w:b/>
          <w:color w:val="auto"/>
          <w:sz w:val="21"/>
          <w:szCs w:val="21"/>
          <w:highlight w:val="none"/>
        </w:rPr>
      </w:pPr>
      <w:r>
        <w:rPr>
          <w:rFonts w:hint="eastAsia" w:ascii="宋体" w:hAnsi="宋体"/>
          <w:b/>
          <w:color w:val="auto"/>
          <w:sz w:val="21"/>
          <w:szCs w:val="21"/>
          <w:highlight w:val="none"/>
        </w:rPr>
        <w:t>五、本项目采购标的：分标1为10个小型水站运行维护服务，分标2为3个水质自动监测站运行维护服务，分标3为2个环境空气自动监测站运行维护服务；采购标的所属行业均为：其他未列明行业。</w:t>
      </w:r>
    </w:p>
    <w:p w14:paraId="698AD408">
      <w:pPr>
        <w:adjustRightInd w:val="0"/>
        <w:snapToGrid w:val="0"/>
        <w:spacing w:line="380" w:lineRule="exact"/>
        <w:ind w:firstLine="198" w:firstLineChars="82"/>
        <w:rPr>
          <w:rFonts w:ascii="宋体" w:hAnsi="宋体"/>
          <w:b/>
          <w:bCs/>
          <w:color w:val="auto"/>
          <w:kern w:val="44"/>
          <w:szCs w:val="24"/>
          <w:highlight w:val="none"/>
          <w:lang w:val="zh-CN"/>
        </w:rPr>
      </w:pPr>
    </w:p>
    <w:p w14:paraId="0DF51B17">
      <w:pPr>
        <w:spacing w:line="380" w:lineRule="exact"/>
        <w:ind w:firstLine="361" w:firstLineChars="150"/>
        <w:rPr>
          <w:rFonts w:ascii="宋体" w:hAnsi="宋体"/>
          <w:b/>
          <w:bCs/>
          <w:color w:val="auto"/>
          <w:szCs w:val="24"/>
          <w:highlight w:val="none"/>
        </w:rPr>
      </w:pPr>
      <w:r>
        <w:rPr>
          <w:rFonts w:hint="eastAsia" w:ascii="宋体" w:hAnsi="宋体"/>
          <w:b/>
          <w:bCs/>
          <w:color w:val="auto"/>
          <w:szCs w:val="24"/>
          <w:highlight w:val="none"/>
        </w:rPr>
        <w:t>Ⅱ、采购需求一览表</w:t>
      </w:r>
    </w:p>
    <w:p w14:paraId="0F1CEF37">
      <w:pPr>
        <w:spacing w:line="380" w:lineRule="exact"/>
        <w:ind w:firstLine="316" w:firstLineChars="150"/>
        <w:rPr>
          <w:rFonts w:ascii="宋体" w:hAnsi="宋体"/>
          <w:b/>
          <w:color w:val="auto"/>
          <w:sz w:val="21"/>
          <w:szCs w:val="21"/>
          <w:highlight w:val="none"/>
        </w:rPr>
      </w:pPr>
      <w:r>
        <w:rPr>
          <w:rFonts w:hint="eastAsia" w:ascii="宋体" w:hAnsi="宋体"/>
          <w:b/>
          <w:color w:val="auto"/>
          <w:sz w:val="21"/>
          <w:szCs w:val="21"/>
          <w:highlight w:val="none"/>
        </w:rPr>
        <w:t>分标1</w:t>
      </w:r>
    </w:p>
    <w:tbl>
      <w:tblPr>
        <w:tblStyle w:val="45"/>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34"/>
        <w:gridCol w:w="6087"/>
        <w:gridCol w:w="567"/>
        <w:gridCol w:w="567"/>
        <w:gridCol w:w="905"/>
      </w:tblGrid>
      <w:tr w14:paraId="199C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730" w:type="dxa"/>
            <w:gridSpan w:val="6"/>
            <w:vAlign w:val="center"/>
          </w:tcPr>
          <w:p w14:paraId="6411CAC0">
            <w:pPr>
              <w:spacing w:line="380" w:lineRule="exact"/>
              <w:ind w:firstLine="0" w:firstLineChars="0"/>
              <w:rPr>
                <w:rFonts w:ascii="宋体" w:hAnsi="宋体"/>
                <w:b/>
                <w:color w:val="auto"/>
                <w:kern w:val="21"/>
                <w:sz w:val="21"/>
                <w:szCs w:val="21"/>
                <w:highlight w:val="none"/>
              </w:rPr>
            </w:pPr>
            <w:r>
              <w:rPr>
                <w:rFonts w:hint="eastAsia" w:ascii="宋体" w:hAnsi="宋体"/>
                <w:b/>
                <w:color w:val="auto"/>
                <w:kern w:val="21"/>
                <w:sz w:val="21"/>
                <w:szCs w:val="21"/>
                <w:highlight w:val="none"/>
              </w:rPr>
              <w:t>▲一、服务内容及相关要求</w:t>
            </w:r>
          </w:p>
        </w:tc>
      </w:tr>
      <w:tr w14:paraId="5122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70" w:type="dxa"/>
            <w:shd w:val="clear" w:color="auto" w:fill="auto"/>
            <w:vAlign w:val="center"/>
          </w:tcPr>
          <w:p w14:paraId="1137EC8E">
            <w:pPr>
              <w:spacing w:line="380" w:lineRule="exact"/>
              <w:ind w:firstLine="0" w:firstLineChars="0"/>
              <w:jc w:val="center"/>
              <w:rPr>
                <w:rFonts w:ascii="宋体" w:hAnsi="宋体"/>
                <w:b/>
                <w:color w:val="auto"/>
                <w:kern w:val="21"/>
                <w:sz w:val="21"/>
                <w:szCs w:val="21"/>
                <w:highlight w:val="none"/>
              </w:rPr>
            </w:pPr>
            <w:r>
              <w:rPr>
                <w:rFonts w:hint="eastAsia" w:ascii="宋体" w:hAnsi="宋体"/>
                <w:b/>
                <w:color w:val="auto"/>
                <w:kern w:val="21"/>
                <w:sz w:val="21"/>
                <w:szCs w:val="21"/>
                <w:highlight w:val="none"/>
              </w:rPr>
              <w:t>序号</w:t>
            </w:r>
          </w:p>
        </w:tc>
        <w:tc>
          <w:tcPr>
            <w:tcW w:w="1034" w:type="dxa"/>
            <w:shd w:val="clear" w:color="auto" w:fill="auto"/>
            <w:vAlign w:val="center"/>
          </w:tcPr>
          <w:p w14:paraId="297ACAEB">
            <w:pPr>
              <w:spacing w:line="380" w:lineRule="exact"/>
              <w:ind w:firstLine="0" w:firstLineChars="0"/>
              <w:jc w:val="center"/>
              <w:rPr>
                <w:rFonts w:ascii="宋体" w:hAnsi="宋体"/>
                <w:b/>
                <w:color w:val="auto"/>
                <w:kern w:val="21"/>
                <w:sz w:val="21"/>
                <w:szCs w:val="21"/>
                <w:highlight w:val="none"/>
              </w:rPr>
            </w:pPr>
            <w:r>
              <w:rPr>
                <w:rFonts w:hint="eastAsia" w:ascii="宋体" w:hAnsi="宋体"/>
                <w:b/>
                <w:color w:val="auto"/>
                <w:kern w:val="21"/>
                <w:sz w:val="21"/>
                <w:szCs w:val="21"/>
                <w:highlight w:val="none"/>
              </w:rPr>
              <w:t>服务名称</w:t>
            </w:r>
          </w:p>
        </w:tc>
        <w:tc>
          <w:tcPr>
            <w:tcW w:w="6087" w:type="dxa"/>
            <w:shd w:val="clear" w:color="auto" w:fill="auto"/>
            <w:vAlign w:val="center"/>
          </w:tcPr>
          <w:p w14:paraId="66C77036">
            <w:pPr>
              <w:spacing w:line="380" w:lineRule="exact"/>
              <w:ind w:firstLine="0" w:firstLineChars="0"/>
              <w:jc w:val="center"/>
              <w:rPr>
                <w:rFonts w:ascii="宋体" w:hAnsi="宋体"/>
                <w:b/>
                <w:color w:val="auto"/>
                <w:kern w:val="21"/>
                <w:sz w:val="21"/>
                <w:szCs w:val="21"/>
                <w:highlight w:val="none"/>
              </w:rPr>
            </w:pPr>
            <w:r>
              <w:rPr>
                <w:rFonts w:hint="eastAsia" w:ascii="宋体" w:hAnsi="宋体"/>
                <w:b/>
                <w:color w:val="auto"/>
                <w:kern w:val="21"/>
                <w:sz w:val="21"/>
                <w:szCs w:val="21"/>
                <w:highlight w:val="none"/>
              </w:rPr>
              <w:t>服务内容</w:t>
            </w:r>
          </w:p>
        </w:tc>
        <w:tc>
          <w:tcPr>
            <w:tcW w:w="567" w:type="dxa"/>
            <w:shd w:val="clear" w:color="auto" w:fill="auto"/>
            <w:vAlign w:val="center"/>
          </w:tcPr>
          <w:p w14:paraId="0C28B577">
            <w:pPr>
              <w:spacing w:line="380" w:lineRule="exact"/>
              <w:ind w:firstLine="0" w:firstLineChars="0"/>
              <w:jc w:val="center"/>
              <w:rPr>
                <w:rFonts w:ascii="宋体" w:hAnsi="宋体"/>
                <w:b/>
                <w:color w:val="auto"/>
                <w:kern w:val="21"/>
                <w:sz w:val="21"/>
                <w:szCs w:val="21"/>
                <w:highlight w:val="none"/>
              </w:rPr>
            </w:pPr>
            <w:r>
              <w:rPr>
                <w:rFonts w:hint="eastAsia" w:ascii="宋体" w:hAnsi="宋体"/>
                <w:b/>
                <w:color w:val="auto"/>
                <w:kern w:val="21"/>
                <w:sz w:val="21"/>
                <w:szCs w:val="21"/>
                <w:highlight w:val="none"/>
              </w:rPr>
              <w:t>数量</w:t>
            </w:r>
          </w:p>
        </w:tc>
        <w:tc>
          <w:tcPr>
            <w:tcW w:w="567" w:type="dxa"/>
            <w:shd w:val="clear" w:color="auto" w:fill="auto"/>
            <w:vAlign w:val="center"/>
          </w:tcPr>
          <w:p w14:paraId="10C654A6">
            <w:pPr>
              <w:spacing w:line="380" w:lineRule="exact"/>
              <w:ind w:firstLine="0" w:firstLineChars="0"/>
              <w:jc w:val="center"/>
              <w:rPr>
                <w:rFonts w:ascii="宋体" w:hAnsi="宋体"/>
                <w:b/>
                <w:color w:val="auto"/>
                <w:kern w:val="21"/>
                <w:sz w:val="21"/>
                <w:szCs w:val="21"/>
                <w:highlight w:val="none"/>
              </w:rPr>
            </w:pPr>
            <w:r>
              <w:rPr>
                <w:rFonts w:hint="eastAsia" w:ascii="宋体" w:hAnsi="宋体"/>
                <w:b/>
                <w:color w:val="auto"/>
                <w:kern w:val="21"/>
                <w:sz w:val="21"/>
                <w:szCs w:val="21"/>
                <w:highlight w:val="none"/>
              </w:rPr>
              <w:t>单位</w:t>
            </w:r>
          </w:p>
        </w:tc>
        <w:tc>
          <w:tcPr>
            <w:tcW w:w="905" w:type="dxa"/>
            <w:shd w:val="clear" w:color="auto" w:fill="auto"/>
            <w:vAlign w:val="center"/>
          </w:tcPr>
          <w:p w14:paraId="23AA238C">
            <w:pPr>
              <w:spacing w:line="380" w:lineRule="exact"/>
              <w:ind w:firstLine="0" w:firstLineChars="0"/>
              <w:jc w:val="center"/>
              <w:rPr>
                <w:rFonts w:ascii="宋体" w:hAnsi="宋体"/>
                <w:b/>
                <w:color w:val="auto"/>
                <w:kern w:val="21"/>
                <w:sz w:val="21"/>
                <w:szCs w:val="21"/>
                <w:highlight w:val="none"/>
              </w:rPr>
            </w:pPr>
            <w:r>
              <w:rPr>
                <w:rFonts w:hint="eastAsia" w:ascii="宋体" w:hAnsi="宋体"/>
                <w:b/>
                <w:color w:val="auto"/>
                <w:kern w:val="21"/>
                <w:sz w:val="21"/>
                <w:szCs w:val="21"/>
                <w:highlight w:val="none"/>
              </w:rPr>
              <w:t>预算金额（万元）</w:t>
            </w:r>
          </w:p>
        </w:tc>
      </w:tr>
      <w:tr w14:paraId="5240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70" w:type="dxa"/>
            <w:vAlign w:val="center"/>
          </w:tcPr>
          <w:p w14:paraId="3156D1BE">
            <w:pPr>
              <w:spacing w:line="380" w:lineRule="exact"/>
              <w:ind w:firstLine="0" w:firstLineChars="0"/>
              <w:jc w:val="center"/>
              <w:rPr>
                <w:rFonts w:ascii="宋体" w:hAnsi="宋体"/>
                <w:color w:val="auto"/>
                <w:sz w:val="21"/>
                <w:szCs w:val="24"/>
                <w:highlight w:val="none"/>
              </w:rPr>
            </w:pPr>
            <w:r>
              <w:rPr>
                <w:rFonts w:hint="eastAsia" w:ascii="宋体" w:hAnsi="宋体"/>
                <w:color w:val="auto"/>
                <w:sz w:val="21"/>
                <w:szCs w:val="24"/>
                <w:highlight w:val="none"/>
              </w:rPr>
              <w:t>1</w:t>
            </w:r>
          </w:p>
        </w:tc>
        <w:tc>
          <w:tcPr>
            <w:tcW w:w="1034" w:type="dxa"/>
            <w:vAlign w:val="center"/>
          </w:tcPr>
          <w:p w14:paraId="6AB92257">
            <w:pPr>
              <w:spacing w:line="380" w:lineRule="exact"/>
              <w:ind w:firstLine="0" w:firstLineChars="0"/>
              <w:jc w:val="center"/>
              <w:rPr>
                <w:rFonts w:ascii="宋体" w:hAnsi="宋体"/>
                <w:color w:val="auto"/>
                <w:kern w:val="21"/>
                <w:sz w:val="21"/>
                <w:szCs w:val="21"/>
                <w:highlight w:val="none"/>
              </w:rPr>
            </w:pPr>
            <w:r>
              <w:rPr>
                <w:rFonts w:hint="eastAsia" w:ascii="宋体" w:hAnsi="宋体"/>
                <w:color w:val="auto"/>
                <w:sz w:val="21"/>
                <w:szCs w:val="24"/>
                <w:highlight w:val="none"/>
              </w:rPr>
              <w:t>10个小型水站运行维护服务</w:t>
            </w:r>
          </w:p>
        </w:tc>
        <w:tc>
          <w:tcPr>
            <w:tcW w:w="6087" w:type="dxa"/>
            <w:vAlign w:val="center"/>
          </w:tcPr>
          <w:p w14:paraId="5B6745E9">
            <w:pPr>
              <w:adjustRightInd w:val="0"/>
              <w:spacing w:line="340" w:lineRule="exact"/>
              <w:ind w:firstLine="0" w:firstLineChars="0"/>
              <w:rPr>
                <w:rFonts w:ascii="宋体" w:hAnsi="宋体"/>
                <w:b/>
                <w:bCs/>
                <w:color w:val="auto"/>
                <w:sz w:val="21"/>
                <w:szCs w:val="21"/>
                <w:highlight w:val="none"/>
              </w:rPr>
            </w:pPr>
            <w:r>
              <w:rPr>
                <w:rFonts w:hint="eastAsia" w:ascii="宋体" w:hAnsi="宋体"/>
                <w:b/>
                <w:bCs/>
                <w:color w:val="auto"/>
                <w:sz w:val="21"/>
                <w:szCs w:val="21"/>
                <w:highlight w:val="none"/>
              </w:rPr>
              <w:t>（一）水站概况及运行维护内容：</w:t>
            </w:r>
          </w:p>
          <w:p w14:paraId="23F1E179">
            <w:pPr>
              <w:adjustRightInd w:val="0"/>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本次服务项目为对已建成投运的10个小型水质自动监测站（分别位于木龙湖入口、桂湖、榕湖、桃花江徐家村河段壅水坝、穿山公园、文昌桥、南溪河、灵剑溪、芳莲池、道光河）委托运维。其中，6个水质自动站（木龙湖入口、桂湖、榕湖、桃花江徐家村河段壅水坝、穿山公园、文昌桥）配置水温、电导率、pH值、溶解氧、氨氮、化学需氧量、浊度等监测指标；4个水质自动站（南溪河、灵剑溪、芳莲池、道光河）配置水温、电导率、PH、溶解氧、浊度、氨氮、COD、TOC、DOC、SAC等监测指标。水质自动站的正常运行，为应急防控和各项综合决策提供稳定有效的数据。运维内容包括水质自动站所有监测仪器、辅助设备、数据平台等。</w:t>
            </w:r>
          </w:p>
          <w:p w14:paraId="1163B308">
            <w:pPr>
              <w:adjustRightInd w:val="0"/>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桂林市小型水站设备表</w:t>
            </w:r>
          </w:p>
          <w:tbl>
            <w:tblPr>
              <w:tblStyle w:val="45"/>
              <w:tblW w:w="5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6"/>
              <w:gridCol w:w="1985"/>
              <w:gridCol w:w="2410"/>
              <w:gridCol w:w="795"/>
            </w:tblGrid>
            <w:tr w14:paraId="5249B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vAlign w:val="center"/>
                </w:tcPr>
                <w:p w14:paraId="38D7E5BD">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5" w:type="dxa"/>
                  <w:vAlign w:val="center"/>
                </w:tcPr>
                <w:p w14:paraId="4D956777">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设备名称</w:t>
                  </w:r>
                </w:p>
              </w:tc>
              <w:tc>
                <w:tcPr>
                  <w:tcW w:w="2410" w:type="dxa"/>
                  <w:vAlign w:val="center"/>
                </w:tcPr>
                <w:p w14:paraId="77AF17F8">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品牌、型号规格</w:t>
                  </w:r>
                </w:p>
              </w:tc>
              <w:tc>
                <w:tcPr>
                  <w:tcW w:w="795" w:type="dxa"/>
                  <w:vAlign w:val="center"/>
                </w:tcPr>
                <w:p w14:paraId="133779D6">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数量</w:t>
                  </w:r>
                </w:p>
              </w:tc>
            </w:tr>
            <w:tr w14:paraId="68B4E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vAlign w:val="center"/>
                </w:tcPr>
                <w:p w14:paraId="7179C803">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985" w:type="dxa"/>
                  <w:vAlign w:val="center"/>
                </w:tcPr>
                <w:p w14:paraId="67FB1AD7">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电导率、温度分析仪</w:t>
                  </w:r>
                </w:p>
              </w:tc>
              <w:tc>
                <w:tcPr>
                  <w:tcW w:w="2410" w:type="dxa"/>
                  <w:vAlign w:val="center"/>
                </w:tcPr>
                <w:p w14:paraId="27419EC5">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赛莱默、TetraCon700IQ</w:t>
                  </w:r>
                </w:p>
              </w:tc>
              <w:tc>
                <w:tcPr>
                  <w:tcW w:w="795" w:type="dxa"/>
                  <w:vAlign w:val="center"/>
                </w:tcPr>
                <w:p w14:paraId="1B74BE4A">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10套</w:t>
                  </w:r>
                </w:p>
              </w:tc>
            </w:tr>
            <w:tr w14:paraId="6B3CC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vAlign w:val="center"/>
                </w:tcPr>
                <w:p w14:paraId="7EB807EA">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985" w:type="dxa"/>
                  <w:vAlign w:val="center"/>
                </w:tcPr>
                <w:p w14:paraId="7514935E">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pH分析仪</w:t>
                  </w:r>
                </w:p>
              </w:tc>
              <w:tc>
                <w:tcPr>
                  <w:tcW w:w="2410" w:type="dxa"/>
                  <w:vAlign w:val="center"/>
                </w:tcPr>
                <w:p w14:paraId="316664A0">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赛莱默、SensoLyt700IQ</w:t>
                  </w:r>
                </w:p>
              </w:tc>
              <w:tc>
                <w:tcPr>
                  <w:tcW w:w="795" w:type="dxa"/>
                  <w:vAlign w:val="center"/>
                </w:tcPr>
                <w:p w14:paraId="402F221F">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10套</w:t>
                  </w:r>
                </w:p>
              </w:tc>
            </w:tr>
            <w:tr w14:paraId="5B392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vAlign w:val="center"/>
                </w:tcPr>
                <w:p w14:paraId="16310557">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985" w:type="dxa"/>
                  <w:vAlign w:val="center"/>
                </w:tcPr>
                <w:p w14:paraId="71A68BAE">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溶解氧分析仪</w:t>
                  </w:r>
                </w:p>
              </w:tc>
              <w:tc>
                <w:tcPr>
                  <w:tcW w:w="2410" w:type="dxa"/>
                  <w:vAlign w:val="center"/>
                </w:tcPr>
                <w:p w14:paraId="1D499171">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赛莱默、SC FDO 700</w:t>
                  </w:r>
                </w:p>
              </w:tc>
              <w:tc>
                <w:tcPr>
                  <w:tcW w:w="795" w:type="dxa"/>
                  <w:vAlign w:val="center"/>
                </w:tcPr>
                <w:p w14:paraId="2A5D6003">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10套</w:t>
                  </w:r>
                </w:p>
              </w:tc>
            </w:tr>
            <w:tr w14:paraId="4A859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vAlign w:val="center"/>
                </w:tcPr>
                <w:p w14:paraId="3A0AA8D1">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985" w:type="dxa"/>
                  <w:vAlign w:val="center"/>
                </w:tcPr>
                <w:p w14:paraId="45FB2DD8">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浊度分析仪</w:t>
                  </w:r>
                </w:p>
              </w:tc>
              <w:tc>
                <w:tcPr>
                  <w:tcW w:w="2410" w:type="dxa"/>
                  <w:vAlign w:val="center"/>
                </w:tcPr>
                <w:p w14:paraId="501AA217">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赛莱默、VisoTurb700IQ</w:t>
                  </w:r>
                </w:p>
              </w:tc>
              <w:tc>
                <w:tcPr>
                  <w:tcW w:w="795" w:type="dxa"/>
                  <w:vAlign w:val="center"/>
                </w:tcPr>
                <w:p w14:paraId="28C93867">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10套</w:t>
                  </w:r>
                </w:p>
              </w:tc>
            </w:tr>
            <w:tr w14:paraId="1E9F4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vAlign w:val="center"/>
                </w:tcPr>
                <w:p w14:paraId="031AF791">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985" w:type="dxa"/>
                  <w:vAlign w:val="center"/>
                </w:tcPr>
                <w:p w14:paraId="3C982BD9">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氨氮分析仪</w:t>
                  </w:r>
                </w:p>
              </w:tc>
              <w:tc>
                <w:tcPr>
                  <w:tcW w:w="2410" w:type="dxa"/>
                  <w:vAlign w:val="center"/>
                </w:tcPr>
                <w:p w14:paraId="34D70A30">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赛莱默、AmmoLyt+</w:t>
                  </w:r>
                </w:p>
              </w:tc>
              <w:tc>
                <w:tcPr>
                  <w:tcW w:w="795" w:type="dxa"/>
                  <w:vAlign w:val="center"/>
                </w:tcPr>
                <w:p w14:paraId="38AEA290">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10套</w:t>
                  </w:r>
                </w:p>
              </w:tc>
            </w:tr>
            <w:tr w14:paraId="7AF74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vAlign w:val="center"/>
                </w:tcPr>
                <w:p w14:paraId="5E8BDE41">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985" w:type="dxa"/>
                  <w:vAlign w:val="center"/>
                </w:tcPr>
                <w:p w14:paraId="36DA48FE">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COD分析仪</w:t>
                  </w:r>
                </w:p>
              </w:tc>
              <w:tc>
                <w:tcPr>
                  <w:tcW w:w="2410" w:type="dxa"/>
                  <w:vAlign w:val="center"/>
                </w:tcPr>
                <w:p w14:paraId="6F2F08E5">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赛莱默、CarboVis705IQ</w:t>
                  </w:r>
                </w:p>
              </w:tc>
              <w:tc>
                <w:tcPr>
                  <w:tcW w:w="795" w:type="dxa"/>
                  <w:vAlign w:val="center"/>
                </w:tcPr>
                <w:p w14:paraId="7A75241C">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6套</w:t>
                  </w:r>
                </w:p>
              </w:tc>
            </w:tr>
            <w:tr w14:paraId="62F55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vAlign w:val="center"/>
                </w:tcPr>
                <w:p w14:paraId="7C7E952B">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985" w:type="dxa"/>
                  <w:vAlign w:val="center"/>
                </w:tcPr>
                <w:p w14:paraId="1F2D92D3">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COD、TOC、DOC、SAC分析仪</w:t>
                  </w:r>
                </w:p>
              </w:tc>
              <w:tc>
                <w:tcPr>
                  <w:tcW w:w="2410" w:type="dxa"/>
                  <w:vAlign w:val="center"/>
                </w:tcPr>
                <w:p w14:paraId="32667A66">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赛莱默、CarboVis705IQ</w:t>
                  </w:r>
                </w:p>
              </w:tc>
              <w:tc>
                <w:tcPr>
                  <w:tcW w:w="795" w:type="dxa"/>
                  <w:vAlign w:val="center"/>
                </w:tcPr>
                <w:p w14:paraId="20727B6A">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4套</w:t>
                  </w:r>
                </w:p>
              </w:tc>
            </w:tr>
            <w:tr w14:paraId="4F473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vAlign w:val="center"/>
                </w:tcPr>
                <w:p w14:paraId="79C86229">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985" w:type="dxa"/>
                  <w:vAlign w:val="center"/>
                </w:tcPr>
                <w:p w14:paraId="176AADB7">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数据采集系统</w:t>
                  </w:r>
                </w:p>
              </w:tc>
              <w:tc>
                <w:tcPr>
                  <w:tcW w:w="2410" w:type="dxa"/>
                  <w:vAlign w:val="center"/>
                </w:tcPr>
                <w:p w14:paraId="729711D4">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赛莱默、MIQ/JB MIQ/PS MIQ/TC 2020 3G</w:t>
                  </w:r>
                </w:p>
              </w:tc>
              <w:tc>
                <w:tcPr>
                  <w:tcW w:w="795" w:type="dxa"/>
                  <w:vAlign w:val="center"/>
                </w:tcPr>
                <w:p w14:paraId="2893F5BE">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10套</w:t>
                  </w:r>
                </w:p>
              </w:tc>
            </w:tr>
            <w:tr w14:paraId="66104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vAlign w:val="center"/>
                </w:tcPr>
                <w:p w14:paraId="7A8C4371">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985" w:type="dxa"/>
                  <w:vAlign w:val="center"/>
                </w:tcPr>
                <w:p w14:paraId="72044401">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网络系统NPEX500</w:t>
                  </w:r>
                </w:p>
              </w:tc>
              <w:tc>
                <w:tcPr>
                  <w:tcW w:w="2410" w:type="dxa"/>
                  <w:vAlign w:val="center"/>
                </w:tcPr>
                <w:p w14:paraId="28B1C13E">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赛莱默、STANDARD-3G</w:t>
                  </w:r>
                </w:p>
              </w:tc>
              <w:tc>
                <w:tcPr>
                  <w:tcW w:w="795" w:type="dxa"/>
                  <w:vAlign w:val="center"/>
                </w:tcPr>
                <w:p w14:paraId="464F2A22">
                  <w:pPr>
                    <w:adjustRightInd w:val="0"/>
                    <w:spacing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10套</w:t>
                  </w:r>
                </w:p>
              </w:tc>
            </w:tr>
            <w:tr w14:paraId="57D05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vAlign w:val="center"/>
                </w:tcPr>
                <w:p w14:paraId="534C5F84">
                  <w:pPr>
                    <w:adjustRightInd w:val="0"/>
                    <w:spacing w:line="340" w:lineRule="exact"/>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10</w:t>
                  </w:r>
                </w:p>
              </w:tc>
              <w:tc>
                <w:tcPr>
                  <w:tcW w:w="1985" w:type="dxa"/>
                  <w:vAlign w:val="center"/>
                </w:tcPr>
                <w:p w14:paraId="172FDB39">
                  <w:pPr>
                    <w:adjustRightInd w:val="0"/>
                    <w:spacing w:line="340" w:lineRule="exact"/>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小型水站平台</w:t>
                  </w:r>
                </w:p>
              </w:tc>
              <w:tc>
                <w:tcPr>
                  <w:tcW w:w="2410" w:type="dxa"/>
                  <w:vAlign w:val="center"/>
                </w:tcPr>
                <w:p w14:paraId="4A0B443D">
                  <w:pPr>
                    <w:adjustRightInd w:val="0"/>
                    <w:spacing w:line="340" w:lineRule="exact"/>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Skyland.OLMV1.0</w:t>
                  </w:r>
                </w:p>
              </w:tc>
              <w:tc>
                <w:tcPr>
                  <w:tcW w:w="795" w:type="dxa"/>
                  <w:vAlign w:val="center"/>
                </w:tcPr>
                <w:p w14:paraId="7B7AD374">
                  <w:pPr>
                    <w:adjustRightInd w:val="0"/>
                    <w:spacing w:line="340" w:lineRule="exact"/>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套</w:t>
                  </w:r>
                </w:p>
              </w:tc>
            </w:tr>
          </w:tbl>
          <w:p w14:paraId="196F4DCA">
            <w:pPr>
              <w:autoSpaceDE w:val="0"/>
              <w:autoSpaceDN w:val="0"/>
              <w:adjustRightInd w:val="0"/>
              <w:spacing w:line="340" w:lineRule="exact"/>
              <w:ind w:firstLine="0" w:firstLineChars="0"/>
              <w:rPr>
                <w:rFonts w:ascii="宋体" w:hAnsi="宋体"/>
                <w:b/>
                <w:bCs/>
                <w:color w:val="auto"/>
                <w:sz w:val="21"/>
                <w:szCs w:val="21"/>
                <w:highlight w:val="none"/>
              </w:rPr>
            </w:pPr>
            <w:r>
              <w:rPr>
                <w:rFonts w:hint="eastAsia" w:ascii="宋体" w:hAnsi="宋体"/>
                <w:b/>
                <w:bCs/>
                <w:color w:val="auto"/>
                <w:sz w:val="21"/>
                <w:szCs w:val="21"/>
                <w:highlight w:val="none"/>
              </w:rPr>
              <w:t>1.具体内容</w:t>
            </w:r>
          </w:p>
          <w:p w14:paraId="5E080B8F">
            <w:pPr>
              <w:autoSpaceDE w:val="0"/>
              <w:autoSpaceDN w:val="0"/>
              <w:adjustRightInd w:val="0"/>
              <w:spacing w:line="340" w:lineRule="exact"/>
              <w:ind w:firstLine="0" w:firstLineChars="0"/>
              <w:rPr>
                <w:rFonts w:ascii="宋体" w:hAnsi="宋体"/>
                <w:b/>
                <w:bCs/>
                <w:color w:val="auto"/>
                <w:sz w:val="21"/>
                <w:szCs w:val="21"/>
                <w:highlight w:val="none"/>
              </w:rPr>
            </w:pPr>
            <w:r>
              <w:rPr>
                <w:rFonts w:hint="eastAsia" w:ascii="宋体" w:hAnsi="宋体"/>
                <w:b/>
                <w:bCs/>
                <w:color w:val="auto"/>
                <w:sz w:val="21"/>
                <w:szCs w:val="21"/>
                <w:highlight w:val="none"/>
              </w:rPr>
              <w:t>1.1水质自动监测系统的运维管理内容</w:t>
            </w:r>
          </w:p>
          <w:p w14:paraId="75B04A3B">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1.1.1 定期更换水质自动站仪表所需耗材。</w:t>
            </w:r>
          </w:p>
          <w:p w14:paraId="071CBF1C">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1.1.2 定期更换水质自动站系统和仪表所需备品备件。</w:t>
            </w:r>
          </w:p>
          <w:p w14:paraId="74DC4A71">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1.1.3 对水质自动站系统和仪表进行定期检修、保养。</w:t>
            </w:r>
          </w:p>
          <w:p w14:paraId="4220D6DF">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1.1.4 及时报告并排除水质自动站系统和仪表出现的故障。</w:t>
            </w:r>
          </w:p>
          <w:p w14:paraId="00E012BD">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1.1.5 配合采购人进行水质自动站质量保证和质量质控工作，并由供应商承担相应费用。</w:t>
            </w:r>
          </w:p>
          <w:p w14:paraId="2F3B9B74">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1.1.6 随时接受采购人的工作考核及质量考核，并由供应商承担相应费用。</w:t>
            </w:r>
          </w:p>
          <w:p w14:paraId="1CC76CDD">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1.1.7 保证监测站外观清洁，整齐，确保辅助设施可正常运行。</w:t>
            </w:r>
          </w:p>
          <w:p w14:paraId="29A81059">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1.1.8 认真、及时做好维护记录，汇总各水质自动站维护记录，每月将自动监测站维护记录整理好并以电子版形式报采购人，维护记录及电子版报告均作为运行维护考核依据，具体包括：</w:t>
            </w:r>
          </w:p>
          <w:p w14:paraId="2F87EF0D">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①自动站每日运行数据报表统计。</w:t>
            </w:r>
          </w:p>
          <w:p w14:paraId="0CEA9736">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②自动站现场维护记录（值班记录表、维护记录包括：巡检记录表、周核查记录表、校准记录表、配件耗材更换记录表、设备维修记录、试剂领用记录表、水站异常数据记录表等）。</w:t>
            </w:r>
          </w:p>
          <w:p w14:paraId="1EB7A768">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③自动站仪器设备故障及排除情况登记表。</w:t>
            </w:r>
          </w:p>
          <w:p w14:paraId="069E0622">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④自动站每月运行情况、每月数据有效情况。</w:t>
            </w:r>
          </w:p>
          <w:p w14:paraId="775DEACD">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⑤自动站备品备件管理登记表。</w:t>
            </w:r>
          </w:p>
          <w:p w14:paraId="6905B59D">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1.2 在运行维护及管理期间，供应商必须遵守国家的有关法律法规及其他规定，本着为采购人负责的精神，依照规范，科学管理，使各监测监控系统运行达到国家、自治区及行业颁布的技术标准和采购人要求的考核指标要求；使水质自动监测系统运行真正发挥其效能和作用。</w:t>
            </w:r>
          </w:p>
          <w:p w14:paraId="1B15494A">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1.3 供应商负责运维期间所需水、电、通讯费用及场地租赁费。负责运行维护期间水、电、通讯等故障维修，保证其畅通。</w:t>
            </w:r>
          </w:p>
          <w:p w14:paraId="1AA95C06">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1.4 做好水质自动站固定资产的管理、备品配件的登记等工作，并备份给采购人。</w:t>
            </w:r>
          </w:p>
          <w:p w14:paraId="6E3C183C">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 xml:space="preserve">1.5 </w:t>
            </w:r>
            <w:r>
              <w:rPr>
                <w:rFonts w:hint="eastAsia" w:ascii="宋体" w:hAnsi="宋体"/>
                <w:color w:val="auto"/>
                <w:sz w:val="21"/>
                <w:szCs w:val="21"/>
                <w:highlight w:val="none"/>
                <w:lang w:eastAsia="zh-CN"/>
              </w:rPr>
              <w:t>供应商应自行</w:t>
            </w:r>
            <w:r>
              <w:rPr>
                <w:rFonts w:hint="eastAsia" w:ascii="宋体" w:hAnsi="宋体"/>
                <w:color w:val="auto"/>
                <w:sz w:val="21"/>
                <w:szCs w:val="21"/>
                <w:highlight w:val="none"/>
              </w:rPr>
              <w:t>积极参加各类相关技术培训班，加强业务学习，不断提高业务能力和水平；定期接受采购人的工作考核和质控考核。</w:t>
            </w:r>
          </w:p>
          <w:p w14:paraId="127AAFA2">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1.6 按照</w:t>
            </w:r>
            <w:r>
              <w:rPr>
                <w:rFonts w:hint="eastAsia" w:ascii="宋体" w:hAnsi="宋体" w:cs="宋体"/>
                <w:color w:val="auto"/>
                <w:sz w:val="21"/>
                <w:szCs w:val="21"/>
                <w:highlight w:val="none"/>
              </w:rPr>
              <w:t>《地表水水质自动监测站（常规五参数、CODMn、NH3⁃N、TP、TN）运行维护技术规范》（HJ.915.3-2024）</w:t>
            </w:r>
            <w:r>
              <w:rPr>
                <w:rFonts w:hint="eastAsia" w:ascii="宋体" w:hAnsi="宋体"/>
                <w:color w:val="auto"/>
                <w:sz w:val="21"/>
                <w:szCs w:val="21"/>
                <w:highlight w:val="none"/>
              </w:rPr>
              <w:t>、《地表水水质自动监测站运行维护技术要求（试行）》（总站水字〔2019〕649号）、仪器操作手册及其他相关技术规范要求对水质自动站进行管理。如在合同期间国家或自治区出台新技术规范，按新技术规范要求进行维护管理。</w:t>
            </w:r>
          </w:p>
          <w:p w14:paraId="07B09AD1">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1.7 提供每月（或每周）具体工作计划及质量保证措施。</w:t>
            </w:r>
          </w:p>
          <w:p w14:paraId="1D3009E9">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1.8 按照采购人的要求传输实时数据至指定地址。</w:t>
            </w:r>
          </w:p>
          <w:p w14:paraId="56F8FC25">
            <w:pPr>
              <w:autoSpaceDE w:val="0"/>
              <w:autoSpaceDN w:val="0"/>
              <w:adjustRightInd w:val="0"/>
              <w:spacing w:line="340" w:lineRule="exact"/>
              <w:ind w:firstLine="0" w:firstLineChars="0"/>
              <w:rPr>
                <w:rFonts w:ascii="宋体" w:hAnsi="宋体"/>
                <w:b/>
                <w:bCs/>
                <w:color w:val="auto"/>
                <w:sz w:val="21"/>
                <w:szCs w:val="21"/>
                <w:highlight w:val="none"/>
              </w:rPr>
            </w:pPr>
            <w:r>
              <w:rPr>
                <w:rFonts w:hint="eastAsia" w:ascii="宋体" w:hAnsi="宋体"/>
                <w:b/>
                <w:bCs/>
                <w:color w:val="auto"/>
                <w:sz w:val="21"/>
                <w:szCs w:val="21"/>
                <w:highlight w:val="none"/>
              </w:rPr>
              <w:t>2. 水质自动监测仪器维护内容</w:t>
            </w:r>
          </w:p>
          <w:p w14:paraId="28EE02BE">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2.1 系统日常维护与保养</w:t>
            </w:r>
          </w:p>
          <w:p w14:paraId="4DEBEAB2">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2.1.1每天对单个水质自动站整个系统进行远程监控检查，通过宏观检查各仪器运行的状况。每周现场检查设备运行情况，并及时清洁维护系统设备及耗材更换，并在现场手动运行系统，至少观察系统运行一个完整的周期，检查整个系统运行状况，及时处理并记录运行过程中存在的各类问题。通过每日监控、每周巡查，确保仪器设备和系统处于正常的运行状况。</w:t>
            </w:r>
          </w:p>
          <w:p w14:paraId="6E9786ED">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2.1.2每天对中心软件运行情况、监测数据进行检查。8:00—23:30，专人负责通过数据平台对监测仪器状态实施监控。监控时段内仪器故障发现时间不得超过1小时，非监控时段内仪器故障发现时间不得晚于次日8:30。</w:t>
            </w:r>
          </w:p>
          <w:p w14:paraId="46203140">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2.1.3根据采购人的工作要求，开展软件维护、子站巡检、故障排查及处理、仪器核查及校准、配件耗材更换、环境勘察、数据监控等工作，接到工作任务后须及时响应，远程不能解决须1小时内到达现场处理，如遇水质异常应急事件必须1小时内到达现场。</w:t>
            </w:r>
          </w:p>
          <w:p w14:paraId="5C0E4787">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2.1.4各子站现场巡检包括临时巡检和定期巡检，临时巡检或定期巡检期间的交通工具由供应商负责。临时巡检安排在节假日、领导参观、质控考核前，以及应急事故发生期间；定期巡检每周不少于1次。巡检中发现问题须及时记录、及时报告、及时解决。</w:t>
            </w:r>
          </w:p>
          <w:p w14:paraId="2ADAF9BC">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2.1.5定期巡检内容包括： </w:t>
            </w:r>
          </w:p>
          <w:p w14:paraId="2DAB6628">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①检查机柜内部环境：温度20-30℃、湿度≤60%、清洁卫生是否合格。</w:t>
            </w:r>
          </w:p>
          <w:p w14:paraId="237AE39A">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②检查机柜内部设施和设备：供电系统、供水系统、防雷系统、通讯系统、照明系统、抽排水管是否异常，并维护保养。</w:t>
            </w:r>
          </w:p>
          <w:p w14:paraId="3C7A40F8">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③检查监测站外部设施：采样管路是否异常，并维护保养。</w:t>
            </w:r>
          </w:p>
          <w:p w14:paraId="391B4283">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④检查仪器设备：采水系统、配水系统、监测系统、数据采集系统、是否异常，并维护保养。</w:t>
            </w:r>
          </w:p>
          <w:p w14:paraId="65D35BF4">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⑤耗材更换。</w:t>
            </w:r>
          </w:p>
          <w:p w14:paraId="787B7A9A">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⑥现场通讯设备检查；数据库数据备份。</w:t>
            </w:r>
          </w:p>
          <w:p w14:paraId="341B536B">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⑦相关技术规范及仪器使用说明中规定的内容。</w:t>
            </w:r>
          </w:p>
          <w:p w14:paraId="175BF1E3">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2.1.6 不定期巡检参照定期巡检内容执行。</w:t>
            </w:r>
          </w:p>
          <w:p w14:paraId="3D5B45EA">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2.1.7每季度1次各子站设备、软件全面维护。</w:t>
            </w:r>
          </w:p>
          <w:p w14:paraId="7196018A">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2.1.8年度系统维护：</w:t>
            </w:r>
          </w:p>
          <w:p w14:paraId="22C5FBAD">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①每年按相关技术规范及仪器使用说明书要求对系统进行一次预防性检修。</w:t>
            </w:r>
          </w:p>
          <w:p w14:paraId="2054EF18">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②每年按相关技术规范及仪器使用说明书的要求对系统进行一次性能审核。</w:t>
            </w:r>
          </w:p>
          <w:p w14:paraId="75653DFD">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③每年刻录一张各子站数据备份光盘。</w:t>
            </w:r>
          </w:p>
          <w:p w14:paraId="4807FDAF">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④每年对采样浮筒进行一次彻底清理。</w:t>
            </w:r>
          </w:p>
          <w:p w14:paraId="759BF644">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2.1.9供应商应建立一系列运维服务记录，每月10日前上交存档。采购人可随时抽查记录内容，供应商须及时提供，不得阻挠、拖延、伪造。所有记录须字体清晰内容明确，不得随意涂改。</w:t>
            </w:r>
          </w:p>
          <w:p w14:paraId="7B438AC8">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2.1.10具体的现场巡检内容、系统维护内容、系统维修程序等由供应商自行制定后报采购人审查通过才能正式使用；各类记录表格由采购人提供模板，供应商按规范填写。</w:t>
            </w:r>
          </w:p>
          <w:p w14:paraId="69301310">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2.2 运行状态监控</w:t>
            </w:r>
          </w:p>
          <w:p w14:paraId="7458491E">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2.2.1专人负责通过数据平台对监测仪器状态实施监控。监控时段内仪器故障发现时间不得超过1小时。</w:t>
            </w:r>
          </w:p>
          <w:p w14:paraId="79F9EAD9">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2.2.2 发现数据异常（监测数据缺失、数据突然变大或变小、数据超出历史地表水最高等级标准限值等）、仪器故障后须及时通知立即派人现场处理。</w:t>
            </w:r>
          </w:p>
          <w:p w14:paraId="03B376DB">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2.3 系统故障维修</w:t>
            </w:r>
          </w:p>
          <w:p w14:paraId="16E351F4">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2.3.1子站仪器、设备出现故障，供应商必须1小时内赶赴现场对事故进行处理并恢复正常运行。如遇水质污染应急事件，必须1小时内到达现场。</w:t>
            </w:r>
          </w:p>
          <w:p w14:paraId="29CBBF6E">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2.4耗材更换</w:t>
            </w:r>
          </w:p>
          <w:p w14:paraId="087BA4DF">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2.4.1供应商自行采购所有耗材及仪器故障时所需更换的配件，仪器配件要求为原厂合格的配件【原系统设备名称：基于物联网技术的环境监测探测终端（型号：GreenBOX2）；智慧综合管理平台软件（型号：Skyland.OLM V1.0）】，更换后记录在相应记录表中。</w:t>
            </w:r>
          </w:p>
          <w:p w14:paraId="0A70C48C">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2.4.2 系统耗材更换的项目严格按仪器使用说明书进行，频次根据耗材的实际使用情况更新，更换频次参照《地表水水质自动监测站（常规五参数、CODMn、NH3⁃N、TP、TN）运行维护技术规范》（HJ.915.3-2024 ）、《地表水水质自动监测站运行维护技术要求（试行）》（总站水字〔2019〕649号）及仪器使用说明书的相关规定。</w:t>
            </w:r>
          </w:p>
          <w:p w14:paraId="2330F7EB">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2.5 内部管理</w:t>
            </w:r>
          </w:p>
          <w:p w14:paraId="28A3A9AC">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2.5.1供应商须严格按照国家、自治区相关要求制订系统维护管理、维修的操作规范和内部管理的规章制度，规范系统现场运行维护和仪器、设备维修操作及供应商的内部管理。</w:t>
            </w:r>
          </w:p>
          <w:p w14:paraId="29B0E0E9">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2.5.2供应商须对各子站建立专人负责制，按照有关要求建立QA/QC 保证体系，制定日常维护、保养、维修规程，建立日常运行记录和设备台账，接受采购人或采购人委托的第三方机构的监督、检查和考核。</w:t>
            </w:r>
          </w:p>
          <w:p w14:paraId="01B111AE">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2.5.3 供应商须根据系统仪器、设备的构成情况配备技术人员，确保每种仪器、设备都具备维护管理和维修人员。</w:t>
            </w:r>
          </w:p>
          <w:p w14:paraId="00FFFB2F">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2.5.4 供应商须对每个系统维护管理及维修人员配备专用维护维修工具和通讯调试工具，确保现场维护管理及维修的顺利实施。</w:t>
            </w:r>
          </w:p>
          <w:p w14:paraId="7753EBAD">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2.6工作记录与报告</w:t>
            </w:r>
          </w:p>
          <w:p w14:paraId="6985461F">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2.6.1 供应商在系统维护管理及仪器、设备的维修过程中，须按照《地表水水质自动监测站（常规五参数、CODMn、NH3⁃N、TP、TN）运行维护技术规范》（HJ.915.3-2024 ）、《地表水水质自动监测站运行维护技术要求（试行）》（总站水字〔2019〕649号）和采购人的要求填写巡检记录、质控记录、仪器设备维护、维修记录、自检等原始记录，并经现场技术人员签字认可。</w:t>
            </w:r>
          </w:p>
          <w:p w14:paraId="38E01138">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2.6.2 所有的现场记录电子版次月10日前移交给采购人存档备案，并做月度维护总结。</w:t>
            </w:r>
          </w:p>
          <w:p w14:paraId="070151C9">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2.6.3 每次仪器、设备维修后一周内向</w:t>
            </w:r>
            <w:r>
              <w:rPr>
                <w:rFonts w:hint="eastAsia" w:ascii="宋体" w:hAnsi="宋体" w:cs="宋体"/>
                <w:color w:val="auto"/>
                <w:kern w:val="0"/>
                <w:sz w:val="21"/>
                <w:szCs w:val="21"/>
                <w:highlight w:val="none"/>
              </w:rPr>
              <w:t>采购人</w:t>
            </w:r>
            <w:r>
              <w:rPr>
                <w:rFonts w:hint="eastAsia" w:ascii="宋体" w:hAnsi="宋体"/>
                <w:color w:val="auto"/>
                <w:sz w:val="21"/>
                <w:szCs w:val="21"/>
                <w:highlight w:val="none"/>
              </w:rPr>
              <w:t>提交一份维修报告及维修后性能核查报告。</w:t>
            </w:r>
          </w:p>
          <w:p w14:paraId="58AB4796">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2.7采用间歇测定情况下（30分钟/次），所有项目监测数据至少每天保证有48组有效数据，每周保证至少有5天有效数据。</w:t>
            </w:r>
          </w:p>
          <w:p w14:paraId="3DE62ED8">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3.设有专门的用户反馈系统，方便采购人问题咨询与投诉。</w:t>
            </w:r>
          </w:p>
          <w:p w14:paraId="429FD6C8">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4.</w:t>
            </w:r>
            <w:r>
              <w:rPr>
                <w:rFonts w:hint="eastAsia" w:ascii="宋体" w:hAnsi="宋体"/>
                <w:b/>
                <w:bCs/>
                <w:color w:val="auto"/>
                <w:sz w:val="21"/>
                <w:szCs w:val="21"/>
                <w:highlight w:val="none"/>
              </w:rPr>
              <w:t>具体运营维护工作计划及目标要求详见“附表1”、 水质监测自动站定期运行维护主要内容要求详见“附表2”</w:t>
            </w:r>
            <w:r>
              <w:rPr>
                <w:rFonts w:hint="eastAsia" w:ascii="宋体" w:hAnsi="宋体"/>
                <w:color w:val="auto"/>
                <w:sz w:val="21"/>
                <w:szCs w:val="21"/>
                <w:highlight w:val="none"/>
              </w:rPr>
              <w:t>。</w:t>
            </w:r>
          </w:p>
          <w:p w14:paraId="08FF86FC">
            <w:pPr>
              <w:autoSpaceDE w:val="0"/>
              <w:autoSpaceDN w:val="0"/>
              <w:adjustRightInd w:val="0"/>
              <w:spacing w:line="340" w:lineRule="exact"/>
              <w:ind w:firstLine="0" w:firstLineChars="0"/>
              <w:rPr>
                <w:rFonts w:ascii="宋体" w:hAnsi="宋体"/>
                <w:b/>
                <w:bCs/>
                <w:color w:val="auto"/>
                <w:sz w:val="21"/>
                <w:szCs w:val="21"/>
                <w:highlight w:val="none"/>
              </w:rPr>
            </w:pPr>
            <w:r>
              <w:rPr>
                <w:rFonts w:hint="eastAsia" w:ascii="宋体" w:hAnsi="宋体"/>
                <w:b/>
                <w:bCs/>
                <w:color w:val="auto"/>
                <w:sz w:val="21"/>
                <w:szCs w:val="21"/>
                <w:highlight w:val="none"/>
              </w:rPr>
              <w:t>（二）运维机构、人员要求</w:t>
            </w:r>
          </w:p>
          <w:p w14:paraId="4DEA1A3B">
            <w:pPr>
              <w:snapToGrid w:val="0"/>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1.总体要求</w:t>
            </w:r>
          </w:p>
          <w:p w14:paraId="28FD3B7A">
            <w:pPr>
              <w:snapToGrid w:val="0"/>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（1）</w:t>
            </w:r>
            <w:r>
              <w:rPr>
                <w:rFonts w:hint="eastAsia" w:ascii="宋体" w:hAnsi="宋体"/>
                <w:color w:val="auto"/>
                <w:sz w:val="21"/>
                <w:szCs w:val="21"/>
                <w:highlight w:val="none"/>
              </w:rPr>
              <w:t>供应商</w:t>
            </w:r>
            <w:r>
              <w:rPr>
                <w:rFonts w:hint="eastAsia" w:ascii="宋体" w:hAnsi="宋体"/>
                <w:bCs/>
                <w:color w:val="auto"/>
                <w:sz w:val="21"/>
                <w:szCs w:val="21"/>
                <w:highlight w:val="none"/>
              </w:rPr>
              <w:t>及拟投入人员须接受</w:t>
            </w:r>
            <w:r>
              <w:rPr>
                <w:rFonts w:hint="eastAsia" w:ascii="宋体" w:hAnsi="宋体" w:cs="宋体"/>
                <w:color w:val="auto"/>
                <w:kern w:val="0"/>
                <w:sz w:val="21"/>
                <w:szCs w:val="21"/>
                <w:highlight w:val="none"/>
              </w:rPr>
              <w:t>采购人</w:t>
            </w:r>
            <w:r>
              <w:rPr>
                <w:rFonts w:hint="eastAsia" w:ascii="宋体" w:hAnsi="宋体"/>
                <w:bCs/>
                <w:color w:val="auto"/>
                <w:sz w:val="21"/>
                <w:szCs w:val="21"/>
                <w:highlight w:val="none"/>
              </w:rPr>
              <w:t>的管理。</w:t>
            </w:r>
          </w:p>
          <w:p w14:paraId="15DF7C55">
            <w:pPr>
              <w:snapToGrid w:val="0"/>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（3）</w:t>
            </w:r>
            <w:r>
              <w:rPr>
                <w:rFonts w:hint="eastAsia" w:ascii="宋体" w:hAnsi="宋体"/>
                <w:color w:val="auto"/>
                <w:sz w:val="21"/>
                <w:szCs w:val="21"/>
                <w:highlight w:val="none"/>
              </w:rPr>
              <w:t>供应商</w:t>
            </w:r>
            <w:r>
              <w:rPr>
                <w:rFonts w:hint="eastAsia" w:ascii="宋体" w:hAnsi="宋体"/>
                <w:bCs/>
                <w:color w:val="auto"/>
                <w:sz w:val="21"/>
                <w:szCs w:val="21"/>
                <w:highlight w:val="none"/>
              </w:rPr>
              <w:t>要求具备完善的系统配件供应渠道。</w:t>
            </w:r>
          </w:p>
          <w:p w14:paraId="39B18785">
            <w:pPr>
              <w:snapToGrid w:val="0"/>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（4）在自动监测系统运维及管理期间，不能以任何形式外包合同规定的运行维护任务。</w:t>
            </w:r>
          </w:p>
          <w:p w14:paraId="6AA8CD75">
            <w:pPr>
              <w:snapToGrid w:val="0"/>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（5）</w:t>
            </w:r>
            <w:r>
              <w:rPr>
                <w:rFonts w:hint="eastAsia" w:ascii="宋体" w:hAnsi="宋体"/>
                <w:color w:val="auto"/>
                <w:sz w:val="21"/>
                <w:szCs w:val="21"/>
                <w:highlight w:val="none"/>
              </w:rPr>
              <w:t>供应商</w:t>
            </w:r>
            <w:r>
              <w:rPr>
                <w:rFonts w:hint="eastAsia" w:ascii="宋体" w:hAnsi="宋体"/>
                <w:bCs/>
                <w:color w:val="auto"/>
                <w:sz w:val="21"/>
                <w:szCs w:val="21"/>
                <w:highlight w:val="none"/>
              </w:rPr>
              <w:t>必须承担监测数据的保密责任；</w:t>
            </w:r>
            <w:r>
              <w:rPr>
                <w:rFonts w:hint="eastAsia" w:ascii="宋体" w:hAnsi="宋体"/>
                <w:color w:val="auto"/>
                <w:sz w:val="21"/>
                <w:szCs w:val="21"/>
                <w:highlight w:val="none"/>
              </w:rPr>
              <w:t>供应商</w:t>
            </w:r>
            <w:r>
              <w:rPr>
                <w:rFonts w:hint="eastAsia" w:ascii="宋体" w:hAnsi="宋体"/>
                <w:bCs/>
                <w:color w:val="auto"/>
                <w:sz w:val="21"/>
                <w:szCs w:val="21"/>
                <w:highlight w:val="none"/>
              </w:rPr>
              <w:t>按照采购人的要求，进行报告和传输有关的所有监测数据，在合同履行期间和合同履行完毕后，均不得以任何方式和渠道向外界传递任何监测数据，一经发现，采购人将追究其法律责任。</w:t>
            </w:r>
          </w:p>
          <w:p w14:paraId="68DF0108">
            <w:pPr>
              <w:snapToGrid w:val="0"/>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（6）委托运营维护及管理的全部资产（包括全部产权和建筑物、设备、软件、配套设施、水质自动站和配套监控系统产生的各类数据信息及相关文档资料）属采购人所有。未经采购人同意，</w:t>
            </w:r>
            <w:r>
              <w:rPr>
                <w:rFonts w:hint="eastAsia" w:ascii="宋体" w:hAnsi="宋体"/>
                <w:color w:val="auto"/>
                <w:sz w:val="21"/>
                <w:szCs w:val="21"/>
                <w:highlight w:val="none"/>
              </w:rPr>
              <w:t>供应商</w:t>
            </w:r>
            <w:r>
              <w:rPr>
                <w:rFonts w:hint="eastAsia" w:ascii="宋体" w:hAnsi="宋体"/>
                <w:bCs/>
                <w:color w:val="auto"/>
                <w:sz w:val="21"/>
                <w:szCs w:val="21"/>
                <w:highlight w:val="none"/>
              </w:rPr>
              <w:t>不得以任何方式对各类财产进行出售、抵押或转移。</w:t>
            </w:r>
          </w:p>
          <w:p w14:paraId="4E376F97">
            <w:pPr>
              <w:snapToGrid w:val="0"/>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2.技术能力要求：</w:t>
            </w:r>
          </w:p>
          <w:p w14:paraId="3FC0CBF9">
            <w:pPr>
              <w:autoSpaceDE w:val="0"/>
              <w:autoSpaceDN w:val="0"/>
              <w:adjustRightInd w:val="0"/>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）运维人员配置要求：技术主管至少</w:t>
            </w:r>
            <w:r>
              <w:rPr>
                <w:rFonts w:ascii="宋体" w:hAnsi="宋体"/>
                <w:color w:val="auto"/>
                <w:sz w:val="21"/>
                <w:szCs w:val="21"/>
                <w:highlight w:val="none"/>
              </w:rPr>
              <w:t>1</w:t>
            </w:r>
            <w:r>
              <w:rPr>
                <w:rFonts w:hint="eastAsia" w:ascii="宋体" w:hAnsi="宋体"/>
                <w:color w:val="auto"/>
                <w:sz w:val="21"/>
                <w:szCs w:val="21"/>
                <w:highlight w:val="none"/>
              </w:rPr>
              <w:t>名，现场技术人员至少</w:t>
            </w:r>
            <w:r>
              <w:rPr>
                <w:rFonts w:ascii="宋体" w:hAnsi="宋体"/>
                <w:color w:val="auto"/>
                <w:sz w:val="21"/>
                <w:szCs w:val="21"/>
                <w:highlight w:val="none"/>
              </w:rPr>
              <w:t>1</w:t>
            </w:r>
            <w:r>
              <w:rPr>
                <w:rFonts w:hint="eastAsia" w:ascii="宋体" w:hAnsi="宋体"/>
                <w:color w:val="auto"/>
                <w:sz w:val="21"/>
                <w:szCs w:val="21"/>
                <w:highlight w:val="none"/>
              </w:rPr>
              <w:t>名。供应商拟投入本项目运行维护的相关技术人员必须在签订合同后一个月内通过采购人组织的</w:t>
            </w:r>
            <w:r>
              <w:rPr>
                <w:rFonts w:hint="eastAsia" w:ascii="宋体" w:hAnsi="宋体"/>
                <w:bCs/>
                <w:color w:val="auto"/>
                <w:sz w:val="21"/>
                <w:szCs w:val="21"/>
                <w:highlight w:val="none"/>
              </w:rPr>
              <w:t>水质自动监测领域</w:t>
            </w:r>
            <w:r>
              <w:rPr>
                <w:rFonts w:hint="eastAsia" w:ascii="宋体" w:hAnsi="宋体"/>
                <w:color w:val="auto"/>
                <w:sz w:val="21"/>
                <w:szCs w:val="21"/>
                <w:highlight w:val="none"/>
              </w:rPr>
              <w:t>持证上岗考核上岗考核并取得上岗证。考核不合格者不得单独进行运维工作。</w:t>
            </w:r>
          </w:p>
          <w:p w14:paraId="625DDA4F">
            <w:pPr>
              <w:snapToGrid w:val="0"/>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（2）要求</w:t>
            </w:r>
            <w:r>
              <w:rPr>
                <w:rFonts w:hint="eastAsia" w:ascii="宋体" w:hAnsi="宋体"/>
                <w:color w:val="auto"/>
                <w:sz w:val="21"/>
                <w:szCs w:val="21"/>
                <w:highlight w:val="none"/>
              </w:rPr>
              <w:t>供应商</w:t>
            </w:r>
            <w:r>
              <w:rPr>
                <w:rFonts w:hint="eastAsia" w:ascii="宋体" w:hAnsi="宋体"/>
                <w:bCs/>
                <w:color w:val="auto"/>
                <w:sz w:val="21"/>
                <w:szCs w:val="21"/>
                <w:highlight w:val="none"/>
              </w:rPr>
              <w:t>在项目所在地配备不少于1名专业巡检人员，巡检人员必须配备专用工具，包括便携式电脑、万用表、远程数据查询系统等；同时，还须配备通讯调试工具，包括各种硬件接口线、改线工具、接口调试软件及常用零部件等。</w:t>
            </w:r>
          </w:p>
          <w:p w14:paraId="458CF425">
            <w:pPr>
              <w:snapToGrid w:val="0"/>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（3）为提高运维的效率，弥补仪器发生故障时对监测数据造成的缺失和影响，要求</w:t>
            </w:r>
            <w:r>
              <w:rPr>
                <w:rFonts w:hint="eastAsia" w:ascii="宋体" w:hAnsi="宋体"/>
                <w:color w:val="auto"/>
                <w:sz w:val="21"/>
                <w:szCs w:val="21"/>
                <w:highlight w:val="none"/>
              </w:rPr>
              <w:t>供应商</w:t>
            </w:r>
            <w:r>
              <w:rPr>
                <w:rFonts w:hint="eastAsia" w:ascii="宋体" w:hAnsi="宋体"/>
                <w:bCs/>
                <w:color w:val="auto"/>
                <w:sz w:val="21"/>
                <w:szCs w:val="21"/>
                <w:highlight w:val="none"/>
              </w:rPr>
              <w:t>提供切实可行的解决方案。</w:t>
            </w:r>
          </w:p>
          <w:p w14:paraId="4B7F1B6A">
            <w:pPr>
              <w:spacing w:line="340" w:lineRule="exact"/>
              <w:ind w:firstLine="0" w:firstLineChars="0"/>
              <w:rPr>
                <w:rFonts w:ascii="宋体" w:hAnsi="宋体"/>
                <w:color w:val="auto"/>
                <w:sz w:val="21"/>
                <w:szCs w:val="21"/>
                <w:highlight w:val="none"/>
              </w:rPr>
            </w:pPr>
            <w:r>
              <w:rPr>
                <w:rFonts w:hint="eastAsia" w:ascii="宋体" w:hAnsi="宋体"/>
                <w:bCs/>
                <w:color w:val="auto"/>
                <w:sz w:val="21"/>
                <w:szCs w:val="21"/>
                <w:highlight w:val="none"/>
              </w:rPr>
              <w:t>（4）</w:t>
            </w:r>
            <w:r>
              <w:rPr>
                <w:rFonts w:hint="eastAsia" w:ascii="宋体" w:hAnsi="宋体"/>
                <w:color w:val="auto"/>
                <w:sz w:val="21"/>
                <w:szCs w:val="21"/>
                <w:highlight w:val="none"/>
              </w:rPr>
              <w:t>供应商配备的运维人员要求在签订合同后</w:t>
            </w:r>
            <w:r>
              <w:rPr>
                <w:rFonts w:ascii="宋体" w:hAnsi="宋体"/>
                <w:color w:val="auto"/>
                <w:sz w:val="21"/>
                <w:szCs w:val="21"/>
                <w:highlight w:val="none"/>
              </w:rPr>
              <w:t>1</w:t>
            </w:r>
            <w:r>
              <w:rPr>
                <w:rFonts w:hint="eastAsia" w:ascii="宋体" w:hAnsi="宋体"/>
                <w:color w:val="auto"/>
                <w:sz w:val="21"/>
                <w:szCs w:val="21"/>
                <w:highlight w:val="none"/>
              </w:rPr>
              <w:t>个月内通过采购人组织的</w:t>
            </w:r>
            <w:r>
              <w:rPr>
                <w:rFonts w:hint="eastAsia" w:ascii="宋体" w:hAnsi="宋体"/>
                <w:bCs/>
                <w:color w:val="auto"/>
                <w:sz w:val="21"/>
                <w:szCs w:val="21"/>
                <w:highlight w:val="none"/>
              </w:rPr>
              <w:t>水质自动监测领域</w:t>
            </w:r>
            <w:r>
              <w:rPr>
                <w:rFonts w:hint="eastAsia" w:ascii="宋体" w:hAnsi="宋体"/>
                <w:color w:val="auto"/>
                <w:sz w:val="21"/>
                <w:szCs w:val="21"/>
                <w:highlight w:val="none"/>
              </w:rPr>
              <w:t>持证上岗考核，考核不合格者不得单独进行运维工作。</w:t>
            </w:r>
          </w:p>
          <w:p w14:paraId="664B8187">
            <w:pPr>
              <w:spacing w:line="340" w:lineRule="exact"/>
              <w:ind w:firstLine="0" w:firstLineChars="0"/>
              <w:rPr>
                <w:rFonts w:ascii="宋体" w:hAnsi="宋体"/>
                <w:color w:val="auto"/>
                <w:sz w:val="21"/>
                <w:szCs w:val="21"/>
                <w:highlight w:val="none"/>
              </w:rPr>
            </w:pPr>
            <w:r>
              <w:rPr>
                <w:rFonts w:hint="eastAsia" w:ascii="宋体" w:hAnsi="宋体"/>
                <w:bCs/>
                <w:color w:val="auto"/>
                <w:sz w:val="21"/>
                <w:szCs w:val="21"/>
                <w:highlight w:val="none"/>
              </w:rPr>
              <w:t>（5）</w:t>
            </w:r>
            <w:r>
              <w:rPr>
                <w:rFonts w:hint="eastAsia" w:ascii="宋体" w:hAnsi="宋体"/>
                <w:color w:val="auto"/>
                <w:sz w:val="21"/>
                <w:szCs w:val="21"/>
                <w:highlight w:val="none"/>
              </w:rPr>
              <w:t>合同签订后由采购人或采购人委托的第三方机构组织进行考核，考核</w:t>
            </w:r>
            <w:r>
              <w:rPr>
                <w:rFonts w:hint="eastAsia" w:ascii="宋体" w:hAnsi="宋体"/>
                <w:bCs/>
                <w:color w:val="auto"/>
                <w:sz w:val="21"/>
                <w:szCs w:val="21"/>
                <w:highlight w:val="none"/>
              </w:rPr>
              <w:t>内容</w:t>
            </w:r>
            <w:r>
              <w:rPr>
                <w:rFonts w:hint="eastAsia" w:ascii="宋体" w:hAnsi="宋体"/>
                <w:color w:val="auto"/>
                <w:sz w:val="21"/>
                <w:szCs w:val="21"/>
                <w:highlight w:val="none"/>
              </w:rPr>
              <w:t>均为本分标运营维护工作相关内容。如考核合格，则正式开展运维服务；如考核不合格，则延长试维护时间一个月（采购人不予支付任何费用），并责令整改，一个月后重新考核，考核合格后正式开展运维服务，如考核成绩仍然不合格，</w:t>
            </w:r>
            <w:r>
              <w:rPr>
                <w:rFonts w:hint="eastAsia" w:ascii="宋体" w:hAnsi="宋体" w:cs="宋体"/>
                <w:color w:val="auto"/>
                <w:sz w:val="21"/>
                <w:szCs w:val="21"/>
                <w:highlight w:val="none"/>
              </w:rPr>
              <w:t>按违约处理，并追究其相应的法律责任，采购人有权向监督管理部门汇报并处理。</w:t>
            </w:r>
          </w:p>
          <w:p w14:paraId="79B517F1">
            <w:pPr>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3.服务要求</w:t>
            </w:r>
          </w:p>
          <w:p w14:paraId="33647B14">
            <w:pPr>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（1）必须明确维护方法、周期、内容及技术保障等。</w:t>
            </w:r>
          </w:p>
          <w:p w14:paraId="30D271ED">
            <w:pPr>
              <w:snapToGrid w:val="0"/>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（2）配合采购人进行水站质量保证和质量质控及水样比对工作。</w:t>
            </w:r>
          </w:p>
          <w:p w14:paraId="14696BC4">
            <w:pPr>
              <w:spacing w:line="340" w:lineRule="exact"/>
              <w:ind w:firstLine="0" w:firstLineChars="0"/>
              <w:rPr>
                <w:rFonts w:ascii="宋体" w:hAnsi="宋体"/>
                <w:color w:val="auto"/>
                <w:sz w:val="21"/>
                <w:szCs w:val="21"/>
                <w:highlight w:val="none"/>
              </w:rPr>
            </w:pPr>
            <w:r>
              <w:rPr>
                <w:rFonts w:hint="eastAsia" w:ascii="宋体" w:hAnsi="宋体"/>
                <w:bCs/>
                <w:color w:val="auto"/>
                <w:sz w:val="21"/>
                <w:szCs w:val="21"/>
                <w:highlight w:val="none"/>
              </w:rPr>
              <w:t>（3）</w:t>
            </w:r>
            <w:r>
              <w:rPr>
                <w:rFonts w:hint="eastAsia" w:ascii="宋体" w:hAnsi="宋体"/>
                <w:color w:val="auto"/>
                <w:sz w:val="21"/>
                <w:szCs w:val="21"/>
                <w:highlight w:val="none"/>
              </w:rPr>
              <w:t xml:space="preserve">在运营维护过程中由于人为原因造成采购人损失的，由供应商负责赔偿。 </w:t>
            </w:r>
          </w:p>
          <w:p w14:paraId="2B57E970">
            <w:pPr>
              <w:spacing w:line="340" w:lineRule="exact"/>
              <w:ind w:firstLine="0" w:firstLineChars="0"/>
              <w:rPr>
                <w:rFonts w:ascii="宋体" w:hAnsi="宋体"/>
                <w:color w:val="auto"/>
                <w:sz w:val="21"/>
                <w:szCs w:val="21"/>
                <w:highlight w:val="none"/>
              </w:rPr>
            </w:pPr>
            <w:r>
              <w:rPr>
                <w:rFonts w:hint="eastAsia" w:ascii="宋体" w:hAnsi="宋体"/>
                <w:bCs/>
                <w:color w:val="auto"/>
                <w:sz w:val="21"/>
                <w:szCs w:val="21"/>
                <w:highlight w:val="none"/>
              </w:rPr>
              <w:t>（4）</w:t>
            </w:r>
            <w:r>
              <w:rPr>
                <w:rFonts w:hint="eastAsia" w:ascii="宋体" w:hAnsi="宋体"/>
                <w:color w:val="auto"/>
                <w:sz w:val="21"/>
                <w:szCs w:val="21"/>
                <w:highlight w:val="none"/>
              </w:rPr>
              <w:t>在运营维护过程中出现的安全事故，供应商应负全部责任。</w:t>
            </w:r>
          </w:p>
          <w:p w14:paraId="66A3401B">
            <w:pPr>
              <w:spacing w:line="340" w:lineRule="exact"/>
              <w:ind w:firstLine="0" w:firstLineChars="0"/>
              <w:rPr>
                <w:rFonts w:ascii="宋体" w:hAnsi="宋体"/>
                <w:color w:val="auto"/>
                <w:sz w:val="21"/>
                <w:szCs w:val="21"/>
                <w:highlight w:val="none"/>
              </w:rPr>
            </w:pPr>
            <w:r>
              <w:rPr>
                <w:rFonts w:hint="eastAsia" w:ascii="宋体" w:hAnsi="宋体"/>
                <w:bCs/>
                <w:color w:val="auto"/>
                <w:sz w:val="21"/>
                <w:szCs w:val="21"/>
                <w:highlight w:val="none"/>
              </w:rPr>
              <w:t>（5）</w:t>
            </w:r>
            <w:r>
              <w:rPr>
                <w:rFonts w:hint="eastAsia" w:ascii="宋体" w:hAnsi="宋体"/>
                <w:color w:val="auto"/>
                <w:sz w:val="21"/>
                <w:szCs w:val="21"/>
                <w:highlight w:val="none"/>
              </w:rPr>
              <w:t>自正式运维起每三个月对运营维护服务方开展一次工作考核，依据项目的维护内容就每周、每月、每季的维护质量和相关指标相结合的方式进行评分，满分为100分。按季度对每个站点单独考核，其中单次考核结果均大于或等于90分为合格。</w:t>
            </w:r>
          </w:p>
          <w:p w14:paraId="1FDF4485">
            <w:pPr>
              <w:autoSpaceDE w:val="0"/>
              <w:autoSpaceDN w:val="0"/>
              <w:adjustRightInd w:val="0"/>
              <w:spacing w:line="340" w:lineRule="exact"/>
              <w:ind w:firstLine="0" w:firstLineChars="0"/>
              <w:rPr>
                <w:rFonts w:ascii="宋体" w:hAnsi="宋体"/>
                <w:b/>
                <w:bCs/>
                <w:color w:val="auto"/>
                <w:sz w:val="21"/>
                <w:szCs w:val="21"/>
                <w:highlight w:val="none"/>
              </w:rPr>
            </w:pPr>
            <w:r>
              <w:rPr>
                <w:rFonts w:hint="eastAsia" w:ascii="宋体" w:hAnsi="宋体"/>
                <w:b/>
                <w:bCs/>
                <w:color w:val="auto"/>
                <w:sz w:val="21"/>
                <w:szCs w:val="21"/>
                <w:highlight w:val="none"/>
              </w:rPr>
              <w:t>（三）考核标准：</w:t>
            </w:r>
          </w:p>
          <w:p w14:paraId="53546DB2">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 xml:space="preserve"> 1.仪器运行状态指标</w:t>
            </w:r>
          </w:p>
          <w:p w14:paraId="69011529">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（1）所有水站每天在线情况。</w:t>
            </w:r>
          </w:p>
          <w:p w14:paraId="6995BB61">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（2）所有水站系统的每个参数有效数据获取率高于90%（“有效数据获取率” 是指实际正常运行小时数与应监测小时数之比）。</w:t>
            </w:r>
          </w:p>
          <w:p w14:paraId="30427140">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（3）构成水站系统的仪器、设备的运行状态参数是否满足使用说明书要求作为系统仪器、设备运行是否正常的依据。</w:t>
            </w:r>
          </w:p>
          <w:p w14:paraId="7FFF6522">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（4）水站数据平台是否正常运行。</w:t>
            </w:r>
          </w:p>
          <w:p w14:paraId="03D7D519">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 xml:space="preserve"> 2.数据质量指标考核：仪器稳定性、准确性指标满足国家、自治区相关技术规范要求。</w:t>
            </w:r>
          </w:p>
          <w:p w14:paraId="0A16CA6C">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 xml:space="preserve"> 3.考核办法：</w:t>
            </w:r>
            <w:r>
              <w:rPr>
                <w:rFonts w:hint="eastAsia" w:ascii="宋体" w:hAnsi="宋体" w:cs="宋体"/>
                <w:color w:val="auto"/>
                <w:kern w:val="0"/>
                <w:sz w:val="21"/>
                <w:szCs w:val="21"/>
                <w:highlight w:val="none"/>
              </w:rPr>
              <w:t>采购人或采购人委托的第三方机构</w:t>
            </w:r>
            <w:r>
              <w:rPr>
                <w:rFonts w:hint="eastAsia" w:ascii="宋体" w:hAnsi="宋体"/>
                <w:bCs/>
                <w:color w:val="auto"/>
                <w:sz w:val="21"/>
                <w:szCs w:val="21"/>
                <w:highlight w:val="none"/>
              </w:rPr>
              <w:t>自正式运维起每三个月对运维单位开展一次运营维护工作考核，依据上述维护内容就每周、每月、每季的维护质量和相关指标相结合的方式进行评分，满分为100分。由采购人组织有关人员进行评审。</w:t>
            </w:r>
          </w:p>
          <w:p w14:paraId="27603667">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（1）按季度对每个站点单独考核，其中单次考核结果均≥90分为合格。</w:t>
            </w:r>
          </w:p>
          <w:p w14:paraId="3113C47E">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（2）单次考核结果≥80分且＜90分的，为初级警告，按比例扣除当季度运行费的10%，并责令整改。</w:t>
            </w:r>
          </w:p>
          <w:p w14:paraId="5E65DCA7">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（3）单次考核结果≥70分且＜80分的，为二级警告，按比例扣除当季度运行费的35%，并责令整改。一年合同期内出现两次二级警告情况，视为供应商违约，终止运营托管运维合同。</w:t>
            </w:r>
          </w:p>
          <w:p w14:paraId="04CEEC6E">
            <w:pPr>
              <w:spacing w:line="340" w:lineRule="exact"/>
              <w:ind w:firstLine="0" w:firstLineChars="0"/>
              <w:rPr>
                <w:rFonts w:ascii="宋体" w:hAnsi="宋体" w:cs="宋体"/>
                <w:color w:val="auto"/>
                <w:sz w:val="21"/>
                <w:szCs w:val="21"/>
                <w:highlight w:val="none"/>
              </w:rPr>
            </w:pPr>
            <w:r>
              <w:rPr>
                <w:rFonts w:hint="eastAsia" w:ascii="宋体" w:hAnsi="宋体"/>
                <w:bCs/>
                <w:color w:val="auto"/>
                <w:sz w:val="21"/>
                <w:szCs w:val="21"/>
                <w:highlight w:val="none"/>
              </w:rPr>
              <w:t>（4）考核结果在＜70分的，不予支付当季度运维费用并视为供应商</w:t>
            </w:r>
            <w:r>
              <w:rPr>
                <w:rFonts w:hint="eastAsia" w:ascii="宋体" w:hAnsi="宋体" w:cs="宋体"/>
                <w:color w:val="auto"/>
                <w:sz w:val="21"/>
                <w:szCs w:val="21"/>
                <w:highlight w:val="none"/>
              </w:rPr>
              <w:t>违约，</w:t>
            </w:r>
            <w:r>
              <w:rPr>
                <w:rFonts w:hint="eastAsia" w:ascii="宋体" w:hAnsi="宋体"/>
                <w:bCs/>
                <w:color w:val="auto"/>
                <w:sz w:val="21"/>
                <w:szCs w:val="21"/>
                <w:highlight w:val="none"/>
              </w:rPr>
              <w:t>终止运营托管运维合同。</w:t>
            </w:r>
          </w:p>
          <w:p w14:paraId="1150F1CF">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（5）一旦发现弄虚作假现象，按违约处理，并追究其相应的法律责任，采购人有权向监督管理部门汇报并处理，不予支付当季运维费用，同时按当季维护费用的双倍进行经济处罚。</w:t>
            </w:r>
          </w:p>
          <w:p w14:paraId="69594E5D">
            <w:pPr>
              <w:spacing w:line="340" w:lineRule="exact"/>
              <w:ind w:firstLine="0" w:firstLineChars="0"/>
              <w:rPr>
                <w:rFonts w:ascii="宋体" w:hAnsi="宋体"/>
                <w:color w:val="auto"/>
                <w:kern w:val="21"/>
                <w:sz w:val="21"/>
                <w:szCs w:val="21"/>
                <w:highlight w:val="none"/>
              </w:rPr>
            </w:pPr>
            <w:r>
              <w:rPr>
                <w:rFonts w:hint="eastAsia" w:ascii="宋体" w:hAnsi="宋体"/>
                <w:bCs/>
                <w:color w:val="auto"/>
                <w:sz w:val="21"/>
                <w:szCs w:val="21"/>
                <w:highlight w:val="none"/>
              </w:rPr>
              <w:t>4.</w:t>
            </w:r>
            <w:r>
              <w:rPr>
                <w:rFonts w:hint="eastAsia" w:ascii="宋体" w:hAnsi="宋体"/>
                <w:b/>
                <w:color w:val="auto"/>
                <w:sz w:val="21"/>
                <w:szCs w:val="21"/>
                <w:highlight w:val="none"/>
              </w:rPr>
              <w:t>水质自动监测站监测系统运营服务考核表详见“附表3”</w:t>
            </w:r>
            <w:r>
              <w:rPr>
                <w:rFonts w:hint="eastAsia" w:ascii="宋体" w:hAnsi="宋体"/>
                <w:bCs/>
                <w:color w:val="auto"/>
                <w:sz w:val="21"/>
                <w:szCs w:val="21"/>
                <w:highlight w:val="none"/>
              </w:rPr>
              <w:t>。</w:t>
            </w:r>
          </w:p>
        </w:tc>
        <w:tc>
          <w:tcPr>
            <w:tcW w:w="567" w:type="dxa"/>
            <w:vAlign w:val="center"/>
          </w:tcPr>
          <w:p w14:paraId="22204085">
            <w:pPr>
              <w:spacing w:line="380" w:lineRule="exact"/>
              <w:ind w:firstLine="0" w:firstLineChars="0"/>
              <w:jc w:val="center"/>
              <w:rPr>
                <w:rFonts w:ascii="宋体" w:hAnsi="宋体"/>
                <w:color w:val="auto"/>
                <w:kern w:val="21"/>
                <w:sz w:val="21"/>
                <w:szCs w:val="21"/>
                <w:highlight w:val="none"/>
              </w:rPr>
            </w:pPr>
            <w:r>
              <w:rPr>
                <w:rFonts w:hint="eastAsia" w:ascii="宋体" w:hAnsi="宋体"/>
                <w:color w:val="auto"/>
                <w:sz w:val="21"/>
                <w:szCs w:val="21"/>
                <w:highlight w:val="none"/>
              </w:rPr>
              <w:t>1</w:t>
            </w:r>
          </w:p>
        </w:tc>
        <w:tc>
          <w:tcPr>
            <w:tcW w:w="567" w:type="dxa"/>
            <w:vAlign w:val="center"/>
          </w:tcPr>
          <w:p w14:paraId="4A57F606">
            <w:pPr>
              <w:spacing w:line="380" w:lineRule="exact"/>
              <w:ind w:firstLine="0" w:firstLineChars="0"/>
              <w:jc w:val="center"/>
              <w:rPr>
                <w:rFonts w:ascii="宋体" w:hAnsi="宋体"/>
                <w:color w:val="auto"/>
                <w:kern w:val="21"/>
                <w:sz w:val="21"/>
                <w:szCs w:val="21"/>
                <w:highlight w:val="none"/>
              </w:rPr>
            </w:pPr>
            <w:r>
              <w:rPr>
                <w:rFonts w:hint="eastAsia" w:ascii="宋体" w:hAnsi="宋体"/>
                <w:color w:val="auto"/>
                <w:sz w:val="21"/>
                <w:szCs w:val="21"/>
                <w:highlight w:val="none"/>
              </w:rPr>
              <w:t>项</w:t>
            </w:r>
          </w:p>
        </w:tc>
        <w:tc>
          <w:tcPr>
            <w:tcW w:w="905" w:type="dxa"/>
            <w:vAlign w:val="center"/>
          </w:tcPr>
          <w:p w14:paraId="2B861780">
            <w:pPr>
              <w:spacing w:line="38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62</w:t>
            </w:r>
          </w:p>
        </w:tc>
      </w:tr>
      <w:tr w14:paraId="526F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730" w:type="dxa"/>
            <w:gridSpan w:val="6"/>
            <w:vAlign w:val="center"/>
          </w:tcPr>
          <w:p w14:paraId="0B18D351">
            <w:pPr>
              <w:adjustRightInd w:val="0"/>
              <w:spacing w:line="360" w:lineRule="exact"/>
              <w:ind w:firstLine="0" w:firstLineChars="0"/>
              <w:jc w:val="left"/>
              <w:rPr>
                <w:rFonts w:ascii="宋体" w:hAnsi="宋体"/>
                <w:color w:val="auto"/>
                <w:kern w:val="0"/>
                <w:sz w:val="21"/>
                <w:szCs w:val="21"/>
                <w:highlight w:val="none"/>
              </w:rPr>
            </w:pPr>
            <w:r>
              <w:rPr>
                <w:rFonts w:hint="eastAsia" w:ascii="宋体" w:hAnsi="宋体"/>
                <w:color w:val="auto"/>
                <w:kern w:val="0"/>
                <w:sz w:val="21"/>
                <w:szCs w:val="21"/>
                <w:highlight w:val="none"/>
              </w:rPr>
              <w:t>▲二</w:t>
            </w:r>
            <w:r>
              <w:rPr>
                <w:rFonts w:hint="eastAsia" w:ascii="宋体" w:hAnsi="宋体"/>
                <w:b/>
                <w:color w:val="auto"/>
                <w:kern w:val="0"/>
                <w:sz w:val="21"/>
                <w:szCs w:val="21"/>
                <w:highlight w:val="none"/>
              </w:rPr>
              <w:t>、</w:t>
            </w:r>
            <w:r>
              <w:rPr>
                <w:rFonts w:hint="eastAsia" w:ascii="宋体" w:hAnsi="宋体"/>
                <w:b/>
                <w:bCs/>
                <w:color w:val="auto"/>
                <w:sz w:val="21"/>
                <w:szCs w:val="21"/>
                <w:highlight w:val="none"/>
              </w:rPr>
              <w:t>商务要求</w:t>
            </w:r>
          </w:p>
        </w:tc>
      </w:tr>
      <w:tr w14:paraId="47CA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730" w:type="dxa"/>
            <w:gridSpan w:val="6"/>
            <w:vAlign w:val="center"/>
          </w:tcPr>
          <w:p w14:paraId="195DA2AE">
            <w:pPr>
              <w:spacing w:line="340" w:lineRule="exact"/>
              <w:ind w:firstLine="0" w:firstLineChars="0"/>
              <w:rPr>
                <w:rFonts w:ascii="宋体" w:hAnsi="宋体"/>
                <w:b/>
                <w:bCs/>
                <w:color w:val="auto"/>
                <w:sz w:val="21"/>
                <w:szCs w:val="21"/>
                <w:highlight w:val="none"/>
              </w:rPr>
            </w:pPr>
            <w:r>
              <w:rPr>
                <w:rFonts w:hint="eastAsia" w:ascii="宋体" w:hAnsi="宋体"/>
                <w:b/>
                <w:bCs/>
                <w:color w:val="auto"/>
                <w:sz w:val="21"/>
                <w:szCs w:val="21"/>
                <w:highlight w:val="none"/>
              </w:rPr>
              <w:t>（一）服务期限及服务地点：</w:t>
            </w:r>
          </w:p>
          <w:p w14:paraId="3836AEC6">
            <w:pPr>
              <w:spacing w:line="340" w:lineRule="exact"/>
              <w:ind w:firstLine="0" w:firstLineChars="0"/>
              <w:rPr>
                <w:rFonts w:ascii="宋体" w:hAnsi="宋体"/>
                <w:bCs/>
                <w:color w:val="auto"/>
                <w:sz w:val="21"/>
                <w:szCs w:val="21"/>
                <w:highlight w:val="none"/>
              </w:rPr>
            </w:pPr>
            <w:r>
              <w:rPr>
                <w:rFonts w:hint="eastAsia" w:ascii="宋体" w:hAnsi="宋体"/>
                <w:b/>
                <w:bCs/>
                <w:color w:val="auto"/>
                <w:sz w:val="21"/>
                <w:szCs w:val="21"/>
                <w:highlight w:val="none"/>
              </w:rPr>
              <w:t xml:space="preserve"> </w:t>
            </w:r>
            <w:r>
              <w:rPr>
                <w:rFonts w:hint="eastAsia" w:ascii="宋体" w:hAnsi="宋体"/>
                <w:bCs/>
                <w:color w:val="auto"/>
                <w:sz w:val="21"/>
                <w:szCs w:val="21"/>
                <w:highlight w:val="none"/>
              </w:rPr>
              <w:t xml:space="preserve"> 1.服务期限：</w:t>
            </w:r>
            <w:r>
              <w:rPr>
                <w:rFonts w:hint="eastAsia" w:ascii="宋体" w:hAnsi="宋体"/>
                <w:color w:val="auto"/>
                <w:sz w:val="21"/>
                <w:szCs w:val="21"/>
                <w:highlight w:val="none"/>
              </w:rPr>
              <w:t>1年，即：2026年1月1日至2026年12月31日</w:t>
            </w:r>
            <w:r>
              <w:rPr>
                <w:rFonts w:hint="eastAsia" w:ascii="宋体" w:hAnsi="宋体"/>
                <w:bCs/>
                <w:color w:val="auto"/>
                <w:sz w:val="21"/>
                <w:szCs w:val="21"/>
                <w:highlight w:val="none"/>
              </w:rPr>
              <w:t>。【</w:t>
            </w:r>
            <w:r>
              <w:rPr>
                <w:rFonts w:hint="eastAsia" w:ascii="宋体" w:hAnsi="宋体"/>
                <w:color w:val="auto"/>
                <w:sz w:val="21"/>
                <w:szCs w:val="21"/>
                <w:highlight w:val="none"/>
              </w:rPr>
              <w:t>上一年度合同期满至2025年12月31日，考虑到水站运行维护的连续性，2026年1月1日至本项目成交供应商正式进场开展工作期间的运维工作仍由上一年度成交单位负责，其间所发生费用作为本项目不可变更费用，对于2026年1月1日至本项目成交供应商接管运维工作期间的费用，本项目成交供应商须在进场开展工作服务后15日内依据采购人审核费用，按照本项目成交价比例支付给原服务单位。支付标准：[本项目成交金额÷365]×（2026年1月1日到接管日前的天数）。如本次项目成交供应商为原服务单位，则本项目合同开始日期为2026年1月1日至2026年12月31日】</w:t>
            </w:r>
          </w:p>
          <w:p w14:paraId="24DBB94C">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 xml:space="preserve">  2.服务地点：广西桂林市采购人指定地点。</w:t>
            </w:r>
          </w:p>
          <w:p w14:paraId="1C606A82">
            <w:pPr>
              <w:snapToGrid w:val="0"/>
              <w:spacing w:line="340" w:lineRule="exact"/>
              <w:ind w:firstLine="0" w:firstLineChars="0"/>
              <w:rPr>
                <w:rFonts w:hAnsi="宋体"/>
                <w:color w:val="auto"/>
                <w:sz w:val="21"/>
                <w:szCs w:val="24"/>
                <w:highlight w:val="none"/>
              </w:rPr>
            </w:pPr>
            <w:r>
              <w:rPr>
                <w:rFonts w:hint="eastAsia" w:ascii="宋体" w:hAnsi="宋体"/>
                <w:b/>
                <w:color w:val="auto"/>
                <w:sz w:val="21"/>
                <w:szCs w:val="21"/>
                <w:highlight w:val="none"/>
              </w:rPr>
              <w:t>（二）</w:t>
            </w:r>
            <w:r>
              <w:rPr>
                <w:rFonts w:hint="eastAsia" w:hAnsi="宋体"/>
                <w:b/>
                <w:color w:val="auto"/>
                <w:sz w:val="21"/>
                <w:szCs w:val="24"/>
                <w:highlight w:val="none"/>
              </w:rPr>
              <w:t>验收要求及标准：</w:t>
            </w:r>
            <w:r>
              <w:rPr>
                <w:rFonts w:hint="eastAsia" w:hAnsi="宋体"/>
                <w:color w:val="auto"/>
                <w:sz w:val="21"/>
                <w:szCs w:val="24"/>
                <w:highlight w:val="none"/>
              </w:rPr>
              <w:t>依照国家相关法律法规及行业规定，根据</w:t>
            </w:r>
            <w:r>
              <w:rPr>
                <w:rFonts w:hint="eastAsia" w:ascii="宋体" w:hAnsi="宋体"/>
                <w:color w:val="auto"/>
                <w:sz w:val="21"/>
                <w:szCs w:val="21"/>
                <w:highlight w:val="none"/>
              </w:rPr>
              <w:t>竞争性</w:t>
            </w:r>
            <w:r>
              <w:rPr>
                <w:rFonts w:hint="eastAsia" w:hAnsi="宋体"/>
                <w:color w:val="auto"/>
                <w:sz w:val="21"/>
                <w:szCs w:val="24"/>
                <w:highlight w:val="none"/>
              </w:rPr>
              <w:t>磋商文件要求及响应文件承诺进行验收。</w:t>
            </w:r>
          </w:p>
          <w:p w14:paraId="39E2C529">
            <w:pPr>
              <w:spacing w:line="340" w:lineRule="exact"/>
              <w:ind w:firstLine="0" w:firstLineChars="0"/>
              <w:rPr>
                <w:rFonts w:ascii="宋体" w:hAnsi="宋体"/>
                <w:b/>
                <w:color w:val="auto"/>
                <w:sz w:val="21"/>
                <w:szCs w:val="21"/>
                <w:highlight w:val="none"/>
              </w:rPr>
            </w:pPr>
            <w:r>
              <w:rPr>
                <w:rFonts w:hint="eastAsia" w:ascii="宋体" w:hAnsi="宋体"/>
                <w:b/>
                <w:color w:val="auto"/>
                <w:sz w:val="21"/>
                <w:szCs w:val="21"/>
                <w:highlight w:val="none"/>
              </w:rPr>
              <w:t>（三）付款方式：</w:t>
            </w:r>
          </w:p>
          <w:p w14:paraId="4BB277C2">
            <w:pPr>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4"/>
                <w:highlight w:val="none"/>
              </w:rPr>
              <w:t>本项目合同款分两次支付，签订合同且供应商达到合同实施条件（指成交供应商在承诺投入本项目实施的人员全部到位）并报采购人备案后，在财政资金到账的情况下，10个工作日内支付合同款的50%，第三季度结束后支付合同款的50%（无息，50%合同款=合同金额的50%减去一年考核扣款）</w:t>
            </w:r>
            <w:r>
              <w:rPr>
                <w:rFonts w:hint="eastAsia" w:ascii="宋体" w:hAnsi="宋体"/>
                <w:color w:val="auto"/>
                <w:sz w:val="21"/>
                <w:szCs w:val="21"/>
                <w:highlight w:val="none"/>
              </w:rPr>
              <w:t>。</w:t>
            </w:r>
          </w:p>
          <w:p w14:paraId="18A91A5B">
            <w:pPr>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2.在采购人付款前，成交供应商应向采购人提供相应等额有效、合法的发票，否则采购人有权不予付款，直至成交供应商提供符合约定的发票为止。</w:t>
            </w:r>
          </w:p>
          <w:p w14:paraId="2A64D679">
            <w:pPr>
              <w:spacing w:line="340" w:lineRule="exact"/>
              <w:ind w:firstLine="0" w:firstLineChars="0"/>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（四）磋商报价：</w:t>
            </w:r>
          </w:p>
          <w:p w14:paraId="7984A962">
            <w:pPr>
              <w:spacing w:line="340" w:lineRule="exact"/>
              <w:ind w:firstLine="0" w:firstLineChars="0"/>
              <w:jc w:val="left"/>
              <w:rPr>
                <w:rFonts w:ascii="宋体" w:hAnsi="宋体" w:cs="宋体"/>
                <w:color w:val="auto"/>
                <w:sz w:val="21"/>
                <w:szCs w:val="21"/>
                <w:highlight w:val="none"/>
              </w:rPr>
            </w:pPr>
            <w:r>
              <w:rPr>
                <w:rFonts w:hint="eastAsia" w:ascii="宋体" w:hAnsi="宋体" w:cs="宋体"/>
                <w:bCs/>
                <w:color w:val="auto"/>
                <w:sz w:val="21"/>
                <w:szCs w:val="21"/>
                <w:highlight w:val="none"/>
              </w:rPr>
              <w:t>1.</w:t>
            </w:r>
            <w:r>
              <w:rPr>
                <w:rFonts w:hint="eastAsia" w:ascii="宋体" w:hAnsi="宋体" w:cs="宋体"/>
                <w:color w:val="auto"/>
                <w:sz w:val="21"/>
                <w:szCs w:val="21"/>
                <w:highlight w:val="none"/>
              </w:rPr>
              <w:t>磋商报价应包括本次采购范围内运维服务的价款、完成本项目服务的相关费用（包含技术服务费、耗材、拟投入本项目的设备（备机）、人员成本、劳务费、资料收集、研究、指导、交通、通讯、差旅费、管理费、利润、税费、验收以及合同明示或暗示的所有责任、义务、风险及运营期间所需水、电、通讯所需费用）、运维期间租赁费等费用总和，供应商综合考虑在报价中。该价格不因供应商在计算报价中的失误、漏项、多项而作任何调整；供应商的报价在合同实施期间应保持不变。</w:t>
            </w:r>
          </w:p>
          <w:p w14:paraId="7163151A">
            <w:pPr>
              <w:spacing w:line="340" w:lineRule="exact"/>
              <w:ind w:firstLine="0" w:firstLineChars="0"/>
              <w:jc w:val="left"/>
              <w:rPr>
                <w:rFonts w:ascii="宋体" w:hAnsi="宋体"/>
                <w:color w:val="auto"/>
                <w:sz w:val="21"/>
                <w:szCs w:val="21"/>
                <w:highlight w:val="none"/>
              </w:rPr>
            </w:pPr>
            <w:r>
              <w:rPr>
                <w:rFonts w:hint="eastAsia" w:ascii="宋体" w:hAnsi="宋体"/>
                <w:color w:val="auto"/>
                <w:sz w:val="21"/>
                <w:szCs w:val="21"/>
                <w:highlight w:val="none"/>
              </w:rPr>
              <w:t>2.本标项运营合同期间国家或自治区出台新的维护、质控标准规范时，按照新的标准规范要求执行。如国家或自治区出台新技术规范，要求增加监测设备或做系统升级（含数据采集软件、传输、接收系统等）的，由采购人提供升级所需设备和软件，成交供应商负责升级。</w:t>
            </w:r>
          </w:p>
          <w:p w14:paraId="012D7412">
            <w:pPr>
              <w:snapToGrid w:val="0"/>
              <w:spacing w:line="340" w:lineRule="exact"/>
              <w:ind w:firstLine="0" w:firstLineChars="0"/>
              <w:rPr>
                <w:rFonts w:ascii="宋体" w:hAnsi="宋体"/>
                <w:color w:val="auto"/>
                <w:sz w:val="21"/>
                <w:szCs w:val="21"/>
                <w:highlight w:val="none"/>
              </w:rPr>
            </w:pPr>
            <w:r>
              <w:rPr>
                <w:rFonts w:hint="eastAsia" w:ascii="宋体" w:hAnsi="宋体"/>
                <w:b/>
                <w:bCs/>
                <w:color w:val="auto"/>
                <w:sz w:val="21"/>
                <w:szCs w:val="21"/>
                <w:highlight w:val="none"/>
              </w:rPr>
              <w:t>（五）供应商应按采购要求定期提供每月完整的运维记录电子版给采购人。</w:t>
            </w:r>
          </w:p>
        </w:tc>
      </w:tr>
      <w:tr w14:paraId="6C6D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730" w:type="dxa"/>
            <w:gridSpan w:val="6"/>
            <w:vAlign w:val="center"/>
          </w:tcPr>
          <w:p w14:paraId="3EA21E33">
            <w:pPr>
              <w:spacing w:line="340" w:lineRule="exact"/>
              <w:ind w:firstLine="0" w:firstLineChars="0"/>
              <w:rPr>
                <w:rFonts w:ascii="宋体" w:hAnsi="宋体"/>
                <w:b/>
                <w:color w:val="auto"/>
                <w:sz w:val="21"/>
                <w:szCs w:val="21"/>
                <w:highlight w:val="none"/>
              </w:rPr>
            </w:pPr>
            <w:r>
              <w:rPr>
                <w:rFonts w:hint="eastAsia" w:ascii="宋体" w:hAnsi="宋体"/>
                <w:b/>
                <w:color w:val="auto"/>
                <w:sz w:val="21"/>
                <w:szCs w:val="21"/>
                <w:highlight w:val="none"/>
              </w:rPr>
              <w:t>三、其他要求</w:t>
            </w:r>
          </w:p>
        </w:tc>
      </w:tr>
      <w:tr w14:paraId="31C7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30" w:type="dxa"/>
            <w:gridSpan w:val="6"/>
            <w:vAlign w:val="center"/>
          </w:tcPr>
          <w:p w14:paraId="389F7F21">
            <w:pPr>
              <w:spacing w:line="340" w:lineRule="exact"/>
              <w:ind w:firstLine="0" w:firstLineChars="0"/>
              <w:rPr>
                <w:rFonts w:ascii="宋体" w:hAnsi="宋体"/>
                <w:b/>
                <w:color w:val="auto"/>
                <w:sz w:val="21"/>
                <w:szCs w:val="21"/>
                <w:highlight w:val="none"/>
              </w:rPr>
            </w:pPr>
            <w:r>
              <w:rPr>
                <w:rFonts w:hint="eastAsia" w:ascii="宋体" w:hAnsi="宋体" w:cs="宋体"/>
                <w:b/>
                <w:bCs/>
                <w:color w:val="auto"/>
                <w:sz w:val="21"/>
                <w:szCs w:val="21"/>
                <w:highlight w:val="none"/>
              </w:rPr>
              <w:t>▲1.</w:t>
            </w:r>
            <w:r>
              <w:rPr>
                <w:rFonts w:hint="eastAsia" w:ascii="宋体" w:hAnsi="宋体"/>
                <w:b/>
                <w:color w:val="auto"/>
                <w:spacing w:val="-8"/>
                <w:sz w:val="21"/>
                <w:szCs w:val="21"/>
                <w:highlight w:val="none"/>
              </w:rPr>
              <w:t>供应商于响应文件中必须</w:t>
            </w:r>
            <w:r>
              <w:rPr>
                <w:rFonts w:hint="eastAsia" w:ascii="宋体" w:hAnsi="宋体"/>
                <w:b/>
                <w:color w:val="auto"/>
                <w:sz w:val="21"/>
                <w:szCs w:val="21"/>
                <w:highlight w:val="none"/>
              </w:rPr>
              <w:t>单列并</w:t>
            </w:r>
            <w:r>
              <w:rPr>
                <w:rFonts w:hint="eastAsia" w:ascii="宋体" w:hAnsi="宋体"/>
                <w:b/>
                <w:color w:val="auto"/>
                <w:spacing w:val="-8"/>
                <w:sz w:val="21"/>
                <w:szCs w:val="21"/>
                <w:highlight w:val="none"/>
              </w:rPr>
              <w:t>提供针对以下内容的承诺函</w:t>
            </w:r>
            <w:r>
              <w:rPr>
                <w:rFonts w:hint="eastAsia" w:ascii="宋体" w:hAnsi="宋体"/>
                <w:b/>
                <w:color w:val="auto"/>
                <w:sz w:val="21"/>
                <w:szCs w:val="21"/>
                <w:highlight w:val="none"/>
              </w:rPr>
              <w:t>（并加盖供应商电子签章），否则，响应文件无效：</w:t>
            </w:r>
          </w:p>
          <w:p w14:paraId="59DCD49A">
            <w:pPr>
              <w:spacing w:line="340" w:lineRule="exact"/>
              <w:ind w:firstLine="0" w:firstLineChars="0"/>
              <w:rPr>
                <w:rFonts w:ascii="宋体" w:hAnsi="宋体"/>
                <w:b/>
                <w:color w:val="auto"/>
                <w:sz w:val="21"/>
                <w:szCs w:val="21"/>
                <w:highlight w:val="none"/>
              </w:rPr>
            </w:pPr>
            <w:r>
              <w:rPr>
                <w:rFonts w:hint="eastAsia" w:ascii="宋体" w:hAnsi="宋体"/>
                <w:b/>
                <w:color w:val="auto"/>
                <w:sz w:val="21"/>
                <w:szCs w:val="21"/>
                <w:highlight w:val="none"/>
              </w:rPr>
              <w:t>（1）承诺配备的专用巡检汽车（至少配备1辆）专门用于本项目</w:t>
            </w:r>
            <w:r>
              <w:rPr>
                <w:rFonts w:hint="eastAsia" w:ascii="宋体" w:hAnsi="宋体" w:cs="宋体"/>
                <w:b/>
                <w:color w:val="auto"/>
                <w:sz w:val="21"/>
                <w:szCs w:val="21"/>
                <w:highlight w:val="none"/>
              </w:rPr>
              <w:t>巡检、运营维护</w:t>
            </w:r>
            <w:r>
              <w:rPr>
                <w:rFonts w:hint="eastAsia" w:ascii="宋体" w:hAnsi="宋体"/>
                <w:b/>
                <w:color w:val="auto"/>
                <w:sz w:val="21"/>
                <w:szCs w:val="21"/>
                <w:highlight w:val="none"/>
              </w:rPr>
              <w:t>；</w:t>
            </w:r>
          </w:p>
          <w:p w14:paraId="07D4F9F5">
            <w:pPr>
              <w:spacing w:line="340" w:lineRule="exact"/>
              <w:ind w:firstLine="0" w:firstLineChars="0"/>
              <w:rPr>
                <w:rFonts w:ascii="宋体" w:hAnsi="宋体"/>
                <w:b/>
                <w:color w:val="auto"/>
                <w:sz w:val="21"/>
                <w:szCs w:val="21"/>
                <w:highlight w:val="none"/>
              </w:rPr>
            </w:pPr>
            <w:r>
              <w:rPr>
                <w:rFonts w:hint="eastAsia" w:ascii="宋体" w:hAnsi="宋体"/>
                <w:b/>
                <w:color w:val="auto"/>
                <w:sz w:val="21"/>
                <w:szCs w:val="21"/>
                <w:highlight w:val="none"/>
              </w:rPr>
              <w:t>（2）承诺配备的运维人员通过采购人组织的水质自动监测领域持证上岗考核，并保证聘用的运维人员在成交后三个月内通过考核</w:t>
            </w:r>
            <w:r>
              <w:rPr>
                <w:rFonts w:hint="eastAsia" w:ascii="宋体" w:hAnsi="宋体"/>
                <w:b/>
                <w:bCs/>
                <w:color w:val="auto"/>
                <w:sz w:val="21"/>
                <w:szCs w:val="21"/>
                <w:highlight w:val="none"/>
              </w:rPr>
              <w:t>。</w:t>
            </w:r>
            <w:r>
              <w:rPr>
                <w:rFonts w:hint="eastAsia" w:ascii="宋体" w:hAnsi="宋体"/>
                <w:b/>
                <w:color w:val="auto"/>
                <w:sz w:val="21"/>
                <w:szCs w:val="21"/>
                <w:highlight w:val="none"/>
              </w:rPr>
              <w:t>考核不合格者不得单独进行运维工作，如有两人及两人以上考核不合格，按比例扣除一个月运维费用并补考，考试合格后方可上岗。</w:t>
            </w:r>
          </w:p>
          <w:p w14:paraId="1085CF99">
            <w:pPr>
              <w:snapToGrid w:val="0"/>
              <w:spacing w:line="340" w:lineRule="exact"/>
              <w:ind w:firstLine="0" w:firstLineChars="0"/>
              <w:rPr>
                <w:rFonts w:ascii="宋体" w:hAnsi="宋体"/>
                <w:b/>
                <w:color w:val="auto"/>
                <w:sz w:val="21"/>
                <w:szCs w:val="21"/>
                <w:highlight w:val="none"/>
              </w:rPr>
            </w:pPr>
            <w:r>
              <w:rPr>
                <w:rFonts w:hint="eastAsia" w:ascii="宋体" w:hAnsi="宋体"/>
                <w:b/>
                <w:color w:val="auto"/>
                <w:sz w:val="21"/>
                <w:szCs w:val="21"/>
                <w:highlight w:val="none"/>
              </w:rPr>
              <w:t>（3）服务期间，必须配备一名运维技术人员驻采购单位服务，上下班时间与采购单位行政工作人员一致。</w:t>
            </w:r>
          </w:p>
          <w:p w14:paraId="7879DEC5">
            <w:pPr>
              <w:snapToGrid w:val="0"/>
              <w:spacing w:line="340" w:lineRule="exact"/>
              <w:ind w:firstLine="0" w:firstLineChars="0"/>
              <w:rPr>
                <w:rFonts w:ascii="宋体" w:hAnsi="宋体"/>
                <w:b/>
                <w:bCs/>
                <w:color w:val="auto"/>
                <w:sz w:val="21"/>
                <w:szCs w:val="21"/>
                <w:highlight w:val="none"/>
              </w:rPr>
            </w:pPr>
            <w:r>
              <w:rPr>
                <w:rFonts w:hint="eastAsia" w:ascii="宋体" w:hAnsi="宋体"/>
                <w:b/>
                <w:color w:val="auto"/>
                <w:sz w:val="21"/>
                <w:szCs w:val="21"/>
                <w:highlight w:val="none"/>
              </w:rPr>
              <w:t>（4）</w:t>
            </w:r>
            <w:r>
              <w:rPr>
                <w:rFonts w:hint="eastAsia" w:ascii="宋体" w:hAnsi="宋体"/>
                <w:b/>
                <w:bCs/>
                <w:color w:val="auto"/>
                <w:sz w:val="21"/>
                <w:szCs w:val="21"/>
                <w:highlight w:val="none"/>
              </w:rPr>
              <w:t>承诺并提供对采购人原有系统“基于物联网技术的环境监测探测终端（型号：GreenBOX2）和智慧综合管理平台软件（型号：Skyland.OLM V1.0）”出现故障时所需更换的配件。</w:t>
            </w:r>
          </w:p>
          <w:p w14:paraId="766422A0">
            <w:pPr>
              <w:spacing w:line="340" w:lineRule="exact"/>
              <w:ind w:firstLine="0" w:firstLineChars="0"/>
              <w:rPr>
                <w:rFonts w:ascii="宋体" w:hAnsi="宋体"/>
                <w:b/>
                <w:color w:val="auto"/>
                <w:sz w:val="21"/>
                <w:szCs w:val="21"/>
                <w:highlight w:val="none"/>
              </w:rPr>
            </w:pPr>
            <w:r>
              <w:rPr>
                <w:rFonts w:hint="eastAsia" w:ascii="宋体" w:hAnsi="宋体"/>
                <w:b/>
                <w:bCs/>
                <w:color w:val="auto"/>
                <w:sz w:val="21"/>
                <w:szCs w:val="21"/>
                <w:highlight w:val="none"/>
              </w:rPr>
              <w:t>▲2.</w:t>
            </w:r>
            <w:r>
              <w:rPr>
                <w:rFonts w:hint="eastAsia" w:ascii="宋体" w:hAnsi="宋体"/>
                <w:b/>
                <w:color w:val="auto"/>
                <w:spacing w:val="-4"/>
                <w:sz w:val="21"/>
                <w:szCs w:val="21"/>
                <w:highlight w:val="none"/>
              </w:rPr>
              <w:t>本分标政府采购项目预算金额（人民币）： 陆拾贰万元整（¥620000.00），</w:t>
            </w:r>
            <w:r>
              <w:rPr>
                <w:rFonts w:hint="eastAsia" w:ascii="宋体" w:hAnsi="宋体"/>
                <w:b/>
                <w:color w:val="auto"/>
                <w:sz w:val="21"/>
                <w:szCs w:val="21"/>
                <w:highlight w:val="none"/>
              </w:rPr>
              <w:t>供应商磋商报价超过政府采购预算金额的，响应文件作无效处理。</w:t>
            </w:r>
          </w:p>
          <w:p w14:paraId="7A914616">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3.供应商于响应文件中提供针对本分标的项目实施方案。</w:t>
            </w:r>
            <w:r>
              <w:rPr>
                <w:rFonts w:hint="eastAsia" w:ascii="宋体" w:hAnsi="宋体"/>
                <w:b/>
                <w:color w:val="auto"/>
                <w:sz w:val="21"/>
                <w:szCs w:val="21"/>
                <w:highlight w:val="none"/>
              </w:rPr>
              <w:t>具体评审详见“第四章 评审办法”。</w:t>
            </w:r>
          </w:p>
          <w:p w14:paraId="323AC4D6">
            <w:pPr>
              <w:spacing w:line="340" w:lineRule="exact"/>
              <w:ind w:firstLine="0" w:firstLineChars="0"/>
              <w:rPr>
                <w:rFonts w:ascii="宋体" w:hAnsi="宋体"/>
                <w:b/>
                <w:color w:val="auto"/>
                <w:sz w:val="21"/>
                <w:szCs w:val="21"/>
                <w:highlight w:val="none"/>
              </w:rPr>
            </w:pPr>
            <w:r>
              <w:rPr>
                <w:rFonts w:hint="eastAsia" w:ascii="宋体" w:hAnsi="宋体"/>
                <w:bCs/>
                <w:color w:val="auto"/>
                <w:sz w:val="21"/>
                <w:szCs w:val="21"/>
                <w:highlight w:val="none"/>
              </w:rPr>
              <w:t>4.供应商于响应文件中提供针对本分标的服务方案。</w:t>
            </w:r>
            <w:r>
              <w:rPr>
                <w:rFonts w:hint="eastAsia" w:ascii="宋体" w:hAnsi="宋体"/>
                <w:b/>
                <w:color w:val="auto"/>
                <w:sz w:val="21"/>
                <w:szCs w:val="21"/>
                <w:highlight w:val="none"/>
              </w:rPr>
              <w:t>具体评审详见“第四章 评审办法”。</w:t>
            </w:r>
          </w:p>
          <w:p w14:paraId="139E0F8D">
            <w:pPr>
              <w:spacing w:line="340" w:lineRule="exact"/>
              <w:ind w:firstLine="0" w:firstLineChars="0"/>
              <w:rPr>
                <w:rFonts w:ascii="宋体" w:hAnsi="宋体"/>
                <w:b/>
                <w:color w:val="auto"/>
                <w:sz w:val="21"/>
                <w:szCs w:val="21"/>
                <w:highlight w:val="none"/>
              </w:rPr>
            </w:pPr>
            <w:r>
              <w:rPr>
                <w:rFonts w:hint="eastAsia" w:ascii="宋体" w:hAnsi="宋体"/>
                <w:bCs/>
                <w:color w:val="auto"/>
                <w:sz w:val="21"/>
                <w:szCs w:val="21"/>
                <w:highlight w:val="none"/>
              </w:rPr>
              <w:t>5.供应商根据自身情况，可于响应文件中提供具有本分标履约能力的证明材料。</w:t>
            </w:r>
            <w:r>
              <w:rPr>
                <w:rFonts w:hint="eastAsia" w:ascii="宋体" w:hAnsi="宋体"/>
                <w:b/>
                <w:color w:val="auto"/>
                <w:sz w:val="21"/>
                <w:szCs w:val="21"/>
                <w:highlight w:val="none"/>
              </w:rPr>
              <w:t>具体评审详见“第四章 评审办法”。</w:t>
            </w:r>
          </w:p>
        </w:tc>
      </w:tr>
    </w:tbl>
    <w:p w14:paraId="65A347CB">
      <w:pPr>
        <w:autoSpaceDE w:val="0"/>
        <w:autoSpaceDN w:val="0"/>
        <w:adjustRightInd w:val="0"/>
        <w:spacing w:line="240" w:lineRule="auto"/>
        <w:ind w:firstLine="103" w:firstLineChars="49"/>
        <w:rPr>
          <w:rFonts w:hint="eastAsia" w:ascii="宋体" w:hAnsi="宋体"/>
          <w:b/>
          <w:bCs/>
          <w:color w:val="auto"/>
          <w:sz w:val="21"/>
          <w:szCs w:val="21"/>
          <w:highlight w:val="none"/>
        </w:rPr>
      </w:pPr>
    </w:p>
    <w:p w14:paraId="50FDA3D2">
      <w:pPr>
        <w:autoSpaceDE w:val="0"/>
        <w:autoSpaceDN w:val="0"/>
        <w:adjustRightInd w:val="0"/>
        <w:spacing w:line="240" w:lineRule="auto"/>
        <w:ind w:firstLine="103" w:firstLineChars="49"/>
        <w:rPr>
          <w:rFonts w:ascii="宋体" w:hAnsi="宋体"/>
          <w:b/>
          <w:bCs/>
          <w:color w:val="auto"/>
          <w:sz w:val="21"/>
          <w:szCs w:val="21"/>
          <w:highlight w:val="none"/>
        </w:rPr>
      </w:pPr>
      <w:r>
        <w:rPr>
          <w:rFonts w:hint="eastAsia" w:ascii="宋体" w:hAnsi="宋体"/>
          <w:b/>
          <w:bCs/>
          <w:color w:val="auto"/>
          <w:sz w:val="21"/>
          <w:szCs w:val="21"/>
          <w:highlight w:val="none"/>
        </w:rPr>
        <w:t>附表1：</w:t>
      </w:r>
    </w:p>
    <w:p w14:paraId="2D828A54">
      <w:pPr>
        <w:autoSpaceDE w:val="0"/>
        <w:autoSpaceDN w:val="0"/>
        <w:adjustRightInd w:val="0"/>
        <w:spacing w:line="240" w:lineRule="auto"/>
        <w:ind w:firstLine="0" w:firstLineChars="0"/>
        <w:jc w:val="center"/>
        <w:rPr>
          <w:rFonts w:ascii="宋体" w:hAnsi="宋体"/>
          <w:b/>
          <w:bCs/>
          <w:color w:val="auto"/>
          <w:sz w:val="28"/>
          <w:szCs w:val="28"/>
          <w:highlight w:val="none"/>
        </w:rPr>
      </w:pPr>
      <w:r>
        <w:rPr>
          <w:rFonts w:hint="eastAsia" w:ascii="宋体" w:hAnsi="宋体"/>
          <w:b/>
          <w:bCs/>
          <w:color w:val="auto"/>
          <w:sz w:val="28"/>
          <w:szCs w:val="28"/>
          <w:highlight w:val="none"/>
        </w:rPr>
        <w:t>运营维护工作计划及目标</w:t>
      </w:r>
    </w:p>
    <w:tbl>
      <w:tblPr>
        <w:tblStyle w:val="45"/>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98"/>
        <w:gridCol w:w="1213"/>
        <w:gridCol w:w="4331"/>
      </w:tblGrid>
      <w:tr w14:paraId="77BB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2" w:type="dxa"/>
            <w:tcBorders>
              <w:top w:val="single" w:color="auto" w:sz="4" w:space="0"/>
              <w:left w:val="single" w:color="auto" w:sz="4" w:space="0"/>
              <w:bottom w:val="single" w:color="auto" w:sz="4" w:space="0"/>
              <w:right w:val="single" w:color="auto" w:sz="4" w:space="0"/>
            </w:tcBorders>
            <w:vAlign w:val="center"/>
          </w:tcPr>
          <w:p w14:paraId="0401869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2898" w:type="dxa"/>
            <w:tcBorders>
              <w:top w:val="single" w:color="auto" w:sz="4" w:space="0"/>
              <w:left w:val="single" w:color="auto" w:sz="4" w:space="0"/>
              <w:bottom w:val="single" w:color="auto" w:sz="4" w:space="0"/>
              <w:right w:val="single" w:color="auto" w:sz="4" w:space="0"/>
            </w:tcBorders>
            <w:vAlign w:val="center"/>
          </w:tcPr>
          <w:p w14:paraId="4995330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维护内容</w:t>
            </w:r>
          </w:p>
        </w:tc>
        <w:tc>
          <w:tcPr>
            <w:tcW w:w="1213" w:type="dxa"/>
            <w:tcBorders>
              <w:top w:val="single" w:color="auto" w:sz="4" w:space="0"/>
              <w:left w:val="single" w:color="auto" w:sz="4" w:space="0"/>
              <w:bottom w:val="single" w:color="auto" w:sz="4" w:space="0"/>
              <w:right w:val="single" w:color="auto" w:sz="4" w:space="0"/>
            </w:tcBorders>
            <w:vAlign w:val="center"/>
          </w:tcPr>
          <w:p w14:paraId="7BD3B47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维护周期</w:t>
            </w:r>
          </w:p>
        </w:tc>
        <w:tc>
          <w:tcPr>
            <w:tcW w:w="4331" w:type="dxa"/>
            <w:tcBorders>
              <w:top w:val="single" w:color="auto" w:sz="4" w:space="0"/>
              <w:left w:val="single" w:color="auto" w:sz="4" w:space="0"/>
              <w:bottom w:val="single" w:color="auto" w:sz="4" w:space="0"/>
              <w:right w:val="single" w:color="auto" w:sz="4" w:space="0"/>
            </w:tcBorders>
            <w:vAlign w:val="center"/>
          </w:tcPr>
          <w:p w14:paraId="03BFFF8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目标</w:t>
            </w:r>
          </w:p>
        </w:tc>
      </w:tr>
      <w:tr w14:paraId="05AC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68711ECF">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898" w:type="dxa"/>
            <w:tcBorders>
              <w:top w:val="single" w:color="auto" w:sz="4" w:space="0"/>
              <w:left w:val="single" w:color="auto" w:sz="4" w:space="0"/>
              <w:bottom w:val="single" w:color="auto" w:sz="4" w:space="0"/>
              <w:right w:val="single" w:color="auto" w:sz="4" w:space="0"/>
            </w:tcBorders>
            <w:vAlign w:val="center"/>
          </w:tcPr>
          <w:p w14:paraId="56B7D4EC">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通过数据平台网络远程对水站进行运行状态监控（8:00、12:00、14:00、18:00、20:00、23:00）</w:t>
            </w:r>
          </w:p>
        </w:tc>
        <w:tc>
          <w:tcPr>
            <w:tcW w:w="1213" w:type="dxa"/>
            <w:tcBorders>
              <w:top w:val="single" w:color="auto" w:sz="4" w:space="0"/>
              <w:left w:val="single" w:color="auto" w:sz="4" w:space="0"/>
              <w:bottom w:val="single" w:color="auto" w:sz="4" w:space="0"/>
              <w:right w:val="single" w:color="auto" w:sz="4" w:space="0"/>
            </w:tcBorders>
            <w:vAlign w:val="center"/>
          </w:tcPr>
          <w:p w14:paraId="657046E3">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6次/日</w:t>
            </w:r>
          </w:p>
        </w:tc>
        <w:tc>
          <w:tcPr>
            <w:tcW w:w="4331" w:type="dxa"/>
            <w:tcBorders>
              <w:top w:val="single" w:color="auto" w:sz="4" w:space="0"/>
              <w:left w:val="single" w:color="auto" w:sz="4" w:space="0"/>
              <w:bottom w:val="single" w:color="auto" w:sz="4" w:space="0"/>
              <w:right w:val="single" w:color="auto" w:sz="4" w:space="0"/>
            </w:tcBorders>
            <w:vAlign w:val="center"/>
          </w:tcPr>
          <w:p w14:paraId="1F5C548C">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1.分析数据了解水质实时状况。</w:t>
            </w:r>
          </w:p>
          <w:p w14:paraId="34244FC8">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2.分析数据判断仪器运行情况。</w:t>
            </w:r>
          </w:p>
          <w:p w14:paraId="70158C16">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3.分析数据判断系统运行情况。</w:t>
            </w:r>
          </w:p>
        </w:tc>
      </w:tr>
      <w:tr w14:paraId="12DC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373E871E">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898" w:type="dxa"/>
            <w:tcBorders>
              <w:top w:val="single" w:color="auto" w:sz="4" w:space="0"/>
              <w:left w:val="single" w:color="auto" w:sz="4" w:space="0"/>
              <w:bottom w:val="single" w:color="auto" w:sz="4" w:space="0"/>
              <w:right w:val="single" w:color="auto" w:sz="4" w:space="0"/>
            </w:tcBorders>
            <w:vAlign w:val="center"/>
          </w:tcPr>
          <w:p w14:paraId="74D260AA">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对水站系统和仪表进行定期检修、保养</w:t>
            </w:r>
          </w:p>
        </w:tc>
        <w:tc>
          <w:tcPr>
            <w:tcW w:w="1213" w:type="dxa"/>
            <w:tcBorders>
              <w:top w:val="single" w:color="auto" w:sz="4" w:space="0"/>
              <w:left w:val="single" w:color="auto" w:sz="4" w:space="0"/>
              <w:bottom w:val="single" w:color="auto" w:sz="4" w:space="0"/>
              <w:right w:val="single" w:color="auto" w:sz="4" w:space="0"/>
            </w:tcBorders>
            <w:vAlign w:val="center"/>
          </w:tcPr>
          <w:p w14:paraId="45D340A2">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1次/周</w:t>
            </w:r>
          </w:p>
        </w:tc>
        <w:tc>
          <w:tcPr>
            <w:tcW w:w="4331" w:type="dxa"/>
            <w:tcBorders>
              <w:top w:val="single" w:color="auto" w:sz="4" w:space="0"/>
              <w:left w:val="single" w:color="auto" w:sz="4" w:space="0"/>
              <w:bottom w:val="single" w:color="auto" w:sz="4" w:space="0"/>
              <w:right w:val="single" w:color="auto" w:sz="4" w:space="0"/>
            </w:tcBorders>
            <w:vAlign w:val="center"/>
          </w:tcPr>
          <w:p w14:paraId="54636FD3">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1.确保监测系统和仪表正常运行。</w:t>
            </w:r>
          </w:p>
          <w:p w14:paraId="05C5DDDA">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2.定期保养维护使仪器达到运行最佳状态，延长使用寿命。</w:t>
            </w:r>
          </w:p>
        </w:tc>
      </w:tr>
      <w:tr w14:paraId="5CCC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37C2B004">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898" w:type="dxa"/>
            <w:tcBorders>
              <w:top w:val="single" w:color="auto" w:sz="4" w:space="0"/>
              <w:left w:val="single" w:color="auto" w:sz="4" w:space="0"/>
              <w:bottom w:val="single" w:color="auto" w:sz="4" w:space="0"/>
              <w:right w:val="single" w:color="auto" w:sz="4" w:space="0"/>
            </w:tcBorders>
            <w:vAlign w:val="center"/>
          </w:tcPr>
          <w:p w14:paraId="42E766BD">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对水站仪表进行定期校准、性能测试</w:t>
            </w:r>
          </w:p>
        </w:tc>
        <w:tc>
          <w:tcPr>
            <w:tcW w:w="1213" w:type="dxa"/>
            <w:tcBorders>
              <w:top w:val="single" w:color="auto" w:sz="4" w:space="0"/>
              <w:left w:val="single" w:color="auto" w:sz="4" w:space="0"/>
              <w:bottom w:val="single" w:color="auto" w:sz="4" w:space="0"/>
              <w:right w:val="single" w:color="auto" w:sz="4" w:space="0"/>
            </w:tcBorders>
            <w:vAlign w:val="center"/>
          </w:tcPr>
          <w:p w14:paraId="425D3FF8">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1次/周</w:t>
            </w:r>
          </w:p>
        </w:tc>
        <w:tc>
          <w:tcPr>
            <w:tcW w:w="4331" w:type="dxa"/>
            <w:tcBorders>
              <w:top w:val="single" w:color="auto" w:sz="4" w:space="0"/>
              <w:left w:val="single" w:color="auto" w:sz="4" w:space="0"/>
              <w:bottom w:val="single" w:color="auto" w:sz="4" w:space="0"/>
              <w:right w:val="single" w:color="auto" w:sz="4" w:space="0"/>
            </w:tcBorders>
            <w:vAlign w:val="center"/>
          </w:tcPr>
          <w:p w14:paraId="0E6BE8BC">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1.确保监测系统仪器设备监测数据准确有效。</w:t>
            </w:r>
          </w:p>
        </w:tc>
      </w:tr>
      <w:tr w14:paraId="381B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1FF63EE8">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898" w:type="dxa"/>
            <w:tcBorders>
              <w:top w:val="single" w:color="auto" w:sz="4" w:space="0"/>
              <w:left w:val="single" w:color="auto" w:sz="4" w:space="0"/>
              <w:bottom w:val="single" w:color="auto" w:sz="4" w:space="0"/>
              <w:right w:val="single" w:color="auto" w:sz="4" w:space="0"/>
            </w:tcBorders>
            <w:vAlign w:val="center"/>
          </w:tcPr>
          <w:p w14:paraId="44D7FB22">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监测子站箱体进行维护和保养</w:t>
            </w:r>
          </w:p>
        </w:tc>
        <w:tc>
          <w:tcPr>
            <w:tcW w:w="1213" w:type="dxa"/>
            <w:tcBorders>
              <w:top w:val="single" w:color="auto" w:sz="4" w:space="0"/>
              <w:left w:val="single" w:color="auto" w:sz="4" w:space="0"/>
              <w:bottom w:val="single" w:color="auto" w:sz="4" w:space="0"/>
              <w:right w:val="single" w:color="auto" w:sz="4" w:space="0"/>
            </w:tcBorders>
            <w:vAlign w:val="center"/>
          </w:tcPr>
          <w:p w14:paraId="2CCA31AD">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1次/周</w:t>
            </w:r>
          </w:p>
        </w:tc>
        <w:tc>
          <w:tcPr>
            <w:tcW w:w="4331" w:type="dxa"/>
            <w:tcBorders>
              <w:top w:val="single" w:color="auto" w:sz="4" w:space="0"/>
              <w:left w:val="single" w:color="auto" w:sz="4" w:space="0"/>
              <w:bottom w:val="single" w:color="auto" w:sz="4" w:space="0"/>
              <w:right w:val="single" w:color="auto" w:sz="4" w:space="0"/>
            </w:tcBorders>
            <w:vAlign w:val="center"/>
          </w:tcPr>
          <w:p w14:paraId="63E08A05">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1.确保监测站房设备安全和清洁整齐有序。</w:t>
            </w:r>
          </w:p>
        </w:tc>
      </w:tr>
      <w:tr w14:paraId="0E0C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1D06162B">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2898" w:type="dxa"/>
            <w:tcBorders>
              <w:top w:val="single" w:color="auto" w:sz="4" w:space="0"/>
              <w:left w:val="single" w:color="auto" w:sz="4" w:space="0"/>
              <w:bottom w:val="single" w:color="auto" w:sz="4" w:space="0"/>
              <w:right w:val="single" w:color="auto" w:sz="4" w:space="0"/>
            </w:tcBorders>
            <w:vAlign w:val="center"/>
          </w:tcPr>
          <w:p w14:paraId="0D8D33E2">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数据采集控制系统维护</w:t>
            </w:r>
          </w:p>
        </w:tc>
        <w:tc>
          <w:tcPr>
            <w:tcW w:w="1213" w:type="dxa"/>
            <w:tcBorders>
              <w:top w:val="single" w:color="auto" w:sz="4" w:space="0"/>
              <w:left w:val="single" w:color="auto" w:sz="4" w:space="0"/>
              <w:bottom w:val="single" w:color="auto" w:sz="4" w:space="0"/>
              <w:right w:val="single" w:color="auto" w:sz="4" w:space="0"/>
            </w:tcBorders>
            <w:vAlign w:val="center"/>
          </w:tcPr>
          <w:p w14:paraId="7D0C2AC8">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1次/周</w:t>
            </w:r>
          </w:p>
        </w:tc>
        <w:tc>
          <w:tcPr>
            <w:tcW w:w="4331" w:type="dxa"/>
            <w:tcBorders>
              <w:top w:val="single" w:color="auto" w:sz="4" w:space="0"/>
              <w:left w:val="single" w:color="auto" w:sz="4" w:space="0"/>
              <w:bottom w:val="single" w:color="auto" w:sz="4" w:space="0"/>
              <w:right w:val="single" w:color="auto" w:sz="4" w:space="0"/>
            </w:tcBorders>
            <w:vAlign w:val="center"/>
          </w:tcPr>
          <w:p w14:paraId="56D23803">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1.确保数据采集控制系统正常运行。</w:t>
            </w:r>
          </w:p>
          <w:p w14:paraId="59BBA095">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2.使数据采集传输数据真实可靠。</w:t>
            </w:r>
          </w:p>
        </w:tc>
      </w:tr>
      <w:tr w14:paraId="5A19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0A8AC416">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2898" w:type="dxa"/>
            <w:tcBorders>
              <w:top w:val="single" w:color="auto" w:sz="4" w:space="0"/>
              <w:left w:val="single" w:color="auto" w:sz="4" w:space="0"/>
              <w:bottom w:val="single" w:color="auto" w:sz="4" w:space="0"/>
              <w:right w:val="single" w:color="auto" w:sz="4" w:space="0"/>
            </w:tcBorders>
            <w:vAlign w:val="center"/>
          </w:tcPr>
          <w:p w14:paraId="0891387E">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数据服务器和监控平台软件进行维护和系统升级</w:t>
            </w:r>
          </w:p>
        </w:tc>
        <w:tc>
          <w:tcPr>
            <w:tcW w:w="1213" w:type="dxa"/>
            <w:tcBorders>
              <w:top w:val="single" w:color="auto" w:sz="4" w:space="0"/>
              <w:left w:val="single" w:color="auto" w:sz="4" w:space="0"/>
              <w:bottom w:val="single" w:color="auto" w:sz="4" w:space="0"/>
              <w:right w:val="single" w:color="auto" w:sz="4" w:space="0"/>
            </w:tcBorders>
            <w:vAlign w:val="center"/>
          </w:tcPr>
          <w:p w14:paraId="4630EB9A">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1次/月</w:t>
            </w:r>
          </w:p>
        </w:tc>
        <w:tc>
          <w:tcPr>
            <w:tcW w:w="4331" w:type="dxa"/>
            <w:tcBorders>
              <w:top w:val="single" w:color="auto" w:sz="4" w:space="0"/>
              <w:left w:val="single" w:color="auto" w:sz="4" w:space="0"/>
              <w:bottom w:val="single" w:color="auto" w:sz="4" w:space="0"/>
              <w:right w:val="single" w:color="auto" w:sz="4" w:space="0"/>
            </w:tcBorders>
            <w:vAlign w:val="center"/>
          </w:tcPr>
          <w:p w14:paraId="5DCB44C4">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确保监测系统正常运行（系统升级视具体情况而定）。</w:t>
            </w:r>
          </w:p>
        </w:tc>
      </w:tr>
      <w:tr w14:paraId="21D1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31ACF964">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2898" w:type="dxa"/>
            <w:tcBorders>
              <w:top w:val="single" w:color="auto" w:sz="4" w:space="0"/>
              <w:left w:val="single" w:color="auto" w:sz="4" w:space="0"/>
              <w:bottom w:val="single" w:color="auto" w:sz="4" w:space="0"/>
              <w:right w:val="single" w:color="auto" w:sz="4" w:space="0"/>
            </w:tcBorders>
            <w:vAlign w:val="center"/>
          </w:tcPr>
          <w:p w14:paraId="53E83DD4">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配合采购人进行水站质量保证和质量质控工作（费用由</w:t>
            </w:r>
            <w:r>
              <w:rPr>
                <w:rFonts w:hint="eastAsia" w:ascii="宋体" w:hAnsi="宋体" w:cs="宋体"/>
                <w:color w:val="auto"/>
                <w:sz w:val="21"/>
                <w:szCs w:val="24"/>
                <w:highlight w:val="none"/>
              </w:rPr>
              <w:t>成交供应商</w:t>
            </w:r>
            <w:r>
              <w:rPr>
                <w:rFonts w:hint="eastAsia" w:ascii="宋体" w:hAnsi="宋体" w:cs="宋体"/>
                <w:color w:val="auto"/>
                <w:kern w:val="0"/>
                <w:sz w:val="21"/>
                <w:szCs w:val="21"/>
                <w:highlight w:val="none"/>
              </w:rPr>
              <w:t>承担）</w:t>
            </w:r>
          </w:p>
        </w:tc>
        <w:tc>
          <w:tcPr>
            <w:tcW w:w="1213" w:type="dxa"/>
            <w:tcBorders>
              <w:top w:val="single" w:color="auto" w:sz="4" w:space="0"/>
              <w:left w:val="single" w:color="auto" w:sz="4" w:space="0"/>
              <w:bottom w:val="single" w:color="auto" w:sz="4" w:space="0"/>
              <w:right w:val="single" w:color="auto" w:sz="4" w:space="0"/>
            </w:tcBorders>
            <w:vAlign w:val="center"/>
          </w:tcPr>
          <w:p w14:paraId="0F98D951">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根据要求（一般为1次/月）</w:t>
            </w:r>
          </w:p>
        </w:tc>
        <w:tc>
          <w:tcPr>
            <w:tcW w:w="4331" w:type="dxa"/>
            <w:tcBorders>
              <w:top w:val="single" w:color="auto" w:sz="4" w:space="0"/>
              <w:left w:val="single" w:color="auto" w:sz="4" w:space="0"/>
              <w:bottom w:val="single" w:color="auto" w:sz="4" w:space="0"/>
              <w:right w:val="single" w:color="auto" w:sz="4" w:space="0"/>
            </w:tcBorders>
            <w:vAlign w:val="center"/>
          </w:tcPr>
          <w:p w14:paraId="75D5B018">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确保监测系统仪器设备监测数据准确有效。</w:t>
            </w:r>
          </w:p>
        </w:tc>
      </w:tr>
      <w:tr w14:paraId="02B8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7E423A45">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2898" w:type="dxa"/>
            <w:tcBorders>
              <w:top w:val="single" w:color="auto" w:sz="4" w:space="0"/>
              <w:left w:val="single" w:color="auto" w:sz="4" w:space="0"/>
              <w:bottom w:val="single" w:color="auto" w:sz="4" w:space="0"/>
              <w:right w:val="single" w:color="auto" w:sz="4" w:space="0"/>
            </w:tcBorders>
            <w:vAlign w:val="center"/>
          </w:tcPr>
          <w:p w14:paraId="4DC25A35">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配合采购人进行水样比对（费用由</w:t>
            </w:r>
            <w:r>
              <w:rPr>
                <w:rFonts w:hint="eastAsia" w:ascii="宋体" w:hAnsi="宋体" w:cs="宋体"/>
                <w:color w:val="auto"/>
                <w:sz w:val="21"/>
                <w:szCs w:val="24"/>
                <w:highlight w:val="none"/>
              </w:rPr>
              <w:t>成交供应商</w:t>
            </w:r>
            <w:r>
              <w:rPr>
                <w:rFonts w:hint="eastAsia" w:ascii="宋体" w:hAnsi="宋体" w:cs="宋体"/>
                <w:color w:val="auto"/>
                <w:kern w:val="0"/>
                <w:sz w:val="21"/>
                <w:szCs w:val="21"/>
                <w:highlight w:val="none"/>
              </w:rPr>
              <w:t>承担）</w:t>
            </w:r>
          </w:p>
        </w:tc>
        <w:tc>
          <w:tcPr>
            <w:tcW w:w="1213" w:type="dxa"/>
            <w:tcBorders>
              <w:top w:val="single" w:color="auto" w:sz="4" w:space="0"/>
              <w:left w:val="single" w:color="auto" w:sz="4" w:space="0"/>
              <w:bottom w:val="single" w:color="auto" w:sz="4" w:space="0"/>
              <w:right w:val="single" w:color="auto" w:sz="4" w:space="0"/>
            </w:tcBorders>
            <w:vAlign w:val="center"/>
          </w:tcPr>
          <w:p w14:paraId="340B87E2">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根据要求进行</w:t>
            </w:r>
          </w:p>
        </w:tc>
        <w:tc>
          <w:tcPr>
            <w:tcW w:w="4331" w:type="dxa"/>
            <w:tcBorders>
              <w:top w:val="single" w:color="auto" w:sz="4" w:space="0"/>
              <w:left w:val="single" w:color="auto" w:sz="4" w:space="0"/>
              <w:bottom w:val="single" w:color="auto" w:sz="4" w:space="0"/>
              <w:right w:val="single" w:color="auto" w:sz="4" w:space="0"/>
            </w:tcBorders>
            <w:vAlign w:val="center"/>
          </w:tcPr>
          <w:p w14:paraId="3968C0C5">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定期比对了解仪器运行状况，水质实时状况。</w:t>
            </w:r>
          </w:p>
        </w:tc>
      </w:tr>
      <w:tr w14:paraId="0C1B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69D68A44">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2898" w:type="dxa"/>
            <w:tcBorders>
              <w:top w:val="single" w:color="auto" w:sz="4" w:space="0"/>
              <w:left w:val="single" w:color="auto" w:sz="4" w:space="0"/>
              <w:bottom w:val="single" w:color="auto" w:sz="4" w:space="0"/>
              <w:right w:val="single" w:color="auto" w:sz="4" w:space="0"/>
            </w:tcBorders>
            <w:vAlign w:val="center"/>
          </w:tcPr>
          <w:p w14:paraId="66833C6D">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水站维护记录及相关工作报告的提交</w:t>
            </w:r>
          </w:p>
        </w:tc>
        <w:tc>
          <w:tcPr>
            <w:tcW w:w="1213" w:type="dxa"/>
            <w:tcBorders>
              <w:top w:val="single" w:color="auto" w:sz="4" w:space="0"/>
              <w:left w:val="single" w:color="auto" w:sz="4" w:space="0"/>
              <w:bottom w:val="single" w:color="auto" w:sz="4" w:space="0"/>
              <w:right w:val="single" w:color="auto" w:sz="4" w:space="0"/>
            </w:tcBorders>
            <w:vAlign w:val="center"/>
          </w:tcPr>
          <w:p w14:paraId="53B21DC1">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根据要求进行</w:t>
            </w:r>
          </w:p>
        </w:tc>
        <w:tc>
          <w:tcPr>
            <w:tcW w:w="4331" w:type="dxa"/>
            <w:tcBorders>
              <w:top w:val="single" w:color="auto" w:sz="4" w:space="0"/>
              <w:left w:val="single" w:color="auto" w:sz="4" w:space="0"/>
              <w:bottom w:val="single" w:color="auto" w:sz="4" w:space="0"/>
              <w:right w:val="single" w:color="auto" w:sz="4" w:space="0"/>
            </w:tcBorders>
            <w:vAlign w:val="center"/>
          </w:tcPr>
          <w:p w14:paraId="732C4E20">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1.每周一9:00前上报上周仪器运行情况及监测数据有效率。</w:t>
            </w:r>
          </w:p>
          <w:p w14:paraId="05BE19BD">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2.每月维护结束前3日内上报下月工作计划，结束后3日内上报工作总结。</w:t>
            </w:r>
          </w:p>
          <w:p w14:paraId="68EE21BA">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3.每季度维护结束后5日内上报季度工作总结。</w:t>
            </w:r>
          </w:p>
          <w:p w14:paraId="1290D402">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4.半年维护结束后10日内上报半年工作总结。</w:t>
            </w:r>
          </w:p>
          <w:p w14:paraId="592218BB">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5.一年维护结束后10日内提交年度维护报告（具体时间按合同执行）。</w:t>
            </w:r>
          </w:p>
        </w:tc>
      </w:tr>
      <w:tr w14:paraId="5EC9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1CCD93BF">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2898" w:type="dxa"/>
            <w:tcBorders>
              <w:top w:val="single" w:color="auto" w:sz="4" w:space="0"/>
              <w:left w:val="single" w:color="auto" w:sz="4" w:space="0"/>
              <w:bottom w:val="single" w:color="auto" w:sz="4" w:space="0"/>
              <w:right w:val="single" w:color="auto" w:sz="4" w:space="0"/>
            </w:tcBorders>
            <w:vAlign w:val="center"/>
          </w:tcPr>
          <w:p w14:paraId="15A9C82D">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对仪器和系统进行预防性维护</w:t>
            </w:r>
          </w:p>
        </w:tc>
        <w:tc>
          <w:tcPr>
            <w:tcW w:w="1213" w:type="dxa"/>
            <w:tcBorders>
              <w:top w:val="single" w:color="auto" w:sz="4" w:space="0"/>
              <w:left w:val="single" w:color="auto" w:sz="4" w:space="0"/>
              <w:bottom w:val="single" w:color="auto" w:sz="4" w:space="0"/>
              <w:right w:val="single" w:color="auto" w:sz="4" w:space="0"/>
            </w:tcBorders>
            <w:vAlign w:val="center"/>
          </w:tcPr>
          <w:p w14:paraId="2D712C42">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1次/季度</w:t>
            </w:r>
          </w:p>
        </w:tc>
        <w:tc>
          <w:tcPr>
            <w:tcW w:w="4331" w:type="dxa"/>
            <w:tcBorders>
              <w:top w:val="single" w:color="auto" w:sz="4" w:space="0"/>
              <w:left w:val="single" w:color="auto" w:sz="4" w:space="0"/>
              <w:bottom w:val="single" w:color="auto" w:sz="4" w:space="0"/>
              <w:right w:val="single" w:color="auto" w:sz="4" w:space="0"/>
            </w:tcBorders>
            <w:vAlign w:val="center"/>
          </w:tcPr>
          <w:p w14:paraId="69BBA582">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排除可能存在的故障隐患，对隐蔽处、死角处进行维护清理，使仪器正常稳定运行。</w:t>
            </w:r>
          </w:p>
        </w:tc>
      </w:tr>
      <w:tr w14:paraId="63E2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6DCDA699">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2898" w:type="dxa"/>
            <w:tcBorders>
              <w:top w:val="single" w:color="auto" w:sz="4" w:space="0"/>
              <w:left w:val="single" w:color="auto" w:sz="4" w:space="0"/>
              <w:bottom w:val="single" w:color="auto" w:sz="4" w:space="0"/>
              <w:right w:val="single" w:color="auto" w:sz="4" w:space="0"/>
            </w:tcBorders>
            <w:vAlign w:val="center"/>
          </w:tcPr>
          <w:p w14:paraId="057D3DBD">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对仪表所需耗材、校准液、标准试剂进行统计和更换</w:t>
            </w:r>
          </w:p>
        </w:tc>
        <w:tc>
          <w:tcPr>
            <w:tcW w:w="1213" w:type="dxa"/>
            <w:tcBorders>
              <w:top w:val="single" w:color="auto" w:sz="4" w:space="0"/>
              <w:left w:val="single" w:color="auto" w:sz="4" w:space="0"/>
              <w:bottom w:val="single" w:color="auto" w:sz="4" w:space="0"/>
              <w:right w:val="single" w:color="auto" w:sz="4" w:space="0"/>
            </w:tcBorders>
            <w:vAlign w:val="center"/>
          </w:tcPr>
          <w:p w14:paraId="30B61C68">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1次/季度</w:t>
            </w:r>
          </w:p>
        </w:tc>
        <w:tc>
          <w:tcPr>
            <w:tcW w:w="4331" w:type="dxa"/>
            <w:tcBorders>
              <w:top w:val="single" w:color="auto" w:sz="4" w:space="0"/>
              <w:left w:val="single" w:color="auto" w:sz="4" w:space="0"/>
              <w:bottom w:val="single" w:color="auto" w:sz="4" w:space="0"/>
              <w:right w:val="single" w:color="auto" w:sz="4" w:space="0"/>
            </w:tcBorders>
            <w:vAlign w:val="center"/>
          </w:tcPr>
          <w:p w14:paraId="556C83B8">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1.确保仪器设备正常运行。</w:t>
            </w:r>
          </w:p>
          <w:p w14:paraId="3F05FDB0">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2.做到试剂、耗材更换计划，让其各自充分合理利用。</w:t>
            </w:r>
          </w:p>
        </w:tc>
      </w:tr>
      <w:tr w14:paraId="1DD9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76D58D05">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2898" w:type="dxa"/>
            <w:tcBorders>
              <w:top w:val="single" w:color="auto" w:sz="4" w:space="0"/>
              <w:left w:val="single" w:color="auto" w:sz="4" w:space="0"/>
              <w:bottom w:val="single" w:color="auto" w:sz="4" w:space="0"/>
              <w:right w:val="single" w:color="auto" w:sz="4" w:space="0"/>
            </w:tcBorders>
            <w:vAlign w:val="center"/>
          </w:tcPr>
          <w:p w14:paraId="798FF5CB">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定期更换水质自动监测系统和仪表所需备品备件</w:t>
            </w:r>
          </w:p>
        </w:tc>
        <w:tc>
          <w:tcPr>
            <w:tcW w:w="1213" w:type="dxa"/>
            <w:tcBorders>
              <w:top w:val="single" w:color="auto" w:sz="4" w:space="0"/>
              <w:left w:val="single" w:color="auto" w:sz="4" w:space="0"/>
              <w:bottom w:val="single" w:color="auto" w:sz="4" w:space="0"/>
              <w:right w:val="single" w:color="auto" w:sz="4" w:space="0"/>
            </w:tcBorders>
            <w:vAlign w:val="center"/>
          </w:tcPr>
          <w:p w14:paraId="22D56C0D">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根据需要</w:t>
            </w:r>
          </w:p>
        </w:tc>
        <w:tc>
          <w:tcPr>
            <w:tcW w:w="4331" w:type="dxa"/>
            <w:tcBorders>
              <w:top w:val="single" w:color="auto" w:sz="4" w:space="0"/>
              <w:left w:val="single" w:color="auto" w:sz="4" w:space="0"/>
              <w:bottom w:val="single" w:color="auto" w:sz="4" w:space="0"/>
              <w:right w:val="single" w:color="auto" w:sz="4" w:space="0"/>
            </w:tcBorders>
            <w:vAlign w:val="center"/>
          </w:tcPr>
          <w:p w14:paraId="709EF993">
            <w:pPr>
              <w:widowControl/>
              <w:spacing w:line="32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确保监测系统和仪表正常运行。</w:t>
            </w:r>
          </w:p>
        </w:tc>
      </w:tr>
    </w:tbl>
    <w:p w14:paraId="3871DBF4">
      <w:pPr>
        <w:autoSpaceDE w:val="0"/>
        <w:autoSpaceDN w:val="0"/>
        <w:adjustRightInd w:val="0"/>
        <w:spacing w:line="320" w:lineRule="exact"/>
        <w:ind w:firstLine="0" w:firstLineChars="0"/>
        <w:rPr>
          <w:rFonts w:ascii="宋体" w:hAnsi="宋体"/>
          <w:b/>
          <w:bCs/>
          <w:color w:val="auto"/>
          <w:sz w:val="21"/>
          <w:szCs w:val="21"/>
          <w:highlight w:val="none"/>
        </w:rPr>
      </w:pPr>
    </w:p>
    <w:p w14:paraId="030FFD9B">
      <w:pPr>
        <w:autoSpaceDE w:val="0"/>
        <w:autoSpaceDN w:val="0"/>
        <w:adjustRightInd w:val="0"/>
        <w:spacing w:line="320" w:lineRule="exact"/>
        <w:ind w:firstLine="517" w:firstLineChars="245"/>
        <w:rPr>
          <w:rFonts w:ascii="宋体" w:hAnsi="宋体"/>
          <w:b/>
          <w:bCs/>
          <w:color w:val="auto"/>
          <w:sz w:val="21"/>
          <w:szCs w:val="21"/>
          <w:highlight w:val="none"/>
        </w:rPr>
      </w:pPr>
    </w:p>
    <w:p w14:paraId="1780CE3F">
      <w:pPr>
        <w:autoSpaceDE w:val="0"/>
        <w:autoSpaceDN w:val="0"/>
        <w:adjustRightInd w:val="0"/>
        <w:spacing w:line="320" w:lineRule="exact"/>
        <w:ind w:firstLine="517" w:firstLineChars="245"/>
        <w:rPr>
          <w:rFonts w:ascii="宋体" w:hAnsi="宋体"/>
          <w:b/>
          <w:bCs/>
          <w:color w:val="auto"/>
          <w:sz w:val="21"/>
          <w:szCs w:val="21"/>
          <w:highlight w:val="none"/>
        </w:rPr>
      </w:pPr>
    </w:p>
    <w:p w14:paraId="4374FD70">
      <w:pPr>
        <w:autoSpaceDE w:val="0"/>
        <w:autoSpaceDN w:val="0"/>
        <w:adjustRightInd w:val="0"/>
        <w:spacing w:line="320" w:lineRule="exact"/>
        <w:ind w:firstLine="517" w:firstLineChars="245"/>
        <w:rPr>
          <w:rFonts w:ascii="宋体" w:hAnsi="宋体"/>
          <w:b/>
          <w:bCs/>
          <w:color w:val="auto"/>
          <w:sz w:val="21"/>
          <w:szCs w:val="21"/>
          <w:highlight w:val="none"/>
        </w:rPr>
      </w:pPr>
      <w:r>
        <w:rPr>
          <w:rFonts w:hint="eastAsia" w:ascii="宋体" w:hAnsi="宋体"/>
          <w:b/>
          <w:bCs/>
          <w:color w:val="auto"/>
          <w:sz w:val="21"/>
          <w:szCs w:val="21"/>
          <w:highlight w:val="none"/>
        </w:rPr>
        <w:t>附表2：</w:t>
      </w:r>
    </w:p>
    <w:p w14:paraId="7A2B8528">
      <w:pPr>
        <w:autoSpaceDE w:val="0"/>
        <w:autoSpaceDN w:val="0"/>
        <w:adjustRightInd w:val="0"/>
        <w:spacing w:line="320" w:lineRule="exact"/>
        <w:ind w:firstLine="0" w:firstLineChars="0"/>
        <w:jc w:val="center"/>
        <w:rPr>
          <w:rFonts w:ascii="宋体" w:hAnsi="宋体"/>
          <w:b/>
          <w:bCs/>
          <w:color w:val="auto"/>
          <w:szCs w:val="24"/>
          <w:highlight w:val="none"/>
        </w:rPr>
      </w:pPr>
      <w:r>
        <w:rPr>
          <w:rFonts w:hint="eastAsia" w:ascii="宋体" w:hAnsi="宋体"/>
          <w:b/>
          <w:bCs/>
          <w:color w:val="auto"/>
          <w:szCs w:val="24"/>
          <w:highlight w:val="none"/>
        </w:rPr>
        <w:t>水质监测自动站定期运行维护主要内容</w:t>
      </w:r>
    </w:p>
    <w:tbl>
      <w:tblPr>
        <w:tblStyle w:val="45"/>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508"/>
        <w:gridCol w:w="2127"/>
        <w:gridCol w:w="4961"/>
      </w:tblGrid>
      <w:tr w14:paraId="7683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Borders>
              <w:top w:val="single" w:color="auto" w:sz="4" w:space="0"/>
              <w:left w:val="single" w:color="auto" w:sz="4" w:space="0"/>
              <w:bottom w:val="single" w:color="auto" w:sz="4" w:space="0"/>
              <w:right w:val="single" w:color="auto" w:sz="4" w:space="0"/>
            </w:tcBorders>
            <w:vAlign w:val="center"/>
          </w:tcPr>
          <w:p w14:paraId="72A036B4">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1508" w:type="dxa"/>
            <w:tcBorders>
              <w:top w:val="single" w:color="auto" w:sz="4" w:space="0"/>
              <w:left w:val="single" w:color="auto" w:sz="4" w:space="0"/>
              <w:bottom w:val="single" w:color="auto" w:sz="4" w:space="0"/>
              <w:right w:val="single" w:color="auto" w:sz="4" w:space="0"/>
            </w:tcBorders>
            <w:vAlign w:val="center"/>
          </w:tcPr>
          <w:p w14:paraId="075F9C3E">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维护内容</w:t>
            </w:r>
          </w:p>
        </w:tc>
        <w:tc>
          <w:tcPr>
            <w:tcW w:w="2127" w:type="dxa"/>
            <w:tcBorders>
              <w:top w:val="single" w:color="auto" w:sz="4" w:space="0"/>
              <w:left w:val="single" w:color="auto" w:sz="4" w:space="0"/>
              <w:bottom w:val="single" w:color="auto" w:sz="4" w:space="0"/>
              <w:right w:val="single" w:color="auto" w:sz="4" w:space="0"/>
            </w:tcBorders>
            <w:vAlign w:val="center"/>
          </w:tcPr>
          <w:p w14:paraId="79F9ABF2">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维护周期</w:t>
            </w:r>
          </w:p>
        </w:tc>
        <w:tc>
          <w:tcPr>
            <w:tcW w:w="4961" w:type="dxa"/>
            <w:tcBorders>
              <w:top w:val="single" w:color="auto" w:sz="4" w:space="0"/>
              <w:left w:val="single" w:color="auto" w:sz="4" w:space="0"/>
              <w:bottom w:val="single" w:color="auto" w:sz="4" w:space="0"/>
              <w:right w:val="single" w:color="auto" w:sz="4" w:space="0"/>
            </w:tcBorders>
            <w:vAlign w:val="center"/>
          </w:tcPr>
          <w:p w14:paraId="7A46504E">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维护要求</w:t>
            </w:r>
          </w:p>
        </w:tc>
      </w:tr>
      <w:tr w14:paraId="2DF7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Borders>
              <w:top w:val="single" w:color="auto" w:sz="4" w:space="0"/>
              <w:left w:val="single" w:color="auto" w:sz="4" w:space="0"/>
              <w:bottom w:val="single" w:color="auto" w:sz="4" w:space="0"/>
              <w:right w:val="single" w:color="auto" w:sz="4" w:space="0"/>
            </w:tcBorders>
            <w:vAlign w:val="center"/>
          </w:tcPr>
          <w:p w14:paraId="389DB2F3">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08" w:type="dxa"/>
            <w:tcBorders>
              <w:top w:val="single" w:color="auto" w:sz="4" w:space="0"/>
              <w:left w:val="single" w:color="auto" w:sz="4" w:space="0"/>
              <w:bottom w:val="single" w:color="auto" w:sz="4" w:space="0"/>
              <w:right w:val="single" w:color="auto" w:sz="4" w:space="0"/>
            </w:tcBorders>
            <w:vAlign w:val="center"/>
          </w:tcPr>
          <w:p w14:paraId="14E6D83E">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采样泵过滤网清除杂物</w:t>
            </w:r>
          </w:p>
        </w:tc>
        <w:tc>
          <w:tcPr>
            <w:tcW w:w="2127" w:type="dxa"/>
            <w:tcBorders>
              <w:top w:val="single" w:color="auto" w:sz="4" w:space="0"/>
              <w:left w:val="single" w:color="auto" w:sz="4" w:space="0"/>
              <w:bottom w:val="single" w:color="auto" w:sz="4" w:space="0"/>
              <w:right w:val="single" w:color="auto" w:sz="4" w:space="0"/>
            </w:tcBorders>
            <w:vAlign w:val="center"/>
          </w:tcPr>
          <w:p w14:paraId="77026C55">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1次/周，确保过滤网无杂物</w:t>
            </w:r>
          </w:p>
        </w:tc>
        <w:tc>
          <w:tcPr>
            <w:tcW w:w="4961" w:type="dxa"/>
            <w:tcBorders>
              <w:top w:val="single" w:color="auto" w:sz="4" w:space="0"/>
              <w:left w:val="single" w:color="auto" w:sz="4" w:space="0"/>
              <w:bottom w:val="single" w:color="auto" w:sz="4" w:space="0"/>
              <w:right w:val="single" w:color="auto" w:sz="4" w:space="0"/>
            </w:tcBorders>
            <w:vAlign w:val="center"/>
          </w:tcPr>
          <w:p w14:paraId="3302E05B">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1.使用系统自动清洗功能进行反冲洗；</w:t>
            </w:r>
          </w:p>
          <w:p w14:paraId="1065D70E">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2.手工进行清理杂物。</w:t>
            </w:r>
          </w:p>
        </w:tc>
      </w:tr>
      <w:tr w14:paraId="6A24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1E0A87FE">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08" w:type="dxa"/>
            <w:tcBorders>
              <w:top w:val="single" w:color="auto" w:sz="4" w:space="0"/>
              <w:left w:val="single" w:color="auto" w:sz="4" w:space="0"/>
              <w:bottom w:val="single" w:color="auto" w:sz="4" w:space="0"/>
              <w:right w:val="single" w:color="auto" w:sz="4" w:space="0"/>
            </w:tcBorders>
            <w:vAlign w:val="center"/>
          </w:tcPr>
          <w:p w14:paraId="150FCC48">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采水系统维护</w:t>
            </w:r>
          </w:p>
        </w:tc>
        <w:tc>
          <w:tcPr>
            <w:tcW w:w="2127" w:type="dxa"/>
            <w:tcBorders>
              <w:top w:val="single" w:color="auto" w:sz="4" w:space="0"/>
              <w:left w:val="single" w:color="auto" w:sz="4" w:space="0"/>
              <w:bottom w:val="single" w:color="auto" w:sz="4" w:space="0"/>
              <w:right w:val="single" w:color="auto" w:sz="4" w:space="0"/>
            </w:tcBorders>
            <w:vAlign w:val="center"/>
          </w:tcPr>
          <w:p w14:paraId="1A1C91B1">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1次/周，确保管路畅通，无淤泥附着，电缆线防护安全</w:t>
            </w:r>
          </w:p>
        </w:tc>
        <w:tc>
          <w:tcPr>
            <w:tcW w:w="4961" w:type="dxa"/>
            <w:tcBorders>
              <w:top w:val="single" w:color="auto" w:sz="4" w:space="0"/>
              <w:left w:val="single" w:color="auto" w:sz="4" w:space="0"/>
              <w:bottom w:val="single" w:color="auto" w:sz="4" w:space="0"/>
              <w:right w:val="single" w:color="auto" w:sz="4" w:space="0"/>
            </w:tcBorders>
            <w:vAlign w:val="center"/>
          </w:tcPr>
          <w:p w14:paraId="550DFB3B">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1.使用系统外部清洗及内部清洗功能进行清洗；</w:t>
            </w:r>
          </w:p>
          <w:p w14:paraId="146BEEA9">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2.手工拆除阀门，弯头进行清洗，清洗结束后原样装回；</w:t>
            </w:r>
          </w:p>
          <w:p w14:paraId="0BAF9646">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3.外部管路及电缆状态检查。</w:t>
            </w:r>
          </w:p>
        </w:tc>
      </w:tr>
      <w:tr w14:paraId="0320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Borders>
              <w:top w:val="single" w:color="auto" w:sz="4" w:space="0"/>
              <w:left w:val="single" w:color="auto" w:sz="4" w:space="0"/>
              <w:bottom w:val="single" w:color="auto" w:sz="4" w:space="0"/>
              <w:right w:val="single" w:color="auto" w:sz="4" w:space="0"/>
            </w:tcBorders>
            <w:vAlign w:val="center"/>
          </w:tcPr>
          <w:p w14:paraId="1E6D73E7">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08" w:type="dxa"/>
            <w:tcBorders>
              <w:top w:val="single" w:color="auto" w:sz="4" w:space="0"/>
              <w:left w:val="single" w:color="auto" w:sz="4" w:space="0"/>
              <w:bottom w:val="single" w:color="auto" w:sz="4" w:space="0"/>
              <w:right w:val="single" w:color="auto" w:sz="4" w:space="0"/>
            </w:tcBorders>
            <w:vAlign w:val="center"/>
          </w:tcPr>
          <w:p w14:paraId="680418B1">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五参数流通池清洗</w:t>
            </w:r>
          </w:p>
        </w:tc>
        <w:tc>
          <w:tcPr>
            <w:tcW w:w="2127" w:type="dxa"/>
            <w:tcBorders>
              <w:top w:val="single" w:color="auto" w:sz="4" w:space="0"/>
              <w:left w:val="single" w:color="auto" w:sz="4" w:space="0"/>
              <w:bottom w:val="single" w:color="auto" w:sz="4" w:space="0"/>
              <w:right w:val="single" w:color="auto" w:sz="4" w:space="0"/>
            </w:tcBorders>
            <w:vAlign w:val="center"/>
          </w:tcPr>
          <w:p w14:paraId="00342BDA">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1次/周，确保五参数池干净</w:t>
            </w:r>
          </w:p>
        </w:tc>
        <w:tc>
          <w:tcPr>
            <w:tcW w:w="4961" w:type="dxa"/>
            <w:tcBorders>
              <w:top w:val="single" w:color="auto" w:sz="4" w:space="0"/>
              <w:left w:val="single" w:color="auto" w:sz="4" w:space="0"/>
              <w:bottom w:val="single" w:color="auto" w:sz="4" w:space="0"/>
              <w:right w:val="single" w:color="auto" w:sz="4" w:space="0"/>
            </w:tcBorders>
            <w:vAlign w:val="center"/>
          </w:tcPr>
          <w:p w14:paraId="6C82ECBC">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1.使用系统内部清洗功能进行清洗；</w:t>
            </w:r>
          </w:p>
          <w:p w14:paraId="75C0DE62">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2.人工进行清洗。</w:t>
            </w:r>
          </w:p>
        </w:tc>
      </w:tr>
      <w:tr w14:paraId="2482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Borders>
              <w:top w:val="single" w:color="auto" w:sz="4" w:space="0"/>
              <w:left w:val="single" w:color="auto" w:sz="4" w:space="0"/>
              <w:bottom w:val="single" w:color="auto" w:sz="4" w:space="0"/>
              <w:right w:val="single" w:color="auto" w:sz="4" w:space="0"/>
            </w:tcBorders>
            <w:vAlign w:val="center"/>
          </w:tcPr>
          <w:p w14:paraId="0877A962">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508" w:type="dxa"/>
            <w:tcBorders>
              <w:top w:val="single" w:color="auto" w:sz="4" w:space="0"/>
              <w:left w:val="single" w:color="auto" w:sz="4" w:space="0"/>
              <w:bottom w:val="single" w:color="auto" w:sz="4" w:space="0"/>
              <w:right w:val="single" w:color="auto" w:sz="4" w:space="0"/>
            </w:tcBorders>
            <w:vAlign w:val="center"/>
          </w:tcPr>
          <w:p w14:paraId="71A9C59B">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COD流通池清洗</w:t>
            </w:r>
          </w:p>
        </w:tc>
        <w:tc>
          <w:tcPr>
            <w:tcW w:w="2127" w:type="dxa"/>
            <w:tcBorders>
              <w:top w:val="single" w:color="auto" w:sz="4" w:space="0"/>
              <w:left w:val="single" w:color="auto" w:sz="4" w:space="0"/>
              <w:bottom w:val="single" w:color="auto" w:sz="4" w:space="0"/>
              <w:right w:val="single" w:color="auto" w:sz="4" w:space="0"/>
            </w:tcBorders>
            <w:vAlign w:val="center"/>
          </w:tcPr>
          <w:p w14:paraId="190EB434">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1次/周，确保样水杯干净</w:t>
            </w:r>
          </w:p>
        </w:tc>
        <w:tc>
          <w:tcPr>
            <w:tcW w:w="4961" w:type="dxa"/>
            <w:tcBorders>
              <w:top w:val="single" w:color="auto" w:sz="4" w:space="0"/>
              <w:left w:val="single" w:color="auto" w:sz="4" w:space="0"/>
              <w:bottom w:val="single" w:color="auto" w:sz="4" w:space="0"/>
              <w:right w:val="single" w:color="auto" w:sz="4" w:space="0"/>
            </w:tcBorders>
            <w:vAlign w:val="center"/>
          </w:tcPr>
          <w:p w14:paraId="6423DE9E">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1.使用自动清洁功能进行清洗；</w:t>
            </w:r>
          </w:p>
          <w:p w14:paraId="4F204849">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2.人工进行清洗。</w:t>
            </w:r>
          </w:p>
        </w:tc>
      </w:tr>
      <w:tr w14:paraId="531A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Borders>
              <w:top w:val="single" w:color="auto" w:sz="4" w:space="0"/>
              <w:left w:val="single" w:color="auto" w:sz="4" w:space="0"/>
              <w:bottom w:val="single" w:color="auto" w:sz="4" w:space="0"/>
              <w:right w:val="single" w:color="auto" w:sz="4" w:space="0"/>
            </w:tcBorders>
            <w:vAlign w:val="center"/>
          </w:tcPr>
          <w:p w14:paraId="2A4C6D4D">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508" w:type="dxa"/>
            <w:tcBorders>
              <w:top w:val="single" w:color="auto" w:sz="4" w:space="0"/>
              <w:left w:val="single" w:color="auto" w:sz="4" w:space="0"/>
              <w:bottom w:val="single" w:color="auto" w:sz="4" w:space="0"/>
              <w:right w:val="single" w:color="auto" w:sz="4" w:space="0"/>
            </w:tcBorders>
            <w:vAlign w:val="center"/>
          </w:tcPr>
          <w:p w14:paraId="5109DEFD">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五参数分析仪维护</w:t>
            </w:r>
          </w:p>
        </w:tc>
        <w:tc>
          <w:tcPr>
            <w:tcW w:w="2127" w:type="dxa"/>
            <w:tcBorders>
              <w:top w:val="single" w:color="auto" w:sz="4" w:space="0"/>
              <w:left w:val="single" w:color="auto" w:sz="4" w:space="0"/>
              <w:bottom w:val="single" w:color="auto" w:sz="4" w:space="0"/>
              <w:right w:val="single" w:color="auto" w:sz="4" w:space="0"/>
            </w:tcBorders>
            <w:vAlign w:val="center"/>
          </w:tcPr>
          <w:p w14:paraId="02BC7CB6">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1次/周</w:t>
            </w:r>
          </w:p>
        </w:tc>
        <w:tc>
          <w:tcPr>
            <w:tcW w:w="4961" w:type="dxa"/>
            <w:tcBorders>
              <w:top w:val="single" w:color="auto" w:sz="4" w:space="0"/>
              <w:left w:val="single" w:color="auto" w:sz="4" w:space="0"/>
              <w:bottom w:val="single" w:color="auto" w:sz="4" w:space="0"/>
              <w:right w:val="single" w:color="auto" w:sz="4" w:space="0"/>
            </w:tcBorders>
            <w:vAlign w:val="center"/>
          </w:tcPr>
          <w:p w14:paraId="1408FBB5">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1.检查五参数探头模块与显示模块通讯是否正常；</w:t>
            </w:r>
          </w:p>
          <w:p w14:paraId="37ACFAF7">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2.清洗五参数探头并进行校准或标液核查；</w:t>
            </w:r>
          </w:p>
          <w:p w14:paraId="0224A6A8">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3.更换电极电解液。</w:t>
            </w:r>
          </w:p>
        </w:tc>
      </w:tr>
      <w:tr w14:paraId="12BF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2F73F785">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508" w:type="dxa"/>
            <w:tcBorders>
              <w:top w:val="single" w:color="auto" w:sz="4" w:space="0"/>
              <w:left w:val="single" w:color="auto" w:sz="4" w:space="0"/>
              <w:bottom w:val="single" w:color="auto" w:sz="4" w:space="0"/>
              <w:right w:val="single" w:color="auto" w:sz="4" w:space="0"/>
            </w:tcBorders>
            <w:vAlign w:val="center"/>
          </w:tcPr>
          <w:p w14:paraId="0EEB8854">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氨氮分析仪器维护</w:t>
            </w:r>
          </w:p>
        </w:tc>
        <w:tc>
          <w:tcPr>
            <w:tcW w:w="2127" w:type="dxa"/>
            <w:tcBorders>
              <w:top w:val="single" w:color="auto" w:sz="4" w:space="0"/>
              <w:left w:val="single" w:color="auto" w:sz="4" w:space="0"/>
              <w:bottom w:val="single" w:color="auto" w:sz="4" w:space="0"/>
              <w:right w:val="single" w:color="auto" w:sz="4" w:space="0"/>
            </w:tcBorders>
            <w:vAlign w:val="center"/>
          </w:tcPr>
          <w:p w14:paraId="7CD9BE47">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1次/周</w:t>
            </w:r>
          </w:p>
        </w:tc>
        <w:tc>
          <w:tcPr>
            <w:tcW w:w="4961" w:type="dxa"/>
            <w:tcBorders>
              <w:top w:val="single" w:color="auto" w:sz="4" w:space="0"/>
              <w:left w:val="single" w:color="auto" w:sz="4" w:space="0"/>
              <w:bottom w:val="single" w:color="auto" w:sz="4" w:space="0"/>
              <w:right w:val="single" w:color="auto" w:sz="4" w:space="0"/>
            </w:tcBorders>
            <w:vAlign w:val="center"/>
          </w:tcPr>
          <w:p w14:paraId="486599BC">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1.检查探头与显示模块通讯是否正常；</w:t>
            </w:r>
          </w:p>
          <w:p w14:paraId="7CC7A985">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2.定期校准仪器或标准液核查。</w:t>
            </w:r>
          </w:p>
        </w:tc>
      </w:tr>
      <w:tr w14:paraId="383D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Borders>
              <w:top w:val="single" w:color="auto" w:sz="4" w:space="0"/>
              <w:left w:val="single" w:color="auto" w:sz="4" w:space="0"/>
              <w:bottom w:val="single" w:color="auto" w:sz="4" w:space="0"/>
              <w:right w:val="single" w:color="auto" w:sz="4" w:space="0"/>
            </w:tcBorders>
            <w:vAlign w:val="center"/>
          </w:tcPr>
          <w:p w14:paraId="4F029D83">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1508" w:type="dxa"/>
            <w:tcBorders>
              <w:top w:val="single" w:color="auto" w:sz="4" w:space="0"/>
              <w:left w:val="single" w:color="auto" w:sz="4" w:space="0"/>
              <w:bottom w:val="single" w:color="auto" w:sz="4" w:space="0"/>
              <w:right w:val="single" w:color="auto" w:sz="4" w:space="0"/>
            </w:tcBorders>
            <w:vAlign w:val="center"/>
          </w:tcPr>
          <w:p w14:paraId="326181F5">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COD分析仪器维护</w:t>
            </w:r>
          </w:p>
        </w:tc>
        <w:tc>
          <w:tcPr>
            <w:tcW w:w="2127" w:type="dxa"/>
            <w:tcBorders>
              <w:top w:val="single" w:color="auto" w:sz="4" w:space="0"/>
              <w:left w:val="single" w:color="auto" w:sz="4" w:space="0"/>
              <w:bottom w:val="single" w:color="auto" w:sz="4" w:space="0"/>
              <w:right w:val="single" w:color="auto" w:sz="4" w:space="0"/>
            </w:tcBorders>
            <w:vAlign w:val="center"/>
          </w:tcPr>
          <w:p w14:paraId="61C365E6">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1次/周</w:t>
            </w:r>
          </w:p>
        </w:tc>
        <w:tc>
          <w:tcPr>
            <w:tcW w:w="4961" w:type="dxa"/>
            <w:tcBorders>
              <w:top w:val="single" w:color="auto" w:sz="4" w:space="0"/>
              <w:left w:val="single" w:color="auto" w:sz="4" w:space="0"/>
              <w:bottom w:val="single" w:color="auto" w:sz="4" w:space="0"/>
              <w:right w:val="single" w:color="auto" w:sz="4" w:space="0"/>
            </w:tcBorders>
            <w:vAlign w:val="center"/>
          </w:tcPr>
          <w:p w14:paraId="202916DA">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1.检查探头与显示模块通讯是否正常；</w:t>
            </w:r>
          </w:p>
          <w:p w14:paraId="635E6B0E">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2.定期校准仪器或标准液核查。</w:t>
            </w:r>
          </w:p>
        </w:tc>
      </w:tr>
      <w:tr w14:paraId="4D08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Borders>
              <w:top w:val="single" w:color="auto" w:sz="4" w:space="0"/>
              <w:left w:val="single" w:color="auto" w:sz="4" w:space="0"/>
              <w:bottom w:val="single" w:color="auto" w:sz="4" w:space="0"/>
              <w:right w:val="single" w:color="auto" w:sz="4" w:space="0"/>
            </w:tcBorders>
            <w:vAlign w:val="center"/>
          </w:tcPr>
          <w:p w14:paraId="3A79B6EE">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1508" w:type="dxa"/>
            <w:tcBorders>
              <w:top w:val="single" w:color="auto" w:sz="4" w:space="0"/>
              <w:left w:val="single" w:color="auto" w:sz="4" w:space="0"/>
              <w:bottom w:val="single" w:color="auto" w:sz="4" w:space="0"/>
              <w:right w:val="single" w:color="auto" w:sz="4" w:space="0"/>
            </w:tcBorders>
            <w:vAlign w:val="center"/>
          </w:tcPr>
          <w:p w14:paraId="6A6B91E3">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数采器检查</w:t>
            </w:r>
          </w:p>
        </w:tc>
        <w:tc>
          <w:tcPr>
            <w:tcW w:w="2127" w:type="dxa"/>
            <w:tcBorders>
              <w:top w:val="single" w:color="auto" w:sz="4" w:space="0"/>
              <w:left w:val="single" w:color="auto" w:sz="4" w:space="0"/>
              <w:bottom w:val="single" w:color="auto" w:sz="4" w:space="0"/>
              <w:right w:val="single" w:color="auto" w:sz="4" w:space="0"/>
            </w:tcBorders>
            <w:vAlign w:val="center"/>
          </w:tcPr>
          <w:p w14:paraId="3BC8B1F8">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1次/月</w:t>
            </w:r>
          </w:p>
        </w:tc>
        <w:tc>
          <w:tcPr>
            <w:tcW w:w="4961" w:type="dxa"/>
            <w:tcBorders>
              <w:top w:val="single" w:color="auto" w:sz="4" w:space="0"/>
              <w:left w:val="single" w:color="auto" w:sz="4" w:space="0"/>
              <w:bottom w:val="single" w:color="auto" w:sz="4" w:space="0"/>
              <w:right w:val="single" w:color="auto" w:sz="4" w:space="0"/>
            </w:tcBorders>
            <w:vAlign w:val="center"/>
          </w:tcPr>
          <w:p w14:paraId="1D603E47">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1.检查数采器断电是否能自动启动，是否正常上线；</w:t>
            </w:r>
          </w:p>
          <w:p w14:paraId="1041F2B4">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2.数采器各接口电缆连接是否有松动，重新插拔确定接触点是否良好。</w:t>
            </w:r>
          </w:p>
        </w:tc>
      </w:tr>
      <w:tr w14:paraId="39EE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Borders>
              <w:top w:val="single" w:color="auto" w:sz="4" w:space="0"/>
              <w:left w:val="single" w:color="auto" w:sz="4" w:space="0"/>
              <w:bottom w:val="single" w:color="auto" w:sz="4" w:space="0"/>
              <w:right w:val="single" w:color="auto" w:sz="4" w:space="0"/>
            </w:tcBorders>
            <w:vAlign w:val="center"/>
          </w:tcPr>
          <w:p w14:paraId="5C0C85C7">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1508" w:type="dxa"/>
            <w:tcBorders>
              <w:top w:val="single" w:color="auto" w:sz="4" w:space="0"/>
              <w:left w:val="single" w:color="auto" w:sz="4" w:space="0"/>
              <w:bottom w:val="single" w:color="auto" w:sz="4" w:space="0"/>
              <w:right w:val="single" w:color="auto" w:sz="4" w:space="0"/>
            </w:tcBorders>
            <w:vAlign w:val="center"/>
          </w:tcPr>
          <w:p w14:paraId="67750FF0">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仪器供电控制系统检查</w:t>
            </w:r>
          </w:p>
        </w:tc>
        <w:tc>
          <w:tcPr>
            <w:tcW w:w="2127" w:type="dxa"/>
            <w:tcBorders>
              <w:top w:val="single" w:color="auto" w:sz="4" w:space="0"/>
              <w:left w:val="single" w:color="auto" w:sz="4" w:space="0"/>
              <w:bottom w:val="single" w:color="auto" w:sz="4" w:space="0"/>
              <w:right w:val="single" w:color="auto" w:sz="4" w:space="0"/>
            </w:tcBorders>
            <w:vAlign w:val="center"/>
          </w:tcPr>
          <w:p w14:paraId="10F15291">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1次/月</w:t>
            </w:r>
          </w:p>
        </w:tc>
        <w:tc>
          <w:tcPr>
            <w:tcW w:w="4961" w:type="dxa"/>
            <w:tcBorders>
              <w:top w:val="single" w:color="auto" w:sz="4" w:space="0"/>
              <w:left w:val="single" w:color="auto" w:sz="4" w:space="0"/>
              <w:bottom w:val="single" w:color="auto" w:sz="4" w:space="0"/>
              <w:right w:val="single" w:color="auto" w:sz="4" w:space="0"/>
            </w:tcBorders>
            <w:vAlign w:val="center"/>
          </w:tcPr>
          <w:p w14:paraId="14F93921">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1.检查状态显示灯是否正常；</w:t>
            </w:r>
          </w:p>
          <w:p w14:paraId="38116029">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2.检查输入节点是否正常；</w:t>
            </w:r>
          </w:p>
          <w:p w14:paraId="0DA2CF14">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3.检查输出节点是否正常。</w:t>
            </w:r>
          </w:p>
        </w:tc>
      </w:tr>
      <w:tr w14:paraId="616E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1BEDC756">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508" w:type="dxa"/>
            <w:tcBorders>
              <w:top w:val="single" w:color="auto" w:sz="4" w:space="0"/>
              <w:left w:val="single" w:color="auto" w:sz="4" w:space="0"/>
              <w:bottom w:val="single" w:color="auto" w:sz="4" w:space="0"/>
              <w:right w:val="single" w:color="auto" w:sz="4" w:space="0"/>
            </w:tcBorders>
            <w:vAlign w:val="center"/>
          </w:tcPr>
          <w:p w14:paraId="0C04FAE6">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面板开关检查</w:t>
            </w:r>
          </w:p>
        </w:tc>
        <w:tc>
          <w:tcPr>
            <w:tcW w:w="2127" w:type="dxa"/>
            <w:tcBorders>
              <w:top w:val="single" w:color="auto" w:sz="4" w:space="0"/>
              <w:left w:val="single" w:color="auto" w:sz="4" w:space="0"/>
              <w:bottom w:val="single" w:color="auto" w:sz="4" w:space="0"/>
              <w:right w:val="single" w:color="auto" w:sz="4" w:space="0"/>
            </w:tcBorders>
            <w:vAlign w:val="center"/>
          </w:tcPr>
          <w:p w14:paraId="3619F610">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1次/1月</w:t>
            </w:r>
          </w:p>
        </w:tc>
        <w:tc>
          <w:tcPr>
            <w:tcW w:w="4961" w:type="dxa"/>
            <w:tcBorders>
              <w:top w:val="single" w:color="auto" w:sz="4" w:space="0"/>
              <w:left w:val="single" w:color="auto" w:sz="4" w:space="0"/>
              <w:bottom w:val="single" w:color="auto" w:sz="4" w:space="0"/>
              <w:right w:val="single" w:color="auto" w:sz="4" w:space="0"/>
            </w:tcBorders>
            <w:vAlign w:val="center"/>
          </w:tcPr>
          <w:p w14:paraId="1D01999C">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1.人工进行系统手动操作并观察系统是否按照所操作步骤执行。</w:t>
            </w:r>
          </w:p>
        </w:tc>
      </w:tr>
      <w:tr w14:paraId="7E82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Borders>
              <w:top w:val="single" w:color="auto" w:sz="4" w:space="0"/>
              <w:left w:val="single" w:color="auto" w:sz="4" w:space="0"/>
              <w:bottom w:val="single" w:color="auto" w:sz="4" w:space="0"/>
              <w:right w:val="single" w:color="auto" w:sz="4" w:space="0"/>
            </w:tcBorders>
            <w:vAlign w:val="center"/>
          </w:tcPr>
          <w:p w14:paraId="6D3C49E6">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1508" w:type="dxa"/>
            <w:tcBorders>
              <w:top w:val="single" w:color="auto" w:sz="4" w:space="0"/>
              <w:left w:val="single" w:color="auto" w:sz="4" w:space="0"/>
              <w:bottom w:val="single" w:color="auto" w:sz="4" w:space="0"/>
              <w:right w:val="single" w:color="auto" w:sz="4" w:space="0"/>
            </w:tcBorders>
            <w:vAlign w:val="center"/>
          </w:tcPr>
          <w:p w14:paraId="3CEBDCEA">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电源模块</w:t>
            </w:r>
          </w:p>
        </w:tc>
        <w:tc>
          <w:tcPr>
            <w:tcW w:w="2127" w:type="dxa"/>
            <w:tcBorders>
              <w:top w:val="single" w:color="auto" w:sz="4" w:space="0"/>
              <w:left w:val="single" w:color="auto" w:sz="4" w:space="0"/>
              <w:bottom w:val="single" w:color="auto" w:sz="4" w:space="0"/>
              <w:right w:val="single" w:color="auto" w:sz="4" w:space="0"/>
            </w:tcBorders>
            <w:vAlign w:val="center"/>
          </w:tcPr>
          <w:p w14:paraId="3F86C743">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1次/月</w:t>
            </w:r>
          </w:p>
        </w:tc>
        <w:tc>
          <w:tcPr>
            <w:tcW w:w="4961" w:type="dxa"/>
            <w:tcBorders>
              <w:top w:val="single" w:color="auto" w:sz="4" w:space="0"/>
              <w:left w:val="single" w:color="auto" w:sz="4" w:space="0"/>
              <w:bottom w:val="single" w:color="auto" w:sz="4" w:space="0"/>
              <w:right w:val="single" w:color="auto" w:sz="4" w:space="0"/>
            </w:tcBorders>
            <w:vAlign w:val="center"/>
          </w:tcPr>
          <w:p w14:paraId="30972F68">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1.断电清扫稳压电源上的灰尘；</w:t>
            </w:r>
          </w:p>
          <w:p w14:paraId="330268FF">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2.通电后检查电源显示是否正常。</w:t>
            </w:r>
          </w:p>
        </w:tc>
      </w:tr>
      <w:tr w14:paraId="42D7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Borders>
              <w:top w:val="single" w:color="auto" w:sz="4" w:space="0"/>
              <w:left w:val="single" w:color="auto" w:sz="4" w:space="0"/>
              <w:bottom w:val="single" w:color="auto" w:sz="4" w:space="0"/>
              <w:right w:val="single" w:color="auto" w:sz="4" w:space="0"/>
            </w:tcBorders>
            <w:vAlign w:val="center"/>
          </w:tcPr>
          <w:p w14:paraId="7ACC081B">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1508" w:type="dxa"/>
            <w:tcBorders>
              <w:top w:val="single" w:color="auto" w:sz="4" w:space="0"/>
              <w:left w:val="single" w:color="auto" w:sz="4" w:space="0"/>
              <w:bottom w:val="single" w:color="auto" w:sz="4" w:space="0"/>
              <w:right w:val="single" w:color="auto" w:sz="4" w:space="0"/>
            </w:tcBorders>
            <w:vAlign w:val="center"/>
          </w:tcPr>
          <w:p w14:paraId="005FDB70">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箱体检查维护</w:t>
            </w:r>
          </w:p>
        </w:tc>
        <w:tc>
          <w:tcPr>
            <w:tcW w:w="2127" w:type="dxa"/>
            <w:tcBorders>
              <w:top w:val="single" w:color="auto" w:sz="4" w:space="0"/>
              <w:left w:val="single" w:color="auto" w:sz="4" w:space="0"/>
              <w:bottom w:val="single" w:color="auto" w:sz="4" w:space="0"/>
              <w:right w:val="single" w:color="auto" w:sz="4" w:space="0"/>
            </w:tcBorders>
            <w:vAlign w:val="center"/>
          </w:tcPr>
          <w:p w14:paraId="78721341">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1次/月</w:t>
            </w:r>
          </w:p>
        </w:tc>
        <w:tc>
          <w:tcPr>
            <w:tcW w:w="4961" w:type="dxa"/>
            <w:tcBorders>
              <w:top w:val="single" w:color="auto" w:sz="4" w:space="0"/>
              <w:left w:val="single" w:color="auto" w:sz="4" w:space="0"/>
              <w:bottom w:val="single" w:color="auto" w:sz="4" w:space="0"/>
              <w:right w:val="single" w:color="auto" w:sz="4" w:space="0"/>
            </w:tcBorders>
            <w:vAlign w:val="center"/>
          </w:tcPr>
          <w:p w14:paraId="4B598DF7">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1.定期清洁机柜表面，确保机柜外表干净颜色鲜明；</w:t>
            </w:r>
          </w:p>
          <w:p w14:paraId="45A80D6E">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2.对机柜机械部件加润滑剂，确保运转正常；</w:t>
            </w:r>
          </w:p>
          <w:p w14:paraId="5B18007D">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3.对机柜内部防水进行检查，保障机柜内部防水防潮。</w:t>
            </w:r>
          </w:p>
        </w:tc>
      </w:tr>
      <w:tr w14:paraId="5538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Borders>
              <w:top w:val="single" w:color="auto" w:sz="4" w:space="0"/>
              <w:left w:val="single" w:color="auto" w:sz="4" w:space="0"/>
              <w:bottom w:val="single" w:color="auto" w:sz="4" w:space="0"/>
              <w:right w:val="single" w:color="auto" w:sz="4" w:space="0"/>
            </w:tcBorders>
            <w:vAlign w:val="center"/>
          </w:tcPr>
          <w:p w14:paraId="640F83B6">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1508" w:type="dxa"/>
            <w:tcBorders>
              <w:top w:val="single" w:color="auto" w:sz="4" w:space="0"/>
              <w:left w:val="single" w:color="auto" w:sz="4" w:space="0"/>
              <w:bottom w:val="single" w:color="auto" w:sz="4" w:space="0"/>
              <w:right w:val="single" w:color="auto" w:sz="4" w:space="0"/>
            </w:tcBorders>
            <w:vAlign w:val="center"/>
          </w:tcPr>
          <w:p w14:paraId="423CD6E0">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数据库检查和备份</w:t>
            </w:r>
          </w:p>
        </w:tc>
        <w:tc>
          <w:tcPr>
            <w:tcW w:w="2127" w:type="dxa"/>
            <w:tcBorders>
              <w:top w:val="single" w:color="auto" w:sz="4" w:space="0"/>
              <w:left w:val="single" w:color="auto" w:sz="4" w:space="0"/>
              <w:bottom w:val="single" w:color="auto" w:sz="4" w:space="0"/>
              <w:right w:val="single" w:color="auto" w:sz="4" w:space="0"/>
            </w:tcBorders>
            <w:vAlign w:val="center"/>
          </w:tcPr>
          <w:p w14:paraId="330C2F96">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1次/月</w:t>
            </w:r>
          </w:p>
        </w:tc>
        <w:tc>
          <w:tcPr>
            <w:tcW w:w="4961" w:type="dxa"/>
            <w:tcBorders>
              <w:top w:val="single" w:color="auto" w:sz="4" w:space="0"/>
              <w:left w:val="single" w:color="auto" w:sz="4" w:space="0"/>
              <w:bottom w:val="single" w:color="auto" w:sz="4" w:space="0"/>
              <w:right w:val="single" w:color="auto" w:sz="4" w:space="0"/>
            </w:tcBorders>
            <w:vAlign w:val="center"/>
          </w:tcPr>
          <w:p w14:paraId="758A49A8">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1.定期备份数据库，并拷贝出来保存。</w:t>
            </w:r>
          </w:p>
        </w:tc>
      </w:tr>
      <w:tr w14:paraId="76D9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Borders>
              <w:top w:val="single" w:color="auto" w:sz="4" w:space="0"/>
              <w:left w:val="single" w:color="auto" w:sz="4" w:space="0"/>
              <w:bottom w:val="single" w:color="auto" w:sz="4" w:space="0"/>
              <w:right w:val="single" w:color="auto" w:sz="4" w:space="0"/>
            </w:tcBorders>
            <w:vAlign w:val="center"/>
          </w:tcPr>
          <w:p w14:paraId="7A48A30E">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1508" w:type="dxa"/>
            <w:tcBorders>
              <w:top w:val="single" w:color="auto" w:sz="4" w:space="0"/>
              <w:left w:val="single" w:color="auto" w:sz="4" w:space="0"/>
              <w:bottom w:val="single" w:color="auto" w:sz="4" w:space="0"/>
              <w:right w:val="single" w:color="auto" w:sz="4" w:space="0"/>
            </w:tcBorders>
            <w:vAlign w:val="center"/>
          </w:tcPr>
          <w:p w14:paraId="4FA457B5">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服务器检查及维护</w:t>
            </w:r>
          </w:p>
        </w:tc>
        <w:tc>
          <w:tcPr>
            <w:tcW w:w="2127" w:type="dxa"/>
            <w:tcBorders>
              <w:top w:val="single" w:color="auto" w:sz="4" w:space="0"/>
              <w:left w:val="single" w:color="auto" w:sz="4" w:space="0"/>
              <w:bottom w:val="single" w:color="auto" w:sz="4" w:space="0"/>
              <w:right w:val="single" w:color="auto" w:sz="4" w:space="0"/>
            </w:tcBorders>
            <w:vAlign w:val="center"/>
          </w:tcPr>
          <w:p w14:paraId="6EC58BE6">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1次/月</w:t>
            </w:r>
          </w:p>
        </w:tc>
        <w:tc>
          <w:tcPr>
            <w:tcW w:w="4961" w:type="dxa"/>
            <w:tcBorders>
              <w:top w:val="single" w:color="auto" w:sz="4" w:space="0"/>
              <w:left w:val="single" w:color="auto" w:sz="4" w:space="0"/>
              <w:bottom w:val="single" w:color="auto" w:sz="4" w:space="0"/>
              <w:right w:val="single" w:color="auto" w:sz="4" w:space="0"/>
            </w:tcBorders>
            <w:vAlign w:val="center"/>
          </w:tcPr>
          <w:p w14:paraId="2B94EBE5">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1.系统维护（系统补丁修复）；</w:t>
            </w:r>
          </w:p>
          <w:p w14:paraId="0B2A750E">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2.硬件检查。</w:t>
            </w:r>
          </w:p>
        </w:tc>
      </w:tr>
      <w:tr w14:paraId="4DE3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Borders>
              <w:top w:val="single" w:color="auto" w:sz="4" w:space="0"/>
              <w:left w:val="single" w:color="auto" w:sz="4" w:space="0"/>
              <w:bottom w:val="single" w:color="auto" w:sz="4" w:space="0"/>
              <w:right w:val="single" w:color="auto" w:sz="4" w:space="0"/>
            </w:tcBorders>
            <w:vAlign w:val="center"/>
          </w:tcPr>
          <w:p w14:paraId="091703C6">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1508" w:type="dxa"/>
            <w:tcBorders>
              <w:top w:val="single" w:color="auto" w:sz="4" w:space="0"/>
              <w:left w:val="single" w:color="auto" w:sz="4" w:space="0"/>
              <w:bottom w:val="single" w:color="auto" w:sz="4" w:space="0"/>
              <w:right w:val="single" w:color="auto" w:sz="4" w:space="0"/>
            </w:tcBorders>
            <w:vAlign w:val="center"/>
          </w:tcPr>
          <w:p w14:paraId="52F8750E">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监控中心软件</w:t>
            </w:r>
          </w:p>
        </w:tc>
        <w:tc>
          <w:tcPr>
            <w:tcW w:w="2127" w:type="dxa"/>
            <w:tcBorders>
              <w:top w:val="single" w:color="auto" w:sz="4" w:space="0"/>
              <w:left w:val="single" w:color="auto" w:sz="4" w:space="0"/>
              <w:bottom w:val="single" w:color="auto" w:sz="4" w:space="0"/>
              <w:right w:val="single" w:color="auto" w:sz="4" w:space="0"/>
            </w:tcBorders>
            <w:vAlign w:val="center"/>
          </w:tcPr>
          <w:p w14:paraId="20AF87C8">
            <w:pPr>
              <w:widowControl/>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1次/季度</w:t>
            </w:r>
          </w:p>
        </w:tc>
        <w:tc>
          <w:tcPr>
            <w:tcW w:w="4961" w:type="dxa"/>
            <w:tcBorders>
              <w:top w:val="single" w:color="auto" w:sz="4" w:space="0"/>
              <w:left w:val="single" w:color="auto" w:sz="4" w:space="0"/>
              <w:bottom w:val="single" w:color="auto" w:sz="4" w:space="0"/>
              <w:right w:val="single" w:color="auto" w:sz="4" w:space="0"/>
            </w:tcBorders>
            <w:vAlign w:val="center"/>
          </w:tcPr>
          <w:p w14:paraId="08F8DA80">
            <w:pPr>
              <w:widowControl/>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定期提供软件升级服务。</w:t>
            </w:r>
          </w:p>
        </w:tc>
      </w:tr>
    </w:tbl>
    <w:p w14:paraId="1E81ACF7">
      <w:pPr>
        <w:autoSpaceDE w:val="0"/>
        <w:autoSpaceDN w:val="0"/>
        <w:adjustRightInd w:val="0"/>
        <w:spacing w:line="240" w:lineRule="auto"/>
        <w:ind w:firstLine="0" w:firstLineChars="0"/>
        <w:rPr>
          <w:rFonts w:ascii="宋体" w:hAnsi="宋体"/>
          <w:b/>
          <w:bCs/>
          <w:color w:val="auto"/>
          <w:sz w:val="21"/>
          <w:szCs w:val="21"/>
          <w:highlight w:val="none"/>
        </w:rPr>
      </w:pPr>
    </w:p>
    <w:p w14:paraId="6FD53EF8">
      <w:pPr>
        <w:autoSpaceDE w:val="0"/>
        <w:autoSpaceDN w:val="0"/>
        <w:adjustRightInd w:val="0"/>
        <w:spacing w:line="240" w:lineRule="auto"/>
        <w:ind w:firstLine="207" w:firstLineChars="98"/>
        <w:rPr>
          <w:rFonts w:ascii="宋体" w:hAnsi="宋体"/>
          <w:b/>
          <w:bCs/>
          <w:color w:val="auto"/>
          <w:sz w:val="21"/>
          <w:szCs w:val="21"/>
          <w:highlight w:val="none"/>
        </w:rPr>
      </w:pPr>
    </w:p>
    <w:p w14:paraId="62DD959F">
      <w:pPr>
        <w:autoSpaceDE w:val="0"/>
        <w:autoSpaceDN w:val="0"/>
        <w:adjustRightInd w:val="0"/>
        <w:spacing w:line="240" w:lineRule="auto"/>
        <w:ind w:firstLine="207" w:firstLineChars="98"/>
        <w:rPr>
          <w:rFonts w:ascii="宋体" w:hAnsi="宋体"/>
          <w:b/>
          <w:bCs/>
          <w:color w:val="auto"/>
          <w:sz w:val="21"/>
          <w:szCs w:val="21"/>
          <w:highlight w:val="none"/>
        </w:rPr>
      </w:pPr>
    </w:p>
    <w:p w14:paraId="69C1D365">
      <w:pPr>
        <w:autoSpaceDE w:val="0"/>
        <w:autoSpaceDN w:val="0"/>
        <w:adjustRightInd w:val="0"/>
        <w:spacing w:line="240" w:lineRule="auto"/>
        <w:ind w:firstLine="207" w:firstLineChars="98"/>
        <w:rPr>
          <w:rFonts w:ascii="宋体" w:hAnsi="宋体"/>
          <w:b/>
          <w:bCs/>
          <w:color w:val="auto"/>
          <w:sz w:val="21"/>
          <w:szCs w:val="21"/>
          <w:highlight w:val="none"/>
        </w:rPr>
      </w:pPr>
      <w:r>
        <w:rPr>
          <w:rFonts w:hint="eastAsia" w:ascii="宋体" w:hAnsi="宋体"/>
          <w:b/>
          <w:bCs/>
          <w:color w:val="auto"/>
          <w:sz w:val="21"/>
          <w:szCs w:val="21"/>
          <w:highlight w:val="none"/>
        </w:rPr>
        <w:t>附表3：</w:t>
      </w:r>
    </w:p>
    <w:p w14:paraId="4BD7B357">
      <w:pPr>
        <w:autoSpaceDE w:val="0"/>
        <w:autoSpaceDN w:val="0"/>
        <w:adjustRightInd w:val="0"/>
        <w:spacing w:line="240" w:lineRule="auto"/>
        <w:ind w:firstLine="0" w:firstLineChars="0"/>
        <w:jc w:val="center"/>
        <w:rPr>
          <w:rFonts w:ascii="宋体" w:hAnsi="宋体"/>
          <w:b/>
          <w:bCs/>
          <w:color w:val="auto"/>
          <w:szCs w:val="24"/>
          <w:highlight w:val="none"/>
        </w:rPr>
      </w:pPr>
      <w:r>
        <w:rPr>
          <w:rFonts w:hint="eastAsia" w:ascii="宋体" w:hAnsi="宋体"/>
          <w:b/>
          <w:bCs/>
          <w:color w:val="auto"/>
          <w:szCs w:val="24"/>
          <w:highlight w:val="none"/>
        </w:rPr>
        <w:t>水质自动监测站监测系统运营服务考核表</w:t>
      </w:r>
    </w:p>
    <w:tbl>
      <w:tblPr>
        <w:tblStyle w:val="45"/>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78"/>
        <w:gridCol w:w="4311"/>
        <w:gridCol w:w="1883"/>
        <w:gridCol w:w="709"/>
        <w:gridCol w:w="749"/>
      </w:tblGrid>
      <w:tr w14:paraId="4ACF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39" w:type="dxa"/>
            <w:gridSpan w:val="3"/>
            <w:vAlign w:val="center"/>
          </w:tcPr>
          <w:p w14:paraId="2D07EECB">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考核内容</w:t>
            </w:r>
          </w:p>
        </w:tc>
        <w:tc>
          <w:tcPr>
            <w:tcW w:w="1883" w:type="dxa"/>
            <w:vAlign w:val="center"/>
          </w:tcPr>
          <w:p w14:paraId="2460A196">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扣分值</w:t>
            </w:r>
          </w:p>
        </w:tc>
        <w:tc>
          <w:tcPr>
            <w:tcW w:w="709" w:type="dxa"/>
            <w:vAlign w:val="center"/>
          </w:tcPr>
          <w:p w14:paraId="2A23C80B">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扣分结果</w:t>
            </w:r>
          </w:p>
        </w:tc>
        <w:tc>
          <w:tcPr>
            <w:tcW w:w="749" w:type="dxa"/>
            <w:vAlign w:val="center"/>
          </w:tcPr>
          <w:p w14:paraId="39BE0B96">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扣分说明</w:t>
            </w:r>
          </w:p>
        </w:tc>
      </w:tr>
      <w:tr w14:paraId="011C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650" w:type="dxa"/>
            <w:vMerge w:val="restart"/>
            <w:vAlign w:val="center"/>
          </w:tcPr>
          <w:p w14:paraId="1082E11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服务内容</w:t>
            </w:r>
          </w:p>
        </w:tc>
        <w:tc>
          <w:tcPr>
            <w:tcW w:w="1278" w:type="dxa"/>
            <w:vAlign w:val="center"/>
          </w:tcPr>
          <w:p w14:paraId="0803165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远程检查</w:t>
            </w:r>
            <w:r>
              <w:rPr>
                <w:rFonts w:hint="eastAsia" w:ascii="宋体" w:hAnsi="宋体" w:cs="宋体"/>
                <w:color w:val="auto"/>
                <w:kern w:val="0"/>
                <w:sz w:val="21"/>
                <w:szCs w:val="21"/>
                <w:highlight w:val="none"/>
                <w:lang w:eastAsia="zh-CN"/>
              </w:rPr>
              <w:t>、审核</w:t>
            </w:r>
            <w:r>
              <w:rPr>
                <w:rFonts w:hint="eastAsia" w:ascii="宋体" w:hAnsi="宋体" w:cs="宋体"/>
                <w:color w:val="auto"/>
                <w:kern w:val="0"/>
                <w:sz w:val="21"/>
                <w:szCs w:val="21"/>
                <w:highlight w:val="none"/>
              </w:rPr>
              <w:t>数据</w:t>
            </w:r>
          </w:p>
        </w:tc>
        <w:tc>
          <w:tcPr>
            <w:tcW w:w="4311" w:type="dxa"/>
            <w:vAlign w:val="center"/>
          </w:tcPr>
          <w:p w14:paraId="797CC44B">
            <w:pPr>
              <w:widowControl/>
              <w:spacing w:line="30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每天8:00—23:30，专人负责通过数据平台对监测仪器状态实施监控。监控时段内仪器故障发现时间不得超过1小时，非监控时段内仪器故障发现时间不得晚于次日8:30</w:t>
            </w:r>
            <w:r>
              <w:rPr>
                <w:rFonts w:hint="eastAsia" w:ascii="宋体" w:hAnsi="宋体" w:cs="宋体"/>
                <w:color w:val="auto"/>
                <w:kern w:val="0"/>
                <w:sz w:val="21"/>
                <w:szCs w:val="21"/>
                <w:highlight w:val="none"/>
                <w:lang w:eastAsia="zh-CN"/>
              </w:rPr>
              <w:t>。每天9:00前在指定网站完成数据一审工作。</w:t>
            </w:r>
          </w:p>
        </w:tc>
        <w:tc>
          <w:tcPr>
            <w:tcW w:w="1883" w:type="dxa"/>
            <w:vAlign w:val="center"/>
          </w:tcPr>
          <w:p w14:paraId="4283766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错、漏1次扣0.5分</w:t>
            </w:r>
          </w:p>
        </w:tc>
        <w:tc>
          <w:tcPr>
            <w:tcW w:w="709" w:type="dxa"/>
            <w:vAlign w:val="center"/>
          </w:tcPr>
          <w:p w14:paraId="4861D1F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49" w:type="dxa"/>
            <w:vAlign w:val="center"/>
          </w:tcPr>
          <w:p w14:paraId="6BC1B3D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1FB2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50" w:type="dxa"/>
            <w:vMerge w:val="continue"/>
            <w:vAlign w:val="center"/>
          </w:tcPr>
          <w:p w14:paraId="38ED0937">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7887678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会商与</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信息</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交流</w:t>
            </w:r>
          </w:p>
        </w:tc>
        <w:tc>
          <w:tcPr>
            <w:tcW w:w="4311" w:type="dxa"/>
            <w:vAlign w:val="center"/>
          </w:tcPr>
          <w:p w14:paraId="7D9BCEEE">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每天9:00以短信方式汇报前一日工作情况及当日工作安排。出现仪器故障、监测数据异常等情况时以电话和电子形式及时上报</w:t>
            </w:r>
          </w:p>
        </w:tc>
        <w:tc>
          <w:tcPr>
            <w:tcW w:w="1883" w:type="dxa"/>
            <w:vAlign w:val="center"/>
          </w:tcPr>
          <w:p w14:paraId="5D5E6A7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错、漏1次扣0.5分</w:t>
            </w:r>
          </w:p>
        </w:tc>
        <w:tc>
          <w:tcPr>
            <w:tcW w:w="709" w:type="dxa"/>
            <w:vAlign w:val="center"/>
          </w:tcPr>
          <w:p w14:paraId="0A27F1C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49" w:type="dxa"/>
            <w:vAlign w:val="center"/>
          </w:tcPr>
          <w:p w14:paraId="3973849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17F4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50" w:type="dxa"/>
            <w:vMerge w:val="continue"/>
            <w:vAlign w:val="center"/>
          </w:tcPr>
          <w:p w14:paraId="13D30A78">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2245657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监测数据审核和管理</w:t>
            </w:r>
          </w:p>
        </w:tc>
        <w:tc>
          <w:tcPr>
            <w:tcW w:w="4311" w:type="dxa"/>
            <w:vAlign w:val="center"/>
          </w:tcPr>
          <w:p w14:paraId="5B51CE08">
            <w:pPr>
              <w:widowControl/>
              <w:spacing w:line="30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安排专人专职负责管理和监控数据，每日对数据进行审核并标记核实异常和无效数据，超标数据必须核实原因并及时汇报。</w:t>
            </w:r>
          </w:p>
        </w:tc>
        <w:tc>
          <w:tcPr>
            <w:tcW w:w="1883" w:type="dxa"/>
            <w:vAlign w:val="center"/>
          </w:tcPr>
          <w:p w14:paraId="6C5A004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错、漏1项扣1分</w:t>
            </w:r>
          </w:p>
        </w:tc>
        <w:tc>
          <w:tcPr>
            <w:tcW w:w="709" w:type="dxa"/>
            <w:vAlign w:val="center"/>
          </w:tcPr>
          <w:p w14:paraId="53C9181A">
            <w:pPr>
              <w:widowControl/>
              <w:spacing w:line="300" w:lineRule="auto"/>
              <w:ind w:firstLine="0" w:firstLineChars="0"/>
              <w:jc w:val="center"/>
              <w:rPr>
                <w:rFonts w:ascii="宋体" w:hAnsi="宋体" w:cs="宋体"/>
                <w:color w:val="auto"/>
                <w:kern w:val="0"/>
                <w:sz w:val="21"/>
                <w:szCs w:val="21"/>
                <w:highlight w:val="none"/>
              </w:rPr>
            </w:pPr>
          </w:p>
        </w:tc>
        <w:tc>
          <w:tcPr>
            <w:tcW w:w="749" w:type="dxa"/>
            <w:vAlign w:val="center"/>
          </w:tcPr>
          <w:p w14:paraId="64AE90C2">
            <w:pPr>
              <w:widowControl/>
              <w:spacing w:line="300" w:lineRule="auto"/>
              <w:ind w:firstLine="0" w:firstLineChars="0"/>
              <w:jc w:val="center"/>
              <w:rPr>
                <w:rFonts w:ascii="宋体" w:hAnsi="宋体" w:cs="宋体"/>
                <w:color w:val="auto"/>
                <w:kern w:val="0"/>
                <w:sz w:val="21"/>
                <w:szCs w:val="21"/>
                <w:highlight w:val="none"/>
              </w:rPr>
            </w:pPr>
          </w:p>
        </w:tc>
      </w:tr>
      <w:tr w14:paraId="1F2E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0" w:type="dxa"/>
            <w:vMerge w:val="continue"/>
            <w:vAlign w:val="center"/>
          </w:tcPr>
          <w:p w14:paraId="12DCBD05">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394C1CF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子站现场巡检</w:t>
            </w:r>
          </w:p>
        </w:tc>
        <w:tc>
          <w:tcPr>
            <w:tcW w:w="4311" w:type="dxa"/>
            <w:vAlign w:val="center"/>
          </w:tcPr>
          <w:p w14:paraId="380019C1">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频次：不少于1次/（站•周）。巡检内容和记录要素，要包括子站监测系统所有功能单元的最新运行情况和现场检查维护情况，反映在巡检记录表上的巡检内容和记录要素必须完整，并与实际子站情况相符，记录内容不完整、不规范和弄虚作假的当作缺检计算，每月的前10天内，提交上月子站巡检记录，每季前15天进行汇总。</w:t>
            </w:r>
          </w:p>
        </w:tc>
        <w:tc>
          <w:tcPr>
            <w:tcW w:w="1883" w:type="dxa"/>
            <w:vAlign w:val="center"/>
          </w:tcPr>
          <w:p w14:paraId="76E8DBC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错、漏1次巡检扣1分</w:t>
            </w:r>
          </w:p>
        </w:tc>
        <w:tc>
          <w:tcPr>
            <w:tcW w:w="709" w:type="dxa"/>
            <w:vAlign w:val="center"/>
          </w:tcPr>
          <w:p w14:paraId="5E4432E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49" w:type="dxa"/>
            <w:vAlign w:val="center"/>
          </w:tcPr>
          <w:p w14:paraId="7961275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5E6C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50" w:type="dxa"/>
            <w:vMerge w:val="continue"/>
            <w:vAlign w:val="center"/>
          </w:tcPr>
          <w:p w14:paraId="5436E6DA">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59430911">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仪器和平台故障排除</w:t>
            </w:r>
          </w:p>
        </w:tc>
        <w:tc>
          <w:tcPr>
            <w:tcW w:w="4311" w:type="dxa"/>
            <w:vAlign w:val="center"/>
          </w:tcPr>
          <w:p w14:paraId="7BBFC32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故障检修到场与故障排除（指恢复正常运行，不可抗力的破坏以及如停电停水、预防性维护、受控备件供应不上等情况除外）必须及时：1小时内到达故障现场，水质应急事件必须1小时内到达现场，48小时内排除故障；如在规定时间内无法恢复正常运行，则按要求规定一周三次手工采样，并委托有资质的单位进行手工分析，每周一8:30上报手工采样数据（附原始报告）</w:t>
            </w:r>
          </w:p>
        </w:tc>
        <w:tc>
          <w:tcPr>
            <w:tcW w:w="1883" w:type="dxa"/>
            <w:vAlign w:val="center"/>
          </w:tcPr>
          <w:p w14:paraId="06AE207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每个参数不响应1次或超过时限每天扣1分，超过5天每天扣2分</w:t>
            </w:r>
          </w:p>
        </w:tc>
        <w:tc>
          <w:tcPr>
            <w:tcW w:w="709" w:type="dxa"/>
            <w:vAlign w:val="center"/>
          </w:tcPr>
          <w:p w14:paraId="6120F7CE">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49" w:type="dxa"/>
            <w:vAlign w:val="center"/>
          </w:tcPr>
          <w:p w14:paraId="48CF93F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6944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650" w:type="dxa"/>
            <w:vMerge w:val="continue"/>
            <w:vAlign w:val="center"/>
          </w:tcPr>
          <w:p w14:paraId="00BC5F96">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55ABAD5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站房环境及辅助设备维护</w:t>
            </w:r>
          </w:p>
        </w:tc>
        <w:tc>
          <w:tcPr>
            <w:tcW w:w="4311" w:type="dxa"/>
            <w:vAlign w:val="center"/>
          </w:tcPr>
          <w:p w14:paraId="3626F1F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站房内外整洁、维持站房温湿度环境稳定、防火防盗防雷。维护辅助设备稳定运行等。</w:t>
            </w:r>
          </w:p>
        </w:tc>
        <w:tc>
          <w:tcPr>
            <w:tcW w:w="1883" w:type="dxa"/>
            <w:vAlign w:val="center"/>
          </w:tcPr>
          <w:p w14:paraId="0F1DC84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错、漏1次扣1分；辅助设备无正当理由一个月内没维修扣2分，超过一个月每月扣3分</w:t>
            </w:r>
          </w:p>
        </w:tc>
        <w:tc>
          <w:tcPr>
            <w:tcW w:w="709" w:type="dxa"/>
            <w:vAlign w:val="center"/>
          </w:tcPr>
          <w:p w14:paraId="049A32EE">
            <w:pPr>
              <w:widowControl/>
              <w:spacing w:line="300" w:lineRule="auto"/>
              <w:ind w:firstLine="0" w:firstLineChars="0"/>
              <w:jc w:val="center"/>
              <w:rPr>
                <w:rFonts w:ascii="宋体" w:hAnsi="宋体" w:cs="宋体"/>
                <w:color w:val="auto"/>
                <w:kern w:val="0"/>
                <w:sz w:val="21"/>
                <w:szCs w:val="21"/>
                <w:highlight w:val="none"/>
              </w:rPr>
            </w:pPr>
          </w:p>
        </w:tc>
        <w:tc>
          <w:tcPr>
            <w:tcW w:w="749" w:type="dxa"/>
            <w:vAlign w:val="center"/>
          </w:tcPr>
          <w:p w14:paraId="2AA078BA">
            <w:pPr>
              <w:widowControl/>
              <w:spacing w:line="300" w:lineRule="auto"/>
              <w:ind w:firstLine="0" w:firstLineChars="0"/>
              <w:jc w:val="center"/>
              <w:rPr>
                <w:rFonts w:ascii="宋体" w:hAnsi="宋体" w:cs="宋体"/>
                <w:color w:val="auto"/>
                <w:kern w:val="0"/>
                <w:sz w:val="21"/>
                <w:szCs w:val="21"/>
                <w:highlight w:val="none"/>
              </w:rPr>
            </w:pPr>
          </w:p>
        </w:tc>
      </w:tr>
      <w:tr w14:paraId="3719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650" w:type="dxa"/>
            <w:vMerge w:val="continue"/>
            <w:vAlign w:val="center"/>
          </w:tcPr>
          <w:p w14:paraId="7C758081">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42CFCA2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仪器运行维护</w:t>
            </w:r>
          </w:p>
        </w:tc>
        <w:tc>
          <w:tcPr>
            <w:tcW w:w="4311" w:type="dxa"/>
            <w:vAlign w:val="center"/>
          </w:tcPr>
          <w:p w14:paraId="388A11CE">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按照相关要求进行运行状态系统检查、清洗、校准、打磨、更换试剂、更换零备件等维护工作</w:t>
            </w:r>
          </w:p>
        </w:tc>
        <w:tc>
          <w:tcPr>
            <w:tcW w:w="1883" w:type="dxa"/>
            <w:vAlign w:val="center"/>
          </w:tcPr>
          <w:p w14:paraId="23D9E00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错、漏1次扣1分</w:t>
            </w:r>
          </w:p>
        </w:tc>
        <w:tc>
          <w:tcPr>
            <w:tcW w:w="709" w:type="dxa"/>
            <w:vAlign w:val="center"/>
          </w:tcPr>
          <w:p w14:paraId="7875593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49" w:type="dxa"/>
            <w:vAlign w:val="center"/>
          </w:tcPr>
          <w:p w14:paraId="48EC94E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09D1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50" w:type="dxa"/>
            <w:vMerge w:val="continue"/>
            <w:vAlign w:val="center"/>
          </w:tcPr>
          <w:p w14:paraId="63A81300">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41EDDBF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质量控制</w:t>
            </w:r>
          </w:p>
        </w:tc>
        <w:tc>
          <w:tcPr>
            <w:tcW w:w="4311" w:type="dxa"/>
            <w:vAlign w:val="center"/>
          </w:tcPr>
          <w:p w14:paraId="5D1C5AF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每个参数“周核查、月比对”</w:t>
            </w:r>
          </w:p>
        </w:tc>
        <w:tc>
          <w:tcPr>
            <w:tcW w:w="1883" w:type="dxa"/>
            <w:vAlign w:val="center"/>
          </w:tcPr>
          <w:p w14:paraId="23DA6D1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错、漏1个参数1次1分</w:t>
            </w:r>
          </w:p>
        </w:tc>
        <w:tc>
          <w:tcPr>
            <w:tcW w:w="709" w:type="dxa"/>
            <w:vAlign w:val="center"/>
          </w:tcPr>
          <w:p w14:paraId="0D98613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49" w:type="dxa"/>
            <w:vAlign w:val="center"/>
          </w:tcPr>
          <w:p w14:paraId="29D5CACE">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33FB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50" w:type="dxa"/>
            <w:vMerge w:val="continue"/>
            <w:vAlign w:val="center"/>
          </w:tcPr>
          <w:p w14:paraId="57C44527">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1F9DDE3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废液处理</w:t>
            </w:r>
          </w:p>
        </w:tc>
        <w:tc>
          <w:tcPr>
            <w:tcW w:w="4311" w:type="dxa"/>
            <w:vAlign w:val="center"/>
          </w:tcPr>
          <w:p w14:paraId="0662667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做好废液收集并妥善处理处置废液，废液桶标识清晰</w:t>
            </w:r>
          </w:p>
        </w:tc>
        <w:tc>
          <w:tcPr>
            <w:tcW w:w="1883" w:type="dxa"/>
            <w:vAlign w:val="center"/>
          </w:tcPr>
          <w:p w14:paraId="080149C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废液桶无标识扣2分；不及时、不规范处理处置废液的，扣1分；废液放置站房外长期存放扣4分</w:t>
            </w:r>
          </w:p>
        </w:tc>
        <w:tc>
          <w:tcPr>
            <w:tcW w:w="709" w:type="dxa"/>
            <w:vAlign w:val="center"/>
          </w:tcPr>
          <w:p w14:paraId="3477543F">
            <w:pPr>
              <w:widowControl/>
              <w:spacing w:line="300" w:lineRule="auto"/>
              <w:ind w:firstLine="0" w:firstLineChars="0"/>
              <w:jc w:val="center"/>
              <w:rPr>
                <w:rFonts w:ascii="宋体" w:hAnsi="宋体" w:cs="宋体"/>
                <w:color w:val="auto"/>
                <w:kern w:val="0"/>
                <w:sz w:val="21"/>
                <w:szCs w:val="21"/>
                <w:highlight w:val="none"/>
              </w:rPr>
            </w:pPr>
          </w:p>
        </w:tc>
        <w:tc>
          <w:tcPr>
            <w:tcW w:w="749" w:type="dxa"/>
            <w:vAlign w:val="center"/>
          </w:tcPr>
          <w:p w14:paraId="60E7B446">
            <w:pPr>
              <w:widowControl/>
              <w:spacing w:line="300" w:lineRule="auto"/>
              <w:ind w:firstLine="0" w:firstLineChars="0"/>
              <w:jc w:val="center"/>
              <w:rPr>
                <w:rFonts w:ascii="宋体" w:hAnsi="宋体" w:cs="宋体"/>
                <w:color w:val="auto"/>
                <w:kern w:val="0"/>
                <w:sz w:val="21"/>
                <w:szCs w:val="21"/>
                <w:highlight w:val="none"/>
              </w:rPr>
            </w:pPr>
          </w:p>
        </w:tc>
      </w:tr>
      <w:tr w14:paraId="4644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50" w:type="dxa"/>
            <w:vMerge w:val="continue"/>
            <w:vAlign w:val="center"/>
          </w:tcPr>
          <w:p w14:paraId="5F232B82">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6348FDA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数据保密</w:t>
            </w:r>
          </w:p>
        </w:tc>
        <w:tc>
          <w:tcPr>
            <w:tcW w:w="4311" w:type="dxa"/>
            <w:vAlign w:val="center"/>
          </w:tcPr>
          <w:p w14:paraId="0237F14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不论何时，运维单位都应承担监测数据的保密责任；运维单位按照采购人的要求，进行报告和传输有关的监测数据，均不得以任何方式和渠道向外界传递任何监测数据。</w:t>
            </w:r>
          </w:p>
        </w:tc>
        <w:tc>
          <w:tcPr>
            <w:tcW w:w="1883" w:type="dxa"/>
            <w:vAlign w:val="center"/>
          </w:tcPr>
          <w:p w14:paraId="3730AD3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发现1次扣20分</w:t>
            </w:r>
          </w:p>
        </w:tc>
        <w:tc>
          <w:tcPr>
            <w:tcW w:w="709" w:type="dxa"/>
            <w:vAlign w:val="center"/>
          </w:tcPr>
          <w:p w14:paraId="617261E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49" w:type="dxa"/>
            <w:vAlign w:val="center"/>
          </w:tcPr>
          <w:p w14:paraId="7C222DC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335C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0" w:type="dxa"/>
            <w:vMerge w:val="continue"/>
            <w:vAlign w:val="center"/>
          </w:tcPr>
          <w:p w14:paraId="45E6BE2F">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401AF61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记录</w:t>
            </w:r>
          </w:p>
        </w:tc>
        <w:tc>
          <w:tcPr>
            <w:tcW w:w="4311" w:type="dxa"/>
            <w:vAlign w:val="center"/>
          </w:tcPr>
          <w:p w14:paraId="655F316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按规范要求做好日常相关记录表格，每月交一次所有记录给采购人审查。采购人可随时抽查记录内容，运营商须及时提供，不得阻挠、拖延、伪造。</w:t>
            </w:r>
          </w:p>
        </w:tc>
        <w:tc>
          <w:tcPr>
            <w:tcW w:w="1883" w:type="dxa"/>
            <w:vAlign w:val="center"/>
          </w:tcPr>
          <w:p w14:paraId="0FF7625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期限内缺1份扣1分</w:t>
            </w:r>
          </w:p>
        </w:tc>
        <w:tc>
          <w:tcPr>
            <w:tcW w:w="709" w:type="dxa"/>
            <w:vAlign w:val="center"/>
          </w:tcPr>
          <w:p w14:paraId="2083506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49" w:type="dxa"/>
            <w:vAlign w:val="center"/>
          </w:tcPr>
          <w:p w14:paraId="68AF97B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4B82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0" w:type="dxa"/>
            <w:vMerge w:val="restart"/>
            <w:vAlign w:val="center"/>
          </w:tcPr>
          <w:p w14:paraId="73F7F01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服务质量</w:t>
            </w:r>
          </w:p>
        </w:tc>
        <w:tc>
          <w:tcPr>
            <w:tcW w:w="1278" w:type="dxa"/>
            <w:vAlign w:val="center"/>
          </w:tcPr>
          <w:p w14:paraId="09C34E2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质控考核</w:t>
            </w:r>
          </w:p>
        </w:tc>
        <w:tc>
          <w:tcPr>
            <w:tcW w:w="4311" w:type="dxa"/>
            <w:vAlign w:val="center"/>
          </w:tcPr>
          <w:p w14:paraId="2499B18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接受采购人或采购人委托的第三方机构或采购人上级部门考核的定期或不定期考核</w:t>
            </w:r>
          </w:p>
        </w:tc>
        <w:tc>
          <w:tcPr>
            <w:tcW w:w="1883" w:type="dxa"/>
            <w:vAlign w:val="center"/>
          </w:tcPr>
          <w:p w14:paraId="373CDBA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上级部门考核不合格1次扣20分；本单位内部（或委托第三方机构）考核1个参数1次不合格扣2分</w:t>
            </w:r>
          </w:p>
        </w:tc>
        <w:tc>
          <w:tcPr>
            <w:tcW w:w="709" w:type="dxa"/>
            <w:vAlign w:val="center"/>
          </w:tcPr>
          <w:p w14:paraId="34C2FA9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49" w:type="dxa"/>
            <w:vAlign w:val="center"/>
          </w:tcPr>
          <w:p w14:paraId="371569A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5D11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650" w:type="dxa"/>
            <w:vMerge w:val="continue"/>
            <w:vAlign w:val="center"/>
          </w:tcPr>
          <w:p w14:paraId="74393CD2">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52DF3E3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服务态度</w:t>
            </w:r>
          </w:p>
        </w:tc>
        <w:tc>
          <w:tcPr>
            <w:tcW w:w="4311" w:type="dxa"/>
            <w:vAlign w:val="center"/>
          </w:tcPr>
          <w:p w14:paraId="5961F26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运维人员按要求开展各项工作</w:t>
            </w:r>
          </w:p>
        </w:tc>
        <w:tc>
          <w:tcPr>
            <w:tcW w:w="1883" w:type="dxa"/>
            <w:vAlign w:val="center"/>
          </w:tcPr>
          <w:p w14:paraId="1D9C7AD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工作拖拉、推诿、态度恶劣、语言过激造成不良影响的扣5分</w:t>
            </w:r>
          </w:p>
        </w:tc>
        <w:tc>
          <w:tcPr>
            <w:tcW w:w="709" w:type="dxa"/>
            <w:vAlign w:val="center"/>
          </w:tcPr>
          <w:p w14:paraId="17221AE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49" w:type="dxa"/>
            <w:vAlign w:val="center"/>
          </w:tcPr>
          <w:p w14:paraId="126F90C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7E56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50" w:type="dxa"/>
            <w:vMerge w:val="continue"/>
            <w:vAlign w:val="center"/>
          </w:tcPr>
          <w:p w14:paraId="0E544E7C">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5353B05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记录、报告规范</w:t>
            </w:r>
          </w:p>
        </w:tc>
        <w:tc>
          <w:tcPr>
            <w:tcW w:w="4311" w:type="dxa"/>
            <w:vAlign w:val="center"/>
          </w:tcPr>
          <w:p w14:paraId="4CA16D9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所有记录须字体清晰，不得模糊潦草，并按规范填写相应内容。</w:t>
            </w:r>
          </w:p>
        </w:tc>
        <w:tc>
          <w:tcPr>
            <w:tcW w:w="1883" w:type="dxa"/>
            <w:vAlign w:val="center"/>
          </w:tcPr>
          <w:p w14:paraId="67F5640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1项扣1分</w:t>
            </w:r>
          </w:p>
        </w:tc>
        <w:tc>
          <w:tcPr>
            <w:tcW w:w="709" w:type="dxa"/>
            <w:vAlign w:val="center"/>
          </w:tcPr>
          <w:p w14:paraId="4C0C947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49" w:type="dxa"/>
            <w:vAlign w:val="center"/>
          </w:tcPr>
          <w:p w14:paraId="19A8DDE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65CB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50" w:type="dxa"/>
            <w:vMerge w:val="continue"/>
            <w:vAlign w:val="center"/>
          </w:tcPr>
          <w:p w14:paraId="50B30817">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7F4A4C2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单站单项数据月度有效获取率</w:t>
            </w:r>
          </w:p>
        </w:tc>
        <w:tc>
          <w:tcPr>
            <w:tcW w:w="4311" w:type="dxa"/>
            <w:vAlign w:val="center"/>
          </w:tcPr>
          <w:p w14:paraId="60590A7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每个子站每个参数月度有效数据获取率不小于90%</w:t>
            </w:r>
          </w:p>
        </w:tc>
        <w:tc>
          <w:tcPr>
            <w:tcW w:w="1883" w:type="dxa"/>
            <w:vAlign w:val="center"/>
          </w:tcPr>
          <w:p w14:paraId="52F2CF4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单站单项不达标1次扣2分</w:t>
            </w:r>
          </w:p>
        </w:tc>
        <w:tc>
          <w:tcPr>
            <w:tcW w:w="709" w:type="dxa"/>
            <w:vAlign w:val="center"/>
          </w:tcPr>
          <w:p w14:paraId="4807513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49" w:type="dxa"/>
            <w:vAlign w:val="center"/>
          </w:tcPr>
          <w:p w14:paraId="5BC3136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21AD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0" w:type="dxa"/>
            <w:vMerge w:val="continue"/>
            <w:vAlign w:val="center"/>
          </w:tcPr>
          <w:p w14:paraId="41A6A14B">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308690B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单站数据有效率</w:t>
            </w:r>
          </w:p>
        </w:tc>
        <w:tc>
          <w:tcPr>
            <w:tcW w:w="4311" w:type="dxa"/>
            <w:vAlign w:val="center"/>
          </w:tcPr>
          <w:p w14:paraId="356A877C">
            <w:pPr>
              <w:widowControl/>
              <w:spacing w:line="30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每月所有参数数据有效率≥80%（除去断流、停电、不可抗力因素引起的故障或停运，以及采购人认为可以扣除 的时间段）</w:t>
            </w:r>
          </w:p>
        </w:tc>
        <w:tc>
          <w:tcPr>
            <w:tcW w:w="1883" w:type="dxa"/>
            <w:vAlign w:val="center"/>
          </w:tcPr>
          <w:p w14:paraId="52DC7311">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有效率每降低1%（四舍五入），扣2.5分。注：考核参数最低的有效率，不考核平均有效率。</w:t>
            </w:r>
          </w:p>
        </w:tc>
        <w:tc>
          <w:tcPr>
            <w:tcW w:w="709" w:type="dxa"/>
            <w:vAlign w:val="center"/>
          </w:tcPr>
          <w:p w14:paraId="6E3736E7">
            <w:pPr>
              <w:widowControl/>
              <w:spacing w:line="300" w:lineRule="auto"/>
              <w:ind w:firstLine="0" w:firstLineChars="0"/>
              <w:jc w:val="center"/>
              <w:rPr>
                <w:rFonts w:ascii="宋体" w:hAnsi="宋体" w:cs="宋体"/>
                <w:color w:val="auto"/>
                <w:kern w:val="0"/>
                <w:sz w:val="21"/>
                <w:szCs w:val="21"/>
                <w:highlight w:val="none"/>
              </w:rPr>
            </w:pPr>
          </w:p>
        </w:tc>
        <w:tc>
          <w:tcPr>
            <w:tcW w:w="749" w:type="dxa"/>
            <w:vAlign w:val="center"/>
          </w:tcPr>
          <w:p w14:paraId="5742330E">
            <w:pPr>
              <w:widowControl/>
              <w:spacing w:line="300" w:lineRule="auto"/>
              <w:ind w:firstLine="0" w:firstLineChars="0"/>
              <w:jc w:val="center"/>
              <w:rPr>
                <w:rFonts w:ascii="宋体" w:hAnsi="宋体" w:cs="宋体"/>
                <w:color w:val="auto"/>
                <w:kern w:val="0"/>
                <w:sz w:val="21"/>
                <w:szCs w:val="21"/>
                <w:highlight w:val="none"/>
              </w:rPr>
            </w:pPr>
          </w:p>
        </w:tc>
      </w:tr>
      <w:tr w14:paraId="6B6A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50" w:type="dxa"/>
            <w:vMerge w:val="continue"/>
            <w:vAlign w:val="center"/>
          </w:tcPr>
          <w:p w14:paraId="16175730">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18788B7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备机使用情况</w:t>
            </w:r>
          </w:p>
        </w:tc>
        <w:tc>
          <w:tcPr>
            <w:tcW w:w="4311" w:type="dxa"/>
            <w:vAlign w:val="center"/>
          </w:tcPr>
          <w:p w14:paraId="638AB1C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未经许可，</w:t>
            </w:r>
            <w:r>
              <w:rPr>
                <w:rFonts w:hint="eastAsia" w:ascii="宋体" w:hAnsi="宋体" w:cs="宋体"/>
                <w:color w:val="auto"/>
                <w:kern w:val="0"/>
                <w:sz w:val="21"/>
                <w:szCs w:val="21"/>
                <w:highlight w:val="none"/>
              </w:rPr>
              <w:t>备机连续使用不得超过1个月</w:t>
            </w:r>
          </w:p>
        </w:tc>
        <w:tc>
          <w:tcPr>
            <w:tcW w:w="1883" w:type="dxa"/>
            <w:vAlign w:val="center"/>
          </w:tcPr>
          <w:p w14:paraId="5AD270C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1个项目超过1天每天扣1分，超过5天每天扣2分</w:t>
            </w:r>
          </w:p>
        </w:tc>
        <w:tc>
          <w:tcPr>
            <w:tcW w:w="709" w:type="dxa"/>
            <w:vAlign w:val="center"/>
          </w:tcPr>
          <w:p w14:paraId="563CCA65">
            <w:pPr>
              <w:widowControl/>
              <w:spacing w:line="300" w:lineRule="auto"/>
              <w:ind w:firstLine="0" w:firstLineChars="0"/>
              <w:jc w:val="center"/>
              <w:rPr>
                <w:rFonts w:ascii="宋体" w:hAnsi="宋体" w:cs="宋体"/>
                <w:color w:val="auto"/>
                <w:kern w:val="0"/>
                <w:sz w:val="21"/>
                <w:szCs w:val="21"/>
                <w:highlight w:val="none"/>
              </w:rPr>
            </w:pPr>
          </w:p>
        </w:tc>
        <w:tc>
          <w:tcPr>
            <w:tcW w:w="749" w:type="dxa"/>
            <w:vAlign w:val="center"/>
          </w:tcPr>
          <w:p w14:paraId="752D718F">
            <w:pPr>
              <w:widowControl/>
              <w:spacing w:line="300" w:lineRule="auto"/>
              <w:ind w:firstLine="0" w:firstLineChars="0"/>
              <w:jc w:val="center"/>
              <w:rPr>
                <w:rFonts w:ascii="宋体" w:hAnsi="宋体" w:cs="宋体"/>
                <w:color w:val="auto"/>
                <w:kern w:val="0"/>
                <w:sz w:val="21"/>
                <w:szCs w:val="21"/>
                <w:highlight w:val="none"/>
              </w:rPr>
            </w:pPr>
          </w:p>
        </w:tc>
      </w:tr>
      <w:tr w14:paraId="145D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0" w:type="dxa"/>
            <w:vMerge w:val="continue"/>
            <w:vAlign w:val="center"/>
          </w:tcPr>
          <w:p w14:paraId="6E933DE2">
            <w:pPr>
              <w:widowControl/>
              <w:spacing w:line="300" w:lineRule="auto"/>
              <w:ind w:firstLine="0" w:firstLineChars="0"/>
              <w:jc w:val="left"/>
              <w:rPr>
                <w:rFonts w:ascii="宋体" w:hAnsi="宋体" w:cs="宋体"/>
                <w:color w:val="auto"/>
                <w:kern w:val="0"/>
                <w:sz w:val="21"/>
                <w:szCs w:val="21"/>
                <w:highlight w:val="none"/>
              </w:rPr>
            </w:pPr>
          </w:p>
        </w:tc>
        <w:tc>
          <w:tcPr>
            <w:tcW w:w="1278" w:type="dxa"/>
            <w:vMerge w:val="restart"/>
            <w:vAlign w:val="center"/>
          </w:tcPr>
          <w:p w14:paraId="21B9E7D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（是否存在不满足合同或相关规范要求的情况）</w:t>
            </w:r>
          </w:p>
        </w:tc>
        <w:tc>
          <w:tcPr>
            <w:tcW w:w="4311" w:type="dxa"/>
            <w:vAlign w:val="center"/>
          </w:tcPr>
          <w:p w14:paraId="73FFC36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但对数据不造成影响的项目</w:t>
            </w:r>
          </w:p>
        </w:tc>
        <w:tc>
          <w:tcPr>
            <w:tcW w:w="1883" w:type="dxa"/>
            <w:vAlign w:val="center"/>
          </w:tcPr>
          <w:p w14:paraId="35F804E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每1项扣1分</w:t>
            </w:r>
          </w:p>
        </w:tc>
        <w:tc>
          <w:tcPr>
            <w:tcW w:w="709" w:type="dxa"/>
            <w:vAlign w:val="center"/>
          </w:tcPr>
          <w:p w14:paraId="06E1250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49" w:type="dxa"/>
            <w:vAlign w:val="center"/>
          </w:tcPr>
          <w:p w14:paraId="0655605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21E9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50" w:type="dxa"/>
            <w:vMerge w:val="continue"/>
            <w:vAlign w:val="center"/>
          </w:tcPr>
          <w:p w14:paraId="7166C14D">
            <w:pPr>
              <w:widowControl/>
              <w:spacing w:line="300" w:lineRule="auto"/>
              <w:ind w:firstLine="0" w:firstLineChars="0"/>
              <w:jc w:val="left"/>
              <w:rPr>
                <w:rFonts w:ascii="宋体" w:hAnsi="宋体" w:cs="宋体"/>
                <w:color w:val="auto"/>
                <w:kern w:val="0"/>
                <w:sz w:val="21"/>
                <w:szCs w:val="21"/>
                <w:highlight w:val="none"/>
              </w:rPr>
            </w:pPr>
          </w:p>
        </w:tc>
        <w:tc>
          <w:tcPr>
            <w:tcW w:w="1278" w:type="dxa"/>
            <w:vMerge w:val="continue"/>
            <w:vAlign w:val="center"/>
          </w:tcPr>
          <w:p w14:paraId="0E1293FF">
            <w:pPr>
              <w:widowControl/>
              <w:spacing w:line="300" w:lineRule="auto"/>
              <w:ind w:firstLine="0" w:firstLineChars="0"/>
              <w:jc w:val="left"/>
              <w:rPr>
                <w:rFonts w:ascii="宋体" w:hAnsi="宋体" w:cs="宋体"/>
                <w:color w:val="auto"/>
                <w:kern w:val="0"/>
                <w:sz w:val="21"/>
                <w:szCs w:val="21"/>
                <w:highlight w:val="none"/>
              </w:rPr>
            </w:pPr>
          </w:p>
        </w:tc>
        <w:tc>
          <w:tcPr>
            <w:tcW w:w="4311" w:type="dxa"/>
            <w:vAlign w:val="center"/>
          </w:tcPr>
          <w:p w14:paraId="79C45C3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且可能对数据造成严重影响的项目</w:t>
            </w:r>
          </w:p>
        </w:tc>
        <w:tc>
          <w:tcPr>
            <w:tcW w:w="1883" w:type="dxa"/>
            <w:vAlign w:val="center"/>
          </w:tcPr>
          <w:p w14:paraId="7D12041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每1项扣3分</w:t>
            </w:r>
          </w:p>
        </w:tc>
        <w:tc>
          <w:tcPr>
            <w:tcW w:w="709" w:type="dxa"/>
            <w:vAlign w:val="center"/>
          </w:tcPr>
          <w:p w14:paraId="3732DD9D">
            <w:pPr>
              <w:spacing w:line="300" w:lineRule="auto"/>
              <w:ind w:firstLine="0" w:firstLineChars="0"/>
              <w:jc w:val="left"/>
              <w:rPr>
                <w:rFonts w:ascii="宋体" w:hAnsi="宋体" w:cs="宋体"/>
                <w:color w:val="auto"/>
                <w:kern w:val="0"/>
                <w:sz w:val="21"/>
                <w:szCs w:val="21"/>
                <w:highlight w:val="none"/>
              </w:rPr>
            </w:pPr>
          </w:p>
        </w:tc>
        <w:tc>
          <w:tcPr>
            <w:tcW w:w="749" w:type="dxa"/>
            <w:vAlign w:val="center"/>
          </w:tcPr>
          <w:p w14:paraId="356C96FE">
            <w:pPr>
              <w:spacing w:line="300" w:lineRule="auto"/>
              <w:ind w:firstLine="0" w:firstLineChars="0"/>
              <w:jc w:val="left"/>
              <w:rPr>
                <w:rFonts w:ascii="宋体" w:hAnsi="宋体" w:cs="宋体"/>
                <w:color w:val="auto"/>
                <w:kern w:val="0"/>
                <w:sz w:val="21"/>
                <w:szCs w:val="21"/>
                <w:highlight w:val="none"/>
              </w:rPr>
            </w:pPr>
          </w:p>
        </w:tc>
      </w:tr>
      <w:tr w14:paraId="6A24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50" w:type="dxa"/>
            <w:vMerge w:val="continue"/>
            <w:vAlign w:val="center"/>
          </w:tcPr>
          <w:p w14:paraId="1260114E">
            <w:pPr>
              <w:widowControl/>
              <w:spacing w:line="300" w:lineRule="auto"/>
              <w:ind w:firstLine="0" w:firstLineChars="0"/>
              <w:jc w:val="left"/>
              <w:rPr>
                <w:rFonts w:ascii="宋体" w:hAnsi="宋体" w:cs="宋体"/>
                <w:color w:val="auto"/>
                <w:kern w:val="0"/>
                <w:sz w:val="21"/>
                <w:szCs w:val="21"/>
                <w:highlight w:val="none"/>
              </w:rPr>
            </w:pPr>
          </w:p>
        </w:tc>
        <w:tc>
          <w:tcPr>
            <w:tcW w:w="1278" w:type="dxa"/>
            <w:vMerge w:val="continue"/>
            <w:vAlign w:val="center"/>
          </w:tcPr>
          <w:p w14:paraId="0A8499E2">
            <w:pPr>
              <w:widowControl/>
              <w:spacing w:line="300" w:lineRule="auto"/>
              <w:ind w:firstLine="0" w:firstLineChars="0"/>
              <w:jc w:val="left"/>
              <w:rPr>
                <w:rFonts w:ascii="宋体" w:hAnsi="宋体" w:cs="宋体"/>
                <w:color w:val="auto"/>
                <w:kern w:val="0"/>
                <w:sz w:val="21"/>
                <w:szCs w:val="21"/>
                <w:highlight w:val="none"/>
              </w:rPr>
            </w:pPr>
          </w:p>
        </w:tc>
        <w:tc>
          <w:tcPr>
            <w:tcW w:w="4311" w:type="dxa"/>
            <w:vAlign w:val="center"/>
          </w:tcPr>
          <w:p w14:paraId="1C101D9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且已对数据造成严重影响的项目</w:t>
            </w:r>
          </w:p>
        </w:tc>
        <w:tc>
          <w:tcPr>
            <w:tcW w:w="1883" w:type="dxa"/>
            <w:vAlign w:val="center"/>
          </w:tcPr>
          <w:p w14:paraId="314BDCF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每1项扣5分</w:t>
            </w:r>
          </w:p>
        </w:tc>
        <w:tc>
          <w:tcPr>
            <w:tcW w:w="709" w:type="dxa"/>
            <w:vAlign w:val="center"/>
          </w:tcPr>
          <w:p w14:paraId="46687833">
            <w:pPr>
              <w:widowControl/>
              <w:spacing w:line="300" w:lineRule="auto"/>
              <w:ind w:firstLine="0" w:firstLineChars="0"/>
              <w:jc w:val="left"/>
              <w:rPr>
                <w:rFonts w:ascii="宋体" w:hAnsi="宋体" w:cs="宋体"/>
                <w:color w:val="auto"/>
                <w:kern w:val="0"/>
                <w:sz w:val="21"/>
                <w:szCs w:val="21"/>
                <w:highlight w:val="none"/>
              </w:rPr>
            </w:pPr>
          </w:p>
        </w:tc>
        <w:tc>
          <w:tcPr>
            <w:tcW w:w="749" w:type="dxa"/>
            <w:vAlign w:val="center"/>
          </w:tcPr>
          <w:p w14:paraId="30D80429">
            <w:pPr>
              <w:widowControl/>
              <w:spacing w:line="300" w:lineRule="auto"/>
              <w:ind w:firstLine="0" w:firstLineChars="0"/>
              <w:jc w:val="left"/>
              <w:rPr>
                <w:rFonts w:ascii="宋体" w:hAnsi="宋体" w:cs="宋体"/>
                <w:color w:val="auto"/>
                <w:kern w:val="0"/>
                <w:sz w:val="21"/>
                <w:szCs w:val="21"/>
                <w:highlight w:val="none"/>
              </w:rPr>
            </w:pPr>
          </w:p>
        </w:tc>
      </w:tr>
      <w:tr w14:paraId="6F96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50" w:type="dxa"/>
            <w:vMerge w:val="continue"/>
            <w:vAlign w:val="center"/>
          </w:tcPr>
          <w:p w14:paraId="114CFF40">
            <w:pPr>
              <w:widowControl/>
              <w:spacing w:line="300" w:lineRule="auto"/>
              <w:ind w:firstLine="0" w:firstLineChars="0"/>
              <w:jc w:val="left"/>
              <w:rPr>
                <w:rFonts w:ascii="宋体" w:hAnsi="宋体" w:cs="宋体"/>
                <w:color w:val="auto"/>
                <w:kern w:val="0"/>
                <w:sz w:val="21"/>
                <w:szCs w:val="21"/>
                <w:highlight w:val="none"/>
              </w:rPr>
            </w:pPr>
          </w:p>
        </w:tc>
        <w:tc>
          <w:tcPr>
            <w:tcW w:w="1278" w:type="dxa"/>
            <w:vAlign w:val="center"/>
          </w:tcPr>
          <w:p w14:paraId="51E8FA2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数据真实性</w:t>
            </w:r>
          </w:p>
        </w:tc>
        <w:tc>
          <w:tcPr>
            <w:tcW w:w="4311" w:type="dxa"/>
            <w:vAlign w:val="center"/>
          </w:tcPr>
          <w:p w14:paraId="71D1F4C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制造虚假数据</w:t>
            </w:r>
          </w:p>
        </w:tc>
        <w:tc>
          <w:tcPr>
            <w:tcW w:w="1883" w:type="dxa"/>
            <w:vAlign w:val="center"/>
          </w:tcPr>
          <w:p w14:paraId="1EA82FC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终止合同，不予支付当季运维费用</w:t>
            </w:r>
          </w:p>
        </w:tc>
        <w:tc>
          <w:tcPr>
            <w:tcW w:w="709" w:type="dxa"/>
            <w:vAlign w:val="center"/>
          </w:tcPr>
          <w:p w14:paraId="353D31F8">
            <w:pPr>
              <w:widowControl/>
              <w:spacing w:line="300" w:lineRule="auto"/>
              <w:ind w:firstLine="0" w:firstLineChars="0"/>
              <w:jc w:val="left"/>
              <w:rPr>
                <w:rFonts w:ascii="宋体" w:hAnsi="宋体" w:cs="宋体"/>
                <w:color w:val="auto"/>
                <w:kern w:val="0"/>
                <w:sz w:val="21"/>
                <w:szCs w:val="21"/>
                <w:highlight w:val="none"/>
              </w:rPr>
            </w:pPr>
          </w:p>
        </w:tc>
        <w:tc>
          <w:tcPr>
            <w:tcW w:w="749" w:type="dxa"/>
            <w:vAlign w:val="center"/>
          </w:tcPr>
          <w:p w14:paraId="07B2C0AD">
            <w:pPr>
              <w:widowControl/>
              <w:spacing w:line="300" w:lineRule="auto"/>
              <w:ind w:firstLine="0" w:firstLineChars="0"/>
              <w:jc w:val="left"/>
              <w:rPr>
                <w:rFonts w:ascii="宋体" w:hAnsi="宋体" w:cs="宋体"/>
                <w:color w:val="auto"/>
                <w:kern w:val="0"/>
                <w:sz w:val="21"/>
                <w:szCs w:val="21"/>
                <w:highlight w:val="none"/>
              </w:rPr>
            </w:pPr>
          </w:p>
        </w:tc>
      </w:tr>
      <w:tr w14:paraId="3A6A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239" w:type="dxa"/>
            <w:gridSpan w:val="3"/>
            <w:vAlign w:val="center"/>
          </w:tcPr>
          <w:p w14:paraId="791C4940">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本季度考核总得分</w:t>
            </w:r>
          </w:p>
        </w:tc>
        <w:tc>
          <w:tcPr>
            <w:tcW w:w="3341" w:type="dxa"/>
            <w:gridSpan w:val="3"/>
            <w:vAlign w:val="center"/>
          </w:tcPr>
          <w:p w14:paraId="4D330C44">
            <w:pPr>
              <w:widowControl/>
              <w:spacing w:line="300" w:lineRule="auto"/>
              <w:ind w:firstLine="0" w:firstLineChars="0"/>
              <w:jc w:val="center"/>
              <w:rPr>
                <w:rFonts w:ascii="宋体" w:hAnsi="宋体" w:cs="宋体"/>
                <w:b/>
                <w:bCs/>
                <w:color w:val="auto"/>
                <w:kern w:val="0"/>
                <w:sz w:val="21"/>
                <w:szCs w:val="21"/>
                <w:highlight w:val="none"/>
              </w:rPr>
            </w:pPr>
          </w:p>
        </w:tc>
      </w:tr>
      <w:tr w14:paraId="4B97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239" w:type="dxa"/>
            <w:gridSpan w:val="3"/>
            <w:vAlign w:val="center"/>
          </w:tcPr>
          <w:p w14:paraId="221D0F71">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本季度考核总评价</w:t>
            </w:r>
          </w:p>
        </w:tc>
        <w:tc>
          <w:tcPr>
            <w:tcW w:w="3341" w:type="dxa"/>
            <w:gridSpan w:val="3"/>
            <w:vAlign w:val="center"/>
          </w:tcPr>
          <w:p w14:paraId="4FE627F5">
            <w:pPr>
              <w:widowControl/>
              <w:spacing w:line="300" w:lineRule="auto"/>
              <w:ind w:firstLine="0" w:firstLineChars="0"/>
              <w:jc w:val="center"/>
              <w:rPr>
                <w:rFonts w:ascii="宋体" w:hAnsi="宋体" w:cs="宋体"/>
                <w:b/>
                <w:bCs/>
                <w:color w:val="auto"/>
                <w:kern w:val="0"/>
                <w:sz w:val="21"/>
                <w:szCs w:val="21"/>
                <w:highlight w:val="none"/>
              </w:rPr>
            </w:pPr>
          </w:p>
        </w:tc>
      </w:tr>
    </w:tbl>
    <w:p w14:paraId="19C2DFFA">
      <w:pPr>
        <w:pStyle w:val="44"/>
        <w:ind w:left="480"/>
        <w:rPr>
          <w:color w:val="auto"/>
          <w:highlight w:val="none"/>
        </w:rPr>
      </w:pPr>
    </w:p>
    <w:p w14:paraId="6417311E">
      <w:pPr>
        <w:pStyle w:val="44"/>
        <w:ind w:left="480"/>
        <w:rPr>
          <w:color w:val="auto"/>
          <w:highlight w:val="none"/>
        </w:rPr>
      </w:pPr>
    </w:p>
    <w:p w14:paraId="68C427AF">
      <w:pPr>
        <w:pStyle w:val="44"/>
        <w:ind w:left="480"/>
        <w:rPr>
          <w:color w:val="auto"/>
          <w:highlight w:val="none"/>
        </w:rPr>
      </w:pPr>
    </w:p>
    <w:p w14:paraId="483351F8">
      <w:pPr>
        <w:spacing w:line="380" w:lineRule="exact"/>
        <w:ind w:firstLine="316" w:firstLineChars="150"/>
        <w:rPr>
          <w:rFonts w:ascii="宋体" w:hAnsi="宋体"/>
          <w:b/>
          <w:color w:val="auto"/>
          <w:sz w:val="21"/>
          <w:szCs w:val="21"/>
          <w:highlight w:val="none"/>
        </w:rPr>
      </w:pPr>
      <w:r>
        <w:rPr>
          <w:rFonts w:hint="eastAsia" w:ascii="宋体" w:hAnsi="宋体"/>
          <w:b/>
          <w:color w:val="auto"/>
          <w:sz w:val="21"/>
          <w:szCs w:val="21"/>
          <w:highlight w:val="none"/>
        </w:rPr>
        <w:t>分标2</w:t>
      </w:r>
    </w:p>
    <w:tbl>
      <w:tblPr>
        <w:tblStyle w:val="45"/>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34"/>
        <w:gridCol w:w="6087"/>
        <w:gridCol w:w="567"/>
        <w:gridCol w:w="567"/>
        <w:gridCol w:w="905"/>
      </w:tblGrid>
      <w:tr w14:paraId="6C04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730" w:type="dxa"/>
            <w:gridSpan w:val="6"/>
            <w:vAlign w:val="center"/>
          </w:tcPr>
          <w:p w14:paraId="73DC786C">
            <w:pPr>
              <w:spacing w:line="380" w:lineRule="exact"/>
              <w:ind w:firstLine="0" w:firstLineChars="0"/>
              <w:rPr>
                <w:rFonts w:ascii="宋体" w:hAnsi="宋体"/>
                <w:b/>
                <w:color w:val="auto"/>
                <w:kern w:val="21"/>
                <w:sz w:val="21"/>
                <w:szCs w:val="21"/>
                <w:highlight w:val="none"/>
              </w:rPr>
            </w:pPr>
            <w:r>
              <w:rPr>
                <w:rFonts w:hint="eastAsia" w:ascii="宋体" w:hAnsi="宋体"/>
                <w:b/>
                <w:color w:val="auto"/>
                <w:kern w:val="21"/>
                <w:sz w:val="21"/>
                <w:szCs w:val="21"/>
                <w:highlight w:val="none"/>
              </w:rPr>
              <w:t>▲一、服务内容及相关要求</w:t>
            </w:r>
          </w:p>
        </w:tc>
      </w:tr>
      <w:tr w14:paraId="41E7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70" w:type="dxa"/>
            <w:shd w:val="clear" w:color="auto" w:fill="auto"/>
            <w:vAlign w:val="center"/>
          </w:tcPr>
          <w:p w14:paraId="0E1C08BF">
            <w:pPr>
              <w:spacing w:line="380" w:lineRule="exact"/>
              <w:ind w:firstLine="0" w:firstLineChars="0"/>
              <w:jc w:val="center"/>
              <w:rPr>
                <w:rFonts w:ascii="宋体" w:hAnsi="宋体"/>
                <w:b/>
                <w:color w:val="auto"/>
                <w:kern w:val="21"/>
                <w:sz w:val="21"/>
                <w:szCs w:val="21"/>
                <w:highlight w:val="none"/>
              </w:rPr>
            </w:pPr>
            <w:r>
              <w:rPr>
                <w:rFonts w:hint="eastAsia" w:ascii="宋体" w:hAnsi="宋体"/>
                <w:b/>
                <w:color w:val="auto"/>
                <w:kern w:val="21"/>
                <w:sz w:val="21"/>
                <w:szCs w:val="21"/>
                <w:highlight w:val="none"/>
              </w:rPr>
              <w:t>序号</w:t>
            </w:r>
          </w:p>
        </w:tc>
        <w:tc>
          <w:tcPr>
            <w:tcW w:w="1034" w:type="dxa"/>
            <w:shd w:val="clear" w:color="auto" w:fill="auto"/>
            <w:vAlign w:val="center"/>
          </w:tcPr>
          <w:p w14:paraId="64883C5C">
            <w:pPr>
              <w:spacing w:line="380" w:lineRule="exact"/>
              <w:ind w:firstLine="0" w:firstLineChars="0"/>
              <w:jc w:val="center"/>
              <w:rPr>
                <w:rFonts w:ascii="宋体" w:hAnsi="宋体"/>
                <w:b/>
                <w:color w:val="auto"/>
                <w:kern w:val="21"/>
                <w:sz w:val="21"/>
                <w:szCs w:val="21"/>
                <w:highlight w:val="none"/>
              </w:rPr>
            </w:pPr>
            <w:r>
              <w:rPr>
                <w:rFonts w:hint="eastAsia" w:ascii="宋体" w:hAnsi="宋体"/>
                <w:b/>
                <w:color w:val="auto"/>
                <w:kern w:val="21"/>
                <w:sz w:val="21"/>
                <w:szCs w:val="21"/>
                <w:highlight w:val="none"/>
              </w:rPr>
              <w:t>服务名称</w:t>
            </w:r>
          </w:p>
        </w:tc>
        <w:tc>
          <w:tcPr>
            <w:tcW w:w="6087" w:type="dxa"/>
            <w:shd w:val="clear" w:color="auto" w:fill="auto"/>
            <w:vAlign w:val="center"/>
          </w:tcPr>
          <w:p w14:paraId="59807F5F">
            <w:pPr>
              <w:spacing w:line="380" w:lineRule="exact"/>
              <w:ind w:firstLine="0" w:firstLineChars="0"/>
              <w:jc w:val="center"/>
              <w:rPr>
                <w:rFonts w:ascii="宋体" w:hAnsi="宋体"/>
                <w:b/>
                <w:color w:val="auto"/>
                <w:kern w:val="21"/>
                <w:sz w:val="21"/>
                <w:szCs w:val="21"/>
                <w:highlight w:val="none"/>
              </w:rPr>
            </w:pPr>
            <w:r>
              <w:rPr>
                <w:rFonts w:hint="eastAsia" w:ascii="宋体" w:hAnsi="宋体"/>
                <w:b/>
                <w:color w:val="auto"/>
                <w:kern w:val="21"/>
                <w:sz w:val="21"/>
                <w:szCs w:val="21"/>
                <w:highlight w:val="none"/>
              </w:rPr>
              <w:t>服务内容</w:t>
            </w:r>
          </w:p>
        </w:tc>
        <w:tc>
          <w:tcPr>
            <w:tcW w:w="567" w:type="dxa"/>
            <w:shd w:val="clear" w:color="auto" w:fill="auto"/>
            <w:vAlign w:val="center"/>
          </w:tcPr>
          <w:p w14:paraId="31A33335">
            <w:pPr>
              <w:spacing w:line="380" w:lineRule="exact"/>
              <w:ind w:firstLine="0" w:firstLineChars="0"/>
              <w:jc w:val="center"/>
              <w:rPr>
                <w:rFonts w:ascii="宋体" w:hAnsi="宋体"/>
                <w:b/>
                <w:color w:val="auto"/>
                <w:kern w:val="21"/>
                <w:sz w:val="21"/>
                <w:szCs w:val="21"/>
                <w:highlight w:val="none"/>
              </w:rPr>
            </w:pPr>
            <w:r>
              <w:rPr>
                <w:rFonts w:hint="eastAsia" w:ascii="宋体" w:hAnsi="宋体"/>
                <w:b/>
                <w:color w:val="auto"/>
                <w:kern w:val="21"/>
                <w:sz w:val="21"/>
                <w:szCs w:val="21"/>
                <w:highlight w:val="none"/>
              </w:rPr>
              <w:t>数量</w:t>
            </w:r>
          </w:p>
        </w:tc>
        <w:tc>
          <w:tcPr>
            <w:tcW w:w="567" w:type="dxa"/>
            <w:shd w:val="clear" w:color="auto" w:fill="auto"/>
            <w:vAlign w:val="center"/>
          </w:tcPr>
          <w:p w14:paraId="5CF04DF8">
            <w:pPr>
              <w:spacing w:line="380" w:lineRule="exact"/>
              <w:ind w:firstLine="0" w:firstLineChars="0"/>
              <w:jc w:val="center"/>
              <w:rPr>
                <w:rFonts w:ascii="宋体" w:hAnsi="宋体"/>
                <w:b/>
                <w:color w:val="auto"/>
                <w:kern w:val="21"/>
                <w:sz w:val="21"/>
                <w:szCs w:val="21"/>
                <w:highlight w:val="none"/>
              </w:rPr>
            </w:pPr>
            <w:r>
              <w:rPr>
                <w:rFonts w:hint="eastAsia" w:ascii="宋体" w:hAnsi="宋体"/>
                <w:b/>
                <w:color w:val="auto"/>
                <w:kern w:val="21"/>
                <w:sz w:val="21"/>
                <w:szCs w:val="21"/>
                <w:highlight w:val="none"/>
              </w:rPr>
              <w:t>单位</w:t>
            </w:r>
          </w:p>
        </w:tc>
        <w:tc>
          <w:tcPr>
            <w:tcW w:w="905" w:type="dxa"/>
            <w:shd w:val="clear" w:color="auto" w:fill="auto"/>
            <w:vAlign w:val="center"/>
          </w:tcPr>
          <w:p w14:paraId="09EC1B82">
            <w:pPr>
              <w:spacing w:line="380" w:lineRule="exact"/>
              <w:ind w:firstLine="0" w:firstLineChars="0"/>
              <w:jc w:val="center"/>
              <w:rPr>
                <w:rFonts w:ascii="宋体" w:hAnsi="宋体"/>
                <w:b/>
                <w:color w:val="auto"/>
                <w:kern w:val="21"/>
                <w:sz w:val="21"/>
                <w:szCs w:val="21"/>
                <w:highlight w:val="none"/>
              </w:rPr>
            </w:pPr>
            <w:r>
              <w:rPr>
                <w:rFonts w:hint="eastAsia" w:ascii="宋体" w:hAnsi="宋体"/>
                <w:b/>
                <w:color w:val="auto"/>
                <w:kern w:val="21"/>
                <w:sz w:val="21"/>
                <w:szCs w:val="21"/>
                <w:highlight w:val="none"/>
              </w:rPr>
              <w:t>预算金额（万元）</w:t>
            </w:r>
          </w:p>
        </w:tc>
      </w:tr>
      <w:tr w14:paraId="3E1A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70" w:type="dxa"/>
            <w:vAlign w:val="center"/>
          </w:tcPr>
          <w:p w14:paraId="7B645AEA">
            <w:pPr>
              <w:spacing w:line="380" w:lineRule="exact"/>
              <w:ind w:firstLine="0" w:firstLineChars="0"/>
              <w:jc w:val="center"/>
              <w:rPr>
                <w:rFonts w:ascii="宋体" w:hAnsi="宋体"/>
                <w:color w:val="auto"/>
                <w:sz w:val="21"/>
                <w:szCs w:val="24"/>
                <w:highlight w:val="none"/>
              </w:rPr>
            </w:pPr>
            <w:r>
              <w:rPr>
                <w:rFonts w:hint="eastAsia" w:ascii="宋体" w:hAnsi="宋体"/>
                <w:color w:val="auto"/>
                <w:sz w:val="21"/>
                <w:szCs w:val="24"/>
                <w:highlight w:val="none"/>
              </w:rPr>
              <w:t>1</w:t>
            </w:r>
          </w:p>
        </w:tc>
        <w:tc>
          <w:tcPr>
            <w:tcW w:w="1034" w:type="dxa"/>
            <w:vAlign w:val="center"/>
          </w:tcPr>
          <w:p w14:paraId="5400B6FF">
            <w:pPr>
              <w:spacing w:line="380" w:lineRule="exact"/>
              <w:ind w:firstLine="0" w:firstLineChars="0"/>
              <w:jc w:val="center"/>
              <w:rPr>
                <w:rFonts w:ascii="宋体" w:hAnsi="宋体"/>
                <w:color w:val="auto"/>
                <w:kern w:val="21"/>
                <w:sz w:val="21"/>
                <w:szCs w:val="21"/>
                <w:highlight w:val="none"/>
              </w:rPr>
            </w:pPr>
            <w:r>
              <w:rPr>
                <w:rFonts w:hint="eastAsia" w:ascii="宋体" w:hAnsi="宋体"/>
                <w:color w:val="auto"/>
                <w:sz w:val="21"/>
                <w:szCs w:val="24"/>
                <w:highlight w:val="none"/>
              </w:rPr>
              <w:t>3个水质自动监测站运行维护服务</w:t>
            </w:r>
          </w:p>
        </w:tc>
        <w:tc>
          <w:tcPr>
            <w:tcW w:w="6087" w:type="dxa"/>
            <w:vAlign w:val="center"/>
          </w:tcPr>
          <w:p w14:paraId="3A79355F">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（一）项目概况</w:t>
            </w:r>
          </w:p>
          <w:p w14:paraId="57014418">
            <w:pPr>
              <w:spacing w:line="30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为了加强水质自动站运行管理，保障水质自动站仪器设备正常运行，提供稳定有效的数据，拟对3个水质自动站采取第三方运行维护方式运营。3个水质自动站主要配置了水质五参数（pH、溶解氧、电导率、浊度和水温）、高锰酸盐指数、氨氮、总磷、总氮、重金属、生物毒性、叶绿素、蓝绿藻等监测指标，</w:t>
            </w:r>
            <w:r>
              <w:rPr>
                <w:rFonts w:hint="eastAsia" w:ascii="宋体" w:hAnsi="宋体" w:cs="宋体"/>
                <w:b/>
                <w:bCs/>
                <w:color w:val="auto"/>
                <w:sz w:val="21"/>
                <w:szCs w:val="21"/>
                <w:highlight w:val="none"/>
              </w:rPr>
              <w:t>详见附件1</w:t>
            </w:r>
            <w:r>
              <w:rPr>
                <w:rFonts w:hint="eastAsia" w:ascii="宋体" w:hAnsi="宋体" w:cs="宋体"/>
                <w:color w:val="auto"/>
                <w:sz w:val="21"/>
                <w:szCs w:val="21"/>
                <w:highlight w:val="none"/>
              </w:rPr>
              <w:t>。</w:t>
            </w:r>
          </w:p>
          <w:p w14:paraId="669E2A9A">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（二）运行维护服务内容及要求</w:t>
            </w:r>
          </w:p>
          <w:p w14:paraId="5CD546A3">
            <w:pPr>
              <w:spacing w:line="30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本分标需运行维护的主体为桂林市3个地表水水质自动站：漓江活动试验坝、</w:t>
            </w:r>
            <w:r>
              <w:rPr>
                <w:rFonts w:hint="eastAsia" w:ascii="宋体" w:hAnsi="宋体" w:cs="宋体"/>
                <w:color w:val="auto"/>
                <w:kern w:val="0"/>
                <w:sz w:val="21"/>
                <w:szCs w:val="21"/>
                <w:highlight w:val="none"/>
              </w:rPr>
              <w:t>大河环境自动监测站</w:t>
            </w:r>
            <w:r>
              <w:rPr>
                <w:rFonts w:hint="eastAsia" w:ascii="宋体" w:hAnsi="宋体" w:cs="宋体"/>
                <w:color w:val="auto"/>
                <w:sz w:val="21"/>
                <w:szCs w:val="21"/>
                <w:highlight w:val="none"/>
              </w:rPr>
              <w:t>、漓江双潭村站，运维的内容包括</w:t>
            </w:r>
            <w:r>
              <w:rPr>
                <w:rFonts w:hint="eastAsia" w:ascii="宋体" w:hAnsi="宋体"/>
                <w:color w:val="auto"/>
                <w:sz w:val="21"/>
                <w:szCs w:val="21"/>
                <w:highlight w:val="none"/>
              </w:rPr>
              <w:t>3个水质自动监测站（监测指标：</w:t>
            </w:r>
            <w:r>
              <w:rPr>
                <w:rFonts w:hint="eastAsia" w:ascii="宋体" w:hAnsi="宋体"/>
                <w:color w:val="auto"/>
                <w:sz w:val="21"/>
                <w:szCs w:val="21"/>
                <w:highlight w:val="none"/>
                <w:shd w:val="clear" w:color="auto" w:fill="FFFFFF"/>
              </w:rPr>
              <w:t>水温、pH、溶解氧、电导率、浊度、氨氮、高锰酸盐指数、总磷、总氮、六价铬、总锰、铜、铅、锌、镉、砷、汞、叶绿素α、生物毒性、</w:t>
            </w:r>
            <w:r>
              <w:rPr>
                <w:rFonts w:hint="eastAsia" w:ascii="宋体" w:hAnsi="宋体"/>
                <w:color w:val="auto"/>
                <w:sz w:val="21"/>
                <w:szCs w:val="21"/>
                <w:highlight w:val="none"/>
              </w:rPr>
              <w:t>蓝绿藻15至18个指标不等）的</w:t>
            </w:r>
            <w:r>
              <w:rPr>
                <w:rFonts w:hint="eastAsia" w:ascii="宋体" w:hAnsi="宋体" w:cs="宋体"/>
                <w:color w:val="auto"/>
                <w:sz w:val="21"/>
                <w:szCs w:val="21"/>
                <w:highlight w:val="none"/>
              </w:rPr>
              <w:t>水质自动站所有监测仪器、辅助设备、</w:t>
            </w:r>
            <w:r>
              <w:rPr>
                <w:rFonts w:hint="eastAsia" w:ascii="宋体" w:hAnsi="宋体" w:cs="宋体"/>
                <w:color w:val="auto"/>
                <w:sz w:val="21"/>
                <w:szCs w:val="24"/>
                <w:highlight w:val="none"/>
                <w:lang w:eastAsia="zh-CN"/>
              </w:rPr>
              <w:t>显示屏、</w:t>
            </w:r>
            <w:r>
              <w:rPr>
                <w:rFonts w:hint="eastAsia" w:ascii="宋体" w:hAnsi="宋体" w:cs="宋体"/>
                <w:color w:val="auto"/>
                <w:sz w:val="21"/>
                <w:szCs w:val="21"/>
                <w:highlight w:val="none"/>
              </w:rPr>
              <w:t>站房设施及站房外围的运行维护维修等。采购人委托供应商进行运行维护，供应商负责故障维修、风险保障、站房用地、站房建设或租赁、安全保障、电力供应、网络通讯和出入站房等日常运行所必需的基础保障工作，涉及站房租金、电费、网络通讯费、值守人员工资、运维人员差旅费、仪器维修、配件耗材、附属设施建设、修缮等与水站相关的费用均可由运维经费支出。</w:t>
            </w:r>
          </w:p>
          <w:p w14:paraId="7D03BC3E">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1.地表水水质自动站的运维管理要求</w:t>
            </w:r>
          </w:p>
          <w:p w14:paraId="13599F58">
            <w:pPr>
              <w:spacing w:line="30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供应商应根据采购人要求负责地表水水质自动站的运营维护及管理工作，地表水水质自动站的运维管理内容如下：</w:t>
            </w:r>
          </w:p>
          <w:p w14:paraId="7042C084">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1.1定期更换水质自动站仪器所需耗材、试剂。</w:t>
            </w:r>
          </w:p>
          <w:p w14:paraId="4BE08815">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1.2定期更换水质自动站系统和仪器所需备品备件。</w:t>
            </w:r>
          </w:p>
          <w:p w14:paraId="7FD1587B">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1.3对水质自动站系统和仪器进行定期检修、保养。</w:t>
            </w:r>
          </w:p>
          <w:p w14:paraId="1D3C5222">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1.4及时排除水质自动站系统和仪器出现的故障，并提供维修所需配件。</w:t>
            </w:r>
          </w:p>
          <w:p w14:paraId="2E27A81C">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1.5对水质自动站仪器进行定期校准、性能测试。</w:t>
            </w:r>
          </w:p>
          <w:p w14:paraId="42691822">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1.6保证站房内外清洁整齐，环境温湿度适合仪器的运行，及时维修站房内外设施。</w:t>
            </w:r>
          </w:p>
          <w:p w14:paraId="54CFA1A6">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1.7保证辅助设备的正常运行。</w:t>
            </w:r>
          </w:p>
          <w:p w14:paraId="3C793A37">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1.8配合采购人进行水质自动站质量保证和质量质控工作，</w:t>
            </w:r>
            <w:r>
              <w:rPr>
                <w:rFonts w:hint="eastAsia" w:ascii="宋体" w:hAnsi="宋体"/>
                <w:color w:val="auto"/>
                <w:sz w:val="21"/>
                <w:szCs w:val="21"/>
                <w:highlight w:val="none"/>
              </w:rPr>
              <w:t>并由供应商承担相应费用。</w:t>
            </w:r>
          </w:p>
          <w:p w14:paraId="11BB32D0">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1.9随时接受采购人的工作考核及质量考核，</w:t>
            </w:r>
            <w:r>
              <w:rPr>
                <w:rFonts w:hint="eastAsia" w:ascii="宋体" w:hAnsi="宋体"/>
                <w:color w:val="auto"/>
                <w:sz w:val="21"/>
                <w:szCs w:val="21"/>
                <w:highlight w:val="none"/>
              </w:rPr>
              <w:t>并由供应商承担相应费用</w:t>
            </w:r>
            <w:r>
              <w:rPr>
                <w:rFonts w:hint="eastAsia" w:ascii="宋体" w:hAnsi="宋体" w:cs="宋体"/>
                <w:color w:val="auto"/>
                <w:sz w:val="21"/>
                <w:szCs w:val="21"/>
                <w:highlight w:val="none"/>
              </w:rPr>
              <w:t>。</w:t>
            </w:r>
          </w:p>
          <w:p w14:paraId="55991F71">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1.10认真、及时做好维护记录，汇总各水质自动站维护记录，每月以电子版形式报采购人。</w:t>
            </w:r>
          </w:p>
          <w:p w14:paraId="6E580FA2">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1.11邀请专业防雷检测机构进行各水站防雷检测，并出具检测合格报告，检测费用含在磋商报价中。</w:t>
            </w:r>
          </w:p>
          <w:p w14:paraId="435CB509">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1.12定期检定温湿度计并提供检定证书，确保温湿度计在检定有效期内，费用含在磋商报价中。</w:t>
            </w:r>
          </w:p>
          <w:p w14:paraId="5699E56C">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1.13定期查看消防设施，确保消防设施在有效期内，费用含在磋商报价中。</w:t>
            </w:r>
          </w:p>
          <w:p w14:paraId="69034130">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1.14做好水质自动站固定资产的管理、备品配件的登记等工作。</w:t>
            </w:r>
          </w:p>
          <w:p w14:paraId="3CE8D04A">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1.15按照采购人的要求传输实时数据至指定地址。</w:t>
            </w:r>
          </w:p>
          <w:p w14:paraId="4A8B7868">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1.16水、电、通讯及财产保护：运营期间所需水、电、通讯费及故障维修费由供应商负责，委托运营维护及管理的全部资产（包括全部产权和建筑物、设备、软件、配套设施、水质自动站和配套监控系统产生的各类数据信息及相关文档资料）属采购人所有。未经采购人同意，供应商不得以任何方式对各类财产进行出售、抵押或转移，供应商负责运营维护及管理维护期间水、电、通讯等故障维修及费用缴存，保证畅通。</w:t>
            </w:r>
          </w:p>
          <w:p w14:paraId="6396F93B">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1.17必须承担监测数据的保密责任：供应商按照采购人的要求，进行报告和传输有关的所有监测数据，在合同履行期间和合同履行完毕后，供应商都应承担监测数据的保密责任；在未取得采购人许可的情况下，均不得以任何方式和渠道向外界传递任何监测数据，一经发现，采购人将追究其法律责任。</w:t>
            </w:r>
          </w:p>
          <w:p w14:paraId="31E44944">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2.地表水水质自动站系统及仪器维护详细内容</w:t>
            </w:r>
          </w:p>
          <w:p w14:paraId="1DDB80B5">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2.1系统日常维护与保养</w:t>
            </w:r>
          </w:p>
          <w:p w14:paraId="08E572C7">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（1）漓江活动试验坝：</w:t>
            </w:r>
          </w:p>
          <w:p w14:paraId="6570F9A8">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①每日对水站监测数据和设备运行状况进行远程监视，对监测数据进行审核，对站点运行情况进行诊断和运行管理，根据运维工作需要，对运维人员进行调度，并记录。</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②远程对水站的整体工作情况进行监控，获取仪器设备关键参数，根据其运行状态进行相应远程调试。</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③通过远程控制，对仪器进行校时、复位、测试、校准、清洗、24小时零点漂移和量程漂移核查、标样核查、样品复测和留样等维护工作。</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④每日对站点的运维情况及相关信息进行统计和评价，包括运维巡检频次、质控频次、故障响应情况、超标响应情况等信息统计，结合数据获取率、数据有效率等对水站的运行维护情况进行评价。</w:t>
            </w:r>
          </w:p>
          <w:p w14:paraId="3A26992B">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kern w:val="0"/>
                <w:sz w:val="21"/>
                <w:szCs w:val="21"/>
                <w:highlight w:val="none"/>
              </w:rPr>
              <w:t>（2）大河环境自动监测站</w:t>
            </w:r>
            <w:r>
              <w:rPr>
                <w:rFonts w:hint="eastAsia" w:ascii="宋体" w:hAnsi="宋体" w:cs="宋体"/>
                <w:b/>
                <w:color w:val="auto"/>
                <w:sz w:val="21"/>
                <w:szCs w:val="21"/>
                <w:highlight w:val="none"/>
              </w:rPr>
              <w:t>、漓江双潭村站：</w:t>
            </w:r>
          </w:p>
          <w:p w14:paraId="75CED91D">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①严格按照“日监控，周巡查、月比对”的要求，开展日常维护和质控工作；每天对水质自动站整个系统进行维护检查，通过宏观检查各仪器运行的状况，每周至少到现场巡检一次，观察系统运行一个完整的周期，检查整个系统运行状况，通过每日监控、每周巡查，确保仪器设备和系统处于正常的运行状况。</w:t>
            </w:r>
          </w:p>
          <w:p w14:paraId="1B6C2D37">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②每天对</w:t>
            </w:r>
            <w:r>
              <w:rPr>
                <w:rFonts w:hint="eastAsia"/>
                <w:color w:val="auto"/>
                <w:sz w:val="21"/>
                <w:szCs w:val="24"/>
                <w:highlight w:val="none"/>
              </w:rPr>
              <w:t>数据报送平台</w:t>
            </w:r>
            <w:r>
              <w:rPr>
                <w:rFonts w:hint="eastAsia" w:ascii="宋体" w:hAnsi="宋体" w:cs="宋体"/>
                <w:color w:val="auto"/>
                <w:sz w:val="21"/>
                <w:szCs w:val="21"/>
                <w:highlight w:val="none"/>
              </w:rPr>
              <w:t>运行情况、监测数据进行检查；遇到数据异常情况应进行详细记录，分析原因，及时汇报并解决，保证监测数据的连续性和及时性。</w:t>
            </w:r>
          </w:p>
          <w:p w14:paraId="200F5E3D">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③开展软件维护、水站巡检、仪器校准、环境勘察、数据监控、试剂配制、水样采集运输等工作，接到工作任务后须及时响应。</w:t>
            </w:r>
          </w:p>
          <w:p w14:paraId="089F1A0A">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④各水站现场巡检包括临时巡检和定期巡检，巡检期间的交通工具由供应商负责；临时巡检安排在节假日前、领导参观、质控考核，以及应急事故发生期间，定期巡检为每周1次；巡检中发现问题须及时记录、及时报告、及时解决。</w:t>
            </w:r>
          </w:p>
          <w:p w14:paraId="5AB696DF">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全部站点要求：</w:t>
            </w:r>
          </w:p>
          <w:p w14:paraId="29C6CD6B">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（3）定期巡检内容</w:t>
            </w:r>
          </w:p>
          <w:p w14:paraId="4AC344A2">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①检查监测点周边环境是否仍然保持符合国家关于水质自动站选址的要求。 </w:t>
            </w:r>
          </w:p>
          <w:p w14:paraId="402CCE9F">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②检查站房内部环境：温度18-28℃、湿度≤60%、清洁卫生是否合格。</w:t>
            </w:r>
          </w:p>
          <w:p w14:paraId="11FF8673">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③检查站房内部设施和设备：空调、抽湿机、供电系统、供水、稳压电源、防雷系统、通讯系统、照明系统、防盗报警系统、灭火设备、UPS+蓄电池、门窗、冰箱、站房漏水、抽排水管是否异常，并维护保养。</w:t>
            </w:r>
          </w:p>
          <w:p w14:paraId="12D5B7B5">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④检查站房外部设施：供电系统、供水、照明设备、抽排水管、绿化、路面等是否异常，并维护保养。</w:t>
            </w:r>
          </w:p>
          <w:p w14:paraId="2BF54AA2">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⑤检查仪器设备：采水系统、配水系统、监测系统、数据采集系统、辅助装置（空压机、自动采样器、视频监控系统、工具箱）、现场比对设备是否异常、试剂是否需要更换，并维护保养。</w:t>
            </w:r>
          </w:p>
          <w:p w14:paraId="7C3D054F">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⑥耗材：试剂、垫圈、管路、阀等是否及时更换，现场是否有储备便于随时更换。</w:t>
            </w:r>
          </w:p>
          <w:p w14:paraId="4C01AD72">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⑦每月10日前把上一个月的原始数据备份并以邮件的形式发送至指定邮箱。</w:t>
            </w:r>
          </w:p>
          <w:p w14:paraId="7767D117">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⑧相关技术规范及仪器使用说明中规定的内容。 </w:t>
            </w:r>
          </w:p>
          <w:p w14:paraId="64CD6806">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（4）不定期巡检参照定期巡检内容执行。</w:t>
            </w:r>
          </w:p>
          <w:p w14:paraId="371C9402">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（5）建立耗材、配件更换计划表，定期及时更换。</w:t>
            </w:r>
          </w:p>
          <w:p w14:paraId="5E66E4CB">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（6）年度系统维护</w:t>
            </w:r>
          </w:p>
          <w:p w14:paraId="2C64384F">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①每年按相关技术规范及仪器使用说明书要求对系统进行一次预防性检修。</w:t>
            </w:r>
          </w:p>
          <w:p w14:paraId="1BD0EC25">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②每年按相关技术规范及仪器使用说明书的要求对系统进行一次性能审核。</w:t>
            </w:r>
          </w:p>
          <w:p w14:paraId="38FFF8D2">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③每年对各水站空调进行清洗保养，费用含在磋商报价中。</w:t>
            </w:r>
          </w:p>
          <w:p w14:paraId="4EF95EAA">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④邀请专业防雷检测机构进行各水站防雷检测，并出具检测合格报告，检测费用含在磋商报价中。</w:t>
            </w:r>
          </w:p>
          <w:p w14:paraId="4FB17972">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⑥定期检定温湿度计并提供检定证书，确保温湿度计在检定有效期内，费用含在磋商报价中。</w:t>
            </w:r>
          </w:p>
          <w:p w14:paraId="668CF483">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⑦查看消防设备是否在有效期内，更换费用由供应商承担。</w:t>
            </w:r>
          </w:p>
          <w:p w14:paraId="488D2739">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（7）地表水水质自动站的运维管理参照国家、自治区及行业颁布的相关水质在线监测技术标准。如国家、自治区或行业出台新的技术规范，按新技术规范要求执行。</w:t>
            </w:r>
          </w:p>
          <w:p w14:paraId="6A26832E">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2.2质量保证与质量控制</w:t>
            </w:r>
          </w:p>
          <w:p w14:paraId="628374DE">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全部站点：</w:t>
            </w:r>
          </w:p>
          <w:p w14:paraId="68275DD6">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依据《广西地表水水质自动监测站运行维护技术要求（试行）》开展。</w:t>
            </w:r>
          </w:p>
          <w:p w14:paraId="4947B7E1">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（1）每周进行一次常规参数项目标准溶液核查，每月进行一次重金属项目标准溶液核查，及时记录核查结果，核查结果的相对误差在±10%范围内。</w:t>
            </w:r>
          </w:p>
          <w:p w14:paraId="5F66041C">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（2）每月至少1次月比对水样采集，供应商可委托有资质单位进行比对试验；比对试验要求及结果评价需满足《广西地表水水质自动监测站水样比对管理规定（试行）》要求；月比对项目为</w:t>
            </w:r>
            <w:r>
              <w:rPr>
                <w:rFonts w:hint="eastAsia" w:ascii="宋体" w:hAnsi="宋体"/>
                <w:color w:val="auto"/>
                <w:sz w:val="21"/>
                <w:szCs w:val="21"/>
                <w:highlight w:val="none"/>
              </w:rPr>
              <w:t>《地表水水质自动监测站（常规五参数、CODMn、NH3⁃N、TP、TN）运行维护技术规范》（HJ.915.3-2024）、《地表水水质自动监测站运行维护技术要求（试行）》（总站水字〔2019〕649号）</w:t>
            </w:r>
            <w:r>
              <w:rPr>
                <w:rFonts w:hint="eastAsia" w:ascii="宋体" w:hAnsi="宋体" w:cs="宋体"/>
                <w:color w:val="auto"/>
                <w:sz w:val="21"/>
                <w:szCs w:val="21"/>
                <w:highlight w:val="none"/>
              </w:rPr>
              <w:t>要求的所有项目。</w:t>
            </w:r>
          </w:p>
          <w:p w14:paraId="67B88A0D">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（3）至少每月进行一次仪器校准工作，每个月对备机进行一次标样核查。</w:t>
            </w:r>
          </w:p>
          <w:p w14:paraId="2D94F36F">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（4）所有水站系统的每个月每个参数有效数据获取率高于90%（“有效数据获取率” 是指已实际正常运行小时数与应监测小时数之比）。</w:t>
            </w:r>
          </w:p>
          <w:p w14:paraId="464BB394">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（5）每年进行一次准确度、精密度、检出限、标准曲线、零点漂移、量程漂移检查。</w:t>
            </w:r>
          </w:p>
          <w:p w14:paraId="61350ED4">
            <w:pPr>
              <w:spacing w:line="300" w:lineRule="auto"/>
              <w:ind w:left="120" w:leftChars="50" w:firstLine="361" w:firstLineChars="150"/>
              <w:rPr>
                <w:rFonts w:ascii="宋体" w:hAnsi="宋体" w:cs="宋体"/>
                <w:b/>
                <w:color w:val="auto"/>
                <w:szCs w:val="21"/>
                <w:highlight w:val="none"/>
              </w:rPr>
            </w:pPr>
            <w:r>
              <w:rPr>
                <w:rFonts w:hint="eastAsia" w:ascii="宋体" w:hAnsi="宋体" w:cs="宋体"/>
                <w:b/>
                <w:color w:val="auto"/>
                <w:szCs w:val="21"/>
                <w:highlight w:val="none"/>
              </w:rPr>
              <w:t>漓江活动试验坝：</w:t>
            </w:r>
          </w:p>
          <w:p w14:paraId="4B86C198">
            <w:pPr>
              <w:spacing w:line="300" w:lineRule="auto"/>
              <w:ind w:left="120" w:leftChars="50" w:firstLine="361" w:firstLineChars="150"/>
              <w:jc w:val="center"/>
              <w:rPr>
                <w:rFonts w:ascii="宋体" w:hAnsi="宋体" w:cs="宋体"/>
                <w:b/>
                <w:color w:val="auto"/>
                <w:szCs w:val="21"/>
                <w:highlight w:val="none"/>
              </w:rPr>
            </w:pPr>
            <w:r>
              <w:rPr>
                <w:rFonts w:hint="eastAsia" w:ascii="宋体" w:hAnsi="宋体" w:cs="宋体"/>
                <w:b/>
                <w:color w:val="auto"/>
                <w:szCs w:val="21"/>
                <w:highlight w:val="none"/>
              </w:rPr>
              <w:t>表1 水站质控目标要求</w:t>
            </w:r>
          </w:p>
          <w:tbl>
            <w:tblPr>
              <w:tblStyle w:val="45"/>
              <w:tblpPr w:leftFromText="180" w:rightFromText="180" w:vertAnchor="text" w:horzAnchor="page" w:tblpX="-124" w:tblpY="374"/>
              <w:tblOverlap w:val="never"/>
              <w:tblW w:w="6123" w:type="dxa"/>
              <w:tblInd w:w="0" w:type="dxa"/>
              <w:tblLayout w:type="fixed"/>
              <w:tblCellMar>
                <w:top w:w="15" w:type="dxa"/>
                <w:left w:w="15" w:type="dxa"/>
                <w:bottom w:w="15" w:type="dxa"/>
                <w:right w:w="15" w:type="dxa"/>
              </w:tblCellMar>
            </w:tblPr>
            <w:tblGrid>
              <w:gridCol w:w="784"/>
              <w:gridCol w:w="618"/>
              <w:gridCol w:w="395"/>
              <w:gridCol w:w="574"/>
              <w:gridCol w:w="509"/>
              <w:gridCol w:w="554"/>
              <w:gridCol w:w="611"/>
              <w:gridCol w:w="660"/>
              <w:gridCol w:w="611"/>
              <w:gridCol w:w="807"/>
            </w:tblGrid>
            <w:tr w14:paraId="06E57482">
              <w:tblPrEx>
                <w:tblCellMar>
                  <w:top w:w="15" w:type="dxa"/>
                  <w:left w:w="15" w:type="dxa"/>
                  <w:bottom w:w="15" w:type="dxa"/>
                  <w:right w:w="15" w:type="dxa"/>
                </w:tblCellMar>
              </w:tblPrEx>
              <w:trPr>
                <w:trHeight w:val="382" w:hRule="atLeast"/>
              </w:trPr>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DB140">
                  <w:pPr>
                    <w:widowControl/>
                    <w:spacing w:line="30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监测项目</w:t>
                  </w:r>
                </w:p>
              </w:tc>
              <w:tc>
                <w:tcPr>
                  <w:tcW w:w="618" w:type="dxa"/>
                  <w:vMerge w:val="restart"/>
                  <w:tcBorders>
                    <w:top w:val="single" w:color="000000" w:sz="4" w:space="0"/>
                    <w:left w:val="nil"/>
                    <w:bottom w:val="single" w:color="000000" w:sz="4" w:space="0"/>
                    <w:right w:val="single" w:color="000000" w:sz="4" w:space="0"/>
                  </w:tcBorders>
                  <w:shd w:val="clear" w:color="auto" w:fill="auto"/>
                  <w:vAlign w:val="center"/>
                </w:tcPr>
                <w:p w14:paraId="07458D3D">
                  <w:pPr>
                    <w:widowControl/>
                    <w:spacing w:line="30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单位</w:t>
                  </w:r>
                </w:p>
              </w:tc>
              <w:tc>
                <w:tcPr>
                  <w:tcW w:w="969" w:type="dxa"/>
                  <w:gridSpan w:val="2"/>
                  <w:tcBorders>
                    <w:top w:val="single" w:color="000000" w:sz="4" w:space="0"/>
                    <w:left w:val="nil"/>
                    <w:bottom w:val="single" w:color="000000" w:sz="4" w:space="0"/>
                    <w:right w:val="single" w:color="000000" w:sz="4" w:space="0"/>
                  </w:tcBorders>
                  <w:shd w:val="clear" w:color="auto" w:fill="auto"/>
                  <w:vAlign w:val="center"/>
                </w:tcPr>
                <w:p w14:paraId="12481E5A">
                  <w:pPr>
                    <w:widowControl/>
                    <w:spacing w:line="30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24小时低浓度漂移</w:t>
                  </w:r>
                </w:p>
              </w:tc>
              <w:tc>
                <w:tcPr>
                  <w:tcW w:w="1063" w:type="dxa"/>
                  <w:gridSpan w:val="2"/>
                  <w:tcBorders>
                    <w:top w:val="single" w:color="000000" w:sz="4" w:space="0"/>
                    <w:left w:val="nil"/>
                    <w:bottom w:val="single" w:color="000000" w:sz="4" w:space="0"/>
                    <w:right w:val="single" w:color="000000" w:sz="4" w:space="0"/>
                  </w:tcBorders>
                  <w:shd w:val="clear" w:color="auto" w:fill="auto"/>
                  <w:vAlign w:val="center"/>
                </w:tcPr>
                <w:p w14:paraId="73C11738">
                  <w:pPr>
                    <w:widowControl/>
                    <w:spacing w:line="30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24小时高浓度漂移</w:t>
                  </w:r>
                </w:p>
              </w:tc>
              <w:tc>
                <w:tcPr>
                  <w:tcW w:w="611" w:type="dxa"/>
                  <w:vMerge w:val="restart"/>
                  <w:tcBorders>
                    <w:top w:val="single" w:color="000000" w:sz="4" w:space="0"/>
                    <w:left w:val="nil"/>
                    <w:bottom w:val="single" w:color="000000" w:sz="4" w:space="0"/>
                    <w:right w:val="single" w:color="000000" w:sz="4" w:space="0"/>
                  </w:tcBorders>
                  <w:shd w:val="clear" w:color="auto" w:fill="auto"/>
                  <w:vAlign w:val="center"/>
                </w:tcPr>
                <w:p w14:paraId="51A4A5D8">
                  <w:pPr>
                    <w:widowControl/>
                    <w:spacing w:line="30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标样核查</w:t>
                  </w:r>
                </w:p>
              </w:tc>
              <w:tc>
                <w:tcPr>
                  <w:tcW w:w="660" w:type="dxa"/>
                  <w:vMerge w:val="restart"/>
                  <w:tcBorders>
                    <w:top w:val="single" w:color="000000" w:sz="4" w:space="0"/>
                    <w:left w:val="nil"/>
                    <w:bottom w:val="single" w:color="000000" w:sz="4" w:space="0"/>
                    <w:right w:val="single" w:color="000000" w:sz="4" w:space="0"/>
                  </w:tcBorders>
                  <w:shd w:val="clear" w:color="auto" w:fill="auto"/>
                  <w:vAlign w:val="center"/>
                </w:tcPr>
                <w:p w14:paraId="347B3BE4">
                  <w:pPr>
                    <w:widowControl/>
                    <w:spacing w:line="30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集成影响检查</w:t>
                  </w:r>
                </w:p>
              </w:tc>
              <w:tc>
                <w:tcPr>
                  <w:tcW w:w="611" w:type="dxa"/>
                  <w:vMerge w:val="restart"/>
                  <w:tcBorders>
                    <w:top w:val="single" w:color="000000" w:sz="4" w:space="0"/>
                    <w:left w:val="nil"/>
                    <w:bottom w:val="single" w:color="000000" w:sz="4" w:space="0"/>
                    <w:right w:val="single" w:color="000000" w:sz="4" w:space="0"/>
                  </w:tcBorders>
                  <w:shd w:val="clear" w:color="auto" w:fill="auto"/>
                  <w:vAlign w:val="center"/>
                </w:tcPr>
                <w:p w14:paraId="76B56D4C">
                  <w:pPr>
                    <w:widowControl/>
                    <w:spacing w:line="300" w:lineRule="auto"/>
                    <w:ind w:firstLine="0" w:firstLineChars="0"/>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bidi="ar"/>
                    </w:rPr>
                    <w:t>加标回收率测试</w:t>
                  </w:r>
                </w:p>
              </w:tc>
              <w:tc>
                <w:tcPr>
                  <w:tcW w:w="807" w:type="dxa"/>
                  <w:vMerge w:val="restart"/>
                  <w:tcBorders>
                    <w:top w:val="single" w:color="000000" w:sz="4" w:space="0"/>
                    <w:left w:val="nil"/>
                    <w:bottom w:val="nil"/>
                    <w:right w:val="single" w:color="000000" w:sz="4" w:space="0"/>
                  </w:tcBorders>
                  <w:shd w:val="clear" w:color="auto" w:fill="auto"/>
                  <w:vAlign w:val="center"/>
                </w:tcPr>
                <w:p w14:paraId="292EE3CA">
                  <w:pPr>
                    <w:widowControl/>
                    <w:spacing w:line="300" w:lineRule="auto"/>
                    <w:ind w:firstLine="0" w:firstLineChars="0"/>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bidi="ar"/>
                    </w:rPr>
                    <w:t>多点线性核查</w:t>
                  </w:r>
                </w:p>
              </w:tc>
            </w:tr>
            <w:tr w14:paraId="222D643A">
              <w:tblPrEx>
                <w:tblCellMar>
                  <w:top w:w="15" w:type="dxa"/>
                  <w:left w:w="15" w:type="dxa"/>
                  <w:bottom w:w="15" w:type="dxa"/>
                  <w:right w:w="15" w:type="dxa"/>
                </w:tblCellMar>
              </w:tblPrEx>
              <w:trPr>
                <w:trHeight w:val="38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35494">
                  <w:pPr>
                    <w:ind w:firstLine="420"/>
                    <w:rPr>
                      <w:color w:val="auto"/>
                      <w:sz w:val="21"/>
                      <w:szCs w:val="21"/>
                      <w:highlight w:val="none"/>
                    </w:rPr>
                  </w:pPr>
                </w:p>
              </w:tc>
              <w:tc>
                <w:tcPr>
                  <w:tcW w:w="618" w:type="dxa"/>
                  <w:vMerge w:val="continue"/>
                  <w:tcBorders>
                    <w:top w:val="single" w:color="000000" w:sz="4" w:space="0"/>
                    <w:left w:val="nil"/>
                    <w:bottom w:val="single" w:color="000000" w:sz="4" w:space="0"/>
                    <w:right w:val="single" w:color="000000" w:sz="4" w:space="0"/>
                  </w:tcBorders>
                  <w:shd w:val="clear" w:color="auto" w:fill="auto"/>
                  <w:vAlign w:val="center"/>
                </w:tcPr>
                <w:p w14:paraId="19C071D5">
                  <w:pPr>
                    <w:ind w:firstLine="420"/>
                    <w:rPr>
                      <w:color w:val="auto"/>
                      <w:sz w:val="21"/>
                      <w:szCs w:val="21"/>
                      <w:highlight w:val="none"/>
                    </w:rPr>
                  </w:pPr>
                </w:p>
              </w:tc>
              <w:tc>
                <w:tcPr>
                  <w:tcW w:w="395" w:type="dxa"/>
                  <w:tcBorders>
                    <w:top w:val="single" w:color="000000" w:sz="4" w:space="0"/>
                    <w:left w:val="nil"/>
                    <w:bottom w:val="single" w:color="000000" w:sz="4" w:space="0"/>
                    <w:right w:val="single" w:color="000000" w:sz="4" w:space="0"/>
                  </w:tcBorders>
                  <w:shd w:val="clear" w:color="auto" w:fill="auto"/>
                  <w:vAlign w:val="center"/>
                </w:tcPr>
                <w:p w14:paraId="06DBB779">
                  <w:pPr>
                    <w:widowControl/>
                    <w:spacing w:line="30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绝对误差</w:t>
                  </w:r>
                </w:p>
              </w:tc>
              <w:tc>
                <w:tcPr>
                  <w:tcW w:w="574" w:type="dxa"/>
                  <w:tcBorders>
                    <w:top w:val="single" w:color="000000" w:sz="4" w:space="0"/>
                    <w:left w:val="nil"/>
                    <w:bottom w:val="single" w:color="000000" w:sz="4" w:space="0"/>
                    <w:right w:val="single" w:color="000000" w:sz="4" w:space="0"/>
                  </w:tcBorders>
                  <w:shd w:val="clear" w:color="auto" w:fill="auto"/>
                  <w:vAlign w:val="center"/>
                </w:tcPr>
                <w:p w14:paraId="361A4E30">
                  <w:pPr>
                    <w:widowControl/>
                    <w:spacing w:line="30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相对误差</w:t>
                  </w:r>
                </w:p>
              </w:tc>
              <w:tc>
                <w:tcPr>
                  <w:tcW w:w="509" w:type="dxa"/>
                  <w:tcBorders>
                    <w:top w:val="single" w:color="000000" w:sz="4" w:space="0"/>
                    <w:left w:val="nil"/>
                    <w:bottom w:val="single" w:color="000000" w:sz="4" w:space="0"/>
                    <w:right w:val="single" w:color="000000" w:sz="4" w:space="0"/>
                  </w:tcBorders>
                  <w:shd w:val="clear" w:color="auto" w:fill="auto"/>
                  <w:vAlign w:val="center"/>
                </w:tcPr>
                <w:p w14:paraId="2A3647E1">
                  <w:pPr>
                    <w:widowControl/>
                    <w:spacing w:line="30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相对误差</w:t>
                  </w:r>
                </w:p>
              </w:tc>
              <w:tc>
                <w:tcPr>
                  <w:tcW w:w="554" w:type="dxa"/>
                  <w:tcBorders>
                    <w:top w:val="single" w:color="000000" w:sz="4" w:space="0"/>
                    <w:left w:val="nil"/>
                    <w:bottom w:val="single" w:color="000000" w:sz="4" w:space="0"/>
                    <w:right w:val="single" w:color="000000" w:sz="4" w:space="0"/>
                  </w:tcBorders>
                  <w:shd w:val="clear" w:color="auto" w:fill="auto"/>
                  <w:vAlign w:val="center"/>
                </w:tcPr>
                <w:p w14:paraId="7F703E4D">
                  <w:pPr>
                    <w:widowControl/>
                    <w:spacing w:line="30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相对误差</w:t>
                  </w:r>
                </w:p>
              </w:tc>
              <w:tc>
                <w:tcPr>
                  <w:tcW w:w="611" w:type="dxa"/>
                  <w:vMerge w:val="continue"/>
                  <w:tcBorders>
                    <w:top w:val="single" w:color="000000" w:sz="4" w:space="0"/>
                    <w:left w:val="nil"/>
                    <w:bottom w:val="single" w:color="000000" w:sz="4" w:space="0"/>
                    <w:right w:val="single" w:color="000000" w:sz="4" w:space="0"/>
                  </w:tcBorders>
                  <w:shd w:val="clear" w:color="auto" w:fill="auto"/>
                  <w:vAlign w:val="center"/>
                </w:tcPr>
                <w:p w14:paraId="10131FB0">
                  <w:pPr>
                    <w:ind w:firstLine="420"/>
                    <w:rPr>
                      <w:color w:val="auto"/>
                      <w:sz w:val="21"/>
                      <w:szCs w:val="21"/>
                      <w:highlight w:val="none"/>
                    </w:rPr>
                  </w:pPr>
                </w:p>
              </w:tc>
              <w:tc>
                <w:tcPr>
                  <w:tcW w:w="660" w:type="dxa"/>
                  <w:vMerge w:val="continue"/>
                  <w:tcBorders>
                    <w:top w:val="single" w:color="000000" w:sz="4" w:space="0"/>
                    <w:left w:val="nil"/>
                    <w:bottom w:val="single" w:color="000000" w:sz="4" w:space="0"/>
                    <w:right w:val="single" w:color="000000" w:sz="4" w:space="0"/>
                  </w:tcBorders>
                  <w:shd w:val="clear" w:color="auto" w:fill="auto"/>
                  <w:vAlign w:val="center"/>
                </w:tcPr>
                <w:p w14:paraId="48B36566">
                  <w:pPr>
                    <w:ind w:firstLine="420"/>
                    <w:rPr>
                      <w:color w:val="auto"/>
                      <w:sz w:val="21"/>
                      <w:szCs w:val="21"/>
                      <w:highlight w:val="none"/>
                    </w:rPr>
                  </w:pPr>
                </w:p>
              </w:tc>
              <w:tc>
                <w:tcPr>
                  <w:tcW w:w="611" w:type="dxa"/>
                  <w:vMerge w:val="continue"/>
                  <w:tcBorders>
                    <w:top w:val="single" w:color="000000" w:sz="4" w:space="0"/>
                    <w:left w:val="nil"/>
                    <w:bottom w:val="single" w:color="000000" w:sz="4" w:space="0"/>
                    <w:right w:val="single" w:color="000000" w:sz="4" w:space="0"/>
                  </w:tcBorders>
                  <w:shd w:val="clear" w:color="auto" w:fill="auto"/>
                  <w:vAlign w:val="center"/>
                </w:tcPr>
                <w:p w14:paraId="2545D851">
                  <w:pPr>
                    <w:ind w:firstLine="420"/>
                    <w:rPr>
                      <w:color w:val="auto"/>
                      <w:sz w:val="21"/>
                      <w:szCs w:val="21"/>
                      <w:highlight w:val="none"/>
                    </w:rPr>
                  </w:pPr>
                </w:p>
              </w:tc>
              <w:tc>
                <w:tcPr>
                  <w:tcW w:w="807" w:type="dxa"/>
                  <w:vMerge w:val="continue"/>
                  <w:tcBorders>
                    <w:top w:val="single" w:color="000000" w:sz="4" w:space="0"/>
                    <w:left w:val="nil"/>
                    <w:bottom w:val="nil"/>
                    <w:right w:val="single" w:color="000000" w:sz="4" w:space="0"/>
                  </w:tcBorders>
                  <w:shd w:val="clear" w:color="auto" w:fill="auto"/>
                  <w:vAlign w:val="center"/>
                </w:tcPr>
                <w:p w14:paraId="0388623D">
                  <w:pPr>
                    <w:ind w:firstLine="420"/>
                    <w:rPr>
                      <w:color w:val="auto"/>
                      <w:sz w:val="21"/>
                      <w:szCs w:val="21"/>
                      <w:highlight w:val="none"/>
                    </w:rPr>
                  </w:pPr>
                </w:p>
              </w:tc>
            </w:tr>
            <w:tr w14:paraId="54B50F9E">
              <w:tblPrEx>
                <w:tblCellMar>
                  <w:top w:w="15" w:type="dxa"/>
                  <w:left w:w="15" w:type="dxa"/>
                  <w:bottom w:w="15" w:type="dxa"/>
                  <w:right w:w="15" w:type="dxa"/>
                </w:tblCellMar>
              </w:tblPrEx>
              <w:trPr>
                <w:trHeight w:val="38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C309">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水温</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4C9126E">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14:paraId="00D4B77E">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574" w:type="dxa"/>
                  <w:tcBorders>
                    <w:top w:val="single" w:color="000000" w:sz="4" w:space="0"/>
                    <w:left w:val="nil"/>
                    <w:bottom w:val="single" w:color="000000" w:sz="4" w:space="0"/>
                    <w:right w:val="single" w:color="000000" w:sz="4" w:space="0"/>
                  </w:tcBorders>
                  <w:shd w:val="clear" w:color="auto" w:fill="auto"/>
                  <w:vAlign w:val="center"/>
                </w:tcPr>
                <w:p w14:paraId="7B9012B8">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509" w:type="dxa"/>
                  <w:tcBorders>
                    <w:top w:val="single" w:color="000000" w:sz="4" w:space="0"/>
                    <w:left w:val="nil"/>
                    <w:bottom w:val="single" w:color="000000" w:sz="4" w:space="0"/>
                    <w:right w:val="single" w:color="000000" w:sz="4" w:space="0"/>
                  </w:tcBorders>
                  <w:shd w:val="clear" w:color="auto" w:fill="auto"/>
                  <w:vAlign w:val="center"/>
                </w:tcPr>
                <w:p w14:paraId="612B14A7">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554" w:type="dxa"/>
                  <w:tcBorders>
                    <w:top w:val="single" w:color="000000" w:sz="4" w:space="0"/>
                    <w:left w:val="nil"/>
                    <w:bottom w:val="single" w:color="000000" w:sz="4" w:space="0"/>
                    <w:right w:val="single" w:color="000000" w:sz="4" w:space="0"/>
                  </w:tcBorders>
                  <w:shd w:val="clear" w:color="auto" w:fill="auto"/>
                  <w:vAlign w:val="center"/>
                </w:tcPr>
                <w:p w14:paraId="4CC44121">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20036F80">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3ED9332E">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2D8D2F99">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1C67C9CA">
                  <w:pPr>
                    <w:spacing w:line="300" w:lineRule="auto"/>
                    <w:ind w:firstLine="420"/>
                    <w:jc w:val="center"/>
                    <w:rPr>
                      <w:rFonts w:ascii="宋体" w:hAnsi="宋体" w:cs="宋体"/>
                      <w:color w:val="auto"/>
                      <w:sz w:val="21"/>
                      <w:szCs w:val="21"/>
                      <w:highlight w:val="none"/>
                    </w:rPr>
                  </w:pPr>
                </w:p>
              </w:tc>
            </w:tr>
            <w:tr w14:paraId="00B4A07F">
              <w:tblPrEx>
                <w:tblCellMar>
                  <w:top w:w="15" w:type="dxa"/>
                  <w:left w:w="15" w:type="dxa"/>
                  <w:bottom w:w="15" w:type="dxa"/>
                  <w:right w:w="15" w:type="dxa"/>
                </w:tblCellMar>
              </w:tblPrEx>
              <w:trPr>
                <w:trHeight w:val="40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F3F2">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pH</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41AF52B2">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14:paraId="7E0450F3">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574" w:type="dxa"/>
                  <w:tcBorders>
                    <w:top w:val="single" w:color="000000" w:sz="4" w:space="0"/>
                    <w:left w:val="nil"/>
                    <w:bottom w:val="single" w:color="000000" w:sz="4" w:space="0"/>
                    <w:right w:val="single" w:color="000000" w:sz="4" w:space="0"/>
                  </w:tcBorders>
                  <w:shd w:val="clear" w:color="auto" w:fill="auto"/>
                  <w:vAlign w:val="center"/>
                </w:tcPr>
                <w:p w14:paraId="06A275C3">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509" w:type="dxa"/>
                  <w:tcBorders>
                    <w:top w:val="single" w:color="000000" w:sz="4" w:space="0"/>
                    <w:left w:val="nil"/>
                    <w:bottom w:val="single" w:color="000000" w:sz="4" w:space="0"/>
                    <w:right w:val="single" w:color="000000" w:sz="4" w:space="0"/>
                  </w:tcBorders>
                  <w:shd w:val="clear" w:color="auto" w:fill="auto"/>
                  <w:vAlign w:val="center"/>
                </w:tcPr>
                <w:p w14:paraId="218C7A81">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554" w:type="dxa"/>
                  <w:tcBorders>
                    <w:top w:val="single" w:color="000000" w:sz="4" w:space="0"/>
                    <w:left w:val="nil"/>
                    <w:bottom w:val="single" w:color="000000" w:sz="4" w:space="0"/>
                    <w:right w:val="single" w:color="000000" w:sz="4" w:space="0"/>
                  </w:tcBorders>
                  <w:shd w:val="clear" w:color="auto" w:fill="auto"/>
                  <w:vAlign w:val="center"/>
                </w:tcPr>
                <w:p w14:paraId="25447757">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4EA2FB3A">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±0.15</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5D8CC9DE">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7D2935C4">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100A487">
                  <w:pPr>
                    <w:spacing w:line="300" w:lineRule="auto"/>
                    <w:ind w:firstLine="420"/>
                    <w:jc w:val="center"/>
                    <w:rPr>
                      <w:rFonts w:ascii="宋体" w:hAnsi="宋体" w:cs="宋体"/>
                      <w:color w:val="auto"/>
                      <w:sz w:val="21"/>
                      <w:szCs w:val="21"/>
                      <w:highlight w:val="none"/>
                    </w:rPr>
                  </w:pPr>
                </w:p>
              </w:tc>
            </w:tr>
            <w:tr w14:paraId="1101EEEA">
              <w:tblPrEx>
                <w:tblCellMar>
                  <w:top w:w="15" w:type="dxa"/>
                  <w:left w:w="15" w:type="dxa"/>
                  <w:bottom w:w="15" w:type="dxa"/>
                  <w:right w:w="15" w:type="dxa"/>
                </w:tblCellMar>
              </w:tblPrEx>
              <w:trPr>
                <w:trHeight w:val="40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C642">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溶解氧</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02BAC90">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mg/L</w:t>
                  </w:r>
                </w:p>
              </w:tc>
              <w:tc>
                <w:tcPr>
                  <w:tcW w:w="395" w:type="dxa"/>
                  <w:tcBorders>
                    <w:top w:val="single" w:color="000000" w:sz="4" w:space="0"/>
                    <w:left w:val="nil"/>
                    <w:bottom w:val="single" w:color="000000" w:sz="4" w:space="0"/>
                    <w:right w:val="single" w:color="000000" w:sz="4" w:space="0"/>
                  </w:tcBorders>
                  <w:shd w:val="clear" w:color="auto" w:fill="auto"/>
                  <w:vAlign w:val="center"/>
                </w:tcPr>
                <w:p w14:paraId="56880CCE">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574" w:type="dxa"/>
                  <w:tcBorders>
                    <w:top w:val="single" w:color="000000" w:sz="4" w:space="0"/>
                    <w:left w:val="nil"/>
                    <w:bottom w:val="single" w:color="000000" w:sz="4" w:space="0"/>
                    <w:right w:val="single" w:color="000000" w:sz="4" w:space="0"/>
                  </w:tcBorders>
                  <w:shd w:val="clear" w:color="auto" w:fill="auto"/>
                  <w:vAlign w:val="center"/>
                </w:tcPr>
                <w:p w14:paraId="3C602011">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509" w:type="dxa"/>
                  <w:tcBorders>
                    <w:top w:val="single" w:color="000000" w:sz="4" w:space="0"/>
                    <w:left w:val="nil"/>
                    <w:bottom w:val="single" w:color="000000" w:sz="4" w:space="0"/>
                    <w:right w:val="single" w:color="000000" w:sz="4" w:space="0"/>
                  </w:tcBorders>
                  <w:shd w:val="clear" w:color="auto" w:fill="auto"/>
                  <w:vAlign w:val="center"/>
                </w:tcPr>
                <w:p w14:paraId="4EBAEEDD">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554" w:type="dxa"/>
                  <w:tcBorders>
                    <w:top w:val="single" w:color="000000" w:sz="4" w:space="0"/>
                    <w:left w:val="nil"/>
                    <w:bottom w:val="single" w:color="000000" w:sz="4" w:space="0"/>
                    <w:right w:val="single" w:color="000000" w:sz="4" w:space="0"/>
                  </w:tcBorders>
                  <w:shd w:val="clear" w:color="auto" w:fill="auto"/>
                  <w:vAlign w:val="center"/>
                </w:tcPr>
                <w:p w14:paraId="746A6115">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301B69CD">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±0.3</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26B6AB06">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48CBDEF2">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5034B49E">
                  <w:pPr>
                    <w:spacing w:line="300" w:lineRule="auto"/>
                    <w:ind w:firstLine="420"/>
                    <w:jc w:val="center"/>
                    <w:rPr>
                      <w:rFonts w:ascii="宋体" w:hAnsi="宋体" w:cs="宋体"/>
                      <w:color w:val="auto"/>
                      <w:sz w:val="21"/>
                      <w:szCs w:val="21"/>
                      <w:highlight w:val="none"/>
                    </w:rPr>
                  </w:pPr>
                </w:p>
              </w:tc>
            </w:tr>
            <w:tr w14:paraId="1F565AB7">
              <w:tblPrEx>
                <w:tblCellMar>
                  <w:top w:w="15" w:type="dxa"/>
                  <w:left w:w="15" w:type="dxa"/>
                  <w:bottom w:w="15" w:type="dxa"/>
                  <w:right w:w="15" w:type="dxa"/>
                </w:tblCellMar>
              </w:tblPrEx>
              <w:trPr>
                <w:trHeight w:val="40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2E80">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bidi="ar"/>
                    </w:rPr>
                    <w:t>电导率</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9FF8D69">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bidi="ar"/>
                    </w:rPr>
                    <w:t>μs/cm</w:t>
                  </w:r>
                </w:p>
              </w:tc>
              <w:tc>
                <w:tcPr>
                  <w:tcW w:w="395" w:type="dxa"/>
                  <w:tcBorders>
                    <w:top w:val="single" w:color="000000" w:sz="4" w:space="0"/>
                    <w:left w:val="nil"/>
                    <w:bottom w:val="single" w:color="000000" w:sz="4" w:space="0"/>
                    <w:right w:val="single" w:color="000000" w:sz="4" w:space="0"/>
                  </w:tcBorders>
                  <w:shd w:val="clear" w:color="auto" w:fill="auto"/>
                  <w:vAlign w:val="center"/>
                </w:tcPr>
                <w:p w14:paraId="0BE0D5BB">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574" w:type="dxa"/>
                  <w:tcBorders>
                    <w:top w:val="single" w:color="000000" w:sz="4" w:space="0"/>
                    <w:left w:val="nil"/>
                    <w:bottom w:val="single" w:color="000000" w:sz="4" w:space="0"/>
                    <w:right w:val="single" w:color="000000" w:sz="4" w:space="0"/>
                  </w:tcBorders>
                  <w:shd w:val="clear" w:color="auto" w:fill="auto"/>
                  <w:vAlign w:val="center"/>
                </w:tcPr>
                <w:p w14:paraId="4B741F94">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509" w:type="dxa"/>
                  <w:tcBorders>
                    <w:top w:val="single" w:color="000000" w:sz="4" w:space="0"/>
                    <w:left w:val="nil"/>
                    <w:bottom w:val="single" w:color="000000" w:sz="4" w:space="0"/>
                    <w:right w:val="single" w:color="000000" w:sz="4" w:space="0"/>
                  </w:tcBorders>
                  <w:shd w:val="clear" w:color="auto" w:fill="auto"/>
                  <w:vAlign w:val="center"/>
                </w:tcPr>
                <w:p w14:paraId="40EC56E5">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554" w:type="dxa"/>
                  <w:tcBorders>
                    <w:top w:val="single" w:color="000000" w:sz="4" w:space="0"/>
                    <w:left w:val="nil"/>
                    <w:bottom w:val="single" w:color="000000" w:sz="4" w:space="0"/>
                    <w:right w:val="single" w:color="000000" w:sz="4" w:space="0"/>
                  </w:tcBorders>
                  <w:shd w:val="clear" w:color="auto" w:fill="auto"/>
                  <w:vAlign w:val="center"/>
                </w:tcPr>
                <w:p w14:paraId="45CE58C5">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183065A5">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±5%</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13B829E2">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1B2B8CC2">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70C3B728">
                  <w:pPr>
                    <w:spacing w:line="300" w:lineRule="auto"/>
                    <w:ind w:firstLine="420"/>
                    <w:jc w:val="center"/>
                    <w:rPr>
                      <w:rFonts w:ascii="宋体" w:hAnsi="宋体" w:cs="宋体"/>
                      <w:color w:val="auto"/>
                      <w:sz w:val="21"/>
                      <w:szCs w:val="21"/>
                      <w:highlight w:val="none"/>
                    </w:rPr>
                  </w:pPr>
                </w:p>
              </w:tc>
            </w:tr>
            <w:tr w14:paraId="51325B90">
              <w:tblPrEx>
                <w:tblCellMar>
                  <w:top w:w="15" w:type="dxa"/>
                  <w:left w:w="15" w:type="dxa"/>
                  <w:bottom w:w="15" w:type="dxa"/>
                  <w:right w:w="15" w:type="dxa"/>
                </w:tblCellMar>
              </w:tblPrEx>
              <w:trPr>
                <w:trHeight w:val="40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E895">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bidi="ar"/>
                    </w:rPr>
                    <w:t>浊度</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2018E9E">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bidi="ar"/>
                    </w:rPr>
                    <w:t>NTU</w:t>
                  </w:r>
                </w:p>
              </w:tc>
              <w:tc>
                <w:tcPr>
                  <w:tcW w:w="395" w:type="dxa"/>
                  <w:tcBorders>
                    <w:top w:val="single" w:color="000000" w:sz="4" w:space="0"/>
                    <w:left w:val="nil"/>
                    <w:bottom w:val="single" w:color="000000" w:sz="4" w:space="0"/>
                    <w:right w:val="single" w:color="000000" w:sz="4" w:space="0"/>
                  </w:tcBorders>
                  <w:shd w:val="clear" w:color="auto" w:fill="auto"/>
                  <w:vAlign w:val="center"/>
                </w:tcPr>
                <w:p w14:paraId="40C93238">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574" w:type="dxa"/>
                  <w:tcBorders>
                    <w:top w:val="single" w:color="000000" w:sz="4" w:space="0"/>
                    <w:left w:val="nil"/>
                    <w:bottom w:val="single" w:color="000000" w:sz="4" w:space="0"/>
                    <w:right w:val="single" w:color="000000" w:sz="4" w:space="0"/>
                  </w:tcBorders>
                  <w:shd w:val="clear" w:color="auto" w:fill="auto"/>
                  <w:vAlign w:val="center"/>
                </w:tcPr>
                <w:p w14:paraId="01985AB3">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509" w:type="dxa"/>
                  <w:tcBorders>
                    <w:top w:val="single" w:color="000000" w:sz="4" w:space="0"/>
                    <w:left w:val="nil"/>
                    <w:bottom w:val="single" w:color="000000" w:sz="4" w:space="0"/>
                    <w:right w:val="single" w:color="000000" w:sz="4" w:space="0"/>
                  </w:tcBorders>
                  <w:shd w:val="clear" w:color="auto" w:fill="auto"/>
                  <w:vAlign w:val="center"/>
                </w:tcPr>
                <w:p w14:paraId="4CDC3C06">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554" w:type="dxa"/>
                  <w:tcBorders>
                    <w:top w:val="single" w:color="000000" w:sz="4" w:space="0"/>
                    <w:left w:val="nil"/>
                    <w:bottom w:val="single" w:color="000000" w:sz="4" w:space="0"/>
                    <w:right w:val="single" w:color="000000" w:sz="4" w:space="0"/>
                  </w:tcBorders>
                  <w:shd w:val="clear" w:color="auto" w:fill="auto"/>
                  <w:vAlign w:val="center"/>
                </w:tcPr>
                <w:p w14:paraId="37F79875">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30A0A37C">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1DACA3DE">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03172AA2">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2ACB380F">
                  <w:pPr>
                    <w:spacing w:line="300" w:lineRule="auto"/>
                    <w:ind w:firstLine="420"/>
                    <w:jc w:val="center"/>
                    <w:rPr>
                      <w:rFonts w:ascii="宋体" w:hAnsi="宋体" w:cs="宋体"/>
                      <w:color w:val="auto"/>
                      <w:sz w:val="21"/>
                      <w:szCs w:val="21"/>
                      <w:highlight w:val="none"/>
                    </w:rPr>
                  </w:pPr>
                </w:p>
              </w:tc>
            </w:tr>
            <w:tr w14:paraId="64222FEC">
              <w:tblPrEx>
                <w:tblCellMar>
                  <w:top w:w="15" w:type="dxa"/>
                  <w:left w:w="15" w:type="dxa"/>
                  <w:bottom w:w="15" w:type="dxa"/>
                  <w:right w:w="15" w:type="dxa"/>
                </w:tblCellMar>
              </w:tblPrEx>
              <w:trPr>
                <w:trHeight w:val="40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7211">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bidi="ar"/>
                    </w:rPr>
                    <w:t>氨氮</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3F7A5FA">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bidi="ar"/>
                    </w:rPr>
                    <w:t>mg/L</w:t>
                  </w:r>
                </w:p>
              </w:tc>
              <w:tc>
                <w:tcPr>
                  <w:tcW w:w="395" w:type="dxa"/>
                  <w:tcBorders>
                    <w:top w:val="single" w:color="000000" w:sz="4" w:space="0"/>
                    <w:left w:val="nil"/>
                    <w:bottom w:val="single" w:color="000000" w:sz="4" w:space="0"/>
                    <w:right w:val="single" w:color="000000" w:sz="4" w:space="0"/>
                  </w:tcBorders>
                  <w:shd w:val="clear" w:color="auto" w:fill="auto"/>
                  <w:vAlign w:val="center"/>
                </w:tcPr>
                <w:p w14:paraId="2EA763AE">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±0.2</w:t>
                  </w:r>
                </w:p>
              </w:tc>
              <w:tc>
                <w:tcPr>
                  <w:tcW w:w="574" w:type="dxa"/>
                  <w:tcBorders>
                    <w:top w:val="single" w:color="000000" w:sz="4" w:space="0"/>
                    <w:left w:val="nil"/>
                    <w:bottom w:val="single" w:color="000000" w:sz="4" w:space="0"/>
                    <w:right w:val="single" w:color="000000" w:sz="4" w:space="0"/>
                  </w:tcBorders>
                  <w:shd w:val="clear" w:color="auto" w:fill="auto"/>
                  <w:vAlign w:val="center"/>
                </w:tcPr>
                <w:p w14:paraId="66A7C75A">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±5%</w:t>
                  </w:r>
                </w:p>
              </w:tc>
              <w:tc>
                <w:tcPr>
                  <w:tcW w:w="509" w:type="dxa"/>
                  <w:tcBorders>
                    <w:top w:val="single" w:color="000000" w:sz="4" w:space="0"/>
                    <w:left w:val="nil"/>
                    <w:bottom w:val="single" w:color="000000" w:sz="4" w:space="0"/>
                    <w:right w:val="single" w:color="000000" w:sz="4" w:space="0"/>
                  </w:tcBorders>
                  <w:shd w:val="clear" w:color="auto" w:fill="auto"/>
                  <w:vAlign w:val="center"/>
                </w:tcPr>
                <w:p w14:paraId="4D97A9ED">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554" w:type="dxa"/>
                  <w:tcBorders>
                    <w:top w:val="single" w:color="000000" w:sz="4" w:space="0"/>
                    <w:left w:val="nil"/>
                    <w:bottom w:val="single" w:color="000000" w:sz="4" w:space="0"/>
                    <w:right w:val="single" w:color="000000" w:sz="4" w:space="0"/>
                  </w:tcBorders>
                  <w:shd w:val="clear" w:color="auto" w:fill="auto"/>
                  <w:vAlign w:val="center"/>
                </w:tcPr>
                <w:p w14:paraId="4E5EC7F5">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2529DA32">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51A481FC">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2F1B87E0">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80%~120%</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4E38625C">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r>
            <w:tr w14:paraId="17AC6CA3">
              <w:tblPrEx>
                <w:tblCellMar>
                  <w:top w:w="15" w:type="dxa"/>
                  <w:left w:w="15" w:type="dxa"/>
                  <w:bottom w:w="15" w:type="dxa"/>
                  <w:right w:w="15" w:type="dxa"/>
                </w:tblCellMar>
              </w:tblPrEx>
              <w:trPr>
                <w:trHeight w:val="40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5C09">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bidi="ar"/>
                    </w:rPr>
                    <w:t>高锰酸盐指数</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2F87CF2">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bidi="ar"/>
                    </w:rPr>
                    <w:t>mg/L</w:t>
                  </w:r>
                </w:p>
              </w:tc>
              <w:tc>
                <w:tcPr>
                  <w:tcW w:w="395" w:type="dxa"/>
                  <w:tcBorders>
                    <w:top w:val="single" w:color="000000" w:sz="4" w:space="0"/>
                    <w:left w:val="nil"/>
                    <w:bottom w:val="single" w:color="000000" w:sz="4" w:space="0"/>
                    <w:right w:val="single" w:color="000000" w:sz="4" w:space="0"/>
                  </w:tcBorders>
                  <w:shd w:val="clear" w:color="auto" w:fill="auto"/>
                  <w:vAlign w:val="center"/>
                </w:tcPr>
                <w:p w14:paraId="61DE01D1">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574" w:type="dxa"/>
                  <w:tcBorders>
                    <w:top w:val="single" w:color="000000" w:sz="4" w:space="0"/>
                    <w:left w:val="nil"/>
                    <w:bottom w:val="single" w:color="000000" w:sz="4" w:space="0"/>
                    <w:right w:val="single" w:color="000000" w:sz="4" w:space="0"/>
                  </w:tcBorders>
                  <w:shd w:val="clear" w:color="auto" w:fill="auto"/>
                  <w:vAlign w:val="center"/>
                </w:tcPr>
                <w:p w14:paraId="1CF887B8">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509" w:type="dxa"/>
                  <w:tcBorders>
                    <w:top w:val="single" w:color="000000" w:sz="4" w:space="0"/>
                    <w:left w:val="nil"/>
                    <w:bottom w:val="single" w:color="000000" w:sz="4" w:space="0"/>
                    <w:right w:val="single" w:color="000000" w:sz="4" w:space="0"/>
                  </w:tcBorders>
                  <w:shd w:val="clear" w:color="auto" w:fill="auto"/>
                  <w:vAlign w:val="center"/>
                </w:tcPr>
                <w:p w14:paraId="057B5AB0">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554" w:type="dxa"/>
                  <w:tcBorders>
                    <w:top w:val="single" w:color="000000" w:sz="4" w:space="0"/>
                    <w:left w:val="nil"/>
                    <w:bottom w:val="single" w:color="000000" w:sz="4" w:space="0"/>
                    <w:right w:val="single" w:color="000000" w:sz="4" w:space="0"/>
                  </w:tcBorders>
                  <w:shd w:val="clear" w:color="auto" w:fill="auto"/>
                  <w:vAlign w:val="center"/>
                </w:tcPr>
                <w:p w14:paraId="6852D84B">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4D40A497">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43F70B8C">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7782D9C4">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80%~120%</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71E92139">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r>
            <w:tr w14:paraId="2E3C9979">
              <w:tblPrEx>
                <w:tblCellMar>
                  <w:top w:w="15" w:type="dxa"/>
                  <w:left w:w="15" w:type="dxa"/>
                  <w:bottom w:w="15" w:type="dxa"/>
                  <w:right w:w="15" w:type="dxa"/>
                </w:tblCellMar>
              </w:tblPrEx>
              <w:trPr>
                <w:trHeight w:val="40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7677">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bidi="ar"/>
                    </w:rPr>
                    <w:t>总氮</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45D977B">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bidi="ar"/>
                    </w:rPr>
                    <w:t>mg/L</w:t>
                  </w:r>
                </w:p>
              </w:tc>
              <w:tc>
                <w:tcPr>
                  <w:tcW w:w="395" w:type="dxa"/>
                  <w:tcBorders>
                    <w:top w:val="single" w:color="000000" w:sz="4" w:space="0"/>
                    <w:left w:val="nil"/>
                    <w:bottom w:val="single" w:color="000000" w:sz="4" w:space="0"/>
                    <w:right w:val="single" w:color="000000" w:sz="4" w:space="0"/>
                  </w:tcBorders>
                  <w:shd w:val="clear" w:color="auto" w:fill="auto"/>
                  <w:vAlign w:val="center"/>
                </w:tcPr>
                <w:p w14:paraId="45894B3C">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±0.3</w:t>
                  </w:r>
                </w:p>
              </w:tc>
              <w:tc>
                <w:tcPr>
                  <w:tcW w:w="574" w:type="dxa"/>
                  <w:tcBorders>
                    <w:top w:val="single" w:color="000000" w:sz="4" w:space="0"/>
                    <w:left w:val="nil"/>
                    <w:bottom w:val="single" w:color="000000" w:sz="4" w:space="0"/>
                    <w:right w:val="single" w:color="000000" w:sz="4" w:space="0"/>
                  </w:tcBorders>
                  <w:shd w:val="clear" w:color="auto" w:fill="auto"/>
                  <w:vAlign w:val="center"/>
                </w:tcPr>
                <w:p w14:paraId="3F1818E2">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±5%</w:t>
                  </w:r>
                </w:p>
              </w:tc>
              <w:tc>
                <w:tcPr>
                  <w:tcW w:w="509" w:type="dxa"/>
                  <w:tcBorders>
                    <w:top w:val="single" w:color="000000" w:sz="4" w:space="0"/>
                    <w:left w:val="nil"/>
                    <w:bottom w:val="single" w:color="000000" w:sz="4" w:space="0"/>
                    <w:right w:val="single" w:color="000000" w:sz="4" w:space="0"/>
                  </w:tcBorders>
                  <w:shd w:val="clear" w:color="auto" w:fill="auto"/>
                  <w:vAlign w:val="center"/>
                </w:tcPr>
                <w:p w14:paraId="1A7F7902">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554" w:type="dxa"/>
                  <w:tcBorders>
                    <w:top w:val="single" w:color="000000" w:sz="4" w:space="0"/>
                    <w:left w:val="nil"/>
                    <w:bottom w:val="single" w:color="000000" w:sz="4" w:space="0"/>
                    <w:right w:val="single" w:color="000000" w:sz="4" w:space="0"/>
                  </w:tcBorders>
                  <w:shd w:val="clear" w:color="auto" w:fill="auto"/>
                  <w:vAlign w:val="center"/>
                </w:tcPr>
                <w:p w14:paraId="27521293">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129F6ADF">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08D39BD8">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390E751A">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80%~120%</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7AAF32CB">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r>
            <w:tr w14:paraId="0AB56532">
              <w:tblPrEx>
                <w:tblCellMar>
                  <w:top w:w="15" w:type="dxa"/>
                  <w:left w:w="15" w:type="dxa"/>
                  <w:bottom w:w="15" w:type="dxa"/>
                  <w:right w:w="15" w:type="dxa"/>
                </w:tblCellMar>
              </w:tblPrEx>
              <w:trPr>
                <w:trHeight w:val="40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705">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bidi="ar"/>
                    </w:rPr>
                    <w:t>总磷</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C5AE045">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bidi="ar"/>
                    </w:rPr>
                    <w:t>mg/L</w:t>
                  </w:r>
                </w:p>
              </w:tc>
              <w:tc>
                <w:tcPr>
                  <w:tcW w:w="395" w:type="dxa"/>
                  <w:tcBorders>
                    <w:top w:val="single" w:color="000000" w:sz="4" w:space="0"/>
                    <w:left w:val="nil"/>
                    <w:bottom w:val="single" w:color="000000" w:sz="4" w:space="0"/>
                    <w:right w:val="single" w:color="000000" w:sz="4" w:space="0"/>
                  </w:tcBorders>
                  <w:shd w:val="clear" w:color="auto" w:fill="auto"/>
                  <w:vAlign w:val="center"/>
                </w:tcPr>
                <w:p w14:paraId="055A8EA9">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±0.02</w:t>
                  </w:r>
                </w:p>
              </w:tc>
              <w:tc>
                <w:tcPr>
                  <w:tcW w:w="574" w:type="dxa"/>
                  <w:tcBorders>
                    <w:top w:val="single" w:color="000000" w:sz="4" w:space="0"/>
                    <w:left w:val="nil"/>
                    <w:bottom w:val="single" w:color="000000" w:sz="4" w:space="0"/>
                    <w:right w:val="single" w:color="000000" w:sz="4" w:space="0"/>
                  </w:tcBorders>
                  <w:shd w:val="clear" w:color="auto" w:fill="auto"/>
                  <w:vAlign w:val="center"/>
                </w:tcPr>
                <w:p w14:paraId="7E1FA9D4">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±5%</w:t>
                  </w:r>
                </w:p>
              </w:tc>
              <w:tc>
                <w:tcPr>
                  <w:tcW w:w="509" w:type="dxa"/>
                  <w:tcBorders>
                    <w:top w:val="single" w:color="000000" w:sz="4" w:space="0"/>
                    <w:left w:val="nil"/>
                    <w:bottom w:val="single" w:color="000000" w:sz="4" w:space="0"/>
                    <w:right w:val="single" w:color="000000" w:sz="4" w:space="0"/>
                  </w:tcBorders>
                  <w:shd w:val="clear" w:color="auto" w:fill="auto"/>
                  <w:vAlign w:val="center"/>
                </w:tcPr>
                <w:p w14:paraId="1FC33250">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554" w:type="dxa"/>
                  <w:tcBorders>
                    <w:top w:val="single" w:color="000000" w:sz="4" w:space="0"/>
                    <w:left w:val="nil"/>
                    <w:bottom w:val="single" w:color="000000" w:sz="4" w:space="0"/>
                    <w:right w:val="single" w:color="000000" w:sz="4" w:space="0"/>
                  </w:tcBorders>
                  <w:shd w:val="clear" w:color="auto" w:fill="auto"/>
                  <w:vAlign w:val="center"/>
                </w:tcPr>
                <w:p w14:paraId="1E6DEA20">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79BB96E7">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2C990E7C">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611" w:type="dxa"/>
                  <w:tcBorders>
                    <w:top w:val="single" w:color="000000" w:sz="4" w:space="0"/>
                    <w:left w:val="nil"/>
                    <w:bottom w:val="single" w:color="000000" w:sz="4" w:space="0"/>
                    <w:right w:val="single" w:color="000000" w:sz="4" w:space="0"/>
                  </w:tcBorders>
                  <w:shd w:val="clear" w:color="auto" w:fill="auto"/>
                  <w:vAlign w:val="center"/>
                </w:tcPr>
                <w:p w14:paraId="06CD7A8D">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80%~120%</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13E31BFD">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±10%</w:t>
                  </w:r>
                </w:p>
              </w:tc>
            </w:tr>
            <w:tr w14:paraId="21C1081A">
              <w:tblPrEx>
                <w:tblCellMar>
                  <w:top w:w="15" w:type="dxa"/>
                  <w:left w:w="15" w:type="dxa"/>
                  <w:bottom w:w="15" w:type="dxa"/>
                  <w:right w:w="15" w:type="dxa"/>
                </w:tblCellMar>
              </w:tblPrEx>
              <w:trPr>
                <w:trHeight w:val="409" w:hRule="atLeast"/>
              </w:trPr>
              <w:tc>
                <w:tcPr>
                  <w:tcW w:w="61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F7F00D">
                  <w:pPr>
                    <w:widowControl/>
                    <w:spacing w:line="300" w:lineRule="auto"/>
                    <w:ind w:firstLine="42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实际水样比对技术要求</w:t>
                  </w:r>
                </w:p>
              </w:tc>
            </w:tr>
            <w:tr w14:paraId="2E8E4F4A">
              <w:tblPrEx>
                <w:tblCellMar>
                  <w:top w:w="15" w:type="dxa"/>
                  <w:left w:w="15" w:type="dxa"/>
                  <w:bottom w:w="15" w:type="dxa"/>
                  <w:right w:w="15" w:type="dxa"/>
                </w:tblCellMar>
              </w:tblPrEx>
              <w:trPr>
                <w:trHeight w:val="409" w:hRule="atLeast"/>
              </w:trPr>
              <w:tc>
                <w:tcPr>
                  <w:tcW w:w="1402" w:type="dxa"/>
                  <w:gridSpan w:val="2"/>
                  <w:vMerge w:val="restart"/>
                  <w:tcBorders>
                    <w:top w:val="nil"/>
                    <w:left w:val="single" w:color="000000" w:sz="4" w:space="0"/>
                    <w:bottom w:val="nil"/>
                    <w:right w:val="single" w:color="000000" w:sz="4" w:space="0"/>
                  </w:tcBorders>
                  <w:shd w:val="clear" w:color="auto" w:fill="auto"/>
                  <w:vAlign w:val="center"/>
                </w:tcPr>
                <w:p w14:paraId="05609E26">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高锰酸盐指数、氨氮、总磷、总氮水质自动监测仪器</w:t>
                  </w:r>
                </w:p>
              </w:tc>
              <w:tc>
                <w:tcPr>
                  <w:tcW w:w="2032" w:type="dxa"/>
                  <w:gridSpan w:val="4"/>
                  <w:tcBorders>
                    <w:top w:val="single" w:color="000000" w:sz="4" w:space="0"/>
                    <w:left w:val="nil"/>
                    <w:bottom w:val="single" w:color="000000" w:sz="4" w:space="0"/>
                    <w:right w:val="single" w:color="000000" w:sz="4" w:space="0"/>
                  </w:tcBorders>
                  <w:shd w:val="clear" w:color="auto" w:fill="auto"/>
                  <w:vAlign w:val="center"/>
                </w:tcPr>
                <w:p w14:paraId="669FBCF8">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Cx＞BⅣ</w:t>
                  </w:r>
                </w:p>
              </w:tc>
              <w:tc>
                <w:tcPr>
                  <w:tcW w:w="2689" w:type="dxa"/>
                  <w:gridSpan w:val="4"/>
                  <w:tcBorders>
                    <w:top w:val="single" w:color="000000" w:sz="4" w:space="0"/>
                    <w:left w:val="nil"/>
                    <w:bottom w:val="single" w:color="000000" w:sz="4" w:space="0"/>
                    <w:right w:val="single" w:color="000000" w:sz="4" w:space="0"/>
                  </w:tcBorders>
                  <w:shd w:val="clear" w:color="auto" w:fill="auto"/>
                  <w:vAlign w:val="center"/>
                </w:tcPr>
                <w:p w14:paraId="19215388">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相对误差≤20%</w:t>
                  </w:r>
                </w:p>
              </w:tc>
            </w:tr>
            <w:tr w14:paraId="2E8504C7">
              <w:tblPrEx>
                <w:tblCellMar>
                  <w:top w:w="15" w:type="dxa"/>
                  <w:left w:w="15" w:type="dxa"/>
                  <w:bottom w:w="15" w:type="dxa"/>
                  <w:right w:w="15" w:type="dxa"/>
                </w:tblCellMar>
              </w:tblPrEx>
              <w:trPr>
                <w:trHeight w:val="409" w:hRule="atLeast"/>
              </w:trPr>
              <w:tc>
                <w:tcPr>
                  <w:tcW w:w="1402" w:type="dxa"/>
                  <w:gridSpan w:val="2"/>
                  <w:vMerge w:val="continue"/>
                  <w:tcBorders>
                    <w:top w:val="nil"/>
                    <w:left w:val="single" w:color="000000" w:sz="4" w:space="0"/>
                    <w:bottom w:val="nil"/>
                    <w:right w:val="single" w:color="000000" w:sz="4" w:space="0"/>
                  </w:tcBorders>
                  <w:shd w:val="clear" w:color="auto" w:fill="auto"/>
                  <w:vAlign w:val="center"/>
                </w:tcPr>
                <w:p w14:paraId="24849D48">
                  <w:pPr>
                    <w:ind w:firstLine="420"/>
                    <w:jc w:val="center"/>
                    <w:rPr>
                      <w:color w:val="auto"/>
                      <w:sz w:val="21"/>
                      <w:szCs w:val="21"/>
                      <w:highlight w:val="none"/>
                    </w:rPr>
                  </w:pPr>
                </w:p>
              </w:tc>
              <w:tc>
                <w:tcPr>
                  <w:tcW w:w="2032" w:type="dxa"/>
                  <w:gridSpan w:val="4"/>
                  <w:tcBorders>
                    <w:top w:val="single" w:color="000000" w:sz="4" w:space="0"/>
                    <w:left w:val="nil"/>
                    <w:bottom w:val="single" w:color="000000" w:sz="4" w:space="0"/>
                    <w:right w:val="single" w:color="000000" w:sz="4" w:space="0"/>
                  </w:tcBorders>
                  <w:shd w:val="clear" w:color="auto" w:fill="auto"/>
                  <w:vAlign w:val="center"/>
                </w:tcPr>
                <w:p w14:paraId="0E928D01">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BⅡ&lt;Cx＜BⅣ</w:t>
                  </w:r>
                </w:p>
              </w:tc>
              <w:tc>
                <w:tcPr>
                  <w:tcW w:w="2689" w:type="dxa"/>
                  <w:gridSpan w:val="4"/>
                  <w:tcBorders>
                    <w:top w:val="single" w:color="000000" w:sz="4" w:space="0"/>
                    <w:left w:val="nil"/>
                    <w:bottom w:val="single" w:color="000000" w:sz="4" w:space="0"/>
                    <w:right w:val="single" w:color="000000" w:sz="4" w:space="0"/>
                  </w:tcBorders>
                  <w:shd w:val="clear" w:color="auto" w:fill="auto"/>
                  <w:vAlign w:val="center"/>
                </w:tcPr>
                <w:p w14:paraId="27381B88">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相对误差≤30%</w:t>
                  </w:r>
                </w:p>
              </w:tc>
            </w:tr>
            <w:tr w14:paraId="0D939B33">
              <w:tblPrEx>
                <w:tblCellMar>
                  <w:top w:w="15" w:type="dxa"/>
                  <w:left w:w="15" w:type="dxa"/>
                  <w:bottom w:w="15" w:type="dxa"/>
                  <w:right w:w="15" w:type="dxa"/>
                </w:tblCellMar>
              </w:tblPrEx>
              <w:trPr>
                <w:trHeight w:val="409" w:hRule="atLeast"/>
              </w:trPr>
              <w:tc>
                <w:tcPr>
                  <w:tcW w:w="1402" w:type="dxa"/>
                  <w:gridSpan w:val="2"/>
                  <w:vMerge w:val="continue"/>
                  <w:tcBorders>
                    <w:top w:val="nil"/>
                    <w:left w:val="single" w:color="000000" w:sz="4" w:space="0"/>
                    <w:bottom w:val="nil"/>
                    <w:right w:val="single" w:color="000000" w:sz="4" w:space="0"/>
                  </w:tcBorders>
                  <w:shd w:val="clear" w:color="auto" w:fill="auto"/>
                  <w:vAlign w:val="center"/>
                </w:tcPr>
                <w:p w14:paraId="40150E00">
                  <w:pPr>
                    <w:ind w:firstLine="420"/>
                    <w:jc w:val="center"/>
                    <w:rPr>
                      <w:color w:val="auto"/>
                      <w:sz w:val="21"/>
                      <w:szCs w:val="21"/>
                      <w:highlight w:val="none"/>
                    </w:rPr>
                  </w:pPr>
                </w:p>
              </w:tc>
              <w:tc>
                <w:tcPr>
                  <w:tcW w:w="2032" w:type="dxa"/>
                  <w:gridSpan w:val="4"/>
                  <w:tcBorders>
                    <w:top w:val="single" w:color="000000" w:sz="4" w:space="0"/>
                    <w:left w:val="nil"/>
                    <w:bottom w:val="single" w:color="000000" w:sz="4" w:space="0"/>
                    <w:right w:val="single" w:color="000000" w:sz="4" w:space="0"/>
                  </w:tcBorders>
                  <w:shd w:val="clear" w:color="auto" w:fill="auto"/>
                  <w:vAlign w:val="center"/>
                </w:tcPr>
                <w:p w14:paraId="02C6E953">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Cx＜BⅡ</w:t>
                  </w:r>
                </w:p>
              </w:tc>
              <w:tc>
                <w:tcPr>
                  <w:tcW w:w="2689" w:type="dxa"/>
                  <w:gridSpan w:val="4"/>
                  <w:tcBorders>
                    <w:top w:val="single" w:color="000000" w:sz="4" w:space="0"/>
                    <w:left w:val="nil"/>
                    <w:bottom w:val="single" w:color="000000" w:sz="4" w:space="0"/>
                    <w:right w:val="single" w:color="000000" w:sz="4" w:space="0"/>
                  </w:tcBorders>
                  <w:shd w:val="clear" w:color="auto" w:fill="auto"/>
                  <w:vAlign w:val="center"/>
                </w:tcPr>
                <w:p w14:paraId="23F1C808">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相对误差≤40%</w:t>
                  </w:r>
                </w:p>
              </w:tc>
            </w:tr>
            <w:tr w14:paraId="26F6E216">
              <w:tblPrEx>
                <w:tblCellMar>
                  <w:top w:w="15" w:type="dxa"/>
                  <w:left w:w="15" w:type="dxa"/>
                  <w:bottom w:w="15" w:type="dxa"/>
                  <w:right w:w="15" w:type="dxa"/>
                </w:tblCellMar>
              </w:tblPrEx>
              <w:trPr>
                <w:trHeight w:val="409" w:hRule="atLeast"/>
              </w:trPr>
              <w:tc>
                <w:tcPr>
                  <w:tcW w:w="1402" w:type="dxa"/>
                  <w:gridSpan w:val="2"/>
                  <w:vMerge w:val="continue"/>
                  <w:tcBorders>
                    <w:top w:val="nil"/>
                    <w:left w:val="single" w:color="000000" w:sz="4" w:space="0"/>
                    <w:bottom w:val="nil"/>
                    <w:right w:val="single" w:color="000000" w:sz="4" w:space="0"/>
                  </w:tcBorders>
                  <w:shd w:val="clear" w:color="auto" w:fill="auto"/>
                  <w:vAlign w:val="center"/>
                </w:tcPr>
                <w:p w14:paraId="72B5B829">
                  <w:pPr>
                    <w:ind w:firstLine="420"/>
                    <w:jc w:val="center"/>
                    <w:rPr>
                      <w:color w:val="auto"/>
                      <w:sz w:val="21"/>
                      <w:szCs w:val="21"/>
                      <w:highlight w:val="none"/>
                    </w:rPr>
                  </w:pPr>
                </w:p>
              </w:tc>
              <w:tc>
                <w:tcPr>
                  <w:tcW w:w="4721" w:type="dxa"/>
                  <w:gridSpan w:val="8"/>
                  <w:tcBorders>
                    <w:top w:val="single" w:color="000000" w:sz="4" w:space="0"/>
                    <w:left w:val="nil"/>
                    <w:bottom w:val="single" w:color="000000" w:sz="4" w:space="0"/>
                    <w:right w:val="single" w:color="000000" w:sz="4" w:space="0"/>
                  </w:tcBorders>
                  <w:shd w:val="clear" w:color="auto" w:fill="auto"/>
                  <w:vAlign w:val="center"/>
                </w:tcPr>
                <w:p w14:paraId="4066E56B">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除湖库总磷外，当自动监测结果和实验室分析结果均低于 BⅡ时，认定比对实验结果合格。</w:t>
                  </w:r>
                </w:p>
                <w:p w14:paraId="467C22B2">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当湖库总磷自动监测结果和实验室分析结果均低于BⅢ时，认定比对实验结果合格。</w:t>
                  </w:r>
                </w:p>
                <w:p w14:paraId="234BE4ED">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注：① Cx为实验室分析结果；</w:t>
                  </w:r>
                </w:p>
                <w:p w14:paraId="319A1EE8">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② B 为 GB 3838 规定的水质类别限值；</w:t>
                  </w:r>
                </w:p>
                <w:p w14:paraId="00A076B6">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③ 总氮无河流水质标准，可参考湖库标准。</w:t>
                  </w:r>
                </w:p>
              </w:tc>
            </w:tr>
            <w:tr w14:paraId="132B4A25">
              <w:tblPrEx>
                <w:tblCellMar>
                  <w:top w:w="15" w:type="dxa"/>
                  <w:left w:w="15" w:type="dxa"/>
                  <w:bottom w:w="15" w:type="dxa"/>
                  <w:right w:w="15" w:type="dxa"/>
                </w:tblCellMar>
              </w:tblPrEx>
              <w:trPr>
                <w:trHeight w:val="409" w:hRule="atLeast"/>
              </w:trPr>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C21C9">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水温水质自动监测仪器</w:t>
                  </w:r>
                </w:p>
              </w:tc>
              <w:tc>
                <w:tcPr>
                  <w:tcW w:w="4721" w:type="dxa"/>
                  <w:gridSpan w:val="8"/>
                  <w:tcBorders>
                    <w:top w:val="single" w:color="000000" w:sz="4" w:space="0"/>
                    <w:left w:val="nil"/>
                    <w:bottom w:val="single" w:color="000000" w:sz="4" w:space="0"/>
                    <w:right w:val="single" w:color="000000" w:sz="4" w:space="0"/>
                  </w:tcBorders>
                  <w:shd w:val="clear" w:color="auto" w:fill="auto"/>
                  <w:vAlign w:val="center"/>
                </w:tcPr>
                <w:p w14:paraId="4BB8FF69">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绝对误差±0.5 ℃以内</w:t>
                  </w:r>
                </w:p>
              </w:tc>
            </w:tr>
            <w:tr w14:paraId="3581F71B">
              <w:tblPrEx>
                <w:tblCellMar>
                  <w:top w:w="15" w:type="dxa"/>
                  <w:left w:w="15" w:type="dxa"/>
                  <w:bottom w:w="15" w:type="dxa"/>
                  <w:right w:w="15" w:type="dxa"/>
                </w:tblCellMar>
              </w:tblPrEx>
              <w:trPr>
                <w:trHeight w:val="409" w:hRule="atLeast"/>
              </w:trPr>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82F99">
                  <w:pPr>
                    <w:spacing w:line="300" w:lineRule="auto"/>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pH 水质自动监测仪器</w:t>
                  </w:r>
                </w:p>
              </w:tc>
              <w:tc>
                <w:tcPr>
                  <w:tcW w:w="4721" w:type="dxa"/>
                  <w:gridSpan w:val="8"/>
                  <w:tcBorders>
                    <w:top w:val="single" w:color="000000" w:sz="4" w:space="0"/>
                    <w:left w:val="nil"/>
                    <w:bottom w:val="single" w:color="000000" w:sz="4" w:space="0"/>
                    <w:right w:val="single" w:color="000000" w:sz="4" w:space="0"/>
                  </w:tcBorders>
                  <w:shd w:val="clear" w:color="auto" w:fill="auto"/>
                  <w:vAlign w:val="center"/>
                </w:tcPr>
                <w:p w14:paraId="60D70FB2">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绝对误差±0.5 以内</w:t>
                  </w:r>
                </w:p>
              </w:tc>
            </w:tr>
            <w:tr w14:paraId="346CDCA2">
              <w:tblPrEx>
                <w:tblCellMar>
                  <w:top w:w="15" w:type="dxa"/>
                  <w:left w:w="15" w:type="dxa"/>
                  <w:bottom w:w="15" w:type="dxa"/>
                  <w:right w:w="15" w:type="dxa"/>
                </w:tblCellMar>
              </w:tblPrEx>
              <w:trPr>
                <w:trHeight w:val="409" w:hRule="atLeast"/>
              </w:trPr>
              <w:tc>
                <w:tcPr>
                  <w:tcW w:w="1402" w:type="dxa"/>
                  <w:gridSpan w:val="2"/>
                  <w:vMerge w:val="restart"/>
                  <w:tcBorders>
                    <w:top w:val="nil"/>
                    <w:left w:val="single" w:color="000000" w:sz="4" w:space="0"/>
                    <w:bottom w:val="nil"/>
                    <w:right w:val="single" w:color="000000" w:sz="4" w:space="0"/>
                  </w:tcBorders>
                  <w:shd w:val="clear" w:color="auto" w:fill="auto"/>
                  <w:vAlign w:val="center"/>
                </w:tcPr>
                <w:p w14:paraId="55F19FAC">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溶解氧水质自动监测仪器</w:t>
                  </w:r>
                </w:p>
              </w:tc>
              <w:tc>
                <w:tcPr>
                  <w:tcW w:w="4721" w:type="dxa"/>
                  <w:gridSpan w:val="8"/>
                  <w:tcBorders>
                    <w:top w:val="single" w:color="000000" w:sz="4" w:space="0"/>
                    <w:left w:val="nil"/>
                    <w:bottom w:val="single" w:color="000000" w:sz="4" w:space="0"/>
                    <w:right w:val="single" w:color="000000" w:sz="4" w:space="0"/>
                  </w:tcBorders>
                  <w:shd w:val="clear" w:color="auto" w:fill="auto"/>
                  <w:vAlign w:val="center"/>
                </w:tcPr>
                <w:p w14:paraId="318773A9">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绝对误差±0.8 mg/L 以内</w:t>
                  </w:r>
                </w:p>
              </w:tc>
            </w:tr>
            <w:tr w14:paraId="09AA30E7">
              <w:tblPrEx>
                <w:tblCellMar>
                  <w:top w:w="15" w:type="dxa"/>
                  <w:left w:w="15" w:type="dxa"/>
                  <w:bottom w:w="15" w:type="dxa"/>
                  <w:right w:w="15" w:type="dxa"/>
                </w:tblCellMar>
              </w:tblPrEx>
              <w:trPr>
                <w:trHeight w:val="409" w:hRule="atLeast"/>
              </w:trPr>
              <w:tc>
                <w:tcPr>
                  <w:tcW w:w="1402" w:type="dxa"/>
                  <w:gridSpan w:val="2"/>
                  <w:vMerge w:val="continue"/>
                  <w:tcBorders>
                    <w:top w:val="nil"/>
                    <w:left w:val="single" w:color="000000" w:sz="4" w:space="0"/>
                    <w:bottom w:val="nil"/>
                    <w:right w:val="single" w:color="000000" w:sz="4" w:space="0"/>
                  </w:tcBorders>
                  <w:shd w:val="clear" w:color="auto" w:fill="auto"/>
                  <w:vAlign w:val="center"/>
                </w:tcPr>
                <w:p w14:paraId="4F58FC35">
                  <w:pPr>
                    <w:ind w:firstLine="420"/>
                    <w:jc w:val="center"/>
                    <w:rPr>
                      <w:color w:val="auto"/>
                      <w:sz w:val="21"/>
                      <w:szCs w:val="21"/>
                      <w:highlight w:val="none"/>
                    </w:rPr>
                  </w:pPr>
                </w:p>
              </w:tc>
              <w:tc>
                <w:tcPr>
                  <w:tcW w:w="4721" w:type="dxa"/>
                  <w:gridSpan w:val="8"/>
                  <w:tcBorders>
                    <w:top w:val="single" w:color="000000" w:sz="4" w:space="0"/>
                    <w:left w:val="nil"/>
                    <w:bottom w:val="single" w:color="000000" w:sz="4" w:space="0"/>
                    <w:right w:val="single" w:color="000000" w:sz="4" w:space="0"/>
                  </w:tcBorders>
                  <w:shd w:val="clear" w:color="auto" w:fill="auto"/>
                  <w:vAlign w:val="center"/>
                </w:tcPr>
                <w:p w14:paraId="23D0506D">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当溶解氧自动监测仪与便携仪器均过饱和时，比对结果合格。</w:t>
                  </w:r>
                </w:p>
              </w:tc>
            </w:tr>
            <w:tr w14:paraId="23F4F38D">
              <w:tblPrEx>
                <w:tblCellMar>
                  <w:top w:w="15" w:type="dxa"/>
                  <w:left w:w="15" w:type="dxa"/>
                  <w:bottom w:w="15" w:type="dxa"/>
                  <w:right w:w="15" w:type="dxa"/>
                </w:tblCellMar>
              </w:tblPrEx>
              <w:trPr>
                <w:trHeight w:val="409" w:hRule="atLeast"/>
              </w:trPr>
              <w:tc>
                <w:tcPr>
                  <w:tcW w:w="1402" w:type="dxa"/>
                  <w:gridSpan w:val="2"/>
                  <w:vMerge w:val="restart"/>
                  <w:tcBorders>
                    <w:top w:val="nil"/>
                    <w:left w:val="single" w:color="000000" w:sz="4" w:space="0"/>
                    <w:bottom w:val="nil"/>
                    <w:right w:val="single" w:color="000000" w:sz="4" w:space="0"/>
                  </w:tcBorders>
                  <w:shd w:val="clear" w:color="auto" w:fill="auto"/>
                  <w:vAlign w:val="center"/>
                </w:tcPr>
                <w:p w14:paraId="6122D672">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电导率水质自动监测仪器</w:t>
                  </w:r>
                </w:p>
              </w:tc>
              <w:tc>
                <w:tcPr>
                  <w:tcW w:w="2643" w:type="dxa"/>
                  <w:gridSpan w:val="5"/>
                  <w:tcBorders>
                    <w:top w:val="single" w:color="000000" w:sz="4" w:space="0"/>
                    <w:left w:val="nil"/>
                    <w:bottom w:val="single" w:color="000000" w:sz="4" w:space="0"/>
                    <w:right w:val="single" w:color="000000" w:sz="4" w:space="0"/>
                  </w:tcBorders>
                  <w:shd w:val="clear" w:color="auto" w:fill="auto"/>
                  <w:vAlign w:val="center"/>
                </w:tcPr>
                <w:p w14:paraId="1089CD07">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便携检测结果≤100 μS/cm</w:t>
                  </w:r>
                </w:p>
              </w:tc>
              <w:tc>
                <w:tcPr>
                  <w:tcW w:w="2078" w:type="dxa"/>
                  <w:gridSpan w:val="3"/>
                  <w:tcBorders>
                    <w:top w:val="single" w:color="000000" w:sz="4" w:space="0"/>
                    <w:left w:val="nil"/>
                    <w:bottom w:val="single" w:color="000000" w:sz="4" w:space="0"/>
                    <w:right w:val="single" w:color="000000" w:sz="4" w:space="0"/>
                  </w:tcBorders>
                  <w:shd w:val="clear" w:color="auto" w:fill="auto"/>
                  <w:vAlign w:val="center"/>
                </w:tcPr>
                <w:p w14:paraId="118B3174">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绝对误差±10μS/cm以内</w:t>
                  </w:r>
                </w:p>
              </w:tc>
            </w:tr>
            <w:tr w14:paraId="4F2D0515">
              <w:tblPrEx>
                <w:tblCellMar>
                  <w:top w:w="15" w:type="dxa"/>
                  <w:left w:w="15" w:type="dxa"/>
                  <w:bottom w:w="15" w:type="dxa"/>
                  <w:right w:w="15" w:type="dxa"/>
                </w:tblCellMar>
              </w:tblPrEx>
              <w:trPr>
                <w:trHeight w:val="409" w:hRule="atLeast"/>
              </w:trPr>
              <w:tc>
                <w:tcPr>
                  <w:tcW w:w="1402" w:type="dxa"/>
                  <w:gridSpan w:val="2"/>
                  <w:vMerge w:val="continue"/>
                  <w:tcBorders>
                    <w:top w:val="nil"/>
                    <w:left w:val="single" w:color="000000" w:sz="4" w:space="0"/>
                    <w:bottom w:val="nil"/>
                    <w:right w:val="single" w:color="000000" w:sz="4" w:space="0"/>
                  </w:tcBorders>
                  <w:shd w:val="clear" w:color="auto" w:fill="auto"/>
                  <w:vAlign w:val="center"/>
                </w:tcPr>
                <w:p w14:paraId="07303BD9">
                  <w:pPr>
                    <w:ind w:firstLine="420"/>
                    <w:jc w:val="center"/>
                    <w:rPr>
                      <w:color w:val="auto"/>
                      <w:sz w:val="21"/>
                      <w:szCs w:val="21"/>
                      <w:highlight w:val="none"/>
                    </w:rPr>
                  </w:pPr>
                </w:p>
              </w:tc>
              <w:tc>
                <w:tcPr>
                  <w:tcW w:w="2643" w:type="dxa"/>
                  <w:gridSpan w:val="5"/>
                  <w:tcBorders>
                    <w:top w:val="single" w:color="000000" w:sz="4" w:space="0"/>
                    <w:left w:val="nil"/>
                    <w:bottom w:val="single" w:color="000000" w:sz="4" w:space="0"/>
                    <w:right w:val="single" w:color="000000" w:sz="4" w:space="0"/>
                  </w:tcBorders>
                  <w:shd w:val="clear" w:color="auto" w:fill="auto"/>
                  <w:vAlign w:val="center"/>
                </w:tcPr>
                <w:p w14:paraId="60749C37">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便携检测结果＞100 μS/cm</w:t>
                  </w:r>
                </w:p>
              </w:tc>
              <w:tc>
                <w:tcPr>
                  <w:tcW w:w="2078" w:type="dxa"/>
                  <w:gridSpan w:val="3"/>
                  <w:tcBorders>
                    <w:top w:val="single" w:color="000000" w:sz="4" w:space="0"/>
                    <w:left w:val="nil"/>
                    <w:bottom w:val="single" w:color="000000" w:sz="4" w:space="0"/>
                    <w:right w:val="single" w:color="000000" w:sz="4" w:space="0"/>
                  </w:tcBorders>
                  <w:shd w:val="clear" w:color="auto" w:fill="auto"/>
                  <w:vAlign w:val="center"/>
                </w:tcPr>
                <w:p w14:paraId="7499E682">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相对误差±10% 以内</w:t>
                  </w:r>
                </w:p>
              </w:tc>
            </w:tr>
            <w:tr w14:paraId="1A7FC862">
              <w:tblPrEx>
                <w:tblCellMar>
                  <w:top w:w="15" w:type="dxa"/>
                  <w:left w:w="15" w:type="dxa"/>
                  <w:bottom w:w="15" w:type="dxa"/>
                  <w:right w:w="15" w:type="dxa"/>
                </w:tblCellMar>
              </w:tblPrEx>
              <w:trPr>
                <w:trHeight w:val="409" w:hRule="atLeast"/>
              </w:trPr>
              <w:tc>
                <w:tcPr>
                  <w:tcW w:w="1402" w:type="dxa"/>
                  <w:gridSpan w:val="2"/>
                  <w:vMerge w:val="restart"/>
                  <w:tcBorders>
                    <w:top w:val="nil"/>
                    <w:left w:val="single" w:color="000000" w:sz="4" w:space="0"/>
                    <w:bottom w:val="nil"/>
                    <w:right w:val="single" w:color="000000" w:sz="4" w:space="0"/>
                  </w:tcBorders>
                  <w:shd w:val="clear" w:color="auto" w:fill="auto"/>
                  <w:vAlign w:val="center"/>
                </w:tcPr>
                <w:p w14:paraId="0D28DA36">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浊度水质自动监测仪器</w:t>
                  </w:r>
                </w:p>
              </w:tc>
              <w:tc>
                <w:tcPr>
                  <w:tcW w:w="2643" w:type="dxa"/>
                  <w:gridSpan w:val="5"/>
                  <w:tcBorders>
                    <w:top w:val="single" w:color="000000" w:sz="4" w:space="0"/>
                    <w:left w:val="nil"/>
                    <w:bottom w:val="single" w:color="000000" w:sz="4" w:space="0"/>
                    <w:right w:val="single" w:color="000000" w:sz="4" w:space="0"/>
                  </w:tcBorders>
                  <w:shd w:val="clear" w:color="auto" w:fill="auto"/>
                  <w:vAlign w:val="center"/>
                </w:tcPr>
                <w:p w14:paraId="73480C73">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便携检测结果≤50 NTU</w:t>
                  </w:r>
                </w:p>
              </w:tc>
              <w:tc>
                <w:tcPr>
                  <w:tcW w:w="2078" w:type="dxa"/>
                  <w:gridSpan w:val="3"/>
                  <w:tcBorders>
                    <w:top w:val="single" w:color="000000" w:sz="4" w:space="0"/>
                    <w:left w:val="nil"/>
                    <w:bottom w:val="single" w:color="000000" w:sz="4" w:space="0"/>
                    <w:right w:val="single" w:color="000000" w:sz="4" w:space="0"/>
                  </w:tcBorders>
                  <w:shd w:val="clear" w:color="auto" w:fill="auto"/>
                  <w:vAlign w:val="center"/>
                </w:tcPr>
                <w:p w14:paraId="2E1298E1">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相对误差±30% 以内</w:t>
                  </w:r>
                </w:p>
              </w:tc>
            </w:tr>
            <w:tr w14:paraId="1F34F6A0">
              <w:tblPrEx>
                <w:tblCellMar>
                  <w:top w:w="15" w:type="dxa"/>
                  <w:left w:w="15" w:type="dxa"/>
                  <w:bottom w:w="15" w:type="dxa"/>
                  <w:right w:w="15" w:type="dxa"/>
                </w:tblCellMar>
              </w:tblPrEx>
              <w:trPr>
                <w:trHeight w:val="409" w:hRule="atLeast"/>
              </w:trPr>
              <w:tc>
                <w:tcPr>
                  <w:tcW w:w="1402" w:type="dxa"/>
                  <w:gridSpan w:val="2"/>
                  <w:vMerge w:val="continue"/>
                  <w:tcBorders>
                    <w:top w:val="nil"/>
                    <w:left w:val="single" w:color="000000" w:sz="4" w:space="0"/>
                    <w:bottom w:val="nil"/>
                    <w:right w:val="single" w:color="000000" w:sz="4" w:space="0"/>
                  </w:tcBorders>
                  <w:shd w:val="clear" w:color="auto" w:fill="auto"/>
                  <w:vAlign w:val="center"/>
                </w:tcPr>
                <w:p w14:paraId="33370682">
                  <w:pPr>
                    <w:ind w:firstLine="420"/>
                    <w:rPr>
                      <w:color w:val="auto"/>
                      <w:sz w:val="21"/>
                      <w:szCs w:val="21"/>
                      <w:highlight w:val="none"/>
                    </w:rPr>
                  </w:pPr>
                </w:p>
              </w:tc>
              <w:tc>
                <w:tcPr>
                  <w:tcW w:w="2643" w:type="dxa"/>
                  <w:gridSpan w:val="5"/>
                  <w:tcBorders>
                    <w:top w:val="single" w:color="000000" w:sz="4" w:space="0"/>
                    <w:left w:val="nil"/>
                    <w:bottom w:val="single" w:color="000000" w:sz="4" w:space="0"/>
                    <w:right w:val="single" w:color="000000" w:sz="4" w:space="0"/>
                  </w:tcBorders>
                  <w:shd w:val="clear" w:color="auto" w:fill="auto"/>
                  <w:vAlign w:val="center"/>
                </w:tcPr>
                <w:p w14:paraId="610177D3">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便携检测结果＞50 NTU</w:t>
                  </w:r>
                </w:p>
              </w:tc>
              <w:tc>
                <w:tcPr>
                  <w:tcW w:w="2078" w:type="dxa"/>
                  <w:gridSpan w:val="3"/>
                  <w:tcBorders>
                    <w:top w:val="single" w:color="000000" w:sz="4" w:space="0"/>
                    <w:left w:val="nil"/>
                    <w:bottom w:val="single" w:color="000000" w:sz="4" w:space="0"/>
                    <w:right w:val="single" w:color="000000" w:sz="4" w:space="0"/>
                  </w:tcBorders>
                  <w:shd w:val="clear" w:color="auto" w:fill="auto"/>
                  <w:vAlign w:val="center"/>
                </w:tcPr>
                <w:p w14:paraId="105EC840">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相对误差±20% 以内</w:t>
                  </w:r>
                </w:p>
              </w:tc>
            </w:tr>
            <w:tr w14:paraId="42A593C7">
              <w:tblPrEx>
                <w:tblCellMar>
                  <w:top w:w="15" w:type="dxa"/>
                  <w:left w:w="15" w:type="dxa"/>
                  <w:bottom w:w="15" w:type="dxa"/>
                  <w:right w:w="15" w:type="dxa"/>
                </w:tblCellMar>
              </w:tblPrEx>
              <w:trPr>
                <w:trHeight w:val="409" w:hRule="atLeast"/>
              </w:trPr>
              <w:tc>
                <w:tcPr>
                  <w:tcW w:w="1402" w:type="dxa"/>
                  <w:gridSpan w:val="2"/>
                  <w:vMerge w:val="continue"/>
                  <w:tcBorders>
                    <w:top w:val="nil"/>
                    <w:left w:val="single" w:color="000000" w:sz="4" w:space="0"/>
                    <w:bottom w:val="nil"/>
                    <w:right w:val="single" w:color="000000" w:sz="4" w:space="0"/>
                  </w:tcBorders>
                  <w:shd w:val="clear" w:color="auto" w:fill="auto"/>
                  <w:vAlign w:val="center"/>
                </w:tcPr>
                <w:p w14:paraId="4DE61484">
                  <w:pPr>
                    <w:ind w:firstLine="420"/>
                    <w:rPr>
                      <w:color w:val="auto"/>
                      <w:sz w:val="21"/>
                      <w:szCs w:val="21"/>
                      <w:highlight w:val="none"/>
                    </w:rPr>
                  </w:pPr>
                </w:p>
              </w:tc>
              <w:tc>
                <w:tcPr>
                  <w:tcW w:w="4721" w:type="dxa"/>
                  <w:gridSpan w:val="8"/>
                  <w:tcBorders>
                    <w:top w:val="single" w:color="000000" w:sz="4" w:space="0"/>
                    <w:left w:val="nil"/>
                    <w:bottom w:val="single" w:color="000000" w:sz="4" w:space="0"/>
                    <w:right w:val="single" w:color="000000" w:sz="4" w:space="0"/>
                  </w:tcBorders>
                  <w:shd w:val="clear" w:color="auto" w:fill="auto"/>
                  <w:vAlign w:val="center"/>
                </w:tcPr>
                <w:p w14:paraId="0EADF53B">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bidi="ar"/>
                    </w:rPr>
                    <w:t>当浊度自动监测仪与便携仪器检测结果均≤30 NTU或≥1 000 NTU 时，判定比对结果合格。</w:t>
                  </w:r>
                </w:p>
              </w:tc>
            </w:tr>
          </w:tbl>
          <w:p w14:paraId="65230DBC">
            <w:pPr>
              <w:spacing w:line="300" w:lineRule="auto"/>
              <w:ind w:firstLine="120" w:firstLineChars="50"/>
              <w:rPr>
                <w:rFonts w:ascii="宋体" w:hAnsi="宋体" w:cs="宋体"/>
                <w:b/>
                <w:color w:val="auto"/>
                <w:szCs w:val="21"/>
                <w:highlight w:val="none"/>
              </w:rPr>
            </w:pPr>
          </w:p>
          <w:p w14:paraId="0CD2DA57">
            <w:pPr>
              <w:spacing w:line="300" w:lineRule="auto"/>
              <w:ind w:firstLine="120" w:firstLineChars="50"/>
              <w:jc w:val="center"/>
              <w:rPr>
                <w:rFonts w:ascii="宋体" w:hAnsi="宋体" w:cs="宋体"/>
                <w:b/>
                <w:color w:val="auto"/>
                <w:szCs w:val="21"/>
                <w:highlight w:val="none"/>
              </w:rPr>
            </w:pPr>
            <w:r>
              <w:rPr>
                <w:rFonts w:hint="eastAsia" w:ascii="宋体" w:hAnsi="宋体" w:cs="宋体"/>
                <w:b/>
                <w:color w:val="auto"/>
                <w:szCs w:val="21"/>
                <w:highlight w:val="none"/>
              </w:rPr>
              <w:t>表2 质控措施及实施频次</w:t>
            </w:r>
          </w:p>
          <w:tbl>
            <w:tblPr>
              <w:tblStyle w:val="45"/>
              <w:tblW w:w="6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851"/>
              <w:gridCol w:w="992"/>
              <w:gridCol w:w="949"/>
              <w:gridCol w:w="1804"/>
            </w:tblGrid>
            <w:tr w14:paraId="769F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24" w:type="dxa"/>
                  <w:vMerge w:val="restart"/>
                  <w:vAlign w:val="center"/>
                </w:tcPr>
                <w:p w14:paraId="100EE472">
                  <w:pPr>
                    <w:widowControl/>
                    <w:spacing w:line="300" w:lineRule="auto"/>
                    <w:ind w:firstLine="0" w:firstLineChars="0"/>
                    <w:jc w:val="center"/>
                    <w:textAlignment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质控措施</w:t>
                  </w:r>
                </w:p>
              </w:tc>
              <w:tc>
                <w:tcPr>
                  <w:tcW w:w="1843" w:type="dxa"/>
                  <w:gridSpan w:val="2"/>
                  <w:vAlign w:val="center"/>
                </w:tcPr>
                <w:p w14:paraId="265E9CAB">
                  <w:pPr>
                    <w:widowControl/>
                    <w:spacing w:line="300" w:lineRule="auto"/>
                    <w:ind w:firstLine="0" w:firstLineChars="0"/>
                    <w:jc w:val="center"/>
                    <w:textAlignment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水质类别</w:t>
                  </w:r>
                </w:p>
              </w:tc>
              <w:tc>
                <w:tcPr>
                  <w:tcW w:w="949" w:type="dxa"/>
                  <w:vMerge w:val="restart"/>
                  <w:vAlign w:val="center"/>
                </w:tcPr>
                <w:p w14:paraId="16AD08E4">
                  <w:pPr>
                    <w:widowControl/>
                    <w:spacing w:line="300" w:lineRule="auto"/>
                    <w:ind w:firstLine="0" w:firstLineChars="0"/>
                    <w:jc w:val="center"/>
                    <w:textAlignment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质控频次</w:t>
                  </w:r>
                </w:p>
              </w:tc>
              <w:tc>
                <w:tcPr>
                  <w:tcW w:w="1804" w:type="dxa"/>
                  <w:vMerge w:val="restart"/>
                  <w:vAlign w:val="center"/>
                </w:tcPr>
                <w:p w14:paraId="073AD239">
                  <w:pPr>
                    <w:widowControl/>
                    <w:spacing w:line="300" w:lineRule="auto"/>
                    <w:ind w:firstLine="0" w:firstLineChars="0"/>
                    <w:jc w:val="center"/>
                    <w:textAlignment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实施对象</w:t>
                  </w:r>
                </w:p>
              </w:tc>
            </w:tr>
            <w:tr w14:paraId="58B0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24" w:type="dxa"/>
                  <w:vMerge w:val="continue"/>
                  <w:vAlign w:val="center"/>
                </w:tcPr>
                <w:p w14:paraId="5F4F9ABB">
                  <w:pPr>
                    <w:spacing w:line="300" w:lineRule="auto"/>
                    <w:ind w:firstLine="420"/>
                    <w:jc w:val="center"/>
                    <w:rPr>
                      <w:rFonts w:ascii="宋体" w:hAnsi="宋体" w:cs="宋体"/>
                      <w:color w:val="auto"/>
                      <w:sz w:val="21"/>
                      <w:szCs w:val="21"/>
                      <w:highlight w:val="none"/>
                    </w:rPr>
                  </w:pPr>
                </w:p>
              </w:tc>
              <w:tc>
                <w:tcPr>
                  <w:tcW w:w="851" w:type="dxa"/>
                  <w:vAlign w:val="center"/>
                </w:tcPr>
                <w:p w14:paraId="0BEFDB5E">
                  <w:pPr>
                    <w:widowControl/>
                    <w:spacing w:line="300" w:lineRule="auto"/>
                    <w:ind w:firstLine="0" w:firstLineChars="0"/>
                    <w:jc w:val="center"/>
                    <w:textAlignment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Ⅰ~Ⅱ类水体</w:t>
                  </w:r>
                </w:p>
              </w:tc>
              <w:tc>
                <w:tcPr>
                  <w:tcW w:w="992" w:type="dxa"/>
                  <w:vAlign w:val="center"/>
                </w:tcPr>
                <w:p w14:paraId="0BBF5A0D">
                  <w:pPr>
                    <w:widowControl/>
                    <w:spacing w:line="300" w:lineRule="auto"/>
                    <w:ind w:firstLine="0" w:firstLineChars="0"/>
                    <w:jc w:val="center"/>
                    <w:textAlignment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Ⅲ～劣Ⅴ类水体</w:t>
                  </w:r>
                </w:p>
              </w:tc>
              <w:tc>
                <w:tcPr>
                  <w:tcW w:w="949" w:type="dxa"/>
                  <w:vMerge w:val="continue"/>
                  <w:vAlign w:val="center"/>
                </w:tcPr>
                <w:p w14:paraId="46EE6157">
                  <w:pPr>
                    <w:spacing w:line="300" w:lineRule="auto"/>
                    <w:ind w:firstLine="420"/>
                    <w:jc w:val="center"/>
                    <w:rPr>
                      <w:rFonts w:ascii="宋体" w:hAnsi="宋体" w:cs="宋体"/>
                      <w:color w:val="auto"/>
                      <w:sz w:val="21"/>
                      <w:szCs w:val="21"/>
                      <w:highlight w:val="none"/>
                    </w:rPr>
                  </w:pPr>
                </w:p>
              </w:tc>
              <w:tc>
                <w:tcPr>
                  <w:tcW w:w="1804" w:type="dxa"/>
                  <w:vMerge w:val="continue"/>
                  <w:vAlign w:val="center"/>
                </w:tcPr>
                <w:p w14:paraId="42191E6C">
                  <w:pPr>
                    <w:spacing w:line="300" w:lineRule="auto"/>
                    <w:ind w:firstLine="420"/>
                    <w:jc w:val="center"/>
                    <w:rPr>
                      <w:rFonts w:ascii="宋体" w:hAnsi="宋体" w:cs="宋体"/>
                      <w:color w:val="auto"/>
                      <w:sz w:val="21"/>
                      <w:szCs w:val="21"/>
                      <w:highlight w:val="none"/>
                    </w:rPr>
                  </w:pPr>
                </w:p>
              </w:tc>
            </w:tr>
            <w:tr w14:paraId="175E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vAlign w:val="center"/>
                </w:tcPr>
                <w:p w14:paraId="16240556">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低浓度标样核查</w:t>
                  </w:r>
                </w:p>
              </w:tc>
              <w:tc>
                <w:tcPr>
                  <w:tcW w:w="851" w:type="dxa"/>
                  <w:vAlign w:val="center"/>
                </w:tcPr>
                <w:p w14:paraId="7EED7859">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92" w:type="dxa"/>
                  <w:vAlign w:val="center"/>
                </w:tcPr>
                <w:p w14:paraId="772EF2CD">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49" w:type="dxa"/>
                  <w:vAlign w:val="center"/>
                </w:tcPr>
                <w:p w14:paraId="5F25A811">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每天</w:t>
                  </w:r>
                </w:p>
              </w:tc>
              <w:tc>
                <w:tcPr>
                  <w:tcW w:w="1804" w:type="dxa"/>
                  <w:vMerge w:val="restart"/>
                  <w:vAlign w:val="center"/>
                </w:tcPr>
                <w:p w14:paraId="42AD8F48">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氨氮、高锰酸盐指数、总磷、总氮</w:t>
                  </w:r>
                </w:p>
              </w:tc>
            </w:tr>
            <w:tr w14:paraId="2C53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vAlign w:val="center"/>
                </w:tcPr>
                <w:p w14:paraId="25548979">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低浓度漂移</w:t>
                  </w:r>
                </w:p>
              </w:tc>
              <w:tc>
                <w:tcPr>
                  <w:tcW w:w="851" w:type="dxa"/>
                  <w:vAlign w:val="center"/>
                </w:tcPr>
                <w:p w14:paraId="372A9BB5">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92" w:type="dxa"/>
                  <w:vAlign w:val="center"/>
                </w:tcPr>
                <w:p w14:paraId="78A443CB">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49" w:type="dxa"/>
                  <w:vAlign w:val="center"/>
                </w:tcPr>
                <w:p w14:paraId="50C9C92B">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每天</w:t>
                  </w:r>
                </w:p>
              </w:tc>
              <w:tc>
                <w:tcPr>
                  <w:tcW w:w="1804" w:type="dxa"/>
                  <w:vMerge w:val="continue"/>
                  <w:vAlign w:val="center"/>
                </w:tcPr>
                <w:p w14:paraId="68374B5D">
                  <w:pPr>
                    <w:spacing w:line="300" w:lineRule="auto"/>
                    <w:ind w:firstLine="420"/>
                    <w:jc w:val="center"/>
                    <w:rPr>
                      <w:rFonts w:ascii="宋体" w:hAnsi="宋体" w:cs="宋体"/>
                      <w:color w:val="auto"/>
                      <w:sz w:val="21"/>
                      <w:szCs w:val="21"/>
                      <w:highlight w:val="none"/>
                    </w:rPr>
                  </w:pPr>
                </w:p>
              </w:tc>
            </w:tr>
            <w:tr w14:paraId="2924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vAlign w:val="center"/>
                </w:tcPr>
                <w:p w14:paraId="0AFFB6F6">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高浓度标样核查</w:t>
                  </w:r>
                </w:p>
              </w:tc>
              <w:tc>
                <w:tcPr>
                  <w:tcW w:w="851" w:type="dxa"/>
                  <w:vAlign w:val="center"/>
                </w:tcPr>
                <w:p w14:paraId="0F1AB01F">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92" w:type="dxa"/>
                  <w:vAlign w:val="center"/>
                </w:tcPr>
                <w:p w14:paraId="0DE343F2">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49" w:type="dxa"/>
                  <w:vAlign w:val="center"/>
                </w:tcPr>
                <w:p w14:paraId="62B2549B">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每天</w:t>
                  </w:r>
                </w:p>
              </w:tc>
              <w:tc>
                <w:tcPr>
                  <w:tcW w:w="1804" w:type="dxa"/>
                  <w:vMerge w:val="continue"/>
                  <w:vAlign w:val="center"/>
                </w:tcPr>
                <w:p w14:paraId="6E64B943">
                  <w:pPr>
                    <w:spacing w:line="300" w:lineRule="auto"/>
                    <w:ind w:firstLine="420"/>
                    <w:jc w:val="center"/>
                    <w:rPr>
                      <w:rFonts w:ascii="宋体" w:hAnsi="宋体" w:cs="宋体"/>
                      <w:color w:val="auto"/>
                      <w:sz w:val="21"/>
                      <w:szCs w:val="21"/>
                      <w:highlight w:val="none"/>
                    </w:rPr>
                  </w:pPr>
                </w:p>
              </w:tc>
            </w:tr>
            <w:tr w14:paraId="2A13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vAlign w:val="center"/>
                </w:tcPr>
                <w:p w14:paraId="6F10E461">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高浓度漂移</w:t>
                  </w:r>
                </w:p>
              </w:tc>
              <w:tc>
                <w:tcPr>
                  <w:tcW w:w="851" w:type="dxa"/>
                  <w:vAlign w:val="center"/>
                </w:tcPr>
                <w:p w14:paraId="76165DF6">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92" w:type="dxa"/>
                  <w:vAlign w:val="center"/>
                </w:tcPr>
                <w:p w14:paraId="531FA8F7">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49" w:type="dxa"/>
                  <w:vAlign w:val="center"/>
                </w:tcPr>
                <w:p w14:paraId="00A1FCA7">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每天</w:t>
                  </w:r>
                </w:p>
              </w:tc>
              <w:tc>
                <w:tcPr>
                  <w:tcW w:w="1804" w:type="dxa"/>
                  <w:vMerge w:val="continue"/>
                  <w:vAlign w:val="center"/>
                </w:tcPr>
                <w:p w14:paraId="61663BE0">
                  <w:pPr>
                    <w:spacing w:line="300" w:lineRule="auto"/>
                    <w:ind w:firstLine="420"/>
                    <w:jc w:val="center"/>
                    <w:rPr>
                      <w:rFonts w:ascii="宋体" w:hAnsi="宋体" w:cs="宋体"/>
                      <w:color w:val="auto"/>
                      <w:sz w:val="21"/>
                      <w:szCs w:val="21"/>
                      <w:highlight w:val="none"/>
                    </w:rPr>
                  </w:pPr>
                </w:p>
              </w:tc>
            </w:tr>
            <w:tr w14:paraId="6E7D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vAlign w:val="center"/>
                </w:tcPr>
                <w:p w14:paraId="5BD7515E">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常规五参数标样核查</w:t>
                  </w:r>
                </w:p>
              </w:tc>
              <w:tc>
                <w:tcPr>
                  <w:tcW w:w="851" w:type="dxa"/>
                  <w:vAlign w:val="center"/>
                </w:tcPr>
                <w:p w14:paraId="6E5962C1">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92" w:type="dxa"/>
                  <w:vAlign w:val="center"/>
                </w:tcPr>
                <w:p w14:paraId="762E7D9F">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49" w:type="dxa"/>
                  <w:vAlign w:val="center"/>
                </w:tcPr>
                <w:p w14:paraId="7096322C">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每7天</w:t>
                  </w:r>
                </w:p>
              </w:tc>
              <w:tc>
                <w:tcPr>
                  <w:tcW w:w="1804" w:type="dxa"/>
                  <w:vAlign w:val="center"/>
                </w:tcPr>
                <w:p w14:paraId="4D0FB41A">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pH、溶解氧、电导率、浊度</w:t>
                  </w:r>
                </w:p>
              </w:tc>
            </w:tr>
            <w:tr w14:paraId="1688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vAlign w:val="center"/>
                </w:tcPr>
                <w:p w14:paraId="4FAE90FD">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多点线性核查</w:t>
                  </w:r>
                </w:p>
              </w:tc>
              <w:tc>
                <w:tcPr>
                  <w:tcW w:w="851" w:type="dxa"/>
                  <w:vAlign w:val="center"/>
                </w:tcPr>
                <w:p w14:paraId="76FD0A74">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92" w:type="dxa"/>
                  <w:vAlign w:val="center"/>
                </w:tcPr>
                <w:p w14:paraId="64870E75">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49" w:type="dxa"/>
                  <w:vAlign w:val="center"/>
                </w:tcPr>
                <w:p w14:paraId="2C428455">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每月</w:t>
                  </w:r>
                </w:p>
              </w:tc>
              <w:tc>
                <w:tcPr>
                  <w:tcW w:w="1804" w:type="dxa"/>
                  <w:vAlign w:val="center"/>
                </w:tcPr>
                <w:p w14:paraId="0EDB84F4">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氨氮、高锰酸盐指数、总磷、总氮</w:t>
                  </w:r>
                </w:p>
              </w:tc>
            </w:tr>
            <w:tr w14:paraId="507B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vAlign w:val="center"/>
                </w:tcPr>
                <w:p w14:paraId="01B875C4">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实际水样比对</w:t>
                  </w:r>
                </w:p>
              </w:tc>
              <w:tc>
                <w:tcPr>
                  <w:tcW w:w="851" w:type="dxa"/>
                  <w:vAlign w:val="center"/>
                </w:tcPr>
                <w:p w14:paraId="1C8A9195">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92" w:type="dxa"/>
                  <w:vAlign w:val="center"/>
                </w:tcPr>
                <w:p w14:paraId="0AFFCF83">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49" w:type="dxa"/>
                  <w:vAlign w:val="center"/>
                </w:tcPr>
                <w:p w14:paraId="12C8788F">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每月</w:t>
                  </w:r>
                </w:p>
              </w:tc>
              <w:tc>
                <w:tcPr>
                  <w:tcW w:w="1804" w:type="dxa"/>
                  <w:vAlign w:val="center"/>
                </w:tcPr>
                <w:p w14:paraId="2FC5C09F">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常规五参数氨氮、高锰酸盐指数、总磷、总氮</w:t>
                  </w:r>
                </w:p>
              </w:tc>
            </w:tr>
            <w:tr w14:paraId="0908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vAlign w:val="center"/>
                </w:tcPr>
                <w:p w14:paraId="25B351F6">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集成影响检查</w:t>
                  </w:r>
                </w:p>
              </w:tc>
              <w:tc>
                <w:tcPr>
                  <w:tcW w:w="851" w:type="dxa"/>
                  <w:vAlign w:val="center"/>
                </w:tcPr>
                <w:p w14:paraId="6B5C1631">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92" w:type="dxa"/>
                  <w:vAlign w:val="center"/>
                </w:tcPr>
                <w:p w14:paraId="46CC4F1C">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49" w:type="dxa"/>
                  <w:vAlign w:val="center"/>
                </w:tcPr>
                <w:p w14:paraId="2703C203">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每月</w:t>
                  </w:r>
                </w:p>
              </w:tc>
              <w:tc>
                <w:tcPr>
                  <w:tcW w:w="1804" w:type="dxa"/>
                  <w:vMerge w:val="restart"/>
                  <w:vAlign w:val="center"/>
                </w:tcPr>
                <w:p w14:paraId="5636A296">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氨氮、高锰酸盐指数、总磷、总氮</w:t>
                  </w:r>
                </w:p>
              </w:tc>
            </w:tr>
            <w:tr w14:paraId="341F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vAlign w:val="center"/>
                </w:tcPr>
                <w:p w14:paraId="1DDFD6C6">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加标回收率测试</w:t>
                  </w:r>
                </w:p>
              </w:tc>
              <w:tc>
                <w:tcPr>
                  <w:tcW w:w="851" w:type="dxa"/>
                  <w:vAlign w:val="center"/>
                </w:tcPr>
                <w:p w14:paraId="2F3F1BE9">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92" w:type="dxa"/>
                  <w:vAlign w:val="center"/>
                </w:tcPr>
                <w:p w14:paraId="231E730B">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49" w:type="dxa"/>
                  <w:vAlign w:val="center"/>
                </w:tcPr>
                <w:p w14:paraId="623025B7">
                  <w:pPr>
                    <w:spacing w:line="30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每月</w:t>
                  </w:r>
                </w:p>
              </w:tc>
              <w:tc>
                <w:tcPr>
                  <w:tcW w:w="1804" w:type="dxa"/>
                  <w:vMerge w:val="continue"/>
                  <w:vAlign w:val="center"/>
                </w:tcPr>
                <w:p w14:paraId="6C23CA93">
                  <w:pPr>
                    <w:spacing w:line="300" w:lineRule="auto"/>
                    <w:ind w:firstLine="420"/>
                    <w:jc w:val="center"/>
                    <w:rPr>
                      <w:rFonts w:ascii="宋体" w:hAnsi="宋体" w:cs="宋体"/>
                      <w:color w:val="auto"/>
                      <w:sz w:val="21"/>
                      <w:szCs w:val="21"/>
                      <w:highlight w:val="none"/>
                    </w:rPr>
                  </w:pPr>
                </w:p>
              </w:tc>
            </w:tr>
          </w:tbl>
          <w:p w14:paraId="3115543C">
            <w:pPr>
              <w:spacing w:line="300" w:lineRule="auto"/>
              <w:ind w:firstLine="617" w:firstLineChars="294"/>
              <w:rPr>
                <w:rFonts w:ascii="宋体" w:hAnsi="宋体" w:cs="宋体"/>
                <w:color w:val="auto"/>
                <w:sz w:val="21"/>
                <w:szCs w:val="21"/>
                <w:highlight w:val="none"/>
              </w:rPr>
            </w:pPr>
            <w:r>
              <w:rPr>
                <w:rFonts w:hint="eastAsia" w:ascii="宋体" w:hAnsi="宋体" w:cs="宋体"/>
                <w:color w:val="auto"/>
                <w:sz w:val="21"/>
                <w:szCs w:val="21"/>
                <w:highlight w:val="none"/>
              </w:rPr>
              <w:t>①质控测试结果须满足表1要求。</w:t>
            </w:r>
          </w:p>
          <w:p w14:paraId="1A4D4430">
            <w:pPr>
              <w:spacing w:line="300"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②质控措施及实施频次须满足表2要求。</w:t>
            </w:r>
          </w:p>
          <w:p w14:paraId="213D965E">
            <w:pPr>
              <w:spacing w:line="300"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③维护后质控核查</w:t>
            </w:r>
          </w:p>
          <w:p w14:paraId="52BE5F13">
            <w:pPr>
              <w:spacing w:line="300" w:lineRule="auto"/>
              <w:ind w:left="120" w:leftChars="50" w:firstLine="420"/>
              <w:rPr>
                <w:rFonts w:ascii="宋体" w:hAnsi="宋体" w:cs="宋体"/>
                <w:color w:val="auto"/>
                <w:sz w:val="21"/>
                <w:szCs w:val="21"/>
                <w:highlight w:val="none"/>
              </w:rPr>
            </w:pPr>
            <w:r>
              <w:rPr>
                <w:rFonts w:hint="eastAsia" w:ascii="宋体" w:hAnsi="宋体" w:cs="宋体"/>
                <w:color w:val="auto"/>
                <w:sz w:val="21"/>
                <w:szCs w:val="21"/>
                <w:highlight w:val="none"/>
              </w:rPr>
              <w:t>更换试剂（清洗用水、检查用标准样品除外）后，应至少使用两个不同浓度的校正液进行校正；当监测仪器关键部件更换后，应开展多点线性核查，必要时应开展实际水样比对。停运后恢复到运行条件时应开展标样核查，并对监测数据进行分析，水质环比停运前变化较大的，还应进行实际水样比对。</w:t>
            </w:r>
          </w:p>
          <w:p w14:paraId="6C524E51">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2.3运行状态监控</w:t>
            </w:r>
          </w:p>
          <w:p w14:paraId="2C936147">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（1）早上8:00—23:30，专人负责通过数据平台对监测仪器状态实施监控；监控时段内仪器故障发现时间不得超过1小时，非监控时段内仪器故障发现时间不得晚于次日8:30。</w:t>
            </w:r>
          </w:p>
          <w:p w14:paraId="2D07B158">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（2）发现数据异常、仪器故障后须及时通知立即派人现场处理。</w:t>
            </w:r>
          </w:p>
          <w:p w14:paraId="1B2B3A90">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（3）供应商按照采购人的要求，进行报告和传输有关的所有监测数据。</w:t>
            </w:r>
          </w:p>
          <w:p w14:paraId="647265A0">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2.4系统故障维修</w:t>
            </w:r>
          </w:p>
          <w:p w14:paraId="13B197A0">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（1）水站仪器、设备出现故障，必须获得故障报告后1小时内赶赴现场对事故进行处理并恢复正常运行。</w:t>
            </w:r>
          </w:p>
          <w:p w14:paraId="1F128934">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（2）系统维护、保养过程中发现仪器、设备故障时，若48小时内故障无法排除，供应商必须提供并更换相应的备机，保证自动站正常运行，并委托有资质的单位进行手工分析。</w:t>
            </w:r>
          </w:p>
          <w:p w14:paraId="25264C96">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（3）重大、系统性故障无法修复，确需对系统或构成系统的某台或几台仪器、设备进行整体更换才能恢复系统正常运行时，供应商应在48小时之内使用备机开展监测，并及时报告，提出解决方案并形成电子材料。</w:t>
            </w:r>
          </w:p>
          <w:p w14:paraId="4954CEEA">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（4）无正当理由，备机连续使用时间不能超过1个月。</w:t>
            </w:r>
          </w:p>
          <w:p w14:paraId="5592B83B">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（5）维修、更换主要部件须进行性能核查确认正常后才能恢复报数使用。</w:t>
            </w:r>
          </w:p>
          <w:p w14:paraId="78B28560">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（6）仪器、设备故障维修按照最有利于系统正常运行原则，对造成故障的零配件、部件需要更换的，由供应商负责。零配件、耗材必须是所运维水站系统全新耗材。</w:t>
            </w:r>
          </w:p>
          <w:p w14:paraId="73B39AD3">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7）长时间停机（连续停机超过24小时）时，关闭分析仪器和进样阀，关闭电源；用纯水清洗并排空分析仪器的测量室、蠕动泵及试剂管路；取下测量电极并将电极头浸入保护液中存放。再次运行时仪器需重新校准。</w:t>
            </w:r>
          </w:p>
          <w:p w14:paraId="4C4780AB">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8）水站发生长时间停电停水、水位不足无法取样分析、采水设施损毁等情况时，需人工补测。频率为异常情况超过48小时人工补测1次，后续每周两次，补测间隙不小于3天，并委托有资质的单位进行手工分析，每周一8:30上报手工采样数据（附原始报告）。监测项目为国家规范要求的项目。</w:t>
            </w:r>
          </w:p>
          <w:p w14:paraId="6E200F3D">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2.5系统耗材更换</w:t>
            </w:r>
          </w:p>
          <w:p w14:paraId="5EF57F4F">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耗材必须是所托管子站系统全新耗材；系统耗材更换的项目严格按仪器使用维护手册进行，频次根据耗材的实际使用情况更新。</w:t>
            </w:r>
          </w:p>
          <w:p w14:paraId="0B21E620">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2.6内部管理</w:t>
            </w:r>
          </w:p>
          <w:p w14:paraId="2E8606BC">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（1）供应商须严格按照国家、自治区相关要求制订系统维护管理、维修的操作规范和内部管理的规章制度，规范系统现场运行维护和仪器、设备维修操作及运维单位的内部管理。</w:t>
            </w:r>
          </w:p>
          <w:p w14:paraId="66BD1B1C">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（2）供应商须对各水站建立专人负责制，按照有关要求制定日常维护、保养、维修规程，建立日常运行记录和设备台账，接受采购人的监督、检查和考核。</w:t>
            </w:r>
          </w:p>
          <w:p w14:paraId="7FC5DF94">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（3）供应商须根据系统仪器、设备的构成情况配备技术人员，确保每种仪器、设备都具备维护管理和维修人员。</w:t>
            </w:r>
          </w:p>
          <w:p w14:paraId="651F2BDF">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2.7突发污染事故要求</w:t>
            </w:r>
          </w:p>
          <w:p w14:paraId="77E2F4A2">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当水质自动站监测数据发现异常或发现所在断面发生污染事故时，须1小时内报告采购人，1小时内到达现场，并保证系统仪器正常运行，监测数据准确，传输畅通，并协助采购人进行应急处置及手工监测。</w:t>
            </w:r>
          </w:p>
          <w:p w14:paraId="58CFD6E6">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2.8工作记录与报告</w:t>
            </w:r>
          </w:p>
          <w:p w14:paraId="38740CB2">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（1）供应商在系统维护管理及仪器、设备的维修过程中，须按照</w:t>
            </w:r>
            <w:r>
              <w:rPr>
                <w:rFonts w:hint="eastAsia" w:ascii="宋体" w:hAnsi="宋体"/>
                <w:color w:val="auto"/>
                <w:sz w:val="21"/>
                <w:szCs w:val="21"/>
                <w:highlight w:val="none"/>
              </w:rPr>
              <w:t>《地表水水质自动监测站（常规五参数、CODMn、NH3⁃N、TP、TN）运行维护技术规范》（HJ.915.3-2024）、《地表水水质自动监测站运行维护技术要求（试行）》（总站水字〔2019〕649号）</w:t>
            </w:r>
            <w:r>
              <w:rPr>
                <w:rFonts w:hint="eastAsia" w:ascii="宋体" w:hAnsi="宋体" w:cs="宋体"/>
                <w:color w:val="auto"/>
                <w:sz w:val="21"/>
                <w:szCs w:val="21"/>
                <w:highlight w:val="none"/>
              </w:rPr>
              <w:t>和采购人的要求填写巡检记录、质控记录、仪器设备维护、维修记录、自检等原始记录，并经现场技术人员签字认可。</w:t>
            </w:r>
          </w:p>
          <w:p w14:paraId="5717EC05">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（2）每次仪器、设备维修后一周内向采购人提交一份维修报告及维修后性能核查报告。</w:t>
            </w:r>
          </w:p>
          <w:p w14:paraId="4BC6501C">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（3）所有的现场记录每月10日前一次性移交给采购人存档备案，并做月度维护总结。</w:t>
            </w:r>
          </w:p>
          <w:p w14:paraId="11FC2947">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（4）年度总结：年度维护工作结束后15个工作日内向采购人提交年度维护总结。</w:t>
            </w:r>
          </w:p>
          <w:p w14:paraId="11C839E0">
            <w:pPr>
              <w:spacing w:line="300" w:lineRule="auto"/>
              <w:ind w:firstLine="0" w:firstLineChars="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3.</w:t>
            </w:r>
            <w:r>
              <w:rPr>
                <w:rFonts w:hint="eastAsia" w:ascii="宋体" w:hAnsi="宋体" w:cs="宋体"/>
                <w:b/>
                <w:color w:val="auto"/>
                <w:sz w:val="21"/>
                <w:szCs w:val="21"/>
                <w:highlight w:val="none"/>
              </w:rPr>
              <w:t>漓江活动试验坝、象山公园</w:t>
            </w:r>
            <w:r>
              <w:rPr>
                <w:rFonts w:hint="eastAsia" w:ascii="宋体" w:hAnsi="宋体" w:cs="宋体"/>
                <w:b/>
                <w:color w:val="auto"/>
                <w:kern w:val="0"/>
                <w:sz w:val="21"/>
                <w:szCs w:val="21"/>
                <w:highlight w:val="none"/>
              </w:rPr>
              <w:t>水质监测数据公示大屏</w:t>
            </w:r>
            <w:r>
              <w:rPr>
                <w:rFonts w:hint="eastAsia" w:ascii="宋体" w:hAnsi="宋体" w:cs="宋体"/>
                <w:b/>
                <w:color w:val="auto"/>
                <w:kern w:val="0"/>
                <w:sz w:val="21"/>
                <w:szCs w:val="21"/>
                <w:highlight w:val="none"/>
                <w:lang w:eastAsia="zh-CN"/>
              </w:rPr>
              <w:t>、两个显示屏</w:t>
            </w:r>
            <w:r>
              <w:rPr>
                <w:rFonts w:hint="eastAsia" w:ascii="宋体" w:hAnsi="宋体" w:cs="宋体"/>
                <w:b/>
                <w:color w:val="auto"/>
                <w:kern w:val="0"/>
                <w:sz w:val="21"/>
                <w:szCs w:val="21"/>
                <w:highlight w:val="none"/>
              </w:rPr>
              <w:t>及平台运营服务内容</w:t>
            </w:r>
          </w:p>
          <w:p w14:paraId="4960F8E0">
            <w:pPr>
              <w:snapToGrid w:val="0"/>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3.1保障网络畅通，支持无线、有线网络连接，设备在线率达95%以上。</w:t>
            </w:r>
          </w:p>
          <w:p w14:paraId="2838938D">
            <w:pPr>
              <w:snapToGrid w:val="0"/>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3.2平台维护及故障排查技术支持：</w:t>
            </w:r>
          </w:p>
          <w:p w14:paraId="1D814A76">
            <w:pPr>
              <w:snapToGrid w:val="0"/>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（1）平台维护：技术专员每周巡检一次，保障设备正常运行。</w:t>
            </w:r>
          </w:p>
          <w:p w14:paraId="04125A3A">
            <w:pPr>
              <w:snapToGrid w:val="0"/>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（2）屏幕开启时间：（5月-10月）7:00-20:00；（11月-4月）7:00-19:00。</w:t>
            </w:r>
          </w:p>
          <w:p w14:paraId="4F1C0FE0">
            <w:pPr>
              <w:snapToGrid w:val="0"/>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4.运维机构、人员要求</w:t>
            </w:r>
          </w:p>
          <w:p w14:paraId="0299F60C">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4.1总体要求</w:t>
            </w:r>
          </w:p>
          <w:p w14:paraId="6780CC86">
            <w:pPr>
              <w:snapToGrid w:val="0"/>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（1）供应商及拟投入人员要求接受采购人的管理。</w:t>
            </w:r>
          </w:p>
          <w:p w14:paraId="53332A4A">
            <w:pPr>
              <w:snapToGrid w:val="0"/>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（2）供应商要求具备完善的系统配件供应渠道。</w:t>
            </w:r>
          </w:p>
          <w:p w14:paraId="6CEA4228">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（3）供应商应列明自动监测系统运营及管理期间的各项费用预算开支，报价公正合理。</w:t>
            </w:r>
          </w:p>
          <w:p w14:paraId="71F8DA3C">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（4）在自动监测系统运维及管理期间，不能以任何形式外包合同规定的运行维护任务。</w:t>
            </w:r>
          </w:p>
          <w:p w14:paraId="72D92A9A">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4.2对供应商技术能力的要求：</w:t>
            </w:r>
          </w:p>
          <w:p w14:paraId="10444B10">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要求供应商配备专业人员，巡检人员必须配备专用工具，包括便携式电脑、万用表、远程数据查询系统等。同时，还需配备通讯调试工具，包括各种硬件接口线、改线工具、接口调试软件及常用零部件等，提供查询功能的api，实现采集到的数据可传输给其他业务系统。</w:t>
            </w:r>
          </w:p>
          <w:p w14:paraId="270054B2">
            <w:pPr>
              <w:spacing w:line="300" w:lineRule="auto"/>
              <w:ind w:firstLine="0" w:firstLineChars="0"/>
              <w:rPr>
                <w:rFonts w:ascii="宋体" w:hAnsi="宋体" w:cs="宋体"/>
                <w:b/>
                <w:color w:val="auto"/>
                <w:sz w:val="21"/>
                <w:szCs w:val="21"/>
                <w:highlight w:val="none"/>
              </w:rPr>
            </w:pPr>
            <w:r>
              <w:rPr>
                <w:rFonts w:hint="eastAsia" w:ascii="宋体" w:hAnsi="宋体" w:cs="宋体"/>
                <w:color w:val="auto"/>
                <w:sz w:val="21"/>
                <w:szCs w:val="21"/>
                <w:highlight w:val="none"/>
              </w:rPr>
              <w:t>（2）为了提高运维的效率，弥补仪器发生故障时对监测数据造成的缺失和影响，供应商应提供切实可行的解决方案。供应商应具有一整套用于本运维项目的在线分析备用机，提供的备用机的要求测量方法符合国家标准，</w:t>
            </w:r>
            <w:r>
              <w:rPr>
                <w:rFonts w:hint="eastAsia" w:ascii="宋体" w:hAnsi="宋体" w:cs="宋体"/>
                <w:b/>
                <w:color w:val="auto"/>
                <w:sz w:val="21"/>
                <w:szCs w:val="21"/>
                <w:highlight w:val="none"/>
              </w:rPr>
              <w:t>要求供应商于响应文件中必须列明拟投入的备用机生产厂家名称、品牌、规格型号等信息，格式自拟，并加盖供应商电子签章，否则，响应文件作无效处理。</w:t>
            </w:r>
          </w:p>
          <w:p w14:paraId="52BDE6C3">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供应商应派遣不少于1名专业的技术人员负责日常维护、数据监控和协调管理工作。派遣专业技术人员应属于供应商的合法员工，该人员在服务期内须入驻运维项目地；若服务范围内的水站、监测数据公示大屏及平台出现突发或紧急情况时，技术人员应在30分钟响应，1小时到达事故现场进行问题解决，否则，按违约处理。在项目实施时，须提供2026年1月以来供应商为其缴纳的社保证明及劳动合同到采购单位备案。</w:t>
            </w:r>
          </w:p>
          <w:p w14:paraId="5A4AA639">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（4）供应商至少配备1辆专用巡检车。在项目实施时，供应商须提供专用巡检汽车的购买证明或其他权属证明文件（证明文件：包括但不限于车辆购车发票、行驶证复印件、汽车照片等）。</w:t>
            </w:r>
          </w:p>
          <w:p w14:paraId="7CD7BB4F">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供应商拟投入本项目运行维护的相关技术人员必须通过由采购人组织的地表水水质自动站领域持证上岗考核，考核不合格的不得单独进行运维工作，如有两人及两人以上考核不合格，按比例扣除一个月运维费用并补考，考试合格后方可上岗。</w:t>
            </w:r>
          </w:p>
          <w:p w14:paraId="7B39C766">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4.3其他要求</w:t>
            </w:r>
          </w:p>
          <w:p w14:paraId="72A37E13">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（1）供应商必须明确维护方法、周期、内容及技术保障等。</w:t>
            </w:r>
          </w:p>
          <w:p w14:paraId="0528A002">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（2）供应商在运营维护过程中由于人为原因造成采购人损失的，由供应商负责赔偿。 </w:t>
            </w:r>
          </w:p>
          <w:p w14:paraId="028F1F02">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（3）供应商在运营维护过程中出现的安全事故，由供应商负全部责任。</w:t>
            </w:r>
          </w:p>
          <w:p w14:paraId="47A53EA2">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采购人自正式运维起每三个月对运营维护服务方开展一次工作考核，依据项目的维护内容就每周、每月、每季的维护质量和相关指标相结合的方式进行评分，满分为100分。按季度对每个站点单独考核，最终考核结果计算所有站点平均分。平均分＜80分为不合格；平均分≥80分为合格。按照考核结果和合同要求支付该季度的运维服务费。</w:t>
            </w:r>
          </w:p>
          <w:p w14:paraId="29609B75">
            <w:pPr>
              <w:spacing w:line="300" w:lineRule="auto"/>
              <w:ind w:firstLine="0" w:firstLineChars="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rPr>
              <w:t>（5）要求供应商提供备机，包括：</w:t>
            </w:r>
            <w:r>
              <w:rPr>
                <w:rFonts w:hint="eastAsia" w:ascii="宋体" w:hAnsi="宋体" w:cs="宋体"/>
                <w:color w:val="auto"/>
                <w:sz w:val="21"/>
                <w:szCs w:val="21"/>
                <w:highlight w:val="none"/>
                <w:shd w:val="clear" w:color="auto" w:fill="FFFFFF"/>
              </w:rPr>
              <w:t>常规五参数、高锰酸盐指数、氨氮、总磷、总氮、铜、铅、锌、镉、砷、汞、六价铬各一台。</w:t>
            </w:r>
          </w:p>
          <w:p w14:paraId="7A38905F">
            <w:pPr>
              <w:spacing w:line="300" w:lineRule="auto"/>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5.考核标准</w:t>
            </w:r>
          </w:p>
          <w:p w14:paraId="6707878B">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5.1仪器考核内容</w:t>
            </w:r>
          </w:p>
          <w:p w14:paraId="26E7C33A">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（1）所有水站每天在线情况。</w:t>
            </w:r>
          </w:p>
          <w:p w14:paraId="243958D8">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（2）构成水站系统的仪器、设备的运行状态参数是否满足使用说明书要求作为系统仪器、设备运行是否正常的依据。</w:t>
            </w:r>
          </w:p>
          <w:p w14:paraId="471228F7">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（3）所有水站系统的每个月每个参数有效数据获取率≥90%（“有效数据获取率” 是指已实际正常运行小时数与应监测小时数之比）。</w:t>
            </w:r>
          </w:p>
          <w:p w14:paraId="1EBA650C">
            <w:pPr>
              <w:spacing w:line="300" w:lineRule="auto"/>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（4）数据质量控制指标满足国家、自治区相关技术规范要求。</w:t>
            </w:r>
          </w:p>
          <w:p w14:paraId="6FC3449D">
            <w:pPr>
              <w:spacing w:line="300" w:lineRule="auto"/>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（5）服务态度和及时性。</w:t>
            </w:r>
          </w:p>
          <w:p w14:paraId="312C3146">
            <w:pPr>
              <w:spacing w:line="300" w:lineRule="auto"/>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（6）相关技术规范及合同中规定的内容。</w:t>
            </w:r>
          </w:p>
          <w:p w14:paraId="076B1630">
            <w:pPr>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5.2考核办法</w:t>
            </w:r>
          </w:p>
          <w:p w14:paraId="323ED50D">
            <w:pPr>
              <w:spacing w:line="360" w:lineRule="exact"/>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采购人自正式运维起每三个月对供应商开展一次运营维护工作考核，依据上述维护内容就每周、每月、每季的维护质量和相关指标相结合的方式进行评分，满分为100分。由采购人组织有关人员进行评审，考核合格后按照合同要求支付该季度的运行费。</w:t>
            </w:r>
          </w:p>
          <w:p w14:paraId="2F80349B">
            <w:pPr>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（1）按季度对每个站点单独考核，其中单次考核结果均≥90分为合格。</w:t>
            </w:r>
          </w:p>
          <w:p w14:paraId="646EF2D3">
            <w:pPr>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（2）单次考核结果≥80分且＜90分的，为初级警告，按比例扣除当季度运行费的10%，并责令整改。</w:t>
            </w:r>
          </w:p>
          <w:p w14:paraId="0F6684A9">
            <w:pPr>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（3）单次考核结果≥70分且＜80分的，为二级警告，按比例扣除当季度运行费的35%，并责令整改。一年合同期内出现两次二级警告情况，视为供应商违约，终止运营托管运维合同。</w:t>
            </w:r>
          </w:p>
          <w:p w14:paraId="6AFC1278">
            <w:pPr>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（4）考核结果在＜70分的，不予支付当季度运维费用并视为供应商违约，终止运营托管运维合同。</w:t>
            </w:r>
          </w:p>
          <w:p w14:paraId="635D85F2">
            <w:pPr>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（5）一旦发现弄虚作假现象，按违约处理，并追究其相应的法律责任，采购人有权向监督管理部门汇报并处理，不予支付当季运维费用，同时按当季维护费用的双倍进行经济处罚。</w:t>
            </w:r>
          </w:p>
          <w:p w14:paraId="15E8749A">
            <w:pPr>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弄虚作假现象包括但不限于</w:t>
            </w:r>
            <w:r>
              <w:rPr>
                <w:rFonts w:hint="eastAsia" w:ascii="宋体" w:hAnsi="宋体"/>
                <w:color w:val="auto"/>
                <w:sz w:val="21"/>
                <w:szCs w:val="21"/>
                <w:highlight w:val="none"/>
              </w:rPr>
              <w:t>：</w:t>
            </w:r>
          </w:p>
          <w:p w14:paraId="11CDE9B3">
            <w:pPr>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①存在《环境监测数据弄虚作假行为判定及处理办法》中认定的篡改、伪造或者指使篡改、伪造监测数据行为的。</w:t>
            </w:r>
          </w:p>
          <w:p w14:paraId="238B42E2">
            <w:pPr>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②实施或强令、指使、授意他人实施修改参数，或者干扰采样，致使监测数据严重失真的。</w:t>
            </w:r>
          </w:p>
          <w:p w14:paraId="30919D30">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③实施或参与干扰采水设施和自动监测设施、破坏地表水水质自动站的。</w:t>
            </w:r>
          </w:p>
          <w:p w14:paraId="5D48000B">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④在河流或湖库站点的采水口周边范围内，采取设置人工喷泉、曝气等增氧措施或投放生物、化学药剂等措施，强行改变水体理化性质，导致采集水样异常的。 </w:t>
            </w:r>
          </w:p>
          <w:p w14:paraId="2E369C62">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⑤针对水站采水环境实施人为干预，造成河流改道或断流，故意绕开站点采水口，导致站点失去污染监控作用的。</w:t>
            </w:r>
          </w:p>
          <w:p w14:paraId="001A3525">
            <w:pPr>
              <w:spacing w:line="30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⑥其他破坏地表水水质自动站的情形。</w:t>
            </w:r>
          </w:p>
          <w:p w14:paraId="0875823E">
            <w:pPr>
              <w:spacing w:line="340" w:lineRule="exact"/>
              <w:ind w:firstLine="0" w:firstLineChars="0"/>
              <w:rPr>
                <w:rFonts w:ascii="宋体" w:hAnsi="宋体"/>
                <w:color w:val="auto"/>
                <w:kern w:val="21"/>
                <w:sz w:val="21"/>
                <w:szCs w:val="21"/>
                <w:highlight w:val="none"/>
              </w:rPr>
            </w:pPr>
            <w:r>
              <w:rPr>
                <w:rFonts w:hint="eastAsia" w:ascii="宋体" w:hAnsi="宋体" w:cs="宋体"/>
                <w:b/>
                <w:bCs/>
                <w:color w:val="auto"/>
                <w:sz w:val="21"/>
                <w:szCs w:val="21"/>
                <w:highlight w:val="none"/>
              </w:rPr>
              <w:t>5.3地表水水质自动站托管运维服务考核表详见“附件</w:t>
            </w: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rPr>
              <w:t>”。</w:t>
            </w:r>
          </w:p>
        </w:tc>
        <w:tc>
          <w:tcPr>
            <w:tcW w:w="567" w:type="dxa"/>
            <w:vAlign w:val="center"/>
          </w:tcPr>
          <w:p w14:paraId="1F12480A">
            <w:pPr>
              <w:spacing w:line="380" w:lineRule="exact"/>
              <w:ind w:firstLine="0" w:firstLineChars="0"/>
              <w:jc w:val="center"/>
              <w:rPr>
                <w:rFonts w:ascii="宋体" w:hAnsi="宋体"/>
                <w:color w:val="auto"/>
                <w:kern w:val="21"/>
                <w:sz w:val="21"/>
                <w:szCs w:val="21"/>
                <w:highlight w:val="none"/>
              </w:rPr>
            </w:pPr>
            <w:r>
              <w:rPr>
                <w:rFonts w:hint="eastAsia" w:ascii="宋体" w:hAnsi="宋体"/>
                <w:color w:val="auto"/>
                <w:sz w:val="21"/>
                <w:szCs w:val="21"/>
                <w:highlight w:val="none"/>
              </w:rPr>
              <w:t>1</w:t>
            </w:r>
          </w:p>
        </w:tc>
        <w:tc>
          <w:tcPr>
            <w:tcW w:w="567" w:type="dxa"/>
            <w:vAlign w:val="center"/>
          </w:tcPr>
          <w:p w14:paraId="1B625C60">
            <w:pPr>
              <w:spacing w:line="380" w:lineRule="exact"/>
              <w:ind w:firstLine="0" w:firstLineChars="0"/>
              <w:jc w:val="center"/>
              <w:rPr>
                <w:rFonts w:ascii="宋体" w:hAnsi="宋体"/>
                <w:color w:val="auto"/>
                <w:kern w:val="21"/>
                <w:sz w:val="21"/>
                <w:szCs w:val="21"/>
                <w:highlight w:val="none"/>
              </w:rPr>
            </w:pPr>
            <w:r>
              <w:rPr>
                <w:rFonts w:hint="eastAsia" w:ascii="宋体" w:hAnsi="宋体"/>
                <w:color w:val="auto"/>
                <w:sz w:val="21"/>
                <w:szCs w:val="21"/>
                <w:highlight w:val="none"/>
              </w:rPr>
              <w:t>项</w:t>
            </w:r>
          </w:p>
        </w:tc>
        <w:tc>
          <w:tcPr>
            <w:tcW w:w="905" w:type="dxa"/>
            <w:vAlign w:val="center"/>
          </w:tcPr>
          <w:p w14:paraId="277E94AC">
            <w:pPr>
              <w:spacing w:line="38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52</w:t>
            </w:r>
          </w:p>
        </w:tc>
      </w:tr>
      <w:tr w14:paraId="000C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730" w:type="dxa"/>
            <w:gridSpan w:val="6"/>
            <w:vAlign w:val="center"/>
          </w:tcPr>
          <w:p w14:paraId="13CB79CF">
            <w:pPr>
              <w:adjustRightInd w:val="0"/>
              <w:spacing w:line="360" w:lineRule="exact"/>
              <w:ind w:firstLine="0" w:firstLineChars="0"/>
              <w:jc w:val="left"/>
              <w:rPr>
                <w:rFonts w:ascii="宋体" w:hAnsi="宋体"/>
                <w:color w:val="auto"/>
                <w:kern w:val="0"/>
                <w:sz w:val="21"/>
                <w:szCs w:val="21"/>
                <w:highlight w:val="none"/>
              </w:rPr>
            </w:pPr>
            <w:r>
              <w:rPr>
                <w:rFonts w:hint="eastAsia" w:ascii="宋体" w:hAnsi="宋体"/>
                <w:color w:val="auto"/>
                <w:kern w:val="0"/>
                <w:sz w:val="21"/>
                <w:szCs w:val="21"/>
                <w:highlight w:val="none"/>
              </w:rPr>
              <w:t>▲二</w:t>
            </w:r>
            <w:r>
              <w:rPr>
                <w:rFonts w:hint="eastAsia" w:ascii="宋体" w:hAnsi="宋体"/>
                <w:b/>
                <w:color w:val="auto"/>
                <w:kern w:val="0"/>
                <w:sz w:val="21"/>
                <w:szCs w:val="21"/>
                <w:highlight w:val="none"/>
              </w:rPr>
              <w:t>、</w:t>
            </w:r>
            <w:r>
              <w:rPr>
                <w:rFonts w:hint="eastAsia" w:ascii="宋体" w:hAnsi="宋体"/>
                <w:b/>
                <w:bCs/>
                <w:color w:val="auto"/>
                <w:sz w:val="21"/>
                <w:szCs w:val="21"/>
                <w:highlight w:val="none"/>
              </w:rPr>
              <w:t>商务要求</w:t>
            </w:r>
          </w:p>
        </w:tc>
      </w:tr>
      <w:tr w14:paraId="1639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730" w:type="dxa"/>
            <w:gridSpan w:val="6"/>
            <w:vAlign w:val="center"/>
          </w:tcPr>
          <w:p w14:paraId="01EB31F6">
            <w:pPr>
              <w:spacing w:line="340" w:lineRule="exact"/>
              <w:ind w:firstLine="0" w:firstLineChars="0"/>
              <w:rPr>
                <w:rFonts w:ascii="宋体" w:hAnsi="宋体"/>
                <w:b/>
                <w:bCs/>
                <w:color w:val="auto"/>
                <w:sz w:val="21"/>
                <w:szCs w:val="21"/>
                <w:highlight w:val="none"/>
              </w:rPr>
            </w:pPr>
            <w:r>
              <w:rPr>
                <w:rFonts w:hint="eastAsia" w:ascii="宋体" w:hAnsi="宋体"/>
                <w:b/>
                <w:bCs/>
                <w:color w:val="auto"/>
                <w:sz w:val="21"/>
                <w:szCs w:val="21"/>
                <w:highlight w:val="none"/>
              </w:rPr>
              <w:t>（一）服务期限及服务地点：</w:t>
            </w:r>
          </w:p>
          <w:p w14:paraId="36E86C02">
            <w:pPr>
              <w:spacing w:line="340" w:lineRule="exact"/>
              <w:ind w:firstLine="0" w:firstLineChars="0"/>
              <w:rPr>
                <w:rFonts w:ascii="宋体" w:hAnsi="宋体"/>
                <w:bCs/>
                <w:color w:val="auto"/>
                <w:sz w:val="21"/>
                <w:szCs w:val="21"/>
                <w:highlight w:val="none"/>
              </w:rPr>
            </w:pPr>
            <w:r>
              <w:rPr>
                <w:rFonts w:hint="eastAsia" w:ascii="宋体" w:hAnsi="宋体"/>
                <w:b/>
                <w:bCs/>
                <w:color w:val="auto"/>
                <w:sz w:val="21"/>
                <w:szCs w:val="21"/>
                <w:highlight w:val="none"/>
              </w:rPr>
              <w:t xml:space="preserve"> </w:t>
            </w:r>
            <w:r>
              <w:rPr>
                <w:rFonts w:hint="eastAsia" w:ascii="宋体" w:hAnsi="宋体"/>
                <w:bCs/>
                <w:color w:val="auto"/>
                <w:sz w:val="21"/>
                <w:szCs w:val="21"/>
                <w:highlight w:val="none"/>
              </w:rPr>
              <w:t xml:space="preserve"> 1.（一）服务期限：1年，即：2026年1月1日至2026年12月31日。【上一年度合同期满至2025年12月31日，考虑到水站运行维护的连续性，2026年1月1日至本项目成交供应商正式进场开展工作期间的运维工作仍由上一年度成交单位负责，其间所发生费用作为本项目不可变更费用，对于2026年1月1日至本项目成交供应商接管运维工作期间的费用，本项目成交供应商须在进场开展工作服务后15日内依据采购人审核费用，按照本项目成交价比例支付给原服务单位。支付标准：[本项目成交金额÷365]×（2026年1月1日到接管日前的天数）。如本次项目成交供应商为原服务单位，则本项目合同开始日期为2026年1月1日至2026年12月31日】</w:t>
            </w:r>
          </w:p>
          <w:p w14:paraId="0D844E5B">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 xml:space="preserve">  2.服务地点：广西桂林市采购人指定地点。</w:t>
            </w:r>
          </w:p>
          <w:p w14:paraId="27BEC137">
            <w:pPr>
              <w:spacing w:line="340" w:lineRule="exact"/>
              <w:ind w:firstLine="0" w:firstLineChars="0"/>
              <w:rPr>
                <w:rFonts w:hAnsi="宋体"/>
                <w:color w:val="auto"/>
                <w:sz w:val="21"/>
                <w:szCs w:val="24"/>
                <w:highlight w:val="none"/>
              </w:rPr>
            </w:pPr>
            <w:r>
              <w:rPr>
                <w:rFonts w:hint="eastAsia" w:ascii="宋体" w:hAnsi="宋体"/>
                <w:b/>
                <w:color w:val="auto"/>
                <w:sz w:val="21"/>
                <w:szCs w:val="21"/>
                <w:highlight w:val="none"/>
              </w:rPr>
              <w:t>（二）</w:t>
            </w:r>
            <w:r>
              <w:rPr>
                <w:rFonts w:hint="eastAsia" w:hAnsi="宋体"/>
                <w:b/>
                <w:color w:val="auto"/>
                <w:sz w:val="21"/>
                <w:szCs w:val="24"/>
                <w:highlight w:val="none"/>
              </w:rPr>
              <w:t>验收要求及标准：</w:t>
            </w:r>
            <w:r>
              <w:rPr>
                <w:rFonts w:hint="eastAsia" w:hAnsi="宋体"/>
                <w:color w:val="auto"/>
                <w:sz w:val="21"/>
                <w:szCs w:val="24"/>
                <w:highlight w:val="none"/>
              </w:rPr>
              <w:t>依照国家相关法律法规及行业规定，根据</w:t>
            </w:r>
            <w:r>
              <w:rPr>
                <w:rFonts w:hint="eastAsia" w:ascii="宋体" w:hAnsi="宋体"/>
                <w:color w:val="auto"/>
                <w:sz w:val="21"/>
                <w:szCs w:val="21"/>
                <w:highlight w:val="none"/>
              </w:rPr>
              <w:t>竞争性</w:t>
            </w:r>
            <w:r>
              <w:rPr>
                <w:rFonts w:hint="eastAsia" w:hAnsi="宋体"/>
                <w:color w:val="auto"/>
                <w:sz w:val="21"/>
                <w:szCs w:val="24"/>
                <w:highlight w:val="none"/>
              </w:rPr>
              <w:t>磋商文件要求及响应文件承诺进行验收。</w:t>
            </w:r>
          </w:p>
          <w:p w14:paraId="5C0731BF">
            <w:pPr>
              <w:spacing w:line="340" w:lineRule="exact"/>
              <w:ind w:firstLine="0" w:firstLineChars="0"/>
              <w:rPr>
                <w:rFonts w:ascii="宋体" w:hAnsi="宋体"/>
                <w:b/>
                <w:color w:val="auto"/>
                <w:sz w:val="21"/>
                <w:szCs w:val="21"/>
                <w:highlight w:val="none"/>
              </w:rPr>
            </w:pPr>
            <w:r>
              <w:rPr>
                <w:rFonts w:hint="eastAsia" w:ascii="宋体" w:hAnsi="宋体"/>
                <w:b/>
                <w:color w:val="auto"/>
                <w:sz w:val="21"/>
                <w:szCs w:val="21"/>
                <w:highlight w:val="none"/>
              </w:rPr>
              <w:t>（三）付款方式：</w:t>
            </w:r>
          </w:p>
          <w:p w14:paraId="1B0C5344">
            <w:pPr>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4"/>
                <w:highlight w:val="none"/>
              </w:rPr>
              <w:t>本项目合同款分两次支付，签订合同且供应商达到合同实施条件（指成交供应商在承诺投入本项目实施的人员全部到位）并报采购人备案后，在财政资金到账的情况下，10个工作日内支付合同款的50%，第三季度结束后支付合同款的50%（无息，50%合同款=合同金额的50%减去一年考核扣款）</w:t>
            </w:r>
            <w:r>
              <w:rPr>
                <w:rFonts w:hint="eastAsia" w:ascii="宋体" w:hAnsi="宋体"/>
                <w:color w:val="auto"/>
                <w:sz w:val="21"/>
                <w:szCs w:val="21"/>
                <w:highlight w:val="none"/>
              </w:rPr>
              <w:t>。</w:t>
            </w:r>
          </w:p>
          <w:p w14:paraId="42E31A3D">
            <w:pPr>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2.在采购人付款前，成交供应商应向采购人提供相应等额有效、合法的发票，否则采购人有权不予付款，直至成交供应商提供符合约定的发票为止。</w:t>
            </w:r>
          </w:p>
          <w:p w14:paraId="1D727B64">
            <w:pPr>
              <w:spacing w:line="340" w:lineRule="exact"/>
              <w:ind w:firstLine="0" w:firstLineChars="0"/>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（四）磋商报价：</w:t>
            </w:r>
          </w:p>
          <w:p w14:paraId="676EBA82">
            <w:pPr>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磋商报价应包括本次采购范围内的服务价款、各种人力成本、拟投入设备成本、设备维修维护、零配件试剂更换、软件维护、仪器质量控制、站房维护、辅助仪器检定、防雷检测费、消防设备、水电费、交通运输费、专用工具、交通费、法定税费、不可预见费、合理利润及其它成本费等的各项费用的总和。供应商综合考虑在报价中，采购人不再支付任何费用。</w:t>
            </w:r>
          </w:p>
          <w:p w14:paraId="7B2D5C40">
            <w:pPr>
              <w:spacing w:line="340" w:lineRule="exact"/>
              <w:ind w:firstLine="0" w:firstLineChars="0"/>
              <w:rPr>
                <w:rFonts w:ascii="宋体" w:hAnsi="宋体"/>
                <w:color w:val="auto"/>
                <w:sz w:val="21"/>
                <w:szCs w:val="21"/>
                <w:highlight w:val="none"/>
              </w:rPr>
            </w:pPr>
            <w:r>
              <w:rPr>
                <w:rFonts w:hint="eastAsia" w:ascii="宋体" w:hAnsi="宋体"/>
                <w:b/>
                <w:bCs/>
                <w:color w:val="auto"/>
                <w:sz w:val="21"/>
                <w:szCs w:val="21"/>
                <w:highlight w:val="none"/>
              </w:rPr>
              <w:t>（五）供应商应按采购要求定期提供每月完整的运维记录电子版给采购人。</w:t>
            </w:r>
          </w:p>
        </w:tc>
      </w:tr>
      <w:tr w14:paraId="4745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730" w:type="dxa"/>
            <w:gridSpan w:val="6"/>
            <w:vAlign w:val="center"/>
          </w:tcPr>
          <w:p w14:paraId="25519ECA">
            <w:pPr>
              <w:spacing w:line="340" w:lineRule="exact"/>
              <w:ind w:firstLine="0" w:firstLineChars="0"/>
              <w:rPr>
                <w:rFonts w:ascii="宋体" w:hAnsi="宋体"/>
                <w:b/>
                <w:color w:val="auto"/>
                <w:sz w:val="21"/>
                <w:szCs w:val="21"/>
                <w:highlight w:val="none"/>
              </w:rPr>
            </w:pPr>
            <w:r>
              <w:rPr>
                <w:rFonts w:hint="eastAsia" w:ascii="宋体" w:hAnsi="宋体"/>
                <w:b/>
                <w:color w:val="auto"/>
                <w:sz w:val="21"/>
                <w:szCs w:val="21"/>
                <w:highlight w:val="none"/>
              </w:rPr>
              <w:t>三、其他要求</w:t>
            </w:r>
          </w:p>
        </w:tc>
      </w:tr>
      <w:tr w14:paraId="5760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30" w:type="dxa"/>
            <w:gridSpan w:val="6"/>
            <w:vAlign w:val="center"/>
          </w:tcPr>
          <w:p w14:paraId="4B520FB9">
            <w:pPr>
              <w:spacing w:line="340" w:lineRule="exact"/>
              <w:ind w:firstLine="0" w:firstLineChars="0"/>
              <w:rPr>
                <w:rFonts w:ascii="宋体" w:hAnsi="宋体"/>
                <w:b/>
                <w:color w:val="auto"/>
                <w:sz w:val="21"/>
                <w:szCs w:val="21"/>
                <w:highlight w:val="none"/>
              </w:rPr>
            </w:pPr>
            <w:r>
              <w:rPr>
                <w:rFonts w:hint="eastAsia" w:ascii="宋体" w:hAnsi="宋体"/>
                <w:b/>
                <w:bCs/>
                <w:color w:val="auto"/>
                <w:sz w:val="21"/>
                <w:szCs w:val="21"/>
                <w:highlight w:val="none"/>
              </w:rPr>
              <w:t>▲1.</w:t>
            </w:r>
            <w:r>
              <w:rPr>
                <w:rFonts w:hint="eastAsia" w:ascii="宋体" w:hAnsi="宋体"/>
                <w:b/>
                <w:color w:val="auto"/>
                <w:spacing w:val="-4"/>
                <w:sz w:val="21"/>
                <w:szCs w:val="21"/>
                <w:highlight w:val="none"/>
              </w:rPr>
              <w:t>本分标政府采购项目预算金额（人民币）： 伍拾贰万元整（¥520000.00），</w:t>
            </w:r>
            <w:r>
              <w:rPr>
                <w:rFonts w:hint="eastAsia" w:ascii="宋体" w:hAnsi="宋体"/>
                <w:b/>
                <w:color w:val="auto"/>
                <w:sz w:val="21"/>
                <w:szCs w:val="21"/>
                <w:highlight w:val="none"/>
              </w:rPr>
              <w:t>供应商磋商报价超过政府采购预算金额的，响应文件作无效处理。</w:t>
            </w:r>
          </w:p>
          <w:p w14:paraId="263209B8">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2.供应商于响应文件中提供针对本分标的项目实施方案。</w:t>
            </w:r>
            <w:r>
              <w:rPr>
                <w:rFonts w:hint="eastAsia" w:ascii="宋体" w:hAnsi="宋体"/>
                <w:b/>
                <w:color w:val="auto"/>
                <w:sz w:val="21"/>
                <w:szCs w:val="21"/>
                <w:highlight w:val="none"/>
              </w:rPr>
              <w:t>具体评审详见“第四章 评审办法”。</w:t>
            </w:r>
          </w:p>
          <w:p w14:paraId="68ABA5B1">
            <w:pPr>
              <w:spacing w:line="340" w:lineRule="exact"/>
              <w:ind w:firstLine="0" w:firstLineChars="0"/>
              <w:rPr>
                <w:rFonts w:ascii="宋体" w:hAnsi="宋体"/>
                <w:b/>
                <w:color w:val="auto"/>
                <w:sz w:val="21"/>
                <w:szCs w:val="21"/>
                <w:highlight w:val="none"/>
              </w:rPr>
            </w:pPr>
            <w:r>
              <w:rPr>
                <w:rFonts w:hint="eastAsia" w:ascii="宋体" w:hAnsi="宋体"/>
                <w:bCs/>
                <w:color w:val="auto"/>
                <w:sz w:val="21"/>
                <w:szCs w:val="21"/>
                <w:highlight w:val="none"/>
              </w:rPr>
              <w:t>3.供应商于响应文件中提供针对本分标的服务方案。</w:t>
            </w:r>
            <w:r>
              <w:rPr>
                <w:rFonts w:hint="eastAsia" w:ascii="宋体" w:hAnsi="宋体"/>
                <w:b/>
                <w:color w:val="auto"/>
                <w:sz w:val="21"/>
                <w:szCs w:val="21"/>
                <w:highlight w:val="none"/>
              </w:rPr>
              <w:t>具体评审详见“第四章 评审办法”。</w:t>
            </w:r>
          </w:p>
          <w:p w14:paraId="1C006CF1">
            <w:pPr>
              <w:spacing w:line="340" w:lineRule="exact"/>
              <w:ind w:firstLine="0" w:firstLineChars="0"/>
              <w:rPr>
                <w:rFonts w:ascii="宋体" w:hAnsi="宋体"/>
                <w:b/>
                <w:color w:val="auto"/>
                <w:sz w:val="21"/>
                <w:szCs w:val="21"/>
                <w:highlight w:val="none"/>
              </w:rPr>
            </w:pPr>
            <w:r>
              <w:rPr>
                <w:rFonts w:hint="eastAsia" w:ascii="宋体" w:hAnsi="宋体"/>
                <w:bCs/>
                <w:color w:val="auto"/>
                <w:sz w:val="21"/>
                <w:szCs w:val="21"/>
                <w:highlight w:val="none"/>
              </w:rPr>
              <w:t>4.供应商根据自身情况，可于响应文件中提供具有本分标履约能力的证明材料。</w:t>
            </w:r>
            <w:r>
              <w:rPr>
                <w:rFonts w:hint="eastAsia" w:ascii="宋体" w:hAnsi="宋体"/>
                <w:b/>
                <w:color w:val="auto"/>
                <w:sz w:val="21"/>
                <w:szCs w:val="21"/>
                <w:highlight w:val="none"/>
              </w:rPr>
              <w:t>具体评审详见“第四章 评审办法”。</w:t>
            </w:r>
          </w:p>
        </w:tc>
      </w:tr>
    </w:tbl>
    <w:p w14:paraId="1BE34B94">
      <w:pPr>
        <w:adjustRightInd w:val="0"/>
        <w:snapToGrid w:val="0"/>
        <w:spacing w:line="380" w:lineRule="exact"/>
        <w:ind w:firstLine="480"/>
        <w:rPr>
          <w:rFonts w:ascii="宋体" w:hAnsi="宋体" w:cs="宋体"/>
          <w:color w:val="auto"/>
          <w:kern w:val="0"/>
          <w:szCs w:val="20"/>
          <w:highlight w:val="none"/>
        </w:rPr>
      </w:pPr>
    </w:p>
    <w:p w14:paraId="79D72C87">
      <w:pPr>
        <w:spacing w:line="360" w:lineRule="exact"/>
        <w:ind w:firstLine="527" w:firstLineChars="250"/>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附件1：                      3个水质自动站基本情况</w:t>
      </w:r>
    </w:p>
    <w:tbl>
      <w:tblPr>
        <w:tblStyle w:val="45"/>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20"/>
        <w:gridCol w:w="993"/>
        <w:gridCol w:w="850"/>
        <w:gridCol w:w="865"/>
        <w:gridCol w:w="569"/>
        <w:gridCol w:w="1607"/>
        <w:gridCol w:w="2843"/>
      </w:tblGrid>
      <w:tr w14:paraId="5AC5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Align w:val="center"/>
          </w:tcPr>
          <w:p w14:paraId="4ED426FC">
            <w:pPr>
              <w:spacing w:line="340" w:lineRule="exact"/>
              <w:ind w:firstLine="0" w:firstLineChars="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220" w:type="dxa"/>
            <w:vAlign w:val="center"/>
          </w:tcPr>
          <w:p w14:paraId="3BE879C6">
            <w:pPr>
              <w:spacing w:line="340" w:lineRule="exact"/>
              <w:ind w:firstLine="0" w:firstLineChars="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站点名称</w:t>
            </w:r>
          </w:p>
        </w:tc>
        <w:tc>
          <w:tcPr>
            <w:tcW w:w="993" w:type="dxa"/>
            <w:vAlign w:val="center"/>
          </w:tcPr>
          <w:p w14:paraId="60946DCE">
            <w:pPr>
              <w:spacing w:line="340" w:lineRule="exact"/>
              <w:ind w:firstLine="0" w:firstLineChars="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地址</w:t>
            </w:r>
          </w:p>
        </w:tc>
        <w:tc>
          <w:tcPr>
            <w:tcW w:w="850" w:type="dxa"/>
            <w:vAlign w:val="center"/>
          </w:tcPr>
          <w:p w14:paraId="39455F9D">
            <w:pPr>
              <w:spacing w:line="340" w:lineRule="exact"/>
              <w:ind w:firstLine="0" w:firstLineChars="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经度</w:t>
            </w:r>
          </w:p>
        </w:tc>
        <w:tc>
          <w:tcPr>
            <w:tcW w:w="865" w:type="dxa"/>
            <w:vAlign w:val="center"/>
          </w:tcPr>
          <w:p w14:paraId="3571D377">
            <w:pPr>
              <w:spacing w:line="340" w:lineRule="exact"/>
              <w:ind w:firstLine="0" w:firstLineChars="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纬度</w:t>
            </w:r>
          </w:p>
        </w:tc>
        <w:tc>
          <w:tcPr>
            <w:tcW w:w="2176" w:type="dxa"/>
            <w:gridSpan w:val="2"/>
            <w:vAlign w:val="center"/>
          </w:tcPr>
          <w:p w14:paraId="6ACA565E">
            <w:pPr>
              <w:spacing w:line="340" w:lineRule="exact"/>
              <w:ind w:firstLine="0" w:firstLineChars="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自动监测指标</w:t>
            </w:r>
          </w:p>
        </w:tc>
        <w:tc>
          <w:tcPr>
            <w:tcW w:w="2843" w:type="dxa"/>
            <w:vAlign w:val="center"/>
          </w:tcPr>
          <w:p w14:paraId="6F6041B1">
            <w:pPr>
              <w:spacing w:line="340" w:lineRule="exact"/>
              <w:ind w:firstLine="0" w:firstLineChars="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仪器型号等设备参数</w:t>
            </w:r>
          </w:p>
        </w:tc>
      </w:tr>
      <w:tr w14:paraId="25CA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1" w:type="dxa"/>
            <w:vMerge w:val="restart"/>
            <w:vAlign w:val="center"/>
          </w:tcPr>
          <w:p w14:paraId="556BFA94">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1220" w:type="dxa"/>
            <w:vMerge w:val="restart"/>
            <w:vAlign w:val="center"/>
          </w:tcPr>
          <w:p w14:paraId="2A78E286">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桂林市漓江活动试验坝（含公示屏一块）</w:t>
            </w:r>
          </w:p>
        </w:tc>
        <w:tc>
          <w:tcPr>
            <w:tcW w:w="993" w:type="dxa"/>
            <w:vMerge w:val="restart"/>
            <w:vAlign w:val="center"/>
          </w:tcPr>
          <w:p w14:paraId="7A96F196">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桂林市穿山乡吴家里村</w:t>
            </w:r>
          </w:p>
        </w:tc>
        <w:tc>
          <w:tcPr>
            <w:tcW w:w="850" w:type="dxa"/>
            <w:vMerge w:val="restart"/>
            <w:vAlign w:val="center"/>
          </w:tcPr>
          <w:p w14:paraId="0BBF0F91">
            <w:pPr>
              <w:spacing w:line="340" w:lineRule="exact"/>
              <w:ind w:firstLine="0" w:firstLineChars="0"/>
              <w:jc w:val="center"/>
              <w:rPr>
                <w:rFonts w:ascii="宋体" w:hAnsi="宋体" w:cs="宋体"/>
                <w:bCs/>
                <w:color w:val="auto"/>
                <w:sz w:val="21"/>
                <w:szCs w:val="21"/>
                <w:highlight w:val="none"/>
              </w:rPr>
            </w:pPr>
            <w:r>
              <w:rPr>
                <w:rFonts w:ascii="宋体" w:hAnsi="宋体" w:cs="宋体"/>
                <w:bCs/>
                <w:color w:val="auto"/>
                <w:sz w:val="21"/>
                <w:szCs w:val="21"/>
                <w:highlight w:val="none"/>
              </w:rPr>
              <w:t>110.29722</w:t>
            </w:r>
          </w:p>
        </w:tc>
        <w:tc>
          <w:tcPr>
            <w:tcW w:w="865" w:type="dxa"/>
            <w:vMerge w:val="restart"/>
            <w:vAlign w:val="center"/>
          </w:tcPr>
          <w:p w14:paraId="3BC4DBC2">
            <w:pPr>
              <w:spacing w:line="340" w:lineRule="exact"/>
              <w:ind w:firstLine="0" w:firstLineChars="0"/>
              <w:jc w:val="center"/>
              <w:rPr>
                <w:rFonts w:ascii="宋体" w:hAnsi="宋体" w:cs="宋体"/>
                <w:bCs/>
                <w:color w:val="auto"/>
                <w:sz w:val="21"/>
                <w:szCs w:val="21"/>
                <w:highlight w:val="none"/>
              </w:rPr>
            </w:pPr>
            <w:r>
              <w:rPr>
                <w:rFonts w:ascii="宋体" w:hAnsi="宋体" w:cs="宋体"/>
                <w:bCs/>
                <w:color w:val="auto"/>
                <w:sz w:val="21"/>
                <w:szCs w:val="21"/>
                <w:highlight w:val="none"/>
              </w:rPr>
              <w:t>25.25083</w:t>
            </w:r>
          </w:p>
        </w:tc>
        <w:tc>
          <w:tcPr>
            <w:tcW w:w="569" w:type="dxa"/>
            <w:vAlign w:val="center"/>
          </w:tcPr>
          <w:p w14:paraId="0A2F7028">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1607" w:type="dxa"/>
            <w:vAlign w:val="center"/>
          </w:tcPr>
          <w:p w14:paraId="58EE575E">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水温</w:t>
            </w:r>
          </w:p>
        </w:tc>
        <w:tc>
          <w:tcPr>
            <w:tcW w:w="2843" w:type="dxa"/>
            <w:vMerge w:val="restart"/>
            <w:vAlign w:val="center"/>
          </w:tcPr>
          <w:p w14:paraId="4A9A8AC3">
            <w:pPr>
              <w:spacing w:line="340" w:lineRule="exact"/>
              <w:ind w:firstLine="0" w:firstLineChars="0"/>
              <w:jc w:val="center"/>
              <w:rPr>
                <w:rFonts w:ascii="宋体" w:hAnsi="宋体" w:cs="宋体"/>
                <w:bCs/>
                <w:color w:val="auto"/>
                <w:sz w:val="21"/>
                <w:szCs w:val="21"/>
                <w:highlight w:val="none"/>
              </w:rPr>
            </w:pPr>
            <w:r>
              <w:rPr>
                <w:rFonts w:hint="eastAsia" w:ascii="宋体" w:hAnsi="宋体" w:cs="宋体"/>
                <w:color w:val="auto"/>
                <w:kern w:val="0"/>
                <w:sz w:val="21"/>
                <w:szCs w:val="21"/>
                <w:highlight w:val="none"/>
              </w:rPr>
              <w:t>LFWCS-2008</w:t>
            </w:r>
          </w:p>
        </w:tc>
      </w:tr>
      <w:tr w14:paraId="1392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1" w:type="dxa"/>
            <w:vMerge w:val="continue"/>
            <w:vAlign w:val="center"/>
          </w:tcPr>
          <w:p w14:paraId="5AB838D8">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6869A9EE">
            <w:pPr>
              <w:spacing w:line="340" w:lineRule="exact"/>
              <w:ind w:firstLine="0" w:firstLineChars="0"/>
              <w:jc w:val="center"/>
              <w:rPr>
                <w:rFonts w:ascii="宋体" w:hAnsi="宋体" w:cs="宋体"/>
                <w:bCs/>
                <w:color w:val="auto"/>
                <w:sz w:val="21"/>
                <w:szCs w:val="21"/>
                <w:highlight w:val="none"/>
              </w:rPr>
            </w:pPr>
          </w:p>
        </w:tc>
        <w:tc>
          <w:tcPr>
            <w:tcW w:w="993" w:type="dxa"/>
            <w:vMerge w:val="continue"/>
            <w:vAlign w:val="center"/>
          </w:tcPr>
          <w:p w14:paraId="38A90C24">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4843A482">
            <w:pPr>
              <w:spacing w:line="340" w:lineRule="exact"/>
              <w:ind w:firstLine="0" w:firstLineChars="0"/>
              <w:jc w:val="center"/>
              <w:rPr>
                <w:rFonts w:ascii="宋体" w:hAnsi="宋体" w:cs="宋体"/>
                <w:bCs/>
                <w:color w:val="auto"/>
                <w:sz w:val="21"/>
                <w:szCs w:val="21"/>
                <w:highlight w:val="none"/>
              </w:rPr>
            </w:pPr>
          </w:p>
        </w:tc>
        <w:tc>
          <w:tcPr>
            <w:tcW w:w="865" w:type="dxa"/>
            <w:vMerge w:val="continue"/>
            <w:vAlign w:val="center"/>
          </w:tcPr>
          <w:p w14:paraId="660AEA7D">
            <w:pPr>
              <w:spacing w:line="340" w:lineRule="exact"/>
              <w:ind w:firstLine="0" w:firstLineChars="0"/>
              <w:jc w:val="center"/>
              <w:rPr>
                <w:rFonts w:ascii="宋体" w:hAnsi="宋体" w:cs="宋体"/>
                <w:bCs/>
                <w:color w:val="auto"/>
                <w:sz w:val="21"/>
                <w:szCs w:val="21"/>
                <w:highlight w:val="none"/>
              </w:rPr>
            </w:pPr>
          </w:p>
        </w:tc>
        <w:tc>
          <w:tcPr>
            <w:tcW w:w="569" w:type="dxa"/>
            <w:vAlign w:val="center"/>
          </w:tcPr>
          <w:p w14:paraId="4BD2A064">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2</w:t>
            </w:r>
          </w:p>
        </w:tc>
        <w:tc>
          <w:tcPr>
            <w:tcW w:w="1607" w:type="dxa"/>
            <w:vAlign w:val="center"/>
          </w:tcPr>
          <w:p w14:paraId="6A5FF424">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pH</w:t>
            </w:r>
          </w:p>
        </w:tc>
        <w:tc>
          <w:tcPr>
            <w:tcW w:w="2843" w:type="dxa"/>
            <w:vMerge w:val="continue"/>
            <w:vAlign w:val="center"/>
          </w:tcPr>
          <w:p w14:paraId="7E2604C8">
            <w:pPr>
              <w:spacing w:line="340" w:lineRule="exact"/>
              <w:ind w:firstLine="0" w:firstLineChars="0"/>
              <w:jc w:val="center"/>
              <w:rPr>
                <w:rFonts w:ascii="宋体" w:hAnsi="宋体" w:cs="宋体"/>
                <w:bCs/>
                <w:color w:val="auto"/>
                <w:sz w:val="21"/>
                <w:szCs w:val="21"/>
                <w:highlight w:val="none"/>
              </w:rPr>
            </w:pPr>
          </w:p>
        </w:tc>
      </w:tr>
      <w:tr w14:paraId="26A6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72C32D1D">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44A69D95">
            <w:pPr>
              <w:spacing w:line="340" w:lineRule="exact"/>
              <w:ind w:firstLine="0" w:firstLineChars="0"/>
              <w:jc w:val="center"/>
              <w:rPr>
                <w:rFonts w:ascii="宋体" w:hAnsi="宋体" w:cs="宋体"/>
                <w:bCs/>
                <w:color w:val="auto"/>
                <w:sz w:val="21"/>
                <w:szCs w:val="21"/>
                <w:highlight w:val="none"/>
              </w:rPr>
            </w:pPr>
          </w:p>
        </w:tc>
        <w:tc>
          <w:tcPr>
            <w:tcW w:w="993" w:type="dxa"/>
            <w:vMerge w:val="continue"/>
            <w:vAlign w:val="center"/>
          </w:tcPr>
          <w:p w14:paraId="46F83445">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3AFA1E6C">
            <w:pPr>
              <w:spacing w:line="340" w:lineRule="exact"/>
              <w:ind w:firstLine="0" w:firstLineChars="0"/>
              <w:jc w:val="center"/>
              <w:rPr>
                <w:rFonts w:ascii="宋体" w:hAnsi="宋体" w:cs="宋体"/>
                <w:bCs/>
                <w:color w:val="auto"/>
                <w:sz w:val="21"/>
                <w:szCs w:val="21"/>
                <w:highlight w:val="none"/>
              </w:rPr>
            </w:pPr>
          </w:p>
        </w:tc>
        <w:tc>
          <w:tcPr>
            <w:tcW w:w="865" w:type="dxa"/>
            <w:vMerge w:val="continue"/>
            <w:vAlign w:val="center"/>
          </w:tcPr>
          <w:p w14:paraId="286DE988">
            <w:pPr>
              <w:spacing w:line="340" w:lineRule="exact"/>
              <w:ind w:firstLine="0" w:firstLineChars="0"/>
              <w:jc w:val="center"/>
              <w:rPr>
                <w:rFonts w:ascii="宋体" w:hAnsi="宋体" w:cs="宋体"/>
                <w:bCs/>
                <w:color w:val="auto"/>
                <w:sz w:val="21"/>
                <w:szCs w:val="21"/>
                <w:highlight w:val="none"/>
              </w:rPr>
            </w:pPr>
          </w:p>
        </w:tc>
        <w:tc>
          <w:tcPr>
            <w:tcW w:w="569" w:type="dxa"/>
            <w:vAlign w:val="center"/>
          </w:tcPr>
          <w:p w14:paraId="1BA4C726">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607" w:type="dxa"/>
            <w:vAlign w:val="center"/>
          </w:tcPr>
          <w:p w14:paraId="1B78ADE3">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电导率</w:t>
            </w:r>
          </w:p>
        </w:tc>
        <w:tc>
          <w:tcPr>
            <w:tcW w:w="2843" w:type="dxa"/>
            <w:vMerge w:val="continue"/>
            <w:vAlign w:val="center"/>
          </w:tcPr>
          <w:p w14:paraId="7FB38FF7">
            <w:pPr>
              <w:spacing w:line="340" w:lineRule="exact"/>
              <w:ind w:firstLine="0" w:firstLineChars="0"/>
              <w:jc w:val="center"/>
              <w:rPr>
                <w:rFonts w:ascii="宋体" w:hAnsi="宋体" w:cs="宋体"/>
                <w:bCs/>
                <w:color w:val="auto"/>
                <w:sz w:val="21"/>
                <w:szCs w:val="21"/>
                <w:highlight w:val="none"/>
              </w:rPr>
            </w:pPr>
          </w:p>
        </w:tc>
      </w:tr>
      <w:tr w14:paraId="2404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1" w:type="dxa"/>
            <w:vMerge w:val="continue"/>
            <w:vAlign w:val="center"/>
          </w:tcPr>
          <w:p w14:paraId="6B0EE697">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35B1258B">
            <w:pPr>
              <w:spacing w:line="340" w:lineRule="exact"/>
              <w:ind w:firstLine="0" w:firstLineChars="0"/>
              <w:jc w:val="center"/>
              <w:rPr>
                <w:rFonts w:ascii="宋体" w:hAnsi="宋体" w:cs="宋体"/>
                <w:bCs/>
                <w:color w:val="auto"/>
                <w:sz w:val="21"/>
                <w:szCs w:val="21"/>
                <w:highlight w:val="none"/>
              </w:rPr>
            </w:pPr>
          </w:p>
        </w:tc>
        <w:tc>
          <w:tcPr>
            <w:tcW w:w="993" w:type="dxa"/>
            <w:vMerge w:val="continue"/>
            <w:vAlign w:val="center"/>
          </w:tcPr>
          <w:p w14:paraId="67FA148B">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7FF30A89">
            <w:pPr>
              <w:spacing w:line="340" w:lineRule="exact"/>
              <w:ind w:firstLine="0" w:firstLineChars="0"/>
              <w:jc w:val="center"/>
              <w:rPr>
                <w:rFonts w:ascii="宋体" w:hAnsi="宋体" w:cs="宋体"/>
                <w:bCs/>
                <w:color w:val="auto"/>
                <w:sz w:val="21"/>
                <w:szCs w:val="21"/>
                <w:highlight w:val="none"/>
              </w:rPr>
            </w:pPr>
          </w:p>
        </w:tc>
        <w:tc>
          <w:tcPr>
            <w:tcW w:w="865" w:type="dxa"/>
            <w:vMerge w:val="continue"/>
            <w:vAlign w:val="center"/>
          </w:tcPr>
          <w:p w14:paraId="29E81525">
            <w:pPr>
              <w:spacing w:line="340" w:lineRule="exact"/>
              <w:ind w:firstLine="0" w:firstLineChars="0"/>
              <w:jc w:val="center"/>
              <w:rPr>
                <w:rFonts w:ascii="宋体" w:hAnsi="宋体" w:cs="宋体"/>
                <w:bCs/>
                <w:color w:val="auto"/>
                <w:sz w:val="21"/>
                <w:szCs w:val="21"/>
                <w:highlight w:val="none"/>
              </w:rPr>
            </w:pPr>
          </w:p>
        </w:tc>
        <w:tc>
          <w:tcPr>
            <w:tcW w:w="569" w:type="dxa"/>
            <w:vAlign w:val="center"/>
          </w:tcPr>
          <w:p w14:paraId="477FEB28">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1607" w:type="dxa"/>
            <w:vAlign w:val="center"/>
          </w:tcPr>
          <w:p w14:paraId="116D38A6">
            <w:pPr>
              <w:spacing w:line="340" w:lineRule="exact"/>
              <w:ind w:firstLine="0" w:firstLineChars="0"/>
              <w:jc w:val="center"/>
              <w:rPr>
                <w:rFonts w:ascii="宋体" w:hAnsi="宋体" w:cs="宋体"/>
                <w:bCs/>
                <w:color w:val="auto"/>
                <w:sz w:val="21"/>
                <w:szCs w:val="21"/>
                <w:highlight w:val="none"/>
              </w:rPr>
            </w:pPr>
            <w:r>
              <w:rPr>
                <w:rFonts w:hint="eastAsia" w:ascii="宋体" w:hAnsi="宋体" w:cs="宋体"/>
                <w:color w:val="auto"/>
                <w:kern w:val="0"/>
                <w:sz w:val="21"/>
                <w:szCs w:val="21"/>
                <w:highlight w:val="none"/>
              </w:rPr>
              <w:t>溶解氧</w:t>
            </w:r>
          </w:p>
        </w:tc>
        <w:tc>
          <w:tcPr>
            <w:tcW w:w="2843" w:type="dxa"/>
            <w:vMerge w:val="continue"/>
            <w:vAlign w:val="center"/>
          </w:tcPr>
          <w:p w14:paraId="2622E6FD">
            <w:pPr>
              <w:spacing w:line="340" w:lineRule="exact"/>
              <w:ind w:firstLine="0" w:firstLineChars="0"/>
              <w:jc w:val="center"/>
              <w:rPr>
                <w:rFonts w:ascii="宋体" w:hAnsi="宋体" w:cs="宋体"/>
                <w:bCs/>
                <w:color w:val="auto"/>
                <w:sz w:val="21"/>
                <w:szCs w:val="21"/>
                <w:highlight w:val="none"/>
              </w:rPr>
            </w:pPr>
          </w:p>
        </w:tc>
      </w:tr>
      <w:tr w14:paraId="50AE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4FEFDBE7">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3FD40988">
            <w:pPr>
              <w:spacing w:line="340" w:lineRule="exact"/>
              <w:ind w:firstLine="0" w:firstLineChars="0"/>
              <w:jc w:val="center"/>
              <w:rPr>
                <w:rFonts w:ascii="宋体" w:hAnsi="宋体" w:cs="宋体"/>
                <w:bCs/>
                <w:color w:val="auto"/>
                <w:sz w:val="21"/>
                <w:szCs w:val="21"/>
                <w:highlight w:val="none"/>
              </w:rPr>
            </w:pPr>
          </w:p>
        </w:tc>
        <w:tc>
          <w:tcPr>
            <w:tcW w:w="993" w:type="dxa"/>
            <w:vMerge w:val="continue"/>
            <w:vAlign w:val="center"/>
          </w:tcPr>
          <w:p w14:paraId="447E6D5D">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41366326">
            <w:pPr>
              <w:spacing w:line="340" w:lineRule="exact"/>
              <w:ind w:firstLine="0" w:firstLineChars="0"/>
              <w:jc w:val="center"/>
              <w:rPr>
                <w:rFonts w:ascii="宋体" w:hAnsi="宋体" w:cs="宋体"/>
                <w:bCs/>
                <w:color w:val="auto"/>
                <w:sz w:val="21"/>
                <w:szCs w:val="21"/>
                <w:highlight w:val="none"/>
              </w:rPr>
            </w:pPr>
          </w:p>
        </w:tc>
        <w:tc>
          <w:tcPr>
            <w:tcW w:w="865" w:type="dxa"/>
            <w:vMerge w:val="continue"/>
            <w:vAlign w:val="center"/>
          </w:tcPr>
          <w:p w14:paraId="5E8684E4">
            <w:pPr>
              <w:spacing w:line="340" w:lineRule="exact"/>
              <w:ind w:firstLine="0" w:firstLineChars="0"/>
              <w:jc w:val="center"/>
              <w:rPr>
                <w:rFonts w:ascii="宋体" w:hAnsi="宋体" w:cs="宋体"/>
                <w:bCs/>
                <w:color w:val="auto"/>
                <w:sz w:val="21"/>
                <w:szCs w:val="21"/>
                <w:highlight w:val="none"/>
              </w:rPr>
            </w:pPr>
          </w:p>
        </w:tc>
        <w:tc>
          <w:tcPr>
            <w:tcW w:w="569" w:type="dxa"/>
            <w:vAlign w:val="center"/>
          </w:tcPr>
          <w:p w14:paraId="69A501BB">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1607" w:type="dxa"/>
            <w:vAlign w:val="center"/>
          </w:tcPr>
          <w:p w14:paraId="7A405A24">
            <w:pPr>
              <w:spacing w:line="340" w:lineRule="exact"/>
              <w:ind w:firstLine="0" w:firstLineChars="0"/>
              <w:jc w:val="center"/>
              <w:rPr>
                <w:rFonts w:ascii="宋体" w:hAnsi="宋体" w:cs="宋体"/>
                <w:bCs/>
                <w:color w:val="auto"/>
                <w:sz w:val="21"/>
                <w:szCs w:val="21"/>
                <w:highlight w:val="none"/>
              </w:rPr>
            </w:pPr>
            <w:r>
              <w:rPr>
                <w:rFonts w:hint="eastAsia" w:ascii="宋体" w:hAnsi="宋体" w:cs="宋体"/>
                <w:color w:val="auto"/>
                <w:kern w:val="0"/>
                <w:sz w:val="21"/>
                <w:szCs w:val="21"/>
                <w:highlight w:val="none"/>
              </w:rPr>
              <w:t>浊度</w:t>
            </w:r>
          </w:p>
        </w:tc>
        <w:tc>
          <w:tcPr>
            <w:tcW w:w="2843" w:type="dxa"/>
            <w:vMerge w:val="continue"/>
            <w:vAlign w:val="center"/>
          </w:tcPr>
          <w:p w14:paraId="11CF16E9">
            <w:pPr>
              <w:spacing w:line="340" w:lineRule="exact"/>
              <w:ind w:firstLine="0" w:firstLineChars="0"/>
              <w:jc w:val="center"/>
              <w:rPr>
                <w:rFonts w:ascii="宋体" w:hAnsi="宋体" w:cs="宋体"/>
                <w:bCs/>
                <w:color w:val="auto"/>
                <w:sz w:val="21"/>
                <w:szCs w:val="21"/>
                <w:highlight w:val="none"/>
              </w:rPr>
            </w:pPr>
          </w:p>
        </w:tc>
      </w:tr>
      <w:tr w14:paraId="0C24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54FBAAB1">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55D032C6">
            <w:pPr>
              <w:spacing w:line="340" w:lineRule="exact"/>
              <w:ind w:firstLine="0" w:firstLineChars="0"/>
              <w:jc w:val="center"/>
              <w:rPr>
                <w:rFonts w:ascii="宋体" w:hAnsi="宋体" w:cs="宋体"/>
                <w:bCs/>
                <w:color w:val="auto"/>
                <w:sz w:val="21"/>
                <w:szCs w:val="21"/>
                <w:highlight w:val="none"/>
              </w:rPr>
            </w:pPr>
          </w:p>
        </w:tc>
        <w:tc>
          <w:tcPr>
            <w:tcW w:w="993" w:type="dxa"/>
            <w:vMerge w:val="continue"/>
            <w:vAlign w:val="center"/>
          </w:tcPr>
          <w:p w14:paraId="2F38B40A">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2D5FC2DE">
            <w:pPr>
              <w:spacing w:line="340" w:lineRule="exact"/>
              <w:ind w:firstLine="0" w:firstLineChars="0"/>
              <w:jc w:val="center"/>
              <w:rPr>
                <w:rFonts w:ascii="宋体" w:hAnsi="宋体" w:cs="宋体"/>
                <w:bCs/>
                <w:color w:val="auto"/>
                <w:sz w:val="21"/>
                <w:szCs w:val="21"/>
                <w:highlight w:val="none"/>
              </w:rPr>
            </w:pPr>
          </w:p>
        </w:tc>
        <w:tc>
          <w:tcPr>
            <w:tcW w:w="865" w:type="dxa"/>
            <w:vMerge w:val="continue"/>
            <w:vAlign w:val="center"/>
          </w:tcPr>
          <w:p w14:paraId="4DC39351">
            <w:pPr>
              <w:spacing w:line="340" w:lineRule="exact"/>
              <w:ind w:firstLine="0" w:firstLineChars="0"/>
              <w:jc w:val="center"/>
              <w:rPr>
                <w:rFonts w:ascii="宋体" w:hAnsi="宋体" w:cs="宋体"/>
                <w:bCs/>
                <w:color w:val="auto"/>
                <w:sz w:val="21"/>
                <w:szCs w:val="21"/>
                <w:highlight w:val="none"/>
              </w:rPr>
            </w:pPr>
          </w:p>
        </w:tc>
        <w:tc>
          <w:tcPr>
            <w:tcW w:w="569" w:type="dxa"/>
            <w:vAlign w:val="center"/>
          </w:tcPr>
          <w:p w14:paraId="62F76E01">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6</w:t>
            </w:r>
          </w:p>
        </w:tc>
        <w:tc>
          <w:tcPr>
            <w:tcW w:w="1607" w:type="dxa"/>
            <w:vAlign w:val="center"/>
          </w:tcPr>
          <w:p w14:paraId="49440590">
            <w:pPr>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高锰酸盐指数</w:t>
            </w:r>
          </w:p>
        </w:tc>
        <w:tc>
          <w:tcPr>
            <w:tcW w:w="2843" w:type="dxa"/>
            <w:vAlign w:val="center"/>
          </w:tcPr>
          <w:p w14:paraId="5196400D">
            <w:pPr>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LFS-2002(CODMn)</w:t>
            </w:r>
          </w:p>
        </w:tc>
      </w:tr>
      <w:tr w14:paraId="2B11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5DD1E42E">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582BB1CB">
            <w:pPr>
              <w:spacing w:line="340" w:lineRule="exact"/>
              <w:ind w:firstLine="0" w:firstLineChars="0"/>
              <w:jc w:val="center"/>
              <w:rPr>
                <w:rFonts w:ascii="宋体" w:hAnsi="宋体" w:cs="宋体"/>
                <w:bCs/>
                <w:color w:val="auto"/>
                <w:sz w:val="21"/>
                <w:szCs w:val="21"/>
                <w:highlight w:val="none"/>
              </w:rPr>
            </w:pPr>
          </w:p>
        </w:tc>
        <w:tc>
          <w:tcPr>
            <w:tcW w:w="993" w:type="dxa"/>
            <w:vMerge w:val="continue"/>
            <w:vAlign w:val="center"/>
          </w:tcPr>
          <w:p w14:paraId="1F50A6F8">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742232FC">
            <w:pPr>
              <w:spacing w:line="340" w:lineRule="exact"/>
              <w:ind w:firstLine="0" w:firstLineChars="0"/>
              <w:jc w:val="center"/>
              <w:rPr>
                <w:rFonts w:ascii="宋体" w:hAnsi="宋体" w:cs="宋体"/>
                <w:bCs/>
                <w:color w:val="auto"/>
                <w:sz w:val="21"/>
                <w:szCs w:val="21"/>
                <w:highlight w:val="none"/>
              </w:rPr>
            </w:pPr>
          </w:p>
        </w:tc>
        <w:tc>
          <w:tcPr>
            <w:tcW w:w="865" w:type="dxa"/>
            <w:vMerge w:val="continue"/>
            <w:vAlign w:val="center"/>
          </w:tcPr>
          <w:p w14:paraId="5F0AE4E8">
            <w:pPr>
              <w:spacing w:line="340" w:lineRule="exact"/>
              <w:ind w:firstLine="0" w:firstLineChars="0"/>
              <w:jc w:val="center"/>
              <w:rPr>
                <w:rFonts w:ascii="宋体" w:hAnsi="宋体" w:cs="宋体"/>
                <w:bCs/>
                <w:color w:val="auto"/>
                <w:sz w:val="21"/>
                <w:szCs w:val="21"/>
                <w:highlight w:val="none"/>
              </w:rPr>
            </w:pPr>
          </w:p>
        </w:tc>
        <w:tc>
          <w:tcPr>
            <w:tcW w:w="569" w:type="dxa"/>
            <w:vAlign w:val="center"/>
          </w:tcPr>
          <w:p w14:paraId="3FFC7FC2">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7</w:t>
            </w:r>
          </w:p>
        </w:tc>
        <w:tc>
          <w:tcPr>
            <w:tcW w:w="1607" w:type="dxa"/>
            <w:vAlign w:val="center"/>
          </w:tcPr>
          <w:p w14:paraId="54BE0965">
            <w:pPr>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氨氮</w:t>
            </w:r>
          </w:p>
        </w:tc>
        <w:tc>
          <w:tcPr>
            <w:tcW w:w="2843" w:type="dxa"/>
            <w:vAlign w:val="center"/>
          </w:tcPr>
          <w:p w14:paraId="197B5251">
            <w:pPr>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LFEC-2006(NH)</w:t>
            </w:r>
          </w:p>
        </w:tc>
      </w:tr>
      <w:tr w14:paraId="3D13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61111029">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66A5F0AD">
            <w:pPr>
              <w:spacing w:line="340" w:lineRule="exact"/>
              <w:ind w:firstLine="0" w:firstLineChars="0"/>
              <w:jc w:val="center"/>
              <w:rPr>
                <w:rFonts w:ascii="宋体" w:hAnsi="宋体" w:cs="宋体"/>
                <w:bCs/>
                <w:color w:val="auto"/>
                <w:sz w:val="21"/>
                <w:szCs w:val="21"/>
                <w:highlight w:val="none"/>
              </w:rPr>
            </w:pPr>
          </w:p>
        </w:tc>
        <w:tc>
          <w:tcPr>
            <w:tcW w:w="993" w:type="dxa"/>
            <w:vMerge w:val="continue"/>
            <w:vAlign w:val="center"/>
          </w:tcPr>
          <w:p w14:paraId="070EF963">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64820AF4">
            <w:pPr>
              <w:spacing w:line="340" w:lineRule="exact"/>
              <w:ind w:firstLine="0" w:firstLineChars="0"/>
              <w:jc w:val="center"/>
              <w:rPr>
                <w:rFonts w:ascii="宋体" w:hAnsi="宋体" w:cs="宋体"/>
                <w:bCs/>
                <w:color w:val="auto"/>
                <w:sz w:val="21"/>
                <w:szCs w:val="21"/>
                <w:highlight w:val="none"/>
              </w:rPr>
            </w:pPr>
          </w:p>
        </w:tc>
        <w:tc>
          <w:tcPr>
            <w:tcW w:w="865" w:type="dxa"/>
            <w:vMerge w:val="continue"/>
            <w:vAlign w:val="center"/>
          </w:tcPr>
          <w:p w14:paraId="6BEB111F">
            <w:pPr>
              <w:spacing w:line="340" w:lineRule="exact"/>
              <w:ind w:firstLine="0" w:firstLineChars="0"/>
              <w:jc w:val="center"/>
              <w:rPr>
                <w:rFonts w:ascii="宋体" w:hAnsi="宋体" w:cs="宋体"/>
                <w:bCs/>
                <w:color w:val="auto"/>
                <w:sz w:val="21"/>
                <w:szCs w:val="21"/>
                <w:highlight w:val="none"/>
              </w:rPr>
            </w:pPr>
          </w:p>
        </w:tc>
        <w:tc>
          <w:tcPr>
            <w:tcW w:w="569" w:type="dxa"/>
            <w:vAlign w:val="center"/>
          </w:tcPr>
          <w:p w14:paraId="33FCD457">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8</w:t>
            </w:r>
          </w:p>
        </w:tc>
        <w:tc>
          <w:tcPr>
            <w:tcW w:w="1607" w:type="dxa"/>
            <w:vAlign w:val="center"/>
          </w:tcPr>
          <w:p w14:paraId="056ACDAC">
            <w:pPr>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总磷</w:t>
            </w:r>
          </w:p>
        </w:tc>
        <w:tc>
          <w:tcPr>
            <w:tcW w:w="2843" w:type="dxa"/>
            <w:vAlign w:val="center"/>
          </w:tcPr>
          <w:p w14:paraId="6D60FE92">
            <w:pPr>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LFS-2002(TP)</w:t>
            </w:r>
          </w:p>
        </w:tc>
      </w:tr>
      <w:tr w14:paraId="6736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227F0B27">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7EDB99B3">
            <w:pPr>
              <w:spacing w:line="340" w:lineRule="exact"/>
              <w:ind w:firstLine="0" w:firstLineChars="0"/>
              <w:jc w:val="center"/>
              <w:rPr>
                <w:rFonts w:ascii="宋体" w:hAnsi="宋体" w:cs="宋体"/>
                <w:bCs/>
                <w:color w:val="auto"/>
                <w:sz w:val="21"/>
                <w:szCs w:val="21"/>
                <w:highlight w:val="none"/>
              </w:rPr>
            </w:pPr>
          </w:p>
        </w:tc>
        <w:tc>
          <w:tcPr>
            <w:tcW w:w="993" w:type="dxa"/>
            <w:vMerge w:val="continue"/>
            <w:vAlign w:val="center"/>
          </w:tcPr>
          <w:p w14:paraId="49A4739E">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44F45D86">
            <w:pPr>
              <w:spacing w:line="340" w:lineRule="exact"/>
              <w:ind w:firstLine="0" w:firstLineChars="0"/>
              <w:jc w:val="center"/>
              <w:rPr>
                <w:rFonts w:ascii="宋体" w:hAnsi="宋体" w:cs="宋体"/>
                <w:bCs/>
                <w:color w:val="auto"/>
                <w:sz w:val="21"/>
                <w:szCs w:val="21"/>
                <w:highlight w:val="none"/>
              </w:rPr>
            </w:pPr>
          </w:p>
        </w:tc>
        <w:tc>
          <w:tcPr>
            <w:tcW w:w="865" w:type="dxa"/>
            <w:vMerge w:val="continue"/>
            <w:vAlign w:val="center"/>
          </w:tcPr>
          <w:p w14:paraId="6DB4B172">
            <w:pPr>
              <w:spacing w:line="340" w:lineRule="exact"/>
              <w:ind w:firstLine="0" w:firstLineChars="0"/>
              <w:jc w:val="center"/>
              <w:rPr>
                <w:rFonts w:ascii="宋体" w:hAnsi="宋体" w:cs="宋体"/>
                <w:bCs/>
                <w:color w:val="auto"/>
                <w:sz w:val="21"/>
                <w:szCs w:val="21"/>
                <w:highlight w:val="none"/>
              </w:rPr>
            </w:pPr>
          </w:p>
        </w:tc>
        <w:tc>
          <w:tcPr>
            <w:tcW w:w="569" w:type="dxa"/>
            <w:vAlign w:val="center"/>
          </w:tcPr>
          <w:p w14:paraId="48086577">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9</w:t>
            </w:r>
          </w:p>
        </w:tc>
        <w:tc>
          <w:tcPr>
            <w:tcW w:w="1607" w:type="dxa"/>
            <w:vAlign w:val="center"/>
          </w:tcPr>
          <w:p w14:paraId="0529543C">
            <w:pPr>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总氮</w:t>
            </w:r>
          </w:p>
        </w:tc>
        <w:tc>
          <w:tcPr>
            <w:tcW w:w="2843" w:type="dxa"/>
            <w:vAlign w:val="center"/>
          </w:tcPr>
          <w:p w14:paraId="1D9138A6">
            <w:pPr>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LFS-2002(TN)</w:t>
            </w:r>
          </w:p>
        </w:tc>
      </w:tr>
      <w:tr w14:paraId="625A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40C6ABEA">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20BE0F18">
            <w:pPr>
              <w:spacing w:line="340" w:lineRule="exact"/>
              <w:ind w:firstLine="0" w:firstLineChars="0"/>
              <w:jc w:val="center"/>
              <w:rPr>
                <w:rFonts w:ascii="宋体" w:hAnsi="宋体" w:cs="宋体"/>
                <w:bCs/>
                <w:color w:val="auto"/>
                <w:sz w:val="21"/>
                <w:szCs w:val="21"/>
                <w:highlight w:val="none"/>
              </w:rPr>
            </w:pPr>
          </w:p>
        </w:tc>
        <w:tc>
          <w:tcPr>
            <w:tcW w:w="993" w:type="dxa"/>
            <w:vMerge w:val="continue"/>
            <w:vAlign w:val="center"/>
          </w:tcPr>
          <w:p w14:paraId="3655D274">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1577719A">
            <w:pPr>
              <w:spacing w:line="340" w:lineRule="exact"/>
              <w:ind w:firstLine="0" w:firstLineChars="0"/>
              <w:jc w:val="center"/>
              <w:rPr>
                <w:rFonts w:ascii="宋体" w:hAnsi="宋体" w:cs="宋体"/>
                <w:bCs/>
                <w:color w:val="auto"/>
                <w:sz w:val="21"/>
                <w:szCs w:val="21"/>
                <w:highlight w:val="none"/>
              </w:rPr>
            </w:pPr>
          </w:p>
        </w:tc>
        <w:tc>
          <w:tcPr>
            <w:tcW w:w="865" w:type="dxa"/>
            <w:vMerge w:val="continue"/>
            <w:vAlign w:val="center"/>
          </w:tcPr>
          <w:p w14:paraId="224DE309">
            <w:pPr>
              <w:spacing w:line="340" w:lineRule="exact"/>
              <w:ind w:firstLine="0" w:firstLineChars="0"/>
              <w:jc w:val="center"/>
              <w:rPr>
                <w:rFonts w:ascii="宋体" w:hAnsi="宋体" w:cs="宋体"/>
                <w:bCs/>
                <w:color w:val="auto"/>
                <w:sz w:val="21"/>
                <w:szCs w:val="21"/>
                <w:highlight w:val="none"/>
              </w:rPr>
            </w:pPr>
          </w:p>
        </w:tc>
        <w:tc>
          <w:tcPr>
            <w:tcW w:w="569" w:type="dxa"/>
            <w:vAlign w:val="center"/>
          </w:tcPr>
          <w:p w14:paraId="210B8BB1">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10</w:t>
            </w:r>
          </w:p>
        </w:tc>
        <w:tc>
          <w:tcPr>
            <w:tcW w:w="1607" w:type="dxa"/>
            <w:vAlign w:val="center"/>
          </w:tcPr>
          <w:p w14:paraId="52FABA59">
            <w:pPr>
              <w:widowControl/>
              <w:spacing w:line="34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锌</w:t>
            </w:r>
          </w:p>
        </w:tc>
        <w:tc>
          <w:tcPr>
            <w:tcW w:w="2843" w:type="dxa"/>
            <w:vMerge w:val="restart"/>
            <w:vAlign w:val="center"/>
          </w:tcPr>
          <w:p w14:paraId="77CBD93F">
            <w:pPr>
              <w:widowControl/>
              <w:spacing w:line="340" w:lineRule="exact"/>
              <w:ind w:firstLine="0" w:firstLineChars="0"/>
              <w:jc w:val="center"/>
              <w:textAlignment w:val="center"/>
              <w:rPr>
                <w:rFonts w:ascii="宋体" w:hAnsi="宋体" w:cs="宋体"/>
                <w:color w:val="auto"/>
                <w:sz w:val="21"/>
                <w:szCs w:val="21"/>
                <w:highlight w:val="none"/>
              </w:rPr>
            </w:pPr>
            <w:r>
              <w:rPr>
                <w:rFonts w:ascii="宋体" w:hAnsi="宋体" w:cs="宋体"/>
                <w:color w:val="auto"/>
                <w:sz w:val="21"/>
                <w:szCs w:val="21"/>
                <w:highlight w:val="none"/>
              </w:rPr>
              <w:t>LFEC-2006(Cd)(Pb)(Zn)(Cu)</w:t>
            </w:r>
          </w:p>
        </w:tc>
      </w:tr>
      <w:tr w14:paraId="37D6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3AB5E3E5">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6EF4A4A6">
            <w:pPr>
              <w:spacing w:line="340" w:lineRule="exact"/>
              <w:ind w:firstLine="0" w:firstLineChars="0"/>
              <w:jc w:val="center"/>
              <w:rPr>
                <w:rFonts w:ascii="宋体" w:hAnsi="宋体" w:cs="宋体"/>
                <w:bCs/>
                <w:color w:val="auto"/>
                <w:sz w:val="21"/>
                <w:szCs w:val="21"/>
                <w:highlight w:val="none"/>
              </w:rPr>
            </w:pPr>
          </w:p>
        </w:tc>
        <w:tc>
          <w:tcPr>
            <w:tcW w:w="993" w:type="dxa"/>
            <w:vMerge w:val="continue"/>
            <w:vAlign w:val="center"/>
          </w:tcPr>
          <w:p w14:paraId="3A5D7A0D">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2F202768">
            <w:pPr>
              <w:spacing w:line="340" w:lineRule="exact"/>
              <w:ind w:firstLine="0" w:firstLineChars="0"/>
              <w:jc w:val="center"/>
              <w:rPr>
                <w:rFonts w:ascii="宋体" w:hAnsi="宋体" w:cs="宋体"/>
                <w:bCs/>
                <w:color w:val="auto"/>
                <w:sz w:val="21"/>
                <w:szCs w:val="21"/>
                <w:highlight w:val="none"/>
              </w:rPr>
            </w:pPr>
          </w:p>
        </w:tc>
        <w:tc>
          <w:tcPr>
            <w:tcW w:w="865" w:type="dxa"/>
            <w:vMerge w:val="continue"/>
            <w:vAlign w:val="center"/>
          </w:tcPr>
          <w:p w14:paraId="7F947CB8">
            <w:pPr>
              <w:spacing w:line="340" w:lineRule="exact"/>
              <w:ind w:firstLine="0" w:firstLineChars="0"/>
              <w:jc w:val="center"/>
              <w:rPr>
                <w:rFonts w:ascii="宋体" w:hAnsi="宋体" w:cs="宋体"/>
                <w:bCs/>
                <w:color w:val="auto"/>
                <w:sz w:val="21"/>
                <w:szCs w:val="21"/>
                <w:highlight w:val="none"/>
              </w:rPr>
            </w:pPr>
          </w:p>
        </w:tc>
        <w:tc>
          <w:tcPr>
            <w:tcW w:w="569" w:type="dxa"/>
            <w:vAlign w:val="center"/>
          </w:tcPr>
          <w:p w14:paraId="7E81AB08">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11</w:t>
            </w:r>
          </w:p>
        </w:tc>
        <w:tc>
          <w:tcPr>
            <w:tcW w:w="1607" w:type="dxa"/>
            <w:vAlign w:val="center"/>
          </w:tcPr>
          <w:p w14:paraId="4F8B4C6A">
            <w:pPr>
              <w:widowControl/>
              <w:spacing w:line="34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镉</w:t>
            </w:r>
          </w:p>
        </w:tc>
        <w:tc>
          <w:tcPr>
            <w:tcW w:w="2843" w:type="dxa"/>
            <w:vMerge w:val="continue"/>
            <w:vAlign w:val="center"/>
          </w:tcPr>
          <w:p w14:paraId="2DFF57C0">
            <w:pPr>
              <w:spacing w:line="340" w:lineRule="exact"/>
              <w:ind w:firstLine="0" w:firstLineChars="0"/>
              <w:jc w:val="center"/>
              <w:rPr>
                <w:rFonts w:ascii="宋体" w:hAnsi="宋体" w:cs="宋体"/>
                <w:bCs/>
                <w:color w:val="auto"/>
                <w:sz w:val="21"/>
                <w:szCs w:val="21"/>
                <w:highlight w:val="none"/>
              </w:rPr>
            </w:pPr>
          </w:p>
        </w:tc>
      </w:tr>
      <w:tr w14:paraId="7578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51" w:type="dxa"/>
            <w:vMerge w:val="continue"/>
            <w:vAlign w:val="center"/>
          </w:tcPr>
          <w:p w14:paraId="2CBE50A1">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1C27FBB8">
            <w:pPr>
              <w:spacing w:line="340" w:lineRule="exact"/>
              <w:ind w:firstLine="0" w:firstLineChars="0"/>
              <w:jc w:val="center"/>
              <w:rPr>
                <w:rFonts w:ascii="宋体" w:hAnsi="宋体" w:cs="宋体"/>
                <w:bCs/>
                <w:color w:val="auto"/>
                <w:sz w:val="21"/>
                <w:szCs w:val="21"/>
                <w:highlight w:val="none"/>
              </w:rPr>
            </w:pPr>
          </w:p>
        </w:tc>
        <w:tc>
          <w:tcPr>
            <w:tcW w:w="993" w:type="dxa"/>
            <w:vMerge w:val="continue"/>
            <w:vAlign w:val="center"/>
          </w:tcPr>
          <w:p w14:paraId="44F08368">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59EE0425">
            <w:pPr>
              <w:spacing w:line="340" w:lineRule="exact"/>
              <w:ind w:firstLine="0" w:firstLineChars="0"/>
              <w:jc w:val="center"/>
              <w:rPr>
                <w:rFonts w:ascii="宋体" w:hAnsi="宋体" w:cs="宋体"/>
                <w:bCs/>
                <w:color w:val="auto"/>
                <w:sz w:val="21"/>
                <w:szCs w:val="21"/>
                <w:highlight w:val="none"/>
              </w:rPr>
            </w:pPr>
          </w:p>
        </w:tc>
        <w:tc>
          <w:tcPr>
            <w:tcW w:w="865" w:type="dxa"/>
            <w:vMerge w:val="continue"/>
            <w:vAlign w:val="center"/>
          </w:tcPr>
          <w:p w14:paraId="1B21F7B4">
            <w:pPr>
              <w:spacing w:line="340" w:lineRule="exact"/>
              <w:ind w:firstLine="0" w:firstLineChars="0"/>
              <w:jc w:val="center"/>
              <w:rPr>
                <w:rFonts w:ascii="宋体" w:hAnsi="宋体" w:cs="宋体"/>
                <w:bCs/>
                <w:color w:val="auto"/>
                <w:sz w:val="21"/>
                <w:szCs w:val="21"/>
                <w:highlight w:val="none"/>
              </w:rPr>
            </w:pPr>
          </w:p>
        </w:tc>
        <w:tc>
          <w:tcPr>
            <w:tcW w:w="569" w:type="dxa"/>
            <w:vAlign w:val="center"/>
          </w:tcPr>
          <w:p w14:paraId="01287C53">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12</w:t>
            </w:r>
          </w:p>
        </w:tc>
        <w:tc>
          <w:tcPr>
            <w:tcW w:w="1607" w:type="dxa"/>
            <w:vAlign w:val="center"/>
          </w:tcPr>
          <w:p w14:paraId="09363E05">
            <w:pPr>
              <w:widowControl/>
              <w:spacing w:line="34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铅</w:t>
            </w:r>
          </w:p>
        </w:tc>
        <w:tc>
          <w:tcPr>
            <w:tcW w:w="2843" w:type="dxa"/>
            <w:vMerge w:val="continue"/>
            <w:vAlign w:val="center"/>
          </w:tcPr>
          <w:p w14:paraId="00F5EC56">
            <w:pPr>
              <w:spacing w:line="340" w:lineRule="exact"/>
              <w:ind w:firstLine="0" w:firstLineChars="0"/>
              <w:jc w:val="center"/>
              <w:rPr>
                <w:rFonts w:ascii="宋体" w:hAnsi="宋体" w:cs="宋体"/>
                <w:bCs/>
                <w:color w:val="auto"/>
                <w:sz w:val="21"/>
                <w:szCs w:val="21"/>
                <w:highlight w:val="none"/>
              </w:rPr>
            </w:pPr>
          </w:p>
        </w:tc>
      </w:tr>
      <w:tr w14:paraId="382B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51" w:type="dxa"/>
            <w:vMerge w:val="continue"/>
            <w:vAlign w:val="center"/>
          </w:tcPr>
          <w:p w14:paraId="221A54D4">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673508C7">
            <w:pPr>
              <w:spacing w:line="340" w:lineRule="exact"/>
              <w:ind w:firstLine="0" w:firstLineChars="0"/>
              <w:jc w:val="center"/>
              <w:rPr>
                <w:rFonts w:ascii="宋体" w:hAnsi="宋体" w:cs="宋体"/>
                <w:bCs/>
                <w:color w:val="auto"/>
                <w:sz w:val="21"/>
                <w:szCs w:val="21"/>
                <w:highlight w:val="none"/>
              </w:rPr>
            </w:pPr>
          </w:p>
        </w:tc>
        <w:tc>
          <w:tcPr>
            <w:tcW w:w="993" w:type="dxa"/>
            <w:vMerge w:val="continue"/>
            <w:vAlign w:val="center"/>
          </w:tcPr>
          <w:p w14:paraId="789EAA3C">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79F5A7DE">
            <w:pPr>
              <w:spacing w:line="340" w:lineRule="exact"/>
              <w:ind w:firstLine="0" w:firstLineChars="0"/>
              <w:jc w:val="center"/>
              <w:rPr>
                <w:rFonts w:ascii="宋体" w:hAnsi="宋体" w:cs="宋体"/>
                <w:bCs/>
                <w:color w:val="auto"/>
                <w:sz w:val="21"/>
                <w:szCs w:val="21"/>
                <w:highlight w:val="none"/>
              </w:rPr>
            </w:pPr>
          </w:p>
        </w:tc>
        <w:tc>
          <w:tcPr>
            <w:tcW w:w="865" w:type="dxa"/>
            <w:vMerge w:val="continue"/>
            <w:vAlign w:val="center"/>
          </w:tcPr>
          <w:p w14:paraId="6035FB63">
            <w:pPr>
              <w:spacing w:line="340" w:lineRule="exact"/>
              <w:ind w:firstLine="0" w:firstLineChars="0"/>
              <w:jc w:val="center"/>
              <w:rPr>
                <w:rFonts w:ascii="宋体" w:hAnsi="宋体" w:cs="宋体"/>
                <w:bCs/>
                <w:color w:val="auto"/>
                <w:sz w:val="21"/>
                <w:szCs w:val="21"/>
                <w:highlight w:val="none"/>
              </w:rPr>
            </w:pPr>
          </w:p>
        </w:tc>
        <w:tc>
          <w:tcPr>
            <w:tcW w:w="569" w:type="dxa"/>
            <w:vAlign w:val="center"/>
          </w:tcPr>
          <w:p w14:paraId="11F9FC07">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w:t>
            </w:r>
          </w:p>
        </w:tc>
        <w:tc>
          <w:tcPr>
            <w:tcW w:w="1607" w:type="dxa"/>
            <w:vAlign w:val="center"/>
          </w:tcPr>
          <w:p w14:paraId="3E466412">
            <w:pPr>
              <w:widowControl/>
              <w:spacing w:line="34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铜</w:t>
            </w:r>
          </w:p>
        </w:tc>
        <w:tc>
          <w:tcPr>
            <w:tcW w:w="2843" w:type="dxa"/>
            <w:vMerge w:val="continue"/>
            <w:vAlign w:val="center"/>
          </w:tcPr>
          <w:p w14:paraId="2D79E3FA">
            <w:pPr>
              <w:spacing w:line="340" w:lineRule="exact"/>
              <w:ind w:firstLine="0" w:firstLineChars="0"/>
              <w:jc w:val="center"/>
              <w:rPr>
                <w:rFonts w:ascii="宋体" w:hAnsi="宋体" w:cs="宋体"/>
                <w:bCs/>
                <w:color w:val="auto"/>
                <w:sz w:val="21"/>
                <w:szCs w:val="21"/>
                <w:highlight w:val="none"/>
              </w:rPr>
            </w:pPr>
          </w:p>
        </w:tc>
      </w:tr>
      <w:tr w14:paraId="1DD7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7FC030C8">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0B1C6F3B">
            <w:pPr>
              <w:spacing w:line="340" w:lineRule="exact"/>
              <w:ind w:firstLine="0" w:firstLineChars="0"/>
              <w:jc w:val="center"/>
              <w:rPr>
                <w:rFonts w:ascii="宋体" w:hAnsi="宋体" w:cs="宋体"/>
                <w:bCs/>
                <w:color w:val="auto"/>
                <w:sz w:val="21"/>
                <w:szCs w:val="21"/>
                <w:highlight w:val="none"/>
              </w:rPr>
            </w:pPr>
          </w:p>
        </w:tc>
        <w:tc>
          <w:tcPr>
            <w:tcW w:w="993" w:type="dxa"/>
            <w:vMerge w:val="continue"/>
            <w:vAlign w:val="center"/>
          </w:tcPr>
          <w:p w14:paraId="5CE3E699">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2E127651">
            <w:pPr>
              <w:spacing w:line="340" w:lineRule="exact"/>
              <w:ind w:firstLine="0" w:firstLineChars="0"/>
              <w:jc w:val="center"/>
              <w:rPr>
                <w:rFonts w:ascii="宋体" w:hAnsi="宋体" w:cs="宋体"/>
                <w:bCs/>
                <w:color w:val="auto"/>
                <w:sz w:val="21"/>
                <w:szCs w:val="21"/>
                <w:highlight w:val="none"/>
              </w:rPr>
            </w:pPr>
          </w:p>
        </w:tc>
        <w:tc>
          <w:tcPr>
            <w:tcW w:w="865" w:type="dxa"/>
            <w:vMerge w:val="continue"/>
            <w:vAlign w:val="center"/>
          </w:tcPr>
          <w:p w14:paraId="1551C923">
            <w:pPr>
              <w:spacing w:line="340" w:lineRule="exact"/>
              <w:ind w:firstLine="0" w:firstLineChars="0"/>
              <w:jc w:val="center"/>
              <w:rPr>
                <w:rFonts w:ascii="宋体" w:hAnsi="宋体" w:cs="宋体"/>
                <w:bCs/>
                <w:color w:val="auto"/>
                <w:sz w:val="21"/>
                <w:szCs w:val="21"/>
                <w:highlight w:val="none"/>
              </w:rPr>
            </w:pPr>
          </w:p>
        </w:tc>
        <w:tc>
          <w:tcPr>
            <w:tcW w:w="569" w:type="dxa"/>
            <w:vAlign w:val="center"/>
          </w:tcPr>
          <w:p w14:paraId="7D9DF0AB">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w:t>
            </w:r>
          </w:p>
        </w:tc>
        <w:tc>
          <w:tcPr>
            <w:tcW w:w="1607" w:type="dxa"/>
            <w:vAlign w:val="center"/>
          </w:tcPr>
          <w:p w14:paraId="2F26CFBA">
            <w:pPr>
              <w:widowControl/>
              <w:spacing w:line="340" w:lineRule="exact"/>
              <w:ind w:firstLine="0" w:firstLineChars="0"/>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汞</w:t>
            </w:r>
          </w:p>
        </w:tc>
        <w:tc>
          <w:tcPr>
            <w:tcW w:w="2843" w:type="dxa"/>
            <w:vAlign w:val="center"/>
          </w:tcPr>
          <w:p w14:paraId="7EFBD2EE">
            <w:pPr>
              <w:widowControl/>
              <w:spacing w:line="340" w:lineRule="exact"/>
              <w:ind w:firstLine="0" w:firstLineChars="0"/>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LFS-2002(Hg)</w:t>
            </w:r>
          </w:p>
        </w:tc>
      </w:tr>
      <w:tr w14:paraId="073F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1" w:type="dxa"/>
            <w:vMerge w:val="continue"/>
            <w:vAlign w:val="center"/>
          </w:tcPr>
          <w:p w14:paraId="00FD0DA5">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07011C75">
            <w:pPr>
              <w:spacing w:line="340" w:lineRule="exact"/>
              <w:ind w:firstLine="0" w:firstLineChars="0"/>
              <w:jc w:val="center"/>
              <w:rPr>
                <w:rFonts w:ascii="宋体" w:hAnsi="宋体" w:cs="宋体"/>
                <w:bCs/>
                <w:color w:val="auto"/>
                <w:sz w:val="21"/>
                <w:szCs w:val="21"/>
                <w:highlight w:val="none"/>
              </w:rPr>
            </w:pPr>
          </w:p>
        </w:tc>
        <w:tc>
          <w:tcPr>
            <w:tcW w:w="993" w:type="dxa"/>
            <w:vMerge w:val="continue"/>
            <w:vAlign w:val="center"/>
          </w:tcPr>
          <w:p w14:paraId="50AD59BE">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2558BDEE">
            <w:pPr>
              <w:spacing w:line="340" w:lineRule="exact"/>
              <w:ind w:firstLine="0" w:firstLineChars="0"/>
              <w:jc w:val="center"/>
              <w:rPr>
                <w:rFonts w:ascii="宋体" w:hAnsi="宋体" w:cs="宋体"/>
                <w:bCs/>
                <w:color w:val="auto"/>
                <w:sz w:val="21"/>
                <w:szCs w:val="21"/>
                <w:highlight w:val="none"/>
              </w:rPr>
            </w:pPr>
          </w:p>
        </w:tc>
        <w:tc>
          <w:tcPr>
            <w:tcW w:w="865" w:type="dxa"/>
            <w:vMerge w:val="continue"/>
            <w:vAlign w:val="center"/>
          </w:tcPr>
          <w:p w14:paraId="587B24D5">
            <w:pPr>
              <w:spacing w:line="340" w:lineRule="exact"/>
              <w:ind w:firstLine="0" w:firstLineChars="0"/>
              <w:jc w:val="center"/>
              <w:rPr>
                <w:rFonts w:ascii="宋体" w:hAnsi="宋体" w:cs="宋体"/>
                <w:bCs/>
                <w:color w:val="auto"/>
                <w:sz w:val="21"/>
                <w:szCs w:val="21"/>
                <w:highlight w:val="none"/>
              </w:rPr>
            </w:pPr>
          </w:p>
        </w:tc>
        <w:tc>
          <w:tcPr>
            <w:tcW w:w="569" w:type="dxa"/>
            <w:vAlign w:val="center"/>
          </w:tcPr>
          <w:p w14:paraId="0740E343">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15</w:t>
            </w:r>
          </w:p>
        </w:tc>
        <w:tc>
          <w:tcPr>
            <w:tcW w:w="1607" w:type="dxa"/>
            <w:vAlign w:val="center"/>
          </w:tcPr>
          <w:p w14:paraId="5F5B39AF">
            <w:pPr>
              <w:widowControl/>
              <w:spacing w:line="340" w:lineRule="exact"/>
              <w:ind w:firstLine="0" w:firstLineChars="0"/>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砷</w:t>
            </w:r>
          </w:p>
        </w:tc>
        <w:tc>
          <w:tcPr>
            <w:tcW w:w="2843" w:type="dxa"/>
            <w:vAlign w:val="center"/>
          </w:tcPr>
          <w:p w14:paraId="49C0DF31">
            <w:pPr>
              <w:widowControl/>
              <w:spacing w:line="340" w:lineRule="exact"/>
              <w:ind w:firstLine="0" w:firstLineChars="0"/>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LFS-2002(As)</w:t>
            </w:r>
          </w:p>
        </w:tc>
      </w:tr>
      <w:tr w14:paraId="3BE2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restart"/>
            <w:vAlign w:val="center"/>
          </w:tcPr>
          <w:p w14:paraId="1EDBE8DD">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2</w:t>
            </w:r>
          </w:p>
        </w:tc>
        <w:tc>
          <w:tcPr>
            <w:tcW w:w="1220" w:type="dxa"/>
            <w:vMerge w:val="restart"/>
            <w:vAlign w:val="center"/>
          </w:tcPr>
          <w:p w14:paraId="7581334F">
            <w:pPr>
              <w:spacing w:line="340" w:lineRule="exact"/>
              <w:ind w:firstLine="0" w:firstLineChars="0"/>
              <w:jc w:val="center"/>
              <w:rPr>
                <w:rFonts w:ascii="宋体" w:hAnsi="宋体" w:cs="宋体"/>
                <w:bCs/>
                <w:color w:val="auto"/>
                <w:sz w:val="21"/>
                <w:szCs w:val="21"/>
                <w:highlight w:val="none"/>
              </w:rPr>
            </w:pPr>
            <w:r>
              <w:rPr>
                <w:rFonts w:hint="eastAsia" w:ascii="宋体" w:hAnsi="宋体" w:cs="宋体"/>
                <w:color w:val="auto"/>
                <w:kern w:val="0"/>
                <w:sz w:val="21"/>
                <w:szCs w:val="21"/>
                <w:highlight w:val="none"/>
              </w:rPr>
              <w:t>桂林大河环境自动监测站</w:t>
            </w:r>
          </w:p>
        </w:tc>
        <w:tc>
          <w:tcPr>
            <w:tcW w:w="993" w:type="dxa"/>
            <w:vMerge w:val="restart"/>
            <w:vAlign w:val="center"/>
          </w:tcPr>
          <w:p w14:paraId="789A5369">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广西桂林市八里街四路城北水厂内</w:t>
            </w:r>
          </w:p>
        </w:tc>
        <w:tc>
          <w:tcPr>
            <w:tcW w:w="850" w:type="dxa"/>
            <w:vMerge w:val="restart"/>
            <w:vAlign w:val="center"/>
          </w:tcPr>
          <w:p w14:paraId="537ECAC5">
            <w:pPr>
              <w:widowControl/>
              <w:spacing w:line="34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110.32159</w:t>
            </w:r>
          </w:p>
        </w:tc>
        <w:tc>
          <w:tcPr>
            <w:tcW w:w="865" w:type="dxa"/>
            <w:vMerge w:val="restart"/>
            <w:vAlign w:val="center"/>
          </w:tcPr>
          <w:p w14:paraId="4235C97F">
            <w:pPr>
              <w:widowControl/>
              <w:spacing w:line="34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25.34587</w:t>
            </w:r>
          </w:p>
        </w:tc>
        <w:tc>
          <w:tcPr>
            <w:tcW w:w="569" w:type="dxa"/>
            <w:vAlign w:val="center"/>
          </w:tcPr>
          <w:p w14:paraId="247FF67D">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1607" w:type="dxa"/>
            <w:vAlign w:val="center"/>
          </w:tcPr>
          <w:p w14:paraId="5C1FDBB8">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水温</w:t>
            </w:r>
          </w:p>
        </w:tc>
        <w:tc>
          <w:tcPr>
            <w:tcW w:w="2843" w:type="dxa"/>
            <w:vAlign w:val="center"/>
          </w:tcPr>
          <w:p w14:paraId="4D3D1888">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HACH  SC100</w:t>
            </w:r>
          </w:p>
        </w:tc>
      </w:tr>
      <w:tr w14:paraId="6AAE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0AFC9C2F">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18007C16">
            <w:pPr>
              <w:spacing w:line="340" w:lineRule="exact"/>
              <w:ind w:firstLine="0" w:firstLineChars="0"/>
              <w:jc w:val="center"/>
              <w:rPr>
                <w:rFonts w:ascii="宋体" w:hAnsi="宋体" w:cs="宋体"/>
                <w:color w:val="auto"/>
                <w:kern w:val="0"/>
                <w:sz w:val="21"/>
                <w:szCs w:val="21"/>
                <w:highlight w:val="none"/>
              </w:rPr>
            </w:pPr>
          </w:p>
        </w:tc>
        <w:tc>
          <w:tcPr>
            <w:tcW w:w="993" w:type="dxa"/>
            <w:vMerge w:val="continue"/>
            <w:vAlign w:val="center"/>
          </w:tcPr>
          <w:p w14:paraId="65A516A1">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09621900">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1365C7CE">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42AEE328">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2</w:t>
            </w:r>
          </w:p>
        </w:tc>
        <w:tc>
          <w:tcPr>
            <w:tcW w:w="1607" w:type="dxa"/>
            <w:vAlign w:val="center"/>
          </w:tcPr>
          <w:p w14:paraId="4A4D4DA6">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pH</w:t>
            </w:r>
          </w:p>
        </w:tc>
        <w:tc>
          <w:tcPr>
            <w:tcW w:w="2843" w:type="dxa"/>
            <w:vAlign w:val="center"/>
          </w:tcPr>
          <w:p w14:paraId="12A8A429">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HACH  SC100</w:t>
            </w:r>
          </w:p>
        </w:tc>
      </w:tr>
      <w:tr w14:paraId="4089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4323CBCB">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4F4DFAC5">
            <w:pPr>
              <w:spacing w:line="340" w:lineRule="exact"/>
              <w:ind w:firstLine="0" w:firstLineChars="0"/>
              <w:jc w:val="center"/>
              <w:rPr>
                <w:rFonts w:ascii="宋体" w:hAnsi="宋体" w:cs="宋体"/>
                <w:color w:val="auto"/>
                <w:kern w:val="0"/>
                <w:sz w:val="21"/>
                <w:szCs w:val="21"/>
                <w:highlight w:val="none"/>
              </w:rPr>
            </w:pPr>
          </w:p>
        </w:tc>
        <w:tc>
          <w:tcPr>
            <w:tcW w:w="993" w:type="dxa"/>
            <w:vMerge w:val="continue"/>
            <w:vAlign w:val="center"/>
          </w:tcPr>
          <w:p w14:paraId="7D9A311A">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1F5AB4F9">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75DD781D">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4C55F190">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607" w:type="dxa"/>
            <w:vAlign w:val="center"/>
          </w:tcPr>
          <w:p w14:paraId="1820F310">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DO</w:t>
            </w:r>
          </w:p>
        </w:tc>
        <w:tc>
          <w:tcPr>
            <w:tcW w:w="2843" w:type="dxa"/>
            <w:vAlign w:val="center"/>
          </w:tcPr>
          <w:p w14:paraId="431966CF">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HACH  SC100</w:t>
            </w:r>
          </w:p>
        </w:tc>
      </w:tr>
      <w:tr w14:paraId="778E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03FBC578">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6CD32EAF">
            <w:pPr>
              <w:spacing w:line="340" w:lineRule="exact"/>
              <w:ind w:firstLine="0" w:firstLineChars="0"/>
              <w:jc w:val="center"/>
              <w:rPr>
                <w:rFonts w:ascii="宋体" w:hAnsi="宋体" w:cs="宋体"/>
                <w:color w:val="auto"/>
                <w:kern w:val="0"/>
                <w:sz w:val="21"/>
                <w:szCs w:val="21"/>
                <w:highlight w:val="none"/>
              </w:rPr>
            </w:pPr>
          </w:p>
        </w:tc>
        <w:tc>
          <w:tcPr>
            <w:tcW w:w="993" w:type="dxa"/>
            <w:vMerge w:val="continue"/>
            <w:vAlign w:val="center"/>
          </w:tcPr>
          <w:p w14:paraId="7CB2E236">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759D2E85">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2A0E9CBA">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0D9F6184">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1607" w:type="dxa"/>
            <w:vAlign w:val="center"/>
          </w:tcPr>
          <w:p w14:paraId="366CC58B">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电导率</w:t>
            </w:r>
          </w:p>
        </w:tc>
        <w:tc>
          <w:tcPr>
            <w:tcW w:w="2843" w:type="dxa"/>
            <w:vAlign w:val="center"/>
          </w:tcPr>
          <w:p w14:paraId="05E32F01">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HACH  SC100</w:t>
            </w:r>
          </w:p>
        </w:tc>
      </w:tr>
      <w:tr w14:paraId="7A5C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4237993C">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69FE5C26">
            <w:pPr>
              <w:spacing w:line="340" w:lineRule="exact"/>
              <w:ind w:firstLine="0" w:firstLineChars="0"/>
              <w:jc w:val="center"/>
              <w:rPr>
                <w:rFonts w:ascii="宋体" w:hAnsi="宋体" w:cs="宋体"/>
                <w:color w:val="auto"/>
                <w:kern w:val="0"/>
                <w:sz w:val="21"/>
                <w:szCs w:val="21"/>
                <w:highlight w:val="none"/>
              </w:rPr>
            </w:pPr>
          </w:p>
        </w:tc>
        <w:tc>
          <w:tcPr>
            <w:tcW w:w="993" w:type="dxa"/>
            <w:vMerge w:val="continue"/>
            <w:vAlign w:val="center"/>
          </w:tcPr>
          <w:p w14:paraId="5E221756">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5CE62FE8">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05C8C62E">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02677F99">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1607" w:type="dxa"/>
            <w:vAlign w:val="center"/>
          </w:tcPr>
          <w:p w14:paraId="5796BC7D">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浊度</w:t>
            </w:r>
          </w:p>
        </w:tc>
        <w:tc>
          <w:tcPr>
            <w:tcW w:w="2843" w:type="dxa"/>
            <w:vAlign w:val="center"/>
          </w:tcPr>
          <w:p w14:paraId="4CC9F22F">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HACH  SC100</w:t>
            </w:r>
          </w:p>
        </w:tc>
      </w:tr>
      <w:tr w14:paraId="2C4A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57FE9BB6">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5DA86C42">
            <w:pPr>
              <w:spacing w:line="340" w:lineRule="exact"/>
              <w:ind w:firstLine="0" w:firstLineChars="0"/>
              <w:jc w:val="center"/>
              <w:rPr>
                <w:rFonts w:ascii="宋体" w:hAnsi="宋体" w:cs="宋体"/>
                <w:color w:val="auto"/>
                <w:kern w:val="0"/>
                <w:sz w:val="21"/>
                <w:szCs w:val="21"/>
                <w:highlight w:val="none"/>
              </w:rPr>
            </w:pPr>
          </w:p>
        </w:tc>
        <w:tc>
          <w:tcPr>
            <w:tcW w:w="993" w:type="dxa"/>
            <w:vMerge w:val="continue"/>
            <w:vAlign w:val="center"/>
          </w:tcPr>
          <w:p w14:paraId="214E0355">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48E2A82C">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3A5A8716">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3DFD2E6F">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6</w:t>
            </w:r>
          </w:p>
        </w:tc>
        <w:tc>
          <w:tcPr>
            <w:tcW w:w="1607" w:type="dxa"/>
            <w:vAlign w:val="center"/>
          </w:tcPr>
          <w:p w14:paraId="34EB3131">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高锰酸盐指数</w:t>
            </w:r>
          </w:p>
        </w:tc>
        <w:tc>
          <w:tcPr>
            <w:tcW w:w="2843" w:type="dxa"/>
            <w:vAlign w:val="center"/>
          </w:tcPr>
          <w:p w14:paraId="3DCAE89D">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DKK  COD-203</w:t>
            </w:r>
          </w:p>
        </w:tc>
      </w:tr>
      <w:tr w14:paraId="4D06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43B3F3C9">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699C3930">
            <w:pPr>
              <w:spacing w:line="340" w:lineRule="exact"/>
              <w:ind w:firstLine="0" w:firstLineChars="0"/>
              <w:jc w:val="center"/>
              <w:rPr>
                <w:rFonts w:ascii="宋体" w:hAnsi="宋体" w:cs="宋体"/>
                <w:color w:val="auto"/>
                <w:kern w:val="0"/>
                <w:sz w:val="21"/>
                <w:szCs w:val="21"/>
                <w:highlight w:val="none"/>
              </w:rPr>
            </w:pPr>
          </w:p>
        </w:tc>
        <w:tc>
          <w:tcPr>
            <w:tcW w:w="993" w:type="dxa"/>
            <w:vMerge w:val="continue"/>
            <w:vAlign w:val="center"/>
          </w:tcPr>
          <w:p w14:paraId="294AD81B">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37514C57">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44EA78DA">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722B1577">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7</w:t>
            </w:r>
          </w:p>
        </w:tc>
        <w:tc>
          <w:tcPr>
            <w:tcW w:w="1607" w:type="dxa"/>
            <w:vAlign w:val="center"/>
          </w:tcPr>
          <w:p w14:paraId="79E36100">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氨氮</w:t>
            </w:r>
          </w:p>
        </w:tc>
        <w:tc>
          <w:tcPr>
            <w:tcW w:w="2843" w:type="dxa"/>
            <w:vAlign w:val="center"/>
          </w:tcPr>
          <w:p w14:paraId="230D370F">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Amtax   SC</w:t>
            </w:r>
          </w:p>
        </w:tc>
      </w:tr>
      <w:tr w14:paraId="6187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7CA9F389">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1EF0C6E2">
            <w:pPr>
              <w:spacing w:line="340" w:lineRule="exact"/>
              <w:ind w:firstLine="0" w:firstLineChars="0"/>
              <w:jc w:val="center"/>
              <w:rPr>
                <w:rFonts w:ascii="宋体" w:hAnsi="宋体" w:cs="宋体"/>
                <w:color w:val="auto"/>
                <w:kern w:val="0"/>
                <w:sz w:val="21"/>
                <w:szCs w:val="21"/>
                <w:highlight w:val="none"/>
              </w:rPr>
            </w:pPr>
          </w:p>
        </w:tc>
        <w:tc>
          <w:tcPr>
            <w:tcW w:w="993" w:type="dxa"/>
            <w:vMerge w:val="continue"/>
            <w:vAlign w:val="center"/>
          </w:tcPr>
          <w:p w14:paraId="160A862D">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2CCA170F">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5FE36274">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3144EB56">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8</w:t>
            </w:r>
          </w:p>
        </w:tc>
        <w:tc>
          <w:tcPr>
            <w:tcW w:w="1607" w:type="dxa"/>
            <w:vAlign w:val="center"/>
          </w:tcPr>
          <w:p w14:paraId="3C050B00">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锌</w:t>
            </w:r>
          </w:p>
        </w:tc>
        <w:tc>
          <w:tcPr>
            <w:tcW w:w="2843" w:type="dxa"/>
            <w:vMerge w:val="restart"/>
            <w:vAlign w:val="center"/>
          </w:tcPr>
          <w:p w14:paraId="2883C0CA">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LFEC-2006(Cd)(Pb)(Zn)(Cu)</w:t>
            </w:r>
          </w:p>
        </w:tc>
      </w:tr>
      <w:tr w14:paraId="6AD0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318EC1C8">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4CACDEB6">
            <w:pPr>
              <w:spacing w:line="340" w:lineRule="exact"/>
              <w:ind w:firstLine="0" w:firstLineChars="0"/>
              <w:jc w:val="center"/>
              <w:rPr>
                <w:rFonts w:ascii="宋体" w:hAnsi="宋体" w:cs="宋体"/>
                <w:color w:val="auto"/>
                <w:kern w:val="0"/>
                <w:sz w:val="21"/>
                <w:szCs w:val="21"/>
                <w:highlight w:val="none"/>
              </w:rPr>
            </w:pPr>
          </w:p>
        </w:tc>
        <w:tc>
          <w:tcPr>
            <w:tcW w:w="993" w:type="dxa"/>
            <w:vMerge w:val="continue"/>
            <w:vAlign w:val="center"/>
          </w:tcPr>
          <w:p w14:paraId="1EE8C9C8">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6391B314">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678FF3A9">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18837BBB">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9</w:t>
            </w:r>
          </w:p>
        </w:tc>
        <w:tc>
          <w:tcPr>
            <w:tcW w:w="1607" w:type="dxa"/>
            <w:vAlign w:val="center"/>
          </w:tcPr>
          <w:p w14:paraId="072E668A">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镉</w:t>
            </w:r>
          </w:p>
        </w:tc>
        <w:tc>
          <w:tcPr>
            <w:tcW w:w="2843" w:type="dxa"/>
            <w:vMerge w:val="continue"/>
            <w:vAlign w:val="center"/>
          </w:tcPr>
          <w:p w14:paraId="1A20790D">
            <w:pPr>
              <w:spacing w:line="340" w:lineRule="exact"/>
              <w:ind w:firstLine="0" w:firstLineChars="0"/>
              <w:jc w:val="center"/>
              <w:rPr>
                <w:rFonts w:ascii="宋体" w:hAnsi="宋体" w:cs="宋体"/>
                <w:bCs/>
                <w:color w:val="auto"/>
                <w:sz w:val="21"/>
                <w:szCs w:val="21"/>
                <w:highlight w:val="none"/>
              </w:rPr>
            </w:pPr>
          </w:p>
        </w:tc>
      </w:tr>
      <w:tr w14:paraId="2B1E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51" w:type="dxa"/>
            <w:vMerge w:val="continue"/>
            <w:vAlign w:val="center"/>
          </w:tcPr>
          <w:p w14:paraId="63BE7894">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1D24C346">
            <w:pPr>
              <w:spacing w:line="340" w:lineRule="exact"/>
              <w:ind w:firstLine="0" w:firstLineChars="0"/>
              <w:jc w:val="center"/>
              <w:rPr>
                <w:rFonts w:ascii="宋体" w:hAnsi="宋体" w:cs="宋体"/>
                <w:color w:val="auto"/>
                <w:kern w:val="0"/>
                <w:sz w:val="21"/>
                <w:szCs w:val="21"/>
                <w:highlight w:val="none"/>
              </w:rPr>
            </w:pPr>
          </w:p>
        </w:tc>
        <w:tc>
          <w:tcPr>
            <w:tcW w:w="993" w:type="dxa"/>
            <w:vMerge w:val="continue"/>
            <w:vAlign w:val="center"/>
          </w:tcPr>
          <w:p w14:paraId="2664116C">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67FD3087">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773B9224">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43626CE2">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10</w:t>
            </w:r>
          </w:p>
        </w:tc>
        <w:tc>
          <w:tcPr>
            <w:tcW w:w="1607" w:type="dxa"/>
            <w:vAlign w:val="center"/>
          </w:tcPr>
          <w:p w14:paraId="31F7F30B">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铅</w:t>
            </w:r>
          </w:p>
        </w:tc>
        <w:tc>
          <w:tcPr>
            <w:tcW w:w="2843" w:type="dxa"/>
            <w:vMerge w:val="continue"/>
            <w:vAlign w:val="center"/>
          </w:tcPr>
          <w:p w14:paraId="1033B7C7">
            <w:pPr>
              <w:spacing w:line="340" w:lineRule="exact"/>
              <w:ind w:firstLine="0" w:firstLineChars="0"/>
              <w:jc w:val="center"/>
              <w:rPr>
                <w:rFonts w:ascii="宋体" w:hAnsi="宋体" w:cs="宋体"/>
                <w:bCs/>
                <w:color w:val="auto"/>
                <w:sz w:val="21"/>
                <w:szCs w:val="21"/>
                <w:highlight w:val="none"/>
              </w:rPr>
            </w:pPr>
          </w:p>
        </w:tc>
      </w:tr>
      <w:tr w14:paraId="7A28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3AA884E0">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6DFE5505">
            <w:pPr>
              <w:spacing w:line="340" w:lineRule="exact"/>
              <w:ind w:firstLine="0" w:firstLineChars="0"/>
              <w:jc w:val="center"/>
              <w:rPr>
                <w:rFonts w:ascii="宋体" w:hAnsi="宋体" w:cs="宋体"/>
                <w:color w:val="auto"/>
                <w:kern w:val="0"/>
                <w:sz w:val="21"/>
                <w:szCs w:val="21"/>
                <w:highlight w:val="none"/>
              </w:rPr>
            </w:pPr>
          </w:p>
        </w:tc>
        <w:tc>
          <w:tcPr>
            <w:tcW w:w="993" w:type="dxa"/>
            <w:vMerge w:val="continue"/>
            <w:vAlign w:val="center"/>
          </w:tcPr>
          <w:p w14:paraId="5110A43D">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0679A915">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045833D8">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46C99533">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11</w:t>
            </w:r>
          </w:p>
        </w:tc>
        <w:tc>
          <w:tcPr>
            <w:tcW w:w="1607" w:type="dxa"/>
            <w:vAlign w:val="center"/>
          </w:tcPr>
          <w:p w14:paraId="3E6D940D">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铜</w:t>
            </w:r>
          </w:p>
        </w:tc>
        <w:tc>
          <w:tcPr>
            <w:tcW w:w="2843" w:type="dxa"/>
            <w:vMerge w:val="continue"/>
            <w:vAlign w:val="center"/>
          </w:tcPr>
          <w:p w14:paraId="0CD59E5A">
            <w:pPr>
              <w:spacing w:line="340" w:lineRule="exact"/>
              <w:ind w:firstLine="0" w:firstLineChars="0"/>
              <w:jc w:val="center"/>
              <w:rPr>
                <w:rFonts w:ascii="宋体" w:hAnsi="宋体" w:cs="宋体"/>
                <w:bCs/>
                <w:color w:val="auto"/>
                <w:sz w:val="21"/>
                <w:szCs w:val="21"/>
                <w:highlight w:val="none"/>
              </w:rPr>
            </w:pPr>
          </w:p>
        </w:tc>
      </w:tr>
      <w:tr w14:paraId="688E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034979D3">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34D333CC">
            <w:pPr>
              <w:spacing w:line="340" w:lineRule="exact"/>
              <w:ind w:firstLine="0" w:firstLineChars="0"/>
              <w:jc w:val="center"/>
              <w:rPr>
                <w:rFonts w:ascii="宋体" w:hAnsi="宋体" w:cs="宋体"/>
                <w:color w:val="auto"/>
                <w:kern w:val="0"/>
                <w:sz w:val="21"/>
                <w:szCs w:val="21"/>
                <w:highlight w:val="none"/>
              </w:rPr>
            </w:pPr>
          </w:p>
        </w:tc>
        <w:tc>
          <w:tcPr>
            <w:tcW w:w="993" w:type="dxa"/>
            <w:vMerge w:val="continue"/>
            <w:vAlign w:val="center"/>
          </w:tcPr>
          <w:p w14:paraId="2576F008">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5EE321FF">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4A9C0B3A">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5F6796DF">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12</w:t>
            </w:r>
          </w:p>
        </w:tc>
        <w:tc>
          <w:tcPr>
            <w:tcW w:w="1607" w:type="dxa"/>
            <w:vAlign w:val="center"/>
          </w:tcPr>
          <w:p w14:paraId="2413CAF2">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汞</w:t>
            </w:r>
          </w:p>
        </w:tc>
        <w:tc>
          <w:tcPr>
            <w:tcW w:w="2843" w:type="dxa"/>
            <w:vAlign w:val="center"/>
          </w:tcPr>
          <w:p w14:paraId="265D68E7">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LFS-2002(Hg)</w:t>
            </w:r>
          </w:p>
        </w:tc>
      </w:tr>
      <w:tr w14:paraId="76AB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30AA2FC2">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0BF6F488">
            <w:pPr>
              <w:spacing w:line="340" w:lineRule="exact"/>
              <w:ind w:firstLine="0" w:firstLineChars="0"/>
              <w:jc w:val="center"/>
              <w:rPr>
                <w:rFonts w:ascii="宋体" w:hAnsi="宋体" w:cs="宋体"/>
                <w:color w:val="auto"/>
                <w:kern w:val="0"/>
                <w:sz w:val="21"/>
                <w:szCs w:val="21"/>
                <w:highlight w:val="none"/>
              </w:rPr>
            </w:pPr>
          </w:p>
        </w:tc>
        <w:tc>
          <w:tcPr>
            <w:tcW w:w="993" w:type="dxa"/>
            <w:vMerge w:val="continue"/>
            <w:vAlign w:val="center"/>
          </w:tcPr>
          <w:p w14:paraId="1C0FAAB9">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20154038">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6A4D62FB">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35DB31B1">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w:t>
            </w:r>
          </w:p>
        </w:tc>
        <w:tc>
          <w:tcPr>
            <w:tcW w:w="1607" w:type="dxa"/>
            <w:vAlign w:val="center"/>
          </w:tcPr>
          <w:p w14:paraId="350E2C77">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砷</w:t>
            </w:r>
          </w:p>
        </w:tc>
        <w:tc>
          <w:tcPr>
            <w:tcW w:w="2843" w:type="dxa"/>
            <w:vAlign w:val="center"/>
          </w:tcPr>
          <w:p w14:paraId="7BCCB0E9">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LFS-2002(As)</w:t>
            </w:r>
          </w:p>
        </w:tc>
      </w:tr>
      <w:tr w14:paraId="2828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39B56B7B">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7FE912D7">
            <w:pPr>
              <w:spacing w:line="340" w:lineRule="exact"/>
              <w:ind w:firstLine="0" w:firstLineChars="0"/>
              <w:jc w:val="center"/>
              <w:rPr>
                <w:rFonts w:ascii="宋体" w:hAnsi="宋体" w:cs="宋体"/>
                <w:color w:val="auto"/>
                <w:kern w:val="0"/>
                <w:sz w:val="21"/>
                <w:szCs w:val="21"/>
                <w:highlight w:val="none"/>
              </w:rPr>
            </w:pPr>
          </w:p>
        </w:tc>
        <w:tc>
          <w:tcPr>
            <w:tcW w:w="993" w:type="dxa"/>
            <w:vMerge w:val="continue"/>
            <w:vAlign w:val="center"/>
          </w:tcPr>
          <w:p w14:paraId="2B84B50C">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1D22596A">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49CCF8FF">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57791F09">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w:t>
            </w:r>
          </w:p>
        </w:tc>
        <w:tc>
          <w:tcPr>
            <w:tcW w:w="1607" w:type="dxa"/>
            <w:vAlign w:val="center"/>
          </w:tcPr>
          <w:p w14:paraId="5CA87249">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六价铬</w:t>
            </w:r>
          </w:p>
        </w:tc>
        <w:tc>
          <w:tcPr>
            <w:tcW w:w="2843" w:type="dxa"/>
            <w:vAlign w:val="center"/>
          </w:tcPr>
          <w:p w14:paraId="45354870">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LFS-2002(Cr)</w:t>
            </w:r>
          </w:p>
        </w:tc>
      </w:tr>
      <w:tr w14:paraId="248D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429D6FCE">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2CD717BD">
            <w:pPr>
              <w:spacing w:line="340" w:lineRule="exact"/>
              <w:ind w:firstLine="0" w:firstLineChars="0"/>
              <w:jc w:val="center"/>
              <w:rPr>
                <w:rFonts w:ascii="宋体" w:hAnsi="宋体" w:cs="宋体"/>
                <w:color w:val="auto"/>
                <w:kern w:val="0"/>
                <w:sz w:val="21"/>
                <w:szCs w:val="21"/>
                <w:highlight w:val="none"/>
              </w:rPr>
            </w:pPr>
          </w:p>
        </w:tc>
        <w:tc>
          <w:tcPr>
            <w:tcW w:w="993" w:type="dxa"/>
            <w:vMerge w:val="continue"/>
            <w:vAlign w:val="center"/>
          </w:tcPr>
          <w:p w14:paraId="52B688B2">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3FA7091A">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06150EA1">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70DEE457">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15</w:t>
            </w:r>
          </w:p>
        </w:tc>
        <w:tc>
          <w:tcPr>
            <w:tcW w:w="1607" w:type="dxa"/>
            <w:vAlign w:val="center"/>
          </w:tcPr>
          <w:p w14:paraId="31EAE41A">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锰</w:t>
            </w:r>
          </w:p>
        </w:tc>
        <w:tc>
          <w:tcPr>
            <w:tcW w:w="2843" w:type="dxa"/>
            <w:vAlign w:val="center"/>
          </w:tcPr>
          <w:p w14:paraId="1B3D9516">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LFS-2002(TMn)</w:t>
            </w:r>
          </w:p>
        </w:tc>
      </w:tr>
      <w:tr w14:paraId="4ADE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55FB0391">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19C4A8E5">
            <w:pPr>
              <w:spacing w:line="340" w:lineRule="exact"/>
              <w:ind w:firstLine="0" w:firstLineChars="0"/>
              <w:jc w:val="center"/>
              <w:rPr>
                <w:rFonts w:ascii="宋体" w:hAnsi="宋体" w:cs="宋体"/>
                <w:color w:val="auto"/>
                <w:kern w:val="0"/>
                <w:sz w:val="21"/>
                <w:szCs w:val="21"/>
                <w:highlight w:val="none"/>
              </w:rPr>
            </w:pPr>
          </w:p>
        </w:tc>
        <w:tc>
          <w:tcPr>
            <w:tcW w:w="993" w:type="dxa"/>
            <w:vMerge w:val="continue"/>
            <w:vAlign w:val="center"/>
          </w:tcPr>
          <w:p w14:paraId="28901D27">
            <w:pPr>
              <w:spacing w:line="340" w:lineRule="exact"/>
              <w:ind w:firstLine="0" w:firstLineChars="0"/>
              <w:jc w:val="center"/>
              <w:rPr>
                <w:rFonts w:ascii="宋体" w:hAnsi="宋体" w:cs="宋体"/>
                <w:bCs/>
                <w:color w:val="auto"/>
                <w:sz w:val="21"/>
                <w:szCs w:val="21"/>
                <w:highlight w:val="none"/>
              </w:rPr>
            </w:pPr>
          </w:p>
        </w:tc>
        <w:tc>
          <w:tcPr>
            <w:tcW w:w="850" w:type="dxa"/>
            <w:vMerge w:val="continue"/>
            <w:vAlign w:val="center"/>
          </w:tcPr>
          <w:p w14:paraId="3BBB3158">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1760BE16">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7568FF8C">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16</w:t>
            </w:r>
          </w:p>
        </w:tc>
        <w:tc>
          <w:tcPr>
            <w:tcW w:w="1607" w:type="dxa"/>
            <w:vAlign w:val="center"/>
          </w:tcPr>
          <w:p w14:paraId="5820887B">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水质综合毒性</w:t>
            </w:r>
          </w:p>
        </w:tc>
        <w:tc>
          <w:tcPr>
            <w:tcW w:w="2843" w:type="dxa"/>
            <w:vAlign w:val="center"/>
          </w:tcPr>
          <w:p w14:paraId="7320C2CD">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MODEL9880</w:t>
            </w:r>
          </w:p>
        </w:tc>
      </w:tr>
      <w:tr w14:paraId="4721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restart"/>
            <w:vAlign w:val="center"/>
          </w:tcPr>
          <w:p w14:paraId="49E9018E">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220" w:type="dxa"/>
            <w:vMerge w:val="restart"/>
            <w:vAlign w:val="center"/>
          </w:tcPr>
          <w:p w14:paraId="0AED8F70">
            <w:pPr>
              <w:widowControl/>
              <w:spacing w:line="34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漓江双潭村站</w:t>
            </w:r>
          </w:p>
        </w:tc>
        <w:tc>
          <w:tcPr>
            <w:tcW w:w="993" w:type="dxa"/>
            <w:vMerge w:val="restart"/>
            <w:vAlign w:val="center"/>
          </w:tcPr>
          <w:p w14:paraId="56A46FE9">
            <w:pPr>
              <w:widowControl/>
              <w:spacing w:line="34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桂林市灵川县灵川镇双潭村</w:t>
            </w:r>
          </w:p>
        </w:tc>
        <w:tc>
          <w:tcPr>
            <w:tcW w:w="850" w:type="dxa"/>
            <w:vMerge w:val="restart"/>
            <w:vAlign w:val="center"/>
          </w:tcPr>
          <w:p w14:paraId="7D662EA2">
            <w:pPr>
              <w:widowControl/>
              <w:spacing w:line="34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110.36806 </w:t>
            </w:r>
          </w:p>
        </w:tc>
        <w:tc>
          <w:tcPr>
            <w:tcW w:w="865" w:type="dxa"/>
            <w:vMerge w:val="restart"/>
            <w:vAlign w:val="center"/>
          </w:tcPr>
          <w:p w14:paraId="5417F9C2">
            <w:pPr>
              <w:widowControl/>
              <w:spacing w:line="34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25.38056 </w:t>
            </w:r>
          </w:p>
        </w:tc>
        <w:tc>
          <w:tcPr>
            <w:tcW w:w="569" w:type="dxa"/>
            <w:vAlign w:val="center"/>
          </w:tcPr>
          <w:p w14:paraId="36D55986">
            <w:pPr>
              <w:widowControl/>
              <w:spacing w:line="34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1607" w:type="dxa"/>
            <w:vAlign w:val="center"/>
          </w:tcPr>
          <w:p w14:paraId="31D83F8C">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氨氮</w:t>
            </w:r>
          </w:p>
        </w:tc>
        <w:tc>
          <w:tcPr>
            <w:tcW w:w="2843" w:type="dxa"/>
            <w:vAlign w:val="center"/>
          </w:tcPr>
          <w:p w14:paraId="500ABDD8">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赛莱默/WTW Trescon/德国WTW</w:t>
            </w:r>
          </w:p>
        </w:tc>
      </w:tr>
      <w:tr w14:paraId="6287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77F8DA73">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20E15ABA">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0062493F">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55A0A7CA">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0F51C92D">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4F9F8E93">
            <w:pPr>
              <w:widowControl/>
              <w:spacing w:line="34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c>
          <w:tcPr>
            <w:tcW w:w="1607" w:type="dxa"/>
            <w:vAlign w:val="center"/>
          </w:tcPr>
          <w:p w14:paraId="372D8554">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高锰酸盐指数</w:t>
            </w:r>
          </w:p>
        </w:tc>
        <w:tc>
          <w:tcPr>
            <w:tcW w:w="2843" w:type="dxa"/>
            <w:vAlign w:val="center"/>
          </w:tcPr>
          <w:p w14:paraId="6860BEE1">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SINOEPA/SERES 2000CODmn/四川久环</w:t>
            </w:r>
          </w:p>
        </w:tc>
      </w:tr>
      <w:tr w14:paraId="5145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0B5DE5EF">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2C4AC3B0">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4B4203D0">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3E992A57">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14FA150A">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5905D468">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607" w:type="dxa"/>
            <w:vAlign w:val="center"/>
          </w:tcPr>
          <w:p w14:paraId="4FB28753">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温度</w:t>
            </w:r>
          </w:p>
        </w:tc>
        <w:tc>
          <w:tcPr>
            <w:tcW w:w="2843" w:type="dxa"/>
            <w:vMerge w:val="restart"/>
            <w:vAlign w:val="center"/>
          </w:tcPr>
          <w:p w14:paraId="0EFE6A6D">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赛莱默/YSI EXO2/美国YSI</w:t>
            </w:r>
          </w:p>
        </w:tc>
      </w:tr>
      <w:tr w14:paraId="005E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72711B08">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7826EE8D">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089A7FC0">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2A23AB37">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356C14E1">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0E69C28D">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1607" w:type="dxa"/>
            <w:vAlign w:val="center"/>
          </w:tcPr>
          <w:p w14:paraId="0A59414A">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pH</w:t>
            </w:r>
          </w:p>
        </w:tc>
        <w:tc>
          <w:tcPr>
            <w:tcW w:w="2843" w:type="dxa"/>
            <w:vMerge w:val="continue"/>
            <w:vAlign w:val="center"/>
          </w:tcPr>
          <w:p w14:paraId="1D2A71DA">
            <w:pPr>
              <w:spacing w:line="340" w:lineRule="exact"/>
              <w:ind w:firstLine="0" w:firstLineChars="0"/>
              <w:jc w:val="center"/>
              <w:rPr>
                <w:rFonts w:ascii="宋体" w:hAnsi="宋体" w:cs="宋体"/>
                <w:bCs/>
                <w:color w:val="auto"/>
                <w:sz w:val="21"/>
                <w:szCs w:val="21"/>
                <w:highlight w:val="none"/>
              </w:rPr>
            </w:pPr>
          </w:p>
        </w:tc>
      </w:tr>
      <w:tr w14:paraId="7568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429488CD">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5750FCC9">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58FE8ADA">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3821B340">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7FE660DC">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441EC41E">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1607" w:type="dxa"/>
            <w:vAlign w:val="center"/>
          </w:tcPr>
          <w:p w14:paraId="6B5697D3">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溶解氧</w:t>
            </w:r>
          </w:p>
        </w:tc>
        <w:tc>
          <w:tcPr>
            <w:tcW w:w="2843" w:type="dxa"/>
            <w:vMerge w:val="continue"/>
            <w:vAlign w:val="center"/>
          </w:tcPr>
          <w:p w14:paraId="740B6D30">
            <w:pPr>
              <w:spacing w:line="340" w:lineRule="exact"/>
              <w:ind w:firstLine="0" w:firstLineChars="0"/>
              <w:jc w:val="center"/>
              <w:rPr>
                <w:rFonts w:ascii="宋体" w:hAnsi="宋体" w:cs="宋体"/>
                <w:bCs/>
                <w:color w:val="auto"/>
                <w:sz w:val="21"/>
                <w:szCs w:val="21"/>
                <w:highlight w:val="none"/>
              </w:rPr>
            </w:pPr>
          </w:p>
        </w:tc>
      </w:tr>
      <w:tr w14:paraId="1DD0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50BCC11E">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74497656">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414DA44C">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5AA4D68B">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00C771A9">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7E6007BA">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6</w:t>
            </w:r>
          </w:p>
        </w:tc>
        <w:tc>
          <w:tcPr>
            <w:tcW w:w="1607" w:type="dxa"/>
            <w:vAlign w:val="center"/>
          </w:tcPr>
          <w:p w14:paraId="451578A3">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电导率</w:t>
            </w:r>
          </w:p>
        </w:tc>
        <w:tc>
          <w:tcPr>
            <w:tcW w:w="2843" w:type="dxa"/>
            <w:vMerge w:val="continue"/>
            <w:vAlign w:val="center"/>
          </w:tcPr>
          <w:p w14:paraId="63C1D337">
            <w:pPr>
              <w:spacing w:line="340" w:lineRule="exact"/>
              <w:ind w:firstLine="0" w:firstLineChars="0"/>
              <w:jc w:val="center"/>
              <w:rPr>
                <w:rFonts w:ascii="宋体" w:hAnsi="宋体" w:cs="宋体"/>
                <w:bCs/>
                <w:color w:val="auto"/>
                <w:sz w:val="21"/>
                <w:szCs w:val="21"/>
                <w:highlight w:val="none"/>
              </w:rPr>
            </w:pPr>
          </w:p>
        </w:tc>
      </w:tr>
      <w:tr w14:paraId="04AA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6CB6AA24">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36AA06D6">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33D51EFA">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1212317E">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5F016BFD">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5498B21C">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7</w:t>
            </w:r>
          </w:p>
        </w:tc>
        <w:tc>
          <w:tcPr>
            <w:tcW w:w="1607" w:type="dxa"/>
            <w:vAlign w:val="center"/>
          </w:tcPr>
          <w:p w14:paraId="00F5B6EA">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浊度</w:t>
            </w:r>
          </w:p>
        </w:tc>
        <w:tc>
          <w:tcPr>
            <w:tcW w:w="2843" w:type="dxa"/>
            <w:vMerge w:val="continue"/>
            <w:vAlign w:val="center"/>
          </w:tcPr>
          <w:p w14:paraId="6D76E135">
            <w:pPr>
              <w:spacing w:line="340" w:lineRule="exact"/>
              <w:ind w:firstLine="0" w:firstLineChars="0"/>
              <w:jc w:val="center"/>
              <w:rPr>
                <w:rFonts w:ascii="宋体" w:hAnsi="宋体" w:cs="宋体"/>
                <w:bCs/>
                <w:color w:val="auto"/>
                <w:sz w:val="21"/>
                <w:szCs w:val="21"/>
                <w:highlight w:val="none"/>
              </w:rPr>
            </w:pPr>
          </w:p>
        </w:tc>
      </w:tr>
      <w:tr w14:paraId="5EDA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2138EFB5">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2050C088">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54F6E9B6">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1F70CFD3">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45E189EC">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78750C61">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8</w:t>
            </w:r>
          </w:p>
        </w:tc>
        <w:tc>
          <w:tcPr>
            <w:tcW w:w="1607" w:type="dxa"/>
            <w:vAlign w:val="center"/>
          </w:tcPr>
          <w:p w14:paraId="3D68E9C9">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叶绿素α</w:t>
            </w:r>
          </w:p>
        </w:tc>
        <w:tc>
          <w:tcPr>
            <w:tcW w:w="2843" w:type="dxa"/>
            <w:vMerge w:val="continue"/>
            <w:vAlign w:val="center"/>
          </w:tcPr>
          <w:p w14:paraId="7CDDAA4B">
            <w:pPr>
              <w:spacing w:line="340" w:lineRule="exact"/>
              <w:ind w:firstLine="0" w:firstLineChars="0"/>
              <w:jc w:val="center"/>
              <w:rPr>
                <w:rFonts w:ascii="宋体" w:hAnsi="宋体" w:cs="宋体"/>
                <w:bCs/>
                <w:color w:val="auto"/>
                <w:sz w:val="21"/>
                <w:szCs w:val="21"/>
                <w:highlight w:val="none"/>
              </w:rPr>
            </w:pPr>
          </w:p>
        </w:tc>
      </w:tr>
      <w:tr w14:paraId="22B2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122D9476">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79A5328E">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51915A8F">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504C0C38">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107DAC3E">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40458F94">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9</w:t>
            </w:r>
          </w:p>
        </w:tc>
        <w:tc>
          <w:tcPr>
            <w:tcW w:w="1607" w:type="dxa"/>
            <w:vAlign w:val="center"/>
          </w:tcPr>
          <w:p w14:paraId="47A1FE6D">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蓝绿藻</w:t>
            </w:r>
          </w:p>
        </w:tc>
        <w:tc>
          <w:tcPr>
            <w:tcW w:w="2843" w:type="dxa"/>
            <w:vMerge w:val="continue"/>
            <w:vAlign w:val="center"/>
          </w:tcPr>
          <w:p w14:paraId="2CAA7763">
            <w:pPr>
              <w:spacing w:line="340" w:lineRule="exact"/>
              <w:ind w:firstLine="0" w:firstLineChars="0"/>
              <w:jc w:val="center"/>
              <w:rPr>
                <w:rFonts w:ascii="宋体" w:hAnsi="宋体" w:cs="宋体"/>
                <w:bCs/>
                <w:color w:val="auto"/>
                <w:sz w:val="21"/>
                <w:szCs w:val="21"/>
                <w:highlight w:val="none"/>
              </w:rPr>
            </w:pPr>
          </w:p>
        </w:tc>
      </w:tr>
      <w:tr w14:paraId="002E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51" w:type="dxa"/>
            <w:vMerge w:val="continue"/>
            <w:vAlign w:val="center"/>
          </w:tcPr>
          <w:p w14:paraId="421532F8">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42512C0F">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3F141EBB">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01EBB944">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4B2F0433">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65C0EF98">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10</w:t>
            </w:r>
          </w:p>
        </w:tc>
        <w:tc>
          <w:tcPr>
            <w:tcW w:w="1607" w:type="dxa"/>
            <w:vAlign w:val="center"/>
          </w:tcPr>
          <w:p w14:paraId="35B48D9C">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锰</w:t>
            </w:r>
          </w:p>
        </w:tc>
        <w:tc>
          <w:tcPr>
            <w:tcW w:w="2843" w:type="dxa"/>
            <w:vAlign w:val="center"/>
          </w:tcPr>
          <w:p w14:paraId="6AA96905">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AppliTek/EnviroLyzer-Mn2+</w:t>
            </w:r>
          </w:p>
        </w:tc>
      </w:tr>
      <w:tr w14:paraId="0F0C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1E630D0A">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58F7F8C6">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3C0F9860">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3D55698D">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10BF156D">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0DA5A9DA">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11</w:t>
            </w:r>
          </w:p>
        </w:tc>
        <w:tc>
          <w:tcPr>
            <w:tcW w:w="1607" w:type="dxa"/>
            <w:vAlign w:val="center"/>
          </w:tcPr>
          <w:p w14:paraId="2771CCF7">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铜</w:t>
            </w:r>
          </w:p>
        </w:tc>
        <w:tc>
          <w:tcPr>
            <w:tcW w:w="2843" w:type="dxa"/>
            <w:vMerge w:val="restart"/>
            <w:vAlign w:val="center"/>
          </w:tcPr>
          <w:p w14:paraId="53D0DF1E">
            <w:pPr>
              <w:spacing w:line="340" w:lineRule="exact"/>
              <w:ind w:firstLine="0" w:firstLineChars="0"/>
              <w:jc w:val="center"/>
              <w:rPr>
                <w:rFonts w:ascii="宋体" w:hAnsi="宋体" w:cs="宋体"/>
                <w:bCs/>
                <w:color w:val="auto"/>
                <w:sz w:val="21"/>
                <w:szCs w:val="21"/>
                <w:highlight w:val="none"/>
              </w:rPr>
            </w:pPr>
            <w:r>
              <w:rPr>
                <w:rFonts w:hint="eastAsia" w:ascii="宋体" w:hAnsi="宋体" w:cs="宋体"/>
                <w:color w:val="auto"/>
                <w:kern w:val="0"/>
                <w:sz w:val="21"/>
                <w:szCs w:val="21"/>
                <w:highlight w:val="none"/>
              </w:rPr>
              <w:t>AppliTek/AppliTrace®/比利时AppliTek</w:t>
            </w:r>
          </w:p>
        </w:tc>
      </w:tr>
      <w:tr w14:paraId="1436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6BFF471A">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3B5793E0">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29D0D3B7">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4B56D711">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5D857ADF">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64C792BA">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12</w:t>
            </w:r>
          </w:p>
        </w:tc>
        <w:tc>
          <w:tcPr>
            <w:tcW w:w="1607" w:type="dxa"/>
            <w:vAlign w:val="center"/>
          </w:tcPr>
          <w:p w14:paraId="5754E1FB">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铅</w:t>
            </w:r>
          </w:p>
        </w:tc>
        <w:tc>
          <w:tcPr>
            <w:tcW w:w="2843" w:type="dxa"/>
            <w:vMerge w:val="continue"/>
            <w:vAlign w:val="center"/>
          </w:tcPr>
          <w:p w14:paraId="6E6E300D">
            <w:pPr>
              <w:spacing w:line="340" w:lineRule="exact"/>
              <w:ind w:firstLine="0" w:firstLineChars="0"/>
              <w:jc w:val="center"/>
              <w:rPr>
                <w:rFonts w:ascii="宋体" w:hAnsi="宋体" w:cs="宋体"/>
                <w:bCs/>
                <w:color w:val="auto"/>
                <w:sz w:val="21"/>
                <w:szCs w:val="21"/>
                <w:highlight w:val="none"/>
              </w:rPr>
            </w:pPr>
          </w:p>
        </w:tc>
      </w:tr>
      <w:tr w14:paraId="5184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00A9E775">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112134D8">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41F504EE">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6FCB0838">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5B074820">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4166D029">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w:t>
            </w:r>
          </w:p>
        </w:tc>
        <w:tc>
          <w:tcPr>
            <w:tcW w:w="1607" w:type="dxa"/>
            <w:vAlign w:val="center"/>
          </w:tcPr>
          <w:p w14:paraId="204C9B40">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锌</w:t>
            </w:r>
          </w:p>
        </w:tc>
        <w:tc>
          <w:tcPr>
            <w:tcW w:w="2843" w:type="dxa"/>
            <w:vMerge w:val="continue"/>
            <w:vAlign w:val="center"/>
          </w:tcPr>
          <w:p w14:paraId="35EC9E5F">
            <w:pPr>
              <w:spacing w:line="340" w:lineRule="exact"/>
              <w:ind w:firstLine="0" w:firstLineChars="0"/>
              <w:jc w:val="center"/>
              <w:rPr>
                <w:rFonts w:ascii="宋体" w:hAnsi="宋体" w:cs="宋体"/>
                <w:bCs/>
                <w:color w:val="auto"/>
                <w:sz w:val="21"/>
                <w:szCs w:val="21"/>
                <w:highlight w:val="none"/>
              </w:rPr>
            </w:pPr>
          </w:p>
        </w:tc>
      </w:tr>
      <w:tr w14:paraId="1A80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62EB3722">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74AEF8CD">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778BCE6D">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497B1279">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118094EF">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0CDE5AA9">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w:t>
            </w:r>
          </w:p>
        </w:tc>
        <w:tc>
          <w:tcPr>
            <w:tcW w:w="1607" w:type="dxa"/>
            <w:vAlign w:val="center"/>
          </w:tcPr>
          <w:p w14:paraId="4948C3F6">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镉</w:t>
            </w:r>
          </w:p>
        </w:tc>
        <w:tc>
          <w:tcPr>
            <w:tcW w:w="2843" w:type="dxa"/>
            <w:vMerge w:val="continue"/>
            <w:vAlign w:val="center"/>
          </w:tcPr>
          <w:p w14:paraId="0792818C">
            <w:pPr>
              <w:spacing w:line="340" w:lineRule="exact"/>
              <w:ind w:firstLine="0" w:firstLineChars="0"/>
              <w:jc w:val="center"/>
              <w:rPr>
                <w:rFonts w:ascii="宋体" w:hAnsi="宋体" w:cs="宋体"/>
                <w:bCs/>
                <w:color w:val="auto"/>
                <w:sz w:val="21"/>
                <w:szCs w:val="21"/>
                <w:highlight w:val="none"/>
              </w:rPr>
            </w:pPr>
          </w:p>
        </w:tc>
      </w:tr>
      <w:tr w14:paraId="171A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50F26DF7">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7F71785D">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3F238D9C">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51FC5D08">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5989E10F">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198BDE88">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15</w:t>
            </w:r>
          </w:p>
        </w:tc>
        <w:tc>
          <w:tcPr>
            <w:tcW w:w="1607" w:type="dxa"/>
            <w:vAlign w:val="center"/>
          </w:tcPr>
          <w:p w14:paraId="25E4D855">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砷</w:t>
            </w:r>
          </w:p>
        </w:tc>
        <w:tc>
          <w:tcPr>
            <w:tcW w:w="2843" w:type="dxa"/>
            <w:vMerge w:val="continue"/>
            <w:vAlign w:val="center"/>
          </w:tcPr>
          <w:p w14:paraId="574BEEF2">
            <w:pPr>
              <w:spacing w:line="340" w:lineRule="exact"/>
              <w:ind w:firstLine="0" w:firstLineChars="0"/>
              <w:jc w:val="center"/>
              <w:rPr>
                <w:rFonts w:ascii="宋体" w:hAnsi="宋体" w:cs="宋体"/>
                <w:bCs/>
                <w:color w:val="auto"/>
                <w:sz w:val="21"/>
                <w:szCs w:val="21"/>
                <w:highlight w:val="none"/>
              </w:rPr>
            </w:pPr>
          </w:p>
        </w:tc>
      </w:tr>
      <w:tr w14:paraId="4247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51" w:type="dxa"/>
            <w:vMerge w:val="continue"/>
            <w:vAlign w:val="center"/>
          </w:tcPr>
          <w:p w14:paraId="761291B3">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416C6F39">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77F3A676">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5945E504">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696FB6DF">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7DC782D7">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16</w:t>
            </w:r>
          </w:p>
        </w:tc>
        <w:tc>
          <w:tcPr>
            <w:tcW w:w="1607" w:type="dxa"/>
            <w:vAlign w:val="center"/>
          </w:tcPr>
          <w:p w14:paraId="69F37FA5">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汞</w:t>
            </w:r>
          </w:p>
        </w:tc>
        <w:tc>
          <w:tcPr>
            <w:tcW w:w="2843" w:type="dxa"/>
            <w:vMerge w:val="continue"/>
            <w:vAlign w:val="center"/>
          </w:tcPr>
          <w:p w14:paraId="3D74BB6D">
            <w:pPr>
              <w:spacing w:line="340" w:lineRule="exact"/>
              <w:ind w:firstLine="0" w:firstLineChars="0"/>
              <w:jc w:val="center"/>
              <w:rPr>
                <w:rFonts w:ascii="宋体" w:hAnsi="宋体" w:cs="宋体"/>
                <w:bCs/>
                <w:color w:val="auto"/>
                <w:sz w:val="21"/>
                <w:szCs w:val="21"/>
                <w:highlight w:val="none"/>
              </w:rPr>
            </w:pPr>
          </w:p>
        </w:tc>
      </w:tr>
      <w:tr w14:paraId="5831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3DAF5D20">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0B947A15">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5A1C28DB">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0558405D">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25A9EB5B">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02B6C50C">
            <w:pPr>
              <w:widowControl/>
              <w:spacing w:line="34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17</w:t>
            </w:r>
          </w:p>
        </w:tc>
        <w:tc>
          <w:tcPr>
            <w:tcW w:w="1607" w:type="dxa"/>
            <w:vAlign w:val="center"/>
          </w:tcPr>
          <w:p w14:paraId="38B21FAC">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六价铬</w:t>
            </w:r>
          </w:p>
        </w:tc>
        <w:tc>
          <w:tcPr>
            <w:tcW w:w="2843" w:type="dxa"/>
            <w:vAlign w:val="center"/>
          </w:tcPr>
          <w:p w14:paraId="2475D9D0">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AppliTek/EnviorLyzer-Cr</w:t>
            </w:r>
            <w:r>
              <w:rPr>
                <w:bCs/>
                <w:color w:val="auto"/>
                <w:sz w:val="21"/>
                <w:szCs w:val="24"/>
                <w:highlight w:val="none"/>
              </w:rPr>
              <w:t>6+</w:t>
            </w:r>
            <w:r>
              <w:rPr>
                <w:rFonts w:hint="eastAsia" w:ascii="宋体" w:hAnsi="宋体" w:cs="宋体"/>
                <w:bCs/>
                <w:color w:val="auto"/>
                <w:sz w:val="21"/>
                <w:szCs w:val="21"/>
                <w:highlight w:val="none"/>
              </w:rPr>
              <w:t>/比利时AppliTek</w:t>
            </w:r>
          </w:p>
        </w:tc>
      </w:tr>
      <w:tr w14:paraId="070C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Merge w:val="continue"/>
            <w:vAlign w:val="center"/>
          </w:tcPr>
          <w:p w14:paraId="07A9403A">
            <w:pPr>
              <w:spacing w:line="340" w:lineRule="exact"/>
              <w:ind w:firstLine="0" w:firstLineChars="0"/>
              <w:jc w:val="center"/>
              <w:rPr>
                <w:rFonts w:ascii="宋体" w:hAnsi="宋体" w:cs="宋体"/>
                <w:bCs/>
                <w:color w:val="auto"/>
                <w:sz w:val="21"/>
                <w:szCs w:val="21"/>
                <w:highlight w:val="none"/>
              </w:rPr>
            </w:pPr>
          </w:p>
        </w:tc>
        <w:tc>
          <w:tcPr>
            <w:tcW w:w="1220" w:type="dxa"/>
            <w:vMerge w:val="continue"/>
            <w:vAlign w:val="center"/>
          </w:tcPr>
          <w:p w14:paraId="0311B6E8">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993" w:type="dxa"/>
            <w:vMerge w:val="continue"/>
            <w:vAlign w:val="center"/>
          </w:tcPr>
          <w:p w14:paraId="59A2A0D8">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50" w:type="dxa"/>
            <w:vMerge w:val="continue"/>
            <w:vAlign w:val="center"/>
          </w:tcPr>
          <w:p w14:paraId="4F017203">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865" w:type="dxa"/>
            <w:vMerge w:val="continue"/>
            <w:vAlign w:val="center"/>
          </w:tcPr>
          <w:p w14:paraId="057FAB05">
            <w:pPr>
              <w:widowControl/>
              <w:spacing w:line="340" w:lineRule="exact"/>
              <w:ind w:firstLine="0" w:firstLineChars="0"/>
              <w:jc w:val="center"/>
              <w:textAlignment w:val="center"/>
              <w:rPr>
                <w:rFonts w:ascii="宋体" w:hAnsi="宋体" w:cs="宋体"/>
                <w:color w:val="auto"/>
                <w:kern w:val="0"/>
                <w:sz w:val="21"/>
                <w:szCs w:val="21"/>
                <w:highlight w:val="none"/>
              </w:rPr>
            </w:pPr>
          </w:p>
        </w:tc>
        <w:tc>
          <w:tcPr>
            <w:tcW w:w="569" w:type="dxa"/>
            <w:vAlign w:val="center"/>
          </w:tcPr>
          <w:p w14:paraId="0DD08EB3">
            <w:pPr>
              <w:widowControl/>
              <w:spacing w:line="34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18</w:t>
            </w:r>
          </w:p>
        </w:tc>
        <w:tc>
          <w:tcPr>
            <w:tcW w:w="1607" w:type="dxa"/>
            <w:vAlign w:val="center"/>
          </w:tcPr>
          <w:p w14:paraId="14FF1F21">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生物毒性</w:t>
            </w:r>
          </w:p>
        </w:tc>
        <w:tc>
          <w:tcPr>
            <w:tcW w:w="2843" w:type="dxa"/>
            <w:vAlign w:val="center"/>
          </w:tcPr>
          <w:p w14:paraId="1A59EE03">
            <w:pPr>
              <w:spacing w:line="340" w:lineRule="exact"/>
              <w:ind w:firstLine="0" w:firstLineChars="0"/>
              <w:jc w:val="center"/>
              <w:rPr>
                <w:rFonts w:ascii="宋体" w:hAnsi="宋体" w:cs="宋体"/>
                <w:bCs/>
                <w:color w:val="auto"/>
                <w:sz w:val="21"/>
                <w:szCs w:val="21"/>
                <w:highlight w:val="none"/>
              </w:rPr>
            </w:pPr>
            <w:r>
              <w:rPr>
                <w:rFonts w:hint="eastAsia" w:ascii="宋体" w:hAnsi="宋体" w:cs="宋体"/>
                <w:bCs/>
                <w:color w:val="auto"/>
                <w:sz w:val="21"/>
                <w:szCs w:val="21"/>
                <w:highlight w:val="none"/>
              </w:rPr>
              <w:t>AppliTek/AppliTOX®</w:t>
            </w:r>
          </w:p>
        </w:tc>
      </w:tr>
    </w:tbl>
    <w:p w14:paraId="0B2F8938">
      <w:pPr>
        <w:spacing w:line="300" w:lineRule="auto"/>
        <w:ind w:firstLine="0" w:firstLineChars="0"/>
        <w:jc w:val="left"/>
        <w:rPr>
          <w:rFonts w:ascii="宋体" w:hAnsi="宋体" w:cs="宋体"/>
          <w:b/>
          <w:bCs/>
          <w:color w:val="auto"/>
          <w:sz w:val="21"/>
          <w:szCs w:val="21"/>
          <w:highlight w:val="none"/>
        </w:rPr>
      </w:pPr>
    </w:p>
    <w:p w14:paraId="39AFECEE">
      <w:pPr>
        <w:spacing w:line="300" w:lineRule="auto"/>
        <w:ind w:firstLine="316" w:firstLineChars="150"/>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备注：以站点实际信息为准</w:t>
      </w:r>
    </w:p>
    <w:p w14:paraId="207979F0">
      <w:pPr>
        <w:spacing w:line="300" w:lineRule="auto"/>
        <w:ind w:firstLine="0" w:firstLineChars="0"/>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xml:space="preserve">    </w:t>
      </w:r>
    </w:p>
    <w:p w14:paraId="05D9DDD5">
      <w:pPr>
        <w:spacing w:line="360" w:lineRule="exact"/>
        <w:ind w:firstLine="316" w:firstLineChars="150"/>
        <w:rPr>
          <w:rFonts w:hint="eastAsia" w:ascii="宋体" w:hAnsi="宋体" w:cs="宋体"/>
          <w:b/>
          <w:bCs/>
          <w:color w:val="auto"/>
          <w:sz w:val="21"/>
          <w:szCs w:val="21"/>
          <w:highlight w:val="none"/>
        </w:rPr>
      </w:pPr>
    </w:p>
    <w:p w14:paraId="41D14FDA">
      <w:pPr>
        <w:spacing w:line="360" w:lineRule="exact"/>
        <w:ind w:firstLine="316" w:firstLineChars="150"/>
        <w:rPr>
          <w:rFonts w:hint="eastAsia" w:ascii="宋体" w:hAnsi="宋体" w:cs="宋体"/>
          <w:b/>
          <w:bCs/>
          <w:color w:val="auto"/>
          <w:sz w:val="21"/>
          <w:szCs w:val="21"/>
          <w:highlight w:val="none"/>
        </w:rPr>
      </w:pPr>
    </w:p>
    <w:p w14:paraId="794DF74B">
      <w:pPr>
        <w:spacing w:line="360" w:lineRule="exact"/>
        <w:ind w:firstLine="316" w:firstLineChars="150"/>
        <w:rPr>
          <w:rFonts w:ascii="宋体" w:hAnsi="宋体" w:cs="宋体"/>
          <w:b/>
          <w:bCs/>
          <w:color w:val="auto"/>
          <w:sz w:val="21"/>
          <w:szCs w:val="21"/>
          <w:highlight w:val="none"/>
        </w:rPr>
      </w:pPr>
      <w:r>
        <w:rPr>
          <w:rFonts w:hint="eastAsia" w:ascii="宋体" w:hAnsi="宋体" w:cs="宋体"/>
          <w:b/>
          <w:bCs/>
          <w:color w:val="auto"/>
          <w:sz w:val="21"/>
          <w:szCs w:val="21"/>
          <w:highlight w:val="none"/>
        </w:rPr>
        <w:t>附件</w:t>
      </w: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rPr>
        <w:t>:                   地表水水质自动站托管运维服务考核表</w:t>
      </w:r>
    </w:p>
    <w:p w14:paraId="3F14F48D">
      <w:pPr>
        <w:spacing w:line="360" w:lineRule="exact"/>
        <w:ind w:firstLine="422" w:firstLineChars="150"/>
        <w:rPr>
          <w:rFonts w:ascii="宋体" w:hAnsi="宋体"/>
          <w:b/>
          <w:bCs/>
          <w:color w:val="auto"/>
          <w:sz w:val="28"/>
          <w:szCs w:val="28"/>
          <w:highlight w:val="none"/>
        </w:rPr>
      </w:pPr>
    </w:p>
    <w:tbl>
      <w:tblPr>
        <w:tblStyle w:val="45"/>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58"/>
        <w:gridCol w:w="4111"/>
        <w:gridCol w:w="2044"/>
        <w:gridCol w:w="709"/>
        <w:gridCol w:w="790"/>
      </w:tblGrid>
      <w:tr w14:paraId="0D3F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6" w:type="dxa"/>
            <w:gridSpan w:val="3"/>
            <w:vAlign w:val="center"/>
          </w:tcPr>
          <w:p w14:paraId="21F6AC40">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考核内容</w:t>
            </w:r>
          </w:p>
        </w:tc>
        <w:tc>
          <w:tcPr>
            <w:tcW w:w="2044" w:type="dxa"/>
            <w:vAlign w:val="center"/>
          </w:tcPr>
          <w:p w14:paraId="0F3AE3BA">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扣分值</w:t>
            </w:r>
          </w:p>
        </w:tc>
        <w:tc>
          <w:tcPr>
            <w:tcW w:w="709" w:type="dxa"/>
            <w:vAlign w:val="center"/>
          </w:tcPr>
          <w:p w14:paraId="613F0D31">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扣分结果</w:t>
            </w:r>
          </w:p>
        </w:tc>
        <w:tc>
          <w:tcPr>
            <w:tcW w:w="790" w:type="dxa"/>
            <w:vAlign w:val="center"/>
          </w:tcPr>
          <w:p w14:paraId="4AE9FA99">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扣分说明</w:t>
            </w:r>
          </w:p>
        </w:tc>
      </w:tr>
      <w:tr w14:paraId="0BB7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67" w:type="dxa"/>
            <w:vMerge w:val="restart"/>
            <w:vAlign w:val="center"/>
          </w:tcPr>
          <w:p w14:paraId="5EAAF65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服务内容</w:t>
            </w:r>
          </w:p>
        </w:tc>
        <w:tc>
          <w:tcPr>
            <w:tcW w:w="1158" w:type="dxa"/>
            <w:vAlign w:val="center"/>
          </w:tcPr>
          <w:p w14:paraId="5FB9ABFE">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远程检查</w:t>
            </w:r>
            <w:r>
              <w:rPr>
                <w:rFonts w:hint="eastAsia" w:ascii="宋体" w:hAnsi="宋体" w:cs="宋体"/>
                <w:color w:val="auto"/>
                <w:kern w:val="0"/>
                <w:sz w:val="21"/>
                <w:szCs w:val="21"/>
                <w:highlight w:val="none"/>
                <w:lang w:eastAsia="zh-CN"/>
              </w:rPr>
              <w:t>、审核</w:t>
            </w:r>
            <w:r>
              <w:rPr>
                <w:rFonts w:hint="eastAsia" w:ascii="宋体" w:hAnsi="宋体" w:cs="宋体"/>
                <w:color w:val="auto"/>
                <w:kern w:val="0"/>
                <w:sz w:val="21"/>
                <w:szCs w:val="21"/>
                <w:highlight w:val="none"/>
              </w:rPr>
              <w:t>数据</w:t>
            </w:r>
          </w:p>
        </w:tc>
        <w:tc>
          <w:tcPr>
            <w:tcW w:w="4111" w:type="dxa"/>
            <w:vAlign w:val="center"/>
          </w:tcPr>
          <w:p w14:paraId="71080C2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每天8:00—23:30，专人负责通过数据平台对监测仪器状态实施监控。监控时段内仪器故障发现时间不得超过1小时，非监控时段内仪器故障发现时间不得晚于次日8:30</w:t>
            </w:r>
            <w:r>
              <w:rPr>
                <w:rFonts w:hint="eastAsia" w:ascii="宋体" w:hAnsi="宋体" w:cs="宋体"/>
                <w:color w:val="auto"/>
                <w:kern w:val="0"/>
                <w:sz w:val="21"/>
                <w:szCs w:val="21"/>
                <w:highlight w:val="none"/>
                <w:lang w:eastAsia="zh-CN"/>
              </w:rPr>
              <w:t>。每天9:00前在指定网站完成数据一审工作。</w:t>
            </w:r>
          </w:p>
        </w:tc>
        <w:tc>
          <w:tcPr>
            <w:tcW w:w="2044" w:type="dxa"/>
            <w:vAlign w:val="center"/>
          </w:tcPr>
          <w:p w14:paraId="5CC849E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错、漏1次扣0.5分</w:t>
            </w:r>
          </w:p>
        </w:tc>
        <w:tc>
          <w:tcPr>
            <w:tcW w:w="709" w:type="dxa"/>
            <w:vAlign w:val="center"/>
          </w:tcPr>
          <w:p w14:paraId="0AC8133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3896C95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5541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567" w:type="dxa"/>
            <w:vMerge w:val="continue"/>
            <w:vAlign w:val="center"/>
          </w:tcPr>
          <w:p w14:paraId="12E0B839">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520819C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会商与</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信息</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交流</w:t>
            </w:r>
          </w:p>
        </w:tc>
        <w:tc>
          <w:tcPr>
            <w:tcW w:w="4111" w:type="dxa"/>
            <w:vAlign w:val="center"/>
          </w:tcPr>
          <w:p w14:paraId="1BD1D48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每天9:00以短信方式汇报前一日工作情况及当日工作安排。出现仪器故障、监测数据异常等情况时以电话和电子形式及时上报</w:t>
            </w:r>
          </w:p>
        </w:tc>
        <w:tc>
          <w:tcPr>
            <w:tcW w:w="2044" w:type="dxa"/>
            <w:vAlign w:val="center"/>
          </w:tcPr>
          <w:p w14:paraId="5BD3858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错、漏1次扣0.5分</w:t>
            </w:r>
          </w:p>
        </w:tc>
        <w:tc>
          <w:tcPr>
            <w:tcW w:w="709" w:type="dxa"/>
            <w:vAlign w:val="center"/>
          </w:tcPr>
          <w:p w14:paraId="5CB66C4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5D63B5C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43DD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567" w:type="dxa"/>
            <w:vMerge w:val="continue"/>
            <w:vAlign w:val="center"/>
          </w:tcPr>
          <w:p w14:paraId="4EF26A40">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44E2EC9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监测数据审核和管理</w:t>
            </w:r>
          </w:p>
        </w:tc>
        <w:tc>
          <w:tcPr>
            <w:tcW w:w="4111" w:type="dxa"/>
            <w:vAlign w:val="center"/>
          </w:tcPr>
          <w:p w14:paraId="509A7647">
            <w:pPr>
              <w:widowControl/>
              <w:spacing w:line="30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安排专人专职负责管理和监控数据，每日对数据进行审核并标记核实异常和无效数据，超标数据必须核实原因并及时汇报。</w:t>
            </w:r>
          </w:p>
        </w:tc>
        <w:tc>
          <w:tcPr>
            <w:tcW w:w="2044" w:type="dxa"/>
            <w:vAlign w:val="center"/>
          </w:tcPr>
          <w:p w14:paraId="50B8687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错、漏1项扣1分</w:t>
            </w:r>
          </w:p>
        </w:tc>
        <w:tc>
          <w:tcPr>
            <w:tcW w:w="709" w:type="dxa"/>
            <w:vAlign w:val="center"/>
          </w:tcPr>
          <w:p w14:paraId="4D8BB168">
            <w:pPr>
              <w:widowControl/>
              <w:spacing w:line="300" w:lineRule="auto"/>
              <w:ind w:firstLine="0" w:firstLineChars="0"/>
              <w:jc w:val="center"/>
              <w:rPr>
                <w:rFonts w:ascii="宋体" w:hAnsi="宋体" w:cs="宋体"/>
                <w:color w:val="auto"/>
                <w:kern w:val="0"/>
                <w:sz w:val="21"/>
                <w:szCs w:val="21"/>
                <w:highlight w:val="none"/>
              </w:rPr>
            </w:pPr>
          </w:p>
        </w:tc>
        <w:tc>
          <w:tcPr>
            <w:tcW w:w="790" w:type="dxa"/>
            <w:vAlign w:val="center"/>
          </w:tcPr>
          <w:p w14:paraId="0321D460">
            <w:pPr>
              <w:widowControl/>
              <w:spacing w:line="300" w:lineRule="auto"/>
              <w:ind w:firstLine="0" w:firstLineChars="0"/>
              <w:jc w:val="center"/>
              <w:rPr>
                <w:rFonts w:ascii="宋体" w:hAnsi="宋体" w:cs="宋体"/>
                <w:color w:val="auto"/>
                <w:kern w:val="0"/>
                <w:sz w:val="21"/>
                <w:szCs w:val="21"/>
                <w:highlight w:val="none"/>
              </w:rPr>
            </w:pPr>
          </w:p>
        </w:tc>
      </w:tr>
      <w:tr w14:paraId="2F5A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567" w:type="dxa"/>
            <w:vMerge w:val="continue"/>
            <w:vAlign w:val="center"/>
          </w:tcPr>
          <w:p w14:paraId="1665280F">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41BE89F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子站现场巡检</w:t>
            </w:r>
          </w:p>
        </w:tc>
        <w:tc>
          <w:tcPr>
            <w:tcW w:w="4111" w:type="dxa"/>
            <w:vAlign w:val="center"/>
          </w:tcPr>
          <w:p w14:paraId="45C06DC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频次：不少于1次/（站•周）。巡检内容和记录要素，要包括子站监测系统所有功能单元的最新运行情况和现场检查维护情况，反映在巡检记录表上的巡检内容和记录要素必须完整，并与实际子站情况相符，记录内容不完整、不规范和弄虚作假的当作缺检计算，每月的前10天内，提交上月子站巡检记录，每季前15天进行汇总。</w:t>
            </w:r>
          </w:p>
        </w:tc>
        <w:tc>
          <w:tcPr>
            <w:tcW w:w="2044" w:type="dxa"/>
            <w:vAlign w:val="center"/>
          </w:tcPr>
          <w:p w14:paraId="02402DF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错、漏1次巡检扣1分</w:t>
            </w:r>
          </w:p>
        </w:tc>
        <w:tc>
          <w:tcPr>
            <w:tcW w:w="709" w:type="dxa"/>
            <w:vAlign w:val="center"/>
          </w:tcPr>
          <w:p w14:paraId="7330C2F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30B51E5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22B0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67" w:type="dxa"/>
            <w:vMerge w:val="continue"/>
            <w:vAlign w:val="center"/>
          </w:tcPr>
          <w:p w14:paraId="3B2ED09B">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0E0591B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仪器和平台故障排除</w:t>
            </w:r>
          </w:p>
        </w:tc>
        <w:tc>
          <w:tcPr>
            <w:tcW w:w="4111" w:type="dxa"/>
            <w:vAlign w:val="center"/>
          </w:tcPr>
          <w:p w14:paraId="06B3F74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故障检修到场与故障排除（指恢复正常运行，不可抗力的破坏以及如停电停水、预防性维护、受控备件供应不上等情况除外）必须及时：1小时内到达故障现场，水质应急事件必须1小时内到达现场，48小时内排除故障；如在规定时间内无法恢复正常运行，则按要求规定一周三次手工采样，并委托有资质的单位进行手工分析，每周一8:30上报手工采样数据（附原始报告）</w:t>
            </w:r>
          </w:p>
        </w:tc>
        <w:tc>
          <w:tcPr>
            <w:tcW w:w="2044" w:type="dxa"/>
            <w:vAlign w:val="center"/>
          </w:tcPr>
          <w:p w14:paraId="4122BB9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每个参数不响应1次或超过时限每天扣1分，超过5天每天扣2分</w:t>
            </w:r>
          </w:p>
        </w:tc>
        <w:tc>
          <w:tcPr>
            <w:tcW w:w="709" w:type="dxa"/>
            <w:vAlign w:val="center"/>
          </w:tcPr>
          <w:p w14:paraId="6C840E7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212BA6F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7349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567" w:type="dxa"/>
            <w:vMerge w:val="continue"/>
            <w:vAlign w:val="center"/>
          </w:tcPr>
          <w:p w14:paraId="698F29D4">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34449D5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站房环境及辅助设备维护</w:t>
            </w:r>
          </w:p>
        </w:tc>
        <w:tc>
          <w:tcPr>
            <w:tcW w:w="4111" w:type="dxa"/>
            <w:vAlign w:val="center"/>
          </w:tcPr>
          <w:p w14:paraId="47548E4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站房内外整洁、维持站房温湿度环境稳定、防火防盗防雷。维护辅助设备稳定运行等。</w:t>
            </w:r>
          </w:p>
        </w:tc>
        <w:tc>
          <w:tcPr>
            <w:tcW w:w="2044" w:type="dxa"/>
            <w:vAlign w:val="center"/>
          </w:tcPr>
          <w:p w14:paraId="11E265A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错、漏1次扣1分；辅助设备无正当理由一个月内没维修扣2分，超过一个月每月扣3分</w:t>
            </w:r>
          </w:p>
        </w:tc>
        <w:tc>
          <w:tcPr>
            <w:tcW w:w="709" w:type="dxa"/>
            <w:vAlign w:val="center"/>
          </w:tcPr>
          <w:p w14:paraId="35626BD2">
            <w:pPr>
              <w:widowControl/>
              <w:spacing w:line="300" w:lineRule="auto"/>
              <w:ind w:firstLine="0" w:firstLineChars="0"/>
              <w:jc w:val="center"/>
              <w:rPr>
                <w:rFonts w:ascii="宋体" w:hAnsi="宋体" w:cs="宋体"/>
                <w:color w:val="auto"/>
                <w:kern w:val="0"/>
                <w:sz w:val="21"/>
                <w:szCs w:val="21"/>
                <w:highlight w:val="none"/>
              </w:rPr>
            </w:pPr>
          </w:p>
        </w:tc>
        <w:tc>
          <w:tcPr>
            <w:tcW w:w="790" w:type="dxa"/>
            <w:vAlign w:val="center"/>
          </w:tcPr>
          <w:p w14:paraId="1BCF1AF4">
            <w:pPr>
              <w:widowControl/>
              <w:spacing w:line="300" w:lineRule="auto"/>
              <w:ind w:firstLine="0" w:firstLineChars="0"/>
              <w:jc w:val="center"/>
              <w:rPr>
                <w:rFonts w:ascii="宋体" w:hAnsi="宋体" w:cs="宋体"/>
                <w:color w:val="auto"/>
                <w:kern w:val="0"/>
                <w:sz w:val="21"/>
                <w:szCs w:val="21"/>
                <w:highlight w:val="none"/>
              </w:rPr>
            </w:pPr>
          </w:p>
        </w:tc>
      </w:tr>
      <w:tr w14:paraId="772F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567" w:type="dxa"/>
            <w:vMerge w:val="continue"/>
            <w:vAlign w:val="center"/>
          </w:tcPr>
          <w:p w14:paraId="6DFC0D25">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79913D4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仪器运行维护</w:t>
            </w:r>
          </w:p>
        </w:tc>
        <w:tc>
          <w:tcPr>
            <w:tcW w:w="4111" w:type="dxa"/>
            <w:vAlign w:val="center"/>
          </w:tcPr>
          <w:p w14:paraId="53E98C5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按照相关要求进行运行状态系统检查、清洗、校准、打磨、更换试剂、更换零备件等维护工作</w:t>
            </w:r>
          </w:p>
        </w:tc>
        <w:tc>
          <w:tcPr>
            <w:tcW w:w="2044" w:type="dxa"/>
            <w:vAlign w:val="center"/>
          </w:tcPr>
          <w:p w14:paraId="41BA9A1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错、漏1次扣1分</w:t>
            </w:r>
          </w:p>
        </w:tc>
        <w:tc>
          <w:tcPr>
            <w:tcW w:w="709" w:type="dxa"/>
            <w:vAlign w:val="center"/>
          </w:tcPr>
          <w:p w14:paraId="2EB610B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19AC045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67EA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67" w:type="dxa"/>
            <w:vMerge w:val="continue"/>
            <w:vAlign w:val="center"/>
          </w:tcPr>
          <w:p w14:paraId="6997577F">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6E048A9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质量控制</w:t>
            </w:r>
          </w:p>
        </w:tc>
        <w:tc>
          <w:tcPr>
            <w:tcW w:w="4111" w:type="dxa"/>
            <w:vAlign w:val="center"/>
          </w:tcPr>
          <w:p w14:paraId="3F467CF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每个参数“周核查、月比对”</w:t>
            </w:r>
          </w:p>
        </w:tc>
        <w:tc>
          <w:tcPr>
            <w:tcW w:w="2044" w:type="dxa"/>
            <w:vAlign w:val="center"/>
          </w:tcPr>
          <w:p w14:paraId="0E34874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错、漏1个参数1次1分</w:t>
            </w:r>
          </w:p>
        </w:tc>
        <w:tc>
          <w:tcPr>
            <w:tcW w:w="709" w:type="dxa"/>
            <w:vAlign w:val="center"/>
          </w:tcPr>
          <w:p w14:paraId="1036016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02E009F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507D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67" w:type="dxa"/>
            <w:vMerge w:val="continue"/>
            <w:vAlign w:val="center"/>
          </w:tcPr>
          <w:p w14:paraId="3670F8C6">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27049AE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废液处理</w:t>
            </w:r>
          </w:p>
        </w:tc>
        <w:tc>
          <w:tcPr>
            <w:tcW w:w="4111" w:type="dxa"/>
            <w:vAlign w:val="center"/>
          </w:tcPr>
          <w:p w14:paraId="76B8252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做好废液收集并妥善处理处置废液，废液桶标识清晰</w:t>
            </w:r>
          </w:p>
        </w:tc>
        <w:tc>
          <w:tcPr>
            <w:tcW w:w="2044" w:type="dxa"/>
            <w:vAlign w:val="center"/>
          </w:tcPr>
          <w:p w14:paraId="117625B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废液桶无标识扣2分；不及时、不规范处理处置废液的，扣1分；废液放置站房外长期存放扣4分</w:t>
            </w:r>
          </w:p>
        </w:tc>
        <w:tc>
          <w:tcPr>
            <w:tcW w:w="709" w:type="dxa"/>
            <w:vAlign w:val="center"/>
          </w:tcPr>
          <w:p w14:paraId="7C9150D0">
            <w:pPr>
              <w:widowControl/>
              <w:spacing w:line="300" w:lineRule="auto"/>
              <w:ind w:firstLine="0" w:firstLineChars="0"/>
              <w:jc w:val="center"/>
              <w:rPr>
                <w:rFonts w:ascii="宋体" w:hAnsi="宋体" w:cs="宋体"/>
                <w:color w:val="auto"/>
                <w:kern w:val="0"/>
                <w:sz w:val="21"/>
                <w:szCs w:val="21"/>
                <w:highlight w:val="none"/>
              </w:rPr>
            </w:pPr>
          </w:p>
        </w:tc>
        <w:tc>
          <w:tcPr>
            <w:tcW w:w="790" w:type="dxa"/>
            <w:vAlign w:val="center"/>
          </w:tcPr>
          <w:p w14:paraId="6DD64760">
            <w:pPr>
              <w:widowControl/>
              <w:spacing w:line="300" w:lineRule="auto"/>
              <w:ind w:firstLine="0" w:firstLineChars="0"/>
              <w:jc w:val="center"/>
              <w:rPr>
                <w:rFonts w:ascii="宋体" w:hAnsi="宋体" w:cs="宋体"/>
                <w:color w:val="auto"/>
                <w:kern w:val="0"/>
                <w:sz w:val="21"/>
                <w:szCs w:val="21"/>
                <w:highlight w:val="none"/>
              </w:rPr>
            </w:pPr>
          </w:p>
        </w:tc>
      </w:tr>
      <w:tr w14:paraId="260C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67" w:type="dxa"/>
            <w:vMerge w:val="continue"/>
            <w:vAlign w:val="center"/>
          </w:tcPr>
          <w:p w14:paraId="6D0D0AA2">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285DC98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数据保密</w:t>
            </w:r>
          </w:p>
        </w:tc>
        <w:tc>
          <w:tcPr>
            <w:tcW w:w="4111" w:type="dxa"/>
            <w:vAlign w:val="center"/>
          </w:tcPr>
          <w:p w14:paraId="3108665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不论何时，运维单位都应承担监测数据的保密责任；运维单位按照采购人的要求，进行报告和传输有关的监测数据，均不得以任何方式和渠道向外界传递任何监测数据。</w:t>
            </w:r>
          </w:p>
        </w:tc>
        <w:tc>
          <w:tcPr>
            <w:tcW w:w="2044" w:type="dxa"/>
            <w:vAlign w:val="center"/>
          </w:tcPr>
          <w:p w14:paraId="2A4B7AA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发现1次扣20分</w:t>
            </w:r>
          </w:p>
        </w:tc>
        <w:tc>
          <w:tcPr>
            <w:tcW w:w="709" w:type="dxa"/>
            <w:vAlign w:val="center"/>
          </w:tcPr>
          <w:p w14:paraId="2CACA74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769AA72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10E2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67" w:type="dxa"/>
            <w:vMerge w:val="continue"/>
            <w:vAlign w:val="center"/>
          </w:tcPr>
          <w:p w14:paraId="4E4CAF79">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6EF49D1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记录</w:t>
            </w:r>
          </w:p>
        </w:tc>
        <w:tc>
          <w:tcPr>
            <w:tcW w:w="4111" w:type="dxa"/>
            <w:vAlign w:val="center"/>
          </w:tcPr>
          <w:p w14:paraId="393C011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按规范要求做好日常相关记录表格，每月交一次所有记录给采购人审查。采购人可随时抽查记录内容，运营商须及时提供，不得阻挠、拖延、伪造。</w:t>
            </w:r>
          </w:p>
        </w:tc>
        <w:tc>
          <w:tcPr>
            <w:tcW w:w="2044" w:type="dxa"/>
            <w:vAlign w:val="center"/>
          </w:tcPr>
          <w:p w14:paraId="4E02483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期限内缺1份扣1分</w:t>
            </w:r>
          </w:p>
        </w:tc>
        <w:tc>
          <w:tcPr>
            <w:tcW w:w="709" w:type="dxa"/>
            <w:vAlign w:val="center"/>
          </w:tcPr>
          <w:p w14:paraId="489A1C2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5B38109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7079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67" w:type="dxa"/>
            <w:vMerge w:val="restart"/>
            <w:vAlign w:val="center"/>
          </w:tcPr>
          <w:p w14:paraId="50D2EF0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服务质量</w:t>
            </w:r>
          </w:p>
        </w:tc>
        <w:tc>
          <w:tcPr>
            <w:tcW w:w="1158" w:type="dxa"/>
            <w:vAlign w:val="center"/>
          </w:tcPr>
          <w:p w14:paraId="47291F5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质控考核</w:t>
            </w:r>
          </w:p>
        </w:tc>
        <w:tc>
          <w:tcPr>
            <w:tcW w:w="4111" w:type="dxa"/>
            <w:vAlign w:val="center"/>
          </w:tcPr>
          <w:p w14:paraId="0FA4E64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接受采购人或采购人委托的第三方机构或采购人上级部门考核的定期或不定期考核</w:t>
            </w:r>
          </w:p>
        </w:tc>
        <w:tc>
          <w:tcPr>
            <w:tcW w:w="2044" w:type="dxa"/>
            <w:vAlign w:val="center"/>
          </w:tcPr>
          <w:p w14:paraId="44226A0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上级部门考核不合格1次扣20分；本单位内部（或委托第三方机构）考核1个参数1次不合格扣2分</w:t>
            </w:r>
          </w:p>
        </w:tc>
        <w:tc>
          <w:tcPr>
            <w:tcW w:w="709" w:type="dxa"/>
            <w:vAlign w:val="center"/>
          </w:tcPr>
          <w:p w14:paraId="7749CE7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658312E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1509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567" w:type="dxa"/>
            <w:vMerge w:val="continue"/>
            <w:vAlign w:val="center"/>
          </w:tcPr>
          <w:p w14:paraId="76A85507">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32D2F4F1">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服务态度</w:t>
            </w:r>
          </w:p>
        </w:tc>
        <w:tc>
          <w:tcPr>
            <w:tcW w:w="4111" w:type="dxa"/>
            <w:vAlign w:val="center"/>
          </w:tcPr>
          <w:p w14:paraId="620B7DB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运维人员按要求开展各项工作</w:t>
            </w:r>
          </w:p>
        </w:tc>
        <w:tc>
          <w:tcPr>
            <w:tcW w:w="2044" w:type="dxa"/>
            <w:vAlign w:val="center"/>
          </w:tcPr>
          <w:p w14:paraId="6DE2D03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工作拖拉、推诿、态度恶劣、语言过激造成不良影响的扣5分</w:t>
            </w:r>
          </w:p>
        </w:tc>
        <w:tc>
          <w:tcPr>
            <w:tcW w:w="709" w:type="dxa"/>
            <w:vAlign w:val="center"/>
          </w:tcPr>
          <w:p w14:paraId="315A95B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7B2D545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2322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67" w:type="dxa"/>
            <w:vMerge w:val="continue"/>
            <w:vAlign w:val="center"/>
          </w:tcPr>
          <w:p w14:paraId="1A472B87">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375D880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记录、报告规范</w:t>
            </w:r>
          </w:p>
        </w:tc>
        <w:tc>
          <w:tcPr>
            <w:tcW w:w="4111" w:type="dxa"/>
            <w:vAlign w:val="center"/>
          </w:tcPr>
          <w:p w14:paraId="1A39226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所有记录须字体清晰，不得模糊潦草，并按规范填写相应内容。</w:t>
            </w:r>
          </w:p>
        </w:tc>
        <w:tc>
          <w:tcPr>
            <w:tcW w:w="2044" w:type="dxa"/>
            <w:vAlign w:val="center"/>
          </w:tcPr>
          <w:p w14:paraId="1CEAA94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1项扣1分</w:t>
            </w:r>
          </w:p>
        </w:tc>
        <w:tc>
          <w:tcPr>
            <w:tcW w:w="709" w:type="dxa"/>
            <w:vAlign w:val="center"/>
          </w:tcPr>
          <w:p w14:paraId="716D086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7EE7F15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227C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567" w:type="dxa"/>
            <w:vMerge w:val="continue"/>
            <w:vAlign w:val="center"/>
          </w:tcPr>
          <w:p w14:paraId="0025DEC7">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47E0389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单站单项数据月度有效获取率</w:t>
            </w:r>
          </w:p>
        </w:tc>
        <w:tc>
          <w:tcPr>
            <w:tcW w:w="4111" w:type="dxa"/>
            <w:vAlign w:val="center"/>
          </w:tcPr>
          <w:p w14:paraId="7FE7801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每个子站每个参数月度有效数据获取率不小于90%</w:t>
            </w:r>
          </w:p>
        </w:tc>
        <w:tc>
          <w:tcPr>
            <w:tcW w:w="2044" w:type="dxa"/>
            <w:vAlign w:val="center"/>
          </w:tcPr>
          <w:p w14:paraId="6F2B253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单站单项不达标1次扣2分</w:t>
            </w:r>
          </w:p>
        </w:tc>
        <w:tc>
          <w:tcPr>
            <w:tcW w:w="709" w:type="dxa"/>
            <w:vAlign w:val="center"/>
          </w:tcPr>
          <w:p w14:paraId="6540784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755394B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527A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567" w:type="dxa"/>
            <w:vMerge w:val="continue"/>
            <w:vAlign w:val="center"/>
          </w:tcPr>
          <w:p w14:paraId="2B64A9C9">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4FD24F6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单站数据有效率</w:t>
            </w:r>
          </w:p>
        </w:tc>
        <w:tc>
          <w:tcPr>
            <w:tcW w:w="4111" w:type="dxa"/>
            <w:vAlign w:val="center"/>
          </w:tcPr>
          <w:p w14:paraId="523CCB8E">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每月所有参数数据有效率≥80%（除去断流、停电、不可抗力因素引起的故障或停运，以及采购人认为可以扣除 的时间段）</w:t>
            </w:r>
          </w:p>
        </w:tc>
        <w:tc>
          <w:tcPr>
            <w:tcW w:w="2044" w:type="dxa"/>
            <w:vAlign w:val="center"/>
          </w:tcPr>
          <w:p w14:paraId="0159D5B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有效率每降低1%（四舍五入），扣1 分。注：考核参数最低的有效率，不考核平均有效率。</w:t>
            </w:r>
          </w:p>
        </w:tc>
        <w:tc>
          <w:tcPr>
            <w:tcW w:w="709" w:type="dxa"/>
            <w:vAlign w:val="center"/>
          </w:tcPr>
          <w:p w14:paraId="6E6879C3">
            <w:pPr>
              <w:widowControl/>
              <w:spacing w:line="300" w:lineRule="auto"/>
              <w:ind w:firstLine="0" w:firstLineChars="0"/>
              <w:jc w:val="center"/>
              <w:rPr>
                <w:rFonts w:ascii="宋体" w:hAnsi="宋体" w:cs="宋体"/>
                <w:color w:val="auto"/>
                <w:kern w:val="0"/>
                <w:sz w:val="21"/>
                <w:szCs w:val="21"/>
                <w:highlight w:val="none"/>
              </w:rPr>
            </w:pPr>
          </w:p>
        </w:tc>
        <w:tc>
          <w:tcPr>
            <w:tcW w:w="790" w:type="dxa"/>
            <w:vAlign w:val="center"/>
          </w:tcPr>
          <w:p w14:paraId="39141518">
            <w:pPr>
              <w:widowControl/>
              <w:spacing w:line="300" w:lineRule="auto"/>
              <w:ind w:firstLine="0" w:firstLineChars="0"/>
              <w:jc w:val="center"/>
              <w:rPr>
                <w:rFonts w:ascii="宋体" w:hAnsi="宋体" w:cs="宋体"/>
                <w:color w:val="auto"/>
                <w:kern w:val="0"/>
                <w:sz w:val="21"/>
                <w:szCs w:val="21"/>
                <w:highlight w:val="none"/>
              </w:rPr>
            </w:pPr>
          </w:p>
        </w:tc>
      </w:tr>
      <w:tr w14:paraId="2804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67" w:type="dxa"/>
            <w:vMerge w:val="continue"/>
            <w:vAlign w:val="center"/>
          </w:tcPr>
          <w:p w14:paraId="2E02C101">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3AB3197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备机使用情况</w:t>
            </w:r>
          </w:p>
        </w:tc>
        <w:tc>
          <w:tcPr>
            <w:tcW w:w="4111" w:type="dxa"/>
            <w:vAlign w:val="center"/>
          </w:tcPr>
          <w:p w14:paraId="03E46C0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未经许可，</w:t>
            </w:r>
            <w:r>
              <w:rPr>
                <w:rFonts w:hint="eastAsia" w:ascii="宋体" w:hAnsi="宋体" w:cs="宋体"/>
                <w:color w:val="auto"/>
                <w:kern w:val="0"/>
                <w:sz w:val="21"/>
                <w:szCs w:val="21"/>
                <w:highlight w:val="none"/>
              </w:rPr>
              <w:t>备机连续使用不得超过1个月</w:t>
            </w:r>
          </w:p>
        </w:tc>
        <w:tc>
          <w:tcPr>
            <w:tcW w:w="2044" w:type="dxa"/>
            <w:vAlign w:val="center"/>
          </w:tcPr>
          <w:p w14:paraId="6D11302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1个项目超过1天每天扣1分，超过5天每天扣2分</w:t>
            </w:r>
          </w:p>
        </w:tc>
        <w:tc>
          <w:tcPr>
            <w:tcW w:w="709" w:type="dxa"/>
            <w:vAlign w:val="center"/>
          </w:tcPr>
          <w:p w14:paraId="4771C37A">
            <w:pPr>
              <w:widowControl/>
              <w:spacing w:line="300" w:lineRule="auto"/>
              <w:ind w:firstLine="0" w:firstLineChars="0"/>
              <w:jc w:val="center"/>
              <w:rPr>
                <w:rFonts w:ascii="宋体" w:hAnsi="宋体" w:cs="宋体"/>
                <w:color w:val="auto"/>
                <w:kern w:val="0"/>
                <w:sz w:val="21"/>
                <w:szCs w:val="21"/>
                <w:highlight w:val="none"/>
              </w:rPr>
            </w:pPr>
          </w:p>
        </w:tc>
        <w:tc>
          <w:tcPr>
            <w:tcW w:w="790" w:type="dxa"/>
            <w:vAlign w:val="center"/>
          </w:tcPr>
          <w:p w14:paraId="726501D9">
            <w:pPr>
              <w:widowControl/>
              <w:spacing w:line="300" w:lineRule="auto"/>
              <w:ind w:firstLine="0" w:firstLineChars="0"/>
              <w:jc w:val="center"/>
              <w:rPr>
                <w:rFonts w:ascii="宋体" w:hAnsi="宋体" w:cs="宋体"/>
                <w:color w:val="auto"/>
                <w:kern w:val="0"/>
                <w:sz w:val="21"/>
                <w:szCs w:val="21"/>
                <w:highlight w:val="none"/>
              </w:rPr>
            </w:pPr>
          </w:p>
        </w:tc>
      </w:tr>
      <w:tr w14:paraId="2848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67" w:type="dxa"/>
            <w:vMerge w:val="continue"/>
            <w:vAlign w:val="center"/>
          </w:tcPr>
          <w:p w14:paraId="5D8E6E88">
            <w:pPr>
              <w:widowControl/>
              <w:spacing w:line="300" w:lineRule="auto"/>
              <w:ind w:firstLine="0" w:firstLineChars="0"/>
              <w:jc w:val="left"/>
              <w:rPr>
                <w:rFonts w:ascii="宋体" w:hAnsi="宋体" w:cs="宋体"/>
                <w:color w:val="auto"/>
                <w:kern w:val="0"/>
                <w:sz w:val="21"/>
                <w:szCs w:val="21"/>
                <w:highlight w:val="none"/>
              </w:rPr>
            </w:pPr>
          </w:p>
        </w:tc>
        <w:tc>
          <w:tcPr>
            <w:tcW w:w="1158" w:type="dxa"/>
            <w:vMerge w:val="restart"/>
            <w:vAlign w:val="center"/>
          </w:tcPr>
          <w:p w14:paraId="3C3338A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（是否存在不满足合同或相关规范要求的情况）</w:t>
            </w:r>
          </w:p>
        </w:tc>
        <w:tc>
          <w:tcPr>
            <w:tcW w:w="4111" w:type="dxa"/>
            <w:vAlign w:val="center"/>
          </w:tcPr>
          <w:p w14:paraId="1411A2C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但对数据不造成影响的项目</w:t>
            </w:r>
          </w:p>
        </w:tc>
        <w:tc>
          <w:tcPr>
            <w:tcW w:w="2044" w:type="dxa"/>
            <w:vAlign w:val="center"/>
          </w:tcPr>
          <w:p w14:paraId="039DAD8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每1项扣1分</w:t>
            </w:r>
          </w:p>
        </w:tc>
        <w:tc>
          <w:tcPr>
            <w:tcW w:w="709" w:type="dxa"/>
            <w:vAlign w:val="center"/>
          </w:tcPr>
          <w:p w14:paraId="53166DE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1E8325A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134C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7" w:type="dxa"/>
            <w:vMerge w:val="continue"/>
            <w:vAlign w:val="center"/>
          </w:tcPr>
          <w:p w14:paraId="079756B1">
            <w:pPr>
              <w:widowControl/>
              <w:spacing w:line="300" w:lineRule="auto"/>
              <w:ind w:firstLine="0" w:firstLineChars="0"/>
              <w:jc w:val="left"/>
              <w:rPr>
                <w:rFonts w:ascii="宋体" w:hAnsi="宋体" w:cs="宋体"/>
                <w:color w:val="auto"/>
                <w:kern w:val="0"/>
                <w:sz w:val="21"/>
                <w:szCs w:val="21"/>
                <w:highlight w:val="none"/>
              </w:rPr>
            </w:pPr>
          </w:p>
        </w:tc>
        <w:tc>
          <w:tcPr>
            <w:tcW w:w="1158" w:type="dxa"/>
            <w:vMerge w:val="continue"/>
            <w:vAlign w:val="center"/>
          </w:tcPr>
          <w:p w14:paraId="53E587F6">
            <w:pPr>
              <w:widowControl/>
              <w:spacing w:line="300" w:lineRule="auto"/>
              <w:ind w:firstLine="0" w:firstLineChars="0"/>
              <w:jc w:val="left"/>
              <w:rPr>
                <w:rFonts w:ascii="宋体" w:hAnsi="宋体" w:cs="宋体"/>
                <w:color w:val="auto"/>
                <w:kern w:val="0"/>
                <w:sz w:val="21"/>
                <w:szCs w:val="21"/>
                <w:highlight w:val="none"/>
              </w:rPr>
            </w:pPr>
          </w:p>
        </w:tc>
        <w:tc>
          <w:tcPr>
            <w:tcW w:w="4111" w:type="dxa"/>
            <w:vAlign w:val="center"/>
          </w:tcPr>
          <w:p w14:paraId="279DC30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且可能对数据造成严重影响的项目</w:t>
            </w:r>
          </w:p>
        </w:tc>
        <w:tc>
          <w:tcPr>
            <w:tcW w:w="2044" w:type="dxa"/>
            <w:vAlign w:val="center"/>
          </w:tcPr>
          <w:p w14:paraId="6A4FDB8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每1项扣3分</w:t>
            </w:r>
          </w:p>
        </w:tc>
        <w:tc>
          <w:tcPr>
            <w:tcW w:w="709" w:type="dxa"/>
            <w:vAlign w:val="center"/>
          </w:tcPr>
          <w:p w14:paraId="14A4B64A">
            <w:pPr>
              <w:spacing w:line="300" w:lineRule="auto"/>
              <w:ind w:firstLine="0" w:firstLineChars="0"/>
              <w:jc w:val="left"/>
              <w:rPr>
                <w:rFonts w:ascii="宋体" w:hAnsi="宋体" w:cs="宋体"/>
                <w:color w:val="auto"/>
                <w:kern w:val="0"/>
                <w:sz w:val="21"/>
                <w:szCs w:val="21"/>
                <w:highlight w:val="none"/>
              </w:rPr>
            </w:pPr>
          </w:p>
        </w:tc>
        <w:tc>
          <w:tcPr>
            <w:tcW w:w="790" w:type="dxa"/>
            <w:vAlign w:val="center"/>
          </w:tcPr>
          <w:p w14:paraId="0DF1E0DE">
            <w:pPr>
              <w:spacing w:line="300" w:lineRule="auto"/>
              <w:ind w:firstLine="0" w:firstLineChars="0"/>
              <w:jc w:val="left"/>
              <w:rPr>
                <w:rFonts w:ascii="宋体" w:hAnsi="宋体" w:cs="宋体"/>
                <w:color w:val="auto"/>
                <w:kern w:val="0"/>
                <w:sz w:val="21"/>
                <w:szCs w:val="21"/>
                <w:highlight w:val="none"/>
              </w:rPr>
            </w:pPr>
          </w:p>
        </w:tc>
      </w:tr>
      <w:tr w14:paraId="36F0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67" w:type="dxa"/>
            <w:vMerge w:val="continue"/>
            <w:vAlign w:val="center"/>
          </w:tcPr>
          <w:p w14:paraId="76728C0A">
            <w:pPr>
              <w:widowControl/>
              <w:spacing w:line="300" w:lineRule="auto"/>
              <w:ind w:firstLine="0" w:firstLineChars="0"/>
              <w:jc w:val="left"/>
              <w:rPr>
                <w:rFonts w:ascii="宋体" w:hAnsi="宋体" w:cs="宋体"/>
                <w:color w:val="auto"/>
                <w:kern w:val="0"/>
                <w:sz w:val="21"/>
                <w:szCs w:val="21"/>
                <w:highlight w:val="none"/>
              </w:rPr>
            </w:pPr>
          </w:p>
        </w:tc>
        <w:tc>
          <w:tcPr>
            <w:tcW w:w="1158" w:type="dxa"/>
            <w:vMerge w:val="continue"/>
            <w:vAlign w:val="center"/>
          </w:tcPr>
          <w:p w14:paraId="2373511F">
            <w:pPr>
              <w:widowControl/>
              <w:spacing w:line="300" w:lineRule="auto"/>
              <w:ind w:firstLine="0" w:firstLineChars="0"/>
              <w:jc w:val="left"/>
              <w:rPr>
                <w:rFonts w:ascii="宋体" w:hAnsi="宋体" w:cs="宋体"/>
                <w:color w:val="auto"/>
                <w:kern w:val="0"/>
                <w:sz w:val="21"/>
                <w:szCs w:val="21"/>
                <w:highlight w:val="none"/>
              </w:rPr>
            </w:pPr>
          </w:p>
        </w:tc>
        <w:tc>
          <w:tcPr>
            <w:tcW w:w="4111" w:type="dxa"/>
            <w:vAlign w:val="center"/>
          </w:tcPr>
          <w:p w14:paraId="19FBE4E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且已对数据造成严重影响的项目</w:t>
            </w:r>
          </w:p>
        </w:tc>
        <w:tc>
          <w:tcPr>
            <w:tcW w:w="2044" w:type="dxa"/>
            <w:vAlign w:val="center"/>
          </w:tcPr>
          <w:p w14:paraId="6F897F8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每1项扣5分</w:t>
            </w:r>
          </w:p>
        </w:tc>
        <w:tc>
          <w:tcPr>
            <w:tcW w:w="709" w:type="dxa"/>
            <w:vAlign w:val="center"/>
          </w:tcPr>
          <w:p w14:paraId="08EE69CA">
            <w:pPr>
              <w:widowControl/>
              <w:spacing w:line="300" w:lineRule="auto"/>
              <w:ind w:firstLine="0" w:firstLineChars="0"/>
              <w:jc w:val="left"/>
              <w:rPr>
                <w:rFonts w:ascii="宋体" w:hAnsi="宋体" w:cs="宋体"/>
                <w:color w:val="auto"/>
                <w:kern w:val="0"/>
                <w:sz w:val="21"/>
                <w:szCs w:val="21"/>
                <w:highlight w:val="none"/>
              </w:rPr>
            </w:pPr>
          </w:p>
        </w:tc>
        <w:tc>
          <w:tcPr>
            <w:tcW w:w="790" w:type="dxa"/>
            <w:vAlign w:val="center"/>
          </w:tcPr>
          <w:p w14:paraId="3D5D14B8">
            <w:pPr>
              <w:widowControl/>
              <w:spacing w:line="300" w:lineRule="auto"/>
              <w:ind w:firstLine="0" w:firstLineChars="0"/>
              <w:jc w:val="left"/>
              <w:rPr>
                <w:rFonts w:ascii="宋体" w:hAnsi="宋体" w:cs="宋体"/>
                <w:color w:val="auto"/>
                <w:kern w:val="0"/>
                <w:sz w:val="21"/>
                <w:szCs w:val="21"/>
                <w:highlight w:val="none"/>
              </w:rPr>
            </w:pPr>
          </w:p>
        </w:tc>
      </w:tr>
      <w:tr w14:paraId="0002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67" w:type="dxa"/>
            <w:vMerge w:val="continue"/>
            <w:vAlign w:val="center"/>
          </w:tcPr>
          <w:p w14:paraId="4891F3F2">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2248782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数据真实性</w:t>
            </w:r>
          </w:p>
        </w:tc>
        <w:tc>
          <w:tcPr>
            <w:tcW w:w="4111" w:type="dxa"/>
            <w:vAlign w:val="center"/>
          </w:tcPr>
          <w:p w14:paraId="5136904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制造虚假数据</w:t>
            </w:r>
          </w:p>
        </w:tc>
        <w:tc>
          <w:tcPr>
            <w:tcW w:w="2044" w:type="dxa"/>
            <w:vAlign w:val="center"/>
          </w:tcPr>
          <w:p w14:paraId="354A471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终止合同，不予支付当季运维费用</w:t>
            </w:r>
          </w:p>
        </w:tc>
        <w:tc>
          <w:tcPr>
            <w:tcW w:w="709" w:type="dxa"/>
            <w:vAlign w:val="center"/>
          </w:tcPr>
          <w:p w14:paraId="7D961FE2">
            <w:pPr>
              <w:widowControl/>
              <w:spacing w:line="300" w:lineRule="auto"/>
              <w:ind w:firstLine="0" w:firstLineChars="0"/>
              <w:jc w:val="left"/>
              <w:rPr>
                <w:rFonts w:ascii="宋体" w:hAnsi="宋体" w:cs="宋体"/>
                <w:color w:val="auto"/>
                <w:kern w:val="0"/>
                <w:sz w:val="21"/>
                <w:szCs w:val="21"/>
                <w:highlight w:val="none"/>
              </w:rPr>
            </w:pPr>
          </w:p>
        </w:tc>
        <w:tc>
          <w:tcPr>
            <w:tcW w:w="790" w:type="dxa"/>
            <w:vAlign w:val="center"/>
          </w:tcPr>
          <w:p w14:paraId="03521BD7">
            <w:pPr>
              <w:widowControl/>
              <w:spacing w:line="300" w:lineRule="auto"/>
              <w:ind w:firstLine="0" w:firstLineChars="0"/>
              <w:jc w:val="left"/>
              <w:rPr>
                <w:rFonts w:ascii="宋体" w:hAnsi="宋体" w:cs="宋体"/>
                <w:color w:val="auto"/>
                <w:kern w:val="0"/>
                <w:sz w:val="21"/>
                <w:szCs w:val="21"/>
                <w:highlight w:val="none"/>
              </w:rPr>
            </w:pPr>
          </w:p>
        </w:tc>
      </w:tr>
      <w:tr w14:paraId="28B5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836" w:type="dxa"/>
            <w:gridSpan w:val="3"/>
            <w:vAlign w:val="center"/>
          </w:tcPr>
          <w:p w14:paraId="010AD6D8">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本季度考核总得分</w:t>
            </w:r>
          </w:p>
        </w:tc>
        <w:tc>
          <w:tcPr>
            <w:tcW w:w="3543" w:type="dxa"/>
            <w:gridSpan w:val="3"/>
            <w:vAlign w:val="center"/>
          </w:tcPr>
          <w:p w14:paraId="17E0DE1A">
            <w:pPr>
              <w:widowControl/>
              <w:spacing w:line="300" w:lineRule="auto"/>
              <w:ind w:firstLine="0" w:firstLineChars="0"/>
              <w:jc w:val="center"/>
              <w:rPr>
                <w:rFonts w:ascii="宋体" w:hAnsi="宋体" w:cs="宋体"/>
                <w:b/>
                <w:bCs/>
                <w:color w:val="auto"/>
                <w:kern w:val="0"/>
                <w:sz w:val="21"/>
                <w:szCs w:val="21"/>
                <w:highlight w:val="none"/>
              </w:rPr>
            </w:pPr>
          </w:p>
        </w:tc>
      </w:tr>
      <w:tr w14:paraId="2298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836" w:type="dxa"/>
            <w:gridSpan w:val="3"/>
            <w:vAlign w:val="center"/>
          </w:tcPr>
          <w:p w14:paraId="5023CEE9">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本季度考核总评价</w:t>
            </w:r>
          </w:p>
        </w:tc>
        <w:tc>
          <w:tcPr>
            <w:tcW w:w="3543" w:type="dxa"/>
            <w:gridSpan w:val="3"/>
            <w:vAlign w:val="center"/>
          </w:tcPr>
          <w:p w14:paraId="08C5AD5F">
            <w:pPr>
              <w:widowControl/>
              <w:spacing w:line="300" w:lineRule="auto"/>
              <w:ind w:firstLine="0" w:firstLineChars="0"/>
              <w:jc w:val="center"/>
              <w:rPr>
                <w:rFonts w:ascii="宋体" w:hAnsi="宋体" w:cs="宋体"/>
                <w:b/>
                <w:bCs/>
                <w:color w:val="auto"/>
                <w:kern w:val="0"/>
                <w:sz w:val="21"/>
                <w:szCs w:val="21"/>
                <w:highlight w:val="none"/>
              </w:rPr>
            </w:pPr>
          </w:p>
        </w:tc>
      </w:tr>
    </w:tbl>
    <w:p w14:paraId="57DCA0AE">
      <w:pPr>
        <w:pStyle w:val="44"/>
        <w:ind w:left="480"/>
        <w:rPr>
          <w:color w:val="auto"/>
          <w:highlight w:val="none"/>
        </w:rPr>
      </w:pPr>
    </w:p>
    <w:p w14:paraId="460D131E">
      <w:pPr>
        <w:pStyle w:val="44"/>
        <w:ind w:left="480"/>
        <w:rPr>
          <w:color w:val="auto"/>
          <w:highlight w:val="none"/>
        </w:rPr>
      </w:pPr>
    </w:p>
    <w:p w14:paraId="7EA352EA">
      <w:pPr>
        <w:pStyle w:val="44"/>
        <w:ind w:left="480"/>
        <w:rPr>
          <w:color w:val="auto"/>
          <w:highlight w:val="none"/>
        </w:rPr>
      </w:pPr>
    </w:p>
    <w:p w14:paraId="5AB0E639">
      <w:pPr>
        <w:pStyle w:val="44"/>
        <w:ind w:left="480"/>
        <w:rPr>
          <w:color w:val="auto"/>
          <w:highlight w:val="none"/>
        </w:rPr>
      </w:pPr>
    </w:p>
    <w:p w14:paraId="4F7D056D">
      <w:pPr>
        <w:pStyle w:val="44"/>
        <w:ind w:left="480"/>
        <w:rPr>
          <w:color w:val="auto"/>
          <w:highlight w:val="none"/>
        </w:rPr>
      </w:pPr>
    </w:p>
    <w:p w14:paraId="0A4615F2">
      <w:pPr>
        <w:pStyle w:val="44"/>
        <w:ind w:left="480"/>
        <w:rPr>
          <w:color w:val="auto"/>
          <w:highlight w:val="none"/>
        </w:rPr>
      </w:pPr>
    </w:p>
    <w:p w14:paraId="3DC4953E">
      <w:pPr>
        <w:pStyle w:val="44"/>
        <w:ind w:left="480"/>
        <w:rPr>
          <w:color w:val="auto"/>
          <w:highlight w:val="none"/>
        </w:rPr>
      </w:pPr>
    </w:p>
    <w:p w14:paraId="03777F84">
      <w:pPr>
        <w:spacing w:line="360" w:lineRule="exact"/>
        <w:ind w:firstLine="0" w:firstLineChars="0"/>
        <w:jc w:val="left"/>
        <w:rPr>
          <w:rFonts w:ascii="宋体" w:hAnsi="宋体"/>
          <w:b/>
          <w:color w:val="auto"/>
          <w:szCs w:val="24"/>
          <w:highlight w:val="none"/>
        </w:rPr>
      </w:pPr>
      <w:r>
        <w:rPr>
          <w:rFonts w:hint="eastAsia" w:ascii="宋体" w:hAnsi="宋体"/>
          <w:b/>
          <w:color w:val="auto"/>
          <w:szCs w:val="24"/>
          <w:highlight w:val="none"/>
        </w:rPr>
        <w:t>分标3</w:t>
      </w:r>
    </w:p>
    <w:tbl>
      <w:tblPr>
        <w:tblStyle w:val="45"/>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92"/>
        <w:gridCol w:w="6311"/>
        <w:gridCol w:w="493"/>
        <w:gridCol w:w="425"/>
        <w:gridCol w:w="1015"/>
      </w:tblGrid>
      <w:tr w14:paraId="7B85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869" w:type="dxa"/>
            <w:gridSpan w:val="6"/>
            <w:vAlign w:val="center"/>
          </w:tcPr>
          <w:p w14:paraId="1A63A387">
            <w:pPr>
              <w:spacing w:line="380" w:lineRule="exact"/>
              <w:ind w:firstLine="0" w:firstLineChars="0"/>
              <w:rPr>
                <w:rFonts w:ascii="宋体" w:hAnsi="宋体"/>
                <w:b/>
                <w:color w:val="auto"/>
                <w:kern w:val="21"/>
                <w:sz w:val="21"/>
                <w:szCs w:val="21"/>
                <w:highlight w:val="none"/>
              </w:rPr>
            </w:pPr>
            <w:r>
              <w:rPr>
                <w:rFonts w:hint="eastAsia" w:ascii="宋体" w:hAnsi="宋体"/>
                <w:b/>
                <w:color w:val="auto"/>
                <w:kern w:val="21"/>
                <w:sz w:val="21"/>
                <w:szCs w:val="21"/>
                <w:highlight w:val="none"/>
              </w:rPr>
              <w:t>▲一、服务内容及相关要求</w:t>
            </w:r>
          </w:p>
        </w:tc>
      </w:tr>
      <w:tr w14:paraId="3BAF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33" w:type="dxa"/>
            <w:shd w:val="clear" w:color="auto" w:fill="auto"/>
            <w:vAlign w:val="center"/>
          </w:tcPr>
          <w:p w14:paraId="3EC947CE">
            <w:pPr>
              <w:spacing w:line="380" w:lineRule="exact"/>
              <w:ind w:firstLine="0" w:firstLineChars="0"/>
              <w:jc w:val="center"/>
              <w:rPr>
                <w:rFonts w:ascii="宋体" w:hAnsi="宋体"/>
                <w:b/>
                <w:color w:val="auto"/>
                <w:kern w:val="21"/>
                <w:sz w:val="21"/>
                <w:szCs w:val="21"/>
                <w:highlight w:val="none"/>
              </w:rPr>
            </w:pPr>
            <w:r>
              <w:rPr>
                <w:rFonts w:ascii="宋体" w:hAnsi="宋体"/>
                <w:b/>
                <w:color w:val="auto"/>
                <w:kern w:val="21"/>
                <w:sz w:val="21"/>
                <w:szCs w:val="21"/>
                <w:highlight w:val="none"/>
              </w:rPr>
              <w:t>序号</w:t>
            </w:r>
          </w:p>
        </w:tc>
        <w:tc>
          <w:tcPr>
            <w:tcW w:w="992" w:type="dxa"/>
            <w:shd w:val="clear" w:color="auto" w:fill="auto"/>
            <w:vAlign w:val="center"/>
          </w:tcPr>
          <w:p w14:paraId="4AD4919C">
            <w:pPr>
              <w:spacing w:line="380" w:lineRule="exact"/>
              <w:ind w:firstLine="0" w:firstLineChars="0"/>
              <w:jc w:val="center"/>
              <w:rPr>
                <w:rFonts w:ascii="宋体" w:hAnsi="宋体"/>
                <w:b/>
                <w:color w:val="auto"/>
                <w:kern w:val="21"/>
                <w:sz w:val="21"/>
                <w:szCs w:val="21"/>
                <w:highlight w:val="none"/>
              </w:rPr>
            </w:pPr>
            <w:r>
              <w:rPr>
                <w:rFonts w:ascii="宋体" w:hAnsi="宋体"/>
                <w:b/>
                <w:color w:val="auto"/>
                <w:kern w:val="21"/>
                <w:sz w:val="21"/>
                <w:szCs w:val="21"/>
                <w:highlight w:val="none"/>
              </w:rPr>
              <w:t>服务名称</w:t>
            </w:r>
          </w:p>
        </w:tc>
        <w:tc>
          <w:tcPr>
            <w:tcW w:w="6311" w:type="dxa"/>
            <w:shd w:val="clear" w:color="auto" w:fill="auto"/>
            <w:vAlign w:val="center"/>
          </w:tcPr>
          <w:p w14:paraId="57E2FD77">
            <w:pPr>
              <w:spacing w:line="380" w:lineRule="exact"/>
              <w:ind w:firstLine="0" w:firstLineChars="0"/>
              <w:jc w:val="center"/>
              <w:rPr>
                <w:rFonts w:ascii="宋体" w:hAnsi="宋体"/>
                <w:b/>
                <w:color w:val="auto"/>
                <w:kern w:val="21"/>
                <w:sz w:val="21"/>
                <w:szCs w:val="21"/>
                <w:highlight w:val="none"/>
              </w:rPr>
            </w:pPr>
            <w:r>
              <w:rPr>
                <w:rFonts w:ascii="宋体" w:hAnsi="宋体"/>
                <w:b/>
                <w:color w:val="auto"/>
                <w:kern w:val="21"/>
                <w:sz w:val="21"/>
                <w:szCs w:val="21"/>
                <w:highlight w:val="none"/>
              </w:rPr>
              <w:t>服务内容</w:t>
            </w:r>
          </w:p>
        </w:tc>
        <w:tc>
          <w:tcPr>
            <w:tcW w:w="493" w:type="dxa"/>
            <w:shd w:val="clear" w:color="auto" w:fill="auto"/>
            <w:vAlign w:val="center"/>
          </w:tcPr>
          <w:p w14:paraId="3A22985F">
            <w:pPr>
              <w:spacing w:line="380" w:lineRule="exact"/>
              <w:ind w:firstLine="0" w:firstLineChars="0"/>
              <w:jc w:val="center"/>
              <w:rPr>
                <w:rFonts w:ascii="宋体" w:hAnsi="宋体"/>
                <w:b/>
                <w:color w:val="auto"/>
                <w:kern w:val="21"/>
                <w:sz w:val="21"/>
                <w:szCs w:val="21"/>
                <w:highlight w:val="none"/>
              </w:rPr>
            </w:pPr>
            <w:r>
              <w:rPr>
                <w:rFonts w:ascii="宋体" w:hAnsi="宋体"/>
                <w:b/>
                <w:color w:val="auto"/>
                <w:kern w:val="21"/>
                <w:sz w:val="21"/>
                <w:szCs w:val="21"/>
                <w:highlight w:val="none"/>
              </w:rPr>
              <w:t>数量</w:t>
            </w:r>
          </w:p>
        </w:tc>
        <w:tc>
          <w:tcPr>
            <w:tcW w:w="425" w:type="dxa"/>
            <w:shd w:val="clear" w:color="auto" w:fill="auto"/>
            <w:vAlign w:val="center"/>
          </w:tcPr>
          <w:p w14:paraId="5C3C3BB1">
            <w:pPr>
              <w:spacing w:line="380" w:lineRule="exact"/>
              <w:ind w:firstLine="0" w:firstLineChars="0"/>
              <w:jc w:val="center"/>
              <w:rPr>
                <w:rFonts w:ascii="宋体" w:hAnsi="宋体"/>
                <w:b/>
                <w:color w:val="auto"/>
                <w:kern w:val="21"/>
                <w:sz w:val="21"/>
                <w:szCs w:val="21"/>
                <w:highlight w:val="none"/>
              </w:rPr>
            </w:pPr>
            <w:r>
              <w:rPr>
                <w:rFonts w:ascii="宋体" w:hAnsi="宋体"/>
                <w:b/>
                <w:color w:val="auto"/>
                <w:kern w:val="21"/>
                <w:sz w:val="21"/>
                <w:szCs w:val="21"/>
                <w:highlight w:val="none"/>
              </w:rPr>
              <w:t>单位</w:t>
            </w:r>
          </w:p>
        </w:tc>
        <w:tc>
          <w:tcPr>
            <w:tcW w:w="1015" w:type="dxa"/>
            <w:shd w:val="clear" w:color="auto" w:fill="auto"/>
            <w:vAlign w:val="center"/>
          </w:tcPr>
          <w:p w14:paraId="0DCAE493">
            <w:pPr>
              <w:spacing w:line="380" w:lineRule="exact"/>
              <w:ind w:firstLine="0" w:firstLineChars="0"/>
              <w:jc w:val="center"/>
              <w:rPr>
                <w:rFonts w:ascii="宋体" w:hAnsi="宋体"/>
                <w:b/>
                <w:color w:val="auto"/>
                <w:kern w:val="21"/>
                <w:sz w:val="21"/>
                <w:szCs w:val="21"/>
                <w:highlight w:val="none"/>
              </w:rPr>
            </w:pPr>
            <w:r>
              <w:rPr>
                <w:rFonts w:ascii="宋体" w:hAnsi="宋体"/>
                <w:b/>
                <w:color w:val="auto"/>
                <w:kern w:val="21"/>
                <w:sz w:val="21"/>
                <w:szCs w:val="21"/>
                <w:highlight w:val="none"/>
              </w:rPr>
              <w:t>预算金额（万元）</w:t>
            </w:r>
          </w:p>
        </w:tc>
      </w:tr>
      <w:tr w14:paraId="28EF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33" w:type="dxa"/>
            <w:vAlign w:val="center"/>
          </w:tcPr>
          <w:p w14:paraId="578510DE">
            <w:pPr>
              <w:spacing w:line="35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992" w:type="dxa"/>
            <w:vAlign w:val="center"/>
          </w:tcPr>
          <w:p w14:paraId="26E5014C">
            <w:pPr>
              <w:spacing w:line="350" w:lineRule="exact"/>
              <w:ind w:firstLine="0" w:firstLineChars="0"/>
              <w:jc w:val="center"/>
              <w:rPr>
                <w:rFonts w:ascii="宋体" w:hAnsi="宋体"/>
                <w:color w:val="auto"/>
                <w:kern w:val="21"/>
                <w:sz w:val="21"/>
                <w:szCs w:val="21"/>
                <w:highlight w:val="none"/>
              </w:rPr>
            </w:pPr>
            <w:r>
              <w:rPr>
                <w:rFonts w:hint="eastAsia" w:ascii="宋体" w:hAnsi="宋体" w:cs="宋体"/>
                <w:color w:val="auto"/>
                <w:sz w:val="21"/>
                <w:szCs w:val="24"/>
                <w:highlight w:val="none"/>
              </w:rPr>
              <w:t>2个环境空气自动监测站运行维护服务</w:t>
            </w:r>
          </w:p>
        </w:tc>
        <w:tc>
          <w:tcPr>
            <w:tcW w:w="6311" w:type="dxa"/>
            <w:vAlign w:val="center"/>
          </w:tcPr>
          <w:p w14:paraId="3A6F829F">
            <w:pPr>
              <w:spacing w:line="340" w:lineRule="exact"/>
              <w:ind w:firstLine="413" w:firstLineChars="196"/>
              <w:rPr>
                <w:rFonts w:ascii="宋体" w:hAnsi="宋体"/>
                <w:b/>
                <w:bCs/>
                <w:color w:val="auto"/>
                <w:sz w:val="21"/>
                <w:szCs w:val="21"/>
                <w:highlight w:val="none"/>
              </w:rPr>
            </w:pPr>
            <w:r>
              <w:rPr>
                <w:rFonts w:hint="eastAsia" w:ascii="宋体" w:hAnsi="宋体" w:cs="宋体"/>
                <w:b/>
                <w:bCs/>
                <w:color w:val="auto"/>
                <w:sz w:val="21"/>
                <w:szCs w:val="21"/>
                <w:highlight w:val="none"/>
              </w:rPr>
              <w:t>（一）桂林空气自动监测站情况</w:t>
            </w:r>
          </w:p>
          <w:p w14:paraId="62F2E893">
            <w:pPr>
              <w:spacing w:line="340" w:lineRule="exact"/>
              <w:ind w:firstLine="420"/>
              <w:rPr>
                <w:rFonts w:ascii="宋体" w:hAnsi="宋体"/>
                <w:color w:val="auto"/>
                <w:sz w:val="21"/>
                <w:szCs w:val="21"/>
                <w:highlight w:val="none"/>
              </w:rPr>
            </w:pPr>
            <w:r>
              <w:rPr>
                <w:rFonts w:hint="eastAsia" w:ascii="宋体" w:hAnsi="宋体" w:cs="宋体"/>
                <w:color w:val="auto"/>
                <w:sz w:val="21"/>
                <w:szCs w:val="21"/>
                <w:highlight w:val="none"/>
              </w:rPr>
              <w:t>桂林市林业科学研究所、秀峰区政府2个环境空气自动监测站，2个环境空气自动监测站都为市控空气自动监测站。主要监测污染物有6项，分别为： 二氧化硫（SO</w:t>
            </w:r>
            <w:r>
              <w:rPr>
                <w:rFonts w:hint="eastAsia" w:ascii="宋体" w:hAnsi="宋体" w:cs="宋体"/>
                <w:color w:val="auto"/>
                <w:sz w:val="21"/>
                <w:szCs w:val="21"/>
                <w:highlight w:val="none"/>
                <w:vertAlign w:val="subscript"/>
              </w:rPr>
              <w:t>2</w:t>
            </w:r>
            <w:r>
              <w:rPr>
                <w:rFonts w:hint="eastAsia" w:ascii="宋体" w:hAnsi="宋体" w:cs="宋体"/>
                <w:color w:val="auto"/>
                <w:sz w:val="21"/>
                <w:szCs w:val="21"/>
                <w:highlight w:val="none"/>
              </w:rPr>
              <w:t>）、二氧化氮（NO</w:t>
            </w:r>
            <w:r>
              <w:rPr>
                <w:rFonts w:hint="eastAsia" w:ascii="宋体" w:hAnsi="宋体" w:cs="宋体"/>
                <w:color w:val="auto"/>
                <w:sz w:val="21"/>
                <w:szCs w:val="21"/>
                <w:highlight w:val="none"/>
                <w:vertAlign w:val="subscript"/>
              </w:rPr>
              <w:t>2</w:t>
            </w:r>
            <w:r>
              <w:rPr>
                <w:rFonts w:hint="eastAsia" w:ascii="宋体" w:hAnsi="宋体" w:cs="宋体"/>
                <w:color w:val="auto"/>
                <w:sz w:val="21"/>
                <w:szCs w:val="21"/>
                <w:highlight w:val="none"/>
              </w:rPr>
              <w:t>）、颗粒物（PM</w:t>
            </w:r>
            <w:r>
              <w:rPr>
                <w:rFonts w:hint="eastAsia" w:ascii="宋体" w:hAnsi="宋体" w:cs="宋体"/>
                <w:color w:val="auto"/>
                <w:sz w:val="21"/>
                <w:szCs w:val="21"/>
                <w:highlight w:val="none"/>
                <w:vertAlign w:val="subscript"/>
              </w:rPr>
              <w:t>10，</w:t>
            </w:r>
            <w:r>
              <w:rPr>
                <w:rFonts w:hint="eastAsia" w:ascii="宋体" w:hAnsi="宋体" w:cs="宋体"/>
                <w:color w:val="auto"/>
                <w:sz w:val="21"/>
                <w:szCs w:val="21"/>
                <w:highlight w:val="none"/>
              </w:rPr>
              <w:t>粒径≤10微米）、颗粒物（PM</w:t>
            </w:r>
            <w:r>
              <w:rPr>
                <w:rFonts w:hint="eastAsia" w:ascii="宋体" w:hAnsi="宋体" w:cs="宋体"/>
                <w:color w:val="auto"/>
                <w:sz w:val="21"/>
                <w:szCs w:val="21"/>
                <w:highlight w:val="none"/>
                <w:vertAlign w:val="subscript"/>
              </w:rPr>
              <w:t>2.5</w:t>
            </w:r>
            <w:r>
              <w:rPr>
                <w:rFonts w:hint="eastAsia" w:ascii="宋体" w:hAnsi="宋体" w:cs="宋体"/>
                <w:color w:val="auto"/>
                <w:sz w:val="21"/>
                <w:szCs w:val="21"/>
                <w:highlight w:val="none"/>
              </w:rPr>
              <w:t>, 粒径≤2.5微米）、一氧化碳（CO）、臭氧（O</w:t>
            </w:r>
            <w:r>
              <w:rPr>
                <w:rFonts w:hint="eastAsia" w:ascii="宋体" w:hAnsi="宋体" w:cs="宋体"/>
                <w:color w:val="auto"/>
                <w:sz w:val="21"/>
                <w:szCs w:val="21"/>
                <w:highlight w:val="none"/>
                <w:vertAlign w:val="subscript"/>
              </w:rPr>
              <w:t>3</w:t>
            </w:r>
            <w:r>
              <w:rPr>
                <w:rFonts w:hint="eastAsia" w:ascii="宋体" w:hAnsi="宋体" w:cs="宋体"/>
                <w:color w:val="auto"/>
                <w:sz w:val="21"/>
                <w:szCs w:val="21"/>
                <w:highlight w:val="none"/>
              </w:rPr>
              <w:t>），气象监测系统辅助监测项目有气温、气压、风向、风速和雨量等。</w:t>
            </w:r>
          </w:p>
          <w:p w14:paraId="1BD12EF0">
            <w:pPr>
              <w:spacing w:line="340" w:lineRule="exact"/>
              <w:ind w:firstLine="420"/>
              <w:rPr>
                <w:rFonts w:ascii="宋体" w:hAnsi="宋体"/>
                <w:color w:val="auto"/>
                <w:sz w:val="21"/>
                <w:szCs w:val="21"/>
                <w:highlight w:val="none"/>
              </w:rPr>
            </w:pPr>
            <w:r>
              <w:rPr>
                <w:rFonts w:hint="eastAsia" w:ascii="宋体" w:hAnsi="宋体" w:cs="宋体"/>
                <w:color w:val="auto"/>
                <w:sz w:val="21"/>
                <w:szCs w:val="21"/>
                <w:highlight w:val="none"/>
              </w:rPr>
              <w:t>整个空气自动监测系统通过光纤宽带与各自动监测子站连接，进行数据传输收集、仪器校准、数据监控。</w:t>
            </w:r>
          </w:p>
          <w:p w14:paraId="4302775E">
            <w:pPr>
              <w:spacing w:line="340" w:lineRule="exact"/>
              <w:ind w:firstLine="420"/>
              <w:rPr>
                <w:rFonts w:ascii="宋体" w:hAnsi="宋体"/>
                <w:color w:val="auto"/>
                <w:sz w:val="21"/>
                <w:szCs w:val="21"/>
                <w:highlight w:val="none"/>
              </w:rPr>
            </w:pPr>
            <w:r>
              <w:rPr>
                <w:rFonts w:hint="eastAsia" w:ascii="宋体" w:hAnsi="宋体" w:cs="宋体"/>
                <w:color w:val="auto"/>
                <w:sz w:val="21"/>
                <w:szCs w:val="21"/>
                <w:highlight w:val="none"/>
              </w:rPr>
              <w:t>本次托管的系统运行维护包括空气自动监测子站所有监测仪器、辅助设备、监测站房设施</w:t>
            </w:r>
            <w:r>
              <w:rPr>
                <w:rFonts w:hint="eastAsia" w:ascii="宋体" w:hAnsi="宋体" w:cs="宋体"/>
                <w:color w:val="auto"/>
                <w:sz w:val="21"/>
                <w:szCs w:val="21"/>
                <w:highlight w:val="none"/>
                <w:lang w:eastAsia="zh-CN"/>
              </w:rPr>
              <w:t>等</w:t>
            </w:r>
            <w:r>
              <w:rPr>
                <w:rFonts w:hint="eastAsia" w:ascii="宋体" w:hAnsi="宋体" w:cs="宋体"/>
                <w:color w:val="auto"/>
                <w:sz w:val="21"/>
                <w:szCs w:val="21"/>
                <w:highlight w:val="none"/>
              </w:rPr>
              <w:t>，其中监测仪器包括分析仪、零气发生器、动态气体校准仪和气象监测系统等，辅助设备包括子站工控机、样品采集系统、数据传输系统、防雷系统、钢瓶气、UPS及发电系统、温控系统、安全设施、子站环境条件控制设施等。</w:t>
            </w:r>
          </w:p>
          <w:p w14:paraId="50AA243E">
            <w:pPr>
              <w:spacing w:line="340" w:lineRule="exact"/>
              <w:ind w:firstLine="413" w:firstLineChars="196"/>
              <w:rPr>
                <w:rFonts w:ascii="宋体" w:hAnsi="宋体"/>
                <w:b/>
                <w:bCs/>
                <w:color w:val="auto"/>
                <w:spacing w:val="-8"/>
                <w:sz w:val="21"/>
                <w:szCs w:val="21"/>
                <w:highlight w:val="none"/>
              </w:rPr>
            </w:pPr>
            <w:r>
              <w:rPr>
                <w:rFonts w:hint="eastAsia" w:ascii="宋体" w:hAnsi="宋体" w:cs="宋体"/>
                <w:b/>
                <w:bCs/>
                <w:color w:val="auto"/>
                <w:sz w:val="21"/>
                <w:szCs w:val="21"/>
                <w:highlight w:val="none"/>
              </w:rPr>
              <w:t>（二）</w:t>
            </w:r>
            <w:r>
              <w:rPr>
                <w:rFonts w:hint="eastAsia" w:ascii="宋体" w:hAnsi="宋体" w:cs="宋体"/>
                <w:b/>
                <w:bCs/>
                <w:color w:val="auto"/>
                <w:spacing w:val="-8"/>
                <w:sz w:val="21"/>
                <w:szCs w:val="21"/>
                <w:highlight w:val="none"/>
              </w:rPr>
              <w:t>运维工作内容</w:t>
            </w:r>
          </w:p>
          <w:p w14:paraId="2A3D4939">
            <w:pPr>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本次要求托管的为桂林市林业科学研究所、秀峰区政府2个环境空气自动监测站，供应商需负责2个空气自动监测站的一切设施（设施清单详见下表）的运维及管理。</w:t>
            </w:r>
          </w:p>
          <w:p w14:paraId="0C2EDC5D">
            <w:pPr>
              <w:spacing w:line="350" w:lineRule="exact"/>
              <w:ind w:firstLine="422"/>
              <w:rPr>
                <w:rFonts w:ascii="宋体" w:hAnsi="宋体"/>
                <w:b/>
                <w:color w:val="auto"/>
                <w:sz w:val="21"/>
                <w:szCs w:val="21"/>
                <w:highlight w:val="none"/>
              </w:rPr>
            </w:pPr>
            <w:r>
              <w:rPr>
                <w:rFonts w:hint="eastAsia" w:ascii="宋体" w:hAnsi="宋体"/>
                <w:b/>
                <w:color w:val="auto"/>
                <w:sz w:val="21"/>
                <w:szCs w:val="21"/>
                <w:highlight w:val="none"/>
              </w:rPr>
              <w:t>2个空气自动监测站的设施一览表：</w:t>
            </w:r>
          </w:p>
          <w:tbl>
            <w:tblPr>
              <w:tblStyle w:val="45"/>
              <w:tblW w:w="5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269"/>
              <w:gridCol w:w="2226"/>
              <w:gridCol w:w="754"/>
            </w:tblGrid>
            <w:tr w14:paraId="096D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jc w:val="center"/>
              </w:trPr>
              <w:tc>
                <w:tcPr>
                  <w:tcW w:w="551" w:type="dxa"/>
                  <w:tcBorders>
                    <w:top w:val="single" w:color="auto" w:sz="4" w:space="0"/>
                    <w:left w:val="single" w:color="auto" w:sz="4" w:space="0"/>
                    <w:bottom w:val="single" w:color="auto" w:sz="4" w:space="0"/>
                    <w:right w:val="single" w:color="auto" w:sz="4" w:space="0"/>
                  </w:tcBorders>
                  <w:vAlign w:val="center"/>
                </w:tcPr>
                <w:p w14:paraId="7CC8884A">
                  <w:pPr>
                    <w:spacing w:line="350" w:lineRule="exact"/>
                    <w:ind w:firstLine="0" w:firstLineChars="0"/>
                    <w:jc w:val="center"/>
                    <w:rPr>
                      <w:rFonts w:ascii="宋体" w:hAnsi="宋体"/>
                      <w:color w:val="auto"/>
                      <w:sz w:val="21"/>
                      <w:szCs w:val="21"/>
                      <w:highlight w:val="none"/>
                      <w:lang w:val="zh-CN"/>
                    </w:rPr>
                  </w:pPr>
                  <w:r>
                    <w:rPr>
                      <w:rFonts w:hint="eastAsia" w:ascii="宋体" w:hAnsi="宋体"/>
                      <w:color w:val="auto"/>
                      <w:sz w:val="21"/>
                      <w:szCs w:val="21"/>
                      <w:highlight w:val="none"/>
                      <w:lang w:val="zh-CN"/>
                    </w:rPr>
                    <w:t>序号</w:t>
                  </w:r>
                </w:p>
              </w:tc>
              <w:tc>
                <w:tcPr>
                  <w:tcW w:w="2269" w:type="dxa"/>
                  <w:tcBorders>
                    <w:top w:val="single" w:color="auto" w:sz="4" w:space="0"/>
                    <w:left w:val="single" w:color="auto" w:sz="4" w:space="0"/>
                    <w:bottom w:val="single" w:color="auto" w:sz="4" w:space="0"/>
                    <w:right w:val="single" w:color="auto" w:sz="4" w:space="0"/>
                  </w:tcBorders>
                  <w:vAlign w:val="center"/>
                </w:tcPr>
                <w:p w14:paraId="34217B0A">
                  <w:pPr>
                    <w:spacing w:line="350" w:lineRule="exact"/>
                    <w:ind w:firstLine="0" w:firstLineChars="0"/>
                    <w:jc w:val="center"/>
                    <w:rPr>
                      <w:rFonts w:ascii="宋体" w:hAnsi="宋体"/>
                      <w:color w:val="auto"/>
                      <w:sz w:val="21"/>
                      <w:szCs w:val="21"/>
                      <w:highlight w:val="none"/>
                      <w:lang w:val="zh-CN"/>
                    </w:rPr>
                  </w:pPr>
                  <w:r>
                    <w:rPr>
                      <w:rFonts w:hint="eastAsia" w:ascii="宋体" w:hAnsi="宋体"/>
                      <w:color w:val="auto"/>
                      <w:sz w:val="21"/>
                      <w:szCs w:val="21"/>
                      <w:highlight w:val="none"/>
                      <w:lang w:val="zh-CN"/>
                    </w:rPr>
                    <w:t>名称</w:t>
                  </w:r>
                </w:p>
              </w:tc>
              <w:tc>
                <w:tcPr>
                  <w:tcW w:w="2226" w:type="dxa"/>
                  <w:tcBorders>
                    <w:top w:val="single" w:color="auto" w:sz="4" w:space="0"/>
                    <w:left w:val="single" w:color="auto" w:sz="4" w:space="0"/>
                    <w:bottom w:val="single" w:color="auto" w:sz="4" w:space="0"/>
                    <w:right w:val="single" w:color="auto" w:sz="4" w:space="0"/>
                  </w:tcBorders>
                  <w:vAlign w:val="center"/>
                </w:tcPr>
                <w:p w14:paraId="037A07BA">
                  <w:pPr>
                    <w:spacing w:line="350" w:lineRule="exact"/>
                    <w:ind w:firstLine="0" w:firstLineChars="0"/>
                    <w:jc w:val="center"/>
                    <w:rPr>
                      <w:rFonts w:ascii="宋体" w:hAnsi="宋体"/>
                      <w:color w:val="auto"/>
                      <w:sz w:val="21"/>
                      <w:szCs w:val="21"/>
                      <w:highlight w:val="none"/>
                      <w:lang w:val="zh-CN"/>
                    </w:rPr>
                  </w:pPr>
                  <w:r>
                    <w:rPr>
                      <w:rFonts w:hint="eastAsia" w:ascii="宋体" w:hAnsi="宋体"/>
                      <w:color w:val="auto"/>
                      <w:sz w:val="21"/>
                      <w:szCs w:val="21"/>
                      <w:highlight w:val="none"/>
                      <w:lang w:val="zh-CN"/>
                    </w:rPr>
                    <w:t>品牌、型号规格</w:t>
                  </w:r>
                </w:p>
              </w:tc>
              <w:tc>
                <w:tcPr>
                  <w:tcW w:w="754" w:type="dxa"/>
                  <w:tcBorders>
                    <w:top w:val="single" w:color="auto" w:sz="4" w:space="0"/>
                    <w:left w:val="single" w:color="auto" w:sz="4" w:space="0"/>
                    <w:bottom w:val="single" w:color="auto" w:sz="4" w:space="0"/>
                    <w:right w:val="single" w:color="auto" w:sz="4" w:space="0"/>
                  </w:tcBorders>
                  <w:vAlign w:val="center"/>
                </w:tcPr>
                <w:p w14:paraId="7B871CEB">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数量</w:t>
                  </w:r>
                </w:p>
              </w:tc>
            </w:tr>
            <w:tr w14:paraId="0117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44EDCC03">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vAlign w:val="center"/>
                </w:tcPr>
                <w:p w14:paraId="71B85EA9">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臭氧分析仪</w:t>
                  </w:r>
                </w:p>
              </w:tc>
              <w:tc>
                <w:tcPr>
                  <w:tcW w:w="2226" w:type="dxa"/>
                  <w:tcBorders>
                    <w:top w:val="single" w:color="auto" w:sz="4" w:space="0"/>
                    <w:left w:val="single" w:color="auto" w:sz="4" w:space="0"/>
                    <w:bottom w:val="single" w:color="auto" w:sz="4" w:space="0"/>
                    <w:right w:val="single" w:color="auto" w:sz="4" w:space="0"/>
                  </w:tcBorders>
                  <w:vAlign w:val="center"/>
                </w:tcPr>
                <w:p w14:paraId="491475DA">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zh-CN"/>
                    </w:rPr>
                    <w:t>TAPI、T400</w:t>
                  </w:r>
                </w:p>
              </w:tc>
              <w:tc>
                <w:tcPr>
                  <w:tcW w:w="754" w:type="dxa"/>
                  <w:tcBorders>
                    <w:top w:val="single" w:color="auto" w:sz="4" w:space="0"/>
                    <w:left w:val="single" w:color="auto" w:sz="4" w:space="0"/>
                    <w:bottom w:val="single" w:color="auto" w:sz="4" w:space="0"/>
                    <w:right w:val="single" w:color="auto" w:sz="4" w:space="0"/>
                  </w:tcBorders>
                  <w:vAlign w:val="center"/>
                </w:tcPr>
                <w:p w14:paraId="30F9FACC">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2台</w:t>
                  </w:r>
                </w:p>
              </w:tc>
            </w:tr>
            <w:tr w14:paraId="2005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710CE357">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vAlign w:val="center"/>
                </w:tcPr>
                <w:p w14:paraId="167A635D">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一氧化碳分析仪</w:t>
                  </w:r>
                </w:p>
              </w:tc>
              <w:tc>
                <w:tcPr>
                  <w:tcW w:w="2226" w:type="dxa"/>
                  <w:tcBorders>
                    <w:top w:val="single" w:color="auto" w:sz="4" w:space="0"/>
                    <w:left w:val="single" w:color="auto" w:sz="4" w:space="0"/>
                    <w:bottom w:val="single" w:color="auto" w:sz="4" w:space="0"/>
                    <w:right w:val="single" w:color="auto" w:sz="4" w:space="0"/>
                  </w:tcBorders>
                  <w:vAlign w:val="center"/>
                </w:tcPr>
                <w:p w14:paraId="7042B53C">
                  <w:pPr>
                    <w:spacing w:line="350" w:lineRule="exact"/>
                    <w:ind w:firstLine="0" w:firstLineChars="0"/>
                    <w:jc w:val="center"/>
                    <w:rPr>
                      <w:rFonts w:ascii="宋体" w:hAnsi="宋体"/>
                      <w:color w:val="auto"/>
                      <w:sz w:val="21"/>
                      <w:szCs w:val="21"/>
                      <w:highlight w:val="none"/>
                      <w:lang w:val="zh-CN"/>
                    </w:rPr>
                  </w:pPr>
                  <w:r>
                    <w:rPr>
                      <w:rFonts w:hint="eastAsia" w:ascii="宋体" w:hAnsi="宋体"/>
                      <w:color w:val="auto"/>
                      <w:sz w:val="21"/>
                      <w:szCs w:val="21"/>
                      <w:highlight w:val="none"/>
                      <w:lang w:val="zh-CN"/>
                    </w:rPr>
                    <w:t>TAPI、T300</w:t>
                  </w:r>
                </w:p>
              </w:tc>
              <w:tc>
                <w:tcPr>
                  <w:tcW w:w="754" w:type="dxa"/>
                  <w:tcBorders>
                    <w:top w:val="single" w:color="auto" w:sz="4" w:space="0"/>
                    <w:left w:val="single" w:color="auto" w:sz="4" w:space="0"/>
                    <w:bottom w:val="single" w:color="auto" w:sz="4" w:space="0"/>
                    <w:right w:val="single" w:color="auto" w:sz="4" w:space="0"/>
                  </w:tcBorders>
                  <w:vAlign w:val="center"/>
                </w:tcPr>
                <w:p w14:paraId="4A2F9F74">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2台</w:t>
                  </w:r>
                </w:p>
              </w:tc>
            </w:tr>
            <w:tr w14:paraId="06A2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7C8E1FA5">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vAlign w:val="center"/>
                </w:tcPr>
                <w:p w14:paraId="7360E504">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PM</w:t>
                  </w:r>
                  <w:r>
                    <w:rPr>
                      <w:rFonts w:hint="eastAsia" w:ascii="宋体" w:hAnsi="宋体"/>
                      <w:color w:val="auto"/>
                      <w:sz w:val="21"/>
                      <w:szCs w:val="21"/>
                      <w:highlight w:val="none"/>
                      <w:vertAlign w:val="subscript"/>
                    </w:rPr>
                    <w:t>2.5</w:t>
                  </w:r>
                  <w:r>
                    <w:rPr>
                      <w:rFonts w:hint="eastAsia" w:ascii="宋体" w:hAnsi="宋体"/>
                      <w:color w:val="auto"/>
                      <w:sz w:val="21"/>
                      <w:szCs w:val="21"/>
                      <w:highlight w:val="none"/>
                    </w:rPr>
                    <w:t>分析仪</w:t>
                  </w:r>
                </w:p>
              </w:tc>
              <w:tc>
                <w:tcPr>
                  <w:tcW w:w="2226" w:type="dxa"/>
                  <w:tcBorders>
                    <w:top w:val="single" w:color="auto" w:sz="4" w:space="0"/>
                    <w:left w:val="single" w:color="auto" w:sz="4" w:space="0"/>
                    <w:bottom w:val="single" w:color="auto" w:sz="4" w:space="0"/>
                    <w:right w:val="single" w:color="auto" w:sz="4" w:space="0"/>
                  </w:tcBorders>
                  <w:vAlign w:val="center"/>
                </w:tcPr>
                <w:p w14:paraId="673EAFD4">
                  <w:pPr>
                    <w:spacing w:line="350" w:lineRule="exact"/>
                    <w:ind w:firstLine="0" w:firstLineChars="0"/>
                    <w:jc w:val="center"/>
                    <w:rPr>
                      <w:rFonts w:ascii="宋体" w:hAnsi="宋体"/>
                      <w:color w:val="auto"/>
                      <w:sz w:val="21"/>
                      <w:szCs w:val="21"/>
                      <w:highlight w:val="none"/>
                      <w:lang w:val="zh-CN"/>
                    </w:rPr>
                  </w:pPr>
                  <w:r>
                    <w:rPr>
                      <w:rFonts w:hint="eastAsia" w:ascii="宋体" w:hAnsi="宋体"/>
                      <w:color w:val="auto"/>
                      <w:sz w:val="21"/>
                      <w:szCs w:val="21"/>
                      <w:highlight w:val="none"/>
                      <w:lang w:val="zh-CN"/>
                    </w:rPr>
                    <w:t>先河、XHPM2000E</w:t>
                  </w:r>
                </w:p>
              </w:tc>
              <w:tc>
                <w:tcPr>
                  <w:tcW w:w="754" w:type="dxa"/>
                  <w:tcBorders>
                    <w:top w:val="single" w:color="auto" w:sz="4" w:space="0"/>
                    <w:left w:val="single" w:color="auto" w:sz="4" w:space="0"/>
                    <w:bottom w:val="single" w:color="auto" w:sz="4" w:space="0"/>
                    <w:right w:val="single" w:color="auto" w:sz="4" w:space="0"/>
                  </w:tcBorders>
                  <w:vAlign w:val="center"/>
                </w:tcPr>
                <w:p w14:paraId="6AEC4F13">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2台</w:t>
                  </w:r>
                </w:p>
              </w:tc>
            </w:tr>
            <w:tr w14:paraId="71C9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22C0B22F">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269" w:type="dxa"/>
                  <w:tcBorders>
                    <w:top w:val="single" w:color="auto" w:sz="4" w:space="0"/>
                    <w:left w:val="single" w:color="auto" w:sz="4" w:space="0"/>
                    <w:bottom w:val="single" w:color="auto" w:sz="4" w:space="0"/>
                    <w:right w:val="single" w:color="auto" w:sz="4" w:space="0"/>
                  </w:tcBorders>
                  <w:vAlign w:val="center"/>
                </w:tcPr>
                <w:p w14:paraId="55807BF5">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二氧化硫分析仪</w:t>
                  </w:r>
                </w:p>
              </w:tc>
              <w:tc>
                <w:tcPr>
                  <w:tcW w:w="2226" w:type="dxa"/>
                  <w:tcBorders>
                    <w:top w:val="single" w:color="auto" w:sz="4" w:space="0"/>
                    <w:left w:val="single" w:color="auto" w:sz="4" w:space="0"/>
                    <w:bottom w:val="single" w:color="auto" w:sz="4" w:space="0"/>
                    <w:right w:val="single" w:color="auto" w:sz="4" w:space="0"/>
                  </w:tcBorders>
                  <w:vAlign w:val="center"/>
                </w:tcPr>
                <w:p w14:paraId="3D203966">
                  <w:pPr>
                    <w:spacing w:line="350" w:lineRule="exact"/>
                    <w:ind w:firstLine="0" w:firstLineChars="0"/>
                    <w:jc w:val="center"/>
                    <w:rPr>
                      <w:rFonts w:ascii="宋体" w:hAnsi="宋体"/>
                      <w:color w:val="auto"/>
                      <w:sz w:val="21"/>
                      <w:szCs w:val="21"/>
                      <w:highlight w:val="none"/>
                      <w:lang w:val="zh-CN"/>
                    </w:rPr>
                  </w:pPr>
                  <w:r>
                    <w:rPr>
                      <w:rFonts w:hint="eastAsia" w:ascii="宋体" w:hAnsi="宋体"/>
                      <w:color w:val="auto"/>
                      <w:sz w:val="21"/>
                      <w:szCs w:val="21"/>
                      <w:highlight w:val="none"/>
                      <w:lang w:val="zh-CN"/>
                    </w:rPr>
                    <w:t>TAPI、T100</w:t>
                  </w:r>
                </w:p>
              </w:tc>
              <w:tc>
                <w:tcPr>
                  <w:tcW w:w="754" w:type="dxa"/>
                  <w:tcBorders>
                    <w:top w:val="single" w:color="auto" w:sz="4" w:space="0"/>
                    <w:left w:val="single" w:color="auto" w:sz="4" w:space="0"/>
                    <w:bottom w:val="single" w:color="auto" w:sz="4" w:space="0"/>
                    <w:right w:val="single" w:color="auto" w:sz="4" w:space="0"/>
                  </w:tcBorders>
                  <w:vAlign w:val="center"/>
                </w:tcPr>
                <w:p w14:paraId="1846DE44">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2台</w:t>
                  </w:r>
                </w:p>
              </w:tc>
            </w:tr>
            <w:tr w14:paraId="24A3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5D144961">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269" w:type="dxa"/>
                  <w:tcBorders>
                    <w:top w:val="single" w:color="auto" w:sz="4" w:space="0"/>
                    <w:left w:val="single" w:color="auto" w:sz="4" w:space="0"/>
                    <w:bottom w:val="single" w:color="auto" w:sz="4" w:space="0"/>
                    <w:right w:val="single" w:color="auto" w:sz="4" w:space="0"/>
                  </w:tcBorders>
                  <w:vAlign w:val="center"/>
                </w:tcPr>
                <w:p w14:paraId="6E4FFC75">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氮氧化物分析仪</w:t>
                  </w:r>
                </w:p>
              </w:tc>
              <w:tc>
                <w:tcPr>
                  <w:tcW w:w="2226" w:type="dxa"/>
                  <w:tcBorders>
                    <w:top w:val="single" w:color="auto" w:sz="4" w:space="0"/>
                    <w:left w:val="single" w:color="auto" w:sz="4" w:space="0"/>
                    <w:bottom w:val="single" w:color="auto" w:sz="4" w:space="0"/>
                    <w:right w:val="single" w:color="auto" w:sz="4" w:space="0"/>
                  </w:tcBorders>
                  <w:vAlign w:val="center"/>
                </w:tcPr>
                <w:p w14:paraId="0D94F5C4">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zh-CN"/>
                    </w:rPr>
                    <w:t>TAPI、T200</w:t>
                  </w:r>
                </w:p>
              </w:tc>
              <w:tc>
                <w:tcPr>
                  <w:tcW w:w="754" w:type="dxa"/>
                  <w:tcBorders>
                    <w:top w:val="single" w:color="auto" w:sz="4" w:space="0"/>
                    <w:left w:val="single" w:color="auto" w:sz="4" w:space="0"/>
                    <w:bottom w:val="single" w:color="auto" w:sz="4" w:space="0"/>
                    <w:right w:val="single" w:color="auto" w:sz="4" w:space="0"/>
                  </w:tcBorders>
                  <w:vAlign w:val="center"/>
                </w:tcPr>
                <w:p w14:paraId="26A50AFD">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2台</w:t>
                  </w:r>
                </w:p>
              </w:tc>
            </w:tr>
            <w:tr w14:paraId="2DF1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29E27B2D">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6</w:t>
                  </w:r>
                </w:p>
              </w:tc>
              <w:tc>
                <w:tcPr>
                  <w:tcW w:w="2269" w:type="dxa"/>
                  <w:tcBorders>
                    <w:top w:val="single" w:color="auto" w:sz="4" w:space="0"/>
                    <w:left w:val="single" w:color="auto" w:sz="4" w:space="0"/>
                    <w:bottom w:val="single" w:color="auto" w:sz="4" w:space="0"/>
                    <w:right w:val="single" w:color="auto" w:sz="4" w:space="0"/>
                  </w:tcBorders>
                  <w:vAlign w:val="center"/>
                </w:tcPr>
                <w:p w14:paraId="709C367A">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可吸入颗粒物分析仪（PM</w:t>
                  </w:r>
                  <w:r>
                    <w:rPr>
                      <w:rFonts w:hint="eastAsia" w:ascii="宋体" w:hAnsi="宋体"/>
                      <w:color w:val="auto"/>
                      <w:sz w:val="21"/>
                      <w:szCs w:val="21"/>
                      <w:highlight w:val="none"/>
                      <w:vertAlign w:val="subscript"/>
                    </w:rPr>
                    <w:t>10</w:t>
                  </w:r>
                  <w:r>
                    <w:rPr>
                      <w:rFonts w:hint="eastAsia" w:ascii="宋体" w:hAnsi="宋体"/>
                      <w:color w:val="auto"/>
                      <w:sz w:val="21"/>
                      <w:szCs w:val="21"/>
                      <w:highlight w:val="none"/>
                    </w:rPr>
                    <w:t>分析仪）</w:t>
                  </w:r>
                </w:p>
              </w:tc>
              <w:tc>
                <w:tcPr>
                  <w:tcW w:w="2226" w:type="dxa"/>
                  <w:tcBorders>
                    <w:top w:val="single" w:color="auto" w:sz="4" w:space="0"/>
                    <w:left w:val="single" w:color="auto" w:sz="4" w:space="0"/>
                    <w:bottom w:val="single" w:color="auto" w:sz="4" w:space="0"/>
                    <w:right w:val="single" w:color="auto" w:sz="4" w:space="0"/>
                  </w:tcBorders>
                  <w:vAlign w:val="center"/>
                </w:tcPr>
                <w:p w14:paraId="33E2CAF3">
                  <w:pPr>
                    <w:spacing w:line="350" w:lineRule="exact"/>
                    <w:ind w:firstLine="0" w:firstLineChars="0"/>
                    <w:jc w:val="center"/>
                    <w:rPr>
                      <w:rFonts w:ascii="宋体" w:hAnsi="宋体"/>
                      <w:color w:val="auto"/>
                      <w:sz w:val="21"/>
                      <w:szCs w:val="21"/>
                      <w:highlight w:val="none"/>
                      <w:lang w:val="zh-CN"/>
                    </w:rPr>
                  </w:pPr>
                  <w:r>
                    <w:rPr>
                      <w:rFonts w:hint="eastAsia" w:ascii="宋体" w:hAnsi="宋体"/>
                      <w:color w:val="auto"/>
                      <w:sz w:val="21"/>
                      <w:szCs w:val="21"/>
                      <w:highlight w:val="none"/>
                      <w:lang w:val="zh-CN"/>
                    </w:rPr>
                    <w:t>先河、BAM1020</w:t>
                  </w:r>
                </w:p>
              </w:tc>
              <w:tc>
                <w:tcPr>
                  <w:tcW w:w="754" w:type="dxa"/>
                  <w:tcBorders>
                    <w:top w:val="single" w:color="auto" w:sz="4" w:space="0"/>
                    <w:left w:val="single" w:color="auto" w:sz="4" w:space="0"/>
                    <w:bottom w:val="single" w:color="auto" w:sz="4" w:space="0"/>
                    <w:right w:val="single" w:color="auto" w:sz="4" w:space="0"/>
                  </w:tcBorders>
                  <w:vAlign w:val="center"/>
                </w:tcPr>
                <w:p w14:paraId="1E90A405">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2台</w:t>
                  </w:r>
                </w:p>
              </w:tc>
            </w:tr>
            <w:tr w14:paraId="6E3C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16B98B7E">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7</w:t>
                  </w:r>
                </w:p>
              </w:tc>
              <w:tc>
                <w:tcPr>
                  <w:tcW w:w="2269" w:type="dxa"/>
                  <w:tcBorders>
                    <w:top w:val="single" w:color="auto" w:sz="4" w:space="0"/>
                    <w:left w:val="single" w:color="auto" w:sz="4" w:space="0"/>
                    <w:bottom w:val="single" w:color="auto" w:sz="4" w:space="0"/>
                    <w:right w:val="single" w:color="auto" w:sz="4" w:space="0"/>
                  </w:tcBorders>
                  <w:vAlign w:val="center"/>
                </w:tcPr>
                <w:p w14:paraId="67292482">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zh-CN"/>
                    </w:rPr>
                    <w:t>零气源发生器</w:t>
                  </w:r>
                </w:p>
              </w:tc>
              <w:tc>
                <w:tcPr>
                  <w:tcW w:w="2226" w:type="dxa"/>
                  <w:tcBorders>
                    <w:top w:val="single" w:color="auto" w:sz="4" w:space="0"/>
                    <w:left w:val="single" w:color="auto" w:sz="4" w:space="0"/>
                    <w:bottom w:val="single" w:color="auto" w:sz="4" w:space="0"/>
                    <w:right w:val="single" w:color="auto" w:sz="4" w:space="0"/>
                  </w:tcBorders>
                  <w:vAlign w:val="center"/>
                </w:tcPr>
                <w:p w14:paraId="306A70DC">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zh-CN"/>
                    </w:rPr>
                    <w:t>先河、XHZ2000B</w:t>
                  </w:r>
                </w:p>
              </w:tc>
              <w:tc>
                <w:tcPr>
                  <w:tcW w:w="754" w:type="dxa"/>
                  <w:tcBorders>
                    <w:top w:val="single" w:color="auto" w:sz="4" w:space="0"/>
                    <w:left w:val="single" w:color="auto" w:sz="4" w:space="0"/>
                    <w:bottom w:val="single" w:color="auto" w:sz="4" w:space="0"/>
                    <w:right w:val="single" w:color="auto" w:sz="4" w:space="0"/>
                  </w:tcBorders>
                  <w:vAlign w:val="center"/>
                </w:tcPr>
                <w:p w14:paraId="7E787565">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2台</w:t>
                  </w:r>
                </w:p>
              </w:tc>
            </w:tr>
            <w:tr w14:paraId="72E2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265A2619">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8</w:t>
                  </w:r>
                </w:p>
              </w:tc>
              <w:tc>
                <w:tcPr>
                  <w:tcW w:w="2269" w:type="dxa"/>
                  <w:tcBorders>
                    <w:top w:val="single" w:color="auto" w:sz="4" w:space="0"/>
                    <w:left w:val="single" w:color="auto" w:sz="4" w:space="0"/>
                    <w:bottom w:val="single" w:color="auto" w:sz="4" w:space="0"/>
                    <w:right w:val="single" w:color="auto" w:sz="4" w:space="0"/>
                  </w:tcBorders>
                  <w:vAlign w:val="center"/>
                </w:tcPr>
                <w:p w14:paraId="6B744AE5">
                  <w:pPr>
                    <w:spacing w:line="350" w:lineRule="exact"/>
                    <w:ind w:firstLine="0" w:firstLineChars="0"/>
                    <w:jc w:val="center"/>
                    <w:rPr>
                      <w:rFonts w:ascii="宋体" w:hAnsi="宋体"/>
                      <w:color w:val="auto"/>
                      <w:sz w:val="21"/>
                      <w:szCs w:val="21"/>
                      <w:highlight w:val="none"/>
                      <w:lang w:val="zh-CN"/>
                    </w:rPr>
                  </w:pPr>
                  <w:r>
                    <w:rPr>
                      <w:rFonts w:hint="eastAsia" w:ascii="宋体" w:hAnsi="宋体"/>
                      <w:color w:val="auto"/>
                      <w:sz w:val="21"/>
                      <w:szCs w:val="21"/>
                      <w:highlight w:val="none"/>
                      <w:lang w:val="zh-CN"/>
                    </w:rPr>
                    <w:t>动态校准仪</w:t>
                  </w:r>
                </w:p>
              </w:tc>
              <w:tc>
                <w:tcPr>
                  <w:tcW w:w="2226" w:type="dxa"/>
                  <w:tcBorders>
                    <w:top w:val="single" w:color="auto" w:sz="4" w:space="0"/>
                    <w:left w:val="single" w:color="auto" w:sz="4" w:space="0"/>
                    <w:bottom w:val="single" w:color="auto" w:sz="4" w:space="0"/>
                    <w:right w:val="single" w:color="auto" w:sz="4" w:space="0"/>
                  </w:tcBorders>
                  <w:vAlign w:val="center"/>
                </w:tcPr>
                <w:p w14:paraId="676A2DC6">
                  <w:pPr>
                    <w:spacing w:line="350" w:lineRule="exact"/>
                    <w:ind w:firstLine="0" w:firstLineChars="0"/>
                    <w:jc w:val="center"/>
                    <w:rPr>
                      <w:rFonts w:ascii="宋体" w:hAnsi="宋体"/>
                      <w:color w:val="auto"/>
                      <w:sz w:val="21"/>
                      <w:szCs w:val="21"/>
                      <w:highlight w:val="none"/>
                      <w:lang w:val="zh-CN"/>
                    </w:rPr>
                  </w:pPr>
                  <w:r>
                    <w:rPr>
                      <w:rFonts w:hint="eastAsia" w:ascii="宋体" w:hAnsi="宋体"/>
                      <w:color w:val="auto"/>
                      <w:sz w:val="21"/>
                      <w:szCs w:val="21"/>
                      <w:highlight w:val="none"/>
                      <w:lang w:val="zh-CN"/>
                    </w:rPr>
                    <w:t>TAPI、T700</w:t>
                  </w:r>
                </w:p>
              </w:tc>
              <w:tc>
                <w:tcPr>
                  <w:tcW w:w="754" w:type="dxa"/>
                  <w:tcBorders>
                    <w:top w:val="single" w:color="auto" w:sz="4" w:space="0"/>
                    <w:left w:val="single" w:color="auto" w:sz="4" w:space="0"/>
                    <w:bottom w:val="single" w:color="auto" w:sz="4" w:space="0"/>
                    <w:right w:val="single" w:color="auto" w:sz="4" w:space="0"/>
                  </w:tcBorders>
                  <w:vAlign w:val="center"/>
                </w:tcPr>
                <w:p w14:paraId="6F6AE50F">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2台</w:t>
                  </w:r>
                </w:p>
              </w:tc>
            </w:tr>
            <w:tr w14:paraId="7C42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744AA583">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9</w:t>
                  </w:r>
                </w:p>
              </w:tc>
              <w:tc>
                <w:tcPr>
                  <w:tcW w:w="2269" w:type="dxa"/>
                  <w:tcBorders>
                    <w:top w:val="single" w:color="auto" w:sz="4" w:space="0"/>
                    <w:left w:val="single" w:color="auto" w:sz="4" w:space="0"/>
                    <w:bottom w:val="single" w:color="auto" w:sz="4" w:space="0"/>
                    <w:right w:val="single" w:color="auto" w:sz="4" w:space="0"/>
                  </w:tcBorders>
                  <w:vAlign w:val="center"/>
                </w:tcPr>
                <w:p w14:paraId="6EBC8E4B">
                  <w:pPr>
                    <w:spacing w:line="350" w:lineRule="exact"/>
                    <w:ind w:firstLine="0" w:firstLineChars="0"/>
                    <w:jc w:val="center"/>
                    <w:rPr>
                      <w:rFonts w:ascii="宋体" w:hAnsi="宋体"/>
                      <w:color w:val="auto"/>
                      <w:sz w:val="21"/>
                      <w:szCs w:val="21"/>
                      <w:highlight w:val="none"/>
                      <w:lang w:val="zh-CN"/>
                    </w:rPr>
                  </w:pPr>
                  <w:r>
                    <w:rPr>
                      <w:rFonts w:hint="eastAsia" w:ascii="宋体" w:hAnsi="宋体"/>
                      <w:color w:val="auto"/>
                      <w:sz w:val="21"/>
                      <w:szCs w:val="21"/>
                      <w:highlight w:val="none"/>
                      <w:lang w:val="zh-CN"/>
                    </w:rPr>
                    <w:t>气象仪</w:t>
                  </w:r>
                </w:p>
              </w:tc>
              <w:tc>
                <w:tcPr>
                  <w:tcW w:w="2226" w:type="dxa"/>
                  <w:tcBorders>
                    <w:top w:val="single" w:color="auto" w:sz="4" w:space="0"/>
                    <w:left w:val="single" w:color="auto" w:sz="4" w:space="0"/>
                    <w:bottom w:val="single" w:color="auto" w:sz="4" w:space="0"/>
                    <w:right w:val="single" w:color="auto" w:sz="4" w:space="0"/>
                  </w:tcBorders>
                  <w:vAlign w:val="center"/>
                </w:tcPr>
                <w:p w14:paraId="52ABCF40">
                  <w:pPr>
                    <w:spacing w:line="350" w:lineRule="exact"/>
                    <w:ind w:firstLine="0" w:firstLineChars="0"/>
                    <w:jc w:val="center"/>
                    <w:rPr>
                      <w:rFonts w:ascii="宋体" w:hAnsi="宋体"/>
                      <w:color w:val="auto"/>
                      <w:sz w:val="21"/>
                      <w:szCs w:val="21"/>
                      <w:highlight w:val="none"/>
                      <w:lang w:val="zh-CN"/>
                    </w:rPr>
                  </w:pPr>
                  <w:r>
                    <w:rPr>
                      <w:rFonts w:hint="eastAsia" w:ascii="宋体" w:hAnsi="宋体"/>
                      <w:color w:val="auto"/>
                      <w:sz w:val="21"/>
                      <w:szCs w:val="21"/>
                      <w:highlight w:val="none"/>
                      <w:lang w:val="zh-CN"/>
                    </w:rPr>
                    <w:t>维萨拉、WXT520</w:t>
                  </w:r>
                </w:p>
              </w:tc>
              <w:tc>
                <w:tcPr>
                  <w:tcW w:w="754" w:type="dxa"/>
                  <w:tcBorders>
                    <w:top w:val="single" w:color="auto" w:sz="4" w:space="0"/>
                    <w:left w:val="single" w:color="auto" w:sz="4" w:space="0"/>
                    <w:bottom w:val="single" w:color="auto" w:sz="4" w:space="0"/>
                    <w:right w:val="single" w:color="auto" w:sz="4" w:space="0"/>
                  </w:tcBorders>
                  <w:vAlign w:val="center"/>
                </w:tcPr>
                <w:p w14:paraId="243ABBC5">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2台</w:t>
                  </w:r>
                </w:p>
              </w:tc>
            </w:tr>
            <w:tr w14:paraId="5FBC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12181363">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2269" w:type="dxa"/>
                  <w:tcBorders>
                    <w:top w:val="single" w:color="auto" w:sz="4" w:space="0"/>
                    <w:left w:val="single" w:color="auto" w:sz="4" w:space="0"/>
                    <w:bottom w:val="single" w:color="auto" w:sz="4" w:space="0"/>
                    <w:right w:val="single" w:color="auto" w:sz="4" w:space="0"/>
                  </w:tcBorders>
                  <w:vAlign w:val="center"/>
                </w:tcPr>
                <w:p w14:paraId="40AC6833">
                  <w:pPr>
                    <w:spacing w:line="350" w:lineRule="exact"/>
                    <w:ind w:firstLine="0" w:firstLineChars="0"/>
                    <w:jc w:val="center"/>
                    <w:rPr>
                      <w:rFonts w:ascii="宋体" w:hAnsi="宋体"/>
                      <w:color w:val="auto"/>
                      <w:sz w:val="21"/>
                      <w:szCs w:val="21"/>
                      <w:highlight w:val="none"/>
                      <w:lang w:val="zh-CN"/>
                    </w:rPr>
                  </w:pPr>
                  <w:r>
                    <w:rPr>
                      <w:rFonts w:hint="eastAsia" w:ascii="宋体" w:hAnsi="宋体"/>
                      <w:color w:val="auto"/>
                      <w:sz w:val="21"/>
                      <w:szCs w:val="21"/>
                      <w:highlight w:val="none"/>
                    </w:rPr>
                    <w:t>能见度监测仪</w:t>
                  </w:r>
                </w:p>
              </w:tc>
              <w:tc>
                <w:tcPr>
                  <w:tcW w:w="2226" w:type="dxa"/>
                  <w:tcBorders>
                    <w:top w:val="single" w:color="auto" w:sz="4" w:space="0"/>
                    <w:left w:val="single" w:color="auto" w:sz="4" w:space="0"/>
                    <w:bottom w:val="single" w:color="auto" w:sz="4" w:space="0"/>
                    <w:right w:val="single" w:color="auto" w:sz="4" w:space="0"/>
                  </w:tcBorders>
                  <w:vAlign w:val="center"/>
                </w:tcPr>
                <w:p w14:paraId="31263EF3">
                  <w:pPr>
                    <w:spacing w:line="350" w:lineRule="exact"/>
                    <w:ind w:firstLine="0" w:firstLineChars="0"/>
                    <w:jc w:val="center"/>
                    <w:rPr>
                      <w:rFonts w:ascii="宋体" w:hAnsi="宋体"/>
                      <w:color w:val="auto"/>
                      <w:sz w:val="21"/>
                      <w:szCs w:val="21"/>
                      <w:highlight w:val="none"/>
                      <w:lang w:val="zh-CN"/>
                    </w:rPr>
                  </w:pPr>
                  <w:r>
                    <w:rPr>
                      <w:rFonts w:hint="eastAsia" w:ascii="宋体" w:hAnsi="宋体"/>
                      <w:color w:val="auto"/>
                      <w:sz w:val="21"/>
                      <w:szCs w:val="21"/>
                      <w:highlight w:val="none"/>
                      <w:lang w:val="zh-CN"/>
                    </w:rPr>
                    <w:t>维萨拉、PWD20</w:t>
                  </w:r>
                </w:p>
              </w:tc>
              <w:tc>
                <w:tcPr>
                  <w:tcW w:w="754" w:type="dxa"/>
                  <w:tcBorders>
                    <w:top w:val="single" w:color="auto" w:sz="4" w:space="0"/>
                    <w:left w:val="single" w:color="auto" w:sz="4" w:space="0"/>
                    <w:bottom w:val="single" w:color="auto" w:sz="4" w:space="0"/>
                    <w:right w:val="single" w:color="auto" w:sz="4" w:space="0"/>
                  </w:tcBorders>
                  <w:vAlign w:val="center"/>
                </w:tcPr>
                <w:p w14:paraId="2349C2A0">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1台</w:t>
                  </w:r>
                </w:p>
              </w:tc>
            </w:tr>
            <w:tr w14:paraId="67BB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53DD075C">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2269" w:type="dxa"/>
                  <w:tcBorders>
                    <w:top w:val="single" w:color="auto" w:sz="4" w:space="0"/>
                    <w:left w:val="single" w:color="auto" w:sz="4" w:space="0"/>
                    <w:bottom w:val="single" w:color="auto" w:sz="4" w:space="0"/>
                    <w:right w:val="single" w:color="auto" w:sz="4" w:space="0"/>
                  </w:tcBorders>
                  <w:vAlign w:val="center"/>
                </w:tcPr>
                <w:p w14:paraId="617049E8">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数据传输与网络化质控软硬件平台</w:t>
                  </w:r>
                </w:p>
              </w:tc>
              <w:tc>
                <w:tcPr>
                  <w:tcW w:w="2226" w:type="dxa"/>
                  <w:tcBorders>
                    <w:top w:val="single" w:color="auto" w:sz="4" w:space="0"/>
                    <w:left w:val="single" w:color="auto" w:sz="4" w:space="0"/>
                    <w:bottom w:val="single" w:color="auto" w:sz="4" w:space="0"/>
                    <w:right w:val="single" w:color="auto" w:sz="4" w:space="0"/>
                  </w:tcBorders>
                  <w:vAlign w:val="center"/>
                </w:tcPr>
                <w:p w14:paraId="2BD0424B">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zh-CN"/>
                    </w:rPr>
                    <w:t>先得、深信服、</w:t>
                  </w:r>
                  <w:r>
                    <w:rPr>
                      <w:rFonts w:hint="eastAsia" w:ascii="宋体" w:hAnsi="宋体"/>
                      <w:color w:val="auto"/>
                      <w:sz w:val="21"/>
                      <w:szCs w:val="21"/>
                      <w:highlight w:val="none"/>
                    </w:rPr>
                    <w:t>AQMS-S、VPN设备；VPN-1100研华工控；810海尔；KFR-35GWUPS;CASTLE 6K显示器；S19C350NW</w:t>
                  </w:r>
                </w:p>
              </w:tc>
              <w:tc>
                <w:tcPr>
                  <w:tcW w:w="754" w:type="dxa"/>
                  <w:tcBorders>
                    <w:top w:val="single" w:color="auto" w:sz="4" w:space="0"/>
                    <w:left w:val="single" w:color="auto" w:sz="4" w:space="0"/>
                    <w:bottom w:val="single" w:color="auto" w:sz="4" w:space="0"/>
                    <w:right w:val="single" w:color="auto" w:sz="4" w:space="0"/>
                  </w:tcBorders>
                  <w:vAlign w:val="center"/>
                </w:tcPr>
                <w:p w14:paraId="6F8BF822">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2台</w:t>
                  </w:r>
                </w:p>
              </w:tc>
            </w:tr>
            <w:tr w14:paraId="3373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0F3D77A2">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12</w:t>
                  </w:r>
                </w:p>
              </w:tc>
              <w:tc>
                <w:tcPr>
                  <w:tcW w:w="2269" w:type="dxa"/>
                  <w:tcBorders>
                    <w:top w:val="single" w:color="auto" w:sz="4" w:space="0"/>
                    <w:left w:val="single" w:color="auto" w:sz="4" w:space="0"/>
                    <w:bottom w:val="single" w:color="auto" w:sz="4" w:space="0"/>
                    <w:right w:val="single" w:color="auto" w:sz="4" w:space="0"/>
                  </w:tcBorders>
                  <w:vAlign w:val="center"/>
                </w:tcPr>
                <w:p w14:paraId="44234D61">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城市环境摄影系统</w:t>
                  </w:r>
                </w:p>
              </w:tc>
              <w:tc>
                <w:tcPr>
                  <w:tcW w:w="2226" w:type="dxa"/>
                  <w:tcBorders>
                    <w:top w:val="single" w:color="auto" w:sz="4" w:space="0"/>
                    <w:left w:val="single" w:color="auto" w:sz="4" w:space="0"/>
                    <w:bottom w:val="single" w:color="auto" w:sz="4" w:space="0"/>
                    <w:right w:val="single" w:color="auto" w:sz="4" w:space="0"/>
                  </w:tcBorders>
                  <w:vAlign w:val="center"/>
                </w:tcPr>
                <w:p w14:paraId="195C5FAD">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先得、</w:t>
                  </w:r>
                  <w:r>
                    <w:rPr>
                      <w:rFonts w:ascii="宋体" w:hAnsi="宋体"/>
                      <w:color w:val="auto"/>
                      <w:sz w:val="21"/>
                      <w:szCs w:val="21"/>
                      <w:highlight w:val="none"/>
                    </w:rPr>
                    <w:t>XD-CPS2000</w:t>
                  </w:r>
                </w:p>
              </w:tc>
              <w:tc>
                <w:tcPr>
                  <w:tcW w:w="754" w:type="dxa"/>
                  <w:tcBorders>
                    <w:top w:val="single" w:color="auto" w:sz="4" w:space="0"/>
                    <w:left w:val="single" w:color="auto" w:sz="4" w:space="0"/>
                    <w:bottom w:val="single" w:color="auto" w:sz="4" w:space="0"/>
                    <w:right w:val="single" w:color="auto" w:sz="4" w:space="0"/>
                  </w:tcBorders>
                  <w:vAlign w:val="center"/>
                </w:tcPr>
                <w:p w14:paraId="07CF36BC">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2台</w:t>
                  </w:r>
                </w:p>
              </w:tc>
            </w:tr>
            <w:tr w14:paraId="2E24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6FB5B1B9">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13</w:t>
                  </w:r>
                </w:p>
              </w:tc>
              <w:tc>
                <w:tcPr>
                  <w:tcW w:w="2269" w:type="dxa"/>
                  <w:tcBorders>
                    <w:top w:val="single" w:color="auto" w:sz="4" w:space="0"/>
                    <w:left w:val="single" w:color="auto" w:sz="4" w:space="0"/>
                    <w:bottom w:val="single" w:color="auto" w:sz="4" w:space="0"/>
                    <w:right w:val="single" w:color="auto" w:sz="4" w:space="0"/>
                  </w:tcBorders>
                  <w:vAlign w:val="center"/>
                </w:tcPr>
                <w:p w14:paraId="286FE8BD">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数据采集器（工控机）</w:t>
                  </w:r>
                </w:p>
              </w:tc>
              <w:tc>
                <w:tcPr>
                  <w:tcW w:w="2226" w:type="dxa"/>
                  <w:tcBorders>
                    <w:top w:val="single" w:color="auto" w:sz="4" w:space="0"/>
                    <w:left w:val="single" w:color="auto" w:sz="4" w:space="0"/>
                    <w:bottom w:val="single" w:color="auto" w:sz="4" w:space="0"/>
                    <w:right w:val="single" w:color="auto" w:sz="4" w:space="0"/>
                  </w:tcBorders>
                  <w:vAlign w:val="center"/>
                </w:tcPr>
                <w:p w14:paraId="68406F1A">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 xml:space="preserve">  研华、</w:t>
                  </w:r>
                  <w:r>
                    <w:rPr>
                      <w:rFonts w:hint="eastAsia" w:ascii="宋体" w:hAnsi="宋体"/>
                      <w:color w:val="auto"/>
                      <w:sz w:val="21"/>
                      <w:szCs w:val="21"/>
                      <w:highlight w:val="none"/>
                      <w:lang w:val="zh-CN"/>
                    </w:rPr>
                    <w:t>DL6008</w:t>
                  </w:r>
                </w:p>
              </w:tc>
              <w:tc>
                <w:tcPr>
                  <w:tcW w:w="754" w:type="dxa"/>
                  <w:tcBorders>
                    <w:top w:val="single" w:color="auto" w:sz="4" w:space="0"/>
                    <w:left w:val="single" w:color="auto" w:sz="4" w:space="0"/>
                    <w:bottom w:val="single" w:color="auto" w:sz="4" w:space="0"/>
                    <w:right w:val="single" w:color="auto" w:sz="4" w:space="0"/>
                  </w:tcBorders>
                  <w:vAlign w:val="center"/>
                </w:tcPr>
                <w:p w14:paraId="0AF32D7D">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2台</w:t>
                  </w:r>
                </w:p>
              </w:tc>
            </w:tr>
          </w:tbl>
          <w:p w14:paraId="527CF380">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运维过程中主要要求完成以下工作：</w:t>
            </w:r>
          </w:p>
          <w:p w14:paraId="1E9658A2">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1.站点的日常运行维护。</w:t>
            </w:r>
          </w:p>
          <w:p w14:paraId="08D2FE3F">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2.站点的设备维护保养及维修。</w:t>
            </w:r>
          </w:p>
          <w:p w14:paraId="21705DA0">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3.站点设备零备件更换。</w:t>
            </w:r>
          </w:p>
          <w:p w14:paraId="6EC49971">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4.站点的系统质量管理、定期校准和性能测试。</w:t>
            </w:r>
          </w:p>
          <w:p w14:paraId="073F677C">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5.站点通讯及数据采集系统的维护及维修，保障站点通讯正常。</w:t>
            </w:r>
          </w:p>
          <w:p w14:paraId="2671B506">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6.设备及软件的升级。</w:t>
            </w:r>
          </w:p>
          <w:p w14:paraId="733A6AC3">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lang w:val="zh-CN"/>
              </w:rPr>
              <w:t>7.配合采购人进行环境空气自动站质量保证和质量质控工作。</w:t>
            </w:r>
          </w:p>
          <w:p w14:paraId="231EB4E6">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lang w:val="zh-CN"/>
              </w:rPr>
              <w:t>8.接受采购人或采购人委托的第三方机构的工作考核及质量考核，所产生的费用由供应商承担。</w:t>
            </w:r>
          </w:p>
          <w:p w14:paraId="6C0EB158">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9.当仪器出现故障不能及时修复时，要求在48小时之内使用备机开展监测。</w:t>
            </w:r>
          </w:p>
          <w:p w14:paraId="0AB67C5A">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10.其他站点相关辅助设施的维护、保养、维修。</w:t>
            </w:r>
          </w:p>
          <w:p w14:paraId="15CD3415">
            <w:pPr>
              <w:spacing w:line="35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val="zh-CN"/>
              </w:rPr>
              <w:t>11.认真、及时做好维护记录</w:t>
            </w:r>
            <w:r>
              <w:rPr>
                <w:rFonts w:hint="eastAsia" w:ascii="宋体" w:hAnsi="宋体" w:cs="宋体"/>
                <w:color w:val="auto"/>
                <w:sz w:val="21"/>
                <w:szCs w:val="21"/>
                <w:highlight w:val="none"/>
              </w:rPr>
              <w:t>。</w:t>
            </w:r>
          </w:p>
          <w:p w14:paraId="7C53C39F">
            <w:pPr>
              <w:spacing w:line="35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12.按采购人的要求传输实时数据至指定地址。</w:t>
            </w:r>
          </w:p>
          <w:p w14:paraId="34849B3B">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（三）</w:t>
            </w:r>
            <w:r>
              <w:rPr>
                <w:rFonts w:hint="eastAsia" w:ascii="宋体" w:hAnsi="宋体" w:cs="宋体"/>
                <w:b/>
                <w:bCs/>
                <w:color w:val="auto"/>
                <w:spacing w:val="-8"/>
                <w:sz w:val="21"/>
                <w:szCs w:val="21"/>
                <w:highlight w:val="none"/>
              </w:rPr>
              <w:t>环境</w:t>
            </w:r>
            <w:r>
              <w:rPr>
                <w:rFonts w:hint="eastAsia" w:ascii="宋体" w:hAnsi="宋体" w:cs="宋体"/>
                <w:b/>
                <w:bCs/>
                <w:color w:val="auto"/>
                <w:spacing w:val="-8"/>
                <w:sz w:val="21"/>
                <w:szCs w:val="21"/>
                <w:highlight w:val="none"/>
                <w:lang w:val="zh-CN"/>
              </w:rPr>
              <w:t>空气自动监测站系统及仪表维护内容</w:t>
            </w:r>
          </w:p>
          <w:p w14:paraId="5E43F2A2">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1.日常运行维护要求</w:t>
            </w:r>
          </w:p>
          <w:p w14:paraId="6FC026A3">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（1）一般要求</w:t>
            </w:r>
          </w:p>
          <w:p w14:paraId="399729BC">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①保持站房内部环境清洁，布置整齐，各仪器设备干净清洁，设备标识清楚。</w:t>
            </w:r>
          </w:p>
          <w:p w14:paraId="7728E823">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②检查供电、电话通信的情况，保证系统的正常运行。</w:t>
            </w:r>
          </w:p>
          <w:p w14:paraId="775E748F">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 xml:space="preserve">③保证空调正常工作，仪器运行温度保持在25℃左右，站房内温度日波动范围＜3℃，相对湿度保持在80%RH以下。 </w:t>
            </w:r>
          </w:p>
          <w:p w14:paraId="7DAA76E0">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④指派专人维护，设备固定牢固，门窗关闭良好，人走关门，非工作人员未经许可不得入内。</w:t>
            </w:r>
          </w:p>
          <w:p w14:paraId="0F9F62FE">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⑤定期检查消防和安全设施。</w:t>
            </w:r>
          </w:p>
          <w:p w14:paraId="70A5683D">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⑥每次维护后做好系统运行维护记录。</w:t>
            </w:r>
          </w:p>
          <w:p w14:paraId="149CCE52">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⑦进行维护时，应规范操作，注意安全，防止意外发生。</w:t>
            </w:r>
          </w:p>
          <w:p w14:paraId="5EA3D177">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（2）每日工作</w:t>
            </w:r>
          </w:p>
          <w:p w14:paraId="4DA7AC7A">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至少每天上午和下午两次远程查看站点数据，在次日上午8点前形成报告报送采购人，分析监测数据，对站点运行情况进行远程诊断和运行管理，内容包括：</w:t>
            </w:r>
          </w:p>
          <w:p w14:paraId="3490B3E4">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①判断系统数据采集与传输情况。</w:t>
            </w:r>
          </w:p>
          <w:p w14:paraId="2E51F710">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②根据电源电压、站房温度、湿度数据判断站房内部情况。</w:t>
            </w:r>
          </w:p>
          <w:p w14:paraId="197FF45C">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③发现运行数据有持续异常值时，应立即通知采购人，在每日6时～23时出现的故障，要求能在4小时内解决（通信线路、电力线路故障除外，但应及时与相关部门联系积极解决）。</w:t>
            </w:r>
          </w:p>
          <w:p w14:paraId="5CCE3534">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④根据仪器分析数据判断仪器运行情况。</w:t>
            </w:r>
          </w:p>
          <w:p w14:paraId="6DDBE62D">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⑤根据故障报警信号判断现场状况。</w:t>
            </w:r>
          </w:p>
          <w:p w14:paraId="281A47D5">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⑥每日检查数据是否及时上传至站点及指定地址。</w:t>
            </w:r>
          </w:p>
          <w:p w14:paraId="1342770C">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⑦对二氧化硫、一氧化碳、臭氧、氮氧化物分析仪进行零点及跨度检查，如果漂移超过国家相关规范要求，需要进行校准。</w:t>
            </w:r>
          </w:p>
          <w:p w14:paraId="77DDB177">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（3）每周工作</w:t>
            </w:r>
          </w:p>
          <w:p w14:paraId="0EEE2595">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每周至少巡视站点1次，并做好巡查记录，巡检时需要完成的工作包括：</w:t>
            </w:r>
          </w:p>
          <w:p w14:paraId="612488A3">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①查看站点设备是否齐备，有无丢失和损坏；检查接地线路是否可靠，排风排气装置工作是否正常，标准气钢瓶阀门是否漏气，标准气的消耗情况。</w:t>
            </w:r>
          </w:p>
          <w:p w14:paraId="519AC84E">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②检查采样和排气管路是否有漏气或堵塞现象，各分析仪器采样流量是否正常。检查各仪器的运行状况，保证系统运行顺畅。</w:t>
            </w:r>
          </w:p>
          <w:p w14:paraId="3A03322D">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③检查外部环境是否正常，有没有对测定结果或运行环境存在明显影响的污染源。</w:t>
            </w:r>
          </w:p>
          <w:p w14:paraId="27A8BA05">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④检查电路系统和通讯系统，保证系统供电正常，电压稳定。</w:t>
            </w:r>
          </w:p>
          <w:p w14:paraId="0EF52B36">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⑤检查站点的通讯系统，保证站点与远程监控中心的连接正常，数据传输正常。</w:t>
            </w:r>
          </w:p>
          <w:p w14:paraId="6E875E7A">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⑥检查监测仪器的采样入口与采样支路管线结合部之间安装的过滤膜的污染情况，每周更换滤膜。</w:t>
            </w:r>
          </w:p>
          <w:p w14:paraId="5A40606F">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⑦在冬、夏季节应注意站房室内外温差，若温差较大，应及时改变站房温度或对采样总管采取适当的控制措施，防止冷凝现象。</w:t>
            </w:r>
          </w:p>
          <w:p w14:paraId="72C074BD">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⑧及时清除站房周围的杂草和积水，当周围树木生长超过规范规定的控制限时，应及时剪除对采样或监测光束有影响的树枝。</w:t>
            </w:r>
          </w:p>
          <w:p w14:paraId="5C4B5E82">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⑨经常检查避雷设施是否可靠，房屋是否有漏雨现象，气象杆和天线是否被刮坏，站房外围的其它设施是否损坏或被水淹，如遇到以上问题应及时处理，保证系统能安全运行。</w:t>
            </w:r>
          </w:p>
          <w:p w14:paraId="52759823">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⑩检查站房的安全设施，做好防火防盗工作。</w:t>
            </w:r>
          </w:p>
          <w:p w14:paraId="045A5AAC">
            <w:pPr>
              <w:spacing w:line="350" w:lineRule="exact"/>
              <w:ind w:firstLine="0" w:firstLineChars="0"/>
              <w:rPr>
                <w:rFonts w:ascii="宋体" w:hAnsi="宋体"/>
                <w:color w:val="auto"/>
                <w:sz w:val="21"/>
                <w:szCs w:val="21"/>
                <w:highlight w:val="none"/>
              </w:rPr>
            </w:pPr>
            <w:r>
              <w:rPr>
                <w:rFonts w:ascii="Cambria Math" w:hAnsi="Cambria Math" w:cs="Cambria Math"/>
                <w:color w:val="auto"/>
                <w:sz w:val="21"/>
                <w:szCs w:val="21"/>
                <w:highlight w:val="none"/>
                <w:shd w:val="clear" w:color="auto" w:fill="FFFFFF"/>
              </w:rPr>
              <w:t>⑪</w:t>
            </w:r>
            <w:r>
              <w:rPr>
                <w:rFonts w:hint="eastAsia" w:ascii="宋体" w:hAnsi="宋体" w:cs="宋体"/>
                <w:color w:val="auto"/>
                <w:sz w:val="21"/>
                <w:szCs w:val="21"/>
                <w:highlight w:val="none"/>
              </w:rPr>
              <w:t>每周对气象仪器的运行情况进行检查。</w:t>
            </w:r>
          </w:p>
          <w:p w14:paraId="195537CD">
            <w:pPr>
              <w:spacing w:line="350" w:lineRule="exact"/>
              <w:ind w:firstLine="0" w:firstLineChars="0"/>
              <w:rPr>
                <w:rFonts w:ascii="宋体" w:hAnsi="宋体"/>
                <w:color w:val="auto"/>
                <w:sz w:val="21"/>
                <w:szCs w:val="21"/>
                <w:highlight w:val="none"/>
              </w:rPr>
            </w:pPr>
            <w:r>
              <w:rPr>
                <w:rFonts w:ascii="Cambria Math" w:hAnsi="Cambria Math" w:cs="Cambria Math"/>
                <w:color w:val="auto"/>
                <w:sz w:val="21"/>
                <w:szCs w:val="21"/>
                <w:highlight w:val="none"/>
                <w:shd w:val="clear" w:color="auto" w:fill="FFFFFF"/>
              </w:rPr>
              <w:t>⑫</w:t>
            </w:r>
            <w:r>
              <w:rPr>
                <w:rFonts w:hint="eastAsia" w:ascii="宋体" w:hAnsi="宋体" w:cs="宋体"/>
                <w:color w:val="auto"/>
                <w:sz w:val="21"/>
                <w:szCs w:val="21"/>
                <w:highlight w:val="none"/>
              </w:rPr>
              <w:t>每周对颗粒物的采样纸带或滤膜进行检查，如纸带即将用尽或滤膜负载超过50%，及时进行更换。</w:t>
            </w:r>
          </w:p>
          <w:p w14:paraId="754A799A">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（4）每月工作</w:t>
            </w:r>
          </w:p>
          <w:p w14:paraId="452809BF">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①清洗PM</w:t>
            </w:r>
            <w:r>
              <w:rPr>
                <w:rFonts w:hint="eastAsia" w:ascii="宋体" w:hAnsi="宋体" w:cs="宋体"/>
                <w:color w:val="auto"/>
                <w:sz w:val="21"/>
                <w:szCs w:val="21"/>
                <w:highlight w:val="none"/>
                <w:vertAlign w:val="subscript"/>
              </w:rPr>
              <w:t>10</w:t>
            </w:r>
            <w:r>
              <w:rPr>
                <w:rFonts w:hint="eastAsia" w:ascii="宋体" w:hAnsi="宋体" w:cs="宋体"/>
                <w:color w:val="auto"/>
                <w:sz w:val="21"/>
                <w:szCs w:val="21"/>
                <w:highlight w:val="none"/>
              </w:rPr>
              <w:t>及PM</w:t>
            </w:r>
            <w:r>
              <w:rPr>
                <w:rFonts w:hint="eastAsia" w:ascii="宋体" w:hAnsi="宋体" w:cs="宋体"/>
                <w:color w:val="auto"/>
                <w:sz w:val="21"/>
                <w:szCs w:val="21"/>
                <w:highlight w:val="none"/>
                <w:vertAlign w:val="subscript"/>
              </w:rPr>
              <w:t>2.5</w:t>
            </w:r>
            <w:r>
              <w:rPr>
                <w:rFonts w:hint="eastAsia" w:ascii="宋体" w:hAnsi="宋体" w:cs="宋体"/>
                <w:color w:val="auto"/>
                <w:sz w:val="21"/>
                <w:szCs w:val="21"/>
                <w:highlight w:val="none"/>
              </w:rPr>
              <w:t>切割器，检查β法颗粒物分析仪仪器喷嘴、压环等部件。</w:t>
            </w:r>
          </w:p>
          <w:p w14:paraId="2C0AC785">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②检查PM</w:t>
            </w:r>
            <w:r>
              <w:rPr>
                <w:rFonts w:hint="eastAsia" w:ascii="宋体" w:hAnsi="宋体" w:cs="宋体"/>
                <w:color w:val="auto"/>
                <w:sz w:val="21"/>
                <w:szCs w:val="21"/>
                <w:highlight w:val="none"/>
                <w:vertAlign w:val="subscript"/>
              </w:rPr>
              <w:t>10</w:t>
            </w:r>
            <w:r>
              <w:rPr>
                <w:rFonts w:hint="eastAsia" w:ascii="宋体" w:hAnsi="宋体" w:cs="宋体"/>
                <w:color w:val="auto"/>
                <w:sz w:val="21"/>
                <w:szCs w:val="21"/>
                <w:highlight w:val="none"/>
              </w:rPr>
              <w:t>及PM</w:t>
            </w:r>
            <w:r>
              <w:rPr>
                <w:rFonts w:hint="eastAsia" w:ascii="宋体" w:hAnsi="宋体" w:cs="宋体"/>
                <w:color w:val="auto"/>
                <w:sz w:val="21"/>
                <w:szCs w:val="21"/>
                <w:highlight w:val="none"/>
                <w:vertAlign w:val="subscript"/>
              </w:rPr>
              <w:t>2.5</w:t>
            </w:r>
            <w:r>
              <w:rPr>
                <w:rFonts w:hint="eastAsia" w:ascii="宋体" w:hAnsi="宋体" w:cs="宋体"/>
                <w:color w:val="auto"/>
                <w:sz w:val="21"/>
                <w:szCs w:val="21"/>
                <w:highlight w:val="none"/>
              </w:rPr>
              <w:t>监测仪、气态分析仪、动态校准仪流量，如果超过国家相关规范要求，需要进行校准，检查仪器是否泄漏。</w:t>
            </w:r>
          </w:p>
          <w:p w14:paraId="3494F8B5">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③PM</w:t>
            </w:r>
            <w:r>
              <w:rPr>
                <w:rFonts w:hint="eastAsia" w:ascii="宋体" w:hAnsi="宋体" w:cs="宋体"/>
                <w:color w:val="auto"/>
                <w:sz w:val="21"/>
                <w:szCs w:val="21"/>
                <w:highlight w:val="none"/>
                <w:vertAlign w:val="subscript"/>
              </w:rPr>
              <w:t>10</w:t>
            </w:r>
            <w:r>
              <w:rPr>
                <w:rFonts w:hint="eastAsia" w:ascii="宋体" w:hAnsi="宋体" w:cs="宋体"/>
                <w:color w:val="auto"/>
                <w:sz w:val="21"/>
                <w:szCs w:val="21"/>
                <w:highlight w:val="none"/>
              </w:rPr>
              <w:t>及PM</w:t>
            </w:r>
            <w:r>
              <w:rPr>
                <w:rFonts w:hint="eastAsia" w:ascii="宋体" w:hAnsi="宋体" w:cs="宋体"/>
                <w:color w:val="auto"/>
                <w:sz w:val="21"/>
                <w:szCs w:val="21"/>
                <w:highlight w:val="none"/>
                <w:vertAlign w:val="subscript"/>
              </w:rPr>
              <w:t>2.5</w:t>
            </w:r>
            <w:r>
              <w:rPr>
                <w:rFonts w:hint="eastAsia" w:ascii="宋体" w:hAnsi="宋体" w:cs="宋体"/>
                <w:color w:val="auto"/>
                <w:sz w:val="21"/>
                <w:szCs w:val="21"/>
                <w:highlight w:val="none"/>
              </w:rPr>
              <w:t>监测仪校准膜校准。</w:t>
            </w:r>
          </w:p>
          <w:p w14:paraId="521604DB">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④风机、加热、空调检查。</w:t>
            </w:r>
          </w:p>
          <w:p w14:paraId="31C51BE1">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⑤每台仪器精度检查。</w:t>
            </w:r>
          </w:p>
          <w:p w14:paraId="71CB43CD">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⑥对仪器显示数据和数据采集仪之间的一致性进行检查。</w:t>
            </w:r>
          </w:p>
          <w:p w14:paraId="1DF5111A">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⑦每月对数据进行备份。</w:t>
            </w:r>
          </w:p>
          <w:p w14:paraId="5D9DCF36">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（5）每两个月工作</w:t>
            </w:r>
          </w:p>
          <w:p w14:paraId="0A233060">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①更换PM</w:t>
            </w:r>
            <w:r>
              <w:rPr>
                <w:rFonts w:hint="eastAsia" w:ascii="宋体" w:hAnsi="宋体" w:cs="宋体"/>
                <w:color w:val="auto"/>
                <w:sz w:val="21"/>
                <w:szCs w:val="21"/>
                <w:highlight w:val="none"/>
                <w:vertAlign w:val="subscript"/>
              </w:rPr>
              <w:t>10</w:t>
            </w:r>
            <w:r>
              <w:rPr>
                <w:rFonts w:hint="eastAsia" w:ascii="宋体" w:hAnsi="宋体" w:cs="宋体"/>
                <w:color w:val="auto"/>
                <w:sz w:val="21"/>
                <w:szCs w:val="21"/>
                <w:highlight w:val="none"/>
              </w:rPr>
              <w:t>、PM</w:t>
            </w:r>
            <w:r>
              <w:rPr>
                <w:rFonts w:hint="eastAsia" w:ascii="宋体" w:hAnsi="宋体" w:cs="宋体"/>
                <w:color w:val="auto"/>
                <w:sz w:val="21"/>
                <w:szCs w:val="21"/>
                <w:highlight w:val="none"/>
                <w:vertAlign w:val="subscript"/>
              </w:rPr>
              <w:t>2.5</w:t>
            </w:r>
            <w:r>
              <w:rPr>
                <w:rFonts w:hint="eastAsia" w:ascii="宋体" w:hAnsi="宋体" w:cs="宋体"/>
                <w:color w:val="auto"/>
                <w:sz w:val="21"/>
                <w:szCs w:val="21"/>
                <w:highlight w:val="none"/>
              </w:rPr>
              <w:t>分析仪滤纸带，进行系统自检。</w:t>
            </w:r>
          </w:p>
          <w:p w14:paraId="0303799E">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②校准和检查PM</w:t>
            </w:r>
            <w:r>
              <w:rPr>
                <w:rFonts w:hint="eastAsia" w:ascii="宋体" w:hAnsi="宋体" w:cs="宋体"/>
                <w:color w:val="auto"/>
                <w:sz w:val="21"/>
                <w:szCs w:val="21"/>
                <w:highlight w:val="none"/>
                <w:vertAlign w:val="subscript"/>
              </w:rPr>
              <w:t>10</w:t>
            </w:r>
            <w:r>
              <w:rPr>
                <w:rFonts w:hint="eastAsia" w:ascii="宋体" w:hAnsi="宋体" w:cs="宋体"/>
                <w:color w:val="auto"/>
                <w:sz w:val="21"/>
                <w:szCs w:val="21"/>
                <w:highlight w:val="none"/>
              </w:rPr>
              <w:t>及PM</w:t>
            </w:r>
            <w:r>
              <w:rPr>
                <w:rFonts w:hint="eastAsia" w:ascii="宋体" w:hAnsi="宋体" w:cs="宋体"/>
                <w:color w:val="auto"/>
                <w:sz w:val="21"/>
                <w:szCs w:val="21"/>
                <w:highlight w:val="none"/>
                <w:vertAlign w:val="subscript"/>
              </w:rPr>
              <w:t>2.5</w:t>
            </w:r>
            <w:r>
              <w:rPr>
                <w:rFonts w:hint="eastAsia" w:ascii="宋体" w:hAnsi="宋体" w:cs="宋体"/>
                <w:color w:val="auto"/>
                <w:sz w:val="21"/>
                <w:szCs w:val="21"/>
                <w:highlight w:val="none"/>
              </w:rPr>
              <w:t>分析仪的温度、气压和时钟。</w:t>
            </w:r>
          </w:p>
          <w:p w14:paraId="375D525A">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③用标准气压计、温度计、湿度计、手持式风速风向仪，校准相关的自动仪器。</w:t>
            </w:r>
          </w:p>
          <w:p w14:paraId="122D2A21">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（6）每季度工作</w:t>
            </w:r>
          </w:p>
          <w:p w14:paraId="69B5FFE3">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①采样总管及采样风机每季度至少清洗一次。</w:t>
            </w:r>
          </w:p>
          <w:p w14:paraId="0626A7BF">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②对气态分析仪进行多点线性检查。</w:t>
            </w:r>
          </w:p>
          <w:p w14:paraId="13FDFCAB">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③对PM</w:t>
            </w:r>
            <w:r>
              <w:rPr>
                <w:rFonts w:hint="eastAsia" w:ascii="宋体" w:hAnsi="宋体" w:cs="宋体"/>
                <w:color w:val="auto"/>
                <w:sz w:val="21"/>
                <w:szCs w:val="21"/>
                <w:highlight w:val="none"/>
                <w:vertAlign w:val="subscript"/>
              </w:rPr>
              <w:t>10</w:t>
            </w:r>
            <w:r>
              <w:rPr>
                <w:rFonts w:hint="eastAsia" w:ascii="宋体" w:hAnsi="宋体" w:cs="宋体"/>
                <w:color w:val="auto"/>
                <w:sz w:val="21"/>
                <w:szCs w:val="21"/>
                <w:highlight w:val="none"/>
              </w:rPr>
              <w:t>与PM</w:t>
            </w:r>
            <w:r>
              <w:rPr>
                <w:rFonts w:hint="eastAsia" w:ascii="宋体" w:hAnsi="宋体" w:cs="宋体"/>
                <w:color w:val="auto"/>
                <w:sz w:val="21"/>
                <w:szCs w:val="21"/>
                <w:highlight w:val="none"/>
                <w:vertAlign w:val="subscript"/>
              </w:rPr>
              <w:t>2.5</w:t>
            </w:r>
            <w:r>
              <w:rPr>
                <w:rFonts w:hint="eastAsia" w:ascii="宋体" w:hAnsi="宋体" w:cs="宋体"/>
                <w:color w:val="auto"/>
                <w:sz w:val="21"/>
                <w:szCs w:val="21"/>
                <w:highlight w:val="none"/>
              </w:rPr>
              <w:t xml:space="preserve">进行标准膜检查或K0值检查，如果超过国家规范或说明书规定的限值，需要进行校准。 </w:t>
            </w:r>
          </w:p>
          <w:p w14:paraId="11D2DB08">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④开展至少5天PM</w:t>
            </w:r>
            <w:r>
              <w:rPr>
                <w:rFonts w:hint="eastAsia" w:ascii="宋体" w:hAnsi="宋体" w:cs="宋体"/>
                <w:color w:val="auto"/>
                <w:sz w:val="21"/>
                <w:szCs w:val="21"/>
                <w:highlight w:val="none"/>
                <w:vertAlign w:val="subscript"/>
              </w:rPr>
              <w:t>10</w:t>
            </w:r>
            <w:r>
              <w:rPr>
                <w:rFonts w:hint="eastAsia" w:ascii="宋体" w:hAnsi="宋体" w:cs="宋体"/>
                <w:color w:val="auto"/>
                <w:sz w:val="21"/>
                <w:szCs w:val="21"/>
                <w:highlight w:val="none"/>
              </w:rPr>
              <w:t>手工采样和PM</w:t>
            </w:r>
            <w:r>
              <w:rPr>
                <w:rFonts w:hint="eastAsia" w:ascii="宋体" w:hAnsi="宋体" w:cs="宋体"/>
                <w:color w:val="auto"/>
                <w:sz w:val="21"/>
                <w:szCs w:val="21"/>
                <w:highlight w:val="none"/>
                <w:vertAlign w:val="subscript"/>
              </w:rPr>
              <w:t>2.5</w:t>
            </w:r>
            <w:r>
              <w:rPr>
                <w:rFonts w:hint="eastAsia" w:ascii="宋体" w:hAnsi="宋体" w:cs="宋体"/>
                <w:color w:val="auto"/>
                <w:sz w:val="21"/>
                <w:szCs w:val="21"/>
                <w:highlight w:val="none"/>
              </w:rPr>
              <w:t>手工采样。采样前滤膜由采购人委托第三方发放，采样后，4℃保存，一周内送至委托第三方发放称重，费用由供应商承担。</w:t>
            </w:r>
          </w:p>
          <w:p w14:paraId="61296A24">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（7）每半年工作</w:t>
            </w:r>
          </w:p>
          <w:p w14:paraId="0CD9D5AD">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①清洗仪器及采样管路。</w:t>
            </w:r>
          </w:p>
          <w:p w14:paraId="1BE70539">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②对氮氧化物分析仪钼炉转化率进行检查。</w:t>
            </w:r>
          </w:p>
          <w:p w14:paraId="08C0181A">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③检查PM</w:t>
            </w:r>
            <w:r>
              <w:rPr>
                <w:rFonts w:hint="eastAsia" w:ascii="宋体" w:hAnsi="宋体" w:cs="宋体"/>
                <w:color w:val="auto"/>
                <w:sz w:val="21"/>
                <w:szCs w:val="21"/>
                <w:highlight w:val="none"/>
                <w:vertAlign w:val="subscript"/>
              </w:rPr>
              <w:t>2.5</w:t>
            </w:r>
            <w:r>
              <w:rPr>
                <w:rFonts w:hint="eastAsia" w:ascii="宋体" w:hAnsi="宋体" w:cs="宋体"/>
                <w:color w:val="auto"/>
                <w:sz w:val="21"/>
                <w:szCs w:val="21"/>
                <w:highlight w:val="none"/>
              </w:rPr>
              <w:t>、PM</w:t>
            </w:r>
            <w:r>
              <w:rPr>
                <w:rFonts w:hint="eastAsia" w:ascii="宋体" w:hAnsi="宋体" w:cs="宋体"/>
                <w:color w:val="auto"/>
                <w:sz w:val="21"/>
                <w:szCs w:val="21"/>
                <w:highlight w:val="none"/>
                <w:vertAlign w:val="subscript"/>
              </w:rPr>
              <w:t>10</w:t>
            </w:r>
            <w:r>
              <w:rPr>
                <w:rFonts w:hint="eastAsia" w:ascii="宋体" w:hAnsi="宋体" w:cs="宋体"/>
                <w:color w:val="auto"/>
                <w:sz w:val="21"/>
                <w:szCs w:val="21"/>
                <w:highlight w:val="none"/>
              </w:rPr>
              <w:t>分析仪相对湿度、温度传感器和动态加热装置是否正常工作。</w:t>
            </w:r>
          </w:p>
          <w:p w14:paraId="4C69605B">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④对动态校准仪流量进行5～10个点检查，必要时校准，更换零气源净化剂和氧化剂，对零气性能进行检查。</w:t>
            </w:r>
          </w:p>
          <w:p w14:paraId="01A264C5">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⑤对臭氧仪器进行传递校准。</w:t>
            </w:r>
          </w:p>
          <w:p w14:paraId="4E0087A6">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（8）每年工作（合同期内）</w:t>
            </w:r>
          </w:p>
          <w:p w14:paraId="0560B9FC">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①对所有的仪器进行预防性维护，按说明书的要求更换备件。</w:t>
            </w:r>
          </w:p>
          <w:p w14:paraId="6ACBACD8">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②更换所有泵组件。</w:t>
            </w:r>
          </w:p>
          <w:p w14:paraId="22B2D26E">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③系统联机，远程控制检查。</w:t>
            </w:r>
          </w:p>
          <w:p w14:paraId="413F9875">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④每年对各站点空调进行清洗保养，费用由供应商承担。</w:t>
            </w:r>
          </w:p>
          <w:p w14:paraId="3FC899D2">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⑤邀请专业防雷检测机构进行各站点防雷检测，并出具检测合格报告，检测费用由供应商承担。</w:t>
            </w:r>
          </w:p>
          <w:p w14:paraId="0DC1D48D">
            <w:pPr>
              <w:spacing w:line="35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⑥定期检定温湿度计并提供检定证书，确保温湿度计在检定有效期内，费用由供应商承担。</w:t>
            </w:r>
          </w:p>
          <w:p w14:paraId="6003CEBB">
            <w:pPr>
              <w:spacing w:line="35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⑦查看消防设备是否在有效期内，更换费用由供应商承担。</w:t>
            </w:r>
          </w:p>
          <w:p w14:paraId="0D1ECDE7">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（9）日常运行维护记录</w:t>
            </w:r>
          </w:p>
          <w:p w14:paraId="71CDD4F5">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应建立站点维护档案，将站点的运行过程和运行事件进行详细记录，并进行归档管理。日常运维中使用运行管理相关记录至少应包括下列几种[具体参照《环境空气颗粒物（PM</w:t>
            </w:r>
            <w:r>
              <w:rPr>
                <w:rFonts w:hint="eastAsia" w:ascii="宋体" w:hAnsi="宋体" w:cs="宋体"/>
                <w:color w:val="auto"/>
                <w:sz w:val="21"/>
                <w:szCs w:val="21"/>
                <w:highlight w:val="none"/>
                <w:vertAlign w:val="subscript"/>
              </w:rPr>
              <w:t>10</w:t>
            </w:r>
            <w:r>
              <w:rPr>
                <w:rFonts w:hint="eastAsia" w:ascii="宋体" w:hAnsi="宋体" w:cs="宋体"/>
                <w:color w:val="auto"/>
                <w:sz w:val="21"/>
                <w:szCs w:val="21"/>
                <w:highlight w:val="none"/>
              </w:rPr>
              <w:t>和PM</w:t>
            </w:r>
            <w:r>
              <w:rPr>
                <w:rFonts w:hint="eastAsia" w:ascii="宋体" w:hAnsi="宋体" w:cs="宋体"/>
                <w:color w:val="auto"/>
                <w:sz w:val="21"/>
                <w:szCs w:val="21"/>
                <w:highlight w:val="none"/>
                <w:vertAlign w:val="subscript"/>
              </w:rPr>
              <w:t>2.5</w:t>
            </w:r>
            <w:r>
              <w:rPr>
                <w:rFonts w:hint="eastAsia" w:ascii="宋体" w:hAnsi="宋体" w:cs="宋体"/>
                <w:color w:val="auto"/>
                <w:sz w:val="21"/>
                <w:szCs w:val="21"/>
                <w:highlight w:val="none"/>
              </w:rPr>
              <w:t>）连续自动监测系统运行和质控技术规范》（HJ 817-2018）、《环境空气气态污染物（SO</w:t>
            </w:r>
            <w:r>
              <w:rPr>
                <w:rFonts w:hint="eastAsia" w:ascii="宋体" w:hAnsi="宋体" w:cs="宋体"/>
                <w:color w:val="auto"/>
                <w:sz w:val="21"/>
                <w:szCs w:val="21"/>
                <w:highlight w:val="none"/>
                <w:vertAlign w:val="subscript"/>
              </w:rPr>
              <w:t>2</w:t>
            </w:r>
            <w:r>
              <w:rPr>
                <w:rFonts w:hint="eastAsia" w:ascii="宋体" w:hAnsi="宋体" w:cs="宋体"/>
                <w:color w:val="auto"/>
                <w:sz w:val="21"/>
                <w:szCs w:val="21"/>
                <w:highlight w:val="none"/>
              </w:rPr>
              <w:t>、NO</w:t>
            </w:r>
            <w:r>
              <w:rPr>
                <w:rFonts w:hint="eastAsia" w:ascii="宋体" w:hAnsi="宋体" w:cs="宋体"/>
                <w:color w:val="auto"/>
                <w:sz w:val="21"/>
                <w:szCs w:val="21"/>
                <w:highlight w:val="none"/>
                <w:vertAlign w:val="subscript"/>
              </w:rPr>
              <w:t>2</w:t>
            </w:r>
            <w:r>
              <w:rPr>
                <w:rFonts w:hint="eastAsia" w:ascii="宋体" w:hAnsi="宋体" w:cs="宋体"/>
                <w:color w:val="auto"/>
                <w:sz w:val="21"/>
                <w:szCs w:val="21"/>
                <w:highlight w:val="none"/>
              </w:rPr>
              <w:t>、O</w:t>
            </w:r>
            <w:r>
              <w:rPr>
                <w:rFonts w:hint="eastAsia" w:ascii="宋体" w:hAnsi="宋体" w:cs="宋体"/>
                <w:color w:val="auto"/>
                <w:sz w:val="21"/>
                <w:szCs w:val="21"/>
                <w:highlight w:val="none"/>
                <w:vertAlign w:val="subscript"/>
              </w:rPr>
              <w:t>3</w:t>
            </w:r>
            <w:r>
              <w:rPr>
                <w:rFonts w:hint="eastAsia" w:ascii="宋体" w:hAnsi="宋体" w:cs="宋体"/>
                <w:color w:val="auto"/>
                <w:sz w:val="21"/>
                <w:szCs w:val="21"/>
                <w:highlight w:val="none"/>
              </w:rPr>
              <w:t>、CO）连续自动监测系统运行和质控技术规范》（HJ 818 -2018）、《环境空气自动监测标准传递管理规定（试行）》（环办监测函﹝2017﹞242号）、《环境空气监测臭氧传递标准校准技术规范》（HJ 1319-2023），</w:t>
            </w:r>
            <w:r>
              <w:rPr>
                <w:rFonts w:hint="eastAsia" w:ascii="宋体" w:hAnsi="宋体"/>
                <w:color w:val="auto"/>
                <w:sz w:val="21"/>
                <w:szCs w:val="21"/>
                <w:highlight w:val="none"/>
              </w:rPr>
              <w:t>如在合同期间国家或自治区出台新技术规范，按新技术规范要求进行维护管理</w:t>
            </w:r>
            <w:r>
              <w:rPr>
                <w:rFonts w:hint="eastAsia" w:ascii="宋体" w:hAnsi="宋体" w:cs="宋体"/>
                <w:color w:val="auto"/>
                <w:sz w:val="21"/>
                <w:szCs w:val="21"/>
                <w:highlight w:val="none"/>
              </w:rPr>
              <w:t>]：</w:t>
            </w:r>
          </w:p>
          <w:p w14:paraId="006FA422">
            <w:pPr>
              <w:spacing w:line="350" w:lineRule="exact"/>
              <w:ind w:left="-6" w:leftChars="-18" w:hanging="37" w:hangingChars="18"/>
              <w:rPr>
                <w:rFonts w:ascii="宋体" w:hAnsi="宋体"/>
                <w:color w:val="auto"/>
                <w:sz w:val="21"/>
                <w:szCs w:val="21"/>
                <w:highlight w:val="none"/>
              </w:rPr>
            </w:pPr>
            <w:r>
              <w:rPr>
                <w:rFonts w:hint="eastAsia" w:ascii="宋体" w:hAnsi="宋体" w:cs="宋体"/>
                <w:color w:val="auto"/>
                <w:sz w:val="21"/>
                <w:szCs w:val="21"/>
                <w:highlight w:val="none"/>
              </w:rPr>
              <w:t>①站点运行维护记录表。</w:t>
            </w:r>
          </w:p>
          <w:p w14:paraId="55F859D5">
            <w:pPr>
              <w:spacing w:line="350" w:lineRule="exact"/>
              <w:ind w:left="-6" w:leftChars="-18" w:hanging="37" w:hangingChars="18"/>
              <w:rPr>
                <w:rFonts w:ascii="宋体" w:hAnsi="宋体"/>
                <w:color w:val="auto"/>
                <w:sz w:val="21"/>
                <w:szCs w:val="21"/>
                <w:highlight w:val="none"/>
              </w:rPr>
            </w:pPr>
            <w:r>
              <w:rPr>
                <w:rFonts w:hint="eastAsia" w:ascii="宋体" w:hAnsi="宋体" w:cs="宋体"/>
                <w:color w:val="auto"/>
                <w:sz w:val="21"/>
                <w:szCs w:val="21"/>
                <w:highlight w:val="none"/>
              </w:rPr>
              <w:t>②颗粒监测仪校准检查记录。</w:t>
            </w:r>
          </w:p>
          <w:p w14:paraId="339B2409">
            <w:pPr>
              <w:spacing w:line="350" w:lineRule="exact"/>
              <w:ind w:left="-6" w:leftChars="-18" w:hanging="37" w:hangingChars="18"/>
              <w:rPr>
                <w:rFonts w:ascii="宋体" w:hAnsi="宋体"/>
                <w:color w:val="auto"/>
                <w:sz w:val="21"/>
                <w:szCs w:val="21"/>
                <w:highlight w:val="none"/>
              </w:rPr>
            </w:pPr>
            <w:r>
              <w:rPr>
                <w:rFonts w:hint="eastAsia" w:ascii="宋体" w:hAnsi="宋体" w:cs="宋体"/>
                <w:color w:val="auto"/>
                <w:sz w:val="21"/>
                <w:szCs w:val="21"/>
                <w:highlight w:val="none"/>
              </w:rPr>
              <w:t>③气态污染物监测仪校准检查记录。</w:t>
            </w:r>
          </w:p>
          <w:p w14:paraId="61C24289">
            <w:pPr>
              <w:spacing w:line="350" w:lineRule="exact"/>
              <w:ind w:left="-6" w:leftChars="-18" w:hanging="37" w:hangingChars="18"/>
              <w:rPr>
                <w:rFonts w:ascii="宋体" w:hAnsi="宋体"/>
                <w:color w:val="auto"/>
                <w:sz w:val="21"/>
                <w:szCs w:val="21"/>
                <w:highlight w:val="none"/>
              </w:rPr>
            </w:pPr>
            <w:r>
              <w:rPr>
                <w:rFonts w:hint="eastAsia" w:ascii="宋体" w:hAnsi="宋体" w:cs="宋体"/>
                <w:color w:val="auto"/>
                <w:sz w:val="21"/>
                <w:szCs w:val="21"/>
                <w:highlight w:val="none"/>
              </w:rPr>
              <w:t>④空气自动监测系统仪器设备维修记录表。</w:t>
            </w:r>
          </w:p>
          <w:p w14:paraId="747F76BB">
            <w:pPr>
              <w:spacing w:line="350" w:lineRule="exact"/>
              <w:ind w:left="-6" w:leftChars="-18" w:hanging="37" w:hangingChars="18"/>
              <w:rPr>
                <w:rFonts w:ascii="宋体" w:hAnsi="宋体"/>
                <w:color w:val="auto"/>
                <w:sz w:val="21"/>
                <w:szCs w:val="21"/>
                <w:highlight w:val="none"/>
              </w:rPr>
            </w:pPr>
            <w:r>
              <w:rPr>
                <w:rFonts w:hint="eastAsia" w:ascii="宋体" w:hAnsi="宋体" w:cs="宋体"/>
                <w:color w:val="auto"/>
                <w:sz w:val="21"/>
                <w:szCs w:val="21"/>
                <w:highlight w:val="none"/>
              </w:rPr>
              <w:t>⑤空气自动监测系统备品备件管理记录表。</w:t>
            </w:r>
          </w:p>
          <w:p w14:paraId="58FAD287">
            <w:pPr>
              <w:spacing w:line="350" w:lineRule="exact"/>
              <w:ind w:left="-6" w:leftChars="-18" w:hanging="37" w:hangingChars="18"/>
              <w:rPr>
                <w:rFonts w:ascii="宋体" w:hAnsi="宋体"/>
                <w:color w:val="auto"/>
                <w:sz w:val="21"/>
                <w:szCs w:val="21"/>
                <w:highlight w:val="none"/>
              </w:rPr>
            </w:pPr>
            <w:r>
              <w:rPr>
                <w:rFonts w:hint="eastAsia" w:ascii="宋体" w:hAnsi="宋体" w:cs="宋体"/>
                <w:color w:val="auto"/>
                <w:sz w:val="21"/>
                <w:szCs w:val="21"/>
                <w:highlight w:val="none"/>
              </w:rPr>
              <w:t>⑥站点主要消耗材料使用登记表。</w:t>
            </w:r>
          </w:p>
          <w:p w14:paraId="296B62C8">
            <w:pPr>
              <w:spacing w:line="350" w:lineRule="exact"/>
              <w:ind w:left="-6" w:leftChars="-18" w:hanging="37" w:hangingChars="18"/>
              <w:rPr>
                <w:rFonts w:ascii="宋体" w:hAnsi="宋体"/>
                <w:color w:val="auto"/>
                <w:sz w:val="21"/>
                <w:szCs w:val="21"/>
                <w:highlight w:val="none"/>
              </w:rPr>
            </w:pPr>
            <w:r>
              <w:rPr>
                <w:rFonts w:hint="eastAsia" w:ascii="宋体" w:hAnsi="宋体" w:cs="宋体"/>
                <w:color w:val="auto"/>
                <w:sz w:val="21"/>
                <w:szCs w:val="21"/>
                <w:highlight w:val="none"/>
              </w:rPr>
              <w:t>⑦多点线性校准表格。</w:t>
            </w:r>
          </w:p>
          <w:p w14:paraId="17B94F0D">
            <w:pPr>
              <w:spacing w:line="350" w:lineRule="exact"/>
              <w:ind w:left="-6" w:leftChars="-18" w:hanging="37" w:hangingChars="18"/>
              <w:rPr>
                <w:rFonts w:ascii="宋体" w:hAnsi="宋体"/>
                <w:color w:val="auto"/>
                <w:sz w:val="21"/>
                <w:szCs w:val="21"/>
                <w:highlight w:val="none"/>
              </w:rPr>
            </w:pPr>
            <w:r>
              <w:rPr>
                <w:rFonts w:hint="eastAsia" w:ascii="宋体" w:hAnsi="宋体" w:cs="宋体"/>
                <w:color w:val="auto"/>
                <w:sz w:val="21"/>
                <w:szCs w:val="21"/>
                <w:highlight w:val="none"/>
              </w:rPr>
              <w:t>⑧站点室内外环境记录。</w:t>
            </w:r>
          </w:p>
          <w:p w14:paraId="3B1A68A2">
            <w:pPr>
              <w:spacing w:line="350" w:lineRule="exact"/>
              <w:ind w:left="-6" w:leftChars="-18" w:hanging="37" w:hangingChars="18"/>
              <w:rPr>
                <w:rFonts w:ascii="宋体" w:hAnsi="宋体"/>
                <w:color w:val="auto"/>
                <w:sz w:val="21"/>
                <w:szCs w:val="21"/>
                <w:highlight w:val="none"/>
              </w:rPr>
            </w:pPr>
            <w:r>
              <w:rPr>
                <w:rFonts w:hint="eastAsia" w:ascii="宋体" w:hAnsi="宋体" w:cs="宋体"/>
                <w:color w:val="auto"/>
                <w:sz w:val="21"/>
                <w:szCs w:val="21"/>
                <w:highlight w:val="none"/>
              </w:rPr>
              <w:t>⑨标准物质使用记录。</w:t>
            </w:r>
          </w:p>
          <w:p w14:paraId="7F2CF08E">
            <w:pPr>
              <w:spacing w:line="350" w:lineRule="exact"/>
              <w:ind w:left="-6" w:leftChars="-18" w:hanging="37" w:hangingChars="18"/>
              <w:rPr>
                <w:rFonts w:ascii="宋体" w:hAnsi="宋体" w:cs="宋体"/>
                <w:color w:val="auto"/>
                <w:sz w:val="21"/>
                <w:szCs w:val="21"/>
                <w:highlight w:val="none"/>
              </w:rPr>
            </w:pPr>
            <w:r>
              <w:rPr>
                <w:rFonts w:hint="eastAsia" w:ascii="宋体" w:hAnsi="宋体" w:cs="宋体"/>
                <w:color w:val="auto"/>
                <w:sz w:val="21"/>
                <w:szCs w:val="21"/>
                <w:highlight w:val="none"/>
              </w:rPr>
              <w:t>⑩空气自动监测系统仪器资料保管清单。</w:t>
            </w:r>
          </w:p>
          <w:p w14:paraId="7A157264">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（10）其他要求</w:t>
            </w:r>
          </w:p>
          <w:p w14:paraId="23D25B71">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①每周更换的气态污染物用滤膜，滤膜必须为聚四氟乙烯材质。</w:t>
            </w:r>
          </w:p>
          <w:p w14:paraId="580AD44B">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②耗材必须是所托管子站系统原厂全新耗材。</w:t>
            </w:r>
          </w:p>
          <w:p w14:paraId="327F1DB5">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③运营维护服务对仪器设备易耗品的更换频次具体要求参照规范及仪器说明书。</w:t>
            </w:r>
          </w:p>
          <w:p w14:paraId="51A38823">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④ 要求及时制定下周工作计划，工作计划为采购人核查供应商的重要依据；供应商严格按计划执行，若有变更应及时通知采购人。</w:t>
            </w:r>
          </w:p>
          <w:p w14:paraId="09AA8953">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⑤要求每月10日前，将上月各类记录交给采购人，用于审核数据。</w:t>
            </w:r>
          </w:p>
          <w:p w14:paraId="6E62EA20">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⑥供应商保证满足对站点故障的响应时间要求，当站点每日6时～23时出现故障，应在1小时之内响应，1小时内到达现场解决（通信线路、电力线路故障除外，但应及时与相关部门联系积极解决）。若仪器故障无法排除，供应商必须在48小时内更换相应的备机，保证自动站正常运行。</w:t>
            </w:r>
          </w:p>
          <w:p w14:paraId="63BCB792">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⑦当仪器使用过程中，出现损坏报废不能修复时，应在48小时之内使用备机开展监测，并同时报告采购人，由采购人组织确认仪器损坏情况及原因，酌情处理。</w:t>
            </w:r>
          </w:p>
          <w:p w14:paraId="59DB563F">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⑧对于使用超过8年的仪器在使用过程中发生损坏导致报废，以及因洪水、地震、飓风、台风、站房外部火灾、爆炸、恐怖袭击、武装冲突、蓄意破坏等不可抗力所造成的仪器损坏导致的仪器报废，供应商要使用备机开展监测，并及时报告</w:t>
            </w:r>
            <w:r>
              <w:rPr>
                <w:rFonts w:hint="eastAsia" w:ascii="宋体" w:hAnsi="宋体" w:cs="宋体"/>
                <w:color w:val="auto"/>
                <w:sz w:val="21"/>
                <w:szCs w:val="21"/>
                <w:highlight w:val="none"/>
                <w:lang w:val="zh-CN"/>
              </w:rPr>
              <w:t>采购人</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采购人</w:t>
            </w:r>
            <w:r>
              <w:rPr>
                <w:rFonts w:hint="eastAsia" w:ascii="宋体" w:hAnsi="宋体" w:cs="宋体"/>
                <w:color w:val="auto"/>
                <w:sz w:val="21"/>
                <w:szCs w:val="21"/>
                <w:highlight w:val="none"/>
              </w:rPr>
              <w:t>视情况决定重新购置监测仪器，或者继续使用备机。</w:t>
            </w:r>
          </w:p>
          <w:p w14:paraId="4E88928A">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⑨备机连续使用时间不能超过1个月。</w:t>
            </w:r>
          </w:p>
          <w:p w14:paraId="686AA84C">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⑩严禁擅自改变采样管路连接方式和更改仪器参数设置；否则，按违约处理，并追究其相应的法律责任，采购人有权汇报监督管理部门处理。</w:t>
            </w:r>
          </w:p>
          <w:p w14:paraId="5EC76897">
            <w:pPr>
              <w:spacing w:line="350" w:lineRule="exact"/>
              <w:ind w:firstLine="0" w:firstLineChars="0"/>
              <w:rPr>
                <w:rFonts w:ascii="宋体" w:hAnsi="宋体"/>
                <w:color w:val="auto"/>
                <w:sz w:val="21"/>
                <w:szCs w:val="21"/>
                <w:highlight w:val="none"/>
              </w:rPr>
            </w:pPr>
            <w:r>
              <w:rPr>
                <w:rFonts w:ascii="Cambria Math" w:hAnsi="Cambria Math" w:cs="Cambria Math"/>
                <w:color w:val="auto"/>
                <w:sz w:val="21"/>
                <w:szCs w:val="21"/>
                <w:highlight w:val="none"/>
                <w:shd w:val="clear" w:color="auto" w:fill="FFFFFF"/>
              </w:rPr>
              <w:t>⑪</w:t>
            </w:r>
            <w:r>
              <w:rPr>
                <w:rFonts w:hint="eastAsia" w:ascii="宋体" w:hAnsi="宋体" w:cs="宋体"/>
                <w:color w:val="auto"/>
                <w:sz w:val="21"/>
                <w:szCs w:val="21"/>
                <w:highlight w:val="none"/>
              </w:rPr>
              <w:t>完成技术规范、管理办法、仪器操作手册或者总站/区站下发的技术要求的其他工作。</w:t>
            </w:r>
          </w:p>
          <w:p w14:paraId="230441CC">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2.</w:t>
            </w:r>
            <w:r>
              <w:rPr>
                <w:rFonts w:hint="eastAsia" w:ascii="宋体" w:hAnsi="宋体" w:cs="宋体"/>
                <w:b/>
                <w:bCs/>
                <w:color w:val="auto"/>
                <w:spacing w:val="-8"/>
                <w:sz w:val="21"/>
                <w:szCs w:val="21"/>
                <w:highlight w:val="none"/>
              </w:rPr>
              <w:t>质量控制要求</w:t>
            </w:r>
          </w:p>
          <w:p w14:paraId="755CF9E3">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 xml:space="preserve">  供应商需认真落实质量管理制度，做好相应记录。</w:t>
            </w:r>
          </w:p>
          <w:p w14:paraId="0AEB5DF2">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（1）量值溯源要求</w:t>
            </w:r>
          </w:p>
          <w:p w14:paraId="027FD6B9">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 xml:space="preserve">  供应商在每个站点需配备标准气体，所使用的标准气体须为国家生态环境部标样所或国家标物中心生产的有证标准物质。在用标准气体当钢瓶压力低于500PSIG时，标准需要进行重新验证；当钢瓶压力低于150PSIG(1.0MPa）时，标准停止使用。标准气体必须在有效期内使用。</w:t>
            </w:r>
          </w:p>
          <w:p w14:paraId="7D5D2775">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（2）日常质量控制要求</w:t>
            </w:r>
          </w:p>
          <w:p w14:paraId="79BFB2CE">
            <w:pPr>
              <w:spacing w:line="350" w:lineRule="exact"/>
              <w:ind w:left="102" w:firstLine="0" w:firstLineChars="0"/>
              <w:rPr>
                <w:rFonts w:ascii="宋体" w:hAnsi="宋体"/>
                <w:color w:val="auto"/>
                <w:sz w:val="21"/>
                <w:szCs w:val="21"/>
                <w:highlight w:val="none"/>
              </w:rPr>
            </w:pPr>
            <w:r>
              <w:rPr>
                <w:rFonts w:hint="eastAsia" w:ascii="宋体" w:hAnsi="宋体" w:cs="宋体"/>
                <w:color w:val="auto"/>
                <w:sz w:val="21"/>
                <w:szCs w:val="21"/>
                <w:highlight w:val="none"/>
              </w:rPr>
              <w:t>分析仪在以下情况下需进行校准和再校准：</w:t>
            </w:r>
          </w:p>
          <w:p w14:paraId="4A3B90FB">
            <w:pPr>
              <w:spacing w:line="35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①安装时。</w:t>
            </w:r>
          </w:p>
          <w:p w14:paraId="6A35C8AB">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②移动位置时。</w:t>
            </w:r>
          </w:p>
          <w:p w14:paraId="2C604002">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③进行可能影响校准结果的维修或维护后。</w:t>
            </w:r>
          </w:p>
          <w:p w14:paraId="0384582F">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④分析仪暂停工作一段时间后。</w:t>
            </w:r>
          </w:p>
          <w:p w14:paraId="0737B32F">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⑤有迹象表明分析仪工作不正常或校准结果出现变化。</w:t>
            </w:r>
          </w:p>
          <w:p w14:paraId="7EE1B6B6">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⑥达到国家规范或本竞争性磋商文件要求的校准周期或校准要求的。</w:t>
            </w:r>
          </w:p>
          <w:p w14:paraId="342B5D81">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（3）质量控制资料整理</w:t>
            </w:r>
          </w:p>
          <w:p w14:paraId="7EAEDB3A">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各种技术与质量文件均保持现行有效，可根据管理需要进行调整或修订，巡检记录、维修记录、日常检查与监督抽查等质量保证与质量控制记录均须按要求进行填写，每年进行整理归档。</w:t>
            </w:r>
          </w:p>
          <w:p w14:paraId="151D3736">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3.</w:t>
            </w:r>
            <w:r>
              <w:rPr>
                <w:rFonts w:hint="eastAsia" w:ascii="宋体" w:hAnsi="宋体" w:cs="宋体"/>
                <w:b/>
                <w:bCs/>
                <w:color w:val="auto"/>
                <w:spacing w:val="-8"/>
                <w:sz w:val="21"/>
                <w:szCs w:val="21"/>
                <w:highlight w:val="none"/>
              </w:rPr>
              <w:t>系统设备维修要求</w:t>
            </w:r>
          </w:p>
          <w:p w14:paraId="1CDBBEE7">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（1）运行维修工作界定</w:t>
            </w:r>
          </w:p>
          <w:p w14:paraId="353764CF">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供应商负责系统所有设备和仪器的维护、维修和部件更换（包括空调设备等附属设施），并自行将维修费用综合计算在本项目磋商报价中。本服务内容同样包括由于外部原因意外丢失和损坏设备的维修或更换。</w:t>
            </w:r>
          </w:p>
          <w:p w14:paraId="29231837">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（2）设备维修质量控制要求</w:t>
            </w:r>
          </w:p>
          <w:p w14:paraId="4264C69A">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①监测仪器被修复后，当其检测性能受到影响时，需要进行检验，采用标气测定、颗粒物手工比对等方法进行。</w:t>
            </w:r>
          </w:p>
          <w:p w14:paraId="2F23ECDF">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②仪器大修后（更换设备测试关键部件），应按顺序进行漂移实验（零点漂移、量程漂移）、重复性及准确度实验、多点线性实验，并提交相应报告。</w:t>
            </w:r>
          </w:p>
          <w:p w14:paraId="1042E235">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4.</w:t>
            </w:r>
            <w:r>
              <w:rPr>
                <w:rFonts w:hint="eastAsia" w:ascii="宋体" w:hAnsi="宋体" w:cs="宋体"/>
                <w:b/>
                <w:bCs/>
                <w:color w:val="auto"/>
                <w:spacing w:val="-8"/>
                <w:sz w:val="21"/>
                <w:szCs w:val="21"/>
                <w:highlight w:val="none"/>
              </w:rPr>
              <w:t>工作记录与报告</w:t>
            </w:r>
          </w:p>
          <w:p w14:paraId="70ECD1C2">
            <w:pPr>
              <w:spacing w:line="350" w:lineRule="exact"/>
              <w:ind w:firstLine="0" w:firstLineChars="0"/>
              <w:jc w:val="left"/>
              <w:rPr>
                <w:rFonts w:ascii="宋体" w:hAnsi="宋体"/>
                <w:color w:val="auto"/>
                <w:sz w:val="21"/>
                <w:szCs w:val="21"/>
                <w:highlight w:val="none"/>
              </w:rPr>
            </w:pPr>
            <w:r>
              <w:rPr>
                <w:rFonts w:hint="eastAsia" w:ascii="宋体" w:hAnsi="宋体" w:cs="宋体"/>
                <w:color w:val="auto"/>
                <w:sz w:val="21"/>
                <w:szCs w:val="21"/>
                <w:highlight w:val="none"/>
              </w:rPr>
              <w:t>（1）供应商在系统维护管理及仪器、设备的维修过程中，须按照空气质量自动监测技术规范和采购人的要求填写巡检记录、质控记录、仪器设备维护、维修记录、自检等原始记录，并经现场技术人员签字认可。</w:t>
            </w:r>
          </w:p>
          <w:p w14:paraId="4837FCC2">
            <w:pPr>
              <w:spacing w:line="350" w:lineRule="exact"/>
              <w:ind w:firstLine="0" w:firstLineChars="0"/>
              <w:jc w:val="left"/>
              <w:rPr>
                <w:rFonts w:ascii="宋体" w:hAnsi="宋体"/>
                <w:color w:val="auto"/>
                <w:sz w:val="21"/>
                <w:szCs w:val="21"/>
                <w:highlight w:val="none"/>
              </w:rPr>
            </w:pPr>
            <w:r>
              <w:rPr>
                <w:rFonts w:hint="eastAsia" w:ascii="宋体" w:hAnsi="宋体" w:cs="宋体"/>
                <w:color w:val="auto"/>
                <w:sz w:val="21"/>
                <w:szCs w:val="21"/>
                <w:highlight w:val="none"/>
              </w:rPr>
              <w:t>（2）每次仪器、设备维修后一周内向</w:t>
            </w:r>
            <w:r>
              <w:rPr>
                <w:rFonts w:hint="eastAsia" w:ascii="宋体" w:hAnsi="宋体" w:cs="宋体"/>
                <w:color w:val="auto"/>
                <w:sz w:val="21"/>
                <w:szCs w:val="21"/>
                <w:highlight w:val="none"/>
                <w:lang w:val="zh-CN"/>
              </w:rPr>
              <w:t>采购人</w:t>
            </w:r>
            <w:r>
              <w:rPr>
                <w:rFonts w:hint="eastAsia" w:ascii="宋体" w:hAnsi="宋体" w:cs="宋体"/>
                <w:color w:val="auto"/>
                <w:sz w:val="21"/>
                <w:szCs w:val="21"/>
                <w:highlight w:val="none"/>
              </w:rPr>
              <w:t>提交一份维修报告及维修后性能核查报告。</w:t>
            </w:r>
          </w:p>
          <w:p w14:paraId="26E86CEE">
            <w:pPr>
              <w:spacing w:line="350" w:lineRule="exact"/>
              <w:ind w:firstLine="0" w:firstLineChars="0"/>
              <w:jc w:val="left"/>
              <w:rPr>
                <w:rFonts w:ascii="宋体" w:hAnsi="宋体"/>
                <w:color w:val="auto"/>
                <w:sz w:val="21"/>
                <w:szCs w:val="21"/>
                <w:highlight w:val="none"/>
              </w:rPr>
            </w:pPr>
            <w:r>
              <w:rPr>
                <w:rFonts w:hint="eastAsia" w:ascii="宋体" w:hAnsi="宋体" w:cs="宋体"/>
                <w:color w:val="auto"/>
                <w:sz w:val="21"/>
                <w:szCs w:val="21"/>
                <w:highlight w:val="none"/>
              </w:rPr>
              <w:t>（3）所有的现场记录每月一次移交给</w:t>
            </w:r>
            <w:r>
              <w:rPr>
                <w:rFonts w:hint="eastAsia" w:ascii="宋体" w:hAnsi="宋体" w:cs="宋体"/>
                <w:color w:val="auto"/>
                <w:sz w:val="21"/>
                <w:szCs w:val="21"/>
                <w:highlight w:val="none"/>
                <w:lang w:val="zh-CN"/>
              </w:rPr>
              <w:t>采购人</w:t>
            </w:r>
            <w:r>
              <w:rPr>
                <w:rFonts w:hint="eastAsia" w:ascii="宋体" w:hAnsi="宋体" w:cs="宋体"/>
                <w:color w:val="auto"/>
                <w:sz w:val="21"/>
                <w:szCs w:val="21"/>
                <w:highlight w:val="none"/>
              </w:rPr>
              <w:t>存档备案，并做月度维护总结，每月10日前提交采购人。</w:t>
            </w:r>
          </w:p>
          <w:p w14:paraId="3DA7A0C1">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（4）年度总结，年度维护工作结束后15个工作日内向</w:t>
            </w:r>
            <w:r>
              <w:rPr>
                <w:rFonts w:hint="eastAsia" w:ascii="宋体" w:hAnsi="宋体" w:cs="宋体"/>
                <w:color w:val="auto"/>
                <w:sz w:val="21"/>
                <w:szCs w:val="21"/>
                <w:highlight w:val="none"/>
                <w:lang w:val="zh-CN"/>
              </w:rPr>
              <w:t>采购人</w:t>
            </w:r>
            <w:r>
              <w:rPr>
                <w:rFonts w:hint="eastAsia" w:ascii="宋体" w:hAnsi="宋体" w:cs="宋体"/>
                <w:color w:val="auto"/>
                <w:sz w:val="21"/>
                <w:szCs w:val="21"/>
                <w:highlight w:val="none"/>
              </w:rPr>
              <w:t>提交年度维护总结。</w:t>
            </w:r>
          </w:p>
          <w:p w14:paraId="62CEF217">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pacing w:val="-8"/>
                <w:sz w:val="21"/>
                <w:szCs w:val="21"/>
                <w:highlight w:val="none"/>
              </w:rPr>
              <w:t>（四）监督考核要求</w:t>
            </w:r>
          </w:p>
          <w:p w14:paraId="382A3E5D">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采购人或采购人委托的第三方机构组织开展运维管理和质控考核，对达不到运维要求或违规操作的，采购人可以扣减相应的运维费，并有权终止运维合同。</w:t>
            </w:r>
          </w:p>
          <w:p w14:paraId="47A73FBD">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1.</w:t>
            </w:r>
            <w:r>
              <w:rPr>
                <w:rFonts w:hint="eastAsia" w:ascii="宋体" w:hAnsi="宋体" w:cs="宋体"/>
                <w:b/>
                <w:bCs/>
                <w:color w:val="auto"/>
                <w:spacing w:val="-8"/>
                <w:sz w:val="21"/>
                <w:szCs w:val="21"/>
                <w:highlight w:val="none"/>
              </w:rPr>
              <w:t>监督管理</w:t>
            </w:r>
          </w:p>
          <w:p w14:paraId="76451A36">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1）要求供应商承担监测数据的保密责任（要求与采购人签订保密协议），不得利用本项目的数据、档案或有关资料对外开展技术交流、业务联系、数据交换等。否则，按违约处理，并追究其相应的法律责任，采购人有权向监督管理部门汇报并处理。</w:t>
            </w:r>
          </w:p>
          <w:p w14:paraId="540B80AD">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（2）运维期间出现调整数据、修改参数、改动设备、弄虚作假等违规行为的，采购人有权终止运维合同。</w:t>
            </w:r>
          </w:p>
          <w:p w14:paraId="58545ED0">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（3）运维期间，供应商应按安全生产有关规定，建立安全生产制度，切实消除安全隐患。</w:t>
            </w:r>
          </w:p>
          <w:p w14:paraId="37C635F8">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2.</w:t>
            </w:r>
            <w:r>
              <w:rPr>
                <w:rFonts w:hint="eastAsia" w:ascii="宋体" w:hAnsi="宋体" w:cs="宋体"/>
                <w:b/>
                <w:bCs/>
                <w:color w:val="auto"/>
                <w:spacing w:val="-8"/>
                <w:sz w:val="21"/>
                <w:szCs w:val="21"/>
                <w:highlight w:val="none"/>
              </w:rPr>
              <w:t>考核办法</w:t>
            </w:r>
          </w:p>
          <w:p w14:paraId="4A112DDB">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对供应商运行维护服务质量每月检查一次，每季度考核一次。考核采取百分制、单站考核的方式，主要包括单个站点数据有效性，监测数据获取率、数据质控合格率（以下简称“两率”）以及运行维护的内容，考核总分按照合同要求支付该季度的运行费：</w:t>
            </w:r>
          </w:p>
          <w:p w14:paraId="1018FE55">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（1）</w:t>
            </w:r>
            <w:r>
              <w:rPr>
                <w:rFonts w:hint="eastAsia" w:ascii="宋体" w:hAnsi="宋体" w:cs="宋体"/>
                <w:b/>
                <w:bCs/>
                <w:color w:val="auto"/>
                <w:spacing w:val="-8"/>
                <w:sz w:val="21"/>
                <w:szCs w:val="21"/>
                <w:highlight w:val="none"/>
              </w:rPr>
              <w:t>数据有效性</w:t>
            </w:r>
          </w:p>
          <w:p w14:paraId="29E1B934">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考核时段内单个站点任一监测项目有效数据量应满足《环境空气质量标准》（GB 3095-2016）中规定的污染物浓度数据有效性的最低要求，否则考核总分为0分。</w:t>
            </w:r>
          </w:p>
          <w:p w14:paraId="0F06A12C">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（2）</w:t>
            </w:r>
            <w:r>
              <w:rPr>
                <w:rFonts w:hint="eastAsia" w:ascii="宋体" w:hAnsi="宋体" w:cs="宋体"/>
                <w:b/>
                <w:bCs/>
                <w:color w:val="auto"/>
                <w:spacing w:val="-8"/>
                <w:sz w:val="21"/>
                <w:szCs w:val="21"/>
                <w:highlight w:val="none"/>
              </w:rPr>
              <w:t>两率及运行维护</w:t>
            </w:r>
          </w:p>
          <w:p w14:paraId="0C61CB16">
            <w:pPr>
              <w:spacing w:line="350" w:lineRule="exact"/>
              <w:ind w:firstLine="0" w:firstLineChars="0"/>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符合数据有效性要求后，参照本部分执行。</w:t>
            </w:r>
          </w:p>
          <w:p w14:paraId="1EB8C404">
            <w:pPr>
              <w:spacing w:line="350" w:lineRule="exact"/>
              <w:ind w:firstLine="0" w:firstLineChars="0"/>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① 两率部分（60分）</w:t>
            </w:r>
          </w:p>
          <w:p w14:paraId="00243DA7">
            <w:pPr>
              <w:spacing w:line="350" w:lineRule="exact"/>
              <w:ind w:firstLine="0" w:firstLineChars="0"/>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A、单站监测数据质控合格率高于90%（含）的，得30分；≥80%（含）＜90%的，得分为30×（数据质控合格率+5%）。单站设备监测数据质控合格率必须高于80%，否则考核总分以0分计，不予支付运维费用。</w:t>
            </w:r>
          </w:p>
          <w:p w14:paraId="36103FA8">
            <w:pPr>
              <w:spacing w:line="350" w:lineRule="exact"/>
              <w:ind w:firstLine="0" w:firstLineChars="0"/>
              <w:rPr>
                <w:rFonts w:ascii="宋体" w:hAnsi="宋体"/>
                <w:color w:val="auto"/>
                <w:sz w:val="21"/>
                <w:szCs w:val="21"/>
                <w:highlight w:val="none"/>
              </w:rPr>
            </w:pPr>
            <w:r>
              <w:rPr>
                <w:rFonts w:hint="eastAsia" w:ascii="宋体" w:hAnsi="宋体" w:cs="宋体"/>
                <w:snapToGrid w:val="0"/>
                <w:color w:val="auto"/>
                <w:kern w:val="0"/>
                <w:sz w:val="21"/>
                <w:szCs w:val="21"/>
                <w:highlight w:val="none"/>
              </w:rPr>
              <w:t>B、单站设备数据捕获率高于90%（含），得30分；单站设备数据捕获率必须高于90%，否则考核总分以0分计，不予支付运维费用。</w:t>
            </w:r>
          </w:p>
          <w:p w14:paraId="2D634D01">
            <w:pPr>
              <w:spacing w:line="350" w:lineRule="exact"/>
              <w:ind w:firstLine="0" w:firstLineChars="0"/>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② 运行维护部分（40分）</w:t>
            </w:r>
          </w:p>
          <w:p w14:paraId="558DE2F3">
            <w:pPr>
              <w:spacing w:line="350" w:lineRule="exact"/>
              <w:ind w:firstLine="0" w:firstLineChars="0"/>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运行维护部分每月由采购人组织检查核实，此部分占总分40%，此表满分为40分。</w:t>
            </w:r>
          </w:p>
          <w:p w14:paraId="3F4857F9">
            <w:pPr>
              <w:spacing w:line="350" w:lineRule="exact"/>
              <w:ind w:firstLine="0" w:firstLineChars="0"/>
              <w:rPr>
                <w:rFonts w:ascii="宋体" w:hAnsi="宋体" w:cs="宋体"/>
                <w:color w:val="auto"/>
                <w:sz w:val="21"/>
                <w:szCs w:val="21"/>
                <w:highlight w:val="none"/>
              </w:rPr>
            </w:pPr>
            <w:r>
              <w:rPr>
                <w:rFonts w:hint="eastAsia" w:ascii="宋体" w:hAnsi="宋体" w:cs="宋体"/>
                <w:b/>
                <w:bCs/>
                <w:color w:val="auto"/>
                <w:sz w:val="21"/>
                <w:szCs w:val="21"/>
                <w:highlight w:val="none"/>
              </w:rPr>
              <w:t>运行维护具体考核办法如下</w:t>
            </w:r>
            <w:r>
              <w:rPr>
                <w:rFonts w:hint="eastAsia" w:ascii="宋体" w:hAnsi="宋体" w:cs="宋体"/>
                <w:color w:val="auto"/>
                <w:sz w:val="21"/>
                <w:szCs w:val="21"/>
                <w:highlight w:val="none"/>
              </w:rPr>
              <w:t>：</w:t>
            </w:r>
          </w:p>
          <w:tbl>
            <w:tblPr>
              <w:tblStyle w:val="45"/>
              <w:tblW w:w="6016" w:type="dxa"/>
              <w:jc w:val="center"/>
              <w:tblLayout w:type="fixed"/>
              <w:tblCellMar>
                <w:top w:w="0" w:type="dxa"/>
                <w:left w:w="108" w:type="dxa"/>
                <w:bottom w:w="0" w:type="dxa"/>
                <w:right w:w="108" w:type="dxa"/>
              </w:tblCellMar>
            </w:tblPr>
            <w:tblGrid>
              <w:gridCol w:w="431"/>
              <w:gridCol w:w="641"/>
              <w:gridCol w:w="2588"/>
              <w:gridCol w:w="992"/>
              <w:gridCol w:w="709"/>
              <w:gridCol w:w="655"/>
            </w:tblGrid>
            <w:tr w14:paraId="7E217030">
              <w:tblPrEx>
                <w:tblCellMar>
                  <w:top w:w="0" w:type="dxa"/>
                  <w:left w:w="108" w:type="dxa"/>
                  <w:bottom w:w="0" w:type="dxa"/>
                  <w:right w:w="108" w:type="dxa"/>
                </w:tblCellMar>
              </w:tblPrEx>
              <w:trPr>
                <w:trHeight w:val="528" w:hRule="atLeast"/>
                <w:jc w:val="center"/>
              </w:trPr>
              <w:tc>
                <w:tcPr>
                  <w:tcW w:w="3660" w:type="dxa"/>
                  <w:gridSpan w:val="3"/>
                  <w:tcBorders>
                    <w:top w:val="single" w:color="auto" w:sz="4" w:space="0"/>
                    <w:left w:val="single" w:color="auto" w:sz="4" w:space="0"/>
                    <w:bottom w:val="single" w:color="auto" w:sz="4" w:space="0"/>
                    <w:right w:val="single" w:color="auto" w:sz="4" w:space="0"/>
                  </w:tcBorders>
                  <w:vAlign w:val="center"/>
                </w:tcPr>
                <w:p w14:paraId="5563C12D">
                  <w:pPr>
                    <w:widowControl/>
                    <w:spacing w:line="350" w:lineRule="exact"/>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考核内容</w:t>
                  </w:r>
                </w:p>
              </w:tc>
              <w:tc>
                <w:tcPr>
                  <w:tcW w:w="992" w:type="dxa"/>
                  <w:tcBorders>
                    <w:top w:val="single" w:color="auto" w:sz="4" w:space="0"/>
                    <w:left w:val="nil"/>
                    <w:bottom w:val="single" w:color="auto" w:sz="4" w:space="0"/>
                    <w:right w:val="single" w:color="auto" w:sz="4" w:space="0"/>
                  </w:tcBorders>
                  <w:vAlign w:val="center"/>
                </w:tcPr>
                <w:p w14:paraId="6EF6AD64">
                  <w:pPr>
                    <w:widowControl/>
                    <w:spacing w:line="350" w:lineRule="exact"/>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扣分值</w:t>
                  </w:r>
                </w:p>
              </w:tc>
              <w:tc>
                <w:tcPr>
                  <w:tcW w:w="709" w:type="dxa"/>
                  <w:tcBorders>
                    <w:top w:val="single" w:color="auto" w:sz="4" w:space="0"/>
                    <w:left w:val="nil"/>
                    <w:bottom w:val="single" w:color="auto" w:sz="4" w:space="0"/>
                    <w:right w:val="single" w:color="auto" w:sz="4" w:space="0"/>
                  </w:tcBorders>
                  <w:vAlign w:val="center"/>
                </w:tcPr>
                <w:p w14:paraId="0866D190">
                  <w:pPr>
                    <w:widowControl/>
                    <w:spacing w:line="350" w:lineRule="exact"/>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评分结果</w:t>
                  </w:r>
                </w:p>
              </w:tc>
              <w:tc>
                <w:tcPr>
                  <w:tcW w:w="655" w:type="dxa"/>
                  <w:tcBorders>
                    <w:top w:val="single" w:color="auto" w:sz="4" w:space="0"/>
                    <w:left w:val="nil"/>
                    <w:bottom w:val="single" w:color="auto" w:sz="4" w:space="0"/>
                    <w:right w:val="single" w:color="auto" w:sz="4" w:space="0"/>
                  </w:tcBorders>
                  <w:vAlign w:val="center"/>
                </w:tcPr>
                <w:p w14:paraId="6B823B14">
                  <w:pPr>
                    <w:widowControl/>
                    <w:spacing w:line="350" w:lineRule="exact"/>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评分说明</w:t>
                  </w:r>
                </w:p>
              </w:tc>
            </w:tr>
            <w:tr w14:paraId="74BD91B2">
              <w:tblPrEx>
                <w:tblCellMar>
                  <w:top w:w="0" w:type="dxa"/>
                  <w:left w:w="108" w:type="dxa"/>
                  <w:bottom w:w="0" w:type="dxa"/>
                  <w:right w:w="108" w:type="dxa"/>
                </w:tblCellMar>
              </w:tblPrEx>
              <w:trPr>
                <w:trHeight w:val="1035" w:hRule="atLeast"/>
                <w:jc w:val="center"/>
              </w:trPr>
              <w:tc>
                <w:tcPr>
                  <w:tcW w:w="431" w:type="dxa"/>
                  <w:vMerge w:val="restart"/>
                  <w:tcBorders>
                    <w:top w:val="nil"/>
                    <w:left w:val="single" w:color="auto" w:sz="4" w:space="0"/>
                    <w:bottom w:val="single" w:color="auto" w:sz="4" w:space="0"/>
                    <w:right w:val="single" w:color="auto" w:sz="4" w:space="0"/>
                  </w:tcBorders>
                  <w:vAlign w:val="center"/>
                </w:tcPr>
                <w:p w14:paraId="63D9E070">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服务内容</w:t>
                  </w:r>
                </w:p>
              </w:tc>
              <w:tc>
                <w:tcPr>
                  <w:tcW w:w="641" w:type="dxa"/>
                  <w:tcBorders>
                    <w:top w:val="nil"/>
                    <w:left w:val="nil"/>
                    <w:bottom w:val="single" w:color="auto" w:sz="4" w:space="0"/>
                    <w:right w:val="single" w:color="auto" w:sz="4" w:space="0"/>
                  </w:tcBorders>
                  <w:vAlign w:val="center"/>
                </w:tcPr>
                <w:p w14:paraId="38842465">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远程检查</w:t>
                  </w:r>
                  <w:r>
                    <w:rPr>
                      <w:rFonts w:hint="eastAsia" w:ascii="宋体" w:hAnsi="宋体" w:cs="宋体"/>
                      <w:color w:val="auto"/>
                      <w:kern w:val="0"/>
                      <w:sz w:val="21"/>
                      <w:szCs w:val="21"/>
                      <w:highlight w:val="none"/>
                      <w:lang w:eastAsia="zh-CN"/>
                    </w:rPr>
                    <w:t>、审核</w:t>
                  </w:r>
                  <w:r>
                    <w:rPr>
                      <w:rFonts w:hint="eastAsia" w:ascii="宋体" w:hAnsi="宋体" w:cs="宋体"/>
                      <w:color w:val="auto"/>
                      <w:kern w:val="0"/>
                      <w:sz w:val="21"/>
                      <w:szCs w:val="21"/>
                      <w:highlight w:val="none"/>
                    </w:rPr>
                    <w:t>数据</w:t>
                  </w:r>
                </w:p>
              </w:tc>
              <w:tc>
                <w:tcPr>
                  <w:tcW w:w="2588" w:type="dxa"/>
                  <w:tcBorders>
                    <w:top w:val="nil"/>
                    <w:left w:val="nil"/>
                    <w:bottom w:val="single" w:color="auto" w:sz="4" w:space="0"/>
                    <w:right w:val="single" w:color="auto" w:sz="4" w:space="0"/>
                  </w:tcBorders>
                  <w:vAlign w:val="center"/>
                </w:tcPr>
                <w:p w14:paraId="40750C43">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每天8:00—23:30，专人负责通过数据平台对监测仪器状态实施监控。监控时段内仪器故障发现时间不得超过1小时，非监控时段内仪器故障发现时间不得晚于次日8:30</w:t>
                  </w:r>
                  <w:r>
                    <w:rPr>
                      <w:rFonts w:hint="eastAsia" w:ascii="宋体" w:hAnsi="宋体" w:cs="宋体"/>
                      <w:color w:val="auto"/>
                      <w:kern w:val="0"/>
                      <w:sz w:val="21"/>
                      <w:szCs w:val="21"/>
                      <w:highlight w:val="none"/>
                      <w:lang w:eastAsia="zh-CN"/>
                    </w:rPr>
                    <w:t>。每天9:00前在指定网站完成数据一审工作。</w:t>
                  </w:r>
                </w:p>
              </w:tc>
              <w:tc>
                <w:tcPr>
                  <w:tcW w:w="992" w:type="dxa"/>
                  <w:tcBorders>
                    <w:top w:val="nil"/>
                    <w:left w:val="nil"/>
                    <w:bottom w:val="single" w:color="auto" w:sz="4" w:space="0"/>
                    <w:right w:val="single" w:color="auto" w:sz="4" w:space="0"/>
                  </w:tcBorders>
                  <w:vAlign w:val="center"/>
                </w:tcPr>
                <w:p w14:paraId="65642A73">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错、漏1次扣0.5分</w:t>
                  </w:r>
                </w:p>
              </w:tc>
              <w:tc>
                <w:tcPr>
                  <w:tcW w:w="709" w:type="dxa"/>
                  <w:tcBorders>
                    <w:top w:val="nil"/>
                    <w:left w:val="nil"/>
                    <w:bottom w:val="single" w:color="auto" w:sz="4" w:space="0"/>
                    <w:right w:val="single" w:color="auto" w:sz="4" w:space="0"/>
                  </w:tcBorders>
                  <w:vAlign w:val="center"/>
                </w:tcPr>
                <w:p w14:paraId="4EBD5BE3">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655" w:type="dxa"/>
                  <w:tcBorders>
                    <w:top w:val="nil"/>
                    <w:left w:val="nil"/>
                    <w:bottom w:val="single" w:color="auto" w:sz="4" w:space="0"/>
                    <w:right w:val="single" w:color="auto" w:sz="4" w:space="0"/>
                  </w:tcBorders>
                  <w:vAlign w:val="center"/>
                </w:tcPr>
                <w:p w14:paraId="517AF2B3">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77B8FFAC">
              <w:tblPrEx>
                <w:tblCellMar>
                  <w:top w:w="0" w:type="dxa"/>
                  <w:left w:w="108" w:type="dxa"/>
                  <w:bottom w:w="0" w:type="dxa"/>
                  <w:right w:w="108" w:type="dxa"/>
                </w:tblCellMar>
              </w:tblPrEx>
              <w:trPr>
                <w:trHeight w:val="1065" w:hRule="atLeast"/>
                <w:jc w:val="center"/>
              </w:trPr>
              <w:tc>
                <w:tcPr>
                  <w:tcW w:w="431" w:type="dxa"/>
                  <w:vMerge w:val="continue"/>
                  <w:tcBorders>
                    <w:top w:val="nil"/>
                    <w:left w:val="single" w:color="auto" w:sz="4" w:space="0"/>
                    <w:bottom w:val="single" w:color="auto" w:sz="4" w:space="0"/>
                    <w:right w:val="single" w:color="auto" w:sz="4" w:space="0"/>
                  </w:tcBorders>
                  <w:vAlign w:val="center"/>
                </w:tcPr>
                <w:p w14:paraId="278B3D3F">
                  <w:pPr>
                    <w:widowControl/>
                    <w:spacing w:line="350" w:lineRule="exact"/>
                    <w:ind w:firstLine="0" w:firstLineChars="0"/>
                    <w:jc w:val="left"/>
                    <w:rPr>
                      <w:rFonts w:ascii="宋体" w:hAnsi="宋体" w:cs="宋体"/>
                      <w:color w:val="auto"/>
                      <w:kern w:val="0"/>
                      <w:sz w:val="21"/>
                      <w:szCs w:val="21"/>
                      <w:highlight w:val="none"/>
                    </w:rPr>
                  </w:pPr>
                </w:p>
              </w:tc>
              <w:tc>
                <w:tcPr>
                  <w:tcW w:w="641" w:type="dxa"/>
                  <w:tcBorders>
                    <w:top w:val="single" w:color="auto" w:sz="4" w:space="0"/>
                    <w:left w:val="nil"/>
                    <w:bottom w:val="single" w:color="auto" w:sz="4" w:space="0"/>
                    <w:right w:val="single" w:color="auto" w:sz="4" w:space="0"/>
                  </w:tcBorders>
                  <w:vAlign w:val="center"/>
                </w:tcPr>
                <w:p w14:paraId="23B95CCD">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会商与</w:t>
                  </w:r>
                </w:p>
                <w:p w14:paraId="1929DFD2">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信息</w:t>
                  </w:r>
                </w:p>
                <w:p w14:paraId="767C295E">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交流</w:t>
                  </w:r>
                </w:p>
              </w:tc>
              <w:tc>
                <w:tcPr>
                  <w:tcW w:w="2588" w:type="dxa"/>
                  <w:tcBorders>
                    <w:top w:val="single" w:color="auto" w:sz="4" w:space="0"/>
                    <w:left w:val="nil"/>
                    <w:bottom w:val="single" w:color="auto" w:sz="4" w:space="0"/>
                    <w:right w:val="single" w:color="auto" w:sz="4" w:space="0"/>
                  </w:tcBorders>
                  <w:vAlign w:val="center"/>
                </w:tcPr>
                <w:p w14:paraId="144BF030">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每天8:30以短信方式汇报前一日工作情况及当日工作安排。出现仪器故障、监测数据异常等情况时以电话和电子形式及时上报</w:t>
                  </w:r>
                </w:p>
              </w:tc>
              <w:tc>
                <w:tcPr>
                  <w:tcW w:w="992" w:type="dxa"/>
                  <w:tcBorders>
                    <w:top w:val="single" w:color="auto" w:sz="4" w:space="0"/>
                    <w:left w:val="nil"/>
                    <w:bottom w:val="single" w:color="auto" w:sz="4" w:space="0"/>
                    <w:right w:val="single" w:color="auto" w:sz="4" w:space="0"/>
                  </w:tcBorders>
                  <w:vAlign w:val="center"/>
                </w:tcPr>
                <w:p w14:paraId="404A30C9">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错、漏1次扣0.5分</w:t>
                  </w:r>
                </w:p>
              </w:tc>
              <w:tc>
                <w:tcPr>
                  <w:tcW w:w="709" w:type="dxa"/>
                  <w:tcBorders>
                    <w:top w:val="single" w:color="auto" w:sz="4" w:space="0"/>
                    <w:left w:val="nil"/>
                    <w:bottom w:val="single" w:color="auto" w:sz="4" w:space="0"/>
                    <w:right w:val="single" w:color="auto" w:sz="4" w:space="0"/>
                  </w:tcBorders>
                  <w:vAlign w:val="center"/>
                </w:tcPr>
                <w:p w14:paraId="793E7691">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655" w:type="dxa"/>
                  <w:tcBorders>
                    <w:top w:val="single" w:color="auto" w:sz="4" w:space="0"/>
                    <w:left w:val="nil"/>
                    <w:bottom w:val="single" w:color="auto" w:sz="4" w:space="0"/>
                    <w:right w:val="single" w:color="auto" w:sz="4" w:space="0"/>
                  </w:tcBorders>
                  <w:vAlign w:val="center"/>
                </w:tcPr>
                <w:p w14:paraId="6C5799ED">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42FDC2D3">
              <w:tblPrEx>
                <w:tblCellMar>
                  <w:top w:w="0" w:type="dxa"/>
                  <w:left w:w="108" w:type="dxa"/>
                  <w:bottom w:w="0" w:type="dxa"/>
                  <w:right w:w="108" w:type="dxa"/>
                </w:tblCellMar>
              </w:tblPrEx>
              <w:trPr>
                <w:trHeight w:val="1065" w:hRule="atLeast"/>
                <w:jc w:val="center"/>
              </w:trPr>
              <w:tc>
                <w:tcPr>
                  <w:tcW w:w="431" w:type="dxa"/>
                  <w:vMerge w:val="continue"/>
                  <w:tcBorders>
                    <w:top w:val="nil"/>
                    <w:left w:val="single" w:color="auto" w:sz="4" w:space="0"/>
                    <w:bottom w:val="single" w:color="auto" w:sz="4" w:space="0"/>
                    <w:right w:val="single" w:color="auto" w:sz="4" w:space="0"/>
                  </w:tcBorders>
                  <w:vAlign w:val="center"/>
                </w:tcPr>
                <w:p w14:paraId="0F355CF4">
                  <w:pPr>
                    <w:widowControl/>
                    <w:spacing w:line="350" w:lineRule="exact"/>
                    <w:ind w:firstLine="0" w:firstLineChars="0"/>
                    <w:jc w:val="left"/>
                    <w:rPr>
                      <w:rFonts w:ascii="宋体" w:hAnsi="宋体" w:cs="宋体"/>
                      <w:color w:val="auto"/>
                      <w:kern w:val="0"/>
                      <w:sz w:val="21"/>
                      <w:szCs w:val="21"/>
                      <w:highlight w:val="none"/>
                    </w:rPr>
                  </w:pPr>
                </w:p>
              </w:tc>
              <w:tc>
                <w:tcPr>
                  <w:tcW w:w="641" w:type="dxa"/>
                  <w:tcBorders>
                    <w:top w:val="single" w:color="auto" w:sz="4" w:space="0"/>
                    <w:left w:val="nil"/>
                    <w:bottom w:val="single" w:color="auto" w:sz="4" w:space="0"/>
                    <w:right w:val="single" w:color="auto" w:sz="4" w:space="0"/>
                  </w:tcBorders>
                  <w:vAlign w:val="center"/>
                </w:tcPr>
                <w:p w14:paraId="0D3BACA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监测数据审核和管理</w:t>
                  </w:r>
                </w:p>
              </w:tc>
              <w:tc>
                <w:tcPr>
                  <w:tcW w:w="2588" w:type="dxa"/>
                  <w:tcBorders>
                    <w:top w:val="single" w:color="auto" w:sz="4" w:space="0"/>
                    <w:left w:val="nil"/>
                    <w:bottom w:val="single" w:color="auto" w:sz="4" w:space="0"/>
                    <w:right w:val="single" w:color="auto" w:sz="4" w:space="0"/>
                  </w:tcBorders>
                  <w:vAlign w:val="center"/>
                </w:tcPr>
                <w:p w14:paraId="455C0685">
                  <w:pPr>
                    <w:widowControl/>
                    <w:spacing w:line="30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安排专人专职负责管理和监控数据，每日对数据进行审核并标记核实异常和无效数据，超标数据必须核实原因并及时汇报。</w:t>
                  </w:r>
                </w:p>
              </w:tc>
              <w:tc>
                <w:tcPr>
                  <w:tcW w:w="992" w:type="dxa"/>
                  <w:tcBorders>
                    <w:top w:val="single" w:color="auto" w:sz="4" w:space="0"/>
                    <w:left w:val="nil"/>
                    <w:bottom w:val="single" w:color="auto" w:sz="4" w:space="0"/>
                    <w:right w:val="single" w:color="auto" w:sz="4" w:space="0"/>
                  </w:tcBorders>
                  <w:vAlign w:val="center"/>
                </w:tcPr>
                <w:p w14:paraId="7672F37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错、漏1项扣1分</w:t>
                  </w:r>
                </w:p>
              </w:tc>
              <w:tc>
                <w:tcPr>
                  <w:tcW w:w="709" w:type="dxa"/>
                  <w:tcBorders>
                    <w:top w:val="single" w:color="auto" w:sz="4" w:space="0"/>
                    <w:left w:val="nil"/>
                    <w:bottom w:val="single" w:color="auto" w:sz="4" w:space="0"/>
                    <w:right w:val="single" w:color="auto" w:sz="4" w:space="0"/>
                  </w:tcBorders>
                  <w:vAlign w:val="center"/>
                </w:tcPr>
                <w:p w14:paraId="32F2B2DC">
                  <w:pPr>
                    <w:widowControl/>
                    <w:spacing w:line="350" w:lineRule="exact"/>
                    <w:ind w:firstLine="0" w:firstLineChars="0"/>
                    <w:jc w:val="center"/>
                    <w:rPr>
                      <w:rFonts w:ascii="宋体" w:hAnsi="宋体" w:cs="宋体"/>
                      <w:color w:val="auto"/>
                      <w:kern w:val="0"/>
                      <w:sz w:val="21"/>
                      <w:szCs w:val="21"/>
                      <w:highlight w:val="none"/>
                    </w:rPr>
                  </w:pPr>
                </w:p>
              </w:tc>
              <w:tc>
                <w:tcPr>
                  <w:tcW w:w="655" w:type="dxa"/>
                  <w:tcBorders>
                    <w:top w:val="single" w:color="auto" w:sz="4" w:space="0"/>
                    <w:left w:val="nil"/>
                    <w:bottom w:val="single" w:color="auto" w:sz="4" w:space="0"/>
                    <w:right w:val="single" w:color="auto" w:sz="4" w:space="0"/>
                  </w:tcBorders>
                  <w:vAlign w:val="center"/>
                </w:tcPr>
                <w:p w14:paraId="23C4765E">
                  <w:pPr>
                    <w:widowControl/>
                    <w:spacing w:line="350" w:lineRule="exact"/>
                    <w:ind w:firstLine="0" w:firstLineChars="0"/>
                    <w:jc w:val="center"/>
                    <w:rPr>
                      <w:rFonts w:ascii="宋体" w:hAnsi="宋体" w:cs="宋体"/>
                      <w:color w:val="auto"/>
                      <w:kern w:val="0"/>
                      <w:sz w:val="21"/>
                      <w:szCs w:val="21"/>
                      <w:highlight w:val="none"/>
                    </w:rPr>
                  </w:pPr>
                </w:p>
              </w:tc>
            </w:tr>
            <w:tr w14:paraId="7EB3809D">
              <w:tblPrEx>
                <w:tblCellMar>
                  <w:top w:w="0" w:type="dxa"/>
                  <w:left w:w="108" w:type="dxa"/>
                  <w:bottom w:w="0" w:type="dxa"/>
                  <w:right w:w="108" w:type="dxa"/>
                </w:tblCellMar>
              </w:tblPrEx>
              <w:trPr>
                <w:trHeight w:val="1830" w:hRule="atLeast"/>
                <w:jc w:val="center"/>
              </w:trPr>
              <w:tc>
                <w:tcPr>
                  <w:tcW w:w="431" w:type="dxa"/>
                  <w:vMerge w:val="continue"/>
                  <w:tcBorders>
                    <w:top w:val="nil"/>
                    <w:left w:val="single" w:color="auto" w:sz="4" w:space="0"/>
                    <w:bottom w:val="single" w:color="auto" w:sz="4" w:space="0"/>
                    <w:right w:val="single" w:color="auto" w:sz="4" w:space="0"/>
                  </w:tcBorders>
                  <w:vAlign w:val="center"/>
                </w:tcPr>
                <w:p w14:paraId="1C27E7DB">
                  <w:pPr>
                    <w:widowControl/>
                    <w:spacing w:line="350" w:lineRule="exact"/>
                    <w:ind w:firstLine="0" w:firstLineChars="0"/>
                    <w:jc w:val="left"/>
                    <w:rPr>
                      <w:rFonts w:ascii="宋体" w:hAnsi="宋体" w:cs="宋体"/>
                      <w:color w:val="auto"/>
                      <w:kern w:val="0"/>
                      <w:sz w:val="21"/>
                      <w:szCs w:val="21"/>
                      <w:highlight w:val="none"/>
                    </w:rPr>
                  </w:pPr>
                </w:p>
              </w:tc>
              <w:tc>
                <w:tcPr>
                  <w:tcW w:w="641" w:type="dxa"/>
                  <w:tcBorders>
                    <w:top w:val="nil"/>
                    <w:left w:val="nil"/>
                    <w:bottom w:val="single" w:color="auto" w:sz="4" w:space="0"/>
                    <w:right w:val="single" w:color="auto" w:sz="4" w:space="0"/>
                  </w:tcBorders>
                  <w:vAlign w:val="center"/>
                </w:tcPr>
                <w:p w14:paraId="41F66FCF">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子站现场巡检</w:t>
                  </w:r>
                </w:p>
              </w:tc>
              <w:tc>
                <w:tcPr>
                  <w:tcW w:w="2588" w:type="dxa"/>
                  <w:tcBorders>
                    <w:top w:val="nil"/>
                    <w:left w:val="nil"/>
                    <w:bottom w:val="single" w:color="auto" w:sz="4" w:space="0"/>
                    <w:right w:val="single" w:color="auto" w:sz="4" w:space="0"/>
                  </w:tcBorders>
                  <w:vAlign w:val="center"/>
                </w:tcPr>
                <w:p w14:paraId="262C3B55">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频次：不少于1次/（站•</w:t>
                  </w:r>
                  <w:r>
                    <w:rPr>
                      <w:rFonts w:hint="eastAsia" w:ascii="宋体" w:hAnsi="宋体" w:cs="仿宋"/>
                      <w:color w:val="auto"/>
                      <w:kern w:val="0"/>
                      <w:sz w:val="21"/>
                      <w:szCs w:val="21"/>
                      <w:highlight w:val="none"/>
                    </w:rPr>
                    <w:t>周）。巡检内容和记录要素，要包括子站监测系统所有功能单元的最新运行情况和现场检查维护情况，反映在巡检记录表上的巡检内容和记录要素必须完整，并与实际子站情况相符，记录内容不完整、不规范和弄虚作假的当作缺检计算，每月的前</w:t>
                  </w:r>
                  <w:r>
                    <w:rPr>
                      <w:rFonts w:hint="eastAsia" w:ascii="宋体" w:hAnsi="宋体" w:cs="宋体"/>
                      <w:color w:val="auto"/>
                      <w:kern w:val="0"/>
                      <w:sz w:val="21"/>
                      <w:szCs w:val="21"/>
                      <w:highlight w:val="none"/>
                    </w:rPr>
                    <w:t>10天内，提交上月子站巡检记录，每季前15天进行汇总。</w:t>
                  </w:r>
                </w:p>
              </w:tc>
              <w:tc>
                <w:tcPr>
                  <w:tcW w:w="992" w:type="dxa"/>
                  <w:tcBorders>
                    <w:top w:val="nil"/>
                    <w:left w:val="nil"/>
                    <w:bottom w:val="single" w:color="auto" w:sz="4" w:space="0"/>
                    <w:right w:val="single" w:color="auto" w:sz="4" w:space="0"/>
                  </w:tcBorders>
                  <w:vAlign w:val="center"/>
                </w:tcPr>
                <w:p w14:paraId="09ECEB46">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错、漏1次巡检扣0.5分</w:t>
                  </w:r>
                </w:p>
              </w:tc>
              <w:tc>
                <w:tcPr>
                  <w:tcW w:w="709" w:type="dxa"/>
                  <w:tcBorders>
                    <w:top w:val="nil"/>
                    <w:left w:val="nil"/>
                    <w:bottom w:val="single" w:color="auto" w:sz="4" w:space="0"/>
                    <w:right w:val="single" w:color="auto" w:sz="4" w:space="0"/>
                  </w:tcBorders>
                  <w:vAlign w:val="center"/>
                </w:tcPr>
                <w:p w14:paraId="610A832A">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655" w:type="dxa"/>
                  <w:tcBorders>
                    <w:top w:val="nil"/>
                    <w:left w:val="nil"/>
                    <w:bottom w:val="single" w:color="auto" w:sz="4" w:space="0"/>
                    <w:right w:val="single" w:color="auto" w:sz="4" w:space="0"/>
                  </w:tcBorders>
                  <w:vAlign w:val="center"/>
                </w:tcPr>
                <w:p w14:paraId="6B56DEF0">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0E359334">
              <w:tblPrEx>
                <w:tblCellMar>
                  <w:top w:w="0" w:type="dxa"/>
                  <w:left w:w="108" w:type="dxa"/>
                  <w:bottom w:w="0" w:type="dxa"/>
                  <w:right w:w="108" w:type="dxa"/>
                </w:tblCellMar>
              </w:tblPrEx>
              <w:trPr>
                <w:trHeight w:val="926" w:hRule="atLeast"/>
                <w:jc w:val="center"/>
              </w:trPr>
              <w:tc>
                <w:tcPr>
                  <w:tcW w:w="431" w:type="dxa"/>
                  <w:vMerge w:val="continue"/>
                  <w:tcBorders>
                    <w:top w:val="nil"/>
                    <w:left w:val="single" w:color="auto" w:sz="4" w:space="0"/>
                    <w:bottom w:val="single" w:color="auto" w:sz="4" w:space="0"/>
                    <w:right w:val="single" w:color="auto" w:sz="4" w:space="0"/>
                  </w:tcBorders>
                  <w:vAlign w:val="center"/>
                </w:tcPr>
                <w:p w14:paraId="475A08BC">
                  <w:pPr>
                    <w:widowControl/>
                    <w:spacing w:line="350" w:lineRule="exact"/>
                    <w:ind w:firstLine="0" w:firstLineChars="0"/>
                    <w:jc w:val="left"/>
                    <w:rPr>
                      <w:rFonts w:ascii="宋体" w:hAnsi="宋体" w:cs="宋体"/>
                      <w:color w:val="auto"/>
                      <w:kern w:val="0"/>
                      <w:sz w:val="21"/>
                      <w:szCs w:val="21"/>
                      <w:highlight w:val="none"/>
                    </w:rPr>
                  </w:pPr>
                </w:p>
              </w:tc>
              <w:tc>
                <w:tcPr>
                  <w:tcW w:w="641" w:type="dxa"/>
                  <w:tcBorders>
                    <w:top w:val="nil"/>
                    <w:left w:val="nil"/>
                    <w:bottom w:val="single" w:color="auto" w:sz="4" w:space="0"/>
                    <w:right w:val="single" w:color="auto" w:sz="4" w:space="0"/>
                  </w:tcBorders>
                  <w:vAlign w:val="center"/>
                </w:tcPr>
                <w:p w14:paraId="640DFE52">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故障排除</w:t>
                  </w:r>
                </w:p>
              </w:tc>
              <w:tc>
                <w:tcPr>
                  <w:tcW w:w="2588" w:type="dxa"/>
                  <w:tcBorders>
                    <w:top w:val="nil"/>
                    <w:left w:val="nil"/>
                    <w:bottom w:val="single" w:color="auto" w:sz="4" w:space="0"/>
                    <w:right w:val="single" w:color="auto" w:sz="4" w:space="0"/>
                  </w:tcBorders>
                  <w:vAlign w:val="center"/>
                </w:tcPr>
                <w:p w14:paraId="07E26A75">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故障检修到场与故障排除（指恢复正常运行，不可抗力的破坏以及如停电停水、空调故障、预防性维护等情况除外）必须及时：1小时内到达故障现场，3小时内排除故障或用备用设备替代。</w:t>
                  </w:r>
                </w:p>
              </w:tc>
              <w:tc>
                <w:tcPr>
                  <w:tcW w:w="992" w:type="dxa"/>
                  <w:tcBorders>
                    <w:top w:val="nil"/>
                    <w:left w:val="nil"/>
                    <w:bottom w:val="single" w:color="auto" w:sz="4" w:space="0"/>
                    <w:right w:val="single" w:color="auto" w:sz="4" w:space="0"/>
                  </w:tcBorders>
                  <w:vAlign w:val="center"/>
                </w:tcPr>
                <w:p w14:paraId="141AB5BE">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每个参数不响应1次或超过时限每小时扣1分</w:t>
                  </w:r>
                </w:p>
              </w:tc>
              <w:tc>
                <w:tcPr>
                  <w:tcW w:w="709" w:type="dxa"/>
                  <w:tcBorders>
                    <w:top w:val="nil"/>
                    <w:left w:val="nil"/>
                    <w:bottom w:val="single" w:color="auto" w:sz="4" w:space="0"/>
                    <w:right w:val="single" w:color="auto" w:sz="4" w:space="0"/>
                  </w:tcBorders>
                  <w:vAlign w:val="center"/>
                </w:tcPr>
                <w:p w14:paraId="5FBAE614">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655" w:type="dxa"/>
                  <w:tcBorders>
                    <w:top w:val="nil"/>
                    <w:left w:val="nil"/>
                    <w:bottom w:val="single" w:color="auto" w:sz="4" w:space="0"/>
                    <w:right w:val="single" w:color="auto" w:sz="4" w:space="0"/>
                  </w:tcBorders>
                  <w:vAlign w:val="center"/>
                </w:tcPr>
                <w:p w14:paraId="201985FA">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5FE8391C">
              <w:tblPrEx>
                <w:tblCellMar>
                  <w:top w:w="0" w:type="dxa"/>
                  <w:left w:w="108" w:type="dxa"/>
                  <w:bottom w:w="0" w:type="dxa"/>
                  <w:right w:w="108" w:type="dxa"/>
                </w:tblCellMar>
              </w:tblPrEx>
              <w:trPr>
                <w:trHeight w:val="710" w:hRule="atLeast"/>
                <w:jc w:val="center"/>
              </w:trPr>
              <w:tc>
                <w:tcPr>
                  <w:tcW w:w="431" w:type="dxa"/>
                  <w:vMerge w:val="continue"/>
                  <w:tcBorders>
                    <w:top w:val="nil"/>
                    <w:left w:val="single" w:color="auto" w:sz="4" w:space="0"/>
                    <w:bottom w:val="single" w:color="auto" w:sz="4" w:space="0"/>
                    <w:right w:val="single" w:color="auto" w:sz="4" w:space="0"/>
                  </w:tcBorders>
                  <w:vAlign w:val="center"/>
                </w:tcPr>
                <w:p w14:paraId="385CDB07">
                  <w:pPr>
                    <w:widowControl/>
                    <w:spacing w:line="350" w:lineRule="exact"/>
                    <w:ind w:firstLine="0" w:firstLineChars="0"/>
                    <w:jc w:val="left"/>
                    <w:rPr>
                      <w:rFonts w:ascii="宋体" w:hAnsi="宋体" w:cs="宋体"/>
                      <w:color w:val="auto"/>
                      <w:kern w:val="0"/>
                      <w:sz w:val="21"/>
                      <w:szCs w:val="21"/>
                      <w:highlight w:val="none"/>
                    </w:rPr>
                  </w:pPr>
                </w:p>
              </w:tc>
              <w:tc>
                <w:tcPr>
                  <w:tcW w:w="641" w:type="dxa"/>
                  <w:tcBorders>
                    <w:top w:val="nil"/>
                    <w:left w:val="nil"/>
                    <w:bottom w:val="single" w:color="auto" w:sz="4" w:space="0"/>
                    <w:right w:val="single" w:color="auto" w:sz="4" w:space="0"/>
                  </w:tcBorders>
                  <w:vAlign w:val="center"/>
                </w:tcPr>
                <w:p w14:paraId="5D4B6AA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子站全面维护</w:t>
                  </w:r>
                </w:p>
              </w:tc>
              <w:tc>
                <w:tcPr>
                  <w:tcW w:w="2588" w:type="dxa"/>
                  <w:tcBorders>
                    <w:top w:val="nil"/>
                    <w:left w:val="nil"/>
                    <w:bottom w:val="single" w:color="auto" w:sz="4" w:space="0"/>
                    <w:right w:val="single" w:color="auto" w:sz="4" w:space="0"/>
                  </w:tcBorders>
                  <w:vAlign w:val="center"/>
                </w:tcPr>
                <w:p w14:paraId="3147F4C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按照相关要求进行维护工作</w:t>
                  </w:r>
                </w:p>
              </w:tc>
              <w:tc>
                <w:tcPr>
                  <w:tcW w:w="992" w:type="dxa"/>
                  <w:tcBorders>
                    <w:top w:val="nil"/>
                    <w:left w:val="nil"/>
                    <w:bottom w:val="single" w:color="auto" w:sz="4" w:space="0"/>
                    <w:right w:val="single" w:color="auto" w:sz="4" w:space="0"/>
                  </w:tcBorders>
                  <w:vAlign w:val="center"/>
                </w:tcPr>
                <w:p w14:paraId="3085EA7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错、漏1次扣0.5分</w:t>
                  </w:r>
                </w:p>
              </w:tc>
              <w:tc>
                <w:tcPr>
                  <w:tcW w:w="709" w:type="dxa"/>
                  <w:tcBorders>
                    <w:top w:val="nil"/>
                    <w:left w:val="nil"/>
                    <w:bottom w:val="single" w:color="auto" w:sz="4" w:space="0"/>
                    <w:right w:val="single" w:color="auto" w:sz="4" w:space="0"/>
                  </w:tcBorders>
                  <w:vAlign w:val="center"/>
                </w:tcPr>
                <w:p w14:paraId="1C804985">
                  <w:pPr>
                    <w:widowControl/>
                    <w:spacing w:line="300" w:lineRule="auto"/>
                    <w:ind w:firstLine="0" w:firstLineChars="0"/>
                    <w:jc w:val="center"/>
                    <w:rPr>
                      <w:rFonts w:ascii="宋体" w:hAnsi="宋体" w:cs="宋体"/>
                      <w:color w:val="auto"/>
                      <w:kern w:val="0"/>
                      <w:sz w:val="21"/>
                      <w:szCs w:val="21"/>
                      <w:highlight w:val="none"/>
                    </w:rPr>
                  </w:pPr>
                </w:p>
              </w:tc>
              <w:tc>
                <w:tcPr>
                  <w:tcW w:w="655" w:type="dxa"/>
                  <w:tcBorders>
                    <w:top w:val="nil"/>
                    <w:left w:val="nil"/>
                    <w:bottom w:val="single" w:color="auto" w:sz="4" w:space="0"/>
                    <w:right w:val="single" w:color="auto" w:sz="4" w:space="0"/>
                  </w:tcBorders>
                  <w:vAlign w:val="center"/>
                </w:tcPr>
                <w:p w14:paraId="009143F2">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3730E02D">
              <w:tblPrEx>
                <w:tblCellMar>
                  <w:top w:w="0" w:type="dxa"/>
                  <w:left w:w="108" w:type="dxa"/>
                  <w:bottom w:w="0" w:type="dxa"/>
                  <w:right w:w="108" w:type="dxa"/>
                </w:tblCellMar>
              </w:tblPrEx>
              <w:trPr>
                <w:trHeight w:val="780" w:hRule="atLeast"/>
                <w:jc w:val="center"/>
              </w:trPr>
              <w:tc>
                <w:tcPr>
                  <w:tcW w:w="431" w:type="dxa"/>
                  <w:vMerge w:val="continue"/>
                  <w:tcBorders>
                    <w:top w:val="nil"/>
                    <w:left w:val="single" w:color="auto" w:sz="4" w:space="0"/>
                    <w:bottom w:val="single" w:color="auto" w:sz="4" w:space="0"/>
                    <w:right w:val="single" w:color="auto" w:sz="4" w:space="0"/>
                  </w:tcBorders>
                  <w:vAlign w:val="center"/>
                </w:tcPr>
                <w:p w14:paraId="6AE3C8BA">
                  <w:pPr>
                    <w:widowControl/>
                    <w:spacing w:line="350" w:lineRule="exact"/>
                    <w:ind w:firstLine="0" w:firstLineChars="0"/>
                    <w:jc w:val="left"/>
                    <w:rPr>
                      <w:rFonts w:ascii="宋体" w:hAnsi="宋体" w:cs="宋体"/>
                      <w:color w:val="auto"/>
                      <w:kern w:val="0"/>
                      <w:sz w:val="21"/>
                      <w:szCs w:val="21"/>
                      <w:highlight w:val="none"/>
                    </w:rPr>
                  </w:pPr>
                </w:p>
              </w:tc>
              <w:tc>
                <w:tcPr>
                  <w:tcW w:w="641" w:type="dxa"/>
                  <w:tcBorders>
                    <w:top w:val="nil"/>
                    <w:left w:val="nil"/>
                    <w:bottom w:val="single" w:color="auto" w:sz="4" w:space="0"/>
                    <w:right w:val="single" w:color="auto" w:sz="4" w:space="0"/>
                  </w:tcBorders>
                  <w:vAlign w:val="center"/>
                </w:tcPr>
                <w:p w14:paraId="3F987FE8">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质量</w:t>
                  </w:r>
                </w:p>
                <w:p w14:paraId="586FB654">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w:t>
                  </w:r>
                </w:p>
              </w:tc>
              <w:tc>
                <w:tcPr>
                  <w:tcW w:w="2588" w:type="dxa"/>
                  <w:tcBorders>
                    <w:top w:val="nil"/>
                    <w:left w:val="nil"/>
                    <w:bottom w:val="single" w:color="auto" w:sz="4" w:space="0"/>
                    <w:right w:val="single" w:color="auto" w:sz="4" w:space="0"/>
                  </w:tcBorders>
                  <w:vAlign w:val="center"/>
                </w:tcPr>
                <w:p w14:paraId="50B2A68E">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按要求进行质量控制</w:t>
                  </w:r>
                </w:p>
              </w:tc>
              <w:tc>
                <w:tcPr>
                  <w:tcW w:w="992" w:type="dxa"/>
                  <w:tcBorders>
                    <w:top w:val="nil"/>
                    <w:left w:val="nil"/>
                    <w:bottom w:val="single" w:color="auto" w:sz="4" w:space="0"/>
                    <w:right w:val="single" w:color="auto" w:sz="4" w:space="0"/>
                  </w:tcBorders>
                  <w:vAlign w:val="center"/>
                </w:tcPr>
                <w:p w14:paraId="70AC80F5">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错、漏1个参数1次0.5分</w:t>
                  </w:r>
                </w:p>
              </w:tc>
              <w:tc>
                <w:tcPr>
                  <w:tcW w:w="709" w:type="dxa"/>
                  <w:tcBorders>
                    <w:top w:val="nil"/>
                    <w:left w:val="nil"/>
                    <w:bottom w:val="single" w:color="auto" w:sz="4" w:space="0"/>
                    <w:right w:val="single" w:color="auto" w:sz="4" w:space="0"/>
                  </w:tcBorders>
                  <w:vAlign w:val="center"/>
                </w:tcPr>
                <w:p w14:paraId="24DC1C02">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655" w:type="dxa"/>
                  <w:tcBorders>
                    <w:top w:val="nil"/>
                    <w:left w:val="nil"/>
                    <w:bottom w:val="single" w:color="auto" w:sz="4" w:space="0"/>
                    <w:right w:val="single" w:color="auto" w:sz="4" w:space="0"/>
                  </w:tcBorders>
                  <w:vAlign w:val="center"/>
                </w:tcPr>
                <w:p w14:paraId="2B2B4CDF">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29C8D0FB">
              <w:tblPrEx>
                <w:tblCellMar>
                  <w:top w:w="0" w:type="dxa"/>
                  <w:left w:w="108" w:type="dxa"/>
                  <w:bottom w:w="0" w:type="dxa"/>
                  <w:right w:w="108" w:type="dxa"/>
                </w:tblCellMar>
              </w:tblPrEx>
              <w:trPr>
                <w:trHeight w:val="1065" w:hRule="atLeast"/>
                <w:jc w:val="center"/>
              </w:trPr>
              <w:tc>
                <w:tcPr>
                  <w:tcW w:w="431" w:type="dxa"/>
                  <w:vMerge w:val="continue"/>
                  <w:tcBorders>
                    <w:top w:val="nil"/>
                    <w:left w:val="single" w:color="auto" w:sz="4" w:space="0"/>
                    <w:bottom w:val="single" w:color="auto" w:sz="4" w:space="0"/>
                    <w:right w:val="single" w:color="auto" w:sz="4" w:space="0"/>
                  </w:tcBorders>
                  <w:vAlign w:val="center"/>
                </w:tcPr>
                <w:p w14:paraId="6914FE07">
                  <w:pPr>
                    <w:widowControl/>
                    <w:spacing w:line="350" w:lineRule="exact"/>
                    <w:ind w:firstLine="0" w:firstLineChars="0"/>
                    <w:jc w:val="left"/>
                    <w:rPr>
                      <w:rFonts w:ascii="宋体" w:hAnsi="宋体" w:cs="宋体"/>
                      <w:color w:val="auto"/>
                      <w:kern w:val="0"/>
                      <w:sz w:val="21"/>
                      <w:szCs w:val="21"/>
                      <w:highlight w:val="none"/>
                    </w:rPr>
                  </w:pPr>
                </w:p>
              </w:tc>
              <w:tc>
                <w:tcPr>
                  <w:tcW w:w="641" w:type="dxa"/>
                  <w:tcBorders>
                    <w:top w:val="nil"/>
                    <w:left w:val="nil"/>
                    <w:bottom w:val="single" w:color="auto" w:sz="4" w:space="0"/>
                    <w:right w:val="single" w:color="auto" w:sz="4" w:space="0"/>
                  </w:tcBorders>
                  <w:vAlign w:val="center"/>
                </w:tcPr>
                <w:p w14:paraId="65625105">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数据保密</w:t>
                  </w:r>
                </w:p>
              </w:tc>
              <w:tc>
                <w:tcPr>
                  <w:tcW w:w="2588" w:type="dxa"/>
                  <w:tcBorders>
                    <w:top w:val="nil"/>
                    <w:left w:val="nil"/>
                    <w:bottom w:val="single" w:color="auto" w:sz="4" w:space="0"/>
                    <w:right w:val="single" w:color="auto" w:sz="4" w:space="0"/>
                  </w:tcBorders>
                  <w:vAlign w:val="center"/>
                </w:tcPr>
                <w:p w14:paraId="07CB1E09">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不论何时，成交供应商都应承担监测数据的保密责任；成交供应商按照采购人的要求，进行报告和传输有关的监测数据，均不得以任何方式和渠道向外界传递任何监测数据。</w:t>
                  </w:r>
                </w:p>
              </w:tc>
              <w:tc>
                <w:tcPr>
                  <w:tcW w:w="992" w:type="dxa"/>
                  <w:tcBorders>
                    <w:top w:val="nil"/>
                    <w:left w:val="nil"/>
                    <w:bottom w:val="single" w:color="auto" w:sz="4" w:space="0"/>
                    <w:right w:val="single" w:color="auto" w:sz="4" w:space="0"/>
                  </w:tcBorders>
                  <w:vAlign w:val="center"/>
                </w:tcPr>
                <w:p w14:paraId="164C045B">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发现1次扣20分</w:t>
                  </w:r>
                </w:p>
              </w:tc>
              <w:tc>
                <w:tcPr>
                  <w:tcW w:w="709" w:type="dxa"/>
                  <w:tcBorders>
                    <w:top w:val="nil"/>
                    <w:left w:val="nil"/>
                    <w:bottom w:val="single" w:color="auto" w:sz="4" w:space="0"/>
                    <w:right w:val="single" w:color="auto" w:sz="4" w:space="0"/>
                  </w:tcBorders>
                  <w:vAlign w:val="center"/>
                </w:tcPr>
                <w:p w14:paraId="7D4FDCAA">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655" w:type="dxa"/>
                  <w:tcBorders>
                    <w:top w:val="nil"/>
                    <w:left w:val="nil"/>
                    <w:bottom w:val="single" w:color="auto" w:sz="4" w:space="0"/>
                    <w:right w:val="single" w:color="auto" w:sz="4" w:space="0"/>
                  </w:tcBorders>
                  <w:vAlign w:val="center"/>
                </w:tcPr>
                <w:p w14:paraId="7BD15C24">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3AD77CB8">
              <w:tblPrEx>
                <w:tblCellMar>
                  <w:top w:w="0" w:type="dxa"/>
                  <w:left w:w="108" w:type="dxa"/>
                  <w:bottom w:w="0" w:type="dxa"/>
                  <w:right w:w="108" w:type="dxa"/>
                </w:tblCellMar>
              </w:tblPrEx>
              <w:trPr>
                <w:trHeight w:val="296" w:hRule="atLeast"/>
                <w:jc w:val="center"/>
              </w:trPr>
              <w:tc>
                <w:tcPr>
                  <w:tcW w:w="431" w:type="dxa"/>
                  <w:vMerge w:val="continue"/>
                  <w:tcBorders>
                    <w:top w:val="nil"/>
                    <w:left w:val="single" w:color="auto" w:sz="4" w:space="0"/>
                    <w:bottom w:val="single" w:color="auto" w:sz="4" w:space="0"/>
                    <w:right w:val="single" w:color="auto" w:sz="4" w:space="0"/>
                  </w:tcBorders>
                  <w:vAlign w:val="center"/>
                </w:tcPr>
                <w:p w14:paraId="1806096C">
                  <w:pPr>
                    <w:widowControl/>
                    <w:spacing w:line="350" w:lineRule="exact"/>
                    <w:ind w:firstLine="0" w:firstLineChars="0"/>
                    <w:jc w:val="left"/>
                    <w:rPr>
                      <w:rFonts w:ascii="宋体" w:hAnsi="宋体" w:cs="宋体"/>
                      <w:color w:val="auto"/>
                      <w:kern w:val="0"/>
                      <w:sz w:val="21"/>
                      <w:szCs w:val="21"/>
                      <w:highlight w:val="none"/>
                    </w:rPr>
                  </w:pPr>
                </w:p>
              </w:tc>
              <w:tc>
                <w:tcPr>
                  <w:tcW w:w="641" w:type="dxa"/>
                  <w:tcBorders>
                    <w:top w:val="nil"/>
                    <w:left w:val="nil"/>
                    <w:bottom w:val="single" w:color="auto" w:sz="4" w:space="0"/>
                    <w:right w:val="single" w:color="auto" w:sz="4" w:space="0"/>
                  </w:tcBorders>
                  <w:vAlign w:val="center"/>
                </w:tcPr>
                <w:p w14:paraId="3AA43EB7">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记录</w:t>
                  </w:r>
                </w:p>
              </w:tc>
              <w:tc>
                <w:tcPr>
                  <w:tcW w:w="2588" w:type="dxa"/>
                  <w:tcBorders>
                    <w:top w:val="nil"/>
                    <w:left w:val="nil"/>
                    <w:bottom w:val="single" w:color="auto" w:sz="4" w:space="0"/>
                    <w:right w:val="single" w:color="auto" w:sz="4" w:space="0"/>
                  </w:tcBorders>
                  <w:vAlign w:val="center"/>
                </w:tcPr>
                <w:p w14:paraId="4A06BB16">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按规范要求做好日常相关记录表格，每月提交一次所有记录给用户审查。采购人可随时抽查记录内容，成交供应商须及时提供，不得阻挠、拖延、伪造。</w:t>
                  </w:r>
                </w:p>
              </w:tc>
              <w:tc>
                <w:tcPr>
                  <w:tcW w:w="992" w:type="dxa"/>
                  <w:tcBorders>
                    <w:top w:val="nil"/>
                    <w:left w:val="nil"/>
                    <w:bottom w:val="single" w:color="auto" w:sz="4" w:space="0"/>
                    <w:right w:val="single" w:color="auto" w:sz="4" w:space="0"/>
                  </w:tcBorders>
                  <w:vAlign w:val="center"/>
                </w:tcPr>
                <w:p w14:paraId="7F441534">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期限内缺1份扣1分</w:t>
                  </w:r>
                </w:p>
              </w:tc>
              <w:tc>
                <w:tcPr>
                  <w:tcW w:w="709" w:type="dxa"/>
                  <w:tcBorders>
                    <w:top w:val="nil"/>
                    <w:left w:val="nil"/>
                    <w:bottom w:val="single" w:color="auto" w:sz="4" w:space="0"/>
                    <w:right w:val="single" w:color="auto" w:sz="4" w:space="0"/>
                  </w:tcBorders>
                  <w:vAlign w:val="center"/>
                </w:tcPr>
                <w:p w14:paraId="71EE6067">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655" w:type="dxa"/>
                  <w:tcBorders>
                    <w:top w:val="nil"/>
                    <w:left w:val="nil"/>
                    <w:bottom w:val="single" w:color="auto" w:sz="4" w:space="0"/>
                    <w:right w:val="single" w:color="auto" w:sz="4" w:space="0"/>
                  </w:tcBorders>
                  <w:vAlign w:val="center"/>
                </w:tcPr>
                <w:p w14:paraId="60F53AA4">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7EDC2C51">
              <w:tblPrEx>
                <w:tblCellMar>
                  <w:top w:w="0" w:type="dxa"/>
                  <w:left w:w="108" w:type="dxa"/>
                  <w:bottom w:w="0" w:type="dxa"/>
                  <w:right w:w="108" w:type="dxa"/>
                </w:tblCellMar>
              </w:tblPrEx>
              <w:trPr>
                <w:trHeight w:val="274" w:hRule="atLeast"/>
                <w:jc w:val="center"/>
              </w:trPr>
              <w:tc>
                <w:tcPr>
                  <w:tcW w:w="431" w:type="dxa"/>
                  <w:vMerge w:val="restart"/>
                  <w:tcBorders>
                    <w:top w:val="nil"/>
                    <w:left w:val="single" w:color="auto" w:sz="4" w:space="0"/>
                    <w:bottom w:val="single" w:color="auto" w:sz="4" w:space="0"/>
                    <w:right w:val="single" w:color="auto" w:sz="4" w:space="0"/>
                  </w:tcBorders>
                  <w:vAlign w:val="center"/>
                </w:tcPr>
                <w:p w14:paraId="77D88232">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服务质量</w:t>
                  </w:r>
                </w:p>
              </w:tc>
              <w:tc>
                <w:tcPr>
                  <w:tcW w:w="641" w:type="dxa"/>
                  <w:tcBorders>
                    <w:top w:val="nil"/>
                    <w:left w:val="nil"/>
                    <w:bottom w:val="single" w:color="auto" w:sz="4" w:space="0"/>
                    <w:right w:val="single" w:color="auto" w:sz="4" w:space="0"/>
                  </w:tcBorders>
                  <w:vAlign w:val="center"/>
                </w:tcPr>
                <w:p w14:paraId="4807B2D2">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质控考核</w:t>
                  </w:r>
                </w:p>
              </w:tc>
              <w:tc>
                <w:tcPr>
                  <w:tcW w:w="2588" w:type="dxa"/>
                  <w:tcBorders>
                    <w:top w:val="nil"/>
                    <w:left w:val="nil"/>
                    <w:bottom w:val="single" w:color="auto" w:sz="4" w:space="0"/>
                    <w:right w:val="single" w:color="auto" w:sz="4" w:space="0"/>
                  </w:tcBorders>
                  <w:vAlign w:val="center"/>
                </w:tcPr>
                <w:p w14:paraId="6A640977">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接受采购人或采购人委托的第三方机构或采购人上级部门考核的定期或不定期考核</w:t>
                  </w:r>
                </w:p>
              </w:tc>
              <w:tc>
                <w:tcPr>
                  <w:tcW w:w="992" w:type="dxa"/>
                  <w:tcBorders>
                    <w:top w:val="nil"/>
                    <w:left w:val="nil"/>
                    <w:bottom w:val="single" w:color="auto" w:sz="4" w:space="0"/>
                    <w:right w:val="single" w:color="auto" w:sz="4" w:space="0"/>
                  </w:tcBorders>
                  <w:vAlign w:val="center"/>
                </w:tcPr>
                <w:p w14:paraId="1ACBF8A5">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上级部门考核不合格1次扣20分；本单位内部考核1个参数1次不合格扣2分</w:t>
                  </w:r>
                </w:p>
              </w:tc>
              <w:tc>
                <w:tcPr>
                  <w:tcW w:w="709" w:type="dxa"/>
                  <w:tcBorders>
                    <w:top w:val="nil"/>
                    <w:left w:val="nil"/>
                    <w:bottom w:val="single" w:color="auto" w:sz="4" w:space="0"/>
                    <w:right w:val="single" w:color="auto" w:sz="4" w:space="0"/>
                  </w:tcBorders>
                  <w:vAlign w:val="center"/>
                </w:tcPr>
                <w:p w14:paraId="1E0E8053">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655" w:type="dxa"/>
                  <w:tcBorders>
                    <w:top w:val="nil"/>
                    <w:left w:val="nil"/>
                    <w:bottom w:val="single" w:color="auto" w:sz="4" w:space="0"/>
                    <w:right w:val="single" w:color="auto" w:sz="4" w:space="0"/>
                  </w:tcBorders>
                  <w:vAlign w:val="center"/>
                </w:tcPr>
                <w:p w14:paraId="2D5DB457">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012A1B7D">
              <w:tblPrEx>
                <w:tblCellMar>
                  <w:top w:w="0" w:type="dxa"/>
                  <w:left w:w="108" w:type="dxa"/>
                  <w:bottom w:w="0" w:type="dxa"/>
                  <w:right w:w="108" w:type="dxa"/>
                </w:tblCellMar>
              </w:tblPrEx>
              <w:trPr>
                <w:trHeight w:val="435" w:hRule="atLeast"/>
                <w:jc w:val="center"/>
              </w:trPr>
              <w:tc>
                <w:tcPr>
                  <w:tcW w:w="431" w:type="dxa"/>
                  <w:vMerge w:val="continue"/>
                  <w:tcBorders>
                    <w:top w:val="nil"/>
                    <w:left w:val="single" w:color="auto" w:sz="4" w:space="0"/>
                    <w:bottom w:val="single" w:color="auto" w:sz="4" w:space="0"/>
                    <w:right w:val="single" w:color="auto" w:sz="4" w:space="0"/>
                  </w:tcBorders>
                  <w:vAlign w:val="center"/>
                </w:tcPr>
                <w:p w14:paraId="5F9D20E6">
                  <w:pPr>
                    <w:widowControl/>
                    <w:spacing w:line="350" w:lineRule="exact"/>
                    <w:ind w:firstLine="0" w:firstLineChars="0"/>
                    <w:jc w:val="left"/>
                    <w:rPr>
                      <w:rFonts w:ascii="宋体" w:hAnsi="宋体" w:cs="宋体"/>
                      <w:color w:val="auto"/>
                      <w:kern w:val="0"/>
                      <w:sz w:val="21"/>
                      <w:szCs w:val="21"/>
                      <w:highlight w:val="none"/>
                    </w:rPr>
                  </w:pPr>
                </w:p>
              </w:tc>
              <w:tc>
                <w:tcPr>
                  <w:tcW w:w="641" w:type="dxa"/>
                  <w:tcBorders>
                    <w:top w:val="nil"/>
                    <w:left w:val="nil"/>
                    <w:bottom w:val="single" w:color="auto" w:sz="4" w:space="0"/>
                    <w:right w:val="single" w:color="auto" w:sz="4" w:space="0"/>
                  </w:tcBorders>
                  <w:vAlign w:val="center"/>
                </w:tcPr>
                <w:p w14:paraId="2A0412F7">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备机使用情况</w:t>
                  </w:r>
                </w:p>
              </w:tc>
              <w:tc>
                <w:tcPr>
                  <w:tcW w:w="2588" w:type="dxa"/>
                  <w:tcBorders>
                    <w:top w:val="nil"/>
                    <w:left w:val="nil"/>
                    <w:bottom w:val="single" w:color="auto" w:sz="4" w:space="0"/>
                    <w:right w:val="single" w:color="auto" w:sz="4" w:space="0"/>
                  </w:tcBorders>
                  <w:vAlign w:val="center"/>
                </w:tcPr>
                <w:p w14:paraId="7958476C">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未经许可，</w:t>
                  </w:r>
                  <w:r>
                    <w:rPr>
                      <w:rFonts w:hint="eastAsia" w:ascii="宋体" w:hAnsi="宋体" w:cs="宋体"/>
                      <w:color w:val="auto"/>
                      <w:kern w:val="0"/>
                      <w:sz w:val="21"/>
                      <w:szCs w:val="21"/>
                      <w:highlight w:val="none"/>
                    </w:rPr>
                    <w:t>备机连续使用不得超过1个月</w:t>
                  </w:r>
                </w:p>
              </w:tc>
              <w:tc>
                <w:tcPr>
                  <w:tcW w:w="992" w:type="dxa"/>
                  <w:tcBorders>
                    <w:top w:val="nil"/>
                    <w:left w:val="nil"/>
                    <w:bottom w:val="single" w:color="auto" w:sz="4" w:space="0"/>
                    <w:right w:val="single" w:color="auto" w:sz="4" w:space="0"/>
                  </w:tcBorders>
                  <w:vAlign w:val="center"/>
                </w:tcPr>
                <w:p w14:paraId="4AB8F531">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1个项目超过1天每天扣1分，超过5天每天扣2分</w:t>
                  </w:r>
                </w:p>
              </w:tc>
              <w:tc>
                <w:tcPr>
                  <w:tcW w:w="709" w:type="dxa"/>
                  <w:tcBorders>
                    <w:top w:val="nil"/>
                    <w:left w:val="nil"/>
                    <w:bottom w:val="single" w:color="auto" w:sz="4" w:space="0"/>
                    <w:right w:val="single" w:color="auto" w:sz="4" w:space="0"/>
                  </w:tcBorders>
                  <w:vAlign w:val="center"/>
                </w:tcPr>
                <w:p w14:paraId="34A3357D">
                  <w:pPr>
                    <w:widowControl/>
                    <w:spacing w:line="350" w:lineRule="exact"/>
                    <w:ind w:firstLine="0" w:firstLineChars="0"/>
                    <w:jc w:val="center"/>
                    <w:rPr>
                      <w:rFonts w:ascii="宋体" w:hAnsi="宋体" w:cs="宋体"/>
                      <w:color w:val="auto"/>
                      <w:kern w:val="0"/>
                      <w:sz w:val="21"/>
                      <w:szCs w:val="21"/>
                      <w:highlight w:val="none"/>
                    </w:rPr>
                  </w:pPr>
                </w:p>
              </w:tc>
              <w:tc>
                <w:tcPr>
                  <w:tcW w:w="655" w:type="dxa"/>
                  <w:tcBorders>
                    <w:top w:val="nil"/>
                    <w:left w:val="nil"/>
                    <w:bottom w:val="single" w:color="auto" w:sz="4" w:space="0"/>
                    <w:right w:val="single" w:color="auto" w:sz="4" w:space="0"/>
                  </w:tcBorders>
                  <w:vAlign w:val="center"/>
                </w:tcPr>
                <w:p w14:paraId="7447CA55">
                  <w:pPr>
                    <w:widowControl/>
                    <w:spacing w:line="350" w:lineRule="exact"/>
                    <w:ind w:firstLine="0" w:firstLineChars="0"/>
                    <w:jc w:val="center"/>
                    <w:rPr>
                      <w:rFonts w:ascii="宋体" w:hAnsi="宋体" w:cs="宋体"/>
                      <w:color w:val="auto"/>
                      <w:kern w:val="0"/>
                      <w:sz w:val="21"/>
                      <w:szCs w:val="21"/>
                      <w:highlight w:val="none"/>
                    </w:rPr>
                  </w:pPr>
                </w:p>
              </w:tc>
            </w:tr>
            <w:tr w14:paraId="37C1406E">
              <w:tblPrEx>
                <w:tblCellMar>
                  <w:top w:w="0" w:type="dxa"/>
                  <w:left w:w="108" w:type="dxa"/>
                  <w:bottom w:w="0" w:type="dxa"/>
                  <w:right w:w="108" w:type="dxa"/>
                </w:tblCellMar>
              </w:tblPrEx>
              <w:trPr>
                <w:trHeight w:val="905" w:hRule="atLeast"/>
                <w:jc w:val="center"/>
              </w:trPr>
              <w:tc>
                <w:tcPr>
                  <w:tcW w:w="431" w:type="dxa"/>
                  <w:vMerge w:val="restart"/>
                  <w:tcBorders>
                    <w:top w:val="single" w:color="auto" w:sz="4" w:space="0"/>
                    <w:left w:val="single" w:color="auto" w:sz="4" w:space="0"/>
                    <w:bottom w:val="single" w:color="auto" w:sz="4" w:space="0"/>
                    <w:right w:val="single" w:color="auto" w:sz="4" w:space="0"/>
                  </w:tcBorders>
                  <w:vAlign w:val="center"/>
                </w:tcPr>
                <w:p w14:paraId="476D4095">
                  <w:pPr>
                    <w:widowControl/>
                    <w:spacing w:line="350" w:lineRule="exact"/>
                    <w:ind w:firstLine="0" w:firstLineChars="0"/>
                    <w:jc w:val="left"/>
                    <w:rPr>
                      <w:rFonts w:ascii="宋体" w:hAnsi="宋体" w:cs="宋体"/>
                      <w:color w:val="auto"/>
                      <w:kern w:val="0"/>
                      <w:sz w:val="21"/>
                      <w:szCs w:val="21"/>
                      <w:highlight w:val="none"/>
                    </w:rPr>
                  </w:pPr>
                </w:p>
              </w:tc>
              <w:tc>
                <w:tcPr>
                  <w:tcW w:w="641" w:type="dxa"/>
                  <w:tcBorders>
                    <w:top w:val="single" w:color="auto" w:sz="4" w:space="0"/>
                    <w:left w:val="nil"/>
                    <w:bottom w:val="single" w:color="auto" w:sz="4" w:space="0"/>
                    <w:right w:val="single" w:color="auto" w:sz="4" w:space="0"/>
                  </w:tcBorders>
                  <w:vAlign w:val="center"/>
                </w:tcPr>
                <w:p w14:paraId="45537A7B">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记录、报告规范</w:t>
                  </w:r>
                </w:p>
              </w:tc>
              <w:tc>
                <w:tcPr>
                  <w:tcW w:w="2588" w:type="dxa"/>
                  <w:tcBorders>
                    <w:top w:val="single" w:color="auto" w:sz="4" w:space="0"/>
                    <w:left w:val="nil"/>
                    <w:bottom w:val="single" w:color="auto" w:sz="4" w:space="0"/>
                    <w:right w:val="single" w:color="auto" w:sz="4" w:space="0"/>
                  </w:tcBorders>
                  <w:vAlign w:val="center"/>
                </w:tcPr>
                <w:p w14:paraId="2E8EAAA2">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所有记录须字体清晰，不得模糊潦草，并按规范填写相应内容。</w:t>
                  </w:r>
                </w:p>
              </w:tc>
              <w:tc>
                <w:tcPr>
                  <w:tcW w:w="992" w:type="dxa"/>
                  <w:tcBorders>
                    <w:top w:val="single" w:color="auto" w:sz="4" w:space="0"/>
                    <w:left w:val="nil"/>
                    <w:bottom w:val="single" w:color="auto" w:sz="4" w:space="0"/>
                    <w:right w:val="single" w:color="auto" w:sz="4" w:space="0"/>
                  </w:tcBorders>
                  <w:vAlign w:val="center"/>
                </w:tcPr>
                <w:p w14:paraId="3234DC8C">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1项扣0.5分</w:t>
                  </w:r>
                </w:p>
              </w:tc>
              <w:tc>
                <w:tcPr>
                  <w:tcW w:w="709" w:type="dxa"/>
                  <w:tcBorders>
                    <w:top w:val="single" w:color="auto" w:sz="4" w:space="0"/>
                    <w:left w:val="nil"/>
                    <w:bottom w:val="single" w:color="auto" w:sz="4" w:space="0"/>
                    <w:right w:val="single" w:color="auto" w:sz="4" w:space="0"/>
                  </w:tcBorders>
                  <w:vAlign w:val="center"/>
                </w:tcPr>
                <w:p w14:paraId="30FDBC94">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655" w:type="dxa"/>
                  <w:tcBorders>
                    <w:top w:val="single" w:color="auto" w:sz="4" w:space="0"/>
                    <w:left w:val="nil"/>
                    <w:bottom w:val="single" w:color="auto" w:sz="4" w:space="0"/>
                    <w:right w:val="single" w:color="auto" w:sz="4" w:space="0"/>
                  </w:tcBorders>
                  <w:vAlign w:val="center"/>
                </w:tcPr>
                <w:p w14:paraId="11384BD1">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3AC02837">
              <w:tblPrEx>
                <w:tblCellMar>
                  <w:top w:w="0" w:type="dxa"/>
                  <w:left w:w="108" w:type="dxa"/>
                  <w:bottom w:w="0" w:type="dxa"/>
                  <w:right w:w="108" w:type="dxa"/>
                </w:tblCellMar>
              </w:tblPrEx>
              <w:trPr>
                <w:trHeight w:val="750" w:hRule="atLeast"/>
                <w:jc w:val="center"/>
              </w:trPr>
              <w:tc>
                <w:tcPr>
                  <w:tcW w:w="431" w:type="dxa"/>
                  <w:vMerge w:val="continue"/>
                  <w:tcBorders>
                    <w:top w:val="single" w:color="auto" w:sz="4" w:space="0"/>
                    <w:left w:val="single" w:color="auto" w:sz="4" w:space="0"/>
                    <w:bottom w:val="single" w:color="auto" w:sz="4" w:space="0"/>
                    <w:right w:val="single" w:color="auto" w:sz="4" w:space="0"/>
                  </w:tcBorders>
                  <w:vAlign w:val="center"/>
                </w:tcPr>
                <w:p w14:paraId="0BD19BF3">
                  <w:pPr>
                    <w:widowControl/>
                    <w:spacing w:line="350" w:lineRule="exact"/>
                    <w:ind w:firstLine="0" w:firstLineChars="0"/>
                    <w:jc w:val="left"/>
                    <w:rPr>
                      <w:rFonts w:ascii="宋体" w:hAnsi="宋体" w:cs="宋体"/>
                      <w:color w:val="auto"/>
                      <w:kern w:val="0"/>
                      <w:sz w:val="21"/>
                      <w:szCs w:val="21"/>
                      <w:highlight w:val="none"/>
                    </w:rPr>
                  </w:pPr>
                </w:p>
              </w:tc>
              <w:tc>
                <w:tcPr>
                  <w:tcW w:w="641" w:type="dxa"/>
                  <w:vMerge w:val="restart"/>
                  <w:tcBorders>
                    <w:top w:val="nil"/>
                    <w:left w:val="single" w:color="auto" w:sz="4" w:space="0"/>
                    <w:bottom w:val="single" w:color="000000" w:sz="4" w:space="0"/>
                    <w:right w:val="single" w:color="auto" w:sz="4" w:space="0"/>
                  </w:tcBorders>
                  <w:vAlign w:val="center"/>
                </w:tcPr>
                <w:p w14:paraId="0358608B">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w:t>
                  </w:r>
                </w:p>
                <w:p w14:paraId="707C6EDD">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（是否存在不满足合同或相关规范要求的情况）</w:t>
                  </w:r>
                </w:p>
              </w:tc>
              <w:tc>
                <w:tcPr>
                  <w:tcW w:w="2588" w:type="dxa"/>
                  <w:tcBorders>
                    <w:top w:val="nil"/>
                    <w:left w:val="nil"/>
                    <w:bottom w:val="single" w:color="auto" w:sz="4" w:space="0"/>
                    <w:right w:val="single" w:color="auto" w:sz="4" w:space="0"/>
                  </w:tcBorders>
                  <w:vAlign w:val="center"/>
                </w:tcPr>
                <w:p w14:paraId="70B6013A">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不满足本项目合同或相关规范要求，但对数据不造成影响的项目</w:t>
                  </w:r>
                </w:p>
              </w:tc>
              <w:tc>
                <w:tcPr>
                  <w:tcW w:w="992" w:type="dxa"/>
                  <w:tcBorders>
                    <w:top w:val="nil"/>
                    <w:left w:val="nil"/>
                    <w:bottom w:val="single" w:color="auto" w:sz="4" w:space="0"/>
                    <w:right w:val="single" w:color="auto" w:sz="4" w:space="0"/>
                  </w:tcBorders>
                  <w:vAlign w:val="center"/>
                </w:tcPr>
                <w:p w14:paraId="115A1279">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每1项扣1分</w:t>
                  </w:r>
                </w:p>
              </w:tc>
              <w:tc>
                <w:tcPr>
                  <w:tcW w:w="709" w:type="dxa"/>
                  <w:vMerge w:val="restart"/>
                  <w:tcBorders>
                    <w:top w:val="nil"/>
                    <w:left w:val="single" w:color="auto" w:sz="4" w:space="0"/>
                    <w:bottom w:val="single" w:color="auto" w:sz="4" w:space="0"/>
                    <w:right w:val="single" w:color="auto" w:sz="4" w:space="0"/>
                  </w:tcBorders>
                  <w:vAlign w:val="center"/>
                </w:tcPr>
                <w:p w14:paraId="47835DEF">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655" w:type="dxa"/>
                  <w:vMerge w:val="restart"/>
                  <w:tcBorders>
                    <w:top w:val="nil"/>
                    <w:left w:val="single" w:color="auto" w:sz="4" w:space="0"/>
                    <w:bottom w:val="single" w:color="auto" w:sz="4" w:space="0"/>
                    <w:right w:val="single" w:color="auto" w:sz="4" w:space="0"/>
                  </w:tcBorders>
                  <w:vAlign w:val="center"/>
                </w:tcPr>
                <w:p w14:paraId="15B77996">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13F48785">
              <w:tblPrEx>
                <w:tblCellMar>
                  <w:top w:w="0" w:type="dxa"/>
                  <w:left w:w="108" w:type="dxa"/>
                  <w:bottom w:w="0" w:type="dxa"/>
                  <w:right w:w="108" w:type="dxa"/>
                </w:tblCellMar>
              </w:tblPrEx>
              <w:trPr>
                <w:trHeight w:val="750" w:hRule="atLeast"/>
                <w:jc w:val="center"/>
              </w:trPr>
              <w:tc>
                <w:tcPr>
                  <w:tcW w:w="431" w:type="dxa"/>
                  <w:vMerge w:val="continue"/>
                  <w:tcBorders>
                    <w:top w:val="single" w:color="auto" w:sz="4" w:space="0"/>
                    <w:left w:val="single" w:color="auto" w:sz="4" w:space="0"/>
                    <w:bottom w:val="single" w:color="auto" w:sz="4" w:space="0"/>
                    <w:right w:val="single" w:color="auto" w:sz="4" w:space="0"/>
                  </w:tcBorders>
                  <w:vAlign w:val="center"/>
                </w:tcPr>
                <w:p w14:paraId="78D38CB6">
                  <w:pPr>
                    <w:widowControl/>
                    <w:spacing w:line="350" w:lineRule="exact"/>
                    <w:ind w:firstLine="0" w:firstLineChars="0"/>
                    <w:jc w:val="left"/>
                    <w:rPr>
                      <w:rFonts w:ascii="宋体" w:hAnsi="宋体" w:cs="宋体"/>
                      <w:color w:val="auto"/>
                      <w:kern w:val="0"/>
                      <w:sz w:val="21"/>
                      <w:szCs w:val="21"/>
                      <w:highlight w:val="none"/>
                    </w:rPr>
                  </w:pPr>
                </w:p>
              </w:tc>
              <w:tc>
                <w:tcPr>
                  <w:tcW w:w="641" w:type="dxa"/>
                  <w:vMerge w:val="continue"/>
                  <w:tcBorders>
                    <w:top w:val="nil"/>
                    <w:left w:val="single" w:color="auto" w:sz="4" w:space="0"/>
                    <w:bottom w:val="single" w:color="000000" w:sz="4" w:space="0"/>
                    <w:right w:val="single" w:color="auto" w:sz="4" w:space="0"/>
                  </w:tcBorders>
                  <w:vAlign w:val="center"/>
                </w:tcPr>
                <w:p w14:paraId="66CA0DF0">
                  <w:pPr>
                    <w:widowControl/>
                    <w:spacing w:line="350" w:lineRule="exact"/>
                    <w:ind w:firstLine="0" w:firstLineChars="0"/>
                    <w:jc w:val="left"/>
                    <w:rPr>
                      <w:rFonts w:ascii="宋体" w:hAnsi="宋体" w:cs="宋体"/>
                      <w:color w:val="auto"/>
                      <w:kern w:val="0"/>
                      <w:sz w:val="21"/>
                      <w:szCs w:val="21"/>
                      <w:highlight w:val="none"/>
                    </w:rPr>
                  </w:pPr>
                </w:p>
              </w:tc>
              <w:tc>
                <w:tcPr>
                  <w:tcW w:w="2588" w:type="dxa"/>
                  <w:tcBorders>
                    <w:top w:val="nil"/>
                    <w:left w:val="nil"/>
                    <w:bottom w:val="single" w:color="auto" w:sz="4" w:space="0"/>
                    <w:right w:val="single" w:color="auto" w:sz="4" w:space="0"/>
                  </w:tcBorders>
                  <w:vAlign w:val="center"/>
                </w:tcPr>
                <w:p w14:paraId="708598B6">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不满足合同或相关规范要求，且可能对数据造成严重影响的项目</w:t>
                  </w:r>
                </w:p>
              </w:tc>
              <w:tc>
                <w:tcPr>
                  <w:tcW w:w="992" w:type="dxa"/>
                  <w:tcBorders>
                    <w:top w:val="nil"/>
                    <w:left w:val="nil"/>
                    <w:bottom w:val="single" w:color="auto" w:sz="4" w:space="0"/>
                    <w:right w:val="single" w:color="auto" w:sz="4" w:space="0"/>
                  </w:tcBorders>
                  <w:vAlign w:val="center"/>
                </w:tcPr>
                <w:p w14:paraId="504066DE">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每1项扣3分</w:t>
                  </w:r>
                </w:p>
              </w:tc>
              <w:tc>
                <w:tcPr>
                  <w:tcW w:w="709" w:type="dxa"/>
                  <w:vMerge w:val="continue"/>
                  <w:tcBorders>
                    <w:top w:val="nil"/>
                    <w:left w:val="single" w:color="auto" w:sz="4" w:space="0"/>
                    <w:bottom w:val="single" w:color="auto" w:sz="4" w:space="0"/>
                    <w:right w:val="single" w:color="auto" w:sz="4" w:space="0"/>
                  </w:tcBorders>
                  <w:vAlign w:val="center"/>
                </w:tcPr>
                <w:p w14:paraId="51B72A17">
                  <w:pPr>
                    <w:widowControl/>
                    <w:spacing w:line="350" w:lineRule="exact"/>
                    <w:ind w:firstLine="0" w:firstLineChars="0"/>
                    <w:jc w:val="left"/>
                    <w:rPr>
                      <w:rFonts w:ascii="宋体" w:hAnsi="宋体" w:cs="宋体"/>
                      <w:color w:val="auto"/>
                      <w:kern w:val="0"/>
                      <w:sz w:val="21"/>
                      <w:szCs w:val="21"/>
                      <w:highlight w:val="none"/>
                    </w:rPr>
                  </w:pPr>
                </w:p>
              </w:tc>
              <w:tc>
                <w:tcPr>
                  <w:tcW w:w="655" w:type="dxa"/>
                  <w:vMerge w:val="continue"/>
                  <w:tcBorders>
                    <w:top w:val="nil"/>
                    <w:left w:val="single" w:color="auto" w:sz="4" w:space="0"/>
                    <w:bottom w:val="single" w:color="auto" w:sz="4" w:space="0"/>
                    <w:right w:val="single" w:color="auto" w:sz="4" w:space="0"/>
                  </w:tcBorders>
                  <w:vAlign w:val="center"/>
                </w:tcPr>
                <w:p w14:paraId="7AD68D38">
                  <w:pPr>
                    <w:widowControl/>
                    <w:spacing w:line="350" w:lineRule="exact"/>
                    <w:ind w:firstLine="0" w:firstLineChars="0"/>
                    <w:jc w:val="left"/>
                    <w:rPr>
                      <w:rFonts w:ascii="宋体" w:hAnsi="宋体" w:cs="宋体"/>
                      <w:color w:val="auto"/>
                      <w:kern w:val="0"/>
                      <w:sz w:val="21"/>
                      <w:szCs w:val="21"/>
                      <w:highlight w:val="none"/>
                    </w:rPr>
                  </w:pPr>
                </w:p>
              </w:tc>
            </w:tr>
            <w:tr w14:paraId="72B376A6">
              <w:tblPrEx>
                <w:tblCellMar>
                  <w:top w:w="0" w:type="dxa"/>
                  <w:left w:w="108" w:type="dxa"/>
                  <w:bottom w:w="0" w:type="dxa"/>
                  <w:right w:w="108" w:type="dxa"/>
                </w:tblCellMar>
              </w:tblPrEx>
              <w:trPr>
                <w:trHeight w:val="750" w:hRule="atLeast"/>
                <w:jc w:val="center"/>
              </w:trPr>
              <w:tc>
                <w:tcPr>
                  <w:tcW w:w="431" w:type="dxa"/>
                  <w:vMerge w:val="continue"/>
                  <w:tcBorders>
                    <w:top w:val="single" w:color="auto" w:sz="4" w:space="0"/>
                    <w:left w:val="single" w:color="auto" w:sz="4" w:space="0"/>
                    <w:bottom w:val="single" w:color="auto" w:sz="4" w:space="0"/>
                    <w:right w:val="single" w:color="auto" w:sz="4" w:space="0"/>
                  </w:tcBorders>
                  <w:vAlign w:val="center"/>
                </w:tcPr>
                <w:p w14:paraId="26FFBBA1">
                  <w:pPr>
                    <w:widowControl/>
                    <w:spacing w:line="350" w:lineRule="exact"/>
                    <w:ind w:firstLine="0" w:firstLineChars="0"/>
                    <w:jc w:val="left"/>
                    <w:rPr>
                      <w:rFonts w:ascii="宋体" w:hAnsi="宋体" w:cs="宋体"/>
                      <w:color w:val="auto"/>
                      <w:kern w:val="0"/>
                      <w:sz w:val="21"/>
                      <w:szCs w:val="21"/>
                      <w:highlight w:val="none"/>
                    </w:rPr>
                  </w:pPr>
                </w:p>
              </w:tc>
              <w:tc>
                <w:tcPr>
                  <w:tcW w:w="641" w:type="dxa"/>
                  <w:vMerge w:val="continue"/>
                  <w:tcBorders>
                    <w:top w:val="nil"/>
                    <w:left w:val="single" w:color="auto" w:sz="4" w:space="0"/>
                    <w:bottom w:val="single" w:color="000000" w:sz="4" w:space="0"/>
                    <w:right w:val="single" w:color="auto" w:sz="4" w:space="0"/>
                  </w:tcBorders>
                  <w:vAlign w:val="center"/>
                </w:tcPr>
                <w:p w14:paraId="3BCDDFD0">
                  <w:pPr>
                    <w:widowControl/>
                    <w:spacing w:line="350" w:lineRule="exact"/>
                    <w:ind w:firstLine="0" w:firstLineChars="0"/>
                    <w:jc w:val="left"/>
                    <w:rPr>
                      <w:rFonts w:ascii="宋体" w:hAnsi="宋体" w:cs="宋体"/>
                      <w:color w:val="auto"/>
                      <w:kern w:val="0"/>
                      <w:sz w:val="21"/>
                      <w:szCs w:val="21"/>
                      <w:highlight w:val="none"/>
                    </w:rPr>
                  </w:pPr>
                </w:p>
              </w:tc>
              <w:tc>
                <w:tcPr>
                  <w:tcW w:w="2588" w:type="dxa"/>
                  <w:tcBorders>
                    <w:top w:val="nil"/>
                    <w:left w:val="nil"/>
                    <w:bottom w:val="single" w:color="auto" w:sz="4" w:space="0"/>
                    <w:right w:val="single" w:color="auto" w:sz="4" w:space="0"/>
                  </w:tcBorders>
                  <w:vAlign w:val="center"/>
                </w:tcPr>
                <w:p w14:paraId="640FFD9C">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不满足合同或相关规范要求，且已对数据造成严重影响的项目</w:t>
                  </w:r>
                </w:p>
              </w:tc>
              <w:tc>
                <w:tcPr>
                  <w:tcW w:w="992" w:type="dxa"/>
                  <w:tcBorders>
                    <w:top w:val="nil"/>
                    <w:left w:val="nil"/>
                    <w:bottom w:val="single" w:color="auto" w:sz="4" w:space="0"/>
                    <w:right w:val="single" w:color="auto" w:sz="4" w:space="0"/>
                  </w:tcBorders>
                  <w:vAlign w:val="center"/>
                </w:tcPr>
                <w:p w14:paraId="54813BB6">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每1项扣5分</w:t>
                  </w:r>
                </w:p>
              </w:tc>
              <w:tc>
                <w:tcPr>
                  <w:tcW w:w="709" w:type="dxa"/>
                  <w:vMerge w:val="continue"/>
                  <w:tcBorders>
                    <w:top w:val="nil"/>
                    <w:left w:val="single" w:color="auto" w:sz="4" w:space="0"/>
                    <w:bottom w:val="single" w:color="auto" w:sz="4" w:space="0"/>
                    <w:right w:val="single" w:color="auto" w:sz="4" w:space="0"/>
                  </w:tcBorders>
                  <w:vAlign w:val="center"/>
                </w:tcPr>
                <w:p w14:paraId="7CDCA07C">
                  <w:pPr>
                    <w:widowControl/>
                    <w:spacing w:line="350" w:lineRule="exact"/>
                    <w:ind w:firstLine="0" w:firstLineChars="0"/>
                    <w:jc w:val="left"/>
                    <w:rPr>
                      <w:rFonts w:ascii="宋体" w:hAnsi="宋体" w:cs="宋体"/>
                      <w:color w:val="auto"/>
                      <w:kern w:val="0"/>
                      <w:sz w:val="21"/>
                      <w:szCs w:val="21"/>
                      <w:highlight w:val="none"/>
                    </w:rPr>
                  </w:pPr>
                </w:p>
              </w:tc>
              <w:tc>
                <w:tcPr>
                  <w:tcW w:w="655" w:type="dxa"/>
                  <w:vMerge w:val="continue"/>
                  <w:tcBorders>
                    <w:top w:val="nil"/>
                    <w:left w:val="single" w:color="auto" w:sz="4" w:space="0"/>
                    <w:bottom w:val="single" w:color="auto" w:sz="4" w:space="0"/>
                    <w:right w:val="single" w:color="auto" w:sz="4" w:space="0"/>
                  </w:tcBorders>
                  <w:vAlign w:val="center"/>
                </w:tcPr>
                <w:p w14:paraId="3705C06A">
                  <w:pPr>
                    <w:widowControl/>
                    <w:spacing w:line="350" w:lineRule="exact"/>
                    <w:ind w:firstLine="0" w:firstLineChars="0"/>
                    <w:jc w:val="left"/>
                    <w:rPr>
                      <w:rFonts w:ascii="宋体" w:hAnsi="宋体" w:cs="宋体"/>
                      <w:color w:val="auto"/>
                      <w:kern w:val="0"/>
                      <w:sz w:val="21"/>
                      <w:szCs w:val="21"/>
                      <w:highlight w:val="none"/>
                    </w:rPr>
                  </w:pPr>
                </w:p>
              </w:tc>
            </w:tr>
            <w:tr w14:paraId="2FF0292B">
              <w:tblPrEx>
                <w:tblCellMar>
                  <w:top w:w="0" w:type="dxa"/>
                  <w:left w:w="108" w:type="dxa"/>
                  <w:bottom w:w="0" w:type="dxa"/>
                  <w:right w:w="108" w:type="dxa"/>
                </w:tblCellMar>
              </w:tblPrEx>
              <w:trPr>
                <w:trHeight w:val="750" w:hRule="atLeast"/>
                <w:jc w:val="center"/>
              </w:trPr>
              <w:tc>
                <w:tcPr>
                  <w:tcW w:w="431" w:type="dxa"/>
                  <w:vMerge w:val="restart"/>
                  <w:tcBorders>
                    <w:top w:val="single" w:color="auto" w:sz="4" w:space="0"/>
                    <w:left w:val="single" w:color="auto" w:sz="4" w:space="0"/>
                    <w:bottom w:val="single" w:color="auto" w:sz="4" w:space="0"/>
                    <w:right w:val="single" w:color="auto" w:sz="4" w:space="0"/>
                  </w:tcBorders>
                  <w:vAlign w:val="center"/>
                </w:tcPr>
                <w:p w14:paraId="69DBBDD5">
                  <w:pPr>
                    <w:widowControl/>
                    <w:spacing w:line="35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服务保障</w:t>
                  </w:r>
                </w:p>
                <w:p w14:paraId="2E0E7437">
                  <w:pPr>
                    <w:widowControl/>
                    <w:spacing w:line="350" w:lineRule="exact"/>
                    <w:ind w:firstLine="0" w:firstLineChars="0"/>
                    <w:jc w:val="left"/>
                    <w:rPr>
                      <w:rFonts w:ascii="宋体" w:hAnsi="宋体" w:cs="宋体"/>
                      <w:color w:val="auto"/>
                      <w:kern w:val="0"/>
                      <w:sz w:val="21"/>
                      <w:szCs w:val="21"/>
                      <w:highlight w:val="none"/>
                    </w:rPr>
                  </w:pPr>
                </w:p>
              </w:tc>
              <w:tc>
                <w:tcPr>
                  <w:tcW w:w="641" w:type="dxa"/>
                  <w:tcBorders>
                    <w:top w:val="nil"/>
                    <w:left w:val="single" w:color="auto" w:sz="4" w:space="0"/>
                    <w:bottom w:val="single" w:color="000000" w:sz="4" w:space="0"/>
                    <w:right w:val="single" w:color="auto" w:sz="4" w:space="0"/>
                  </w:tcBorders>
                  <w:vAlign w:val="center"/>
                </w:tcPr>
                <w:p w14:paraId="7B8D21AB">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运维人员</w:t>
                  </w:r>
                </w:p>
              </w:tc>
              <w:tc>
                <w:tcPr>
                  <w:tcW w:w="2588" w:type="dxa"/>
                  <w:tcBorders>
                    <w:top w:val="nil"/>
                    <w:left w:val="nil"/>
                    <w:bottom w:val="single" w:color="auto" w:sz="4" w:space="0"/>
                    <w:right w:val="single" w:color="auto" w:sz="4" w:space="0"/>
                  </w:tcBorders>
                  <w:vAlign w:val="center"/>
                </w:tcPr>
                <w:p w14:paraId="70518618">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成交供应商的在岗运维人员情况</w:t>
                  </w:r>
                </w:p>
              </w:tc>
              <w:tc>
                <w:tcPr>
                  <w:tcW w:w="992" w:type="dxa"/>
                  <w:tcBorders>
                    <w:top w:val="nil"/>
                    <w:left w:val="nil"/>
                    <w:bottom w:val="single" w:color="auto" w:sz="4" w:space="0"/>
                    <w:right w:val="single" w:color="auto" w:sz="4" w:space="0"/>
                  </w:tcBorders>
                  <w:vAlign w:val="center"/>
                </w:tcPr>
                <w:p w14:paraId="029232FF">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不满3人扣5分，工作拖拉、推诿、态度恶劣、语言过激造成不良影响的扣5分</w:t>
                  </w:r>
                </w:p>
              </w:tc>
              <w:tc>
                <w:tcPr>
                  <w:tcW w:w="709" w:type="dxa"/>
                  <w:tcBorders>
                    <w:top w:val="nil"/>
                    <w:left w:val="single" w:color="auto" w:sz="4" w:space="0"/>
                    <w:bottom w:val="single" w:color="auto" w:sz="4" w:space="0"/>
                    <w:right w:val="single" w:color="auto" w:sz="4" w:space="0"/>
                  </w:tcBorders>
                  <w:vAlign w:val="center"/>
                </w:tcPr>
                <w:p w14:paraId="3DBAFFE2">
                  <w:pPr>
                    <w:widowControl/>
                    <w:spacing w:line="350" w:lineRule="exact"/>
                    <w:ind w:firstLine="0" w:firstLineChars="0"/>
                    <w:jc w:val="left"/>
                    <w:rPr>
                      <w:rFonts w:ascii="宋体" w:hAnsi="宋体" w:cs="宋体"/>
                      <w:color w:val="auto"/>
                      <w:kern w:val="0"/>
                      <w:sz w:val="21"/>
                      <w:szCs w:val="21"/>
                      <w:highlight w:val="none"/>
                    </w:rPr>
                  </w:pPr>
                </w:p>
              </w:tc>
              <w:tc>
                <w:tcPr>
                  <w:tcW w:w="655" w:type="dxa"/>
                  <w:tcBorders>
                    <w:top w:val="nil"/>
                    <w:left w:val="single" w:color="auto" w:sz="4" w:space="0"/>
                    <w:bottom w:val="single" w:color="auto" w:sz="4" w:space="0"/>
                    <w:right w:val="single" w:color="auto" w:sz="4" w:space="0"/>
                  </w:tcBorders>
                  <w:vAlign w:val="center"/>
                </w:tcPr>
                <w:p w14:paraId="49F75121">
                  <w:pPr>
                    <w:widowControl/>
                    <w:spacing w:line="350" w:lineRule="exact"/>
                    <w:ind w:firstLine="0" w:firstLineChars="0"/>
                    <w:jc w:val="left"/>
                    <w:rPr>
                      <w:rFonts w:ascii="宋体" w:hAnsi="宋体" w:cs="宋体"/>
                      <w:color w:val="auto"/>
                      <w:kern w:val="0"/>
                      <w:sz w:val="21"/>
                      <w:szCs w:val="21"/>
                      <w:highlight w:val="none"/>
                    </w:rPr>
                  </w:pPr>
                </w:p>
              </w:tc>
            </w:tr>
            <w:tr w14:paraId="006215E0">
              <w:tblPrEx>
                <w:tblCellMar>
                  <w:top w:w="0" w:type="dxa"/>
                  <w:left w:w="108" w:type="dxa"/>
                  <w:bottom w:w="0" w:type="dxa"/>
                  <w:right w:w="108" w:type="dxa"/>
                </w:tblCellMar>
              </w:tblPrEx>
              <w:trPr>
                <w:trHeight w:val="416" w:hRule="atLeast"/>
                <w:jc w:val="center"/>
              </w:trPr>
              <w:tc>
                <w:tcPr>
                  <w:tcW w:w="431" w:type="dxa"/>
                  <w:vMerge w:val="continue"/>
                  <w:tcBorders>
                    <w:top w:val="single" w:color="auto" w:sz="4" w:space="0"/>
                    <w:left w:val="single" w:color="auto" w:sz="4" w:space="0"/>
                    <w:bottom w:val="single" w:color="auto" w:sz="4" w:space="0"/>
                    <w:right w:val="single" w:color="auto" w:sz="4" w:space="0"/>
                  </w:tcBorders>
                  <w:vAlign w:val="center"/>
                </w:tcPr>
                <w:p w14:paraId="2B6829B8">
                  <w:pPr>
                    <w:widowControl/>
                    <w:spacing w:line="350" w:lineRule="exact"/>
                    <w:ind w:firstLine="0" w:firstLineChars="0"/>
                    <w:jc w:val="left"/>
                    <w:rPr>
                      <w:rFonts w:ascii="宋体" w:hAnsi="宋体" w:cs="宋体"/>
                      <w:color w:val="auto"/>
                      <w:kern w:val="0"/>
                      <w:sz w:val="21"/>
                      <w:szCs w:val="21"/>
                      <w:highlight w:val="none"/>
                    </w:rPr>
                  </w:pPr>
                </w:p>
              </w:tc>
              <w:tc>
                <w:tcPr>
                  <w:tcW w:w="641" w:type="dxa"/>
                  <w:tcBorders>
                    <w:top w:val="nil"/>
                    <w:left w:val="single" w:color="auto" w:sz="4" w:space="0"/>
                    <w:bottom w:val="single" w:color="000000" w:sz="4" w:space="0"/>
                    <w:right w:val="single" w:color="auto" w:sz="4" w:space="0"/>
                  </w:tcBorders>
                  <w:vAlign w:val="center"/>
                </w:tcPr>
                <w:p w14:paraId="56153C2D">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其他保障</w:t>
                  </w:r>
                </w:p>
              </w:tc>
              <w:tc>
                <w:tcPr>
                  <w:tcW w:w="2588" w:type="dxa"/>
                  <w:tcBorders>
                    <w:top w:val="nil"/>
                    <w:left w:val="nil"/>
                    <w:bottom w:val="single" w:color="auto" w:sz="4" w:space="0"/>
                    <w:right w:val="single" w:color="auto" w:sz="4" w:space="0"/>
                  </w:tcBorders>
                  <w:vAlign w:val="center"/>
                </w:tcPr>
                <w:p w14:paraId="07B27D5E">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车辆保障、备机保障等其他硬件条件</w:t>
                  </w:r>
                </w:p>
              </w:tc>
              <w:tc>
                <w:tcPr>
                  <w:tcW w:w="992" w:type="dxa"/>
                  <w:tcBorders>
                    <w:top w:val="nil"/>
                    <w:left w:val="nil"/>
                    <w:bottom w:val="single" w:color="auto" w:sz="4" w:space="0"/>
                    <w:right w:val="single" w:color="auto" w:sz="4" w:space="0"/>
                  </w:tcBorders>
                  <w:vAlign w:val="center"/>
                </w:tcPr>
                <w:p w14:paraId="65802BA7">
                  <w:pPr>
                    <w:widowControl/>
                    <w:spacing w:line="35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车辆不满足1辆扣5分，其他不满足扣1分</w:t>
                  </w:r>
                </w:p>
              </w:tc>
              <w:tc>
                <w:tcPr>
                  <w:tcW w:w="709" w:type="dxa"/>
                  <w:tcBorders>
                    <w:top w:val="nil"/>
                    <w:left w:val="single" w:color="auto" w:sz="4" w:space="0"/>
                    <w:bottom w:val="single" w:color="auto" w:sz="4" w:space="0"/>
                    <w:right w:val="single" w:color="auto" w:sz="4" w:space="0"/>
                  </w:tcBorders>
                  <w:vAlign w:val="center"/>
                </w:tcPr>
                <w:p w14:paraId="0117A1D4">
                  <w:pPr>
                    <w:widowControl/>
                    <w:spacing w:line="350" w:lineRule="exact"/>
                    <w:ind w:firstLine="0" w:firstLineChars="0"/>
                    <w:jc w:val="left"/>
                    <w:rPr>
                      <w:rFonts w:ascii="宋体" w:hAnsi="宋体" w:cs="宋体"/>
                      <w:color w:val="auto"/>
                      <w:kern w:val="0"/>
                      <w:sz w:val="21"/>
                      <w:szCs w:val="21"/>
                      <w:highlight w:val="none"/>
                    </w:rPr>
                  </w:pPr>
                </w:p>
              </w:tc>
              <w:tc>
                <w:tcPr>
                  <w:tcW w:w="655" w:type="dxa"/>
                  <w:tcBorders>
                    <w:top w:val="nil"/>
                    <w:left w:val="single" w:color="auto" w:sz="4" w:space="0"/>
                    <w:bottom w:val="single" w:color="auto" w:sz="4" w:space="0"/>
                    <w:right w:val="single" w:color="auto" w:sz="4" w:space="0"/>
                  </w:tcBorders>
                  <w:vAlign w:val="center"/>
                </w:tcPr>
                <w:p w14:paraId="02A7F4AC">
                  <w:pPr>
                    <w:widowControl/>
                    <w:spacing w:line="350" w:lineRule="exact"/>
                    <w:ind w:firstLine="0" w:firstLineChars="0"/>
                    <w:jc w:val="left"/>
                    <w:rPr>
                      <w:rFonts w:ascii="宋体" w:hAnsi="宋体" w:cs="宋体"/>
                      <w:color w:val="auto"/>
                      <w:kern w:val="0"/>
                      <w:sz w:val="21"/>
                      <w:szCs w:val="21"/>
                      <w:highlight w:val="none"/>
                    </w:rPr>
                  </w:pPr>
                </w:p>
              </w:tc>
            </w:tr>
            <w:tr w14:paraId="70D684C8">
              <w:tblPrEx>
                <w:tblCellMar>
                  <w:top w:w="0" w:type="dxa"/>
                  <w:left w:w="108" w:type="dxa"/>
                  <w:bottom w:w="0" w:type="dxa"/>
                  <w:right w:w="108" w:type="dxa"/>
                </w:tblCellMar>
              </w:tblPrEx>
              <w:trPr>
                <w:trHeight w:val="465" w:hRule="atLeast"/>
                <w:jc w:val="center"/>
              </w:trPr>
              <w:tc>
                <w:tcPr>
                  <w:tcW w:w="3660" w:type="dxa"/>
                  <w:gridSpan w:val="3"/>
                  <w:tcBorders>
                    <w:top w:val="single" w:color="auto" w:sz="4" w:space="0"/>
                    <w:left w:val="single" w:color="auto" w:sz="4" w:space="0"/>
                    <w:bottom w:val="single" w:color="auto" w:sz="4" w:space="0"/>
                    <w:right w:val="single" w:color="auto" w:sz="4" w:space="0"/>
                  </w:tcBorders>
                  <w:vAlign w:val="center"/>
                </w:tcPr>
                <w:p w14:paraId="4DEDD181">
                  <w:pPr>
                    <w:widowControl/>
                    <w:spacing w:line="350" w:lineRule="exact"/>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本季度考核总得分</w:t>
                  </w:r>
                </w:p>
              </w:tc>
              <w:tc>
                <w:tcPr>
                  <w:tcW w:w="2356" w:type="dxa"/>
                  <w:gridSpan w:val="3"/>
                  <w:tcBorders>
                    <w:top w:val="single" w:color="auto" w:sz="4" w:space="0"/>
                    <w:left w:val="nil"/>
                    <w:bottom w:val="single" w:color="auto" w:sz="6" w:space="0"/>
                    <w:right w:val="single" w:color="auto" w:sz="4" w:space="0"/>
                  </w:tcBorders>
                  <w:vAlign w:val="center"/>
                </w:tcPr>
                <w:p w14:paraId="378B29FC">
                  <w:pPr>
                    <w:widowControl/>
                    <w:spacing w:line="350" w:lineRule="exact"/>
                    <w:ind w:firstLine="0" w:firstLineChars="0"/>
                    <w:jc w:val="center"/>
                    <w:rPr>
                      <w:rFonts w:ascii="宋体" w:hAnsi="宋体" w:cs="宋体"/>
                      <w:b/>
                      <w:bCs/>
                      <w:color w:val="auto"/>
                      <w:kern w:val="0"/>
                      <w:sz w:val="21"/>
                      <w:szCs w:val="21"/>
                      <w:highlight w:val="none"/>
                    </w:rPr>
                  </w:pPr>
                </w:p>
              </w:tc>
            </w:tr>
            <w:tr w14:paraId="2563E5D7">
              <w:tblPrEx>
                <w:tblCellMar>
                  <w:top w:w="0" w:type="dxa"/>
                  <w:left w:w="108" w:type="dxa"/>
                  <w:bottom w:w="0" w:type="dxa"/>
                  <w:right w:w="108" w:type="dxa"/>
                </w:tblCellMar>
              </w:tblPrEx>
              <w:trPr>
                <w:trHeight w:val="465" w:hRule="atLeast"/>
                <w:jc w:val="center"/>
              </w:trPr>
              <w:tc>
                <w:tcPr>
                  <w:tcW w:w="3660" w:type="dxa"/>
                  <w:gridSpan w:val="3"/>
                  <w:tcBorders>
                    <w:top w:val="single" w:color="auto" w:sz="4" w:space="0"/>
                    <w:left w:val="single" w:color="auto" w:sz="4" w:space="0"/>
                    <w:bottom w:val="single" w:color="auto" w:sz="4" w:space="0"/>
                    <w:right w:val="single" w:color="auto" w:sz="4" w:space="0"/>
                  </w:tcBorders>
                  <w:vAlign w:val="center"/>
                </w:tcPr>
                <w:p w14:paraId="70B0DD7F">
                  <w:pPr>
                    <w:widowControl/>
                    <w:spacing w:line="350" w:lineRule="exact"/>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本季度考核总评价</w:t>
                  </w:r>
                </w:p>
              </w:tc>
              <w:tc>
                <w:tcPr>
                  <w:tcW w:w="2356" w:type="dxa"/>
                  <w:gridSpan w:val="3"/>
                  <w:tcBorders>
                    <w:top w:val="single" w:color="auto" w:sz="6" w:space="0"/>
                    <w:left w:val="nil"/>
                    <w:bottom w:val="single" w:color="auto" w:sz="4" w:space="0"/>
                    <w:right w:val="single" w:color="auto" w:sz="4" w:space="0"/>
                  </w:tcBorders>
                  <w:vAlign w:val="center"/>
                </w:tcPr>
                <w:p w14:paraId="4C2E4041">
                  <w:pPr>
                    <w:widowControl/>
                    <w:spacing w:line="350" w:lineRule="exact"/>
                    <w:ind w:firstLine="0" w:firstLineChars="0"/>
                    <w:jc w:val="center"/>
                    <w:rPr>
                      <w:rFonts w:ascii="宋体" w:hAnsi="宋体" w:cs="宋体"/>
                      <w:b/>
                      <w:bCs/>
                      <w:color w:val="auto"/>
                      <w:kern w:val="0"/>
                      <w:sz w:val="21"/>
                      <w:szCs w:val="21"/>
                      <w:highlight w:val="none"/>
                    </w:rPr>
                  </w:pPr>
                </w:p>
              </w:tc>
            </w:tr>
          </w:tbl>
          <w:p w14:paraId="047535FC">
            <w:pPr>
              <w:spacing w:line="350" w:lineRule="exact"/>
              <w:ind w:firstLine="0" w:firstLineChars="0"/>
              <w:rPr>
                <w:rFonts w:ascii="宋体" w:hAnsi="宋体"/>
                <w:snapToGrid w:val="0"/>
                <w:color w:val="auto"/>
                <w:kern w:val="0"/>
                <w:sz w:val="21"/>
                <w:szCs w:val="21"/>
                <w:highlight w:val="none"/>
              </w:rPr>
            </w:pPr>
            <w:r>
              <w:rPr>
                <w:rFonts w:hint="eastAsia" w:ascii="宋体" w:hAnsi="宋体" w:cs="宋体"/>
                <w:color w:val="auto"/>
                <w:sz w:val="21"/>
                <w:szCs w:val="21"/>
                <w:highlight w:val="none"/>
              </w:rPr>
              <w:t>③考核总分</w:t>
            </w:r>
          </w:p>
          <w:p w14:paraId="1FA4C5F6">
            <w:pPr>
              <w:spacing w:line="35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考核总分=两率得分+运维得分</w:t>
            </w:r>
          </w:p>
          <w:p w14:paraId="0F4B37CD">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A.按季度对每个站点单独考核，其中单次考核结果均≥90分为合格。</w:t>
            </w:r>
          </w:p>
          <w:p w14:paraId="53A8673F">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B.单次考核结果≥80分且＜90分的，为初级警告，按比例扣除当季度运行费的10%，并责令整改。</w:t>
            </w:r>
          </w:p>
          <w:p w14:paraId="7E8DC96E">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C.单次考核结果≥70分且＜80分的，为二级警告，按比例扣除当季度运行费的35%，并责令整改。一年合同期内出现两次二级警告情况，视为供应商违约，终止运营托管运维合同。</w:t>
            </w:r>
          </w:p>
          <w:p w14:paraId="2075703B">
            <w:pPr>
              <w:spacing w:line="340" w:lineRule="exact"/>
              <w:ind w:firstLine="0" w:firstLineChars="0"/>
              <w:rPr>
                <w:rFonts w:ascii="宋体" w:hAnsi="宋体" w:cs="宋体"/>
                <w:color w:val="auto"/>
                <w:sz w:val="21"/>
                <w:szCs w:val="21"/>
                <w:highlight w:val="none"/>
              </w:rPr>
            </w:pPr>
            <w:r>
              <w:rPr>
                <w:rFonts w:hint="eastAsia" w:ascii="宋体" w:hAnsi="宋体"/>
                <w:bCs/>
                <w:color w:val="auto"/>
                <w:sz w:val="21"/>
                <w:szCs w:val="21"/>
                <w:highlight w:val="none"/>
              </w:rPr>
              <w:t>D.考核结果在＜70分的，不予支付当季度运维费用并视为供应商</w:t>
            </w:r>
            <w:r>
              <w:rPr>
                <w:rFonts w:hint="eastAsia" w:ascii="宋体" w:hAnsi="宋体" w:cs="宋体"/>
                <w:color w:val="auto"/>
                <w:sz w:val="21"/>
                <w:szCs w:val="21"/>
                <w:highlight w:val="none"/>
              </w:rPr>
              <w:t>违约，</w:t>
            </w:r>
            <w:r>
              <w:rPr>
                <w:rFonts w:hint="eastAsia" w:ascii="宋体" w:hAnsi="宋体"/>
                <w:bCs/>
                <w:color w:val="auto"/>
                <w:sz w:val="21"/>
                <w:szCs w:val="21"/>
                <w:highlight w:val="none"/>
              </w:rPr>
              <w:t>终止运营托管运维合同。</w:t>
            </w:r>
          </w:p>
          <w:p w14:paraId="545F573B">
            <w:pPr>
              <w:spacing w:line="340" w:lineRule="exact"/>
              <w:ind w:firstLine="0" w:firstLineChars="0"/>
              <w:rPr>
                <w:rFonts w:ascii="宋体" w:hAnsi="宋体"/>
                <w:bCs/>
                <w:color w:val="auto"/>
                <w:sz w:val="21"/>
                <w:szCs w:val="21"/>
                <w:highlight w:val="none"/>
              </w:rPr>
            </w:pPr>
            <w:r>
              <w:rPr>
                <w:rFonts w:hint="eastAsia" w:ascii="宋体" w:hAnsi="宋体"/>
                <w:bCs/>
                <w:color w:val="auto"/>
                <w:sz w:val="21"/>
                <w:szCs w:val="21"/>
                <w:highlight w:val="none"/>
              </w:rPr>
              <w:t>E.</w:t>
            </w:r>
            <w:r>
              <w:rPr>
                <w:rFonts w:hint="eastAsia"/>
                <w:color w:val="auto"/>
                <w:sz w:val="21"/>
                <w:szCs w:val="24"/>
                <w:highlight w:val="none"/>
              </w:rPr>
              <w:t xml:space="preserve"> </w:t>
            </w:r>
            <w:r>
              <w:rPr>
                <w:rFonts w:hint="eastAsia" w:ascii="宋体" w:hAnsi="宋体"/>
                <w:bCs/>
                <w:color w:val="auto"/>
                <w:sz w:val="21"/>
                <w:szCs w:val="21"/>
                <w:highlight w:val="none"/>
              </w:rPr>
              <w:t>一旦发现弄虚作假现象，按违约处理，并追究其相应的法律责任，采购人有权向监督管理部门汇报并处理，不予支付当季运维费用，同时按当季维护费用的双倍进行经济处罚。</w:t>
            </w:r>
          </w:p>
          <w:p w14:paraId="68A25D6E">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F.数据捕获率指考核时段内各监测项目实际获取的小时值监测数据量总和除以应获得小时值数据量总和。每日各项目应获得小时值数据量均按24个计，考核时段天数按考核时段内日历天数计。计算应获得小时值数据量时，应扣除因不可抗力造成的停止监测的小时数。</w:t>
            </w:r>
          </w:p>
          <w:p w14:paraId="37E72D7D">
            <w:pPr>
              <w:spacing w:line="35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数据质控合格率指考核时段内各监测项目实际获取的质控合格的小时值监测数据量总和除以应获得小时值数据量总和。</w:t>
            </w:r>
          </w:p>
          <w:p w14:paraId="3AC8D6CC">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（五）</w:t>
            </w:r>
            <w:r>
              <w:rPr>
                <w:rFonts w:hint="eastAsia" w:ascii="宋体" w:hAnsi="宋体" w:cs="宋体"/>
                <w:b/>
                <w:bCs/>
                <w:color w:val="auto"/>
                <w:spacing w:val="-8"/>
                <w:sz w:val="21"/>
                <w:szCs w:val="21"/>
                <w:highlight w:val="none"/>
              </w:rPr>
              <w:t>运维机构</w:t>
            </w:r>
            <w:r>
              <w:rPr>
                <w:rFonts w:hint="eastAsia" w:ascii="宋体" w:hAnsi="宋体" w:cs="宋体"/>
                <w:b/>
                <w:bCs/>
                <w:color w:val="auto"/>
                <w:sz w:val="21"/>
                <w:szCs w:val="21"/>
                <w:highlight w:val="none"/>
              </w:rPr>
              <w:t>、人员要求</w:t>
            </w:r>
          </w:p>
          <w:p w14:paraId="45E52767">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1.</w:t>
            </w:r>
            <w:r>
              <w:rPr>
                <w:rFonts w:hint="eastAsia" w:ascii="宋体" w:hAnsi="宋体" w:cs="宋体"/>
                <w:b/>
                <w:bCs/>
                <w:color w:val="auto"/>
                <w:spacing w:val="-8"/>
                <w:sz w:val="21"/>
                <w:szCs w:val="21"/>
                <w:highlight w:val="none"/>
              </w:rPr>
              <w:t>总体要求</w:t>
            </w:r>
          </w:p>
          <w:p w14:paraId="0325655A">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（1）供应商及人员应执行国家站运行的规章制度，并接受</w:t>
            </w:r>
            <w:r>
              <w:rPr>
                <w:rFonts w:hint="eastAsia" w:ascii="宋体" w:hAnsi="宋体" w:cs="宋体"/>
                <w:color w:val="auto"/>
                <w:sz w:val="21"/>
                <w:szCs w:val="21"/>
                <w:highlight w:val="none"/>
                <w:lang w:val="zh-CN"/>
              </w:rPr>
              <w:t>采购人</w:t>
            </w:r>
            <w:r>
              <w:rPr>
                <w:rFonts w:hint="eastAsia" w:ascii="宋体" w:hAnsi="宋体" w:cs="宋体"/>
                <w:color w:val="auto"/>
                <w:sz w:val="21"/>
                <w:szCs w:val="21"/>
                <w:highlight w:val="none"/>
              </w:rPr>
              <w:t>的管理。</w:t>
            </w:r>
          </w:p>
          <w:p w14:paraId="4CADD362">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（2）供应商应具备完善的系统配件供应渠道。</w:t>
            </w:r>
          </w:p>
          <w:p w14:paraId="43933E74">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（3）在自动监测系统运维及管理期间，不能以任何形式外包合同规定的运行维护任务。</w:t>
            </w:r>
          </w:p>
          <w:p w14:paraId="02CFCF8C">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4）供应商必须承担监测数据的保密责任；供应商按照采购人的要求，进行报告和传输有关的所有监测数据，在合同履行期间和合同履行完毕后，均不得以任何方式和渠道向外界传递任何监测数据，一经发现，采购人将追究其法律责任。</w:t>
            </w:r>
          </w:p>
          <w:p w14:paraId="7959D472">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5）委托运营维护及管理的全部资产（包括全部产权和建筑物、设备、软件、配套设施、环境空气自动站和配套监控系统产生的各类数据信息及相关文档资料）属于采购人所有。未经采购人同意，供应商不得以任何方式对各类财产进行出售、抵押或转移。</w:t>
            </w:r>
          </w:p>
          <w:p w14:paraId="0638082A">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2.</w:t>
            </w:r>
            <w:r>
              <w:rPr>
                <w:rFonts w:hint="eastAsia" w:ascii="宋体" w:hAnsi="宋体" w:cs="宋体"/>
                <w:b/>
                <w:bCs/>
                <w:color w:val="auto"/>
                <w:spacing w:val="-8"/>
                <w:sz w:val="21"/>
                <w:szCs w:val="21"/>
                <w:highlight w:val="none"/>
              </w:rPr>
              <w:t>对供应商能力的要求</w:t>
            </w:r>
            <w:r>
              <w:rPr>
                <w:rFonts w:hint="eastAsia" w:ascii="宋体" w:hAnsi="宋体" w:cs="宋体"/>
                <w:b/>
                <w:bCs/>
                <w:color w:val="auto"/>
                <w:sz w:val="21"/>
                <w:szCs w:val="21"/>
                <w:highlight w:val="none"/>
              </w:rPr>
              <w:t>：</w:t>
            </w:r>
          </w:p>
          <w:p w14:paraId="2E9DE948">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（1）</w:t>
            </w:r>
            <w:r>
              <w:rPr>
                <w:rFonts w:hint="eastAsia" w:ascii="宋体" w:hAnsi="宋体"/>
                <w:color w:val="auto"/>
                <w:sz w:val="21"/>
                <w:szCs w:val="21"/>
                <w:highlight w:val="none"/>
              </w:rPr>
              <w:t>供应商</w:t>
            </w:r>
            <w:r>
              <w:rPr>
                <w:rFonts w:hint="eastAsia" w:ascii="宋体" w:hAnsi="宋体" w:cs="宋体"/>
                <w:color w:val="auto"/>
                <w:sz w:val="21"/>
                <w:szCs w:val="21"/>
                <w:highlight w:val="none"/>
              </w:rPr>
              <w:t>应在项目所在地配备不少于2名专业巡检人员负责日常维护，其中不少于1名技术人员负责日常数据监控和协调管理工作。巡检人员必须配备专用工具，包括便携式电脑、万用表、远程数据查询系统等；同时，还须配备通讯调试工具，包括各种硬件接口线、改线工具、接口调试软件及常用零部件等。</w:t>
            </w:r>
          </w:p>
          <w:p w14:paraId="7B0B4791">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（2）至少配备1辆专用巡检汽车，并承诺该专用巡检汽车保障本项目巡检、运营维护。</w:t>
            </w:r>
          </w:p>
          <w:p w14:paraId="7AC592C3">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3）供应商配备的运维人员要求通过采购人组织的空气自动监测领域持证上岗考核，供应商应承诺并保证其聘用的运维人员应在中标后三个月内通过考核。考核不合格者不得单独进行运维工作，如有两人及两人以上考核不合格，按比例扣除一个月运维费用并补考，考试合格后方可上岗。</w:t>
            </w:r>
          </w:p>
          <w:p w14:paraId="089C443F">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（4）每个站点均要求配备必要的质量控制设备包括配套的流量计、各种标气等。</w:t>
            </w:r>
          </w:p>
          <w:p w14:paraId="6DF2CCAC">
            <w:pPr>
              <w:spacing w:line="35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（5）供应商须承诺成交后3个月内配齐本需求中所涉及设备，包括空气自动监测子站所有监测仪器、辅助设备、监测站房设施的耗材和备件。耗材按照至少半年消耗量配置，备件按照7个月使用量配置</w:t>
            </w:r>
            <w:r>
              <w:rPr>
                <w:rFonts w:hint="eastAsia" w:ascii="宋体" w:hAnsi="宋体" w:cs="宋体"/>
                <w:bCs/>
                <w:color w:val="auto"/>
                <w:sz w:val="21"/>
                <w:szCs w:val="21"/>
                <w:highlight w:val="none"/>
              </w:rPr>
              <w:t>。</w:t>
            </w:r>
            <w:r>
              <w:rPr>
                <w:rFonts w:hint="eastAsia" w:ascii="宋体" w:hAnsi="宋体" w:cs="宋体"/>
                <w:color w:val="auto"/>
                <w:sz w:val="21"/>
                <w:szCs w:val="21"/>
                <w:highlight w:val="none"/>
              </w:rPr>
              <w:t>运营维护服务必须负责的子站仪器设备耗品详见下表：</w:t>
            </w:r>
          </w:p>
          <w:p w14:paraId="16A2CDA2">
            <w:pPr>
              <w:spacing w:line="350" w:lineRule="exact"/>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运营维护服务必须负责的子站仪器设备耗品清单：</w:t>
            </w:r>
          </w:p>
          <w:tbl>
            <w:tblPr>
              <w:tblStyle w:val="45"/>
              <w:tblW w:w="6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134"/>
              <w:gridCol w:w="1701"/>
              <w:gridCol w:w="850"/>
              <w:gridCol w:w="1843"/>
            </w:tblGrid>
            <w:tr w14:paraId="3CF8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single" w:color="auto" w:sz="4" w:space="0"/>
                    <w:bottom w:val="single" w:color="auto" w:sz="4" w:space="0"/>
                    <w:right w:val="single" w:color="auto" w:sz="4" w:space="0"/>
                  </w:tcBorders>
                  <w:vAlign w:val="center"/>
                </w:tcPr>
                <w:p w14:paraId="7EB79019">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631FFD86">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耗材/配件名称</w:t>
                  </w:r>
                </w:p>
              </w:tc>
              <w:tc>
                <w:tcPr>
                  <w:tcW w:w="1701" w:type="dxa"/>
                  <w:tcBorders>
                    <w:top w:val="single" w:color="auto" w:sz="4" w:space="0"/>
                    <w:left w:val="single" w:color="auto" w:sz="4" w:space="0"/>
                    <w:bottom w:val="single" w:color="auto" w:sz="4" w:space="0"/>
                    <w:right w:val="single" w:color="auto" w:sz="4" w:space="0"/>
                  </w:tcBorders>
                  <w:vAlign w:val="center"/>
                </w:tcPr>
                <w:p w14:paraId="5D4DF3FD">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适用仪器型号</w:t>
                  </w:r>
                </w:p>
              </w:tc>
              <w:tc>
                <w:tcPr>
                  <w:tcW w:w="850" w:type="dxa"/>
                  <w:tcBorders>
                    <w:top w:val="single" w:color="auto" w:sz="4" w:space="0"/>
                    <w:left w:val="single" w:color="auto" w:sz="4" w:space="0"/>
                    <w:bottom w:val="single" w:color="auto" w:sz="4" w:space="0"/>
                    <w:right w:val="single" w:color="auto" w:sz="4" w:space="0"/>
                  </w:tcBorders>
                  <w:vAlign w:val="center"/>
                </w:tcPr>
                <w:p w14:paraId="129629D9">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843" w:type="dxa"/>
                  <w:tcBorders>
                    <w:top w:val="single" w:color="auto" w:sz="4" w:space="0"/>
                    <w:left w:val="single" w:color="auto" w:sz="4" w:space="0"/>
                    <w:bottom w:val="single" w:color="auto" w:sz="4" w:space="0"/>
                    <w:right w:val="single" w:color="auto" w:sz="4" w:space="0"/>
                  </w:tcBorders>
                  <w:vAlign w:val="center"/>
                </w:tcPr>
                <w:p w14:paraId="25D023C1">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厂家推荐更换周期</w:t>
                  </w:r>
                </w:p>
              </w:tc>
            </w:tr>
            <w:tr w14:paraId="32D2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single" w:color="auto" w:sz="4" w:space="0"/>
                    <w:bottom w:val="single" w:color="auto" w:sz="4" w:space="0"/>
                    <w:right w:val="single" w:color="auto" w:sz="4" w:space="0"/>
                  </w:tcBorders>
                  <w:vAlign w:val="center"/>
                </w:tcPr>
                <w:p w14:paraId="20777580">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21E37795">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纸带</w:t>
                  </w:r>
                </w:p>
              </w:tc>
              <w:tc>
                <w:tcPr>
                  <w:tcW w:w="1701" w:type="dxa"/>
                  <w:tcBorders>
                    <w:top w:val="single" w:color="auto" w:sz="4" w:space="0"/>
                    <w:left w:val="single" w:color="auto" w:sz="4" w:space="0"/>
                    <w:bottom w:val="single" w:color="auto" w:sz="4" w:space="0"/>
                    <w:right w:val="single" w:color="auto" w:sz="4" w:space="0"/>
                  </w:tcBorders>
                  <w:vAlign w:val="center"/>
                </w:tcPr>
                <w:p w14:paraId="2E6F5EEE">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PM</w:t>
                  </w:r>
                  <w:r>
                    <w:rPr>
                      <w:rFonts w:hint="eastAsia" w:ascii="宋体" w:hAnsi="宋体"/>
                      <w:color w:val="auto"/>
                      <w:sz w:val="21"/>
                      <w:szCs w:val="21"/>
                      <w:highlight w:val="none"/>
                      <w:vertAlign w:val="subscript"/>
                    </w:rPr>
                    <w:t>10</w:t>
                  </w:r>
                  <w:r>
                    <w:rPr>
                      <w:rFonts w:hint="eastAsia" w:ascii="宋体" w:hAnsi="宋体"/>
                      <w:color w:val="auto"/>
                      <w:sz w:val="21"/>
                      <w:szCs w:val="21"/>
                      <w:highlight w:val="none"/>
                    </w:rPr>
                    <w:t>监测仪（Met One1020）</w:t>
                  </w:r>
                </w:p>
              </w:tc>
              <w:tc>
                <w:tcPr>
                  <w:tcW w:w="850" w:type="dxa"/>
                  <w:tcBorders>
                    <w:top w:val="single" w:color="auto" w:sz="4" w:space="0"/>
                    <w:left w:val="single" w:color="auto" w:sz="4" w:space="0"/>
                    <w:bottom w:val="single" w:color="auto" w:sz="4" w:space="0"/>
                    <w:right w:val="single" w:color="auto" w:sz="4" w:space="0"/>
                  </w:tcBorders>
                  <w:vAlign w:val="center"/>
                </w:tcPr>
                <w:p w14:paraId="01999519">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12卷</w:t>
                  </w:r>
                </w:p>
              </w:tc>
              <w:tc>
                <w:tcPr>
                  <w:tcW w:w="1843" w:type="dxa"/>
                  <w:tcBorders>
                    <w:top w:val="single" w:color="auto" w:sz="4" w:space="0"/>
                    <w:left w:val="single" w:color="auto" w:sz="4" w:space="0"/>
                    <w:bottom w:val="single" w:color="auto" w:sz="4" w:space="0"/>
                    <w:right w:val="single" w:color="auto" w:sz="4" w:space="0"/>
                  </w:tcBorders>
                  <w:vAlign w:val="center"/>
                </w:tcPr>
                <w:p w14:paraId="7BF9A23E">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每2个月更换1次</w:t>
                  </w:r>
                </w:p>
              </w:tc>
            </w:tr>
            <w:tr w14:paraId="3DF7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single" w:color="auto" w:sz="4" w:space="0"/>
                    <w:bottom w:val="single" w:color="auto" w:sz="4" w:space="0"/>
                    <w:right w:val="single" w:color="auto" w:sz="4" w:space="0"/>
                  </w:tcBorders>
                  <w:vAlign w:val="center"/>
                </w:tcPr>
                <w:p w14:paraId="3F541943">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1859E939">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纸带</w:t>
                  </w:r>
                </w:p>
              </w:tc>
              <w:tc>
                <w:tcPr>
                  <w:tcW w:w="1701" w:type="dxa"/>
                  <w:tcBorders>
                    <w:top w:val="single" w:color="auto" w:sz="4" w:space="0"/>
                    <w:left w:val="single" w:color="auto" w:sz="4" w:space="0"/>
                    <w:bottom w:val="single" w:color="auto" w:sz="4" w:space="0"/>
                    <w:right w:val="single" w:color="auto" w:sz="4" w:space="0"/>
                  </w:tcBorders>
                  <w:vAlign w:val="center"/>
                </w:tcPr>
                <w:p w14:paraId="4C54E6EE">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PM</w:t>
                  </w:r>
                  <w:r>
                    <w:rPr>
                      <w:rFonts w:hint="eastAsia" w:ascii="宋体" w:hAnsi="宋体"/>
                      <w:color w:val="auto"/>
                      <w:sz w:val="21"/>
                      <w:szCs w:val="21"/>
                      <w:highlight w:val="none"/>
                      <w:vertAlign w:val="subscript"/>
                    </w:rPr>
                    <w:t>2.5</w:t>
                  </w:r>
                  <w:r>
                    <w:rPr>
                      <w:rFonts w:hint="eastAsia" w:ascii="宋体" w:hAnsi="宋体"/>
                      <w:color w:val="auto"/>
                      <w:sz w:val="21"/>
                      <w:szCs w:val="21"/>
                      <w:highlight w:val="none"/>
                    </w:rPr>
                    <w:t xml:space="preserve">监测仪（Met One1020） </w:t>
                  </w:r>
                </w:p>
              </w:tc>
              <w:tc>
                <w:tcPr>
                  <w:tcW w:w="850" w:type="dxa"/>
                  <w:tcBorders>
                    <w:top w:val="single" w:color="auto" w:sz="4" w:space="0"/>
                    <w:left w:val="single" w:color="auto" w:sz="4" w:space="0"/>
                    <w:bottom w:val="single" w:color="auto" w:sz="4" w:space="0"/>
                    <w:right w:val="single" w:color="auto" w:sz="4" w:space="0"/>
                  </w:tcBorders>
                  <w:vAlign w:val="center"/>
                </w:tcPr>
                <w:p w14:paraId="702C0D47">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12卷</w:t>
                  </w:r>
                </w:p>
              </w:tc>
              <w:tc>
                <w:tcPr>
                  <w:tcW w:w="1843" w:type="dxa"/>
                  <w:tcBorders>
                    <w:top w:val="single" w:color="auto" w:sz="4" w:space="0"/>
                    <w:left w:val="single" w:color="auto" w:sz="4" w:space="0"/>
                    <w:bottom w:val="single" w:color="auto" w:sz="4" w:space="0"/>
                    <w:right w:val="single" w:color="auto" w:sz="4" w:space="0"/>
                  </w:tcBorders>
                  <w:vAlign w:val="center"/>
                </w:tcPr>
                <w:p w14:paraId="65064E4F">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每2个月更换1次</w:t>
                  </w:r>
                </w:p>
              </w:tc>
            </w:tr>
            <w:tr w14:paraId="73BC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vAlign w:val="center"/>
                </w:tcPr>
                <w:p w14:paraId="49D6A164">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14:paraId="49FA46BB">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气体过滤膜</w:t>
                  </w:r>
                </w:p>
              </w:tc>
              <w:tc>
                <w:tcPr>
                  <w:tcW w:w="1701" w:type="dxa"/>
                  <w:tcBorders>
                    <w:top w:val="single" w:color="auto" w:sz="4" w:space="0"/>
                    <w:left w:val="single" w:color="auto" w:sz="4" w:space="0"/>
                    <w:bottom w:val="single" w:color="auto" w:sz="4" w:space="0"/>
                    <w:right w:val="single" w:color="auto" w:sz="4" w:space="0"/>
                  </w:tcBorders>
                  <w:vAlign w:val="center"/>
                </w:tcPr>
                <w:p w14:paraId="21783FC3">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T100/ T200/T300/T400</w:t>
                  </w:r>
                </w:p>
              </w:tc>
              <w:tc>
                <w:tcPr>
                  <w:tcW w:w="850" w:type="dxa"/>
                  <w:tcBorders>
                    <w:top w:val="single" w:color="auto" w:sz="4" w:space="0"/>
                    <w:left w:val="single" w:color="auto" w:sz="4" w:space="0"/>
                    <w:bottom w:val="single" w:color="auto" w:sz="4" w:space="0"/>
                    <w:right w:val="single" w:color="auto" w:sz="4" w:space="0"/>
                  </w:tcBorders>
                  <w:vAlign w:val="center"/>
                </w:tcPr>
                <w:p w14:paraId="1D32EECA">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240张</w:t>
                  </w:r>
                </w:p>
              </w:tc>
              <w:tc>
                <w:tcPr>
                  <w:tcW w:w="1843" w:type="dxa"/>
                  <w:tcBorders>
                    <w:top w:val="single" w:color="auto" w:sz="4" w:space="0"/>
                    <w:left w:val="single" w:color="auto" w:sz="4" w:space="0"/>
                    <w:bottom w:val="single" w:color="auto" w:sz="4" w:space="0"/>
                    <w:right w:val="single" w:color="auto" w:sz="4" w:space="0"/>
                  </w:tcBorders>
                  <w:vAlign w:val="center"/>
                </w:tcPr>
                <w:p w14:paraId="45FF71C8">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每站点共有4台气态污染物分析仪，2周更换1次，1年需104张，预16张备用</w:t>
                  </w:r>
                </w:p>
              </w:tc>
            </w:tr>
            <w:tr w14:paraId="610D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single" w:color="auto" w:sz="4" w:space="0"/>
                    <w:bottom w:val="single" w:color="auto" w:sz="4" w:space="0"/>
                    <w:right w:val="single" w:color="auto" w:sz="4" w:space="0"/>
                  </w:tcBorders>
                  <w:vAlign w:val="center"/>
                </w:tcPr>
                <w:p w14:paraId="2F192558">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134" w:type="dxa"/>
                  <w:tcBorders>
                    <w:top w:val="single" w:color="auto" w:sz="4" w:space="0"/>
                    <w:left w:val="single" w:color="auto" w:sz="4" w:space="0"/>
                    <w:bottom w:val="single" w:color="auto" w:sz="4" w:space="0"/>
                    <w:right w:val="single" w:color="auto" w:sz="4" w:space="0"/>
                  </w:tcBorders>
                  <w:vAlign w:val="center"/>
                </w:tcPr>
                <w:p w14:paraId="72BA7DCD">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活性炭</w:t>
                  </w:r>
                </w:p>
              </w:tc>
              <w:tc>
                <w:tcPr>
                  <w:tcW w:w="1701" w:type="dxa"/>
                  <w:tcBorders>
                    <w:top w:val="single" w:color="auto" w:sz="4" w:space="0"/>
                    <w:left w:val="single" w:color="auto" w:sz="4" w:space="0"/>
                    <w:bottom w:val="single" w:color="auto" w:sz="4" w:space="0"/>
                    <w:right w:val="single" w:color="auto" w:sz="4" w:space="0"/>
                  </w:tcBorders>
                  <w:vAlign w:val="center"/>
                </w:tcPr>
                <w:p w14:paraId="777923B2">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T200</w:t>
                  </w:r>
                </w:p>
              </w:tc>
              <w:tc>
                <w:tcPr>
                  <w:tcW w:w="850" w:type="dxa"/>
                  <w:tcBorders>
                    <w:top w:val="single" w:color="auto" w:sz="4" w:space="0"/>
                    <w:left w:val="single" w:color="auto" w:sz="4" w:space="0"/>
                    <w:bottom w:val="single" w:color="auto" w:sz="4" w:space="0"/>
                    <w:right w:val="single" w:color="auto" w:sz="4" w:space="0"/>
                  </w:tcBorders>
                  <w:vAlign w:val="center"/>
                </w:tcPr>
                <w:p w14:paraId="7D5B582D">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8瓶</w:t>
                  </w:r>
                </w:p>
              </w:tc>
              <w:tc>
                <w:tcPr>
                  <w:tcW w:w="1843" w:type="dxa"/>
                  <w:tcBorders>
                    <w:top w:val="single" w:color="auto" w:sz="4" w:space="0"/>
                    <w:left w:val="single" w:color="auto" w:sz="4" w:space="0"/>
                    <w:bottom w:val="single" w:color="auto" w:sz="4" w:space="0"/>
                    <w:right w:val="single" w:color="auto" w:sz="4" w:space="0"/>
                  </w:tcBorders>
                  <w:vAlign w:val="center"/>
                </w:tcPr>
                <w:p w14:paraId="3452A192">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每三个月更换一次</w:t>
                  </w:r>
                </w:p>
              </w:tc>
            </w:tr>
            <w:tr w14:paraId="687E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single" w:color="auto" w:sz="4" w:space="0"/>
                    <w:bottom w:val="single" w:color="auto" w:sz="4" w:space="0"/>
                    <w:right w:val="single" w:color="auto" w:sz="4" w:space="0"/>
                  </w:tcBorders>
                  <w:vAlign w:val="center"/>
                </w:tcPr>
                <w:p w14:paraId="52BE0911">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134" w:type="dxa"/>
                  <w:tcBorders>
                    <w:top w:val="single" w:color="auto" w:sz="4" w:space="0"/>
                    <w:left w:val="single" w:color="auto" w:sz="4" w:space="0"/>
                    <w:bottom w:val="single" w:color="auto" w:sz="4" w:space="0"/>
                    <w:right w:val="single" w:color="auto" w:sz="4" w:space="0"/>
                  </w:tcBorders>
                  <w:vAlign w:val="center"/>
                </w:tcPr>
                <w:p w14:paraId="5F6EA578">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泵膜</w:t>
                  </w:r>
                </w:p>
              </w:tc>
              <w:tc>
                <w:tcPr>
                  <w:tcW w:w="1701" w:type="dxa"/>
                  <w:tcBorders>
                    <w:top w:val="single" w:color="auto" w:sz="4" w:space="0"/>
                    <w:left w:val="single" w:color="auto" w:sz="4" w:space="0"/>
                    <w:bottom w:val="single" w:color="auto" w:sz="4" w:space="0"/>
                    <w:right w:val="single" w:color="auto" w:sz="4" w:space="0"/>
                  </w:tcBorders>
                  <w:vAlign w:val="center"/>
                </w:tcPr>
                <w:p w14:paraId="32CED3B2">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T100/T300/T400</w:t>
                  </w:r>
                </w:p>
              </w:tc>
              <w:tc>
                <w:tcPr>
                  <w:tcW w:w="850" w:type="dxa"/>
                  <w:tcBorders>
                    <w:top w:val="single" w:color="auto" w:sz="4" w:space="0"/>
                    <w:left w:val="single" w:color="auto" w:sz="4" w:space="0"/>
                    <w:bottom w:val="single" w:color="auto" w:sz="4" w:space="0"/>
                    <w:right w:val="single" w:color="auto" w:sz="4" w:space="0"/>
                  </w:tcBorders>
                  <w:vAlign w:val="center"/>
                </w:tcPr>
                <w:p w14:paraId="439C2B1B">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6张</w:t>
                  </w:r>
                </w:p>
              </w:tc>
              <w:tc>
                <w:tcPr>
                  <w:tcW w:w="1843" w:type="dxa"/>
                  <w:tcBorders>
                    <w:top w:val="single" w:color="auto" w:sz="4" w:space="0"/>
                    <w:left w:val="single" w:color="auto" w:sz="4" w:space="0"/>
                    <w:bottom w:val="single" w:color="auto" w:sz="4" w:space="0"/>
                    <w:right w:val="single" w:color="auto" w:sz="4" w:space="0"/>
                  </w:tcBorders>
                  <w:vAlign w:val="center"/>
                </w:tcPr>
                <w:p w14:paraId="592E83AC">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每年更换1次</w:t>
                  </w:r>
                </w:p>
              </w:tc>
            </w:tr>
            <w:tr w14:paraId="1EE4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single" w:color="auto" w:sz="4" w:space="0"/>
                    <w:bottom w:val="single" w:color="auto" w:sz="4" w:space="0"/>
                    <w:right w:val="single" w:color="auto" w:sz="4" w:space="0"/>
                  </w:tcBorders>
                  <w:vAlign w:val="center"/>
                </w:tcPr>
                <w:p w14:paraId="4F8FE0A1">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134" w:type="dxa"/>
                  <w:tcBorders>
                    <w:top w:val="single" w:color="auto" w:sz="4" w:space="0"/>
                    <w:left w:val="single" w:color="auto" w:sz="4" w:space="0"/>
                    <w:bottom w:val="single" w:color="auto" w:sz="4" w:space="0"/>
                    <w:right w:val="single" w:color="auto" w:sz="4" w:space="0"/>
                  </w:tcBorders>
                  <w:vAlign w:val="center"/>
                </w:tcPr>
                <w:p w14:paraId="5DA97034">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臭氧清洁器</w:t>
                  </w:r>
                </w:p>
              </w:tc>
              <w:tc>
                <w:tcPr>
                  <w:tcW w:w="1701" w:type="dxa"/>
                  <w:tcBorders>
                    <w:top w:val="single" w:color="auto" w:sz="4" w:space="0"/>
                    <w:left w:val="single" w:color="auto" w:sz="4" w:space="0"/>
                    <w:bottom w:val="single" w:color="auto" w:sz="4" w:space="0"/>
                    <w:right w:val="single" w:color="auto" w:sz="4" w:space="0"/>
                  </w:tcBorders>
                  <w:vAlign w:val="center"/>
                </w:tcPr>
                <w:p w14:paraId="4842746D">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T400</w:t>
                  </w:r>
                </w:p>
              </w:tc>
              <w:tc>
                <w:tcPr>
                  <w:tcW w:w="850" w:type="dxa"/>
                  <w:tcBorders>
                    <w:top w:val="single" w:color="auto" w:sz="4" w:space="0"/>
                    <w:left w:val="single" w:color="auto" w:sz="4" w:space="0"/>
                    <w:bottom w:val="single" w:color="auto" w:sz="4" w:space="0"/>
                    <w:right w:val="single" w:color="auto" w:sz="4" w:space="0"/>
                  </w:tcBorders>
                  <w:vAlign w:val="center"/>
                </w:tcPr>
                <w:p w14:paraId="387944E7">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2个</w:t>
                  </w:r>
                </w:p>
              </w:tc>
              <w:tc>
                <w:tcPr>
                  <w:tcW w:w="1843" w:type="dxa"/>
                  <w:tcBorders>
                    <w:top w:val="single" w:color="auto" w:sz="4" w:space="0"/>
                    <w:left w:val="single" w:color="auto" w:sz="4" w:space="0"/>
                    <w:bottom w:val="single" w:color="auto" w:sz="4" w:space="0"/>
                    <w:right w:val="single" w:color="auto" w:sz="4" w:space="0"/>
                  </w:tcBorders>
                  <w:vAlign w:val="center"/>
                </w:tcPr>
                <w:p w14:paraId="1F551A73">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每年更换1次</w:t>
                  </w:r>
                </w:p>
              </w:tc>
            </w:tr>
            <w:tr w14:paraId="6C48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single" w:color="auto" w:sz="4" w:space="0"/>
                    <w:bottom w:val="single" w:color="auto" w:sz="4" w:space="0"/>
                    <w:right w:val="single" w:color="auto" w:sz="4" w:space="0"/>
                  </w:tcBorders>
                  <w:vAlign w:val="center"/>
                </w:tcPr>
                <w:p w14:paraId="3F369574">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134" w:type="dxa"/>
                  <w:tcBorders>
                    <w:top w:val="single" w:color="auto" w:sz="4" w:space="0"/>
                    <w:left w:val="single" w:color="auto" w:sz="4" w:space="0"/>
                    <w:bottom w:val="single" w:color="auto" w:sz="4" w:space="0"/>
                    <w:right w:val="single" w:color="auto" w:sz="4" w:space="0"/>
                  </w:tcBorders>
                  <w:vAlign w:val="center"/>
                </w:tcPr>
                <w:p w14:paraId="2C10478D">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氧化剂</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0795BFD9">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零气发生器</w:t>
                  </w:r>
                </w:p>
              </w:tc>
              <w:tc>
                <w:tcPr>
                  <w:tcW w:w="850" w:type="dxa"/>
                  <w:tcBorders>
                    <w:top w:val="single" w:color="auto" w:sz="4" w:space="0"/>
                    <w:left w:val="single" w:color="auto" w:sz="4" w:space="0"/>
                    <w:bottom w:val="single" w:color="auto" w:sz="4" w:space="0"/>
                    <w:right w:val="single" w:color="auto" w:sz="4" w:space="0"/>
                  </w:tcBorders>
                  <w:vAlign w:val="center"/>
                </w:tcPr>
                <w:p w14:paraId="16ED9039">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8瓶</w:t>
                  </w:r>
                </w:p>
              </w:tc>
              <w:tc>
                <w:tcPr>
                  <w:tcW w:w="1843" w:type="dxa"/>
                  <w:tcBorders>
                    <w:top w:val="single" w:color="auto" w:sz="4" w:space="0"/>
                    <w:left w:val="single" w:color="auto" w:sz="4" w:space="0"/>
                    <w:bottom w:val="single" w:color="auto" w:sz="4" w:space="0"/>
                    <w:right w:val="single" w:color="auto" w:sz="4" w:space="0"/>
                  </w:tcBorders>
                  <w:vAlign w:val="center"/>
                </w:tcPr>
                <w:p w14:paraId="32C28A83">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每三个月更换1次</w:t>
                  </w:r>
                </w:p>
              </w:tc>
            </w:tr>
            <w:tr w14:paraId="4E46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single" w:color="auto" w:sz="4" w:space="0"/>
                    <w:bottom w:val="single" w:color="auto" w:sz="4" w:space="0"/>
                    <w:right w:val="single" w:color="auto" w:sz="4" w:space="0"/>
                  </w:tcBorders>
                  <w:vAlign w:val="center"/>
                </w:tcPr>
                <w:p w14:paraId="38259E22">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134" w:type="dxa"/>
                  <w:tcBorders>
                    <w:top w:val="single" w:color="auto" w:sz="4" w:space="0"/>
                    <w:left w:val="single" w:color="auto" w:sz="4" w:space="0"/>
                    <w:bottom w:val="single" w:color="auto" w:sz="4" w:space="0"/>
                    <w:right w:val="single" w:color="auto" w:sz="4" w:space="0"/>
                  </w:tcBorders>
                  <w:vAlign w:val="center"/>
                </w:tcPr>
                <w:p w14:paraId="16306096">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活性炭</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58F612FD">
                  <w:pPr>
                    <w:widowControl/>
                    <w:spacing w:line="350" w:lineRule="exact"/>
                    <w:ind w:firstLine="0" w:firstLineChars="0"/>
                    <w:jc w:val="left"/>
                    <w:rPr>
                      <w:rFonts w:ascii="宋体" w:hAnsi="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3434C19">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8瓶</w:t>
                  </w:r>
                </w:p>
              </w:tc>
              <w:tc>
                <w:tcPr>
                  <w:tcW w:w="1843" w:type="dxa"/>
                  <w:tcBorders>
                    <w:top w:val="single" w:color="auto" w:sz="4" w:space="0"/>
                    <w:left w:val="single" w:color="auto" w:sz="4" w:space="0"/>
                    <w:bottom w:val="single" w:color="auto" w:sz="4" w:space="0"/>
                    <w:right w:val="single" w:color="auto" w:sz="4" w:space="0"/>
                  </w:tcBorders>
                  <w:vAlign w:val="center"/>
                </w:tcPr>
                <w:p w14:paraId="77CB5344">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每三个月更换1次</w:t>
                  </w:r>
                </w:p>
              </w:tc>
            </w:tr>
            <w:tr w14:paraId="33BB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single" w:color="auto" w:sz="4" w:space="0"/>
                    <w:bottom w:val="single" w:color="auto" w:sz="4" w:space="0"/>
                    <w:right w:val="single" w:color="auto" w:sz="4" w:space="0"/>
                  </w:tcBorders>
                  <w:vAlign w:val="center"/>
                </w:tcPr>
                <w:p w14:paraId="77ECDBF6">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134" w:type="dxa"/>
                  <w:tcBorders>
                    <w:top w:val="single" w:color="auto" w:sz="4" w:space="0"/>
                    <w:left w:val="single" w:color="auto" w:sz="4" w:space="0"/>
                    <w:bottom w:val="single" w:color="auto" w:sz="4" w:space="0"/>
                    <w:right w:val="single" w:color="auto" w:sz="4" w:space="0"/>
                  </w:tcBorders>
                  <w:vAlign w:val="center"/>
                </w:tcPr>
                <w:p w14:paraId="54BF6633">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标气</w:t>
                  </w:r>
                </w:p>
              </w:tc>
              <w:tc>
                <w:tcPr>
                  <w:tcW w:w="1701" w:type="dxa"/>
                  <w:tcBorders>
                    <w:top w:val="single" w:color="auto" w:sz="4" w:space="0"/>
                    <w:left w:val="single" w:color="auto" w:sz="4" w:space="0"/>
                    <w:bottom w:val="single" w:color="auto" w:sz="4" w:space="0"/>
                    <w:right w:val="single" w:color="auto" w:sz="4" w:space="0"/>
                  </w:tcBorders>
                  <w:vAlign w:val="center"/>
                </w:tcPr>
                <w:p w14:paraId="4DC099DA">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CO</w:t>
                  </w:r>
                </w:p>
              </w:tc>
              <w:tc>
                <w:tcPr>
                  <w:tcW w:w="850" w:type="dxa"/>
                  <w:tcBorders>
                    <w:top w:val="single" w:color="auto" w:sz="4" w:space="0"/>
                    <w:left w:val="single" w:color="auto" w:sz="4" w:space="0"/>
                    <w:bottom w:val="single" w:color="auto" w:sz="4" w:space="0"/>
                    <w:right w:val="single" w:color="auto" w:sz="4" w:space="0"/>
                  </w:tcBorders>
                  <w:vAlign w:val="center"/>
                </w:tcPr>
                <w:p w14:paraId="70DB2C8A">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2瓶</w:t>
                  </w:r>
                </w:p>
              </w:tc>
              <w:tc>
                <w:tcPr>
                  <w:tcW w:w="1843" w:type="dxa"/>
                  <w:tcBorders>
                    <w:top w:val="single" w:color="auto" w:sz="4" w:space="0"/>
                    <w:left w:val="single" w:color="auto" w:sz="4" w:space="0"/>
                    <w:bottom w:val="single" w:color="auto" w:sz="4" w:space="0"/>
                    <w:right w:val="single" w:color="auto" w:sz="4" w:space="0"/>
                  </w:tcBorders>
                  <w:vAlign w:val="center"/>
                </w:tcPr>
                <w:p w14:paraId="23489D00">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每年更换1次</w:t>
                  </w:r>
                </w:p>
              </w:tc>
            </w:tr>
            <w:tr w14:paraId="66A5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single" w:color="auto" w:sz="4" w:space="0"/>
                    <w:bottom w:val="single" w:color="auto" w:sz="4" w:space="0"/>
                    <w:right w:val="single" w:color="auto" w:sz="4" w:space="0"/>
                  </w:tcBorders>
                  <w:vAlign w:val="center"/>
                </w:tcPr>
                <w:p w14:paraId="46DB07BB">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1134" w:type="dxa"/>
                  <w:tcBorders>
                    <w:top w:val="single" w:color="auto" w:sz="4" w:space="0"/>
                    <w:left w:val="single" w:color="auto" w:sz="4" w:space="0"/>
                    <w:bottom w:val="single" w:color="auto" w:sz="4" w:space="0"/>
                    <w:right w:val="single" w:color="auto" w:sz="4" w:space="0"/>
                  </w:tcBorders>
                  <w:vAlign w:val="center"/>
                </w:tcPr>
                <w:p w14:paraId="5BC46514">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标气</w:t>
                  </w:r>
                </w:p>
              </w:tc>
              <w:tc>
                <w:tcPr>
                  <w:tcW w:w="1701" w:type="dxa"/>
                  <w:tcBorders>
                    <w:top w:val="single" w:color="auto" w:sz="4" w:space="0"/>
                    <w:left w:val="single" w:color="auto" w:sz="4" w:space="0"/>
                    <w:bottom w:val="single" w:color="auto" w:sz="4" w:space="0"/>
                    <w:right w:val="single" w:color="auto" w:sz="4" w:space="0"/>
                  </w:tcBorders>
                  <w:vAlign w:val="center"/>
                </w:tcPr>
                <w:p w14:paraId="1866896F">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NO</w:t>
                  </w:r>
                </w:p>
              </w:tc>
              <w:tc>
                <w:tcPr>
                  <w:tcW w:w="850" w:type="dxa"/>
                  <w:tcBorders>
                    <w:top w:val="single" w:color="auto" w:sz="4" w:space="0"/>
                    <w:left w:val="single" w:color="auto" w:sz="4" w:space="0"/>
                    <w:bottom w:val="single" w:color="auto" w:sz="4" w:space="0"/>
                    <w:right w:val="single" w:color="auto" w:sz="4" w:space="0"/>
                  </w:tcBorders>
                  <w:vAlign w:val="center"/>
                </w:tcPr>
                <w:p w14:paraId="30B320A5">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2瓶</w:t>
                  </w:r>
                </w:p>
              </w:tc>
              <w:tc>
                <w:tcPr>
                  <w:tcW w:w="1843" w:type="dxa"/>
                  <w:tcBorders>
                    <w:top w:val="single" w:color="auto" w:sz="4" w:space="0"/>
                    <w:left w:val="single" w:color="auto" w:sz="4" w:space="0"/>
                    <w:bottom w:val="single" w:color="auto" w:sz="4" w:space="0"/>
                    <w:right w:val="single" w:color="auto" w:sz="4" w:space="0"/>
                  </w:tcBorders>
                  <w:vAlign w:val="center"/>
                </w:tcPr>
                <w:p w14:paraId="62F8320E">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每年更换1次</w:t>
                  </w:r>
                </w:p>
              </w:tc>
            </w:tr>
            <w:tr w14:paraId="2F71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single" w:color="auto" w:sz="4" w:space="0"/>
                    <w:bottom w:val="single" w:color="auto" w:sz="4" w:space="0"/>
                    <w:right w:val="single" w:color="auto" w:sz="4" w:space="0"/>
                  </w:tcBorders>
                  <w:vAlign w:val="center"/>
                </w:tcPr>
                <w:p w14:paraId="6AD4596B">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1134" w:type="dxa"/>
                  <w:tcBorders>
                    <w:top w:val="single" w:color="auto" w:sz="4" w:space="0"/>
                    <w:left w:val="single" w:color="auto" w:sz="4" w:space="0"/>
                    <w:bottom w:val="single" w:color="auto" w:sz="4" w:space="0"/>
                    <w:right w:val="single" w:color="auto" w:sz="4" w:space="0"/>
                  </w:tcBorders>
                  <w:vAlign w:val="center"/>
                </w:tcPr>
                <w:p w14:paraId="6F7749D7">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标气</w:t>
                  </w:r>
                </w:p>
              </w:tc>
              <w:tc>
                <w:tcPr>
                  <w:tcW w:w="1701" w:type="dxa"/>
                  <w:tcBorders>
                    <w:top w:val="single" w:color="auto" w:sz="4" w:space="0"/>
                    <w:left w:val="single" w:color="auto" w:sz="4" w:space="0"/>
                    <w:bottom w:val="single" w:color="auto" w:sz="4" w:space="0"/>
                    <w:right w:val="single" w:color="auto" w:sz="4" w:space="0"/>
                  </w:tcBorders>
                  <w:vAlign w:val="center"/>
                </w:tcPr>
                <w:p w14:paraId="4E58B391">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SO</w:t>
                  </w:r>
                  <w:r>
                    <w:rPr>
                      <w:rFonts w:hint="eastAsia" w:ascii="宋体" w:hAnsi="宋体"/>
                      <w:color w:val="auto"/>
                      <w:sz w:val="21"/>
                      <w:szCs w:val="21"/>
                      <w:highlight w:val="none"/>
                      <w:vertAlign w:val="subscript"/>
                    </w:rPr>
                    <w:t>2</w:t>
                  </w:r>
                </w:p>
              </w:tc>
              <w:tc>
                <w:tcPr>
                  <w:tcW w:w="850" w:type="dxa"/>
                  <w:tcBorders>
                    <w:top w:val="single" w:color="auto" w:sz="4" w:space="0"/>
                    <w:left w:val="single" w:color="auto" w:sz="4" w:space="0"/>
                    <w:bottom w:val="single" w:color="auto" w:sz="4" w:space="0"/>
                    <w:right w:val="single" w:color="auto" w:sz="4" w:space="0"/>
                  </w:tcBorders>
                  <w:vAlign w:val="center"/>
                </w:tcPr>
                <w:p w14:paraId="3BEDA242">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2瓶</w:t>
                  </w:r>
                </w:p>
              </w:tc>
              <w:tc>
                <w:tcPr>
                  <w:tcW w:w="1843" w:type="dxa"/>
                  <w:tcBorders>
                    <w:top w:val="single" w:color="auto" w:sz="4" w:space="0"/>
                    <w:left w:val="single" w:color="auto" w:sz="4" w:space="0"/>
                    <w:bottom w:val="single" w:color="auto" w:sz="4" w:space="0"/>
                    <w:right w:val="single" w:color="auto" w:sz="4" w:space="0"/>
                  </w:tcBorders>
                  <w:vAlign w:val="center"/>
                </w:tcPr>
                <w:p w14:paraId="26769CFD">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每年更换1次</w:t>
                  </w:r>
                </w:p>
              </w:tc>
            </w:tr>
            <w:tr w14:paraId="373D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single" w:color="auto" w:sz="4" w:space="0"/>
                    <w:bottom w:val="single" w:color="auto" w:sz="4" w:space="0"/>
                    <w:right w:val="single" w:color="auto" w:sz="4" w:space="0"/>
                  </w:tcBorders>
                  <w:vAlign w:val="center"/>
                </w:tcPr>
                <w:p w14:paraId="29F0976E">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12</w:t>
                  </w:r>
                </w:p>
              </w:tc>
              <w:tc>
                <w:tcPr>
                  <w:tcW w:w="1134" w:type="dxa"/>
                  <w:tcBorders>
                    <w:top w:val="single" w:color="auto" w:sz="4" w:space="0"/>
                    <w:left w:val="single" w:color="auto" w:sz="4" w:space="0"/>
                    <w:bottom w:val="single" w:color="auto" w:sz="4" w:space="0"/>
                    <w:right w:val="single" w:color="auto" w:sz="4" w:space="0"/>
                  </w:tcBorders>
                  <w:vAlign w:val="center"/>
                </w:tcPr>
                <w:p w14:paraId="0DEE18AD">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烧结过滤器</w:t>
                  </w:r>
                </w:p>
              </w:tc>
              <w:tc>
                <w:tcPr>
                  <w:tcW w:w="1701" w:type="dxa"/>
                  <w:tcBorders>
                    <w:top w:val="single" w:color="auto" w:sz="4" w:space="0"/>
                    <w:left w:val="single" w:color="auto" w:sz="4" w:space="0"/>
                    <w:bottom w:val="single" w:color="auto" w:sz="4" w:space="0"/>
                    <w:right w:val="single" w:color="auto" w:sz="4" w:space="0"/>
                  </w:tcBorders>
                  <w:vAlign w:val="center"/>
                </w:tcPr>
                <w:p w14:paraId="023563CB">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T100/ T200/T300/T400</w:t>
                  </w:r>
                </w:p>
              </w:tc>
              <w:tc>
                <w:tcPr>
                  <w:tcW w:w="850" w:type="dxa"/>
                  <w:tcBorders>
                    <w:top w:val="single" w:color="auto" w:sz="4" w:space="0"/>
                    <w:left w:val="single" w:color="auto" w:sz="4" w:space="0"/>
                    <w:bottom w:val="single" w:color="auto" w:sz="4" w:space="0"/>
                    <w:right w:val="single" w:color="auto" w:sz="4" w:space="0"/>
                  </w:tcBorders>
                  <w:vAlign w:val="center"/>
                </w:tcPr>
                <w:p w14:paraId="55420609">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8套</w:t>
                  </w:r>
                </w:p>
              </w:tc>
              <w:tc>
                <w:tcPr>
                  <w:tcW w:w="1843" w:type="dxa"/>
                  <w:tcBorders>
                    <w:top w:val="single" w:color="auto" w:sz="4" w:space="0"/>
                    <w:left w:val="single" w:color="auto" w:sz="4" w:space="0"/>
                    <w:bottom w:val="single" w:color="auto" w:sz="4" w:space="0"/>
                    <w:right w:val="single" w:color="auto" w:sz="4" w:space="0"/>
                  </w:tcBorders>
                  <w:vAlign w:val="center"/>
                </w:tcPr>
                <w:p w14:paraId="60EE7650">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每年更换1次或按需</w:t>
                  </w:r>
                </w:p>
              </w:tc>
            </w:tr>
          </w:tbl>
          <w:p w14:paraId="59DDFF36">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（6）合同签订后7个工作日内（7个工作日内的任一天开始），供应商负责对站点试维护一个月（维护费用由供应商承担，</w:t>
            </w:r>
            <w:r>
              <w:rPr>
                <w:rFonts w:hint="eastAsia" w:ascii="宋体" w:hAnsi="宋体" w:cs="宋体"/>
                <w:color w:val="auto"/>
                <w:sz w:val="21"/>
                <w:szCs w:val="21"/>
                <w:highlight w:val="none"/>
                <w:lang w:eastAsia="zh-CN"/>
              </w:rPr>
              <w:t>期间</w:t>
            </w:r>
            <w:r>
              <w:rPr>
                <w:rFonts w:hint="eastAsia" w:ascii="宋体" w:hAnsi="宋体" w:cs="宋体"/>
                <w:color w:val="auto"/>
                <w:sz w:val="21"/>
                <w:szCs w:val="21"/>
                <w:highlight w:val="none"/>
              </w:rPr>
              <w:t>产生的仪器耗材配件费用由采购人承担），一个月后由采购人组织进行考核，考核项目均为本项目运营维护工作相关内容。如考核合格，则正式开展运维服务；如考核不合格，则延长试维护时间一个月，并责令整改，一个月后重新考核，考核合格后正式开展运维服务，如考核成绩仍然不合格，按违约处理，并追究其相应的法律责任，采购人有权向监督管理部门汇报并处理。自2024年以来，供应商有实施过“桂林市环境空气自动监测站托管运维服务”项目≥1年，且每个服务站点每季度考核均合格（均≥90分）的，视为试维护期间考核合格，不需重新进行考核，采购人予以支付该试维护一个月的维护费用。</w:t>
            </w:r>
          </w:p>
          <w:p w14:paraId="3494A6F7">
            <w:pPr>
              <w:spacing w:line="350" w:lineRule="exact"/>
              <w:ind w:firstLine="0" w:firstLineChars="0"/>
              <w:rPr>
                <w:rFonts w:ascii="宋体" w:hAnsi="宋体"/>
                <w:b/>
                <w:bCs/>
                <w:color w:val="auto"/>
                <w:sz w:val="21"/>
                <w:szCs w:val="21"/>
                <w:highlight w:val="none"/>
              </w:rPr>
            </w:pPr>
            <w:r>
              <w:rPr>
                <w:rFonts w:hint="eastAsia" w:ascii="宋体" w:hAnsi="宋体" w:cs="宋体"/>
                <w:b/>
                <w:bCs/>
                <w:color w:val="auto"/>
                <w:sz w:val="21"/>
                <w:szCs w:val="21"/>
                <w:highlight w:val="none"/>
              </w:rPr>
              <w:t>3.</w:t>
            </w:r>
            <w:r>
              <w:rPr>
                <w:rFonts w:hint="eastAsia" w:ascii="宋体" w:hAnsi="宋体" w:cs="宋体"/>
                <w:b/>
                <w:bCs/>
                <w:color w:val="auto"/>
                <w:spacing w:val="-8"/>
                <w:sz w:val="21"/>
                <w:szCs w:val="21"/>
                <w:highlight w:val="none"/>
              </w:rPr>
              <w:t>对供应商提供服务的要求</w:t>
            </w:r>
          </w:p>
          <w:p w14:paraId="45D61E3B">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（1）供应商必须明确维护方法、周期、内容及技术保障等。</w:t>
            </w:r>
          </w:p>
          <w:p w14:paraId="4252A8BB">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 xml:space="preserve">（2）供应商在运营维护过程中由于人为原因造成采购人损失的，由供应商负责赔偿。 </w:t>
            </w:r>
          </w:p>
          <w:p w14:paraId="781FEBF7">
            <w:pPr>
              <w:spacing w:line="350" w:lineRule="exact"/>
              <w:ind w:firstLine="0" w:firstLineChars="0"/>
              <w:rPr>
                <w:rFonts w:ascii="宋体" w:hAnsi="宋体"/>
                <w:color w:val="auto"/>
                <w:sz w:val="21"/>
                <w:szCs w:val="21"/>
                <w:highlight w:val="none"/>
              </w:rPr>
            </w:pPr>
            <w:r>
              <w:rPr>
                <w:rFonts w:hint="eastAsia" w:ascii="宋体" w:hAnsi="宋体" w:cs="宋体"/>
                <w:color w:val="auto"/>
                <w:sz w:val="21"/>
                <w:szCs w:val="21"/>
                <w:highlight w:val="none"/>
              </w:rPr>
              <w:t>（3）供应商在运营维护过程中出现的安全事故，供应商应负全部责任。</w:t>
            </w:r>
          </w:p>
          <w:p w14:paraId="7BAC615B">
            <w:pPr>
              <w:spacing w:line="35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（4）供应商在成交后3个月内须向</w:t>
            </w:r>
            <w:r>
              <w:rPr>
                <w:rFonts w:hint="eastAsia" w:ascii="宋体" w:hAnsi="宋体" w:cs="宋体"/>
                <w:color w:val="auto"/>
                <w:sz w:val="21"/>
                <w:szCs w:val="21"/>
                <w:highlight w:val="none"/>
                <w:lang w:val="zh-CN"/>
              </w:rPr>
              <w:t>采购人</w:t>
            </w:r>
            <w:r>
              <w:rPr>
                <w:rFonts w:hint="eastAsia" w:ascii="宋体" w:hAnsi="宋体" w:cs="宋体"/>
                <w:color w:val="auto"/>
                <w:sz w:val="21"/>
                <w:szCs w:val="21"/>
                <w:highlight w:val="none"/>
              </w:rPr>
              <w:t>提供合同要求的所有耗材，耗材必须是所运维系统原厂全新耗材。供应商在运营维护过程中按需向采购人领取相关耗材。</w:t>
            </w:r>
          </w:p>
          <w:p w14:paraId="1F1FDF5D">
            <w:pPr>
              <w:spacing w:line="35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自正式运维起每三个月对供应商开展一次工作考核，依据项目的维护内容就每周、每月、每季的维护质量和相关指标相结合的方式进行评分，满分为100分。按季度对每个站点单独考核，所有站点平均分≥90分为合格。考核合格后，服务期满按照合同要求支付该季度全部的运维服务费。</w:t>
            </w:r>
          </w:p>
          <w:p w14:paraId="24C8BDA4">
            <w:pPr>
              <w:spacing w:line="350" w:lineRule="exact"/>
              <w:ind w:firstLine="0" w:firstLineChars="0"/>
              <w:rPr>
                <w:rFonts w:ascii="宋体" w:hAnsi="宋体"/>
                <w:color w:val="auto"/>
                <w:kern w:val="21"/>
                <w:sz w:val="21"/>
                <w:szCs w:val="21"/>
                <w:highlight w:val="none"/>
              </w:rPr>
            </w:pPr>
            <w:r>
              <w:rPr>
                <w:rFonts w:hint="eastAsia" w:ascii="宋体" w:hAnsi="宋体" w:cs="宋体"/>
                <w:color w:val="auto"/>
                <w:sz w:val="21"/>
                <w:szCs w:val="21"/>
                <w:highlight w:val="none"/>
              </w:rPr>
              <w:t>（6）对桂林市空气预警预报平台市控站数据进行有效性审核，审核期限不超过三天。</w:t>
            </w:r>
          </w:p>
        </w:tc>
        <w:tc>
          <w:tcPr>
            <w:tcW w:w="493" w:type="dxa"/>
            <w:vAlign w:val="center"/>
          </w:tcPr>
          <w:p w14:paraId="442001A9">
            <w:pPr>
              <w:spacing w:line="350" w:lineRule="exact"/>
              <w:ind w:firstLine="0" w:firstLineChars="0"/>
              <w:jc w:val="center"/>
              <w:rPr>
                <w:rFonts w:ascii="宋体" w:hAnsi="宋体"/>
                <w:color w:val="auto"/>
                <w:kern w:val="21"/>
                <w:sz w:val="21"/>
                <w:szCs w:val="21"/>
                <w:highlight w:val="none"/>
              </w:rPr>
            </w:pPr>
            <w:r>
              <w:rPr>
                <w:rFonts w:hint="eastAsia" w:ascii="宋体" w:hAnsi="宋体"/>
                <w:color w:val="auto"/>
                <w:sz w:val="21"/>
                <w:szCs w:val="21"/>
                <w:highlight w:val="none"/>
              </w:rPr>
              <w:t>1</w:t>
            </w:r>
          </w:p>
        </w:tc>
        <w:tc>
          <w:tcPr>
            <w:tcW w:w="425" w:type="dxa"/>
            <w:vAlign w:val="center"/>
          </w:tcPr>
          <w:p w14:paraId="1AEC9C5E">
            <w:pPr>
              <w:spacing w:line="35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项</w:t>
            </w:r>
          </w:p>
        </w:tc>
        <w:tc>
          <w:tcPr>
            <w:tcW w:w="1015" w:type="dxa"/>
            <w:vAlign w:val="center"/>
          </w:tcPr>
          <w:p w14:paraId="0237922D">
            <w:pPr>
              <w:spacing w:line="350" w:lineRule="exact"/>
              <w:ind w:firstLine="0" w:firstLineChars="0"/>
              <w:jc w:val="center"/>
              <w:rPr>
                <w:rFonts w:ascii="宋体" w:hAnsi="宋体"/>
                <w:color w:val="auto"/>
                <w:kern w:val="21"/>
                <w:sz w:val="21"/>
                <w:szCs w:val="21"/>
                <w:highlight w:val="none"/>
              </w:rPr>
            </w:pPr>
            <w:r>
              <w:rPr>
                <w:rFonts w:hint="eastAsia" w:ascii="宋体" w:hAnsi="宋体"/>
                <w:color w:val="auto"/>
                <w:kern w:val="21"/>
                <w:sz w:val="21"/>
                <w:szCs w:val="21"/>
                <w:highlight w:val="none"/>
              </w:rPr>
              <w:t>27</w:t>
            </w:r>
          </w:p>
        </w:tc>
      </w:tr>
      <w:tr w14:paraId="109A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869" w:type="dxa"/>
            <w:gridSpan w:val="6"/>
          </w:tcPr>
          <w:p w14:paraId="06629FD9">
            <w:pPr>
              <w:adjustRightInd w:val="0"/>
              <w:spacing w:line="350" w:lineRule="exact"/>
              <w:ind w:firstLine="0" w:firstLineChars="0"/>
              <w:rPr>
                <w:rFonts w:ascii="宋体" w:hAnsi="宋体"/>
                <w:b/>
                <w:color w:val="auto"/>
                <w:kern w:val="0"/>
                <w:sz w:val="21"/>
                <w:szCs w:val="21"/>
                <w:highlight w:val="none"/>
              </w:rPr>
            </w:pPr>
            <w:r>
              <w:rPr>
                <w:rFonts w:hint="eastAsia" w:ascii="宋体" w:hAnsi="宋体"/>
                <w:b/>
                <w:color w:val="auto"/>
                <w:kern w:val="0"/>
                <w:sz w:val="21"/>
                <w:szCs w:val="21"/>
                <w:highlight w:val="none"/>
              </w:rPr>
              <w:t>▲二、</w:t>
            </w:r>
            <w:r>
              <w:rPr>
                <w:rFonts w:hint="eastAsia" w:ascii="宋体" w:hAnsi="宋体"/>
                <w:b/>
                <w:color w:val="auto"/>
                <w:sz w:val="21"/>
                <w:szCs w:val="21"/>
                <w:highlight w:val="none"/>
              </w:rPr>
              <w:t>商务要求</w:t>
            </w:r>
          </w:p>
        </w:tc>
      </w:tr>
      <w:tr w14:paraId="1DE5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869" w:type="dxa"/>
            <w:gridSpan w:val="6"/>
          </w:tcPr>
          <w:p w14:paraId="24C1B636">
            <w:pPr>
              <w:spacing w:line="330" w:lineRule="exact"/>
              <w:ind w:firstLine="0" w:firstLineChars="0"/>
              <w:rPr>
                <w:rFonts w:ascii="宋体" w:hAnsi="宋体"/>
                <w:b/>
                <w:color w:val="auto"/>
                <w:sz w:val="21"/>
                <w:szCs w:val="21"/>
                <w:highlight w:val="none"/>
              </w:rPr>
            </w:pPr>
            <w:r>
              <w:rPr>
                <w:rFonts w:hint="eastAsia" w:ascii="宋体" w:hAnsi="宋体"/>
                <w:b/>
                <w:color w:val="auto"/>
                <w:sz w:val="21"/>
                <w:szCs w:val="21"/>
                <w:highlight w:val="none"/>
              </w:rPr>
              <w:t>（一）服务期限及服务地点：</w:t>
            </w:r>
          </w:p>
          <w:p w14:paraId="3677E9EB">
            <w:pPr>
              <w:spacing w:line="330" w:lineRule="exact"/>
              <w:ind w:firstLine="0" w:firstLineChars="0"/>
              <w:rPr>
                <w:rFonts w:ascii="宋体" w:hAnsi="宋体"/>
                <w:b/>
                <w:color w:val="auto"/>
                <w:sz w:val="21"/>
                <w:szCs w:val="21"/>
                <w:highlight w:val="none"/>
              </w:rPr>
            </w:pPr>
            <w:r>
              <w:rPr>
                <w:rFonts w:hint="eastAsia" w:ascii="宋体" w:hAnsi="宋体"/>
                <w:color w:val="auto"/>
                <w:sz w:val="21"/>
                <w:szCs w:val="21"/>
                <w:highlight w:val="none"/>
              </w:rPr>
              <w:t>1.服务期限：1年，即：2026年1月1日至2026年12月31日</w:t>
            </w:r>
            <w:r>
              <w:rPr>
                <w:rFonts w:hint="eastAsia" w:ascii="宋体" w:hAnsi="宋体"/>
                <w:bCs/>
                <w:color w:val="auto"/>
                <w:sz w:val="21"/>
                <w:szCs w:val="21"/>
                <w:highlight w:val="none"/>
              </w:rPr>
              <w:t>。【</w:t>
            </w:r>
            <w:r>
              <w:rPr>
                <w:rFonts w:hint="eastAsia" w:ascii="宋体" w:hAnsi="宋体"/>
                <w:color w:val="auto"/>
                <w:sz w:val="21"/>
                <w:szCs w:val="21"/>
                <w:highlight w:val="none"/>
              </w:rPr>
              <w:t>上一年度合同期满至2025年12月31日，考虑到水站运行维护的连续性，2026年1月1日至本项目成交供应商正式进场开展工作期间的运维工作仍由上一年度成交单位负责，其间所发生费用作为本项目不可变更费用，对于2026年1月1日至本项目成交供应商接管运维工作期间的费用，本项目成交供应商须在进场开展工作服务后15日内依据采购人审核费用，按照本项目成交价比例支付给原服务单位。支付标准：[本项目成交金额÷365]×（2026年1月1日到接管日前的天数）。如本次项目成交供应商为原服务单位，则本项目合同开始日期为2026年1月1日至2026年12月31日】</w:t>
            </w:r>
          </w:p>
          <w:p w14:paraId="3155ADF8">
            <w:pPr>
              <w:spacing w:line="330" w:lineRule="exact"/>
              <w:ind w:left="120" w:leftChars="50" w:firstLine="0" w:firstLineChars="0"/>
              <w:rPr>
                <w:rFonts w:ascii="宋体" w:hAnsi="宋体"/>
                <w:b/>
                <w:color w:val="auto"/>
                <w:spacing w:val="-8"/>
                <w:sz w:val="21"/>
                <w:szCs w:val="21"/>
                <w:highlight w:val="none"/>
              </w:rPr>
            </w:pPr>
            <w:r>
              <w:rPr>
                <w:rFonts w:hint="eastAsia" w:ascii="宋体" w:hAnsi="宋体"/>
                <w:color w:val="auto"/>
                <w:sz w:val="21"/>
                <w:szCs w:val="21"/>
                <w:highlight w:val="none"/>
              </w:rPr>
              <w:t>2.服务地点：桂林市采购人指定地点。</w:t>
            </w:r>
          </w:p>
          <w:p w14:paraId="3EFFD584">
            <w:pPr>
              <w:spacing w:line="330" w:lineRule="exact"/>
              <w:ind w:firstLine="0" w:firstLineChars="0"/>
              <w:rPr>
                <w:rFonts w:ascii="宋体" w:hAnsi="宋体"/>
                <w:b/>
                <w:color w:val="auto"/>
                <w:spacing w:val="-8"/>
                <w:sz w:val="21"/>
                <w:szCs w:val="21"/>
                <w:highlight w:val="none"/>
              </w:rPr>
            </w:pPr>
            <w:r>
              <w:rPr>
                <w:rFonts w:hint="eastAsia" w:ascii="宋体" w:hAnsi="宋体"/>
                <w:b/>
                <w:color w:val="auto"/>
                <w:sz w:val="21"/>
                <w:szCs w:val="21"/>
                <w:highlight w:val="none"/>
              </w:rPr>
              <w:t>（二）验收要求及标准：</w:t>
            </w:r>
            <w:r>
              <w:rPr>
                <w:rFonts w:hint="eastAsia" w:ascii="宋体" w:hAnsi="宋体"/>
                <w:color w:val="auto"/>
                <w:sz w:val="21"/>
                <w:szCs w:val="21"/>
                <w:highlight w:val="none"/>
              </w:rPr>
              <w:t>依照国家相关法律法规及行业规定，根据竞争性磋商文件要求及响应文件承诺进行验收。</w:t>
            </w:r>
          </w:p>
          <w:p w14:paraId="77AEFB4C">
            <w:pPr>
              <w:spacing w:line="330" w:lineRule="exact"/>
              <w:ind w:firstLine="0" w:firstLineChars="0"/>
              <w:rPr>
                <w:rFonts w:ascii="宋体" w:hAnsi="宋体"/>
                <w:color w:val="auto"/>
                <w:sz w:val="21"/>
                <w:szCs w:val="21"/>
                <w:highlight w:val="none"/>
              </w:rPr>
            </w:pPr>
            <w:r>
              <w:rPr>
                <w:rFonts w:hint="eastAsia" w:ascii="宋体" w:hAnsi="宋体"/>
                <w:b/>
                <w:color w:val="auto"/>
                <w:spacing w:val="-8"/>
                <w:sz w:val="21"/>
                <w:szCs w:val="21"/>
                <w:highlight w:val="none"/>
              </w:rPr>
              <w:t>（三）</w:t>
            </w:r>
            <w:r>
              <w:rPr>
                <w:rFonts w:hint="eastAsia" w:ascii="宋体" w:hAnsi="宋体"/>
                <w:b/>
                <w:color w:val="auto"/>
                <w:sz w:val="21"/>
                <w:szCs w:val="21"/>
                <w:highlight w:val="none"/>
              </w:rPr>
              <w:t>付款方式</w:t>
            </w:r>
            <w:r>
              <w:rPr>
                <w:rFonts w:hint="eastAsia" w:ascii="宋体" w:hAnsi="宋体"/>
                <w:color w:val="auto"/>
                <w:sz w:val="21"/>
                <w:szCs w:val="21"/>
                <w:highlight w:val="none"/>
              </w:rPr>
              <w:t>：</w:t>
            </w:r>
          </w:p>
          <w:p w14:paraId="0EEB845B">
            <w:pPr>
              <w:spacing w:line="33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4"/>
                <w:highlight w:val="none"/>
              </w:rPr>
              <w:t>本项目合同款分两次支付，签订合同且供应商达到合同实施条件（指成交供应商在承诺投入本项目实施的人员全部到位）并报采购人备案后，在财政资金到账的情况下，10个工作日内支付合同款的50%，第三季度结束后支付合同款的50%（无息，50%合同款=合同金额的50%减去一年考核扣款）</w:t>
            </w:r>
            <w:r>
              <w:rPr>
                <w:rFonts w:hint="eastAsia" w:ascii="宋体" w:hAnsi="宋体"/>
                <w:color w:val="auto"/>
                <w:sz w:val="21"/>
                <w:szCs w:val="21"/>
                <w:highlight w:val="none"/>
              </w:rPr>
              <w:t>。</w:t>
            </w:r>
          </w:p>
          <w:p w14:paraId="7C414057">
            <w:pPr>
              <w:spacing w:line="33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2.在采购人付款前，成交供应商应向采购人提供相应等额有效、合法的发票，否则采购人有权不予付款，直至成交供应商提供符合约定的发票为止。</w:t>
            </w:r>
          </w:p>
          <w:p w14:paraId="6E4E4D07">
            <w:pPr>
              <w:spacing w:line="330" w:lineRule="exact"/>
              <w:ind w:firstLine="0" w:firstLineChars="0"/>
              <w:rPr>
                <w:rFonts w:ascii="宋体" w:hAnsi="宋体"/>
                <w:b/>
                <w:color w:val="auto"/>
                <w:sz w:val="21"/>
                <w:szCs w:val="21"/>
                <w:highlight w:val="none"/>
              </w:rPr>
            </w:pPr>
            <w:r>
              <w:rPr>
                <w:rFonts w:hint="eastAsia" w:ascii="宋体" w:hAnsi="宋体"/>
                <w:b/>
                <w:color w:val="auto"/>
                <w:sz w:val="21"/>
                <w:szCs w:val="21"/>
                <w:highlight w:val="none"/>
              </w:rPr>
              <w:t>（四）托管运维及管理等各项费用</w:t>
            </w:r>
          </w:p>
          <w:p w14:paraId="4CEDF676">
            <w:pPr>
              <w:spacing w:line="33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1.本标项运营期间所需水、电、通讯所需费用均含在磋商报价中，成交供应商须负责运营维护及管理维护期间水、电、通讯等故障维修及费用缴存，保证其畅通，由采购人协助办理相关手续；站点站房基础设施及用地租赁费用由成交供应商承担，采购人负责协助办理相关租赁手续。</w:t>
            </w:r>
          </w:p>
          <w:p w14:paraId="6014DC84">
            <w:pPr>
              <w:spacing w:line="33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2.本标项仪器、设备故障维修按照最有利于系统正常运行原则，成交供应商负责仪器维修；对造成故障的零配件、部件需要更换的，所涉及配件费用含在磋商报价中。系统耗材更换的项目严格按规范或仪器使用说明书进行，频次根据耗材的实际使用情况更新，但不得低于《国家环境空气质量监测城市自动监测站运行管理暂行规定》及仪器使用说明书规定的频次。</w:t>
            </w:r>
          </w:p>
          <w:p w14:paraId="1B5C9104">
            <w:pPr>
              <w:spacing w:line="33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3.本标项运营合同期间国家或自治区出台新的维护、质控标准规范时，按照新的标准规范要求执行。如国家或自治区出台新技术规范，要求增加监测设备或做系统升级（含数据采集软件、传输、接收系统等）的，由采购人提供升级所需设备和软件，成交供应商负责升级。</w:t>
            </w:r>
          </w:p>
          <w:p w14:paraId="493410DB">
            <w:pPr>
              <w:spacing w:line="33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磋商报价应包括本次采购范围内运维服务的价款、完成本项目服务的相关费用（包含技术服务费、耗材、拟投入本项目的设备（备机）、人员成本、劳务费、资料收集、研究、指导、交通、通讯、差旅费、管理费、利润、税费、验收以及合同明示或暗示的所有责任、义务、风险及运营期间所需水、电、通讯所需费用）等费用总和，供应商综合考虑在报价中。该价格不因供应商在计算报价中的失误、漏项、多项而作任何调整；供应商的报价在合同实施期间应保持不变。</w:t>
            </w:r>
          </w:p>
          <w:p w14:paraId="6D77898E">
            <w:pPr>
              <w:spacing w:line="33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（五）</w:t>
            </w:r>
            <w:r>
              <w:rPr>
                <w:rFonts w:hint="eastAsia" w:ascii="宋体" w:hAnsi="宋体"/>
                <w:color w:val="auto"/>
                <w:sz w:val="21"/>
                <w:szCs w:val="21"/>
                <w:highlight w:val="none"/>
              </w:rPr>
              <w:t>供应商应按采购要求定期提供每月完整的运维记录电子版给采购人。</w:t>
            </w:r>
          </w:p>
        </w:tc>
      </w:tr>
      <w:tr w14:paraId="3E56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69" w:type="dxa"/>
            <w:gridSpan w:val="6"/>
          </w:tcPr>
          <w:p w14:paraId="77D4EB5E">
            <w:pPr>
              <w:adjustRightInd w:val="0"/>
              <w:spacing w:line="330" w:lineRule="exact"/>
              <w:ind w:firstLine="0" w:firstLineChars="0"/>
              <w:rPr>
                <w:rFonts w:ascii="宋体" w:hAnsi="宋体"/>
                <w:b/>
                <w:color w:val="auto"/>
                <w:kern w:val="0"/>
                <w:sz w:val="21"/>
                <w:szCs w:val="21"/>
                <w:highlight w:val="none"/>
              </w:rPr>
            </w:pPr>
            <w:r>
              <w:rPr>
                <w:rFonts w:hint="eastAsia" w:ascii="宋体" w:hAnsi="宋体"/>
                <w:b/>
                <w:bCs/>
                <w:color w:val="auto"/>
                <w:sz w:val="21"/>
                <w:szCs w:val="21"/>
                <w:highlight w:val="none"/>
              </w:rPr>
              <w:t>三、其他要求</w:t>
            </w:r>
          </w:p>
        </w:tc>
      </w:tr>
      <w:tr w14:paraId="005D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69" w:type="dxa"/>
            <w:gridSpan w:val="6"/>
          </w:tcPr>
          <w:p w14:paraId="144B81C1">
            <w:pPr>
              <w:spacing w:line="330" w:lineRule="exact"/>
              <w:ind w:firstLine="97" w:firstLineChars="46"/>
              <w:rPr>
                <w:rFonts w:ascii="宋体" w:hAnsi="宋体"/>
                <w:b/>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pacing w:val="-8"/>
                <w:sz w:val="21"/>
                <w:szCs w:val="21"/>
                <w:highlight w:val="none"/>
              </w:rPr>
              <w:t>供应商于响应文件中必须单列出并提供针对以下内容的承诺函</w:t>
            </w:r>
            <w:r>
              <w:rPr>
                <w:rFonts w:hint="eastAsia" w:ascii="宋体" w:hAnsi="宋体"/>
                <w:b/>
                <w:color w:val="auto"/>
                <w:sz w:val="21"/>
                <w:szCs w:val="21"/>
                <w:highlight w:val="none"/>
              </w:rPr>
              <w:t>（并加盖供应商电子签章），否则，响应文件无效：</w:t>
            </w:r>
          </w:p>
          <w:p w14:paraId="2FBD8FB2">
            <w:pPr>
              <w:spacing w:line="330" w:lineRule="exact"/>
              <w:ind w:firstLine="0" w:firstLineChars="0"/>
              <w:rPr>
                <w:rFonts w:ascii="宋体" w:hAnsi="宋体"/>
                <w:b/>
                <w:color w:val="auto"/>
                <w:sz w:val="21"/>
                <w:szCs w:val="21"/>
                <w:highlight w:val="none"/>
              </w:rPr>
            </w:pPr>
            <w:r>
              <w:rPr>
                <w:rFonts w:hint="eastAsia" w:ascii="宋体" w:hAnsi="宋体"/>
                <w:b/>
                <w:color w:val="auto"/>
                <w:sz w:val="21"/>
                <w:szCs w:val="21"/>
                <w:highlight w:val="none"/>
              </w:rPr>
              <w:t>（1）承诺配备的专用巡检汽车（至少配备1辆）专门用于本项目</w:t>
            </w:r>
            <w:r>
              <w:rPr>
                <w:rFonts w:hint="eastAsia" w:ascii="宋体" w:hAnsi="宋体" w:cs="宋体"/>
                <w:b/>
                <w:color w:val="auto"/>
                <w:sz w:val="21"/>
                <w:szCs w:val="21"/>
                <w:highlight w:val="none"/>
              </w:rPr>
              <w:t>巡检、运营维护</w:t>
            </w:r>
            <w:r>
              <w:rPr>
                <w:rFonts w:hint="eastAsia" w:ascii="宋体" w:hAnsi="宋体"/>
                <w:b/>
                <w:color w:val="auto"/>
                <w:sz w:val="21"/>
                <w:szCs w:val="21"/>
                <w:highlight w:val="none"/>
              </w:rPr>
              <w:t>。</w:t>
            </w:r>
          </w:p>
          <w:p w14:paraId="163E7D8D">
            <w:pPr>
              <w:spacing w:line="330" w:lineRule="exact"/>
              <w:ind w:firstLine="0" w:firstLineChars="0"/>
              <w:rPr>
                <w:rFonts w:ascii="宋体" w:hAnsi="宋体"/>
                <w:b/>
                <w:color w:val="auto"/>
                <w:sz w:val="21"/>
                <w:szCs w:val="21"/>
                <w:highlight w:val="none"/>
              </w:rPr>
            </w:pPr>
            <w:r>
              <w:rPr>
                <w:rFonts w:hint="eastAsia" w:ascii="宋体" w:hAnsi="宋体"/>
                <w:b/>
                <w:color w:val="auto"/>
                <w:sz w:val="21"/>
                <w:szCs w:val="21"/>
                <w:highlight w:val="none"/>
              </w:rPr>
              <w:t>（2）承诺配备的运维人员通过采购人组织的空气自动监测领域持证上岗考核，并保证聘用的运维人员在成交后三个月内通过考核</w:t>
            </w:r>
            <w:r>
              <w:rPr>
                <w:rFonts w:hint="eastAsia" w:ascii="宋体" w:hAnsi="宋体"/>
                <w:b/>
                <w:bCs/>
                <w:color w:val="auto"/>
                <w:sz w:val="21"/>
                <w:szCs w:val="21"/>
                <w:highlight w:val="none"/>
              </w:rPr>
              <w:t>。</w:t>
            </w:r>
            <w:r>
              <w:rPr>
                <w:rFonts w:hint="eastAsia" w:ascii="宋体" w:hAnsi="宋体"/>
                <w:b/>
                <w:color w:val="auto"/>
                <w:sz w:val="21"/>
                <w:szCs w:val="21"/>
                <w:highlight w:val="none"/>
              </w:rPr>
              <w:t>考核不合格者不得单独进行运维工作，如有两人及两人以上考核不合格，按比例扣除一个月运维费用并补考，考试合格后方可上岗。</w:t>
            </w:r>
          </w:p>
          <w:p w14:paraId="7663548C">
            <w:pPr>
              <w:snapToGrid w:val="0"/>
              <w:spacing w:line="330" w:lineRule="exact"/>
              <w:ind w:firstLine="0" w:firstLineChars="0"/>
              <w:rPr>
                <w:rFonts w:ascii="宋体" w:hAnsi="宋体"/>
                <w:b/>
                <w:color w:val="auto"/>
                <w:sz w:val="21"/>
                <w:szCs w:val="21"/>
                <w:highlight w:val="none"/>
              </w:rPr>
            </w:pPr>
            <w:r>
              <w:rPr>
                <w:rFonts w:hint="eastAsia" w:ascii="宋体" w:hAnsi="宋体"/>
                <w:b/>
                <w:color w:val="auto"/>
                <w:sz w:val="21"/>
                <w:szCs w:val="21"/>
                <w:highlight w:val="none"/>
              </w:rPr>
              <w:t>（3）承诺成交后3个月内配齐本需求中所涉及设备，包括空气自动监测子站所有监测仪器、辅助设备、监测站房设施及服务器的耗材和备件。耗材按照至少半年消耗量配置，</w:t>
            </w:r>
            <w:r>
              <w:rPr>
                <w:rFonts w:hint="eastAsia" w:ascii="宋体" w:hAnsi="宋体" w:cs="宋体"/>
                <w:b/>
                <w:color w:val="auto"/>
                <w:sz w:val="21"/>
                <w:szCs w:val="21"/>
                <w:highlight w:val="none"/>
              </w:rPr>
              <w:t>备件按照7个月使用量配置</w:t>
            </w:r>
            <w:r>
              <w:rPr>
                <w:rFonts w:hint="eastAsia" w:ascii="宋体" w:hAnsi="宋体"/>
                <w:b/>
                <w:color w:val="auto"/>
                <w:sz w:val="21"/>
                <w:szCs w:val="21"/>
                <w:highlight w:val="none"/>
              </w:rPr>
              <w:t>。</w:t>
            </w:r>
          </w:p>
          <w:p w14:paraId="5BAF8641">
            <w:pPr>
              <w:snapToGrid w:val="0"/>
              <w:spacing w:line="330" w:lineRule="exact"/>
              <w:ind w:firstLine="0" w:firstLineChars="0"/>
              <w:rPr>
                <w:rFonts w:ascii="宋体" w:hAnsi="宋体"/>
                <w:b/>
                <w:color w:val="auto"/>
                <w:sz w:val="21"/>
                <w:szCs w:val="21"/>
                <w:highlight w:val="none"/>
              </w:rPr>
            </w:pPr>
            <w:r>
              <w:rPr>
                <w:rFonts w:hint="eastAsia" w:ascii="宋体" w:hAnsi="宋体"/>
                <w:b/>
                <w:color w:val="auto"/>
                <w:sz w:val="21"/>
                <w:szCs w:val="21"/>
                <w:highlight w:val="none"/>
              </w:rPr>
              <w:t>2.本分标政府采购预算金额（人民币）</w:t>
            </w:r>
            <w:r>
              <w:rPr>
                <w:rFonts w:hint="eastAsia" w:ascii="宋体" w:hAnsi="宋体"/>
                <w:b/>
                <w:color w:val="auto"/>
                <w:sz w:val="21"/>
                <w:szCs w:val="21"/>
                <w:highlight w:val="none"/>
                <w:lang w:val="en-US" w:eastAsia="zh-CN"/>
              </w:rPr>
              <w:t>:</w:t>
            </w:r>
            <w:r>
              <w:rPr>
                <w:rFonts w:hint="eastAsia" w:ascii="宋体" w:hAnsi="宋体"/>
                <w:b/>
                <w:color w:val="auto"/>
                <w:sz w:val="21"/>
                <w:szCs w:val="21"/>
                <w:highlight w:val="none"/>
              </w:rPr>
              <w:t>贰拾柒万元整（¥270000.00），供应商磋商报价超过政府采购预算金额的，响应文件作无效处理。</w:t>
            </w:r>
          </w:p>
          <w:p w14:paraId="77BE4E24">
            <w:pPr>
              <w:snapToGrid w:val="0"/>
              <w:spacing w:line="330" w:lineRule="exact"/>
              <w:ind w:firstLine="0" w:firstLineChars="0"/>
              <w:rPr>
                <w:rFonts w:ascii="宋体" w:hAnsi="宋体"/>
                <w:b/>
                <w:color w:val="auto"/>
                <w:sz w:val="21"/>
                <w:szCs w:val="21"/>
                <w:highlight w:val="none"/>
              </w:rPr>
            </w:pPr>
            <w:r>
              <w:rPr>
                <w:rFonts w:hint="eastAsia" w:ascii="宋体" w:hAnsi="宋体"/>
                <w:bCs/>
                <w:color w:val="auto"/>
                <w:sz w:val="21"/>
                <w:szCs w:val="21"/>
                <w:highlight w:val="none"/>
              </w:rPr>
              <w:t>3.供应商于响应文件中提供针对本分标的项目实施方案。</w:t>
            </w:r>
            <w:r>
              <w:rPr>
                <w:rFonts w:hint="eastAsia" w:ascii="宋体" w:hAnsi="宋体"/>
                <w:b/>
                <w:color w:val="auto"/>
                <w:sz w:val="21"/>
                <w:szCs w:val="21"/>
                <w:highlight w:val="none"/>
              </w:rPr>
              <w:t>具体评审详见“第四章 评审办法”。</w:t>
            </w:r>
          </w:p>
          <w:p w14:paraId="5AC8B5CF">
            <w:pPr>
              <w:snapToGrid w:val="0"/>
              <w:spacing w:line="330" w:lineRule="exact"/>
              <w:ind w:firstLine="0" w:firstLineChars="0"/>
              <w:rPr>
                <w:rFonts w:ascii="宋体" w:hAnsi="宋体"/>
                <w:b/>
                <w:color w:val="auto"/>
                <w:sz w:val="21"/>
                <w:szCs w:val="21"/>
                <w:highlight w:val="none"/>
              </w:rPr>
            </w:pPr>
            <w:r>
              <w:rPr>
                <w:rFonts w:hint="eastAsia" w:ascii="宋体" w:hAnsi="宋体"/>
                <w:bCs/>
                <w:color w:val="auto"/>
                <w:sz w:val="21"/>
                <w:szCs w:val="21"/>
                <w:highlight w:val="none"/>
              </w:rPr>
              <w:t>4.供应商于响应文件中提供针对本分标的服务方案。</w:t>
            </w:r>
            <w:r>
              <w:rPr>
                <w:rFonts w:hint="eastAsia" w:ascii="宋体" w:hAnsi="宋体"/>
                <w:b/>
                <w:color w:val="auto"/>
                <w:sz w:val="21"/>
                <w:szCs w:val="21"/>
                <w:highlight w:val="none"/>
              </w:rPr>
              <w:t>具体评审详见“第四章 评审办法”。</w:t>
            </w:r>
          </w:p>
          <w:p w14:paraId="60F3B46B">
            <w:pPr>
              <w:snapToGrid w:val="0"/>
              <w:spacing w:line="330" w:lineRule="exact"/>
              <w:ind w:firstLine="0" w:firstLineChars="0"/>
              <w:rPr>
                <w:rFonts w:ascii="宋体" w:hAnsi="宋体"/>
                <w:b/>
                <w:color w:val="auto"/>
                <w:sz w:val="21"/>
                <w:szCs w:val="21"/>
                <w:highlight w:val="none"/>
              </w:rPr>
            </w:pPr>
            <w:r>
              <w:rPr>
                <w:rFonts w:hint="eastAsia" w:ascii="宋体" w:hAnsi="宋体"/>
                <w:bCs/>
                <w:color w:val="auto"/>
                <w:sz w:val="21"/>
                <w:szCs w:val="21"/>
                <w:highlight w:val="none"/>
              </w:rPr>
              <w:t>5.供应商根据自身情况，可于响应文件中提供具有本分标履约能力的证明材料。</w:t>
            </w:r>
            <w:r>
              <w:rPr>
                <w:rFonts w:hint="eastAsia" w:ascii="宋体" w:hAnsi="宋体"/>
                <w:b/>
                <w:color w:val="auto"/>
                <w:sz w:val="21"/>
                <w:szCs w:val="21"/>
                <w:highlight w:val="none"/>
              </w:rPr>
              <w:t>具体评审详见“第四章 评审办法”。</w:t>
            </w:r>
          </w:p>
        </w:tc>
      </w:tr>
    </w:tbl>
    <w:p w14:paraId="168B18FD">
      <w:pPr>
        <w:spacing w:line="240" w:lineRule="auto"/>
        <w:ind w:firstLine="0" w:firstLineChars="0"/>
        <w:rPr>
          <w:rFonts w:ascii="Calibri" w:hAnsi="Calibri"/>
          <w:color w:val="auto"/>
          <w:sz w:val="21"/>
          <w:highlight w:val="none"/>
        </w:rPr>
      </w:pPr>
    </w:p>
    <w:p w14:paraId="4004DEE7">
      <w:pPr>
        <w:pStyle w:val="44"/>
        <w:ind w:left="480"/>
        <w:rPr>
          <w:color w:val="auto"/>
          <w:highlight w:val="none"/>
        </w:rPr>
        <w:sectPr>
          <w:footerReference r:id="rId14" w:type="first"/>
          <w:headerReference r:id="rId11" w:type="default"/>
          <w:footerReference r:id="rId12" w:type="default"/>
          <w:footerReference r:id="rId13" w:type="even"/>
          <w:pgSz w:w="11906" w:h="16838"/>
          <w:pgMar w:top="1440" w:right="1304" w:bottom="1440" w:left="1304" w:header="720" w:footer="720" w:gutter="0"/>
          <w:cols w:space="720" w:num="1"/>
          <w:titlePg/>
          <w:docGrid w:linePitch="331" w:charSpace="0"/>
        </w:sectPr>
      </w:pPr>
    </w:p>
    <w:p w14:paraId="365DC309">
      <w:pPr>
        <w:adjustRightInd w:val="0"/>
        <w:snapToGrid w:val="0"/>
        <w:spacing w:line="400" w:lineRule="exact"/>
        <w:ind w:firstLine="3241" w:firstLineChars="1009"/>
        <w:rPr>
          <w:rFonts w:ascii="宋体" w:hAnsi="宋体" w:cs="宋体"/>
          <w:b/>
          <w:color w:val="auto"/>
          <w:kern w:val="0"/>
          <w:sz w:val="32"/>
          <w:szCs w:val="32"/>
          <w:highlight w:val="none"/>
        </w:rPr>
      </w:pPr>
      <w:r>
        <w:rPr>
          <w:rFonts w:hint="eastAsia" w:ascii="宋体" w:hAnsi="宋体" w:cs="宋体"/>
          <w:b/>
          <w:color w:val="auto"/>
          <w:kern w:val="0"/>
          <w:sz w:val="32"/>
          <w:highlight w:val="none"/>
        </w:rPr>
        <w:t xml:space="preserve">第四章  </w:t>
      </w:r>
      <w:r>
        <w:rPr>
          <w:rFonts w:hint="eastAsia" w:ascii="宋体" w:hAnsi="宋体" w:cs="宋体"/>
          <w:b/>
          <w:color w:val="auto"/>
          <w:kern w:val="0"/>
          <w:sz w:val="32"/>
          <w:szCs w:val="32"/>
          <w:highlight w:val="none"/>
        </w:rPr>
        <w:t>评审办法</w:t>
      </w:r>
    </w:p>
    <w:p w14:paraId="46100FA7">
      <w:pPr>
        <w:spacing w:line="360" w:lineRule="exact"/>
        <w:ind w:firstLine="413" w:firstLineChars="196"/>
        <w:rPr>
          <w:rFonts w:ascii="宋体" w:hAnsi="宋体" w:cs="宋体"/>
          <w:b/>
          <w:bCs/>
          <w:color w:val="auto"/>
          <w:kern w:val="0"/>
          <w:sz w:val="21"/>
          <w:szCs w:val="20"/>
          <w:highlight w:val="none"/>
        </w:rPr>
      </w:pPr>
      <w:r>
        <w:rPr>
          <w:rFonts w:hint="eastAsia" w:ascii="宋体" w:hAnsi="宋体" w:cs="宋体"/>
          <w:b/>
          <w:bCs/>
          <w:color w:val="auto"/>
          <w:kern w:val="0"/>
          <w:sz w:val="21"/>
          <w:szCs w:val="20"/>
          <w:highlight w:val="none"/>
        </w:rPr>
        <w:t>一、评审依据及方式</w:t>
      </w:r>
    </w:p>
    <w:p w14:paraId="71355C45">
      <w:pPr>
        <w:adjustRightInd w:val="0"/>
        <w:snapToGrid w:val="0"/>
        <w:spacing w:line="36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1.评审依据：磋商小组以竞争性磋商文件和响应文件为评审依据，对供应商的报价、项目实施方案、履约能力、服务方案等方面内容按百分制打分。</w:t>
      </w:r>
    </w:p>
    <w:p w14:paraId="2721C4C5">
      <w:pPr>
        <w:adjustRightInd w:val="0"/>
        <w:snapToGrid w:val="0"/>
        <w:spacing w:line="36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2.评审方式：以封闭方式进行评审。</w:t>
      </w:r>
    </w:p>
    <w:p w14:paraId="55867D3A">
      <w:pPr>
        <w:adjustRightInd w:val="0"/>
        <w:snapToGrid w:val="0"/>
        <w:spacing w:line="360" w:lineRule="exact"/>
        <w:ind w:left="240" w:leftChars="100" w:firstLine="210" w:firstLineChars="100"/>
        <w:rPr>
          <w:rFonts w:ascii="宋体" w:hAnsi="宋体" w:cs="宋体"/>
          <w:color w:val="auto"/>
          <w:kern w:val="0"/>
          <w:sz w:val="21"/>
          <w:szCs w:val="20"/>
          <w:highlight w:val="none"/>
        </w:rPr>
      </w:pPr>
      <w:r>
        <w:rPr>
          <w:rFonts w:hint="eastAsia" w:ascii="宋体" w:hAnsi="宋体" w:cs="宋体"/>
          <w:color w:val="auto"/>
          <w:kern w:val="0"/>
          <w:sz w:val="21"/>
          <w:szCs w:val="20"/>
          <w:highlight w:val="none"/>
        </w:rPr>
        <w:t>3.根据财库〔2012〕69号文规定，采购人和采购代理机构，磋商小组成员要严格遵守政府采购相关法律制度，依法履行各自职责，公正、客观、审慎地组织和参与评审工作。</w:t>
      </w:r>
    </w:p>
    <w:p w14:paraId="237EF4BC">
      <w:pPr>
        <w:adjustRightInd w:val="0"/>
        <w:snapToGrid w:val="0"/>
        <w:spacing w:line="360" w:lineRule="exact"/>
        <w:ind w:firstLine="422"/>
        <w:rPr>
          <w:rFonts w:ascii="宋体" w:hAnsi="宋体" w:cs="宋体"/>
          <w:b/>
          <w:bCs/>
          <w:color w:val="auto"/>
          <w:kern w:val="0"/>
          <w:sz w:val="21"/>
          <w:szCs w:val="20"/>
          <w:highlight w:val="none"/>
        </w:rPr>
      </w:pPr>
    </w:p>
    <w:p w14:paraId="587FA1E5">
      <w:pPr>
        <w:adjustRightInd w:val="0"/>
        <w:snapToGrid w:val="0"/>
        <w:spacing w:line="360" w:lineRule="exact"/>
        <w:ind w:firstLine="422"/>
        <w:rPr>
          <w:rFonts w:ascii="宋体" w:hAnsi="宋体" w:cs="宋体"/>
          <w:b/>
          <w:bCs/>
          <w:color w:val="auto"/>
          <w:kern w:val="0"/>
          <w:sz w:val="21"/>
          <w:szCs w:val="20"/>
          <w:highlight w:val="none"/>
        </w:rPr>
      </w:pPr>
      <w:r>
        <w:rPr>
          <w:rFonts w:hint="eastAsia" w:ascii="宋体" w:hAnsi="宋体" w:cs="宋体"/>
          <w:b/>
          <w:bCs/>
          <w:color w:val="auto"/>
          <w:kern w:val="0"/>
          <w:sz w:val="21"/>
          <w:szCs w:val="20"/>
          <w:highlight w:val="none"/>
        </w:rPr>
        <w:t>二、评审办法</w:t>
      </w:r>
    </w:p>
    <w:p w14:paraId="3372A09D">
      <w:pPr>
        <w:adjustRightInd w:val="0"/>
        <w:snapToGrid w:val="0"/>
        <w:spacing w:line="360" w:lineRule="exact"/>
        <w:ind w:firstLine="420"/>
        <w:rPr>
          <w:rFonts w:ascii="宋体" w:hAnsi="宋体" w:cs="宋体"/>
          <w:bCs/>
          <w:color w:val="auto"/>
          <w:kern w:val="0"/>
          <w:sz w:val="21"/>
          <w:szCs w:val="20"/>
          <w:highlight w:val="none"/>
        </w:rPr>
      </w:pPr>
      <w:r>
        <w:rPr>
          <w:rFonts w:hint="eastAsia" w:ascii="宋体" w:hAnsi="宋体" w:cs="宋体"/>
          <w:bCs/>
          <w:color w:val="auto"/>
          <w:kern w:val="0"/>
          <w:sz w:val="21"/>
          <w:szCs w:val="20"/>
          <w:highlight w:val="none"/>
        </w:rPr>
        <w:t>（一）对进入详评的，采用综合评分法。</w:t>
      </w:r>
    </w:p>
    <w:p w14:paraId="4F887961">
      <w:pPr>
        <w:adjustRightInd w:val="0"/>
        <w:snapToGrid w:val="0"/>
        <w:spacing w:line="360" w:lineRule="exact"/>
        <w:ind w:firstLine="420"/>
        <w:rPr>
          <w:rFonts w:ascii="宋体" w:hAnsi="宋体" w:cs="宋体"/>
          <w:bCs/>
          <w:color w:val="auto"/>
          <w:kern w:val="0"/>
          <w:sz w:val="21"/>
          <w:szCs w:val="20"/>
          <w:highlight w:val="none"/>
        </w:rPr>
      </w:pPr>
      <w:r>
        <w:rPr>
          <w:rFonts w:hint="eastAsia" w:ascii="宋体" w:hAnsi="宋体" w:cs="宋体"/>
          <w:bCs/>
          <w:color w:val="auto"/>
          <w:kern w:val="0"/>
          <w:sz w:val="21"/>
          <w:szCs w:val="20"/>
          <w:highlight w:val="none"/>
        </w:rPr>
        <w:t>（二）计分办法（按四舍五入取至小数点后两位）</w:t>
      </w:r>
    </w:p>
    <w:p w14:paraId="41A56FFB">
      <w:pPr>
        <w:adjustRightInd w:val="0"/>
        <w:snapToGrid w:val="0"/>
        <w:spacing w:line="360" w:lineRule="exact"/>
        <w:ind w:firstLine="422"/>
        <w:rPr>
          <w:rFonts w:ascii="宋体" w:hAnsi="宋体" w:cs="宋体"/>
          <w:b/>
          <w:color w:val="auto"/>
          <w:kern w:val="0"/>
          <w:sz w:val="21"/>
          <w:szCs w:val="20"/>
          <w:highlight w:val="none"/>
        </w:rPr>
      </w:pPr>
    </w:p>
    <w:p w14:paraId="02C5BFB0">
      <w:pPr>
        <w:adjustRightInd w:val="0"/>
        <w:snapToGrid w:val="0"/>
        <w:spacing w:line="360" w:lineRule="exact"/>
        <w:ind w:firstLine="422"/>
        <w:rPr>
          <w:rFonts w:ascii="宋体" w:hAnsi="宋体" w:cs="宋体"/>
          <w:b/>
          <w:color w:val="auto"/>
          <w:kern w:val="0"/>
          <w:sz w:val="21"/>
          <w:szCs w:val="20"/>
          <w:highlight w:val="none"/>
        </w:rPr>
      </w:pPr>
      <w:r>
        <w:rPr>
          <w:rFonts w:hint="eastAsia" w:ascii="宋体" w:hAnsi="宋体" w:cs="宋体"/>
          <w:b/>
          <w:color w:val="auto"/>
          <w:kern w:val="0"/>
          <w:sz w:val="21"/>
          <w:szCs w:val="20"/>
          <w:highlight w:val="none"/>
        </w:rPr>
        <w:t>适用于分标1</w:t>
      </w:r>
    </w:p>
    <w:p w14:paraId="77576BB2">
      <w:pPr>
        <w:spacing w:line="360" w:lineRule="exact"/>
        <w:ind w:firstLine="422"/>
        <w:rPr>
          <w:rFonts w:ascii="宋体" w:hAnsi="宋体"/>
          <w:b/>
          <w:color w:val="auto"/>
          <w:sz w:val="21"/>
          <w:szCs w:val="21"/>
          <w:highlight w:val="none"/>
        </w:rPr>
      </w:pPr>
    </w:p>
    <w:p w14:paraId="6FCB84AC">
      <w:pPr>
        <w:spacing w:line="360" w:lineRule="exact"/>
        <w:ind w:firstLine="422"/>
        <w:rPr>
          <w:rFonts w:ascii="宋体" w:hAnsi="宋体"/>
          <w:b/>
          <w:bCs/>
          <w:color w:val="auto"/>
          <w:sz w:val="21"/>
          <w:szCs w:val="21"/>
          <w:highlight w:val="none"/>
        </w:rPr>
      </w:pPr>
      <w:r>
        <w:rPr>
          <w:rFonts w:hint="eastAsia" w:ascii="宋体" w:hAnsi="宋体"/>
          <w:b/>
          <w:color w:val="auto"/>
          <w:sz w:val="21"/>
          <w:szCs w:val="21"/>
          <w:highlight w:val="none"/>
        </w:rPr>
        <w:t>1.</w:t>
      </w:r>
      <w:r>
        <w:rPr>
          <w:rFonts w:hint="eastAsia" w:ascii="宋体" w:hAnsi="宋体"/>
          <w:b/>
          <w:bCs/>
          <w:color w:val="auto"/>
          <w:sz w:val="21"/>
          <w:szCs w:val="21"/>
          <w:highlight w:val="none"/>
        </w:rPr>
        <w:t>价格分…………………………………………………………………………30分</w:t>
      </w:r>
    </w:p>
    <w:p w14:paraId="6DADB8BC">
      <w:pPr>
        <w:spacing w:line="360" w:lineRule="exact"/>
        <w:ind w:firstLine="420"/>
        <w:rPr>
          <w:rFonts w:ascii="宋体" w:hAnsi="宋体"/>
          <w:color w:val="auto"/>
          <w:sz w:val="21"/>
          <w:szCs w:val="21"/>
          <w:highlight w:val="none"/>
        </w:rPr>
      </w:pPr>
      <w:r>
        <w:rPr>
          <w:rFonts w:hint="eastAsia" w:ascii="宋体" w:hAnsi="宋体"/>
          <w:color w:val="auto"/>
          <w:sz w:val="21"/>
          <w:szCs w:val="21"/>
          <w:highlight w:val="none"/>
        </w:rPr>
        <w:t>（1）以进入综合评分环节的最低的最后报价为基准价，基准价报价得分为30分。</w:t>
      </w:r>
    </w:p>
    <w:p w14:paraId="3C95070C">
      <w:pPr>
        <w:spacing w:line="360" w:lineRule="exact"/>
        <w:ind w:firstLine="420"/>
        <w:rPr>
          <w:rFonts w:ascii="宋体" w:hAnsi="宋体"/>
          <w:bCs/>
          <w:color w:val="auto"/>
          <w:sz w:val="21"/>
          <w:szCs w:val="21"/>
          <w:highlight w:val="none"/>
        </w:rPr>
      </w:pPr>
      <w:r>
        <w:rPr>
          <w:rFonts w:hint="eastAsia" w:ascii="宋体" w:hAnsi="宋体"/>
          <w:color w:val="auto"/>
          <w:sz w:val="21"/>
          <w:szCs w:val="21"/>
          <w:highlight w:val="none"/>
        </w:rPr>
        <w:t>（2）供应商磋商报价得分=（磋商基准价/供应商的最后报价）×30分。</w:t>
      </w:r>
      <w:r>
        <w:rPr>
          <w:rFonts w:hint="eastAsia" w:ascii="宋体" w:hAnsi="宋体"/>
          <w:bCs/>
          <w:color w:val="auto"/>
          <w:sz w:val="21"/>
          <w:szCs w:val="21"/>
          <w:highlight w:val="none"/>
        </w:rPr>
        <w:t xml:space="preserve"> </w:t>
      </w:r>
    </w:p>
    <w:p w14:paraId="3C3C2FDA">
      <w:pPr>
        <w:tabs>
          <w:tab w:val="left" w:pos="4214"/>
        </w:tabs>
        <w:spacing w:line="360" w:lineRule="exact"/>
        <w:ind w:firstLine="422"/>
        <w:rPr>
          <w:rFonts w:ascii="宋体" w:hAnsi="宋体"/>
          <w:b/>
          <w:color w:val="auto"/>
          <w:sz w:val="21"/>
          <w:szCs w:val="21"/>
          <w:highlight w:val="none"/>
        </w:rPr>
      </w:pPr>
      <w:r>
        <w:rPr>
          <w:rFonts w:hint="eastAsia" w:ascii="宋体" w:hAnsi="宋体"/>
          <w:b/>
          <w:color w:val="auto"/>
          <w:sz w:val="21"/>
          <w:szCs w:val="21"/>
          <w:highlight w:val="none"/>
        </w:rPr>
        <w:t>2.项目实施方案分………………………………………………………………40分</w:t>
      </w:r>
    </w:p>
    <w:p w14:paraId="6C048586">
      <w:pPr>
        <w:spacing w:line="360" w:lineRule="exact"/>
        <w:ind w:firstLine="420" w:firstLineChars="0"/>
        <w:rPr>
          <w:rFonts w:ascii="宋体" w:hAnsi="宋体"/>
          <w:color w:val="auto"/>
          <w:sz w:val="21"/>
          <w:szCs w:val="21"/>
          <w:highlight w:val="none"/>
        </w:rPr>
      </w:pPr>
      <w:r>
        <w:rPr>
          <w:rFonts w:hint="eastAsia" w:ascii="宋体" w:hAnsi="宋体"/>
          <w:color w:val="auto"/>
          <w:sz w:val="21"/>
          <w:szCs w:val="21"/>
          <w:highlight w:val="none"/>
        </w:rPr>
        <w:t>（1）技术方案及组织实施方案（满分16分）</w:t>
      </w:r>
    </w:p>
    <w:p w14:paraId="5728AAA5">
      <w:pPr>
        <w:spacing w:line="36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磋商小组根据供应商提供的“技术方案及组织实施方案”（内容包括但不限于项目背景、</w:t>
      </w:r>
      <w:r>
        <w:rPr>
          <w:rFonts w:hint="eastAsia" w:ascii="Times New Roman" w:hAnsi="宋体" w:eastAsia="宋体" w:cs="Times New Roman"/>
          <w:color w:val="auto"/>
          <w:spacing w:val="-4"/>
          <w:sz w:val="21"/>
          <w:szCs w:val="21"/>
          <w:highlight w:val="none"/>
        </w:rPr>
        <w:t>采购需求分析、</w:t>
      </w:r>
      <w:r>
        <w:rPr>
          <w:rFonts w:hint="eastAsia" w:ascii="宋体" w:hAnsi="宋体" w:eastAsia="宋体" w:cs="Times New Roman"/>
          <w:color w:val="auto"/>
          <w:sz w:val="21"/>
          <w:szCs w:val="21"/>
          <w:highlight w:val="none"/>
        </w:rPr>
        <w:t>工作目标、工作流程、维护服务项目计划安排、日常维护与保养、设备维护维修和定期检修方案等）内容进行独立评审，并按以下规定独立打分：</w:t>
      </w:r>
    </w:p>
    <w:p w14:paraId="55AAAC13">
      <w:pPr>
        <w:spacing w:line="36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一档（4分）：能阐述项目背景，有</w:t>
      </w:r>
      <w:r>
        <w:rPr>
          <w:rFonts w:hint="eastAsia" w:ascii="Times New Roman" w:hAnsi="宋体" w:eastAsia="宋体" w:cs="Times New Roman"/>
          <w:color w:val="auto"/>
          <w:spacing w:val="-4"/>
          <w:sz w:val="21"/>
          <w:szCs w:val="21"/>
          <w:highlight w:val="none"/>
        </w:rPr>
        <w:t>采购需求分析</w:t>
      </w:r>
      <w:r>
        <w:rPr>
          <w:rFonts w:hint="eastAsia" w:ascii="宋体" w:hAnsi="宋体" w:eastAsia="宋体" w:cs="Times New Roman"/>
          <w:color w:val="auto"/>
          <w:sz w:val="21"/>
          <w:szCs w:val="21"/>
          <w:highlight w:val="none"/>
        </w:rPr>
        <w:t>、各站点运营维护方案，对工作目标、工作流程、维护服务项目计划安排、日常维护与保养、设备维护维修和定期检修等内容</w:t>
      </w:r>
      <w:r>
        <w:rPr>
          <w:rFonts w:hint="eastAsia" w:ascii="宋体" w:hAnsi="宋体" w:cs="Times New Roman"/>
          <w:color w:val="auto"/>
          <w:sz w:val="21"/>
          <w:szCs w:val="21"/>
          <w:highlight w:val="none"/>
          <w:lang w:eastAsia="zh-CN"/>
        </w:rPr>
        <w:t>，但不够具体、</w:t>
      </w:r>
      <w:r>
        <w:rPr>
          <w:rFonts w:hint="eastAsia" w:ascii="宋体" w:hAnsi="宋体" w:eastAsia="宋体" w:cs="Times New Roman"/>
          <w:color w:val="auto"/>
          <w:sz w:val="21"/>
          <w:szCs w:val="21"/>
          <w:highlight w:val="none"/>
        </w:rPr>
        <w:t>不完整、没有针对性、不规范的；</w:t>
      </w:r>
    </w:p>
    <w:p w14:paraId="038CA6F1">
      <w:pPr>
        <w:spacing w:line="36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二档（8分）：能阐述项目背景，有采购需求分析、各站点运营维护方案，对工作目标、工作流程、维护服务项目计划安排、日常维护与保养、设备维护维修和定期检修等内容</w:t>
      </w:r>
      <w:r>
        <w:rPr>
          <w:rFonts w:hint="eastAsia" w:ascii="宋体" w:hAnsi="宋体" w:cs="Times New Roman"/>
          <w:color w:val="auto"/>
          <w:sz w:val="21"/>
          <w:szCs w:val="21"/>
          <w:highlight w:val="none"/>
          <w:lang w:eastAsia="zh-CN"/>
        </w:rPr>
        <w:t>，</w:t>
      </w:r>
      <w:r>
        <w:rPr>
          <w:rFonts w:hint="eastAsia" w:ascii="宋体" w:hAnsi="宋体" w:eastAsia="宋体" w:cs="Times New Roman"/>
          <w:color w:val="auto"/>
          <w:sz w:val="21"/>
          <w:szCs w:val="21"/>
          <w:highlight w:val="none"/>
        </w:rPr>
        <w:t>具体描述较清晰、基本合理、规范、具有可行性，基本满足</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要求；</w:t>
      </w:r>
    </w:p>
    <w:p w14:paraId="18D8AE1A">
      <w:pPr>
        <w:spacing w:line="36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三档（12分）：能较详</w:t>
      </w:r>
      <w:r>
        <w:rPr>
          <w:rFonts w:hint="eastAsia" w:ascii="宋体" w:hAnsi="宋体" w:cs="Times New Roman"/>
          <w:color w:val="auto"/>
          <w:sz w:val="21"/>
          <w:szCs w:val="21"/>
          <w:highlight w:val="none"/>
          <w:lang w:eastAsia="zh-CN"/>
        </w:rPr>
        <w:t>细地</w:t>
      </w:r>
      <w:r>
        <w:rPr>
          <w:rFonts w:hint="eastAsia" w:ascii="宋体" w:hAnsi="宋体" w:eastAsia="宋体" w:cs="Times New Roman"/>
          <w:color w:val="auto"/>
          <w:sz w:val="21"/>
          <w:szCs w:val="21"/>
          <w:highlight w:val="none"/>
        </w:rPr>
        <w:t>阐述项目背景，有较详细、完整、合理的</w:t>
      </w:r>
      <w:r>
        <w:rPr>
          <w:rFonts w:hint="eastAsia" w:ascii="Times New Roman" w:hAnsi="宋体" w:eastAsia="宋体" w:cs="Times New Roman"/>
          <w:color w:val="auto"/>
          <w:spacing w:val="-4"/>
          <w:sz w:val="21"/>
          <w:szCs w:val="21"/>
          <w:highlight w:val="none"/>
        </w:rPr>
        <w:t>采购需求分析；</w:t>
      </w:r>
      <w:r>
        <w:rPr>
          <w:rFonts w:hint="eastAsia" w:ascii="宋体" w:hAnsi="宋体" w:eastAsia="宋体" w:cs="Times New Roman"/>
          <w:color w:val="auto"/>
          <w:sz w:val="21"/>
          <w:szCs w:val="21"/>
          <w:highlight w:val="none"/>
        </w:rPr>
        <w:t>工作计划、各站点运营维护方案，工作目标、工作流程、维护服务项目计划安排等内容清晰、具有合理性、规范性和科学性；对项目工作任务及有关各站点的数据有详细深入的合理分析，对项目主要工作内容（日常维护与保养、设备维护维修、定期检修、各站点每日监测数据和设备运行状况）能够详细阐述，方案表述清晰、完整、严谨、具有合理性、科学性、可行性的，满足</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要求；</w:t>
      </w:r>
    </w:p>
    <w:p w14:paraId="050313A7">
      <w:pPr>
        <w:spacing w:line="360" w:lineRule="exact"/>
        <w:ind w:firstLine="420" w:firstLineChars="0"/>
        <w:rPr>
          <w:rFonts w:ascii="宋体" w:hAnsi="宋体"/>
          <w:color w:val="auto"/>
          <w:sz w:val="21"/>
          <w:szCs w:val="21"/>
          <w:highlight w:val="none"/>
        </w:rPr>
      </w:pPr>
      <w:r>
        <w:rPr>
          <w:rFonts w:hint="eastAsia" w:ascii="宋体" w:hAnsi="宋体" w:eastAsia="宋体" w:cs="Times New Roman"/>
          <w:color w:val="auto"/>
          <w:sz w:val="21"/>
          <w:szCs w:val="21"/>
          <w:highlight w:val="none"/>
        </w:rPr>
        <w:t>四档（16分）：深入了解本项目需求，能详细、完整</w:t>
      </w:r>
      <w:r>
        <w:rPr>
          <w:rFonts w:hint="eastAsia" w:ascii="宋体" w:hAnsi="宋体" w:cs="Times New Roman"/>
          <w:color w:val="auto"/>
          <w:sz w:val="21"/>
          <w:szCs w:val="21"/>
          <w:highlight w:val="none"/>
          <w:lang w:eastAsia="zh-CN"/>
        </w:rPr>
        <w:t>地</w:t>
      </w:r>
      <w:r>
        <w:rPr>
          <w:rFonts w:hint="eastAsia" w:ascii="宋体" w:hAnsi="宋体" w:eastAsia="宋体" w:cs="Times New Roman"/>
          <w:color w:val="auto"/>
          <w:sz w:val="21"/>
          <w:szCs w:val="21"/>
          <w:highlight w:val="none"/>
        </w:rPr>
        <w:t>阐述项目背景，有详细、完整、合理、针对性的</w:t>
      </w:r>
      <w:r>
        <w:rPr>
          <w:rFonts w:hint="eastAsia" w:ascii="Times New Roman" w:hAnsi="宋体" w:eastAsia="宋体" w:cs="Times New Roman"/>
          <w:color w:val="auto"/>
          <w:spacing w:val="-4"/>
          <w:sz w:val="21"/>
          <w:szCs w:val="21"/>
          <w:highlight w:val="none"/>
        </w:rPr>
        <w:t>采购需求分析；</w:t>
      </w:r>
      <w:r>
        <w:rPr>
          <w:rFonts w:hint="eastAsia" w:ascii="宋体" w:hAnsi="宋体" w:eastAsia="宋体" w:cs="Times New Roman"/>
          <w:color w:val="auto"/>
          <w:sz w:val="21"/>
          <w:szCs w:val="21"/>
          <w:highlight w:val="none"/>
        </w:rPr>
        <w:t>有详细、完整的工作计划、各站点运营维护方案，工作目标、工作流程、维护服务项目计划安排等内容清晰、具有合理性、规范性和科学性；对项目工作任务及有关各站点的数据有详细深入的合理分析，对项目主要工作内容（日常维护与保养、设备维护维修、定期检修、各站点每日监测数据和设备运行状况）能够详细阐述，方案表述清晰、完整、严谨、具有合理性、规范性、科学性，可操作性强；有利于提高本项目服务质量建议方案的，优于</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要求。</w:t>
      </w:r>
    </w:p>
    <w:p w14:paraId="6215A257">
      <w:pPr>
        <w:spacing w:line="360" w:lineRule="exact"/>
        <w:ind w:firstLine="420" w:firstLineChars="0"/>
        <w:rPr>
          <w:rFonts w:ascii="宋体" w:hAnsi="宋体"/>
          <w:color w:val="auto"/>
          <w:sz w:val="21"/>
          <w:szCs w:val="21"/>
          <w:highlight w:val="none"/>
        </w:rPr>
      </w:pPr>
      <w:r>
        <w:rPr>
          <w:rFonts w:hint="eastAsia" w:ascii="宋体" w:hAnsi="宋体"/>
          <w:color w:val="auto"/>
          <w:sz w:val="21"/>
          <w:szCs w:val="21"/>
          <w:highlight w:val="none"/>
        </w:rPr>
        <w:t>（2）质量保证措施及培训方案分（满分16分）</w:t>
      </w:r>
    </w:p>
    <w:p w14:paraId="40D2BD90">
      <w:pPr>
        <w:spacing w:line="36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磋商小组根据供应商提供的“质量保证措施及培训方案”【内容包括但不限于：物资及</w:t>
      </w:r>
      <w:r>
        <w:rPr>
          <w:rFonts w:hint="eastAsia" w:ascii="宋体" w:hAnsi="宋体" w:eastAsia="宋体" w:cs="Times New Roman"/>
          <w:color w:val="auto"/>
          <w:spacing w:val="-4"/>
          <w:sz w:val="21"/>
          <w:szCs w:val="21"/>
          <w:highlight w:val="none"/>
        </w:rPr>
        <w:t>人员</w:t>
      </w:r>
      <w:r>
        <w:rPr>
          <w:rFonts w:hint="eastAsia" w:ascii="宋体" w:hAnsi="宋体" w:eastAsia="宋体" w:cs="Times New Roman"/>
          <w:color w:val="auto"/>
          <w:sz w:val="21"/>
          <w:szCs w:val="21"/>
          <w:highlight w:val="none"/>
        </w:rPr>
        <w:t>配置</w:t>
      </w:r>
      <w:r>
        <w:rPr>
          <w:rFonts w:hint="eastAsia" w:ascii="宋体" w:hAnsi="宋体" w:eastAsia="宋体" w:cs="Times New Roman"/>
          <w:color w:val="auto"/>
          <w:spacing w:val="-4"/>
          <w:sz w:val="21"/>
          <w:szCs w:val="21"/>
          <w:highlight w:val="none"/>
        </w:rPr>
        <w:t>、平台软件、运维管理系统和技术支持、培训方案等方面</w:t>
      </w:r>
      <w:r>
        <w:rPr>
          <w:rFonts w:hint="eastAsia" w:ascii="宋体" w:hAnsi="宋体" w:eastAsia="宋体" w:cs="Times New Roman"/>
          <w:color w:val="auto"/>
          <w:sz w:val="21"/>
          <w:szCs w:val="21"/>
          <w:highlight w:val="none"/>
        </w:rPr>
        <w:t>】内容进行独立评审，并按以下规定独立打分：</w:t>
      </w:r>
    </w:p>
    <w:p w14:paraId="76752148">
      <w:pPr>
        <w:spacing w:line="36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一档（4分）：物资（车辆、配件、耗材、专用工具）及人员配置基本符合</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要求，平台软件、运维管理系统和APP技术支持等内容</w:t>
      </w:r>
      <w:r>
        <w:rPr>
          <w:rFonts w:hint="eastAsia" w:ascii="宋体" w:hAnsi="宋体" w:cs="Times New Roman"/>
          <w:color w:val="auto"/>
          <w:sz w:val="21"/>
          <w:szCs w:val="21"/>
          <w:highlight w:val="none"/>
          <w:lang w:eastAsia="zh-CN"/>
        </w:rPr>
        <w:t>不够详细</w:t>
      </w:r>
      <w:r>
        <w:rPr>
          <w:rFonts w:hint="eastAsia" w:ascii="宋体" w:hAnsi="宋体" w:eastAsia="宋体" w:cs="Times New Roman"/>
          <w:color w:val="auto"/>
          <w:sz w:val="21"/>
          <w:szCs w:val="21"/>
          <w:highlight w:val="none"/>
        </w:rPr>
        <w:t>、不完整，培训方案</w:t>
      </w:r>
      <w:r>
        <w:rPr>
          <w:rFonts w:hint="eastAsia" w:ascii="宋体" w:hAnsi="宋体" w:cs="Times New Roman"/>
          <w:color w:val="auto"/>
          <w:sz w:val="21"/>
          <w:szCs w:val="21"/>
          <w:highlight w:val="none"/>
          <w:lang w:eastAsia="zh-CN"/>
        </w:rPr>
        <w:t>内容不具体</w:t>
      </w:r>
      <w:r>
        <w:rPr>
          <w:rFonts w:hint="eastAsia" w:ascii="宋体" w:hAnsi="宋体" w:eastAsia="宋体" w:cs="Times New Roman"/>
          <w:color w:val="auto"/>
          <w:sz w:val="21"/>
          <w:szCs w:val="21"/>
          <w:highlight w:val="none"/>
        </w:rPr>
        <w:t>的；</w:t>
      </w:r>
    </w:p>
    <w:p w14:paraId="7860C1D3">
      <w:pPr>
        <w:spacing w:line="36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二档（8分）：物资（车辆、配件、耗材、专用工具）及人员配置符合</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要求且提供相关物资配置、人员配备信息，平台软件、运维管理系统和APP技术支持等内容阐述</w:t>
      </w:r>
      <w:r>
        <w:rPr>
          <w:rFonts w:hint="eastAsia" w:ascii="宋体" w:hAnsi="宋体" w:cs="Times New Roman"/>
          <w:color w:val="auto"/>
          <w:sz w:val="21"/>
          <w:szCs w:val="21"/>
          <w:highlight w:val="none"/>
          <w:lang w:eastAsia="zh-CN"/>
        </w:rPr>
        <w:t>不够具体</w:t>
      </w:r>
      <w:r>
        <w:rPr>
          <w:rFonts w:hint="eastAsia" w:ascii="宋体" w:hAnsi="宋体" w:eastAsia="宋体" w:cs="Times New Roman"/>
          <w:color w:val="auto"/>
          <w:sz w:val="21"/>
          <w:szCs w:val="21"/>
          <w:highlight w:val="none"/>
        </w:rPr>
        <w:t>、基本合理、可操作，培训方案内容较详细的；</w:t>
      </w:r>
    </w:p>
    <w:p w14:paraId="634990CA">
      <w:pPr>
        <w:spacing w:line="36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三档（12分）：物资（车辆、配件、耗材、专用工具）及人员配置符合</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要求且提供相关物资配置、人员配备信息【如车辆实物图片或照片、行驶证，配件、耗材、专用工具品牌、规格型号、数量等，人员姓名、学历、专业、工作经历等】，平台软件、运维管理系统和APP技术支持保证措施内容具体、清晰、具有合理性、科学性、可操作性，培训方案内容较详细，明确</w:t>
      </w:r>
      <w:r>
        <w:rPr>
          <w:rFonts w:hint="eastAsia" w:ascii="Times New Roman" w:hAnsi="宋体" w:eastAsia="宋体" w:cs="宋体"/>
          <w:color w:val="auto"/>
          <w:sz w:val="21"/>
          <w:szCs w:val="24"/>
          <w:highlight w:val="none"/>
        </w:rPr>
        <w:t>培训目标、培训内容、培训时间节点</w:t>
      </w:r>
      <w:r>
        <w:rPr>
          <w:rFonts w:hint="eastAsia" w:ascii="宋体" w:hAnsi="宋体" w:eastAsia="宋体" w:cs="Times New Roman"/>
          <w:color w:val="auto"/>
          <w:sz w:val="21"/>
          <w:szCs w:val="21"/>
          <w:highlight w:val="none"/>
        </w:rPr>
        <w:t>的。</w:t>
      </w:r>
    </w:p>
    <w:p w14:paraId="3D65E832">
      <w:pPr>
        <w:spacing w:line="360" w:lineRule="exact"/>
        <w:ind w:firstLine="420" w:firstLineChars="0"/>
        <w:rPr>
          <w:rFonts w:ascii="宋体" w:hAnsi="宋体"/>
          <w:color w:val="auto"/>
          <w:sz w:val="21"/>
          <w:szCs w:val="21"/>
          <w:highlight w:val="none"/>
        </w:rPr>
      </w:pPr>
      <w:r>
        <w:rPr>
          <w:rFonts w:hint="eastAsia" w:ascii="宋体" w:hAnsi="宋体" w:eastAsia="宋体" w:cs="Times New Roman"/>
          <w:color w:val="auto"/>
          <w:sz w:val="21"/>
          <w:szCs w:val="21"/>
          <w:highlight w:val="none"/>
        </w:rPr>
        <w:t>四档（16分）：物资（车辆、配件、耗材、专用工具）及人员配置符合</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要求且提供相关物资配置、人员配备信息【如车辆实物图片或照片、行驶证等、车辆购买发票或租赁合同复印件等，提供相应设备的配件、耗材厂家证明材料证明的，人员姓名、学历、专业、工作经历等】，平台软件、运维管理系统和APP技术支持保证措施内容具体、清晰、具有合理性、科学性、可操作性强；培训方案内容详细、完整且具有合理性、科学性、可操作性，明确</w:t>
      </w:r>
      <w:r>
        <w:rPr>
          <w:rFonts w:hint="eastAsia" w:ascii="Times New Roman" w:hAnsi="宋体" w:eastAsia="宋体" w:cs="宋体"/>
          <w:color w:val="auto"/>
          <w:sz w:val="21"/>
          <w:szCs w:val="24"/>
          <w:highlight w:val="none"/>
        </w:rPr>
        <w:t>培训目标、培训内容、培训时间节点及考核制度</w:t>
      </w:r>
      <w:r>
        <w:rPr>
          <w:rFonts w:hint="eastAsia" w:ascii="宋体" w:hAnsi="宋体" w:eastAsia="宋体" w:cs="Times New Roman"/>
          <w:color w:val="auto"/>
          <w:sz w:val="21"/>
          <w:szCs w:val="21"/>
          <w:highlight w:val="none"/>
        </w:rPr>
        <w:t>的；有利于提高本项目服务质量建议方案的。</w:t>
      </w:r>
    </w:p>
    <w:p w14:paraId="3BAF2789">
      <w:pPr>
        <w:tabs>
          <w:tab w:val="left" w:pos="4214"/>
        </w:tabs>
        <w:spacing w:line="360" w:lineRule="exact"/>
        <w:ind w:firstLine="420"/>
        <w:rPr>
          <w:rFonts w:ascii="宋体" w:hAnsi="宋体"/>
          <w:color w:val="auto"/>
          <w:sz w:val="21"/>
          <w:szCs w:val="21"/>
          <w:highlight w:val="none"/>
        </w:rPr>
      </w:pPr>
      <w:r>
        <w:rPr>
          <w:rFonts w:hint="eastAsia" w:ascii="宋体" w:hAnsi="宋体"/>
          <w:color w:val="auto"/>
          <w:sz w:val="21"/>
          <w:szCs w:val="21"/>
          <w:highlight w:val="none"/>
        </w:rPr>
        <w:t>（3）应急预案（满分8分）</w:t>
      </w:r>
    </w:p>
    <w:p w14:paraId="5A657608">
      <w:pPr>
        <w:spacing w:line="36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磋商小组根据供应商提供的“应急预案”</w:t>
      </w:r>
      <w:r>
        <w:rPr>
          <w:rFonts w:hint="eastAsia" w:ascii="Times New Roman" w:hAnsi="Times New Roman" w:eastAsia="宋体" w:cs="Times New Roman"/>
          <w:color w:val="auto"/>
          <w:sz w:val="21"/>
          <w:szCs w:val="24"/>
          <w:highlight w:val="none"/>
          <w:lang w:eastAsia="zh-CN"/>
        </w:rPr>
        <w:t>（</w:t>
      </w:r>
      <w:r>
        <w:rPr>
          <w:rFonts w:hint="eastAsia" w:ascii="宋体" w:hAnsi="宋体" w:eastAsia="宋体" w:cs="Times New Roman"/>
          <w:color w:val="auto"/>
          <w:sz w:val="21"/>
          <w:szCs w:val="21"/>
          <w:highlight w:val="none"/>
        </w:rPr>
        <w:t>内容包括但不限于安全、消防、自然灾害、设备故障处置等应急措施</w:t>
      </w:r>
      <w:r>
        <w:rPr>
          <w:rFonts w:hint="eastAsia" w:ascii="Times New Roman" w:hAnsi="Times New Roman" w:eastAsia="宋体" w:cs="Times New Roman"/>
          <w:color w:val="auto"/>
          <w:sz w:val="21"/>
          <w:szCs w:val="24"/>
          <w:highlight w:val="none"/>
          <w:lang w:eastAsia="zh-CN"/>
        </w:rPr>
        <w:t>）</w:t>
      </w:r>
      <w:r>
        <w:rPr>
          <w:rFonts w:hint="eastAsia" w:ascii="宋体" w:hAnsi="宋体" w:eastAsia="宋体" w:cs="Times New Roman"/>
          <w:color w:val="auto"/>
          <w:sz w:val="21"/>
          <w:szCs w:val="21"/>
          <w:highlight w:val="none"/>
        </w:rPr>
        <w:t>内容进行独立评审，并按以下规定独立打分：</w:t>
      </w:r>
    </w:p>
    <w:p w14:paraId="5B01B51F">
      <w:pPr>
        <w:spacing w:line="36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一档（2分）：</w:t>
      </w:r>
      <w:r>
        <w:rPr>
          <w:rFonts w:hint="eastAsia" w:ascii="Times New Roman" w:hAnsi="宋体" w:eastAsia="宋体" w:cs="宋体"/>
          <w:color w:val="auto"/>
          <w:sz w:val="21"/>
          <w:szCs w:val="24"/>
          <w:highlight w:val="none"/>
        </w:rPr>
        <w:t>应急预案中有</w:t>
      </w:r>
      <w:r>
        <w:rPr>
          <w:rFonts w:hint="eastAsia" w:ascii="宋体" w:hAnsi="宋体" w:eastAsia="宋体" w:cs="Times New Roman"/>
          <w:color w:val="auto"/>
          <w:sz w:val="21"/>
          <w:szCs w:val="21"/>
          <w:highlight w:val="none"/>
        </w:rPr>
        <w:t>安全、消防、设备故障处置等应急措施</w:t>
      </w:r>
      <w:r>
        <w:rPr>
          <w:rFonts w:hint="eastAsia" w:ascii="宋体" w:hAnsi="宋体" w:cs="Times New Roman"/>
          <w:color w:val="auto"/>
          <w:sz w:val="21"/>
          <w:szCs w:val="21"/>
          <w:highlight w:val="none"/>
          <w:lang w:eastAsia="zh-CN"/>
        </w:rPr>
        <w:t>，但内容不够具体</w:t>
      </w:r>
      <w:r>
        <w:rPr>
          <w:rFonts w:hint="eastAsia" w:ascii="宋体" w:hAnsi="宋体" w:eastAsia="宋体" w:cs="Times New Roman"/>
          <w:color w:val="auto"/>
          <w:sz w:val="21"/>
          <w:szCs w:val="21"/>
          <w:highlight w:val="none"/>
        </w:rPr>
        <w:t>；</w:t>
      </w:r>
    </w:p>
    <w:p w14:paraId="42767EE6">
      <w:pPr>
        <w:spacing w:line="36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二档（5分）：</w:t>
      </w:r>
      <w:r>
        <w:rPr>
          <w:rFonts w:hint="eastAsia" w:ascii="Times New Roman" w:hAnsi="宋体" w:eastAsia="宋体" w:cs="宋体"/>
          <w:color w:val="auto"/>
          <w:sz w:val="21"/>
          <w:szCs w:val="24"/>
          <w:highlight w:val="none"/>
        </w:rPr>
        <w:t>应急预案中有</w:t>
      </w:r>
      <w:r>
        <w:rPr>
          <w:rFonts w:hint="eastAsia" w:ascii="宋体" w:hAnsi="宋体" w:eastAsia="宋体" w:cs="Times New Roman"/>
          <w:color w:val="auto"/>
          <w:sz w:val="21"/>
          <w:szCs w:val="21"/>
          <w:highlight w:val="none"/>
        </w:rPr>
        <w:t>较完整的安全、消防、设备故障处置等应急措施的，且</w:t>
      </w:r>
      <w:r>
        <w:rPr>
          <w:rFonts w:hint="eastAsia" w:ascii="Times New Roman" w:hAnsi="宋体" w:eastAsia="宋体" w:cs="宋体"/>
          <w:color w:val="auto"/>
          <w:sz w:val="21"/>
          <w:szCs w:val="24"/>
          <w:highlight w:val="none"/>
        </w:rPr>
        <w:t>预案</w:t>
      </w:r>
      <w:r>
        <w:rPr>
          <w:rFonts w:hint="eastAsia" w:ascii="宋体" w:hAnsi="宋体" w:eastAsia="宋体" w:cs="Times New Roman"/>
          <w:color w:val="auto"/>
          <w:sz w:val="21"/>
          <w:szCs w:val="21"/>
          <w:highlight w:val="none"/>
        </w:rPr>
        <w:t>基本可行；</w:t>
      </w:r>
    </w:p>
    <w:p w14:paraId="0493EFF6">
      <w:pPr>
        <w:spacing w:line="360" w:lineRule="exact"/>
        <w:ind w:firstLine="420" w:firstLineChars="0"/>
        <w:rPr>
          <w:rFonts w:ascii="宋体" w:hAnsi="宋体"/>
          <w:color w:val="auto"/>
          <w:sz w:val="21"/>
          <w:szCs w:val="21"/>
          <w:highlight w:val="none"/>
        </w:rPr>
      </w:pPr>
      <w:r>
        <w:rPr>
          <w:rFonts w:hint="eastAsia" w:ascii="宋体" w:hAnsi="宋体" w:eastAsia="宋体" w:cs="Times New Roman"/>
          <w:color w:val="auto"/>
          <w:sz w:val="21"/>
          <w:szCs w:val="21"/>
          <w:highlight w:val="none"/>
        </w:rPr>
        <w:t>三档（8分）：</w:t>
      </w:r>
      <w:r>
        <w:rPr>
          <w:rFonts w:hint="eastAsia" w:ascii="Times New Roman" w:hAnsi="宋体" w:eastAsia="宋体" w:cs="宋体"/>
          <w:color w:val="auto"/>
          <w:sz w:val="21"/>
          <w:szCs w:val="24"/>
          <w:highlight w:val="none"/>
        </w:rPr>
        <w:t>应急预案中有</w:t>
      </w:r>
      <w:r>
        <w:rPr>
          <w:rFonts w:hint="eastAsia" w:ascii="宋体" w:hAnsi="宋体" w:eastAsia="宋体" w:cs="Times New Roman"/>
          <w:color w:val="auto"/>
          <w:sz w:val="21"/>
          <w:szCs w:val="21"/>
          <w:highlight w:val="none"/>
        </w:rPr>
        <w:t>完整、详细的安全、消防、自然灾害、设备故障处置等应急措施，有详细处理流程、步骤、方法及保障措施，且预案具有可行性、合理性、规范性、针对性的。</w:t>
      </w:r>
    </w:p>
    <w:p w14:paraId="1A814DBB">
      <w:pPr>
        <w:spacing w:line="360" w:lineRule="exact"/>
        <w:ind w:firstLine="420" w:firstLineChars="0"/>
        <w:rPr>
          <w:rFonts w:ascii="宋体" w:hAnsi="宋体"/>
          <w:color w:val="auto"/>
          <w:sz w:val="21"/>
          <w:szCs w:val="21"/>
          <w:highlight w:val="none"/>
        </w:rPr>
      </w:pPr>
      <w:r>
        <w:rPr>
          <w:rFonts w:hint="eastAsia" w:ascii="宋体" w:hAnsi="宋体"/>
          <w:b/>
          <w:bCs/>
          <w:color w:val="auto"/>
          <w:sz w:val="21"/>
          <w:szCs w:val="21"/>
          <w:highlight w:val="none"/>
        </w:rPr>
        <w:t>注：供应商未提供项目实施方案相应内容或经评审相应方案未达一档标准的，相应不予得分。</w:t>
      </w:r>
    </w:p>
    <w:p w14:paraId="6D8FB2DB">
      <w:pPr>
        <w:tabs>
          <w:tab w:val="left" w:pos="4214"/>
        </w:tabs>
        <w:spacing w:line="360" w:lineRule="exact"/>
        <w:ind w:firstLine="422"/>
        <w:rPr>
          <w:rFonts w:ascii="宋体" w:hAnsi="宋体"/>
          <w:b/>
          <w:color w:val="auto"/>
          <w:sz w:val="21"/>
          <w:szCs w:val="21"/>
          <w:highlight w:val="none"/>
        </w:rPr>
      </w:pPr>
      <w:r>
        <w:rPr>
          <w:rFonts w:hint="eastAsia" w:ascii="宋体" w:hAnsi="宋体"/>
          <w:b/>
          <w:color w:val="auto"/>
          <w:sz w:val="21"/>
          <w:szCs w:val="21"/>
          <w:highlight w:val="none"/>
        </w:rPr>
        <w:t>3.履约能力分………………………………………………………………20分</w:t>
      </w:r>
    </w:p>
    <w:p w14:paraId="3CCD770A">
      <w:pPr>
        <w:spacing w:line="360" w:lineRule="exact"/>
        <w:ind w:firstLine="420"/>
        <w:rPr>
          <w:rFonts w:ascii="宋体" w:hAnsi="宋体"/>
          <w:color w:val="auto"/>
          <w:sz w:val="21"/>
          <w:szCs w:val="21"/>
          <w:highlight w:val="none"/>
        </w:rPr>
      </w:pPr>
      <w:r>
        <w:rPr>
          <w:rFonts w:hint="eastAsia" w:ascii="宋体" w:hAnsi="宋体"/>
          <w:color w:val="auto"/>
          <w:sz w:val="21"/>
          <w:szCs w:val="21"/>
          <w:highlight w:val="none"/>
        </w:rPr>
        <w:t>（1）供应商通过ISO9001质量管理体系认证、ISO4001环境管理体系认证、ISO45001职业健康安全管理体系认证，认证范围包括水质监测设备的运维服务或水质监测设备的销售且有效的（供应商于响应文件中提供相关有效认证证书复印件，并加盖供应商电子签章），每有1项得1分，本项最多得3分。</w:t>
      </w:r>
    </w:p>
    <w:p w14:paraId="315CA1A9">
      <w:pPr>
        <w:spacing w:line="360" w:lineRule="exact"/>
        <w:ind w:firstLine="420"/>
        <w:rPr>
          <w:rFonts w:ascii="宋体" w:hAnsi="宋体" w:cs="微软雅黑"/>
          <w:color w:val="auto"/>
          <w:sz w:val="21"/>
          <w:szCs w:val="21"/>
          <w:highlight w:val="none"/>
        </w:rPr>
      </w:pPr>
      <w:r>
        <w:rPr>
          <w:rFonts w:hint="eastAsia" w:ascii="宋体" w:hAnsi="宋体" w:cs="微软雅黑"/>
          <w:color w:val="auto"/>
          <w:sz w:val="21"/>
          <w:szCs w:val="21"/>
          <w:highlight w:val="none"/>
        </w:rPr>
        <w:t>（2）技术保障分：供应商具有本项目需运行维护设备【原设备名称：基于物联网技术的环境监测探测终端（型号：GreenBOX2）、智慧综合管理平台软件（型号：Skyland.OLM V1.0）】的原厂家技术支持证明材料的（以提供设备原厂家相关有效证明材料复印件，加盖供应商电子签章），每提供一个同类型号设备证明材料得3分，本项最多得6分。</w:t>
      </w:r>
    </w:p>
    <w:p w14:paraId="49B2A0DE">
      <w:pPr>
        <w:spacing w:line="360" w:lineRule="exact"/>
        <w:ind w:firstLine="420"/>
        <w:jc w:val="left"/>
        <w:outlineLvl w:val="0"/>
        <w:rPr>
          <w:rFonts w:ascii="宋体" w:hAnsi="宋体" w:cs="宋体"/>
          <w:color w:val="auto"/>
          <w:sz w:val="21"/>
          <w:szCs w:val="24"/>
          <w:highlight w:val="none"/>
        </w:rPr>
      </w:pPr>
      <w:r>
        <w:rPr>
          <w:rFonts w:hint="eastAsia" w:ascii="宋体" w:hAnsi="宋体" w:cs="宋体"/>
          <w:color w:val="auto"/>
          <w:sz w:val="21"/>
          <w:szCs w:val="24"/>
          <w:highlight w:val="none"/>
        </w:rPr>
        <w:t>（3）业绩分：供应商</w:t>
      </w:r>
      <w:r>
        <w:rPr>
          <w:rFonts w:hint="eastAsia" w:ascii="宋体" w:hAnsi="宋体"/>
          <w:color w:val="auto"/>
          <w:sz w:val="21"/>
          <w:szCs w:val="24"/>
          <w:highlight w:val="none"/>
        </w:rPr>
        <w:t>2021年1月1日至响应文件提交截止时间止，</w:t>
      </w:r>
      <w:r>
        <w:rPr>
          <w:rFonts w:hint="eastAsia" w:ascii="宋体" w:hAnsi="宋体" w:cs="宋体"/>
          <w:color w:val="auto"/>
          <w:sz w:val="21"/>
          <w:szCs w:val="24"/>
          <w:highlight w:val="none"/>
        </w:rPr>
        <w:t>具有同类或类似运营维护服务业绩（以中标、成交通知书或合同复印件为准并加盖供应商电子签章，能清晰反映项目名称、类型、合同签订日期</w:t>
      </w:r>
      <w:r>
        <w:rPr>
          <w:rFonts w:hint="eastAsia" w:ascii="宋体" w:hAnsi="宋体"/>
          <w:color w:val="auto"/>
          <w:sz w:val="21"/>
          <w:szCs w:val="24"/>
          <w:highlight w:val="none"/>
        </w:rPr>
        <w:t>，否则，不得分；同一个编号的项目有两个或两个以上的分标中标的只算一次</w:t>
      </w:r>
      <w:r>
        <w:rPr>
          <w:rFonts w:hint="eastAsia" w:ascii="宋体" w:hAnsi="宋体" w:cs="宋体"/>
          <w:color w:val="auto"/>
          <w:sz w:val="21"/>
          <w:szCs w:val="24"/>
          <w:highlight w:val="none"/>
        </w:rPr>
        <w:t>），</w:t>
      </w:r>
      <w:r>
        <w:rPr>
          <w:rFonts w:hint="eastAsia" w:ascii="宋体" w:hAnsi="宋体" w:cs="宋体"/>
          <w:color w:val="auto"/>
          <w:sz w:val="21"/>
          <w:szCs w:val="24"/>
          <w:highlight w:val="none"/>
          <w:lang w:bidi="zh-CN"/>
        </w:rPr>
        <w:t>每个得  1分</w:t>
      </w:r>
      <w:r>
        <w:rPr>
          <w:rFonts w:hint="eastAsia" w:ascii="宋体" w:hAnsi="宋体" w:cs="宋体"/>
          <w:color w:val="auto"/>
          <w:sz w:val="21"/>
          <w:szCs w:val="24"/>
          <w:highlight w:val="none"/>
        </w:rPr>
        <w:t>，本项最多得6分。</w:t>
      </w:r>
    </w:p>
    <w:p w14:paraId="64D241A2">
      <w:pPr>
        <w:spacing w:line="360" w:lineRule="exact"/>
        <w:ind w:firstLine="42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（4）供应商在以往环境监测服务中未受到各级环保主管部门行政处罚、通报、记不良记录、记过或存在弄虚作假等不良行为记录的</w:t>
      </w:r>
      <w:r>
        <w:rPr>
          <w:rFonts w:hint="eastAsia" w:ascii="宋体" w:hAnsi="宋体"/>
          <w:b/>
          <w:color w:val="auto"/>
          <w:sz w:val="21"/>
          <w:szCs w:val="21"/>
          <w:highlight w:val="none"/>
        </w:rPr>
        <w:t>【以在响应文件中提供相应承诺函，加盖供应商电子签章（供应商提供的承诺必须真实有效，若经查实存在虚假承诺的情形，则采购人有权取消其成交资格，并上报监督管理部门处理，且保留追究法律责任的权利）】</w:t>
      </w:r>
      <w:r>
        <w:rPr>
          <w:rFonts w:hint="eastAsia" w:ascii="宋体" w:hAnsi="宋体"/>
          <w:color w:val="auto"/>
          <w:sz w:val="21"/>
          <w:szCs w:val="21"/>
          <w:highlight w:val="none"/>
        </w:rPr>
        <w:t>，得5分，未提供相应承诺函或有不良记录的，不得分。满分5分</w:t>
      </w:r>
      <w:r>
        <w:rPr>
          <w:rFonts w:hint="eastAsia" w:ascii="宋体" w:hAnsi="宋体"/>
          <w:color w:val="auto"/>
          <w:sz w:val="21"/>
          <w:szCs w:val="21"/>
          <w:highlight w:val="none"/>
          <w:lang w:eastAsia="zh-CN"/>
        </w:rPr>
        <w:t>。</w:t>
      </w:r>
    </w:p>
    <w:p w14:paraId="712CCDA6">
      <w:pPr>
        <w:tabs>
          <w:tab w:val="left" w:pos="4214"/>
        </w:tabs>
        <w:spacing w:line="360" w:lineRule="exact"/>
        <w:ind w:firstLine="422"/>
        <w:rPr>
          <w:rFonts w:ascii="宋体" w:hAnsi="宋体"/>
          <w:b/>
          <w:color w:val="auto"/>
          <w:sz w:val="21"/>
          <w:szCs w:val="21"/>
          <w:highlight w:val="none"/>
        </w:rPr>
      </w:pPr>
      <w:r>
        <w:rPr>
          <w:rFonts w:hint="eastAsia" w:ascii="宋体" w:hAnsi="宋体"/>
          <w:b/>
          <w:color w:val="auto"/>
          <w:sz w:val="21"/>
          <w:szCs w:val="21"/>
          <w:highlight w:val="none"/>
        </w:rPr>
        <w:t>4.服务方案分………………………………………………………………10分</w:t>
      </w:r>
    </w:p>
    <w:p w14:paraId="3922DFD0">
      <w:pPr>
        <w:widowControl w:val="0"/>
        <w:spacing w:line="360" w:lineRule="exact"/>
        <w:ind w:firstLine="411" w:firstLineChars="196"/>
        <w:jc w:val="both"/>
        <w:outlineLvl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（1）由磋商小组各成员根据各供应商提供的服务承诺方案中“服务保障措施、服务能力保障及有利于提高本项目服务质量的建议和措施”的合理性、可行性、针对性等内容进行综合评审并独立打分：满分6分</w:t>
      </w:r>
    </w:p>
    <w:p w14:paraId="3806FAF5">
      <w:pPr>
        <w:widowControl w:val="0"/>
        <w:tabs>
          <w:tab w:val="left" w:pos="4214"/>
        </w:tabs>
        <w:spacing w:line="36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一档（2分）：服务承诺方案描述</w:t>
      </w:r>
      <w:r>
        <w:rPr>
          <w:rFonts w:hint="eastAsia" w:ascii="宋体" w:hAnsi="宋体" w:cs="Times New Roman"/>
          <w:color w:val="auto"/>
          <w:kern w:val="2"/>
          <w:sz w:val="21"/>
          <w:szCs w:val="21"/>
          <w:highlight w:val="none"/>
          <w:lang w:val="en-US" w:eastAsia="zh-CN" w:bidi="ar-SA"/>
        </w:rPr>
        <w:t>不够具体</w:t>
      </w:r>
      <w:r>
        <w:rPr>
          <w:rFonts w:hint="eastAsia" w:ascii="宋体" w:hAnsi="宋体" w:eastAsia="宋体" w:cs="Times New Roman"/>
          <w:color w:val="auto"/>
          <w:kern w:val="2"/>
          <w:sz w:val="21"/>
          <w:szCs w:val="21"/>
          <w:highlight w:val="none"/>
          <w:lang w:val="en-US" w:eastAsia="zh-CN" w:bidi="ar-SA"/>
        </w:rPr>
        <w:t>，内容包括服务保障措施、服务能力保障及有利于提高本项目服务质量的建议和措施的；</w:t>
      </w:r>
    </w:p>
    <w:p w14:paraId="4257B346">
      <w:pPr>
        <w:widowControl w:val="0"/>
        <w:tabs>
          <w:tab w:val="left" w:pos="4214"/>
        </w:tabs>
        <w:spacing w:line="36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二档（4分）：服务承诺方案详细描述、具有合理性、可行性，针对性一般，内容包括服务保障措施、服务能力保障及有利于提高本项目服务质量的建议和</w:t>
      </w:r>
      <w:r>
        <w:rPr>
          <w:rFonts w:hint="eastAsia" w:ascii="宋体" w:hAnsi="宋体" w:cs="Times New Roman"/>
          <w:color w:val="auto"/>
          <w:kern w:val="2"/>
          <w:sz w:val="21"/>
          <w:szCs w:val="21"/>
          <w:highlight w:val="none"/>
          <w:lang w:val="en-US" w:eastAsia="zh-CN" w:bidi="ar-SA"/>
        </w:rPr>
        <w:t>措施</w:t>
      </w:r>
      <w:r>
        <w:rPr>
          <w:rFonts w:hint="eastAsia" w:ascii="宋体" w:hAnsi="宋体" w:eastAsia="宋体" w:cs="Times New Roman"/>
          <w:color w:val="auto"/>
          <w:kern w:val="2"/>
          <w:sz w:val="21"/>
          <w:szCs w:val="21"/>
          <w:highlight w:val="none"/>
          <w:lang w:val="en-US" w:eastAsia="zh-CN" w:bidi="ar-SA"/>
        </w:rPr>
        <w:t>；</w:t>
      </w:r>
    </w:p>
    <w:p w14:paraId="1B3169EC">
      <w:pPr>
        <w:widowControl w:val="0"/>
        <w:tabs>
          <w:tab w:val="left" w:pos="4214"/>
        </w:tabs>
        <w:spacing w:line="36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档（6分）：服务承诺方案详细描述、具有合理性、可行性、针对性强，符合本项目需求，内容包括服务保障措施、服务细则、承诺按时间节点完成各项记录、监测工作、服务能力保障及有利于提高本项目服务质量的建议和</w:t>
      </w:r>
      <w:r>
        <w:rPr>
          <w:rFonts w:hint="eastAsia" w:ascii="宋体" w:hAnsi="宋体" w:cs="Times New Roman"/>
          <w:color w:val="auto"/>
          <w:kern w:val="2"/>
          <w:sz w:val="21"/>
          <w:szCs w:val="21"/>
          <w:highlight w:val="none"/>
          <w:lang w:val="en-US" w:eastAsia="zh-CN" w:bidi="ar-SA"/>
        </w:rPr>
        <w:t>措施</w:t>
      </w:r>
      <w:r>
        <w:rPr>
          <w:rFonts w:hint="eastAsia" w:ascii="宋体" w:hAnsi="宋体" w:eastAsia="宋体" w:cs="Times New Roman"/>
          <w:color w:val="auto"/>
          <w:kern w:val="2"/>
          <w:sz w:val="21"/>
          <w:szCs w:val="21"/>
          <w:highlight w:val="none"/>
          <w:lang w:val="en-US" w:eastAsia="zh-CN" w:bidi="ar-SA"/>
        </w:rPr>
        <w:t>。</w:t>
      </w:r>
    </w:p>
    <w:p w14:paraId="2179C686">
      <w:pPr>
        <w:widowControl w:val="0"/>
        <w:tabs>
          <w:tab w:val="left" w:pos="4214"/>
        </w:tabs>
        <w:spacing w:line="36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（2）服务保障分：供应商承诺故障排除时间在1小时内到达故障现场并提供相应证明材料证明，同时被评审专家认可的，得1分。</w:t>
      </w:r>
    </w:p>
    <w:p w14:paraId="1854E4F1">
      <w:pPr>
        <w:widowControl w:val="0"/>
        <w:tabs>
          <w:tab w:val="left" w:pos="4214"/>
        </w:tabs>
        <w:spacing w:line="400" w:lineRule="exact"/>
        <w:ind w:firstLine="422" w:firstLineChars="200"/>
        <w:jc w:val="both"/>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（注：相关证明材料可以是供应商注册地或相应的分公司或售后服务点距项目实施各站点的里程地图截图、相应的营业执照复印件及技术人员的姓名、联系电话等，并加供应商电子签章，否则，不得分。）</w:t>
      </w:r>
    </w:p>
    <w:p w14:paraId="65AF1FDB">
      <w:pPr>
        <w:tabs>
          <w:tab w:val="left" w:pos="4214"/>
        </w:tabs>
        <w:spacing w:line="360" w:lineRule="exact"/>
        <w:ind w:firstLine="420"/>
        <w:rPr>
          <w:rFonts w:ascii="宋体" w:hAnsi="宋体"/>
          <w:color w:val="auto"/>
          <w:sz w:val="21"/>
          <w:szCs w:val="21"/>
          <w:highlight w:val="none"/>
        </w:rPr>
      </w:pPr>
      <w:r>
        <w:rPr>
          <w:rFonts w:hint="eastAsia" w:ascii="宋体" w:hAnsi="宋体"/>
          <w:color w:val="auto"/>
          <w:sz w:val="21"/>
          <w:szCs w:val="21"/>
          <w:highlight w:val="none"/>
        </w:rPr>
        <w:t>（3）投入本项目的运维技术人员具有生态环境保护工程或维修电工相关的职称，同时具有两个职称且为中级以上（含中级）职称的得3分；提供其中任一个的得1分；未提供的不得分；本项最多得3分</w:t>
      </w:r>
      <w:r>
        <w:rPr>
          <w:rFonts w:hint="eastAsia" w:ascii="宋体" w:hAnsi="宋体"/>
          <w:b/>
          <w:color w:val="auto"/>
          <w:sz w:val="21"/>
          <w:szCs w:val="21"/>
          <w:highlight w:val="none"/>
        </w:rPr>
        <w:t>【注：供应商于响应文件中提供以上人员相应的职称证复印件，并加盖供应商电子签章】。</w:t>
      </w:r>
    </w:p>
    <w:p w14:paraId="0A660A93">
      <w:pPr>
        <w:pStyle w:val="25"/>
        <w:spacing w:line="400" w:lineRule="exact"/>
        <w:ind w:firstLine="407" w:firstLineChars="193"/>
        <w:rPr>
          <w:rFonts w:ascii="宋体" w:hAnsi="宋体" w:cs="宋体"/>
          <w:b/>
          <w:bCs/>
          <w:color w:val="auto"/>
          <w:sz w:val="21"/>
          <w:szCs w:val="21"/>
          <w:highlight w:val="none"/>
        </w:rPr>
      </w:pPr>
      <w:r>
        <w:rPr>
          <w:rFonts w:hint="eastAsia" w:ascii="宋体" w:hAnsi="宋体" w:cs="宋体"/>
          <w:b/>
          <w:bCs/>
          <w:color w:val="auto"/>
          <w:sz w:val="21"/>
          <w:szCs w:val="21"/>
          <w:highlight w:val="none"/>
        </w:rPr>
        <w:t>注：</w:t>
      </w:r>
      <w:r>
        <w:rPr>
          <w:rFonts w:hint="eastAsia" w:ascii="宋体" w:hAnsi="宋体" w:cs="宋体"/>
          <w:b/>
          <w:bCs/>
          <w:color w:val="auto"/>
          <w:sz w:val="21"/>
          <w:szCs w:val="21"/>
          <w:highlight w:val="none"/>
          <w:lang w:val="en-US"/>
        </w:rPr>
        <w:t>供应商</w:t>
      </w:r>
      <w:r>
        <w:rPr>
          <w:rFonts w:hint="eastAsia" w:ascii="宋体" w:hAnsi="宋体" w:cs="宋体"/>
          <w:b/>
          <w:bCs/>
          <w:color w:val="auto"/>
          <w:sz w:val="21"/>
          <w:szCs w:val="21"/>
          <w:highlight w:val="none"/>
        </w:rPr>
        <w:t>未提供</w:t>
      </w:r>
      <w:r>
        <w:rPr>
          <w:rFonts w:hint="eastAsia" w:ascii="宋体" w:hAnsi="宋体" w:cs="宋体"/>
          <w:b/>
          <w:bCs/>
          <w:color w:val="auto"/>
          <w:sz w:val="21"/>
          <w:szCs w:val="21"/>
          <w:highlight w:val="none"/>
          <w:lang w:val="en-US"/>
        </w:rPr>
        <w:t>服务</w:t>
      </w:r>
      <w:r>
        <w:rPr>
          <w:rFonts w:hint="eastAsia" w:ascii="宋体" w:hAnsi="宋体" w:cs="宋体"/>
          <w:b/>
          <w:bCs/>
          <w:color w:val="auto"/>
          <w:sz w:val="21"/>
          <w:szCs w:val="21"/>
          <w:highlight w:val="none"/>
        </w:rPr>
        <w:t>方案相应内容或所提供的内容未达到一档档次的，相应不予得分。</w:t>
      </w:r>
    </w:p>
    <w:p w14:paraId="07B0601B">
      <w:pPr>
        <w:adjustRightInd w:val="0"/>
        <w:snapToGrid w:val="0"/>
        <w:spacing w:line="360" w:lineRule="exact"/>
        <w:ind w:firstLine="422"/>
        <w:rPr>
          <w:rFonts w:ascii="宋体" w:hAnsi="宋体" w:cs="宋体"/>
          <w:b/>
          <w:color w:val="auto"/>
          <w:kern w:val="0"/>
          <w:sz w:val="21"/>
          <w:szCs w:val="20"/>
          <w:highlight w:val="none"/>
        </w:rPr>
      </w:pPr>
    </w:p>
    <w:p w14:paraId="14638FDA">
      <w:pPr>
        <w:adjustRightInd w:val="0"/>
        <w:snapToGrid w:val="0"/>
        <w:spacing w:line="360" w:lineRule="exact"/>
        <w:ind w:firstLine="422"/>
        <w:rPr>
          <w:rFonts w:ascii="宋体" w:hAnsi="宋体" w:cs="宋体"/>
          <w:b/>
          <w:color w:val="auto"/>
          <w:kern w:val="0"/>
          <w:sz w:val="21"/>
          <w:szCs w:val="20"/>
          <w:highlight w:val="none"/>
        </w:rPr>
      </w:pPr>
      <w:r>
        <w:rPr>
          <w:rFonts w:hint="eastAsia" w:ascii="宋体" w:hAnsi="宋体" w:cs="宋体"/>
          <w:b/>
          <w:color w:val="auto"/>
          <w:kern w:val="0"/>
          <w:sz w:val="21"/>
          <w:szCs w:val="20"/>
          <w:highlight w:val="none"/>
        </w:rPr>
        <w:t>5.综合得分为以上各项评审因素得分合计。</w:t>
      </w:r>
    </w:p>
    <w:p w14:paraId="39D3C061">
      <w:pPr>
        <w:spacing w:line="400" w:lineRule="exact"/>
        <w:ind w:firstLine="422"/>
        <w:rPr>
          <w:rFonts w:hint="eastAsia" w:ascii="宋体" w:hAnsi="宋体"/>
          <w:b/>
          <w:color w:val="auto"/>
          <w:sz w:val="21"/>
          <w:szCs w:val="21"/>
          <w:highlight w:val="none"/>
        </w:rPr>
      </w:pPr>
    </w:p>
    <w:p w14:paraId="01519FCD">
      <w:pPr>
        <w:spacing w:line="400" w:lineRule="exact"/>
        <w:ind w:firstLine="422"/>
        <w:rPr>
          <w:rFonts w:hint="eastAsia" w:ascii="宋体" w:hAnsi="宋体"/>
          <w:b/>
          <w:color w:val="auto"/>
          <w:sz w:val="21"/>
          <w:szCs w:val="21"/>
          <w:highlight w:val="none"/>
        </w:rPr>
      </w:pPr>
    </w:p>
    <w:p w14:paraId="49DB8D0C">
      <w:pPr>
        <w:spacing w:line="400" w:lineRule="exact"/>
        <w:ind w:firstLine="422"/>
        <w:rPr>
          <w:rFonts w:hint="eastAsia" w:ascii="宋体" w:hAnsi="宋体"/>
          <w:b/>
          <w:color w:val="auto"/>
          <w:sz w:val="21"/>
          <w:szCs w:val="21"/>
          <w:highlight w:val="none"/>
        </w:rPr>
      </w:pPr>
    </w:p>
    <w:p w14:paraId="4645449B">
      <w:pPr>
        <w:spacing w:line="400" w:lineRule="exact"/>
        <w:ind w:firstLine="422"/>
        <w:rPr>
          <w:rFonts w:hint="eastAsia" w:ascii="宋体" w:hAnsi="宋体"/>
          <w:b/>
          <w:color w:val="auto"/>
          <w:sz w:val="21"/>
          <w:szCs w:val="21"/>
          <w:highlight w:val="none"/>
        </w:rPr>
      </w:pPr>
    </w:p>
    <w:p w14:paraId="197ED118">
      <w:pPr>
        <w:spacing w:line="400" w:lineRule="exact"/>
        <w:ind w:firstLine="422"/>
        <w:rPr>
          <w:rFonts w:hint="eastAsia" w:ascii="宋体" w:hAnsi="宋体"/>
          <w:b/>
          <w:color w:val="auto"/>
          <w:sz w:val="21"/>
          <w:szCs w:val="21"/>
          <w:highlight w:val="none"/>
        </w:rPr>
      </w:pPr>
    </w:p>
    <w:p w14:paraId="4617C2FE">
      <w:pPr>
        <w:spacing w:line="400" w:lineRule="exact"/>
        <w:ind w:firstLine="422"/>
        <w:rPr>
          <w:rFonts w:hint="eastAsia" w:ascii="宋体" w:hAnsi="宋体"/>
          <w:b/>
          <w:color w:val="auto"/>
          <w:sz w:val="21"/>
          <w:szCs w:val="21"/>
          <w:highlight w:val="none"/>
        </w:rPr>
      </w:pPr>
    </w:p>
    <w:p w14:paraId="4C934487">
      <w:pPr>
        <w:spacing w:line="400" w:lineRule="exact"/>
        <w:ind w:firstLine="422"/>
        <w:rPr>
          <w:rFonts w:hint="eastAsia" w:ascii="宋体" w:hAnsi="宋体"/>
          <w:b/>
          <w:color w:val="auto"/>
          <w:sz w:val="21"/>
          <w:szCs w:val="21"/>
          <w:highlight w:val="none"/>
        </w:rPr>
      </w:pPr>
    </w:p>
    <w:p w14:paraId="4A925FD5">
      <w:pPr>
        <w:spacing w:line="400" w:lineRule="exact"/>
        <w:ind w:firstLine="422"/>
        <w:rPr>
          <w:rFonts w:ascii="宋体" w:hAnsi="宋体"/>
          <w:b/>
          <w:color w:val="auto"/>
          <w:sz w:val="21"/>
          <w:szCs w:val="21"/>
          <w:highlight w:val="none"/>
        </w:rPr>
      </w:pPr>
      <w:r>
        <w:rPr>
          <w:rFonts w:hint="eastAsia" w:ascii="宋体" w:hAnsi="宋体"/>
          <w:b/>
          <w:color w:val="auto"/>
          <w:sz w:val="21"/>
          <w:szCs w:val="21"/>
          <w:highlight w:val="none"/>
        </w:rPr>
        <w:t>适用于分标2</w:t>
      </w:r>
    </w:p>
    <w:p w14:paraId="6C734CB6">
      <w:pPr>
        <w:spacing w:line="400" w:lineRule="exact"/>
        <w:ind w:firstLine="422"/>
        <w:rPr>
          <w:rFonts w:ascii="宋体" w:hAnsi="宋体"/>
          <w:b/>
          <w:bCs/>
          <w:color w:val="auto"/>
          <w:sz w:val="21"/>
          <w:szCs w:val="21"/>
          <w:highlight w:val="none"/>
        </w:rPr>
      </w:pPr>
      <w:r>
        <w:rPr>
          <w:rFonts w:hint="eastAsia" w:ascii="宋体" w:hAnsi="宋体"/>
          <w:b/>
          <w:color w:val="auto"/>
          <w:sz w:val="21"/>
          <w:szCs w:val="21"/>
          <w:highlight w:val="none"/>
        </w:rPr>
        <w:t>1.</w:t>
      </w:r>
      <w:r>
        <w:rPr>
          <w:rFonts w:hint="eastAsia" w:ascii="宋体" w:hAnsi="宋体"/>
          <w:b/>
          <w:bCs/>
          <w:color w:val="auto"/>
          <w:sz w:val="21"/>
          <w:szCs w:val="21"/>
          <w:highlight w:val="none"/>
        </w:rPr>
        <w:t>价格分………………………………………………………………………………30分</w:t>
      </w:r>
    </w:p>
    <w:p w14:paraId="1E52D642">
      <w:pPr>
        <w:spacing w:line="400" w:lineRule="exact"/>
        <w:ind w:firstLine="420"/>
        <w:rPr>
          <w:rFonts w:ascii="宋体" w:hAnsi="宋体"/>
          <w:color w:val="auto"/>
          <w:sz w:val="21"/>
          <w:szCs w:val="21"/>
          <w:highlight w:val="none"/>
        </w:rPr>
      </w:pPr>
      <w:r>
        <w:rPr>
          <w:rFonts w:hint="eastAsia" w:ascii="宋体" w:hAnsi="宋体"/>
          <w:color w:val="auto"/>
          <w:sz w:val="21"/>
          <w:szCs w:val="21"/>
          <w:highlight w:val="none"/>
        </w:rPr>
        <w:t>（1）以进入综合评分环节的最低的最后报价为基准价，基准价报价得分为30分。</w:t>
      </w:r>
    </w:p>
    <w:p w14:paraId="6AF26A6E">
      <w:pPr>
        <w:spacing w:line="400" w:lineRule="exact"/>
        <w:ind w:firstLine="420"/>
        <w:rPr>
          <w:rFonts w:ascii="宋体" w:hAnsi="宋体"/>
          <w:bCs/>
          <w:color w:val="auto"/>
          <w:sz w:val="21"/>
          <w:szCs w:val="21"/>
          <w:highlight w:val="none"/>
        </w:rPr>
      </w:pPr>
      <w:r>
        <w:rPr>
          <w:rFonts w:hint="eastAsia" w:ascii="宋体" w:hAnsi="宋体"/>
          <w:color w:val="auto"/>
          <w:sz w:val="21"/>
          <w:szCs w:val="21"/>
          <w:highlight w:val="none"/>
        </w:rPr>
        <w:t xml:space="preserve">（2）供应商磋商报价得分=（磋商基准价/供应商的最后报价）×30分。 </w:t>
      </w:r>
      <w:r>
        <w:rPr>
          <w:rFonts w:hint="eastAsia" w:ascii="宋体" w:hAnsi="宋体"/>
          <w:bCs/>
          <w:color w:val="auto"/>
          <w:sz w:val="21"/>
          <w:szCs w:val="21"/>
          <w:highlight w:val="none"/>
        </w:rPr>
        <w:t xml:space="preserve">  </w:t>
      </w:r>
    </w:p>
    <w:p w14:paraId="70E9F099">
      <w:pPr>
        <w:tabs>
          <w:tab w:val="left" w:pos="4214"/>
        </w:tabs>
        <w:spacing w:line="400" w:lineRule="exact"/>
        <w:ind w:firstLine="422"/>
        <w:rPr>
          <w:rFonts w:ascii="宋体" w:hAnsi="宋体"/>
          <w:b/>
          <w:color w:val="auto"/>
          <w:sz w:val="21"/>
          <w:szCs w:val="21"/>
          <w:highlight w:val="none"/>
        </w:rPr>
      </w:pPr>
      <w:r>
        <w:rPr>
          <w:rFonts w:hint="eastAsia" w:ascii="宋体" w:hAnsi="宋体"/>
          <w:b/>
          <w:color w:val="auto"/>
          <w:sz w:val="21"/>
          <w:szCs w:val="21"/>
          <w:highlight w:val="none"/>
        </w:rPr>
        <w:t>2.项目实施方案分…………………………………………………………………42分</w:t>
      </w:r>
    </w:p>
    <w:p w14:paraId="59C01A7C">
      <w:pPr>
        <w:spacing w:line="400" w:lineRule="exact"/>
        <w:ind w:firstLine="420" w:firstLineChars="0"/>
        <w:rPr>
          <w:rFonts w:ascii="宋体" w:hAnsi="宋体"/>
          <w:color w:val="auto"/>
          <w:sz w:val="21"/>
          <w:szCs w:val="21"/>
          <w:highlight w:val="none"/>
        </w:rPr>
      </w:pPr>
      <w:r>
        <w:rPr>
          <w:rFonts w:hint="eastAsia" w:ascii="宋体" w:hAnsi="宋体"/>
          <w:color w:val="auto"/>
          <w:sz w:val="21"/>
          <w:szCs w:val="21"/>
          <w:highlight w:val="none"/>
        </w:rPr>
        <w:t>（1）运营维护计划（满分9分）</w:t>
      </w:r>
    </w:p>
    <w:p w14:paraId="3D51B0E3">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磋商小组根据供应商提供的“运营维护计划”（内容包括但不限于工作流程、各项管理维护服务项目及环节所需的长远计划和短期安排、每周运营计划及在管理平台中向采购单位公示等的优劣程度</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内容进行独立评审，并按以下规定独立打分：</w:t>
      </w:r>
    </w:p>
    <w:p w14:paraId="0051C1DD">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一档（3分）：有运营维护计划；工作流程、各项管理维护服务项目及环节所需的长远计划和短期安排、每周运营计划及在管理平台中向采购单位公示等内容</w:t>
      </w:r>
      <w:r>
        <w:rPr>
          <w:rFonts w:hint="eastAsia" w:ascii="宋体" w:hAnsi="宋体" w:cs="Times New Roman"/>
          <w:color w:val="auto"/>
          <w:sz w:val="21"/>
          <w:szCs w:val="21"/>
          <w:highlight w:val="none"/>
          <w:lang w:eastAsia="zh-CN"/>
        </w:rPr>
        <w:t>，但</w:t>
      </w:r>
      <w:r>
        <w:rPr>
          <w:rFonts w:hint="eastAsia" w:ascii="宋体" w:hAnsi="宋体" w:eastAsia="宋体" w:cs="Times New Roman"/>
          <w:color w:val="auto"/>
          <w:sz w:val="21"/>
          <w:szCs w:val="21"/>
          <w:highlight w:val="none"/>
        </w:rPr>
        <w:t>描述</w:t>
      </w:r>
      <w:r>
        <w:rPr>
          <w:rFonts w:hint="eastAsia" w:ascii="宋体" w:hAnsi="宋体" w:cs="Times New Roman"/>
          <w:color w:val="auto"/>
          <w:sz w:val="21"/>
          <w:szCs w:val="21"/>
          <w:highlight w:val="none"/>
          <w:lang w:eastAsia="zh-CN"/>
        </w:rPr>
        <w:t>不够具体</w:t>
      </w:r>
      <w:r>
        <w:rPr>
          <w:rFonts w:hint="eastAsia" w:ascii="宋体" w:hAnsi="宋体" w:eastAsia="宋体" w:cs="Times New Roman"/>
          <w:color w:val="auto"/>
          <w:sz w:val="21"/>
          <w:szCs w:val="21"/>
          <w:highlight w:val="none"/>
        </w:rPr>
        <w:t>，方案基本满足</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要求；</w:t>
      </w:r>
    </w:p>
    <w:p w14:paraId="1267DF42">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二档（6分）：有运营维护计划；工作流程、各项管理维护服务项目及环节所需的长远计划和短期安排、每周运营计划及在管理平台中向采购单位公示等内容，具体描述、比较规范、合理，方案具有可行性，能满足</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要求。</w:t>
      </w:r>
    </w:p>
    <w:p w14:paraId="68E217F1">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三档（9分）：运营维护计划详细、清晰、切合本项目服务实际需求、可实施性强；有详细、完整的工作计划、各站点运营维护方案，工作目标、工作流程、维护服务项目计划安排等内容清晰、合理、规范和科学；对项目工作任务及有关各站点的数据有详细深入的合理分析，对项目主要工作内容（日常维护与保养、设备维护维修、定期检修、各站点每日监测数据和设备运行状况）能够详细阐述，方案表述清晰、完整、严谨、合理，可操作性强。</w:t>
      </w:r>
    </w:p>
    <w:p w14:paraId="66C27B92">
      <w:pPr>
        <w:spacing w:line="400" w:lineRule="exact"/>
        <w:ind w:firstLine="420" w:firstLineChars="0"/>
        <w:rPr>
          <w:rFonts w:ascii="宋体" w:hAnsi="宋体"/>
          <w:color w:val="auto"/>
          <w:sz w:val="21"/>
          <w:szCs w:val="21"/>
          <w:highlight w:val="none"/>
        </w:rPr>
      </w:pPr>
      <w:r>
        <w:rPr>
          <w:rFonts w:hint="eastAsia" w:ascii="宋体" w:hAnsi="宋体"/>
          <w:color w:val="auto"/>
          <w:sz w:val="21"/>
          <w:szCs w:val="21"/>
          <w:highlight w:val="none"/>
        </w:rPr>
        <w:t>（2）规章管理制度与档案管理制度（满分9分）</w:t>
      </w:r>
    </w:p>
    <w:p w14:paraId="6FCBC8F9">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磋商小组根据供应商提供的“规章管理制度与档案管理制度”</w:t>
      </w:r>
      <w:r>
        <w:rPr>
          <w:rFonts w:hint="eastAsia" w:ascii="Times New Roman" w:hAnsi="Times New Roman" w:eastAsia="宋体" w:cs="Times New Roman"/>
          <w:color w:val="auto"/>
          <w:sz w:val="21"/>
          <w:szCs w:val="24"/>
          <w:highlight w:val="none"/>
        </w:rPr>
        <w:t xml:space="preserve"> </w:t>
      </w:r>
      <w:r>
        <w:rPr>
          <w:rFonts w:hint="eastAsia" w:ascii="宋体" w:hAnsi="宋体" w:eastAsia="宋体" w:cs="Times New Roman"/>
          <w:color w:val="auto"/>
          <w:sz w:val="21"/>
          <w:szCs w:val="21"/>
          <w:highlight w:val="none"/>
        </w:rPr>
        <w:t>【内容包括但不限于管理规章制度（</w:t>
      </w:r>
      <w:r>
        <w:rPr>
          <w:rFonts w:hint="eastAsia" w:ascii="Times New Roman" w:hAnsi="宋体" w:eastAsia="宋体" w:cs="宋体"/>
          <w:bCs/>
          <w:color w:val="auto"/>
          <w:sz w:val="21"/>
          <w:szCs w:val="24"/>
          <w:highlight w:val="none"/>
        </w:rPr>
        <w:t>执勤、交接班、考勤制度、巡检、维修保养制度、检修更换记录</w:t>
      </w:r>
      <w:r>
        <w:rPr>
          <w:rFonts w:hint="eastAsia" w:ascii="宋体" w:hAnsi="宋体" w:eastAsia="宋体" w:cs="Times New Roman"/>
          <w:color w:val="auto"/>
          <w:sz w:val="21"/>
          <w:szCs w:val="21"/>
          <w:highlight w:val="none"/>
        </w:rPr>
        <w:t>等）、档案管理制度等】内容进行独立评审，并按以下规定独立打分：</w:t>
      </w:r>
    </w:p>
    <w:p w14:paraId="313872BE">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一档（3分）：建立有相关的规章管理制度与档案管理制度</w:t>
      </w:r>
      <w:r>
        <w:rPr>
          <w:rFonts w:hint="eastAsia" w:ascii="宋体" w:hAnsi="宋体" w:cs="Times New Roman"/>
          <w:color w:val="auto"/>
          <w:sz w:val="21"/>
          <w:szCs w:val="21"/>
          <w:highlight w:val="none"/>
          <w:lang w:eastAsia="zh-CN"/>
        </w:rPr>
        <w:t>，但内容不够详细</w:t>
      </w:r>
      <w:r>
        <w:rPr>
          <w:rFonts w:hint="eastAsia" w:ascii="宋体" w:hAnsi="宋体" w:eastAsia="宋体" w:cs="Times New Roman"/>
          <w:color w:val="auto"/>
          <w:sz w:val="21"/>
          <w:szCs w:val="21"/>
          <w:highlight w:val="none"/>
        </w:rPr>
        <w:t>；</w:t>
      </w:r>
    </w:p>
    <w:p w14:paraId="58205306">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二档（6分）：规章管理制度（执勤、交接班、考勤制度、巡检、维修保养制度、检修更换记录等）和档案管理制度较详细、完整，且相应的制度基本可行、合理；</w:t>
      </w:r>
    </w:p>
    <w:p w14:paraId="2C719001">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三档（9分）：规章管理制度（执勤、交接班、考勤制度、巡检、维修保养制度、检修更换记录等）和档案管理制度详细、完善，且相应的制度具有可行性、合理性、规范性、针对性的。</w:t>
      </w:r>
    </w:p>
    <w:p w14:paraId="4E15CD7C">
      <w:pPr>
        <w:spacing w:line="400" w:lineRule="exact"/>
        <w:ind w:firstLine="420" w:firstLineChars="0"/>
        <w:rPr>
          <w:rFonts w:ascii="宋体" w:hAnsi="宋体"/>
          <w:color w:val="auto"/>
          <w:sz w:val="21"/>
          <w:szCs w:val="21"/>
          <w:highlight w:val="none"/>
        </w:rPr>
      </w:pPr>
      <w:r>
        <w:rPr>
          <w:rFonts w:hint="eastAsia" w:ascii="宋体" w:hAnsi="宋体"/>
          <w:color w:val="auto"/>
          <w:sz w:val="21"/>
          <w:szCs w:val="21"/>
          <w:highlight w:val="none"/>
        </w:rPr>
        <w:t>（3）拟投入运营维护人员及物资配置方案（满分13分）</w:t>
      </w:r>
    </w:p>
    <w:p w14:paraId="2953167A">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磋商小组根据供应商提供的“拟投入实施人员及物资配置方案”【</w:t>
      </w:r>
      <w:r>
        <w:rPr>
          <w:rFonts w:hint="eastAsia" w:ascii="Times New Roman" w:hAnsi="Times New Roman" w:eastAsia="宋体" w:cs="Times New Roman"/>
          <w:color w:val="auto"/>
          <w:sz w:val="21"/>
          <w:szCs w:val="24"/>
          <w:highlight w:val="none"/>
        </w:rPr>
        <w:t>内容包括但不限于</w:t>
      </w:r>
      <w:r>
        <w:rPr>
          <w:rFonts w:hint="eastAsia" w:ascii="宋体" w:hAnsi="宋体" w:eastAsia="宋体" w:cs="Times New Roman"/>
          <w:color w:val="auto"/>
          <w:sz w:val="21"/>
          <w:szCs w:val="21"/>
          <w:highlight w:val="none"/>
        </w:rPr>
        <w:t>：①运营维护人</w:t>
      </w:r>
      <w:r>
        <w:rPr>
          <w:rFonts w:hint="eastAsia" w:ascii="宋体" w:hAnsi="宋体" w:cs="Times New Roman"/>
          <w:color w:val="auto"/>
          <w:sz w:val="21"/>
          <w:szCs w:val="21"/>
          <w:highlight w:val="none"/>
          <w:lang w:eastAsia="zh-CN"/>
        </w:rPr>
        <w:t>员</w:t>
      </w:r>
      <w:r>
        <w:rPr>
          <w:rFonts w:hint="eastAsia" w:ascii="宋体" w:hAnsi="宋体" w:eastAsia="宋体" w:cs="Times New Roman"/>
          <w:color w:val="auto"/>
          <w:sz w:val="21"/>
          <w:szCs w:val="21"/>
          <w:highlight w:val="none"/>
        </w:rPr>
        <w:t>的配备（包括：经理简历，各类人员配置、文化素质和专业素质等）；②运营维护人员的培训；③管理人员的管理（包括：录用及考核，淘汰机制，协调关系，服务意识）；④公司团体意外保障；⑤物资装备情况（包括：设备、运营维修专用工具、交通工具以及通讯、安全防范装备以及办公用品、专用巡检车辆等）等】内容进行独立评审，并按以下规定独立打分：</w:t>
      </w:r>
    </w:p>
    <w:p w14:paraId="3392EF00">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一档（4分）：有运营维护人员及物资配置表，运营维护人员的培训方案、运营维护人员的管理方案</w:t>
      </w:r>
      <w:r>
        <w:rPr>
          <w:rFonts w:hint="eastAsia" w:ascii="宋体" w:hAnsi="宋体" w:cs="Times New Roman"/>
          <w:color w:val="auto"/>
          <w:sz w:val="21"/>
          <w:szCs w:val="21"/>
          <w:highlight w:val="none"/>
          <w:lang w:eastAsia="zh-CN"/>
        </w:rPr>
        <w:t>等内容，但描述不够具体</w:t>
      </w:r>
      <w:r>
        <w:rPr>
          <w:rFonts w:hint="eastAsia" w:ascii="宋体" w:hAnsi="宋体" w:eastAsia="宋体" w:cs="Times New Roman"/>
          <w:color w:val="auto"/>
          <w:sz w:val="21"/>
          <w:szCs w:val="21"/>
          <w:highlight w:val="none"/>
        </w:rPr>
        <w:t>，运营维护人员及物资配置满足本项目服务需求的；</w:t>
      </w:r>
    </w:p>
    <w:p w14:paraId="63B2D00D">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二档（9分）：方案有运营维护人员表且附有</w:t>
      </w:r>
      <w:r>
        <w:rPr>
          <w:rFonts w:hint="eastAsia" w:ascii="Times New Roman" w:hAnsi="宋体" w:eastAsia="宋体" w:cs="宋体"/>
          <w:color w:val="auto"/>
          <w:sz w:val="21"/>
          <w:szCs w:val="24"/>
          <w:highlight w:val="none"/>
        </w:rPr>
        <w:t>项目经理简历、各类人员岗位配置、文化素质和专业素质等材料或说明</w:t>
      </w:r>
      <w:r>
        <w:rPr>
          <w:rFonts w:hint="eastAsia" w:ascii="宋体" w:hAnsi="宋体" w:eastAsia="宋体" w:cs="Times New Roman"/>
          <w:color w:val="auto"/>
          <w:sz w:val="21"/>
          <w:szCs w:val="21"/>
          <w:highlight w:val="none"/>
        </w:rPr>
        <w:t>，运营维护人员</w:t>
      </w:r>
      <w:r>
        <w:rPr>
          <w:rFonts w:hint="eastAsia" w:ascii="Times New Roman" w:hAnsi="宋体" w:eastAsia="宋体" w:cs="宋体"/>
          <w:color w:val="auto"/>
          <w:sz w:val="21"/>
          <w:szCs w:val="24"/>
          <w:highlight w:val="none"/>
        </w:rPr>
        <w:t>的培训方案（培训目标、培训内容、培训时间节点及考核制度）和</w:t>
      </w:r>
      <w:r>
        <w:rPr>
          <w:rFonts w:hint="eastAsia" w:ascii="宋体" w:hAnsi="宋体" w:eastAsia="宋体" w:cs="Times New Roman"/>
          <w:color w:val="auto"/>
          <w:sz w:val="21"/>
          <w:szCs w:val="21"/>
          <w:highlight w:val="none"/>
        </w:rPr>
        <w:t>运营维护人</w:t>
      </w:r>
      <w:r>
        <w:rPr>
          <w:rFonts w:hint="eastAsia" w:ascii="宋体" w:hAnsi="宋体" w:cs="Times New Roman"/>
          <w:color w:val="auto"/>
          <w:sz w:val="21"/>
          <w:szCs w:val="21"/>
          <w:highlight w:val="none"/>
          <w:lang w:eastAsia="zh-CN"/>
        </w:rPr>
        <w:t>员</w:t>
      </w:r>
      <w:r>
        <w:rPr>
          <w:rFonts w:hint="eastAsia" w:ascii="Times New Roman" w:hAnsi="宋体" w:eastAsia="宋体" w:cs="宋体"/>
          <w:color w:val="auto"/>
          <w:sz w:val="21"/>
          <w:szCs w:val="24"/>
          <w:highlight w:val="none"/>
        </w:rPr>
        <w:t>的管理方案（录用及考核，淘汰机制，协调关系，服务意识）较详细描述，</w:t>
      </w:r>
      <w:r>
        <w:rPr>
          <w:rFonts w:hint="eastAsia" w:ascii="宋体" w:hAnsi="宋体" w:eastAsia="宋体" w:cs="Times New Roman"/>
          <w:color w:val="auto"/>
          <w:sz w:val="21"/>
          <w:szCs w:val="21"/>
          <w:highlight w:val="none"/>
        </w:rPr>
        <w:t>及</w:t>
      </w:r>
      <w:r>
        <w:rPr>
          <w:rFonts w:hint="eastAsia" w:ascii="Times New Roman" w:hAnsi="宋体" w:eastAsia="宋体" w:cs="宋体"/>
          <w:color w:val="auto"/>
          <w:sz w:val="21"/>
          <w:szCs w:val="24"/>
          <w:highlight w:val="none"/>
        </w:rPr>
        <w:t>物资装备情况（拟投入本项目备用设备、运营维修专用工具、交通工具以及通讯、安全防范装备以及办公用品等）</w:t>
      </w:r>
      <w:r>
        <w:rPr>
          <w:rFonts w:hint="eastAsia" w:ascii="宋体" w:hAnsi="宋体" w:eastAsia="宋体" w:cs="Times New Roman"/>
          <w:color w:val="auto"/>
          <w:sz w:val="21"/>
          <w:szCs w:val="21"/>
          <w:highlight w:val="none"/>
        </w:rPr>
        <w:t>能满足本项目服务需求且有一项优于竞争性磋商文件要求的；</w:t>
      </w:r>
    </w:p>
    <w:p w14:paraId="03D63B07">
      <w:pPr>
        <w:spacing w:line="400" w:lineRule="exact"/>
        <w:ind w:firstLine="420" w:firstLineChars="0"/>
        <w:rPr>
          <w:rFonts w:ascii="宋体" w:hAnsi="宋体"/>
          <w:color w:val="auto"/>
          <w:sz w:val="21"/>
          <w:szCs w:val="21"/>
          <w:highlight w:val="none"/>
        </w:rPr>
      </w:pPr>
      <w:r>
        <w:rPr>
          <w:rFonts w:hint="eastAsia" w:ascii="宋体" w:hAnsi="宋体" w:eastAsia="宋体" w:cs="Times New Roman"/>
          <w:color w:val="auto"/>
          <w:sz w:val="21"/>
          <w:szCs w:val="21"/>
          <w:highlight w:val="none"/>
        </w:rPr>
        <w:t>三档（13分）：方案有运营维护人员表且附有</w:t>
      </w:r>
      <w:r>
        <w:rPr>
          <w:rFonts w:hint="eastAsia" w:ascii="Times New Roman" w:hAnsi="宋体" w:eastAsia="宋体" w:cs="宋体"/>
          <w:color w:val="auto"/>
          <w:sz w:val="21"/>
          <w:szCs w:val="24"/>
          <w:highlight w:val="none"/>
        </w:rPr>
        <w:t>项目经理简历、各类人员岗位配置、文化素质和专业素质等材料或说明</w:t>
      </w:r>
      <w:r>
        <w:rPr>
          <w:rFonts w:hint="eastAsia" w:ascii="宋体" w:hAnsi="宋体" w:eastAsia="宋体" w:cs="Times New Roman"/>
          <w:color w:val="auto"/>
          <w:sz w:val="21"/>
          <w:szCs w:val="21"/>
          <w:highlight w:val="none"/>
        </w:rPr>
        <w:t>；运营维护人员</w:t>
      </w:r>
      <w:r>
        <w:rPr>
          <w:rFonts w:hint="eastAsia" w:ascii="Times New Roman" w:hAnsi="宋体" w:eastAsia="宋体" w:cs="宋体"/>
          <w:color w:val="auto"/>
          <w:sz w:val="21"/>
          <w:szCs w:val="24"/>
          <w:highlight w:val="none"/>
        </w:rPr>
        <w:t>的培训方案详细、完整、具有可行性，且培训目标明确，培训内容、培训时间节点及考核制度清晰、可行、规范；</w:t>
      </w:r>
      <w:r>
        <w:rPr>
          <w:rFonts w:hint="eastAsia" w:ascii="宋体" w:hAnsi="宋体" w:eastAsia="宋体" w:cs="Times New Roman"/>
          <w:color w:val="auto"/>
          <w:sz w:val="21"/>
          <w:szCs w:val="21"/>
          <w:highlight w:val="none"/>
        </w:rPr>
        <w:t>运营维护人员</w:t>
      </w:r>
      <w:r>
        <w:rPr>
          <w:rFonts w:hint="eastAsia" w:ascii="Times New Roman" w:hAnsi="宋体" w:eastAsia="宋体" w:cs="宋体"/>
          <w:color w:val="auto"/>
          <w:sz w:val="21"/>
          <w:szCs w:val="24"/>
          <w:highlight w:val="none"/>
        </w:rPr>
        <w:t>的管理方案（录用及考核，淘汰机制，协调关系，服务意识）详细描述</w:t>
      </w:r>
      <w:r>
        <w:rPr>
          <w:rFonts w:hint="eastAsia" w:hAnsi="宋体" w:cs="宋体"/>
          <w:color w:val="auto"/>
          <w:sz w:val="21"/>
          <w:szCs w:val="24"/>
          <w:highlight w:val="none"/>
          <w:lang w:eastAsia="zh-CN"/>
        </w:rPr>
        <w:t>且</w:t>
      </w:r>
      <w:r>
        <w:rPr>
          <w:rFonts w:hint="eastAsia" w:ascii="Times New Roman" w:hAnsi="宋体" w:eastAsia="宋体" w:cs="宋体"/>
          <w:color w:val="auto"/>
          <w:sz w:val="21"/>
          <w:szCs w:val="24"/>
          <w:highlight w:val="none"/>
        </w:rPr>
        <w:t>具有合理性、可行性；物资装备情况（拟投入本项目备用设备、运营维修专用工具、交通工具以及通讯、安全防范装备以及办公用品、专用巡检车辆等）有明确的数量、品牌、规定型号、使用年限、设备（工具、车辆）图片或照片、专用巡检车辆购买发票（或有效租赁合同）及行驶证复印件等内容；能提供由业主单位出具对供应商或供应商在职人员服务能力或工作能力的表扬信（感谢信）或优秀（满意）评价证明材料（证明材料须加盖业主单位公章）；</w:t>
      </w:r>
      <w:r>
        <w:rPr>
          <w:rFonts w:hint="eastAsia" w:ascii="宋体" w:hAnsi="宋体" w:eastAsia="宋体" w:cs="Times New Roman"/>
          <w:color w:val="auto"/>
          <w:sz w:val="21"/>
          <w:szCs w:val="21"/>
          <w:highlight w:val="none"/>
        </w:rPr>
        <w:t>能满足本项目服务需求且有二项及以上优于竞争性磋商文件要求的。</w:t>
      </w:r>
    </w:p>
    <w:p w14:paraId="56ED2CA3">
      <w:pPr>
        <w:spacing w:line="400" w:lineRule="exact"/>
        <w:ind w:firstLine="420" w:firstLineChars="0"/>
        <w:rPr>
          <w:rFonts w:ascii="宋体" w:hAnsi="宋体"/>
          <w:color w:val="auto"/>
          <w:sz w:val="21"/>
          <w:szCs w:val="21"/>
          <w:highlight w:val="none"/>
        </w:rPr>
      </w:pPr>
      <w:r>
        <w:rPr>
          <w:rFonts w:hint="eastAsia" w:ascii="宋体" w:hAnsi="宋体"/>
          <w:color w:val="auto"/>
          <w:sz w:val="21"/>
          <w:szCs w:val="21"/>
          <w:highlight w:val="none"/>
        </w:rPr>
        <w:t>（4）运营管理方式（满分6分）</w:t>
      </w:r>
    </w:p>
    <w:p w14:paraId="7C3D3DA3">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磋商小组根据供应商提供的“运营管理方式”</w:t>
      </w:r>
      <w:r>
        <w:rPr>
          <w:rFonts w:hint="eastAsia" w:ascii="Times New Roman" w:hAnsi="Times New Roman" w:eastAsia="宋体" w:cs="Times New Roman"/>
          <w:color w:val="auto"/>
          <w:sz w:val="21"/>
          <w:szCs w:val="24"/>
          <w:highlight w:val="none"/>
        </w:rPr>
        <w:t xml:space="preserve"> </w:t>
      </w:r>
      <w:r>
        <w:rPr>
          <w:rFonts w:hint="eastAsia" w:ascii="宋体" w:hAnsi="宋体" w:eastAsia="宋体" w:cs="Times New Roman"/>
          <w:color w:val="auto"/>
          <w:sz w:val="21"/>
          <w:szCs w:val="21"/>
          <w:highlight w:val="none"/>
        </w:rPr>
        <w:t>【内容结合本项目实际情况拟</w:t>
      </w:r>
      <w:r>
        <w:rPr>
          <w:rFonts w:hint="eastAsia" w:ascii="宋体" w:hAnsi="宋体" w:cs="Times New Roman"/>
          <w:color w:val="auto"/>
          <w:sz w:val="21"/>
          <w:szCs w:val="21"/>
          <w:highlight w:val="none"/>
          <w:lang w:eastAsia="zh-CN"/>
        </w:rPr>
        <w:t>采取的</w:t>
      </w:r>
      <w:r>
        <w:rPr>
          <w:rFonts w:hint="eastAsia" w:ascii="宋体" w:hAnsi="宋体" w:eastAsia="宋体" w:cs="Times New Roman"/>
          <w:color w:val="auto"/>
          <w:sz w:val="21"/>
          <w:szCs w:val="21"/>
          <w:highlight w:val="none"/>
        </w:rPr>
        <w:t>运营管理方式，包括但不限于内部管理构架、管理运作机制、激励机制、监督机制、自我约束机制、信息反馈处理机制等】内容进行独立评审，并按以下规定独立打分：</w:t>
      </w:r>
    </w:p>
    <w:p w14:paraId="21781321">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一档（2分）：</w:t>
      </w:r>
      <w:r>
        <w:rPr>
          <w:rFonts w:hint="eastAsia" w:ascii="Times New Roman" w:hAnsi="宋体" w:eastAsia="宋体" w:cs="宋体"/>
          <w:color w:val="auto"/>
          <w:sz w:val="21"/>
          <w:szCs w:val="24"/>
          <w:highlight w:val="none"/>
        </w:rPr>
        <w:t>建立有</w:t>
      </w:r>
      <w:r>
        <w:rPr>
          <w:rFonts w:hint="eastAsia" w:ascii="宋体" w:hAnsi="宋体" w:eastAsia="宋体" w:cs="Times New Roman"/>
          <w:color w:val="auto"/>
          <w:sz w:val="21"/>
          <w:szCs w:val="21"/>
          <w:highlight w:val="none"/>
        </w:rPr>
        <w:t>内部管理构架、管理运作机制、激励机制、监督机制、自我约束机制、信息反馈处理机制</w:t>
      </w:r>
      <w:r>
        <w:rPr>
          <w:rFonts w:hint="eastAsia" w:ascii="宋体" w:hAnsi="宋体" w:cs="Times New Roman"/>
          <w:color w:val="auto"/>
          <w:sz w:val="21"/>
          <w:szCs w:val="21"/>
          <w:highlight w:val="none"/>
          <w:lang w:eastAsia="zh-CN"/>
        </w:rPr>
        <w:t>，但描述不够具体</w:t>
      </w:r>
      <w:r>
        <w:rPr>
          <w:rFonts w:hint="eastAsia" w:ascii="宋体" w:hAnsi="宋体" w:eastAsia="宋体" w:cs="Times New Roman"/>
          <w:color w:val="auto"/>
          <w:sz w:val="21"/>
          <w:szCs w:val="21"/>
          <w:highlight w:val="none"/>
        </w:rPr>
        <w:t>；</w:t>
      </w:r>
    </w:p>
    <w:p w14:paraId="01BF3541">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二档（4分）：建立有较完整的内部管理构架、管理运作机制、激励机制、监督机制、自我约束机制、信息反馈处理机制，且相应的</w:t>
      </w:r>
      <w:r>
        <w:rPr>
          <w:rFonts w:hint="eastAsia" w:ascii="宋体" w:hAnsi="宋体" w:cs="Times New Roman"/>
          <w:color w:val="auto"/>
          <w:sz w:val="21"/>
          <w:szCs w:val="21"/>
          <w:highlight w:val="none"/>
          <w:lang w:eastAsia="zh-CN"/>
        </w:rPr>
        <w:t>管理制度</w:t>
      </w:r>
      <w:r>
        <w:rPr>
          <w:rFonts w:hint="eastAsia" w:ascii="宋体" w:hAnsi="宋体" w:eastAsia="宋体" w:cs="Times New Roman"/>
          <w:color w:val="auto"/>
          <w:sz w:val="21"/>
          <w:szCs w:val="21"/>
          <w:highlight w:val="none"/>
        </w:rPr>
        <w:t>基本可行、合理；</w:t>
      </w:r>
    </w:p>
    <w:p w14:paraId="724971B1">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三档（6分）：建立有完整、详细的内部管理构架、管理运作机制、激励机制、监督机制、自我约束机制、信息反馈处理机制，且相应的管理制度具有可行性、合理性、规范性、针对性的。</w:t>
      </w:r>
    </w:p>
    <w:p w14:paraId="47A72E7D">
      <w:pPr>
        <w:tabs>
          <w:tab w:val="left" w:pos="4214"/>
        </w:tabs>
        <w:spacing w:line="400" w:lineRule="exact"/>
        <w:ind w:firstLine="420"/>
        <w:rPr>
          <w:rFonts w:ascii="宋体" w:hAnsi="宋体"/>
          <w:color w:val="auto"/>
          <w:sz w:val="21"/>
          <w:szCs w:val="21"/>
          <w:highlight w:val="none"/>
        </w:rPr>
      </w:pPr>
      <w:r>
        <w:rPr>
          <w:rFonts w:hint="eastAsia" w:ascii="宋体" w:hAnsi="宋体"/>
          <w:color w:val="auto"/>
          <w:sz w:val="21"/>
          <w:szCs w:val="21"/>
          <w:highlight w:val="none"/>
        </w:rPr>
        <w:t>（5）应急预案（满分5分）</w:t>
      </w:r>
    </w:p>
    <w:p w14:paraId="23E32E19">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磋商小组根据供应商提供的“应急预案”</w:t>
      </w:r>
      <w:r>
        <w:rPr>
          <w:rFonts w:hint="eastAsia" w:ascii="Times New Roman" w:hAnsi="Times New Roman" w:eastAsia="宋体" w:cs="Times New Roman"/>
          <w:color w:val="auto"/>
          <w:sz w:val="21"/>
          <w:szCs w:val="24"/>
          <w:highlight w:val="none"/>
        </w:rPr>
        <w:t xml:space="preserve"> </w:t>
      </w:r>
      <w:r>
        <w:rPr>
          <w:rFonts w:hint="eastAsia" w:ascii="宋体" w:hAnsi="宋体" w:eastAsia="宋体" w:cs="Times New Roman"/>
          <w:color w:val="auto"/>
          <w:sz w:val="21"/>
          <w:szCs w:val="21"/>
          <w:highlight w:val="none"/>
        </w:rPr>
        <w:t>【内容包括但不限于安全、消防、自然灾害、设备故障处置等应急措施】内容进行独立评审，并按以下规定独立打分：</w:t>
      </w:r>
    </w:p>
    <w:p w14:paraId="18121979">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一档（1分）：</w:t>
      </w:r>
      <w:r>
        <w:rPr>
          <w:rFonts w:hint="eastAsia" w:ascii="Times New Roman" w:hAnsi="宋体" w:eastAsia="宋体" w:cs="宋体"/>
          <w:color w:val="auto"/>
          <w:sz w:val="21"/>
          <w:szCs w:val="24"/>
          <w:highlight w:val="none"/>
        </w:rPr>
        <w:t>应急预案中有</w:t>
      </w:r>
      <w:r>
        <w:rPr>
          <w:rFonts w:hint="eastAsia" w:ascii="宋体" w:hAnsi="宋体" w:eastAsia="宋体" w:cs="Times New Roman"/>
          <w:color w:val="auto"/>
          <w:sz w:val="21"/>
          <w:szCs w:val="21"/>
          <w:highlight w:val="none"/>
        </w:rPr>
        <w:t>安全、消防、设备故障处置等应急措施</w:t>
      </w:r>
      <w:r>
        <w:rPr>
          <w:rFonts w:hint="eastAsia" w:ascii="宋体" w:hAnsi="宋体" w:cs="Times New Roman"/>
          <w:color w:val="auto"/>
          <w:sz w:val="21"/>
          <w:szCs w:val="21"/>
          <w:highlight w:val="none"/>
          <w:lang w:eastAsia="zh-CN"/>
        </w:rPr>
        <w:t>，但内容不够具体</w:t>
      </w:r>
      <w:r>
        <w:rPr>
          <w:rFonts w:hint="eastAsia" w:ascii="宋体" w:hAnsi="宋体" w:eastAsia="宋体" w:cs="Times New Roman"/>
          <w:color w:val="auto"/>
          <w:sz w:val="21"/>
          <w:szCs w:val="21"/>
          <w:highlight w:val="none"/>
        </w:rPr>
        <w:t>；</w:t>
      </w:r>
    </w:p>
    <w:p w14:paraId="217BEB9E">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二档（3分）：</w:t>
      </w:r>
      <w:r>
        <w:rPr>
          <w:rFonts w:hint="eastAsia" w:ascii="Times New Roman" w:hAnsi="宋体" w:eastAsia="宋体" w:cs="宋体"/>
          <w:color w:val="auto"/>
          <w:sz w:val="21"/>
          <w:szCs w:val="24"/>
          <w:highlight w:val="none"/>
        </w:rPr>
        <w:t>应急预案中有</w:t>
      </w:r>
      <w:r>
        <w:rPr>
          <w:rFonts w:hint="eastAsia" w:ascii="宋体" w:hAnsi="宋体" w:eastAsia="宋体" w:cs="Times New Roman"/>
          <w:color w:val="auto"/>
          <w:sz w:val="21"/>
          <w:szCs w:val="21"/>
          <w:highlight w:val="none"/>
        </w:rPr>
        <w:t>较完整的安全、消防、设备故障处置等应急措施的，且</w:t>
      </w:r>
      <w:r>
        <w:rPr>
          <w:rFonts w:hint="eastAsia" w:ascii="Times New Roman" w:hAnsi="宋体" w:eastAsia="宋体" w:cs="宋体"/>
          <w:color w:val="auto"/>
          <w:sz w:val="21"/>
          <w:szCs w:val="24"/>
          <w:highlight w:val="none"/>
        </w:rPr>
        <w:t>预案</w:t>
      </w:r>
      <w:r>
        <w:rPr>
          <w:rFonts w:hint="eastAsia" w:ascii="宋体" w:hAnsi="宋体" w:eastAsia="宋体" w:cs="Times New Roman"/>
          <w:color w:val="auto"/>
          <w:sz w:val="21"/>
          <w:szCs w:val="21"/>
          <w:highlight w:val="none"/>
        </w:rPr>
        <w:t>基本可行；</w:t>
      </w:r>
    </w:p>
    <w:p w14:paraId="4A0ABC2A">
      <w:pPr>
        <w:spacing w:line="40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三档（5分）：</w:t>
      </w:r>
      <w:r>
        <w:rPr>
          <w:rFonts w:hint="eastAsia" w:ascii="Times New Roman" w:hAnsi="宋体" w:eastAsia="宋体" w:cs="宋体"/>
          <w:color w:val="auto"/>
          <w:sz w:val="21"/>
          <w:szCs w:val="24"/>
          <w:highlight w:val="none"/>
        </w:rPr>
        <w:t>应急预案中有</w:t>
      </w:r>
      <w:r>
        <w:rPr>
          <w:rFonts w:hint="eastAsia" w:ascii="宋体" w:hAnsi="宋体" w:eastAsia="宋体" w:cs="Times New Roman"/>
          <w:color w:val="auto"/>
          <w:sz w:val="21"/>
          <w:szCs w:val="21"/>
          <w:highlight w:val="none"/>
        </w:rPr>
        <w:t>完整、详细的安全、消防、自然灾害、设备故障处置等应急措施，有详细处理流程、步骤、方法及保障措施，且预案具有可行性、合理性、规范性、针对性的。</w:t>
      </w:r>
    </w:p>
    <w:p w14:paraId="3B9625A6">
      <w:pPr>
        <w:pStyle w:val="25"/>
        <w:spacing w:line="400" w:lineRule="exact"/>
        <w:ind w:firstLine="407" w:firstLineChars="193"/>
        <w:rPr>
          <w:rFonts w:ascii="宋体" w:hAnsi="宋体" w:cs="宋体"/>
          <w:b/>
          <w:bCs/>
          <w:color w:val="auto"/>
          <w:sz w:val="21"/>
          <w:szCs w:val="21"/>
          <w:highlight w:val="none"/>
        </w:rPr>
      </w:pPr>
      <w:r>
        <w:rPr>
          <w:rFonts w:hint="eastAsia" w:ascii="宋体" w:hAnsi="宋体" w:cs="宋体"/>
          <w:b/>
          <w:bCs/>
          <w:color w:val="auto"/>
          <w:sz w:val="21"/>
          <w:szCs w:val="21"/>
          <w:highlight w:val="none"/>
        </w:rPr>
        <w:t>注：</w:t>
      </w:r>
      <w:r>
        <w:rPr>
          <w:rFonts w:hint="eastAsia" w:ascii="宋体" w:hAnsi="宋体" w:cs="宋体"/>
          <w:b/>
          <w:bCs/>
          <w:color w:val="auto"/>
          <w:sz w:val="21"/>
          <w:szCs w:val="21"/>
          <w:highlight w:val="none"/>
          <w:lang w:val="en-US"/>
        </w:rPr>
        <w:t>供应商</w:t>
      </w:r>
      <w:r>
        <w:rPr>
          <w:rFonts w:hint="eastAsia" w:ascii="宋体" w:hAnsi="宋体" w:cs="宋体"/>
          <w:b/>
          <w:bCs/>
          <w:color w:val="auto"/>
          <w:sz w:val="21"/>
          <w:szCs w:val="21"/>
          <w:highlight w:val="none"/>
        </w:rPr>
        <w:t>未提供</w:t>
      </w:r>
      <w:r>
        <w:rPr>
          <w:rFonts w:hint="eastAsia" w:ascii="宋体" w:hAnsi="宋体" w:cs="宋体"/>
          <w:b/>
          <w:bCs/>
          <w:color w:val="auto"/>
          <w:sz w:val="21"/>
          <w:szCs w:val="21"/>
          <w:highlight w:val="none"/>
          <w:lang w:val="en-US"/>
        </w:rPr>
        <w:t>项目实施</w:t>
      </w:r>
      <w:r>
        <w:rPr>
          <w:rFonts w:hint="eastAsia" w:ascii="宋体" w:hAnsi="宋体" w:cs="宋体"/>
          <w:b/>
          <w:bCs/>
          <w:color w:val="auto"/>
          <w:sz w:val="21"/>
          <w:szCs w:val="21"/>
          <w:highlight w:val="none"/>
        </w:rPr>
        <w:t>方案相应内容或所提供的内容未达到一档档次的，相应不予得分。</w:t>
      </w:r>
    </w:p>
    <w:p w14:paraId="0A2F2BF9">
      <w:pPr>
        <w:tabs>
          <w:tab w:val="left" w:pos="4214"/>
        </w:tabs>
        <w:spacing w:line="400" w:lineRule="exact"/>
        <w:ind w:firstLine="422"/>
        <w:rPr>
          <w:rFonts w:ascii="宋体" w:hAnsi="宋体"/>
          <w:b/>
          <w:color w:val="auto"/>
          <w:sz w:val="21"/>
          <w:szCs w:val="21"/>
          <w:highlight w:val="none"/>
        </w:rPr>
      </w:pPr>
      <w:r>
        <w:rPr>
          <w:rFonts w:hint="eastAsia" w:ascii="宋体" w:hAnsi="宋体"/>
          <w:b/>
          <w:color w:val="auto"/>
          <w:sz w:val="21"/>
          <w:szCs w:val="21"/>
          <w:highlight w:val="none"/>
        </w:rPr>
        <w:t>3.履约能力分………………………………………………………………19分</w:t>
      </w:r>
    </w:p>
    <w:p w14:paraId="4EB69AB1">
      <w:pPr>
        <w:tabs>
          <w:tab w:val="left" w:pos="4214"/>
        </w:tabs>
        <w:spacing w:line="400" w:lineRule="exact"/>
        <w:ind w:firstLine="420"/>
        <w:rPr>
          <w:rFonts w:ascii="宋体" w:hAnsi="宋体"/>
          <w:color w:val="auto"/>
          <w:sz w:val="21"/>
          <w:szCs w:val="21"/>
          <w:highlight w:val="none"/>
        </w:rPr>
      </w:pPr>
      <w:r>
        <w:rPr>
          <w:rFonts w:hint="eastAsia" w:ascii="宋体" w:hAnsi="宋体"/>
          <w:color w:val="auto"/>
          <w:sz w:val="21"/>
          <w:szCs w:val="21"/>
          <w:highlight w:val="none"/>
        </w:rPr>
        <w:t>（1）供应商通过ISO9001质量管理体系认证、ISO4001环境管理体系认证、ISO45001职业健康安全管理体系认证，认证范围包括水质监测设备的运维服务或水质监测设备的销售且有效的（供应商于响应文件中提供相关有效认证证书复印件，并加盖供应商电子签章），每有1项得1分，本项最多得3分。</w:t>
      </w:r>
    </w:p>
    <w:p w14:paraId="4E594AB9">
      <w:pPr>
        <w:spacing w:line="420" w:lineRule="exact"/>
        <w:ind w:firstLine="420" w:firstLineChars="0"/>
        <w:rPr>
          <w:rFonts w:ascii="宋体" w:hAnsi="宋体"/>
          <w:bCs/>
          <w:color w:val="auto"/>
          <w:sz w:val="21"/>
          <w:szCs w:val="21"/>
          <w:highlight w:val="none"/>
        </w:rPr>
      </w:pPr>
      <w:r>
        <w:rPr>
          <w:rFonts w:hint="eastAsia" w:ascii="宋体" w:hAnsi="宋体"/>
          <w:bCs/>
          <w:color w:val="auto"/>
          <w:sz w:val="21"/>
          <w:szCs w:val="21"/>
          <w:highlight w:val="none"/>
        </w:rPr>
        <w:t>（2）拟投入本项目运营维护人员具有</w:t>
      </w:r>
      <w:r>
        <w:rPr>
          <w:rFonts w:hint="eastAsia"/>
          <w:color w:val="auto"/>
          <w:sz w:val="21"/>
          <w:szCs w:val="24"/>
          <w:highlight w:val="none"/>
        </w:rPr>
        <w:t>相关行政部门颁发的</w:t>
      </w:r>
      <w:r>
        <w:rPr>
          <w:rFonts w:hint="eastAsia" w:ascii="宋体" w:hAnsi="宋体"/>
          <w:bCs/>
          <w:color w:val="auto"/>
          <w:sz w:val="21"/>
          <w:szCs w:val="21"/>
          <w:highlight w:val="none"/>
        </w:rPr>
        <w:t>地表水环境质量自动监测技术与运维管理培训合格证并提供有效培训合格证复印件及运营维护人员为供应商正式员工的证明材料（供应商为其缴纳2026年1月以来任意一个月的社保证明复印件或劳动合同复印件或工资流水证明等，并加盖供应商电子签章），每有 1 人得1分，本项最多得4分。</w:t>
      </w:r>
    </w:p>
    <w:p w14:paraId="52946D8D">
      <w:pPr>
        <w:spacing w:line="420" w:lineRule="exact"/>
        <w:ind w:firstLine="420" w:firstLineChars="0"/>
        <w:rPr>
          <w:rFonts w:ascii="宋体" w:hAnsi="宋体" w:cs="宋体"/>
          <w:color w:val="auto"/>
          <w:sz w:val="21"/>
          <w:szCs w:val="24"/>
          <w:highlight w:val="none"/>
        </w:rPr>
      </w:pPr>
      <w:r>
        <w:rPr>
          <w:rFonts w:hint="eastAsia" w:ascii="宋体" w:hAnsi="宋体" w:cs="宋体"/>
          <w:color w:val="auto"/>
          <w:sz w:val="21"/>
          <w:szCs w:val="24"/>
          <w:highlight w:val="none"/>
        </w:rPr>
        <w:t>（3）供应商提供本项目运行维护所需的1套设备备机（</w:t>
      </w:r>
      <w:r>
        <w:rPr>
          <w:rFonts w:hint="eastAsia" w:ascii="宋体" w:hAnsi="宋体" w:cs="宋体"/>
          <w:color w:val="auto"/>
          <w:sz w:val="21"/>
          <w:szCs w:val="21"/>
          <w:highlight w:val="none"/>
        </w:rPr>
        <w:t>常规五参数、高锰酸盐指数、氨氮、总磷、总氮、铜、铅、锌、镉、砷、汞、六价铬</w:t>
      </w:r>
      <w:r>
        <w:rPr>
          <w:rFonts w:hint="eastAsia" w:ascii="宋体" w:hAnsi="宋体" w:cs="宋体"/>
          <w:color w:val="auto"/>
          <w:sz w:val="21"/>
          <w:szCs w:val="24"/>
          <w:highlight w:val="none"/>
        </w:rPr>
        <w:t>）具有CCEP认证证书的（供应商于响应文件中提供相关有效证明材料，并加盖供应商电子签章），每提供1个产品，得1分，本项最多得4分。</w:t>
      </w:r>
    </w:p>
    <w:p w14:paraId="233BABF7">
      <w:pPr>
        <w:spacing w:line="400" w:lineRule="exact"/>
        <w:ind w:firstLine="420"/>
        <w:jc w:val="left"/>
        <w:outlineLvl w:val="0"/>
        <w:rPr>
          <w:rFonts w:ascii="宋体" w:hAnsi="宋体" w:cs="宋体"/>
          <w:color w:val="auto"/>
          <w:sz w:val="21"/>
          <w:szCs w:val="24"/>
          <w:highlight w:val="none"/>
        </w:rPr>
      </w:pPr>
      <w:r>
        <w:rPr>
          <w:rFonts w:hint="eastAsia" w:ascii="宋体" w:hAnsi="宋体" w:cs="宋体"/>
          <w:color w:val="auto"/>
          <w:sz w:val="21"/>
          <w:szCs w:val="24"/>
          <w:highlight w:val="none"/>
        </w:rPr>
        <w:t>（4）业绩分：供应商</w:t>
      </w:r>
      <w:r>
        <w:rPr>
          <w:rFonts w:hint="eastAsia" w:ascii="宋体" w:hAnsi="宋体"/>
          <w:color w:val="auto"/>
          <w:sz w:val="21"/>
          <w:szCs w:val="24"/>
          <w:highlight w:val="none"/>
        </w:rPr>
        <w:t>2021年1月1日以来</w:t>
      </w:r>
      <w:r>
        <w:rPr>
          <w:rFonts w:hint="eastAsia" w:ascii="宋体" w:hAnsi="宋体" w:cs="宋体"/>
          <w:color w:val="auto"/>
          <w:sz w:val="21"/>
          <w:szCs w:val="24"/>
          <w:highlight w:val="none"/>
        </w:rPr>
        <w:t>具有同类或类似运营维护服务业绩（以中标、成交通知书或合同复印件为准并加盖供应商电子签章为计分依据，能清晰反映项目名称、类型、合同签订日期</w:t>
      </w:r>
      <w:r>
        <w:rPr>
          <w:rFonts w:hint="eastAsia" w:ascii="宋体" w:hAnsi="宋体"/>
          <w:color w:val="auto"/>
          <w:sz w:val="21"/>
          <w:szCs w:val="24"/>
          <w:highlight w:val="none"/>
        </w:rPr>
        <w:t>，否则，不得分；同一个编号的项目有两个或两个以上的分标中标的只算一次</w:t>
      </w:r>
      <w:r>
        <w:rPr>
          <w:rFonts w:hint="eastAsia" w:ascii="宋体" w:hAnsi="宋体" w:cs="宋体"/>
          <w:color w:val="auto"/>
          <w:sz w:val="21"/>
          <w:szCs w:val="24"/>
          <w:highlight w:val="none"/>
        </w:rPr>
        <w:t>），</w:t>
      </w:r>
      <w:r>
        <w:rPr>
          <w:rFonts w:hint="eastAsia" w:ascii="宋体" w:hAnsi="宋体" w:cs="宋体"/>
          <w:color w:val="auto"/>
          <w:sz w:val="21"/>
          <w:szCs w:val="24"/>
          <w:highlight w:val="none"/>
          <w:lang w:bidi="zh-CN"/>
        </w:rPr>
        <w:t>每个得1分</w:t>
      </w:r>
      <w:r>
        <w:rPr>
          <w:rFonts w:hint="eastAsia" w:ascii="宋体" w:hAnsi="宋体" w:cs="宋体"/>
          <w:color w:val="auto"/>
          <w:sz w:val="21"/>
          <w:szCs w:val="24"/>
          <w:highlight w:val="none"/>
        </w:rPr>
        <w:t>，本项最多得3分。</w:t>
      </w:r>
    </w:p>
    <w:p w14:paraId="4340F23B">
      <w:pPr>
        <w:spacing w:line="360" w:lineRule="exact"/>
        <w:ind w:firstLine="420"/>
        <w:rPr>
          <w:rFonts w:ascii="宋体" w:hAnsi="宋体"/>
          <w:color w:val="auto"/>
          <w:sz w:val="21"/>
          <w:szCs w:val="21"/>
          <w:highlight w:val="none"/>
        </w:rPr>
      </w:pPr>
      <w:r>
        <w:rPr>
          <w:rFonts w:hint="eastAsia" w:ascii="宋体" w:hAnsi="宋体"/>
          <w:color w:val="auto"/>
          <w:sz w:val="21"/>
          <w:szCs w:val="21"/>
          <w:highlight w:val="none"/>
        </w:rPr>
        <w:t>（5）供应商在以往环境监测服务中未受到各级环保主管部门行政处罚、通报、记不良记录、记过或存在弄虚作假等不良行为记录的</w:t>
      </w:r>
      <w:r>
        <w:rPr>
          <w:rFonts w:hint="eastAsia" w:ascii="宋体" w:hAnsi="宋体"/>
          <w:b/>
          <w:color w:val="auto"/>
          <w:sz w:val="21"/>
          <w:szCs w:val="21"/>
          <w:highlight w:val="none"/>
        </w:rPr>
        <w:t>【供应商于响应文件中提供相应承诺函，加盖供应商电子签章为准（供应商提供的承诺必须真实有效，若经查实存在虚假承诺的情形，则采购人有权取消其成交资格，并上报监督管理部门处理，且保留追究法律责任的权利）】</w:t>
      </w:r>
      <w:r>
        <w:rPr>
          <w:rFonts w:hint="eastAsia" w:ascii="宋体" w:hAnsi="宋体"/>
          <w:color w:val="auto"/>
          <w:sz w:val="21"/>
          <w:szCs w:val="21"/>
          <w:highlight w:val="none"/>
        </w:rPr>
        <w:t>，得5分，未提供相应承诺函或有不良记录的，不得分。</w:t>
      </w:r>
    </w:p>
    <w:p w14:paraId="2D99908F">
      <w:pPr>
        <w:tabs>
          <w:tab w:val="left" w:pos="4214"/>
        </w:tabs>
        <w:spacing w:line="400" w:lineRule="exact"/>
        <w:ind w:firstLine="422"/>
        <w:rPr>
          <w:rFonts w:ascii="宋体" w:hAnsi="宋体"/>
          <w:b/>
          <w:color w:val="auto"/>
          <w:sz w:val="21"/>
          <w:szCs w:val="21"/>
          <w:highlight w:val="none"/>
        </w:rPr>
      </w:pPr>
      <w:r>
        <w:rPr>
          <w:rFonts w:hint="eastAsia" w:ascii="宋体" w:hAnsi="宋体"/>
          <w:b/>
          <w:color w:val="auto"/>
          <w:sz w:val="21"/>
          <w:szCs w:val="21"/>
          <w:highlight w:val="none"/>
        </w:rPr>
        <w:t>4.服务方案分………………………………………………………………9分</w:t>
      </w:r>
    </w:p>
    <w:p w14:paraId="1ECC7F67">
      <w:pPr>
        <w:widowControl w:val="0"/>
        <w:spacing w:line="400" w:lineRule="exact"/>
        <w:ind w:firstLine="411" w:firstLineChars="196"/>
        <w:jc w:val="both"/>
        <w:outlineLvl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（1）服务承诺方案：</w:t>
      </w:r>
    </w:p>
    <w:p w14:paraId="2A93CDFD">
      <w:pPr>
        <w:widowControl w:val="0"/>
        <w:spacing w:line="400" w:lineRule="exact"/>
        <w:ind w:firstLine="411" w:firstLineChars="196"/>
        <w:jc w:val="both"/>
        <w:outlineLvl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由磋商小组各成员对各供应商提供的服务承诺方案的完整性、可行性、响应时间、响应保障措施、出现问题解决方案内容进行独立评审，并按以下规定独立打分：</w:t>
      </w:r>
    </w:p>
    <w:p w14:paraId="1B0B966A">
      <w:pPr>
        <w:widowControl w:val="0"/>
        <w:tabs>
          <w:tab w:val="left" w:pos="4214"/>
        </w:tabs>
        <w:spacing w:line="40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一档（2分）：服务承诺方案描述</w:t>
      </w:r>
      <w:r>
        <w:rPr>
          <w:rFonts w:hint="eastAsia" w:ascii="宋体" w:hAnsi="宋体" w:cs="Times New Roman"/>
          <w:color w:val="auto"/>
          <w:kern w:val="2"/>
          <w:sz w:val="21"/>
          <w:szCs w:val="21"/>
          <w:highlight w:val="none"/>
          <w:lang w:val="en-US" w:eastAsia="zh-CN" w:bidi="ar-SA"/>
        </w:rPr>
        <w:t>不够具体</w:t>
      </w:r>
      <w:r>
        <w:rPr>
          <w:rFonts w:hint="eastAsia" w:ascii="宋体" w:hAnsi="宋体" w:eastAsia="宋体" w:cs="Times New Roman"/>
          <w:color w:val="auto"/>
          <w:kern w:val="2"/>
          <w:sz w:val="21"/>
          <w:szCs w:val="21"/>
          <w:highlight w:val="none"/>
          <w:lang w:val="en-US" w:eastAsia="zh-CN" w:bidi="ar-SA"/>
        </w:rPr>
        <w:t>；响应时间明确，响应保障措施、出现问题解决方案基本合理、可行的；</w:t>
      </w:r>
    </w:p>
    <w:p w14:paraId="21BF7B71">
      <w:pPr>
        <w:widowControl w:val="0"/>
        <w:tabs>
          <w:tab w:val="left" w:pos="4214"/>
        </w:tabs>
        <w:spacing w:line="40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档（4分）：服务承诺方案较详细描述、具有合理性、可行性、针对性一般，服务经验较丰富，符合本项目需求；响应时间明确且优于竞争性磋商文件要求，响应保障措施、出现问题解决方案较严谨、有力、可行；</w:t>
      </w:r>
    </w:p>
    <w:p w14:paraId="5C985035">
      <w:pPr>
        <w:widowControl w:val="0"/>
        <w:tabs>
          <w:tab w:val="left" w:pos="4214"/>
        </w:tabs>
        <w:spacing w:line="40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档（6分）：服务承诺方案、响应保障措施、出现问题解决方案详细描述、精准、具有合理性、可行性、针对性强，服务经验丰富，符合本项目需求；响应及到达现场时间（包括但不限于水站仪器、设备出现故障，水质自动站监测数据发现异常或发现所在断面发生污染事故，</w:t>
      </w:r>
      <w:r>
        <w:rPr>
          <w:rFonts w:hint="eastAsia" w:ascii="宋体" w:hAnsi="宋体" w:eastAsia="宋体" w:cs="宋体"/>
          <w:color w:val="auto"/>
          <w:kern w:val="2"/>
          <w:sz w:val="21"/>
          <w:szCs w:val="21"/>
          <w:highlight w:val="none"/>
          <w:lang w:val="en-US" w:eastAsia="zh-CN" w:bidi="ar-SA"/>
        </w:rPr>
        <w:t>突发和紧急情况等</w:t>
      </w:r>
      <w:r>
        <w:rPr>
          <w:rFonts w:hint="eastAsia" w:ascii="宋体" w:hAnsi="宋体" w:eastAsia="宋体" w:cs="Times New Roman"/>
          <w:color w:val="auto"/>
          <w:kern w:val="2"/>
          <w:sz w:val="21"/>
          <w:szCs w:val="21"/>
          <w:highlight w:val="none"/>
          <w:lang w:val="en-US" w:eastAsia="zh-CN" w:bidi="ar-SA"/>
        </w:rPr>
        <w:t>）优于竞争性磋商文件要求；能</w:t>
      </w:r>
      <w:r>
        <w:rPr>
          <w:rFonts w:hint="eastAsia" w:ascii="宋体" w:hAnsi="宋体" w:eastAsia="宋体" w:cs="宋体"/>
          <w:color w:val="auto"/>
          <w:kern w:val="2"/>
          <w:sz w:val="21"/>
          <w:szCs w:val="21"/>
          <w:highlight w:val="none"/>
          <w:lang w:val="en-US" w:eastAsia="zh-CN" w:bidi="ar-SA"/>
        </w:rPr>
        <w:t>提供一站式、全面、专业的服务的；</w:t>
      </w:r>
      <w:r>
        <w:rPr>
          <w:rFonts w:hint="eastAsia" w:ascii="宋体" w:hAnsi="宋体" w:eastAsia="宋体" w:cs="Times New Roman"/>
          <w:color w:val="auto"/>
          <w:kern w:val="2"/>
          <w:sz w:val="21"/>
          <w:szCs w:val="21"/>
          <w:highlight w:val="none"/>
          <w:lang w:val="en-US" w:eastAsia="zh-CN" w:bidi="ar-SA"/>
        </w:rPr>
        <w:t>服务承诺方案能提供服务保障措施、服务细则、承诺按时间节点完成各项记录、监测工作、服务能力保障及有利于提高本项目服务质量的建议和措施的。</w:t>
      </w:r>
    </w:p>
    <w:p w14:paraId="4AA3AB92">
      <w:pPr>
        <w:pStyle w:val="25"/>
        <w:spacing w:line="400" w:lineRule="exact"/>
        <w:ind w:firstLine="407" w:firstLineChars="193"/>
        <w:rPr>
          <w:rFonts w:ascii="宋体" w:hAnsi="宋体" w:cs="宋体"/>
          <w:b/>
          <w:bCs/>
          <w:color w:val="auto"/>
          <w:sz w:val="21"/>
          <w:szCs w:val="21"/>
          <w:highlight w:val="none"/>
        </w:rPr>
      </w:pPr>
      <w:r>
        <w:rPr>
          <w:rFonts w:hint="eastAsia" w:ascii="宋体" w:hAnsi="宋体" w:cs="宋体"/>
          <w:b/>
          <w:bCs/>
          <w:color w:val="auto"/>
          <w:sz w:val="21"/>
          <w:szCs w:val="21"/>
          <w:highlight w:val="none"/>
        </w:rPr>
        <w:t>注：</w:t>
      </w:r>
      <w:r>
        <w:rPr>
          <w:rFonts w:hint="eastAsia" w:ascii="宋体" w:hAnsi="宋体" w:cs="宋体"/>
          <w:b/>
          <w:bCs/>
          <w:color w:val="auto"/>
          <w:sz w:val="21"/>
          <w:szCs w:val="21"/>
          <w:highlight w:val="none"/>
          <w:lang w:val="en-US"/>
        </w:rPr>
        <w:t>供应商</w:t>
      </w:r>
      <w:r>
        <w:rPr>
          <w:rFonts w:hint="eastAsia" w:ascii="宋体" w:hAnsi="宋体" w:cs="宋体"/>
          <w:b/>
          <w:bCs/>
          <w:color w:val="auto"/>
          <w:sz w:val="21"/>
          <w:szCs w:val="21"/>
          <w:highlight w:val="none"/>
        </w:rPr>
        <w:t>未提供</w:t>
      </w:r>
      <w:r>
        <w:rPr>
          <w:rFonts w:hint="eastAsia" w:ascii="宋体" w:hAnsi="宋体" w:cs="宋体"/>
          <w:b/>
          <w:bCs/>
          <w:color w:val="auto"/>
          <w:sz w:val="21"/>
          <w:szCs w:val="21"/>
          <w:highlight w:val="none"/>
          <w:lang w:val="en-US"/>
        </w:rPr>
        <w:t>服务方案</w:t>
      </w:r>
      <w:r>
        <w:rPr>
          <w:rFonts w:hint="eastAsia" w:ascii="宋体" w:hAnsi="宋体" w:cs="宋体"/>
          <w:b/>
          <w:bCs/>
          <w:color w:val="auto"/>
          <w:sz w:val="21"/>
          <w:szCs w:val="21"/>
          <w:highlight w:val="none"/>
        </w:rPr>
        <w:t>相应内容或所提供的内容未达到一档档次的，相应不予得分。</w:t>
      </w:r>
    </w:p>
    <w:p w14:paraId="364FE0FE">
      <w:pPr>
        <w:widowControl w:val="0"/>
        <w:tabs>
          <w:tab w:val="left" w:pos="4214"/>
        </w:tabs>
        <w:spacing w:line="40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服务保障能力：供应商能提供“水站仪器、设备出现故障或当水质自动站监测数据发现异常或发现所在断面发生污染事故时，1小时内赶赴现场对事故进行处理并恢复正常运行”相应到达各站点（漓江活动试验坝、大河环境自动监测站、漓江双潭村站）现场时间的相关证明材料且被磋商小组认可的，得3分。</w:t>
      </w:r>
    </w:p>
    <w:p w14:paraId="78F82B63">
      <w:pPr>
        <w:widowControl w:val="0"/>
        <w:tabs>
          <w:tab w:val="left" w:pos="4214"/>
        </w:tabs>
        <w:spacing w:line="400" w:lineRule="exact"/>
        <w:ind w:firstLine="422" w:firstLineChars="200"/>
        <w:jc w:val="both"/>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（注：相关证明材料可以是供应商注册地或相应的分公司或售后服务点距项目实施各站点的里程地图截图、相应的营业执照复印件及技术人员的姓名、联系电话等，并加供应商电子签章，否则，不得分。）</w:t>
      </w:r>
    </w:p>
    <w:p w14:paraId="20E6A42C">
      <w:pPr>
        <w:spacing w:line="360" w:lineRule="exact"/>
        <w:ind w:firstLine="420" w:firstLineChars="0"/>
        <w:jc w:val="left"/>
        <w:rPr>
          <w:rFonts w:ascii="宋体" w:hAnsi="宋体" w:cs="宋体"/>
          <w:b/>
          <w:color w:val="auto"/>
          <w:sz w:val="21"/>
          <w:szCs w:val="21"/>
          <w:highlight w:val="none"/>
        </w:rPr>
      </w:pPr>
    </w:p>
    <w:p w14:paraId="4B34FE55">
      <w:pPr>
        <w:adjustRightInd w:val="0"/>
        <w:snapToGrid w:val="0"/>
        <w:spacing w:line="360" w:lineRule="exact"/>
        <w:ind w:firstLine="422"/>
        <w:rPr>
          <w:rFonts w:ascii="宋体" w:hAnsi="宋体" w:cs="宋体"/>
          <w:b/>
          <w:color w:val="auto"/>
          <w:kern w:val="0"/>
          <w:sz w:val="21"/>
          <w:szCs w:val="20"/>
          <w:highlight w:val="none"/>
        </w:rPr>
      </w:pPr>
      <w:r>
        <w:rPr>
          <w:rFonts w:hint="eastAsia" w:ascii="宋体" w:hAnsi="宋体" w:cs="宋体"/>
          <w:b/>
          <w:color w:val="auto"/>
          <w:kern w:val="0"/>
          <w:sz w:val="21"/>
          <w:szCs w:val="20"/>
          <w:highlight w:val="none"/>
        </w:rPr>
        <w:t>5.综合得分为以上各项评审因素得分合计。</w:t>
      </w:r>
    </w:p>
    <w:p w14:paraId="4B0DCE42">
      <w:pPr>
        <w:spacing w:line="360" w:lineRule="exact"/>
        <w:ind w:firstLine="420" w:firstLineChars="0"/>
        <w:jc w:val="left"/>
        <w:rPr>
          <w:rFonts w:ascii="宋体" w:hAnsi="宋体" w:cs="宋体"/>
          <w:b/>
          <w:color w:val="auto"/>
          <w:sz w:val="21"/>
          <w:szCs w:val="21"/>
          <w:highlight w:val="none"/>
        </w:rPr>
      </w:pPr>
    </w:p>
    <w:p w14:paraId="0799B7AB">
      <w:pPr>
        <w:spacing w:line="360" w:lineRule="exact"/>
        <w:ind w:firstLine="420" w:firstLineChars="0"/>
        <w:jc w:val="left"/>
        <w:rPr>
          <w:rFonts w:ascii="宋体" w:hAnsi="宋体" w:cs="宋体"/>
          <w:b/>
          <w:color w:val="auto"/>
          <w:sz w:val="21"/>
          <w:szCs w:val="21"/>
          <w:highlight w:val="none"/>
        </w:rPr>
      </w:pPr>
    </w:p>
    <w:p w14:paraId="2F27DB1C">
      <w:pPr>
        <w:spacing w:line="360" w:lineRule="exact"/>
        <w:ind w:firstLine="420" w:firstLineChars="0"/>
        <w:jc w:val="left"/>
        <w:rPr>
          <w:rFonts w:ascii="宋体" w:hAnsi="宋体" w:cs="宋体"/>
          <w:b/>
          <w:color w:val="auto"/>
          <w:sz w:val="21"/>
          <w:szCs w:val="21"/>
          <w:highlight w:val="none"/>
        </w:rPr>
      </w:pPr>
    </w:p>
    <w:p w14:paraId="270D9FA9">
      <w:pPr>
        <w:spacing w:line="360" w:lineRule="exact"/>
        <w:ind w:firstLine="420" w:firstLineChars="0"/>
        <w:jc w:val="left"/>
        <w:rPr>
          <w:rFonts w:ascii="宋体" w:hAnsi="宋体" w:cs="宋体"/>
          <w:b/>
          <w:color w:val="auto"/>
          <w:sz w:val="21"/>
          <w:szCs w:val="21"/>
          <w:highlight w:val="none"/>
        </w:rPr>
      </w:pPr>
    </w:p>
    <w:p w14:paraId="50B2CBBE">
      <w:pPr>
        <w:spacing w:line="360" w:lineRule="exact"/>
        <w:ind w:firstLine="420" w:firstLineChars="0"/>
        <w:jc w:val="left"/>
        <w:rPr>
          <w:rFonts w:ascii="宋体" w:hAnsi="宋体" w:cs="宋体"/>
          <w:b/>
          <w:color w:val="auto"/>
          <w:sz w:val="21"/>
          <w:szCs w:val="21"/>
          <w:highlight w:val="none"/>
        </w:rPr>
      </w:pPr>
      <w:r>
        <w:rPr>
          <w:rFonts w:hint="eastAsia" w:ascii="宋体" w:hAnsi="宋体" w:cs="宋体"/>
          <w:b/>
          <w:color w:val="auto"/>
          <w:sz w:val="21"/>
          <w:szCs w:val="21"/>
          <w:highlight w:val="none"/>
        </w:rPr>
        <w:t>适用于分标3</w:t>
      </w:r>
    </w:p>
    <w:p w14:paraId="763F1E73">
      <w:pPr>
        <w:spacing w:line="360" w:lineRule="exact"/>
        <w:ind w:firstLine="420" w:firstLineChars="0"/>
        <w:jc w:val="left"/>
        <w:rPr>
          <w:rFonts w:ascii="宋体" w:hAnsi="宋体" w:cs="宋体"/>
          <w:bCs/>
          <w:color w:val="auto"/>
          <w:sz w:val="21"/>
          <w:szCs w:val="21"/>
          <w:highlight w:val="none"/>
        </w:rPr>
      </w:pPr>
      <w:r>
        <w:rPr>
          <w:rFonts w:hint="eastAsia" w:ascii="宋体" w:hAnsi="宋体" w:cs="宋体"/>
          <w:b/>
          <w:color w:val="auto"/>
          <w:sz w:val="21"/>
          <w:szCs w:val="21"/>
          <w:highlight w:val="none"/>
        </w:rPr>
        <w:t>1.</w:t>
      </w:r>
      <w:r>
        <w:rPr>
          <w:rFonts w:hint="eastAsia" w:ascii="宋体" w:hAnsi="宋体" w:cs="宋体"/>
          <w:b/>
          <w:bCs/>
          <w:color w:val="auto"/>
          <w:sz w:val="21"/>
          <w:szCs w:val="21"/>
          <w:highlight w:val="none"/>
        </w:rPr>
        <w:t>价格分</w:t>
      </w:r>
      <w:r>
        <w:rPr>
          <w:rFonts w:hint="eastAsia" w:ascii="宋体" w:hAnsi="宋体" w:cs="宋体"/>
          <w:bCs/>
          <w:color w:val="auto"/>
          <w:sz w:val="21"/>
          <w:szCs w:val="21"/>
          <w:highlight w:val="none"/>
        </w:rPr>
        <w:t>…………………………………………………………………………………</w:t>
      </w:r>
      <w:r>
        <w:rPr>
          <w:rFonts w:hint="eastAsia" w:ascii="宋体" w:hAnsi="宋体" w:cs="宋体"/>
          <w:b/>
          <w:bCs/>
          <w:color w:val="auto"/>
          <w:sz w:val="21"/>
          <w:szCs w:val="20"/>
          <w:highlight w:val="none"/>
        </w:rPr>
        <w:t>……</w:t>
      </w:r>
      <w:r>
        <w:rPr>
          <w:rFonts w:hint="eastAsia" w:ascii="宋体" w:hAnsi="宋体" w:cs="宋体"/>
          <w:bCs/>
          <w:color w:val="auto"/>
          <w:sz w:val="21"/>
          <w:szCs w:val="21"/>
          <w:highlight w:val="none"/>
        </w:rPr>
        <w:t>…</w:t>
      </w:r>
      <w:r>
        <w:rPr>
          <w:rFonts w:hint="eastAsia" w:ascii="宋体" w:hAnsi="宋体" w:cs="宋体"/>
          <w:b/>
          <w:bCs/>
          <w:color w:val="auto"/>
          <w:sz w:val="21"/>
          <w:szCs w:val="21"/>
          <w:highlight w:val="none"/>
        </w:rPr>
        <w:t>…30分</w:t>
      </w:r>
    </w:p>
    <w:p w14:paraId="6E80073A">
      <w:pPr>
        <w:pStyle w:val="25"/>
        <w:adjustRightInd w:val="0"/>
        <w:snapToGrid w:val="0"/>
        <w:spacing w:line="360" w:lineRule="exact"/>
        <w:ind w:firstLine="420"/>
        <w:rPr>
          <w:rFonts w:ascii="宋体" w:hAnsi="宋体" w:cs="宋体"/>
          <w:bCs/>
          <w:color w:val="auto"/>
          <w:kern w:val="0"/>
          <w:sz w:val="21"/>
          <w:szCs w:val="21"/>
          <w:highlight w:val="none"/>
        </w:rPr>
      </w:pPr>
      <w:r>
        <w:rPr>
          <w:rFonts w:hint="eastAsia" w:ascii="宋体" w:hAnsi="宋体" w:cs="宋体"/>
          <w:color w:val="auto"/>
          <w:kern w:val="0"/>
          <w:sz w:val="21"/>
          <w:szCs w:val="21"/>
          <w:highlight w:val="none"/>
        </w:rPr>
        <w:t>（1）以进入综合评分环节的最低的最后报价为基准价，基准价报价得分为</w:t>
      </w:r>
      <w:r>
        <w:rPr>
          <w:rFonts w:hint="eastAsia" w:ascii="宋体" w:hAnsi="宋体" w:cs="宋体"/>
          <w:color w:val="auto"/>
          <w:kern w:val="0"/>
          <w:sz w:val="21"/>
          <w:szCs w:val="21"/>
          <w:highlight w:val="none"/>
          <w:lang w:val="en-US"/>
        </w:rPr>
        <w:t>30</w:t>
      </w:r>
      <w:r>
        <w:rPr>
          <w:rFonts w:hint="eastAsia" w:ascii="宋体" w:hAnsi="宋体" w:cs="宋体"/>
          <w:color w:val="auto"/>
          <w:kern w:val="0"/>
          <w:sz w:val="21"/>
          <w:szCs w:val="21"/>
          <w:highlight w:val="none"/>
        </w:rPr>
        <w:t>分。</w:t>
      </w:r>
    </w:p>
    <w:p w14:paraId="40A23A2D">
      <w:pPr>
        <w:pStyle w:val="25"/>
        <w:adjustRightInd w:val="0"/>
        <w:snapToGrid w:val="0"/>
        <w:spacing w:line="36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bCs/>
          <w:color w:val="auto"/>
          <w:kern w:val="0"/>
          <w:sz w:val="21"/>
          <w:szCs w:val="21"/>
          <w:highlight w:val="none"/>
        </w:rPr>
        <w:t>供应商</w:t>
      </w:r>
      <w:r>
        <w:rPr>
          <w:rFonts w:hint="eastAsia" w:ascii="宋体" w:hAnsi="宋体" w:cs="宋体"/>
          <w:color w:val="auto"/>
          <w:kern w:val="0"/>
          <w:sz w:val="21"/>
          <w:szCs w:val="21"/>
          <w:highlight w:val="none"/>
        </w:rPr>
        <w:t>磋商报价得分=（磋商基准价/供应商的最后报价）×</w:t>
      </w:r>
      <w:r>
        <w:rPr>
          <w:rFonts w:hint="eastAsia" w:ascii="宋体" w:hAnsi="宋体" w:cs="宋体"/>
          <w:color w:val="auto"/>
          <w:kern w:val="0"/>
          <w:sz w:val="21"/>
          <w:szCs w:val="21"/>
          <w:highlight w:val="none"/>
          <w:lang w:val="en-US"/>
        </w:rPr>
        <w:t>30</w:t>
      </w:r>
      <w:r>
        <w:rPr>
          <w:rFonts w:hint="eastAsia" w:ascii="宋体" w:hAnsi="宋体" w:cs="宋体"/>
          <w:color w:val="auto"/>
          <w:kern w:val="0"/>
          <w:sz w:val="21"/>
          <w:szCs w:val="21"/>
          <w:highlight w:val="none"/>
        </w:rPr>
        <w:t>分。</w:t>
      </w:r>
    </w:p>
    <w:p w14:paraId="2A9E9ECD">
      <w:pPr>
        <w:spacing w:line="360" w:lineRule="exact"/>
        <w:ind w:firstLine="422"/>
        <w:outlineLvl w:val="0"/>
        <w:rPr>
          <w:rFonts w:ascii="宋体" w:hAnsi="宋体" w:cs="宋体"/>
          <w:b/>
          <w:bCs/>
          <w:color w:val="auto"/>
          <w:sz w:val="21"/>
          <w:szCs w:val="21"/>
          <w:highlight w:val="none"/>
        </w:rPr>
      </w:pPr>
      <w:bookmarkStart w:id="38" w:name="_Toc82016588"/>
      <w:r>
        <w:rPr>
          <w:rFonts w:hint="eastAsia" w:ascii="宋体" w:hAnsi="宋体" w:cs="宋体"/>
          <w:b/>
          <w:bCs/>
          <w:color w:val="auto"/>
          <w:sz w:val="21"/>
          <w:szCs w:val="21"/>
          <w:highlight w:val="none"/>
        </w:rPr>
        <w:t>2.项目实施方案分…………………………………………………………………………………</w:t>
      </w:r>
      <w:r>
        <w:rPr>
          <w:rFonts w:hint="eastAsia" w:ascii="宋体" w:hAnsi="宋体" w:cs="宋体"/>
          <w:b/>
          <w:bCs/>
          <w:color w:val="auto"/>
          <w:sz w:val="21"/>
          <w:szCs w:val="21"/>
          <w:highlight w:val="none"/>
          <w:lang w:val="en-US" w:eastAsia="zh-CN"/>
        </w:rPr>
        <w:t>50</w:t>
      </w:r>
      <w:r>
        <w:rPr>
          <w:rFonts w:hint="eastAsia" w:ascii="宋体" w:hAnsi="宋体" w:cs="宋体"/>
          <w:b/>
          <w:bCs/>
          <w:color w:val="auto"/>
          <w:sz w:val="21"/>
          <w:szCs w:val="21"/>
          <w:highlight w:val="none"/>
        </w:rPr>
        <w:t>分</w:t>
      </w:r>
    </w:p>
    <w:p w14:paraId="223ED8C5">
      <w:pPr>
        <w:spacing w:line="360" w:lineRule="exact"/>
        <w:ind w:firstLine="420" w:firstLineChars="0"/>
        <w:rPr>
          <w:rFonts w:ascii="宋体" w:hAnsi="宋体"/>
          <w:b w:val="0"/>
          <w:bCs w:val="0"/>
          <w:color w:val="auto"/>
          <w:sz w:val="21"/>
          <w:szCs w:val="21"/>
          <w:highlight w:val="none"/>
        </w:rPr>
      </w:pPr>
      <w:r>
        <w:rPr>
          <w:rFonts w:hint="eastAsia" w:ascii="宋体" w:hAnsi="宋体"/>
          <w:b w:val="0"/>
          <w:bCs w:val="0"/>
          <w:color w:val="auto"/>
          <w:sz w:val="21"/>
          <w:szCs w:val="21"/>
          <w:highlight w:val="none"/>
        </w:rPr>
        <w:t>（1）技术方案（满分</w:t>
      </w:r>
      <w:r>
        <w:rPr>
          <w:rFonts w:hint="eastAsia" w:ascii="宋体" w:hAnsi="宋体"/>
          <w:b w:val="0"/>
          <w:bCs w:val="0"/>
          <w:color w:val="auto"/>
          <w:sz w:val="21"/>
          <w:szCs w:val="21"/>
          <w:highlight w:val="none"/>
          <w:lang w:val="en-US" w:eastAsia="zh-CN"/>
        </w:rPr>
        <w:t>20</w:t>
      </w:r>
      <w:r>
        <w:rPr>
          <w:rFonts w:hint="eastAsia" w:ascii="宋体" w:hAnsi="宋体"/>
          <w:b w:val="0"/>
          <w:bCs w:val="0"/>
          <w:color w:val="auto"/>
          <w:sz w:val="21"/>
          <w:szCs w:val="21"/>
          <w:highlight w:val="none"/>
        </w:rPr>
        <w:t>分）</w:t>
      </w:r>
    </w:p>
    <w:p w14:paraId="38CAA578">
      <w:pPr>
        <w:spacing w:line="36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磋商小组根据供应商提供的“技术方案及组织实施方案”（内容包括但不限于项目背景、</w:t>
      </w:r>
      <w:r>
        <w:rPr>
          <w:rFonts w:hint="eastAsia" w:ascii="Times New Roman" w:hAnsi="宋体" w:eastAsia="宋体" w:cs="Times New Roman"/>
          <w:color w:val="auto"/>
          <w:spacing w:val="-4"/>
          <w:sz w:val="21"/>
          <w:szCs w:val="21"/>
          <w:highlight w:val="none"/>
        </w:rPr>
        <w:t>采购需求分析、</w:t>
      </w:r>
      <w:r>
        <w:rPr>
          <w:rFonts w:hint="eastAsia" w:ascii="宋体" w:hAnsi="宋体" w:eastAsia="宋体" w:cs="Times New Roman"/>
          <w:color w:val="auto"/>
          <w:sz w:val="21"/>
          <w:szCs w:val="21"/>
          <w:highlight w:val="none"/>
        </w:rPr>
        <w:t>工作目标、工作流程、维护服务项目计划安排、日常维护与保养、设备维护维修和定期检修方案等）内容进行独立评审，并按以下规定独立打分：</w:t>
      </w:r>
    </w:p>
    <w:p w14:paraId="6E7CD107">
      <w:pPr>
        <w:spacing w:line="36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一档（</w:t>
      </w: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分）：能阐述项目背景，有</w:t>
      </w:r>
      <w:r>
        <w:rPr>
          <w:rFonts w:hint="eastAsia" w:ascii="Times New Roman" w:hAnsi="宋体" w:eastAsia="宋体" w:cs="Times New Roman"/>
          <w:color w:val="auto"/>
          <w:spacing w:val="-4"/>
          <w:sz w:val="21"/>
          <w:szCs w:val="21"/>
          <w:highlight w:val="none"/>
        </w:rPr>
        <w:t>采购需求分析</w:t>
      </w:r>
      <w:r>
        <w:rPr>
          <w:rFonts w:hint="eastAsia" w:ascii="宋体" w:hAnsi="宋体" w:eastAsia="宋体" w:cs="Times New Roman"/>
          <w:color w:val="auto"/>
          <w:sz w:val="21"/>
          <w:szCs w:val="21"/>
          <w:highlight w:val="none"/>
        </w:rPr>
        <w:t>、各站点运营维护方案，对工作目标、工作流程、维护服务项目计划安排、日常维护与保养、设备维护维修和定期检修等内容</w:t>
      </w:r>
      <w:r>
        <w:rPr>
          <w:rFonts w:hint="eastAsia" w:ascii="宋体" w:hAnsi="宋体" w:cs="Times New Roman"/>
          <w:color w:val="auto"/>
          <w:sz w:val="21"/>
          <w:szCs w:val="21"/>
          <w:highlight w:val="none"/>
          <w:lang w:eastAsia="zh-CN"/>
        </w:rPr>
        <w:t>，但不够具体、</w:t>
      </w:r>
      <w:r>
        <w:rPr>
          <w:rFonts w:hint="eastAsia" w:ascii="宋体" w:hAnsi="宋体" w:eastAsia="宋体" w:cs="Times New Roman"/>
          <w:color w:val="auto"/>
          <w:sz w:val="21"/>
          <w:szCs w:val="21"/>
          <w:highlight w:val="none"/>
        </w:rPr>
        <w:t>不完整、没有针对性、不规范的；</w:t>
      </w:r>
    </w:p>
    <w:p w14:paraId="1E695188">
      <w:pPr>
        <w:spacing w:line="36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二档（</w:t>
      </w:r>
      <w:r>
        <w:rPr>
          <w:rFonts w:hint="eastAsia" w:ascii="宋体" w:hAnsi="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分）：能阐述项目背景，有采购需求分析、各站点运营维护方案，对工作目标、工作流程、维护服务项目计划安排、日常维护与保养、设备维护维修和定期检修等内容</w:t>
      </w:r>
      <w:r>
        <w:rPr>
          <w:rFonts w:hint="eastAsia" w:ascii="宋体" w:hAnsi="宋体" w:cs="Times New Roman"/>
          <w:color w:val="auto"/>
          <w:sz w:val="21"/>
          <w:szCs w:val="21"/>
          <w:highlight w:val="none"/>
          <w:lang w:eastAsia="zh-CN"/>
        </w:rPr>
        <w:t>，</w:t>
      </w:r>
      <w:r>
        <w:rPr>
          <w:rFonts w:hint="eastAsia" w:ascii="宋体" w:hAnsi="宋体" w:eastAsia="宋体" w:cs="Times New Roman"/>
          <w:color w:val="auto"/>
          <w:sz w:val="21"/>
          <w:szCs w:val="21"/>
          <w:highlight w:val="none"/>
        </w:rPr>
        <w:t>具体描述较清晰、基本合理、规范、具有可行性，基本满足</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要求；</w:t>
      </w:r>
    </w:p>
    <w:p w14:paraId="409E21EC">
      <w:pPr>
        <w:spacing w:line="360" w:lineRule="exact"/>
        <w:ind w:firstLine="42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三档（</w:t>
      </w:r>
      <w:r>
        <w:rPr>
          <w:rFonts w:hint="eastAsia" w:ascii="宋体" w:hAnsi="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分）：能较详</w:t>
      </w:r>
      <w:r>
        <w:rPr>
          <w:rFonts w:hint="eastAsia" w:ascii="宋体" w:hAnsi="宋体" w:cs="Times New Roman"/>
          <w:color w:val="auto"/>
          <w:sz w:val="21"/>
          <w:szCs w:val="21"/>
          <w:highlight w:val="none"/>
          <w:lang w:eastAsia="zh-CN"/>
        </w:rPr>
        <w:t>细地</w:t>
      </w:r>
      <w:r>
        <w:rPr>
          <w:rFonts w:hint="eastAsia" w:ascii="宋体" w:hAnsi="宋体" w:eastAsia="宋体" w:cs="Times New Roman"/>
          <w:color w:val="auto"/>
          <w:sz w:val="21"/>
          <w:szCs w:val="21"/>
          <w:highlight w:val="none"/>
        </w:rPr>
        <w:t>阐述项目背景，有较详细、完整、合理的</w:t>
      </w:r>
      <w:r>
        <w:rPr>
          <w:rFonts w:hint="eastAsia" w:ascii="Times New Roman" w:hAnsi="宋体" w:eastAsia="宋体" w:cs="Times New Roman"/>
          <w:color w:val="auto"/>
          <w:spacing w:val="-4"/>
          <w:sz w:val="21"/>
          <w:szCs w:val="21"/>
          <w:highlight w:val="none"/>
        </w:rPr>
        <w:t>采购需求分析；</w:t>
      </w:r>
      <w:r>
        <w:rPr>
          <w:rFonts w:hint="eastAsia" w:ascii="宋体" w:hAnsi="宋体" w:eastAsia="宋体" w:cs="Times New Roman"/>
          <w:color w:val="auto"/>
          <w:sz w:val="21"/>
          <w:szCs w:val="21"/>
          <w:highlight w:val="none"/>
        </w:rPr>
        <w:t>工作计划、各站点运营维护方案，工作目标、工作流程、维护服务项目计划安排等内容清晰、具有合理性、规范性和科学性；对项目工作任务及有关各站点的数据有详细深入的合理分析，对项目主要工作内容（日常维护与保养、设备维护维修、定期检修、各站点每日监测数据和设备运行状况）能够详细阐述，方案表述清晰、完整、严谨、具有合理性、科学性、可行性的，满足</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要求；</w:t>
      </w:r>
    </w:p>
    <w:p w14:paraId="3D7BCD23">
      <w:pPr>
        <w:spacing w:line="360" w:lineRule="exact"/>
        <w:ind w:firstLine="420" w:firstLineChars="0"/>
        <w:rPr>
          <w:rFonts w:ascii="宋体" w:hAnsi="宋体"/>
          <w:color w:val="auto"/>
          <w:sz w:val="21"/>
          <w:szCs w:val="21"/>
          <w:highlight w:val="none"/>
        </w:rPr>
      </w:pPr>
      <w:r>
        <w:rPr>
          <w:rFonts w:hint="eastAsia" w:ascii="宋体" w:hAnsi="宋体" w:eastAsia="宋体" w:cs="Times New Roman"/>
          <w:color w:val="auto"/>
          <w:sz w:val="21"/>
          <w:szCs w:val="21"/>
          <w:highlight w:val="none"/>
        </w:rPr>
        <w:t>四档（</w:t>
      </w:r>
      <w:r>
        <w:rPr>
          <w:rFonts w:hint="eastAsia" w:ascii="宋体" w:hAnsi="宋体" w:cs="Times New Roman"/>
          <w:color w:val="auto"/>
          <w:sz w:val="21"/>
          <w:szCs w:val="21"/>
          <w:highlight w:val="none"/>
          <w:lang w:val="en-US" w:eastAsia="zh-CN"/>
        </w:rPr>
        <w:t>20</w:t>
      </w:r>
      <w:r>
        <w:rPr>
          <w:rFonts w:hint="eastAsia" w:ascii="宋体" w:hAnsi="宋体" w:eastAsia="宋体" w:cs="Times New Roman"/>
          <w:color w:val="auto"/>
          <w:sz w:val="21"/>
          <w:szCs w:val="21"/>
          <w:highlight w:val="none"/>
        </w:rPr>
        <w:t>分）：深入了解本项目需求，能详细、完整</w:t>
      </w:r>
      <w:r>
        <w:rPr>
          <w:rFonts w:hint="eastAsia" w:ascii="宋体" w:hAnsi="宋体" w:cs="Times New Roman"/>
          <w:color w:val="auto"/>
          <w:sz w:val="21"/>
          <w:szCs w:val="21"/>
          <w:highlight w:val="none"/>
          <w:lang w:eastAsia="zh-CN"/>
        </w:rPr>
        <w:t>地</w:t>
      </w:r>
      <w:r>
        <w:rPr>
          <w:rFonts w:hint="eastAsia" w:ascii="宋体" w:hAnsi="宋体" w:eastAsia="宋体" w:cs="Times New Roman"/>
          <w:color w:val="auto"/>
          <w:sz w:val="21"/>
          <w:szCs w:val="21"/>
          <w:highlight w:val="none"/>
        </w:rPr>
        <w:t>阐述项目背景，有详细、完整、合理、针对性的</w:t>
      </w:r>
      <w:r>
        <w:rPr>
          <w:rFonts w:hint="eastAsia" w:ascii="Times New Roman" w:hAnsi="宋体" w:eastAsia="宋体" w:cs="Times New Roman"/>
          <w:color w:val="auto"/>
          <w:spacing w:val="-4"/>
          <w:sz w:val="21"/>
          <w:szCs w:val="21"/>
          <w:highlight w:val="none"/>
        </w:rPr>
        <w:t>采购需求分析；</w:t>
      </w:r>
      <w:r>
        <w:rPr>
          <w:rFonts w:hint="eastAsia" w:ascii="宋体" w:hAnsi="宋体" w:eastAsia="宋体" w:cs="Times New Roman"/>
          <w:color w:val="auto"/>
          <w:sz w:val="21"/>
          <w:szCs w:val="21"/>
          <w:highlight w:val="none"/>
        </w:rPr>
        <w:t>有详细、完整的工作计划、各站点运营维护方案，工作目标、工作流程、维护服务项目计划安排等内容清晰、具有合理性、规范性和科学性；对项目工作任务及有关各站点的数据有详细深入的合理分析，对项目主要工作内容（日常维护与保养、设备维护维修、定期检修、各站点每日监测数据和设备运行状况）能够详细阐述，方案表述清晰、完整、严谨、具有合理性、规范性、科学性，可操作性强；有利于提高本项目服务质量建议方案的，优于</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要求。</w:t>
      </w:r>
    </w:p>
    <w:p w14:paraId="062A4709">
      <w:pPr>
        <w:spacing w:line="360" w:lineRule="exact"/>
        <w:ind w:firstLine="420" w:firstLineChars="0"/>
        <w:rPr>
          <w:rFonts w:ascii="宋体" w:hAnsi="宋体"/>
          <w:b/>
          <w:bCs/>
          <w:color w:val="auto"/>
          <w:sz w:val="21"/>
          <w:szCs w:val="21"/>
          <w:highlight w:val="none"/>
        </w:rPr>
      </w:pPr>
      <w:r>
        <w:rPr>
          <w:rFonts w:hint="eastAsia" w:ascii="宋体" w:hAnsi="宋体"/>
          <w:b/>
          <w:bCs/>
          <w:color w:val="auto"/>
          <w:sz w:val="21"/>
          <w:szCs w:val="21"/>
          <w:highlight w:val="none"/>
        </w:rPr>
        <w:t>注：未提供技术方案或经评审方案未达一档标准的，相应不予得分。</w:t>
      </w:r>
    </w:p>
    <w:p w14:paraId="1EF3DB58">
      <w:pPr>
        <w:spacing w:line="360" w:lineRule="exact"/>
        <w:ind w:firstLine="420" w:firstLineChars="0"/>
        <w:rPr>
          <w:rFonts w:ascii="宋体" w:hAnsi="宋体"/>
          <w:b/>
          <w:bCs/>
          <w:color w:val="auto"/>
          <w:sz w:val="21"/>
          <w:szCs w:val="21"/>
          <w:highlight w:val="none"/>
        </w:rPr>
      </w:pPr>
      <w:r>
        <w:rPr>
          <w:rFonts w:hint="eastAsia" w:ascii="宋体" w:hAnsi="宋体"/>
          <w:b/>
          <w:bCs/>
          <w:color w:val="auto"/>
          <w:sz w:val="21"/>
          <w:szCs w:val="21"/>
          <w:highlight w:val="none"/>
        </w:rPr>
        <w:t>（2）达到服务质量标准的保证措施分（满分18分）</w:t>
      </w:r>
    </w:p>
    <w:p w14:paraId="0C3285DB">
      <w:pPr>
        <w:spacing w:line="360" w:lineRule="exact"/>
        <w:ind w:firstLine="420" w:firstLineChars="0"/>
        <w:rPr>
          <w:rFonts w:ascii="宋体" w:hAnsi="宋体"/>
          <w:color w:val="auto"/>
          <w:sz w:val="21"/>
          <w:szCs w:val="21"/>
          <w:highlight w:val="none"/>
        </w:rPr>
      </w:pPr>
      <w:r>
        <w:rPr>
          <w:rFonts w:hint="eastAsia" w:ascii="宋体" w:hAnsi="宋体"/>
          <w:color w:val="auto"/>
          <w:sz w:val="21"/>
          <w:szCs w:val="21"/>
          <w:highlight w:val="none"/>
        </w:rPr>
        <w:t>磋商小组根据供应商提供的“达到服务质量标准的保证措施”【内容包括但不限于：①</w:t>
      </w:r>
      <w:r>
        <w:rPr>
          <w:rFonts w:hint="eastAsia" w:ascii="宋体" w:hAnsi="宋体"/>
          <w:color w:val="auto"/>
          <w:spacing w:val="-4"/>
          <w:sz w:val="21"/>
          <w:szCs w:val="21"/>
          <w:highlight w:val="none"/>
        </w:rPr>
        <w:t>人员，②车辆，③设备、设施，④耗材和备件等</w:t>
      </w:r>
      <w:r>
        <w:rPr>
          <w:rFonts w:hint="eastAsia" w:ascii="宋体" w:hAnsi="宋体"/>
          <w:color w:val="auto"/>
          <w:sz w:val="21"/>
          <w:szCs w:val="21"/>
          <w:highlight w:val="none"/>
        </w:rPr>
        <w:t>】内容进行独立评审，并按以下规定独立打分：</w:t>
      </w:r>
    </w:p>
    <w:p w14:paraId="0945CF98">
      <w:pPr>
        <w:spacing w:line="360" w:lineRule="exact"/>
        <w:ind w:firstLine="420" w:firstLineChars="0"/>
        <w:rPr>
          <w:rFonts w:ascii="宋体" w:hAnsi="宋体"/>
          <w:color w:val="auto"/>
          <w:sz w:val="21"/>
          <w:szCs w:val="21"/>
          <w:highlight w:val="none"/>
        </w:rPr>
      </w:pPr>
      <w:r>
        <w:rPr>
          <w:rFonts w:hint="eastAsia" w:ascii="宋体" w:hAnsi="宋体"/>
          <w:color w:val="auto"/>
          <w:sz w:val="21"/>
          <w:szCs w:val="21"/>
          <w:highlight w:val="none"/>
        </w:rPr>
        <w:t>一档（6分）：达到服务质量标准的保证措施内容阐述不够具体；承诺人员、车辆、</w:t>
      </w:r>
      <w:r>
        <w:rPr>
          <w:rFonts w:hint="eastAsia" w:ascii="宋体" w:hAnsi="宋体"/>
          <w:color w:val="auto"/>
          <w:spacing w:val="-4"/>
          <w:sz w:val="21"/>
          <w:szCs w:val="21"/>
          <w:highlight w:val="none"/>
        </w:rPr>
        <w:t>设备、设施、耗材和备件</w:t>
      </w:r>
      <w:r>
        <w:rPr>
          <w:rFonts w:hint="eastAsia" w:ascii="宋体" w:hAnsi="宋体"/>
          <w:color w:val="auto"/>
          <w:sz w:val="21"/>
          <w:szCs w:val="21"/>
          <w:highlight w:val="none"/>
        </w:rPr>
        <w:t>配置符合磋商文件要求</w:t>
      </w:r>
      <w:r>
        <w:rPr>
          <w:rFonts w:hint="eastAsia" w:ascii="宋体" w:hAnsi="宋体"/>
          <w:color w:val="auto"/>
          <w:spacing w:val="-4"/>
          <w:sz w:val="21"/>
          <w:szCs w:val="21"/>
          <w:highlight w:val="none"/>
        </w:rPr>
        <w:t>的</w:t>
      </w:r>
      <w:r>
        <w:rPr>
          <w:rFonts w:hint="eastAsia" w:ascii="宋体" w:hAnsi="宋体"/>
          <w:color w:val="auto"/>
          <w:sz w:val="21"/>
          <w:szCs w:val="21"/>
          <w:highlight w:val="none"/>
        </w:rPr>
        <w:t>；</w:t>
      </w:r>
    </w:p>
    <w:p w14:paraId="5639B410">
      <w:pPr>
        <w:spacing w:line="360" w:lineRule="exact"/>
        <w:ind w:firstLine="420" w:firstLineChars="0"/>
        <w:rPr>
          <w:rFonts w:ascii="宋体" w:hAnsi="宋体"/>
          <w:color w:val="auto"/>
          <w:sz w:val="21"/>
          <w:szCs w:val="21"/>
          <w:highlight w:val="none"/>
        </w:rPr>
      </w:pPr>
      <w:r>
        <w:rPr>
          <w:rFonts w:hint="eastAsia" w:ascii="宋体" w:hAnsi="宋体"/>
          <w:color w:val="auto"/>
          <w:sz w:val="21"/>
          <w:szCs w:val="21"/>
          <w:highlight w:val="none"/>
        </w:rPr>
        <w:t>二档（10分）：达到服务质量标准的保证措施内容阐述不够具体、基本合理、可操作；人员、车辆、</w:t>
      </w:r>
      <w:r>
        <w:rPr>
          <w:rFonts w:hint="eastAsia" w:ascii="宋体" w:hAnsi="宋体"/>
          <w:color w:val="auto"/>
          <w:spacing w:val="-4"/>
          <w:sz w:val="21"/>
          <w:szCs w:val="21"/>
          <w:highlight w:val="none"/>
        </w:rPr>
        <w:t>设备、设施、耗材和备件</w:t>
      </w:r>
      <w:r>
        <w:rPr>
          <w:rFonts w:hint="eastAsia" w:ascii="宋体" w:hAnsi="宋体"/>
          <w:color w:val="auto"/>
          <w:sz w:val="21"/>
          <w:szCs w:val="21"/>
          <w:highlight w:val="none"/>
        </w:rPr>
        <w:t>配置符合磋商文件要求且提供相关人员、车辆信息和</w:t>
      </w:r>
      <w:r>
        <w:rPr>
          <w:rFonts w:hint="eastAsia" w:ascii="宋体" w:hAnsi="宋体"/>
          <w:color w:val="auto"/>
          <w:spacing w:val="-4"/>
          <w:sz w:val="21"/>
          <w:szCs w:val="21"/>
          <w:highlight w:val="none"/>
        </w:rPr>
        <w:t>设备、设施、耗材、备件</w:t>
      </w:r>
      <w:r>
        <w:rPr>
          <w:rFonts w:hint="eastAsia" w:ascii="宋体" w:hAnsi="宋体"/>
          <w:color w:val="auto"/>
          <w:sz w:val="21"/>
          <w:szCs w:val="21"/>
          <w:highlight w:val="none"/>
        </w:rPr>
        <w:t>配置清单的；</w:t>
      </w:r>
    </w:p>
    <w:p w14:paraId="7EBDAC57">
      <w:pPr>
        <w:spacing w:line="360" w:lineRule="exact"/>
        <w:ind w:firstLine="420" w:firstLineChars="0"/>
        <w:rPr>
          <w:rFonts w:ascii="宋体" w:hAnsi="宋体"/>
          <w:color w:val="auto"/>
          <w:sz w:val="21"/>
          <w:szCs w:val="21"/>
          <w:highlight w:val="none"/>
        </w:rPr>
      </w:pPr>
      <w:r>
        <w:rPr>
          <w:rFonts w:hint="eastAsia" w:ascii="宋体" w:hAnsi="宋体"/>
          <w:color w:val="auto"/>
          <w:sz w:val="21"/>
          <w:szCs w:val="21"/>
          <w:highlight w:val="none"/>
        </w:rPr>
        <w:t>三档（14分）：达到服务质量标准的保证措施内容阐述具体、清晰、具有合理性、科学性、可操作性；人员、车辆配置优于磋商文件要求且提供相关人员、车辆信息【如人员姓名、学历、专业、工作经历、车辆实物图片或照片、行驶证等】和</w:t>
      </w:r>
      <w:r>
        <w:rPr>
          <w:rFonts w:hint="eastAsia" w:ascii="宋体" w:hAnsi="宋体"/>
          <w:color w:val="auto"/>
          <w:spacing w:val="-4"/>
          <w:sz w:val="21"/>
          <w:szCs w:val="21"/>
          <w:highlight w:val="none"/>
        </w:rPr>
        <w:t>设备、设施、耗材、备件</w:t>
      </w:r>
      <w:r>
        <w:rPr>
          <w:rFonts w:hint="eastAsia" w:ascii="宋体" w:hAnsi="宋体"/>
          <w:color w:val="auto"/>
          <w:sz w:val="21"/>
          <w:szCs w:val="21"/>
          <w:highlight w:val="none"/>
        </w:rPr>
        <w:t>配置清单（如设备名称、生产厂家、品牌、规格型号、数量等）的；</w:t>
      </w:r>
    </w:p>
    <w:p w14:paraId="4D898056">
      <w:pPr>
        <w:spacing w:line="360" w:lineRule="exact"/>
        <w:ind w:firstLine="420" w:firstLineChars="0"/>
        <w:rPr>
          <w:rFonts w:ascii="宋体" w:hAnsi="宋体"/>
          <w:color w:val="auto"/>
          <w:sz w:val="21"/>
          <w:szCs w:val="21"/>
          <w:highlight w:val="none"/>
        </w:rPr>
      </w:pPr>
      <w:r>
        <w:rPr>
          <w:rFonts w:hint="eastAsia" w:ascii="宋体" w:hAnsi="宋体"/>
          <w:color w:val="auto"/>
          <w:sz w:val="21"/>
          <w:szCs w:val="21"/>
          <w:highlight w:val="none"/>
        </w:rPr>
        <w:t>四档（18分）：达到服务质量标准的保证措施内容阐述具体、清晰、具有合理性、科学性、可操作性；人员、车辆配置优于磋商文件要求且提供相关人员、车辆信息【如人员姓名、学历、专业、工作经历、车辆实物图片或照片、行驶证等】和</w:t>
      </w:r>
      <w:r>
        <w:rPr>
          <w:rFonts w:hint="eastAsia" w:ascii="宋体" w:hAnsi="宋体"/>
          <w:color w:val="auto"/>
          <w:spacing w:val="-4"/>
          <w:sz w:val="21"/>
          <w:szCs w:val="21"/>
          <w:highlight w:val="none"/>
        </w:rPr>
        <w:t>设备、设施、耗材、备件</w:t>
      </w:r>
      <w:r>
        <w:rPr>
          <w:rFonts w:hint="eastAsia" w:ascii="宋体" w:hAnsi="宋体"/>
          <w:color w:val="auto"/>
          <w:sz w:val="21"/>
          <w:szCs w:val="21"/>
          <w:highlight w:val="none"/>
        </w:rPr>
        <w:t>配置清单（如设备名称、生产厂家、品牌、规格型号、数量及相应设备、设施、</w:t>
      </w:r>
      <w:r>
        <w:rPr>
          <w:rFonts w:hint="eastAsia" w:ascii="宋体" w:hAnsi="宋体"/>
          <w:color w:val="auto"/>
          <w:spacing w:val="-4"/>
          <w:sz w:val="21"/>
          <w:szCs w:val="21"/>
          <w:highlight w:val="none"/>
        </w:rPr>
        <w:t>耗材、备件厂家证明材料证明</w:t>
      </w:r>
      <w:r>
        <w:rPr>
          <w:rFonts w:hint="eastAsia" w:ascii="宋体" w:hAnsi="宋体"/>
          <w:color w:val="auto"/>
          <w:sz w:val="21"/>
          <w:szCs w:val="21"/>
          <w:highlight w:val="none"/>
        </w:rPr>
        <w:t>）；有利于提高本项目服务质量建议方案的。</w:t>
      </w:r>
    </w:p>
    <w:p w14:paraId="2F0D5177">
      <w:pPr>
        <w:spacing w:line="360" w:lineRule="exact"/>
        <w:ind w:firstLine="420" w:firstLineChars="0"/>
        <w:rPr>
          <w:rFonts w:ascii="宋体" w:hAnsi="宋体"/>
          <w:b/>
          <w:bCs/>
          <w:color w:val="auto"/>
          <w:sz w:val="21"/>
          <w:szCs w:val="21"/>
          <w:highlight w:val="none"/>
        </w:rPr>
      </w:pPr>
      <w:r>
        <w:rPr>
          <w:rFonts w:hint="eastAsia" w:ascii="宋体" w:hAnsi="宋体"/>
          <w:b/>
          <w:bCs/>
          <w:color w:val="auto"/>
          <w:sz w:val="21"/>
          <w:szCs w:val="21"/>
          <w:highlight w:val="none"/>
        </w:rPr>
        <w:t>注：未提供达到服务质量标准的保证措施或经评审方案未达一档标准的，相应不予得分。</w:t>
      </w:r>
    </w:p>
    <w:p w14:paraId="2CFAFD20">
      <w:pPr>
        <w:spacing w:line="360" w:lineRule="exact"/>
        <w:ind w:firstLine="420" w:firstLineChars="0"/>
        <w:rPr>
          <w:rFonts w:ascii="宋体" w:hAnsi="宋体"/>
          <w:b/>
          <w:bCs/>
          <w:color w:val="auto"/>
          <w:sz w:val="21"/>
          <w:szCs w:val="21"/>
          <w:highlight w:val="none"/>
        </w:rPr>
      </w:pPr>
      <w:r>
        <w:rPr>
          <w:rFonts w:hint="eastAsia" w:ascii="宋体" w:hAnsi="宋体"/>
          <w:b/>
          <w:bCs/>
          <w:color w:val="auto"/>
          <w:sz w:val="21"/>
          <w:szCs w:val="21"/>
          <w:highlight w:val="none"/>
        </w:rPr>
        <w:t>（3）拟投入技术人员配置及制度管理方案分（满分12分）</w:t>
      </w:r>
    </w:p>
    <w:p w14:paraId="33CD85A0">
      <w:pPr>
        <w:spacing w:line="360" w:lineRule="exact"/>
        <w:ind w:firstLine="420" w:firstLineChars="0"/>
        <w:rPr>
          <w:rFonts w:ascii="宋体" w:hAnsi="宋体"/>
          <w:color w:val="auto"/>
          <w:sz w:val="21"/>
          <w:szCs w:val="21"/>
          <w:highlight w:val="none"/>
        </w:rPr>
      </w:pPr>
      <w:r>
        <w:rPr>
          <w:rFonts w:hint="eastAsia" w:ascii="宋体" w:hAnsi="宋体"/>
          <w:color w:val="auto"/>
          <w:sz w:val="21"/>
          <w:szCs w:val="21"/>
          <w:highlight w:val="none"/>
        </w:rPr>
        <w:t>①在满足磋商文件要求（≥2名运维技术人员）的基础上，供应商承诺拟投入本项目的运维技术人员≥3名且运维技术人员具有≥2年运维经验的，响应文件中提供运维技术人员工作简历、社保及从业工作经验证明材料</w:t>
      </w:r>
      <w:r>
        <w:rPr>
          <w:rFonts w:hint="eastAsia" w:ascii="宋体" w:hAnsi="宋体"/>
          <w:b/>
          <w:color w:val="auto"/>
          <w:sz w:val="21"/>
          <w:szCs w:val="21"/>
          <w:highlight w:val="none"/>
        </w:rPr>
        <w:t>【以提供运维技术人员工作简历、供应商为其缴纳2026年1月以来任意一个月的社保证明或签订的劳动合同或工资流水发放证明复印件等（如退休返聘人员则提供退休证明及聘用合同复印件）及从业工作经验证明材料（应当提供供应商合作过的相关业主出具的该运维技术人员向其提供过运维技术服务的证明文件及对应的项目合同复印件）为准，加盖供应商电子签章】</w:t>
      </w:r>
      <w:r>
        <w:rPr>
          <w:rFonts w:hint="eastAsia" w:ascii="宋体" w:hAnsi="宋体"/>
          <w:color w:val="auto"/>
          <w:sz w:val="21"/>
          <w:szCs w:val="21"/>
          <w:highlight w:val="none"/>
        </w:rPr>
        <w:t>，得2分。</w:t>
      </w:r>
    </w:p>
    <w:p w14:paraId="6E8C0C29">
      <w:pPr>
        <w:spacing w:line="360" w:lineRule="exact"/>
        <w:ind w:firstLine="420" w:firstLineChars="0"/>
        <w:rPr>
          <w:rFonts w:ascii="宋体" w:hAnsi="宋体"/>
          <w:color w:val="auto"/>
          <w:sz w:val="21"/>
          <w:szCs w:val="21"/>
          <w:highlight w:val="none"/>
        </w:rPr>
      </w:pPr>
      <w:r>
        <w:rPr>
          <w:rFonts w:hint="eastAsia" w:ascii="宋体" w:hAnsi="宋体"/>
          <w:color w:val="auto"/>
          <w:sz w:val="21"/>
          <w:szCs w:val="21"/>
          <w:highlight w:val="none"/>
        </w:rPr>
        <w:t>②拟投入本项目的运维技术人员具有在有效期内的自动监控设施运维上岗证及该运维技术人员为供应商正式员工的相关证明材料（供应商为其缴纳2026年1月以来任意一个月的社保证明或签订的劳动合同或工资流水发放证明复印件等），加盖供应商电子签章的，每提供1人得1分，最多得4分。</w:t>
      </w:r>
    </w:p>
    <w:p w14:paraId="0DBB7436">
      <w:pPr>
        <w:tabs>
          <w:tab w:val="left" w:pos="4214"/>
        </w:tabs>
        <w:spacing w:line="360" w:lineRule="exact"/>
        <w:ind w:firstLine="420"/>
        <w:rPr>
          <w:rFonts w:ascii="宋体" w:hAnsi="宋体"/>
          <w:color w:val="auto"/>
          <w:sz w:val="21"/>
          <w:szCs w:val="21"/>
          <w:highlight w:val="none"/>
        </w:rPr>
      </w:pPr>
      <w:r>
        <w:rPr>
          <w:rFonts w:hint="eastAsia" w:ascii="宋体" w:hAnsi="宋体"/>
          <w:color w:val="auto"/>
          <w:sz w:val="21"/>
          <w:szCs w:val="21"/>
          <w:highlight w:val="none"/>
        </w:rPr>
        <w:t>③人员制度管理方案（满分6分）</w:t>
      </w:r>
    </w:p>
    <w:p w14:paraId="6B660412">
      <w:pPr>
        <w:spacing w:line="360" w:lineRule="exact"/>
        <w:ind w:firstLine="420" w:firstLineChars="0"/>
        <w:rPr>
          <w:rFonts w:ascii="宋体" w:hAnsi="宋体"/>
          <w:color w:val="auto"/>
          <w:sz w:val="21"/>
          <w:szCs w:val="21"/>
          <w:highlight w:val="none"/>
        </w:rPr>
      </w:pPr>
      <w:r>
        <w:rPr>
          <w:rFonts w:hint="eastAsia" w:ascii="宋体" w:hAnsi="宋体"/>
          <w:color w:val="auto"/>
          <w:sz w:val="21"/>
          <w:szCs w:val="21"/>
          <w:highlight w:val="none"/>
        </w:rPr>
        <w:t>磋商小组根据供应商提供的“人员制度管理方案”（内容包括但不限于：①组织机构、岗位制度管理方案，②人事制度管理方案，③财务制度管理方案等）内容进行独立评审，并按以下规定独立打分：</w:t>
      </w:r>
    </w:p>
    <w:p w14:paraId="0AF3BDCC">
      <w:pPr>
        <w:spacing w:line="360" w:lineRule="exact"/>
        <w:ind w:firstLine="420" w:firstLineChars="0"/>
        <w:rPr>
          <w:rFonts w:hint="eastAsia" w:ascii="宋体" w:hAnsi="宋体"/>
          <w:color w:val="auto"/>
          <w:sz w:val="21"/>
          <w:szCs w:val="21"/>
          <w:highlight w:val="none"/>
          <w:lang w:eastAsia="zh-CN"/>
        </w:rPr>
      </w:pPr>
      <w:r>
        <w:rPr>
          <w:rFonts w:hint="eastAsia" w:ascii="宋体" w:hAnsi="宋体"/>
          <w:color w:val="auto"/>
          <w:sz w:val="21"/>
          <w:szCs w:val="21"/>
          <w:highlight w:val="none"/>
        </w:rPr>
        <w:t>一档（2分）：公司规章制度不完善，人员管理方案</w:t>
      </w:r>
      <w:r>
        <w:rPr>
          <w:rFonts w:hint="eastAsia" w:ascii="宋体" w:hAnsi="宋体"/>
          <w:color w:val="auto"/>
          <w:sz w:val="21"/>
          <w:szCs w:val="21"/>
          <w:highlight w:val="none"/>
          <w:lang w:eastAsia="zh-CN"/>
        </w:rPr>
        <w:t>不够详细的；</w:t>
      </w:r>
    </w:p>
    <w:p w14:paraId="1355118E">
      <w:pPr>
        <w:spacing w:line="360" w:lineRule="exact"/>
        <w:ind w:firstLine="420" w:firstLineChars="0"/>
        <w:rPr>
          <w:rFonts w:hint="eastAsia" w:ascii="宋体" w:hAnsi="宋体"/>
          <w:color w:val="auto"/>
          <w:sz w:val="21"/>
          <w:szCs w:val="21"/>
          <w:highlight w:val="none"/>
        </w:rPr>
      </w:pPr>
      <w:r>
        <w:rPr>
          <w:rFonts w:hint="eastAsia" w:ascii="宋体" w:hAnsi="宋体"/>
          <w:color w:val="auto"/>
          <w:sz w:val="21"/>
          <w:szCs w:val="21"/>
          <w:highlight w:val="none"/>
        </w:rPr>
        <w:t>二档（4分）：公司规章制度</w:t>
      </w:r>
      <w:r>
        <w:rPr>
          <w:rFonts w:hint="eastAsia" w:ascii="宋体" w:hAnsi="宋体"/>
          <w:color w:val="auto"/>
          <w:sz w:val="21"/>
          <w:szCs w:val="21"/>
          <w:highlight w:val="none"/>
          <w:lang w:eastAsia="zh-CN"/>
        </w:rPr>
        <w:t>基本完善，</w:t>
      </w:r>
      <w:r>
        <w:rPr>
          <w:rFonts w:hint="eastAsia" w:ascii="宋体" w:hAnsi="宋体"/>
          <w:color w:val="auto"/>
          <w:sz w:val="21"/>
          <w:szCs w:val="21"/>
          <w:highlight w:val="none"/>
        </w:rPr>
        <w:t>有相应的组织机构</w:t>
      </w:r>
      <w:r>
        <w:rPr>
          <w:rFonts w:hint="eastAsia" w:ascii="宋体" w:hAnsi="宋体"/>
          <w:color w:val="auto"/>
          <w:sz w:val="21"/>
          <w:szCs w:val="21"/>
          <w:highlight w:val="none"/>
          <w:lang w:eastAsia="zh-CN"/>
        </w:rPr>
        <w:t>、</w:t>
      </w:r>
      <w:r>
        <w:rPr>
          <w:rFonts w:hint="eastAsia" w:ascii="宋体" w:hAnsi="宋体"/>
          <w:color w:val="auto"/>
          <w:sz w:val="21"/>
          <w:szCs w:val="21"/>
          <w:highlight w:val="none"/>
        </w:rPr>
        <w:t>岗位</w:t>
      </w:r>
      <w:r>
        <w:rPr>
          <w:rFonts w:hint="eastAsia" w:ascii="宋体" w:hAnsi="宋体"/>
          <w:color w:val="auto"/>
          <w:sz w:val="21"/>
          <w:szCs w:val="21"/>
          <w:highlight w:val="none"/>
          <w:lang w:eastAsia="zh-CN"/>
        </w:rPr>
        <w:t>制度、人事制度、且</w:t>
      </w:r>
      <w:r>
        <w:rPr>
          <w:rFonts w:hint="eastAsia" w:ascii="宋体" w:hAnsi="宋体"/>
          <w:color w:val="auto"/>
          <w:sz w:val="21"/>
          <w:szCs w:val="21"/>
          <w:highlight w:val="none"/>
        </w:rPr>
        <w:t>岗位设置较合理</w:t>
      </w:r>
      <w:r>
        <w:rPr>
          <w:rFonts w:hint="eastAsia" w:ascii="宋体" w:hAnsi="宋体"/>
          <w:color w:val="auto"/>
          <w:sz w:val="21"/>
          <w:szCs w:val="21"/>
          <w:highlight w:val="none"/>
          <w:lang w:eastAsia="zh-CN"/>
        </w:rPr>
        <w:t>、较规范；</w:t>
      </w:r>
      <w:r>
        <w:rPr>
          <w:rFonts w:hint="eastAsia" w:ascii="宋体" w:hAnsi="宋体"/>
          <w:color w:val="auto"/>
          <w:sz w:val="21"/>
          <w:szCs w:val="21"/>
          <w:highlight w:val="none"/>
        </w:rPr>
        <w:t>人员管理方案描述较详细</w:t>
      </w:r>
      <w:r>
        <w:rPr>
          <w:rFonts w:hint="eastAsia" w:ascii="宋体" w:hAnsi="宋体"/>
          <w:color w:val="auto"/>
          <w:sz w:val="21"/>
          <w:szCs w:val="21"/>
          <w:highlight w:val="none"/>
          <w:lang w:eastAsia="zh-CN"/>
        </w:rPr>
        <w:t>、具有基本合理、基本可行的；</w:t>
      </w:r>
    </w:p>
    <w:p w14:paraId="46DE332C">
      <w:pPr>
        <w:spacing w:line="360" w:lineRule="exact"/>
        <w:ind w:firstLine="420" w:firstLineChars="0"/>
        <w:rPr>
          <w:rFonts w:hint="eastAsia" w:ascii="宋体" w:hAnsi="宋体"/>
          <w:color w:val="auto"/>
          <w:sz w:val="21"/>
          <w:szCs w:val="21"/>
          <w:highlight w:val="none"/>
          <w:lang w:eastAsia="zh-CN"/>
        </w:rPr>
      </w:pPr>
      <w:r>
        <w:rPr>
          <w:rFonts w:hint="eastAsia" w:ascii="宋体" w:hAnsi="宋体"/>
          <w:color w:val="auto"/>
          <w:sz w:val="21"/>
          <w:szCs w:val="21"/>
          <w:highlight w:val="none"/>
        </w:rPr>
        <w:t>三档（6分）：公司规章制度完善</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有相应的组织机构</w:t>
      </w:r>
      <w:r>
        <w:rPr>
          <w:rFonts w:hint="eastAsia" w:ascii="宋体" w:hAnsi="宋体"/>
          <w:color w:val="auto"/>
          <w:sz w:val="21"/>
          <w:szCs w:val="21"/>
          <w:highlight w:val="none"/>
          <w:lang w:eastAsia="zh-CN"/>
        </w:rPr>
        <w:t>、</w:t>
      </w:r>
      <w:r>
        <w:rPr>
          <w:rFonts w:hint="eastAsia" w:ascii="宋体" w:hAnsi="宋体"/>
          <w:color w:val="auto"/>
          <w:sz w:val="21"/>
          <w:szCs w:val="21"/>
          <w:highlight w:val="none"/>
        </w:rPr>
        <w:t>岗位</w:t>
      </w:r>
      <w:r>
        <w:rPr>
          <w:rFonts w:hint="eastAsia" w:ascii="宋体" w:hAnsi="宋体"/>
          <w:color w:val="auto"/>
          <w:sz w:val="21"/>
          <w:szCs w:val="21"/>
          <w:highlight w:val="none"/>
          <w:lang w:eastAsia="zh-CN"/>
        </w:rPr>
        <w:t>制度、人事制度、财务制度、且</w:t>
      </w:r>
      <w:r>
        <w:rPr>
          <w:rFonts w:hint="eastAsia" w:ascii="宋体" w:hAnsi="宋体"/>
          <w:color w:val="auto"/>
          <w:sz w:val="21"/>
          <w:szCs w:val="21"/>
          <w:highlight w:val="none"/>
        </w:rPr>
        <w:t>岗位设置</w:t>
      </w:r>
      <w:r>
        <w:rPr>
          <w:rFonts w:hint="eastAsia" w:ascii="宋体" w:hAnsi="宋体"/>
          <w:color w:val="auto"/>
          <w:sz w:val="21"/>
          <w:szCs w:val="21"/>
          <w:highlight w:val="none"/>
          <w:lang w:eastAsia="zh-CN"/>
        </w:rPr>
        <w:t>具有合理性、规范性、可行性；</w:t>
      </w:r>
      <w:r>
        <w:rPr>
          <w:rFonts w:hint="eastAsia" w:ascii="宋体" w:hAnsi="宋体"/>
          <w:color w:val="auto"/>
          <w:sz w:val="21"/>
          <w:szCs w:val="21"/>
          <w:highlight w:val="none"/>
        </w:rPr>
        <w:t>人员管理方案描述</w:t>
      </w:r>
      <w:r>
        <w:rPr>
          <w:rFonts w:hint="eastAsia" w:ascii="宋体" w:hAnsi="宋体"/>
          <w:color w:val="auto"/>
          <w:sz w:val="21"/>
          <w:szCs w:val="21"/>
          <w:highlight w:val="none"/>
          <w:lang w:eastAsia="zh-CN"/>
        </w:rPr>
        <w:t>详细、有具体的</w:t>
      </w:r>
      <w:r>
        <w:rPr>
          <w:rFonts w:hint="eastAsia" w:ascii="宋体" w:hAnsi="宋体"/>
          <w:color w:val="auto"/>
          <w:sz w:val="21"/>
          <w:szCs w:val="21"/>
          <w:highlight w:val="none"/>
        </w:rPr>
        <w:t>措施、</w:t>
      </w:r>
      <w:r>
        <w:rPr>
          <w:rFonts w:hint="eastAsia" w:ascii="宋体" w:hAnsi="宋体"/>
          <w:color w:val="auto"/>
          <w:sz w:val="21"/>
          <w:szCs w:val="21"/>
          <w:highlight w:val="none"/>
          <w:lang w:eastAsia="zh-CN"/>
        </w:rPr>
        <w:t>方案具有</w:t>
      </w:r>
      <w:r>
        <w:rPr>
          <w:rFonts w:hint="eastAsia" w:ascii="宋体" w:hAnsi="宋体"/>
          <w:color w:val="auto"/>
          <w:sz w:val="21"/>
          <w:szCs w:val="21"/>
          <w:highlight w:val="none"/>
        </w:rPr>
        <w:t>针对性</w:t>
      </w:r>
      <w:r>
        <w:rPr>
          <w:rFonts w:hint="eastAsia" w:ascii="宋体" w:hAnsi="宋体"/>
          <w:color w:val="auto"/>
          <w:sz w:val="21"/>
          <w:szCs w:val="21"/>
          <w:highlight w:val="none"/>
          <w:lang w:eastAsia="zh-CN"/>
        </w:rPr>
        <w:t>、</w:t>
      </w:r>
      <w:r>
        <w:rPr>
          <w:rFonts w:hint="eastAsia" w:ascii="宋体" w:hAnsi="宋体"/>
          <w:color w:val="auto"/>
          <w:sz w:val="21"/>
          <w:szCs w:val="21"/>
          <w:highlight w:val="none"/>
        </w:rPr>
        <w:t>科学</w:t>
      </w:r>
      <w:r>
        <w:rPr>
          <w:rFonts w:hint="eastAsia" w:ascii="宋体" w:hAnsi="宋体"/>
          <w:color w:val="auto"/>
          <w:sz w:val="21"/>
          <w:szCs w:val="21"/>
          <w:highlight w:val="none"/>
          <w:lang w:eastAsia="zh-CN"/>
        </w:rPr>
        <w:t>性</w:t>
      </w:r>
      <w:r>
        <w:rPr>
          <w:rFonts w:hint="eastAsia" w:ascii="宋体" w:hAnsi="宋体"/>
          <w:color w:val="auto"/>
          <w:sz w:val="21"/>
          <w:szCs w:val="21"/>
          <w:highlight w:val="none"/>
        </w:rPr>
        <w:t>、切实可行</w:t>
      </w:r>
      <w:r>
        <w:rPr>
          <w:rFonts w:hint="eastAsia" w:ascii="宋体" w:hAnsi="宋体"/>
          <w:color w:val="auto"/>
          <w:sz w:val="21"/>
          <w:szCs w:val="21"/>
          <w:highlight w:val="none"/>
          <w:lang w:eastAsia="zh-CN"/>
        </w:rPr>
        <w:t>的。</w:t>
      </w:r>
    </w:p>
    <w:p w14:paraId="1D378C65">
      <w:pPr>
        <w:pStyle w:val="25"/>
        <w:spacing w:line="400" w:lineRule="exact"/>
        <w:ind w:firstLine="407" w:firstLineChars="193"/>
        <w:rPr>
          <w:rFonts w:ascii="宋体" w:hAnsi="宋体" w:cs="宋体"/>
          <w:b/>
          <w:bCs/>
          <w:color w:val="auto"/>
          <w:sz w:val="21"/>
          <w:szCs w:val="21"/>
          <w:highlight w:val="none"/>
        </w:rPr>
      </w:pPr>
      <w:r>
        <w:rPr>
          <w:rFonts w:hint="eastAsia" w:ascii="宋体" w:hAnsi="宋体" w:cs="宋体"/>
          <w:b/>
          <w:bCs/>
          <w:color w:val="auto"/>
          <w:sz w:val="21"/>
          <w:szCs w:val="21"/>
          <w:highlight w:val="none"/>
        </w:rPr>
        <w:t>注：</w:t>
      </w:r>
      <w:r>
        <w:rPr>
          <w:rFonts w:hint="eastAsia" w:ascii="宋体" w:hAnsi="宋体" w:cs="宋体"/>
          <w:b/>
          <w:bCs/>
          <w:color w:val="auto"/>
          <w:sz w:val="21"/>
          <w:szCs w:val="21"/>
          <w:highlight w:val="none"/>
          <w:lang w:val="en-US"/>
        </w:rPr>
        <w:t>供应商</w:t>
      </w:r>
      <w:r>
        <w:rPr>
          <w:rFonts w:hint="eastAsia" w:ascii="宋体" w:hAnsi="宋体" w:cs="宋体"/>
          <w:b/>
          <w:bCs/>
          <w:color w:val="auto"/>
          <w:sz w:val="21"/>
          <w:szCs w:val="21"/>
          <w:highlight w:val="none"/>
        </w:rPr>
        <w:t>未提供</w:t>
      </w:r>
      <w:r>
        <w:rPr>
          <w:rFonts w:hint="eastAsia" w:ascii="宋体" w:hAnsi="宋体" w:cs="宋体"/>
          <w:b/>
          <w:bCs/>
          <w:color w:val="auto"/>
          <w:sz w:val="21"/>
          <w:szCs w:val="21"/>
          <w:highlight w:val="none"/>
          <w:lang w:val="en-US"/>
        </w:rPr>
        <w:t>项目实施</w:t>
      </w:r>
      <w:r>
        <w:rPr>
          <w:rFonts w:hint="eastAsia" w:ascii="宋体" w:hAnsi="宋体" w:cs="宋体"/>
          <w:b/>
          <w:bCs/>
          <w:color w:val="auto"/>
          <w:sz w:val="21"/>
          <w:szCs w:val="21"/>
          <w:highlight w:val="none"/>
        </w:rPr>
        <w:t>方案相应内容或所提供的内容未达到一档档次的，相应不予得分。</w:t>
      </w:r>
    </w:p>
    <w:p w14:paraId="7711BC6E">
      <w:pPr>
        <w:tabs>
          <w:tab w:val="left" w:pos="4214"/>
        </w:tabs>
        <w:spacing w:line="360" w:lineRule="exact"/>
        <w:ind w:firstLine="422"/>
        <w:rPr>
          <w:rFonts w:ascii="宋体" w:hAnsi="宋体"/>
          <w:b/>
          <w:color w:val="auto"/>
          <w:sz w:val="21"/>
          <w:szCs w:val="21"/>
          <w:highlight w:val="none"/>
        </w:rPr>
      </w:pPr>
      <w:r>
        <w:rPr>
          <w:rFonts w:hint="eastAsia" w:ascii="宋体" w:hAnsi="宋体"/>
          <w:b/>
          <w:color w:val="auto"/>
          <w:sz w:val="21"/>
          <w:szCs w:val="21"/>
          <w:highlight w:val="none"/>
        </w:rPr>
        <w:t>3.履约能力分………………………………………………………………1</w:t>
      </w:r>
      <w:r>
        <w:rPr>
          <w:rFonts w:hint="eastAsia" w:ascii="宋体" w:hAnsi="宋体"/>
          <w:b/>
          <w:color w:val="auto"/>
          <w:sz w:val="21"/>
          <w:szCs w:val="21"/>
          <w:highlight w:val="none"/>
          <w:lang w:val="en-US" w:eastAsia="zh-CN"/>
        </w:rPr>
        <w:t>4</w:t>
      </w:r>
      <w:r>
        <w:rPr>
          <w:rFonts w:hint="eastAsia" w:ascii="宋体" w:hAnsi="宋体"/>
          <w:b/>
          <w:color w:val="auto"/>
          <w:sz w:val="21"/>
          <w:szCs w:val="21"/>
          <w:highlight w:val="none"/>
        </w:rPr>
        <w:t>分</w:t>
      </w:r>
    </w:p>
    <w:p w14:paraId="7E76BB92">
      <w:pPr>
        <w:spacing w:line="360" w:lineRule="exact"/>
        <w:ind w:firstLine="420"/>
        <w:rPr>
          <w:rFonts w:ascii="宋体" w:hAnsi="宋体"/>
          <w:color w:val="auto"/>
          <w:sz w:val="21"/>
          <w:szCs w:val="21"/>
          <w:highlight w:val="none"/>
        </w:rPr>
      </w:pPr>
      <w:r>
        <w:rPr>
          <w:rFonts w:hint="eastAsia" w:ascii="宋体" w:hAnsi="宋体"/>
          <w:color w:val="auto"/>
          <w:sz w:val="21"/>
          <w:szCs w:val="21"/>
          <w:highlight w:val="none"/>
        </w:rPr>
        <w:t>（1）供应商通过ISO9001质量管理体系认证、ISO4001环境管理体系认证、ISO45001职业健康安全管理体系认证，认证范围包括大气监测设备的运维服务或大气环境监测设备的销售且有效的（供应商于响应文件中提供相关有效认证证书复印件，并加盖供应商电子签章），每有1项得1分，本项最多得3分。</w:t>
      </w:r>
    </w:p>
    <w:p w14:paraId="1E021A2B">
      <w:pPr>
        <w:spacing w:line="360" w:lineRule="exact"/>
        <w:ind w:firstLine="420"/>
        <w:rPr>
          <w:rFonts w:ascii="宋体" w:hAnsi="宋体"/>
          <w:color w:val="auto"/>
          <w:sz w:val="21"/>
          <w:szCs w:val="21"/>
          <w:highlight w:val="none"/>
        </w:rPr>
      </w:pPr>
      <w:r>
        <w:rPr>
          <w:rFonts w:hint="eastAsia" w:ascii="宋体" w:hAnsi="宋体"/>
          <w:color w:val="auto"/>
          <w:sz w:val="21"/>
          <w:szCs w:val="21"/>
          <w:highlight w:val="none"/>
        </w:rPr>
        <w:t>（2）业绩分：供应商2021年1月1日以来具有同类服务项目业绩（无不良记录，以中标、成交通知书或签订的项目合同为准，并能清晰反映项目名称、种类，同一个编号的项目有两个或两个以上的分标中标的只算一次），每提供1项得1分，最多得</w:t>
      </w:r>
      <w:r>
        <w:rPr>
          <w:rFonts w:hint="eastAsia" w:ascii="宋体" w:hAnsi="宋体"/>
          <w:color w:val="auto"/>
          <w:sz w:val="21"/>
          <w:szCs w:val="21"/>
          <w:highlight w:val="none"/>
          <w:lang w:val="en-US" w:eastAsia="zh-CN"/>
        </w:rPr>
        <w:t>6</w:t>
      </w:r>
      <w:r>
        <w:rPr>
          <w:rFonts w:hint="eastAsia" w:ascii="宋体" w:hAnsi="宋体" w:cs="微软雅黑"/>
          <w:color w:val="auto"/>
          <w:sz w:val="21"/>
          <w:szCs w:val="21"/>
          <w:highlight w:val="none"/>
        </w:rPr>
        <w:t>分。</w:t>
      </w:r>
    </w:p>
    <w:p w14:paraId="51B29C1E">
      <w:pPr>
        <w:spacing w:line="360" w:lineRule="exact"/>
        <w:ind w:firstLine="420"/>
        <w:rPr>
          <w:rFonts w:ascii="宋体" w:hAnsi="宋体"/>
          <w:color w:val="auto"/>
          <w:sz w:val="21"/>
          <w:szCs w:val="21"/>
          <w:highlight w:val="none"/>
        </w:rPr>
      </w:pPr>
      <w:r>
        <w:rPr>
          <w:rFonts w:hint="eastAsia" w:ascii="宋体" w:hAnsi="宋体"/>
          <w:color w:val="auto"/>
          <w:sz w:val="21"/>
          <w:szCs w:val="21"/>
          <w:highlight w:val="none"/>
        </w:rPr>
        <w:t>（3）供应商在以往环境监测服务中未受到各级环保主管部门行政处罚、通报、记不良记录、记过或存在弄虚作假等不良行为记录的</w:t>
      </w:r>
      <w:r>
        <w:rPr>
          <w:rFonts w:hint="eastAsia" w:ascii="宋体" w:hAnsi="宋体"/>
          <w:b/>
          <w:color w:val="auto"/>
          <w:sz w:val="21"/>
          <w:szCs w:val="21"/>
          <w:highlight w:val="none"/>
        </w:rPr>
        <w:t>【供应商于响应文件中提供相应承诺函，加盖供应商电子签章（供应商提供的承诺必须真实有效，若经查实存在虚假承诺的情形，则采购人有权取消其成交资格，并上报监督管理部门处理，且保留追究法律责任的权利）】</w:t>
      </w:r>
      <w:r>
        <w:rPr>
          <w:rFonts w:hint="eastAsia" w:ascii="宋体" w:hAnsi="宋体"/>
          <w:color w:val="auto"/>
          <w:sz w:val="21"/>
          <w:szCs w:val="21"/>
          <w:highlight w:val="none"/>
        </w:rPr>
        <w:t>，得5分，未提供相应承诺函或有不良记录的，不得分。</w:t>
      </w:r>
    </w:p>
    <w:p w14:paraId="4C1C0317">
      <w:pPr>
        <w:tabs>
          <w:tab w:val="left" w:pos="4214"/>
        </w:tabs>
        <w:spacing w:line="360" w:lineRule="exact"/>
        <w:ind w:firstLine="422"/>
        <w:rPr>
          <w:rFonts w:ascii="宋体" w:hAnsi="宋体"/>
          <w:b/>
          <w:color w:val="auto"/>
          <w:sz w:val="21"/>
          <w:szCs w:val="21"/>
          <w:highlight w:val="none"/>
        </w:rPr>
      </w:pPr>
      <w:r>
        <w:rPr>
          <w:rFonts w:hint="eastAsia" w:ascii="宋体" w:hAnsi="宋体"/>
          <w:b/>
          <w:color w:val="auto"/>
          <w:sz w:val="21"/>
          <w:szCs w:val="21"/>
          <w:highlight w:val="none"/>
        </w:rPr>
        <w:t>4.服务方案分………………………………………………………………6分</w:t>
      </w:r>
    </w:p>
    <w:p w14:paraId="69AF5B2D">
      <w:pPr>
        <w:spacing w:line="360" w:lineRule="exact"/>
        <w:ind w:firstLine="411" w:firstLineChars="196"/>
        <w:outlineLvl w:val="0"/>
        <w:rPr>
          <w:rFonts w:ascii="宋体" w:hAnsi="宋体"/>
          <w:color w:val="auto"/>
          <w:sz w:val="21"/>
          <w:szCs w:val="21"/>
          <w:highlight w:val="none"/>
        </w:rPr>
      </w:pPr>
      <w:r>
        <w:rPr>
          <w:rFonts w:hint="eastAsia" w:ascii="宋体" w:hAnsi="宋体"/>
          <w:color w:val="auto"/>
          <w:sz w:val="21"/>
          <w:szCs w:val="21"/>
          <w:highlight w:val="none"/>
        </w:rPr>
        <w:t>由磋商小组各成员根据各供应商提供的服务方案（内容包括但不限于：①服务保障措施，②服务能力保障，③有利于提高本项目服务质量的建议和措施）进行独立评审，并按以下规定独立打分：</w:t>
      </w:r>
    </w:p>
    <w:p w14:paraId="239425A9">
      <w:pPr>
        <w:widowControl w:val="0"/>
        <w:tabs>
          <w:tab w:val="left" w:pos="4214"/>
        </w:tabs>
        <w:spacing w:line="36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一档（2分）：服务承诺方案描述</w:t>
      </w:r>
      <w:r>
        <w:rPr>
          <w:rFonts w:hint="eastAsia" w:ascii="宋体" w:hAnsi="宋体" w:cs="Times New Roman"/>
          <w:color w:val="auto"/>
          <w:kern w:val="2"/>
          <w:sz w:val="21"/>
          <w:szCs w:val="21"/>
          <w:highlight w:val="none"/>
          <w:lang w:val="en-US" w:eastAsia="zh-CN" w:bidi="ar-SA"/>
        </w:rPr>
        <w:t>不够具体</w:t>
      </w:r>
      <w:r>
        <w:rPr>
          <w:rFonts w:hint="eastAsia" w:ascii="宋体" w:hAnsi="宋体" w:eastAsia="宋体" w:cs="Times New Roman"/>
          <w:color w:val="auto"/>
          <w:kern w:val="2"/>
          <w:sz w:val="21"/>
          <w:szCs w:val="21"/>
          <w:highlight w:val="none"/>
          <w:lang w:val="en-US" w:eastAsia="zh-CN" w:bidi="ar-SA"/>
        </w:rPr>
        <w:t>，内容包括服务保障措施、服务能力保障及有利于提高本项目服务质量的建议和措施的；</w:t>
      </w:r>
    </w:p>
    <w:p w14:paraId="08907487">
      <w:pPr>
        <w:widowControl w:val="0"/>
        <w:tabs>
          <w:tab w:val="left" w:pos="4214"/>
        </w:tabs>
        <w:spacing w:line="36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二档（4分）：服务承诺方案详细描述、具有合理性、可行性，针对性一般，内容包括服务保障措施、服务能力保障及有利于提高本项目服务质量的建议和</w:t>
      </w:r>
      <w:r>
        <w:rPr>
          <w:rFonts w:hint="eastAsia" w:ascii="宋体" w:hAnsi="宋体" w:cs="Times New Roman"/>
          <w:color w:val="auto"/>
          <w:kern w:val="2"/>
          <w:sz w:val="21"/>
          <w:szCs w:val="21"/>
          <w:highlight w:val="none"/>
          <w:lang w:val="en-US" w:eastAsia="zh-CN" w:bidi="ar-SA"/>
        </w:rPr>
        <w:t>措施</w:t>
      </w:r>
      <w:r>
        <w:rPr>
          <w:rFonts w:hint="eastAsia" w:ascii="宋体" w:hAnsi="宋体" w:eastAsia="宋体" w:cs="Times New Roman"/>
          <w:color w:val="auto"/>
          <w:kern w:val="2"/>
          <w:sz w:val="21"/>
          <w:szCs w:val="21"/>
          <w:highlight w:val="none"/>
          <w:lang w:val="en-US" w:eastAsia="zh-CN" w:bidi="ar-SA"/>
        </w:rPr>
        <w:t>；</w:t>
      </w:r>
    </w:p>
    <w:p w14:paraId="5DCE2B24">
      <w:pPr>
        <w:spacing w:line="360" w:lineRule="exact"/>
        <w:ind w:firstLine="420"/>
        <w:rPr>
          <w:rFonts w:ascii="宋体" w:hAnsi="宋体" w:cs="宋体"/>
          <w:b/>
          <w:bCs/>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三档（6分）：服务承诺方案详细描述、具有合理性、可行性、针对性强，符合本项目需求，内容包括服务保障措施、服务细则、承诺按时间节点完成各项记录、监测工作、服务能力保障及有利于提高本项目服务质量的建议和</w:t>
      </w:r>
      <w:r>
        <w:rPr>
          <w:rFonts w:hint="eastAsia" w:ascii="宋体" w:hAnsi="宋体" w:cs="Times New Roman"/>
          <w:color w:val="auto"/>
          <w:kern w:val="2"/>
          <w:sz w:val="21"/>
          <w:szCs w:val="21"/>
          <w:highlight w:val="none"/>
          <w:lang w:val="en-US" w:eastAsia="zh-CN" w:bidi="ar-SA"/>
        </w:rPr>
        <w:t>措施</w:t>
      </w:r>
      <w:r>
        <w:rPr>
          <w:rFonts w:hint="eastAsia" w:ascii="宋体" w:hAnsi="宋体" w:eastAsia="宋体" w:cs="Times New Roman"/>
          <w:color w:val="auto"/>
          <w:kern w:val="2"/>
          <w:sz w:val="21"/>
          <w:szCs w:val="21"/>
          <w:highlight w:val="none"/>
          <w:lang w:val="en-US" w:eastAsia="zh-CN" w:bidi="ar-SA"/>
        </w:rPr>
        <w:t>。</w:t>
      </w:r>
    </w:p>
    <w:bookmarkEnd w:id="38"/>
    <w:p w14:paraId="63736409">
      <w:pPr>
        <w:pStyle w:val="25"/>
        <w:spacing w:line="400" w:lineRule="exact"/>
        <w:ind w:firstLine="407" w:firstLineChars="193"/>
        <w:rPr>
          <w:rFonts w:ascii="宋体" w:hAnsi="宋体" w:cs="宋体"/>
          <w:b/>
          <w:bCs/>
          <w:color w:val="auto"/>
          <w:sz w:val="21"/>
          <w:szCs w:val="21"/>
          <w:highlight w:val="none"/>
        </w:rPr>
      </w:pPr>
      <w:r>
        <w:rPr>
          <w:rFonts w:hint="eastAsia" w:ascii="宋体" w:hAnsi="宋体" w:cs="宋体"/>
          <w:b/>
          <w:bCs/>
          <w:color w:val="auto"/>
          <w:sz w:val="21"/>
          <w:szCs w:val="21"/>
          <w:highlight w:val="none"/>
        </w:rPr>
        <w:t>注：</w:t>
      </w:r>
      <w:r>
        <w:rPr>
          <w:rFonts w:hint="eastAsia" w:ascii="宋体" w:hAnsi="宋体" w:cs="宋体"/>
          <w:b/>
          <w:bCs/>
          <w:color w:val="auto"/>
          <w:sz w:val="21"/>
          <w:szCs w:val="21"/>
          <w:highlight w:val="none"/>
          <w:lang w:val="en-US"/>
        </w:rPr>
        <w:t>供应商</w:t>
      </w:r>
      <w:r>
        <w:rPr>
          <w:rFonts w:hint="eastAsia" w:ascii="宋体" w:hAnsi="宋体" w:cs="宋体"/>
          <w:b/>
          <w:bCs/>
          <w:color w:val="auto"/>
          <w:sz w:val="21"/>
          <w:szCs w:val="21"/>
          <w:highlight w:val="none"/>
        </w:rPr>
        <w:t>未提供</w:t>
      </w:r>
      <w:r>
        <w:rPr>
          <w:rFonts w:hint="eastAsia" w:ascii="宋体" w:hAnsi="宋体" w:cs="宋体"/>
          <w:b/>
          <w:bCs/>
          <w:color w:val="auto"/>
          <w:sz w:val="21"/>
          <w:szCs w:val="21"/>
          <w:highlight w:val="none"/>
          <w:lang w:val="en-US"/>
        </w:rPr>
        <w:t>服务</w:t>
      </w:r>
      <w:r>
        <w:rPr>
          <w:rFonts w:hint="eastAsia" w:ascii="宋体" w:hAnsi="宋体" w:cs="宋体"/>
          <w:b/>
          <w:bCs/>
          <w:color w:val="auto"/>
          <w:sz w:val="21"/>
          <w:szCs w:val="21"/>
          <w:highlight w:val="none"/>
        </w:rPr>
        <w:t>方案内容或所提供的内容未达到一档档次的，相应不予得分。</w:t>
      </w:r>
    </w:p>
    <w:p w14:paraId="5CD18B4E">
      <w:pPr>
        <w:spacing w:line="360" w:lineRule="exact"/>
        <w:ind w:firstLine="422"/>
        <w:outlineLvl w:val="0"/>
        <w:rPr>
          <w:rFonts w:ascii="宋体" w:hAnsi="宋体" w:cs="宋体"/>
          <w:b/>
          <w:bCs/>
          <w:color w:val="auto"/>
          <w:sz w:val="21"/>
          <w:szCs w:val="21"/>
          <w:highlight w:val="none"/>
        </w:rPr>
      </w:pPr>
    </w:p>
    <w:p w14:paraId="6DDA0799">
      <w:pPr>
        <w:spacing w:line="360" w:lineRule="exact"/>
        <w:ind w:firstLine="422"/>
        <w:outlineLvl w:val="0"/>
        <w:rPr>
          <w:rFonts w:ascii="宋体" w:hAnsi="宋体" w:cs="宋体"/>
          <w:b/>
          <w:bCs/>
          <w:color w:val="auto"/>
          <w:sz w:val="21"/>
          <w:szCs w:val="21"/>
          <w:highlight w:val="none"/>
        </w:rPr>
      </w:pPr>
      <w:r>
        <w:rPr>
          <w:rFonts w:hint="eastAsia" w:ascii="宋体" w:hAnsi="宋体" w:cs="宋体"/>
          <w:b/>
          <w:bCs/>
          <w:color w:val="auto"/>
          <w:sz w:val="21"/>
          <w:szCs w:val="21"/>
          <w:highlight w:val="none"/>
        </w:rPr>
        <w:t>5.综合得分为以上各项评审因素得分合计。</w:t>
      </w:r>
    </w:p>
    <w:p w14:paraId="606277BC">
      <w:pPr>
        <w:spacing w:line="360" w:lineRule="exact"/>
        <w:ind w:firstLine="527" w:firstLineChars="250"/>
        <w:jc w:val="left"/>
        <w:rPr>
          <w:rFonts w:ascii="宋体" w:hAnsi="宋体" w:cs="宋体"/>
          <w:b/>
          <w:color w:val="auto"/>
          <w:sz w:val="21"/>
          <w:szCs w:val="21"/>
          <w:highlight w:val="none"/>
        </w:rPr>
      </w:pPr>
    </w:p>
    <w:p w14:paraId="62EDAE2A">
      <w:pPr>
        <w:spacing w:line="360" w:lineRule="exact"/>
        <w:ind w:firstLine="527" w:firstLineChars="250"/>
        <w:jc w:val="left"/>
        <w:rPr>
          <w:rFonts w:ascii="宋体" w:hAnsi="宋体" w:cs="宋体"/>
          <w:b/>
          <w:color w:val="auto"/>
          <w:sz w:val="21"/>
          <w:szCs w:val="21"/>
          <w:highlight w:val="none"/>
        </w:rPr>
      </w:pPr>
    </w:p>
    <w:p w14:paraId="3C984A94">
      <w:pPr>
        <w:spacing w:line="360" w:lineRule="exact"/>
        <w:ind w:firstLine="527" w:firstLineChars="250"/>
        <w:jc w:val="left"/>
        <w:rPr>
          <w:rFonts w:ascii="宋体" w:hAnsi="宋体" w:cs="宋体"/>
          <w:b/>
          <w:color w:val="auto"/>
          <w:sz w:val="21"/>
          <w:szCs w:val="21"/>
          <w:highlight w:val="none"/>
        </w:rPr>
      </w:pPr>
    </w:p>
    <w:p w14:paraId="3971DD18">
      <w:pPr>
        <w:spacing w:line="360" w:lineRule="exact"/>
        <w:ind w:firstLine="527" w:firstLineChars="250"/>
        <w:jc w:val="left"/>
        <w:rPr>
          <w:rFonts w:ascii="宋体" w:hAnsi="宋体" w:cs="宋体"/>
          <w:b/>
          <w:color w:val="auto"/>
          <w:sz w:val="21"/>
          <w:szCs w:val="21"/>
          <w:highlight w:val="none"/>
        </w:rPr>
      </w:pPr>
      <w:r>
        <w:rPr>
          <w:rFonts w:hint="eastAsia" w:ascii="宋体" w:hAnsi="宋体" w:cs="宋体"/>
          <w:b/>
          <w:color w:val="auto"/>
          <w:sz w:val="21"/>
          <w:szCs w:val="21"/>
          <w:highlight w:val="none"/>
        </w:rPr>
        <w:t>三、推荐及确定成交候选供应商原则</w:t>
      </w:r>
    </w:p>
    <w:p w14:paraId="603BA694">
      <w:pPr>
        <w:tabs>
          <w:tab w:val="left" w:pos="1140"/>
        </w:tabs>
        <w:spacing w:line="36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w:t>
      </w:r>
      <w:r>
        <w:rPr>
          <w:rFonts w:hint="eastAsia" w:ascii="宋体" w:hAnsi="宋体" w:cs="宋体"/>
          <w:color w:val="auto"/>
          <w:kern w:val="0"/>
          <w:sz w:val="21"/>
          <w:szCs w:val="20"/>
          <w:highlight w:val="none"/>
        </w:rPr>
        <w:t>履约能力</w:t>
      </w:r>
      <w:r>
        <w:rPr>
          <w:rFonts w:hint="eastAsia" w:ascii="宋体" w:hAnsi="宋体" w:cs="宋体"/>
          <w:color w:val="auto"/>
          <w:kern w:val="0"/>
          <w:sz w:val="21"/>
          <w:szCs w:val="21"/>
          <w:highlight w:val="none"/>
        </w:rPr>
        <w:t>、服务方案</w:t>
      </w:r>
      <w:r>
        <w:rPr>
          <w:rFonts w:hint="eastAsia" w:ascii="宋体" w:hAnsi="宋体" w:cs="宋体"/>
          <w:color w:val="auto"/>
          <w:kern w:val="0"/>
          <w:sz w:val="21"/>
          <w:szCs w:val="20"/>
          <w:highlight w:val="none"/>
        </w:rPr>
        <w:t>分</w:t>
      </w:r>
      <w:r>
        <w:rPr>
          <w:rFonts w:hint="eastAsia" w:ascii="宋体" w:hAnsi="宋体" w:cs="宋体"/>
          <w:color w:val="auto"/>
          <w:kern w:val="0"/>
          <w:sz w:val="21"/>
          <w:szCs w:val="21"/>
          <w:highlight w:val="none"/>
        </w:rPr>
        <w:t>由高到低顺序排列并推荐成交候选供应商。</w:t>
      </w:r>
    </w:p>
    <w:p w14:paraId="6B7252D4">
      <w:pPr>
        <w:tabs>
          <w:tab w:val="left" w:pos="1140"/>
        </w:tabs>
        <w:spacing w:line="36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采购代理机构在评审结束后2个工作日内将评审报告送采购人确认。采购人应当在收到评审报告后5个工作日内，从评审报告提出的成交候选供应商中，按照排序由高到低的原则确定成交供应商。</w:t>
      </w:r>
      <w:r>
        <w:rPr>
          <w:rFonts w:hint="eastAsia" w:ascii="宋体" w:hAnsi="宋体" w:cs="宋体"/>
          <w:color w:val="auto"/>
          <w:kern w:val="0"/>
          <w:sz w:val="21"/>
          <w:szCs w:val="21"/>
          <w:highlight w:val="none"/>
        </w:rPr>
        <w:t>本项目确定一名成交供应商。</w:t>
      </w:r>
    </w:p>
    <w:p w14:paraId="1BE091C5">
      <w:pPr>
        <w:tabs>
          <w:tab w:val="left" w:pos="1140"/>
        </w:tabs>
        <w:spacing w:line="36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1144E4B2">
      <w:pPr>
        <w:tabs>
          <w:tab w:val="left" w:pos="1140"/>
        </w:tabs>
        <w:spacing w:line="360" w:lineRule="exact"/>
        <w:ind w:firstLine="422"/>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4）本项目分为分标1、分标1、分标3三个分标，供应商可以参与任意一个或多个分标的磋商，但最多只能成为其中1个分标的成交供应商，推荐原则如下：本项目评审顺序为分标1→分标2→分标3，若某供应商同时在两个或以上分标综合得分排名第一时，则按分标1→分标2→分标3的先后顺序推荐成交候选供应商。即该供应商一旦被推荐为分标1的第一成交候选供应商，则在其综合得分排名第一的其他分标将被推荐为末位成交候选供应商，相应分标的其他供应商排名依次自动上升一位，以此类推，直至所有分标成交候选供应商推荐顺序确定为止。</w:t>
      </w:r>
    </w:p>
    <w:p w14:paraId="25521E54">
      <w:pPr>
        <w:tabs>
          <w:tab w:val="left" w:pos="1140"/>
        </w:tabs>
        <w:spacing w:line="360" w:lineRule="exact"/>
        <w:ind w:firstLine="422"/>
        <w:rPr>
          <w:rFonts w:ascii="宋体" w:hAnsi="宋体" w:cs="宋体"/>
          <w:b/>
          <w:bCs/>
          <w:color w:val="auto"/>
          <w:kern w:val="0"/>
          <w:sz w:val="21"/>
          <w:szCs w:val="21"/>
          <w:highlight w:val="none"/>
        </w:rPr>
        <w:sectPr>
          <w:pgSz w:w="11906" w:h="16838"/>
          <w:pgMar w:top="1440" w:right="1304" w:bottom="1440" w:left="1304" w:header="720" w:footer="720" w:gutter="0"/>
          <w:cols w:space="720" w:num="1"/>
          <w:titlePg/>
          <w:docGrid w:linePitch="331" w:charSpace="0"/>
        </w:sectPr>
      </w:pPr>
      <w:r>
        <w:rPr>
          <w:rFonts w:hint="eastAsia" w:ascii="宋体" w:hAnsi="宋体" w:cs="宋体"/>
          <w:b/>
          <w:bCs/>
          <w:color w:val="auto"/>
          <w:kern w:val="0"/>
          <w:sz w:val="21"/>
          <w:szCs w:val="21"/>
          <w:highlight w:val="none"/>
        </w:rPr>
        <w:t xml:space="preserve"> 注：当不同分标排名第一的供应商出现单位负责人为同一人或者存在控股、管理关系情形时，将视同为同一投标人，成交候选供应商的推荐按上述推荐原则执行。</w:t>
      </w:r>
    </w:p>
    <w:p w14:paraId="5B04D87A">
      <w:pPr>
        <w:spacing w:line="240" w:lineRule="auto"/>
        <w:ind w:firstLine="0" w:firstLineChars="0"/>
        <w:jc w:val="center"/>
        <w:outlineLvl w:val="1"/>
        <w:rPr>
          <w:rFonts w:ascii="宋体" w:hAnsi="宋体"/>
          <w:b/>
          <w:color w:val="auto"/>
          <w:kern w:val="0"/>
          <w:sz w:val="32"/>
          <w:szCs w:val="32"/>
          <w:highlight w:val="none"/>
        </w:rPr>
      </w:pPr>
      <w:bookmarkStart w:id="39" w:name="_Toc82016592"/>
      <w:r>
        <w:rPr>
          <w:rFonts w:hint="eastAsia" w:ascii="宋体" w:hAnsi="宋体"/>
          <w:b/>
          <w:color w:val="auto"/>
          <w:kern w:val="0"/>
          <w:sz w:val="32"/>
          <w:szCs w:val="32"/>
          <w:highlight w:val="none"/>
        </w:rPr>
        <w:t>第五章  政府采购合同</w:t>
      </w:r>
      <w:bookmarkEnd w:id="39"/>
    </w:p>
    <w:p w14:paraId="63F1AE2A">
      <w:pPr>
        <w:spacing w:line="340" w:lineRule="exact"/>
        <w:ind w:firstLine="0" w:firstLineChars="0"/>
        <w:rPr>
          <w:rFonts w:ascii="宋体" w:hAnsi="宋体"/>
          <w:color w:val="auto"/>
          <w:kern w:val="0"/>
          <w:sz w:val="21"/>
          <w:szCs w:val="24"/>
          <w:highlight w:val="none"/>
        </w:rPr>
      </w:pPr>
    </w:p>
    <w:p w14:paraId="49B36609">
      <w:pPr>
        <w:spacing w:line="400" w:lineRule="exact"/>
        <w:ind w:firstLine="0" w:firstLineChars="0"/>
        <w:jc w:val="center"/>
        <w:rPr>
          <w:rFonts w:ascii="宋体" w:hAnsi="宋体"/>
          <w:b/>
          <w:color w:val="auto"/>
          <w:sz w:val="32"/>
          <w:szCs w:val="32"/>
          <w:highlight w:val="none"/>
        </w:rPr>
      </w:pPr>
    </w:p>
    <w:p w14:paraId="025E4CE0">
      <w:pPr>
        <w:spacing w:line="400" w:lineRule="exact"/>
        <w:ind w:firstLine="0" w:firstLineChars="0"/>
        <w:jc w:val="center"/>
        <w:rPr>
          <w:rFonts w:ascii="宋体" w:hAnsi="宋体"/>
          <w:b/>
          <w:color w:val="auto"/>
          <w:sz w:val="32"/>
          <w:szCs w:val="32"/>
          <w:highlight w:val="none"/>
        </w:rPr>
      </w:pPr>
    </w:p>
    <w:p w14:paraId="76B7EC89">
      <w:pPr>
        <w:ind w:firstLine="0" w:firstLineChars="0"/>
        <w:jc w:val="left"/>
        <w:rPr>
          <w:rFonts w:ascii="宋体" w:hAnsi="宋体"/>
          <w:b/>
          <w:bCs/>
          <w:color w:val="auto"/>
          <w:sz w:val="32"/>
          <w:szCs w:val="32"/>
          <w:highlight w:val="none"/>
        </w:rPr>
      </w:pPr>
    </w:p>
    <w:p w14:paraId="08FA48B3">
      <w:pPr>
        <w:ind w:firstLine="0" w:firstLineChars="0"/>
        <w:jc w:val="center"/>
        <w:rPr>
          <w:rFonts w:ascii="宋体" w:hAnsi="宋体"/>
          <w:bCs/>
          <w:color w:val="auto"/>
          <w:sz w:val="36"/>
          <w:szCs w:val="36"/>
          <w:highlight w:val="none"/>
        </w:rPr>
      </w:pPr>
      <w:r>
        <w:rPr>
          <w:rFonts w:hint="eastAsia" w:ascii="宋体" w:hAnsi="宋体"/>
          <w:bCs/>
          <w:color w:val="auto"/>
          <w:sz w:val="32"/>
          <w:szCs w:val="32"/>
          <w:highlight w:val="none"/>
        </w:rPr>
        <w:t>合同编号：</w:t>
      </w:r>
    </w:p>
    <w:p w14:paraId="04C3A810">
      <w:pPr>
        <w:spacing w:line="240" w:lineRule="auto"/>
        <w:ind w:left="-2" w:leftChars="-1" w:right="144" w:rightChars="60" w:firstLine="946" w:firstLineChars="263"/>
        <w:rPr>
          <w:rFonts w:ascii="华文新魏" w:eastAsia="华文新魏"/>
          <w:bCs/>
          <w:color w:val="auto"/>
          <w:spacing w:val="90"/>
          <w:sz w:val="18"/>
          <w:szCs w:val="24"/>
          <w:highlight w:val="none"/>
        </w:rPr>
      </w:pPr>
    </w:p>
    <w:p w14:paraId="611327A8">
      <w:pPr>
        <w:spacing w:line="240" w:lineRule="auto"/>
        <w:ind w:right="144" w:rightChars="60" w:firstLine="0" w:firstLineChars="0"/>
        <w:rPr>
          <w:rFonts w:ascii="华文新魏" w:eastAsia="华文新魏"/>
          <w:bCs/>
          <w:color w:val="auto"/>
          <w:spacing w:val="90"/>
          <w:sz w:val="18"/>
          <w:szCs w:val="24"/>
          <w:highlight w:val="none"/>
        </w:rPr>
      </w:pPr>
    </w:p>
    <w:p w14:paraId="36E53A90">
      <w:pPr>
        <w:spacing w:line="240" w:lineRule="auto"/>
        <w:ind w:left="-2" w:leftChars="-1" w:right="144" w:rightChars="60" w:firstLine="946" w:firstLineChars="263"/>
        <w:rPr>
          <w:rFonts w:ascii="华文新魏" w:eastAsia="华文新魏"/>
          <w:bCs/>
          <w:color w:val="auto"/>
          <w:spacing w:val="90"/>
          <w:sz w:val="18"/>
          <w:szCs w:val="24"/>
          <w:highlight w:val="none"/>
        </w:rPr>
      </w:pPr>
    </w:p>
    <w:p w14:paraId="13047AAF">
      <w:pPr>
        <w:spacing w:line="240" w:lineRule="auto"/>
        <w:ind w:left="-2" w:leftChars="-1" w:right="144" w:rightChars="60" w:firstLine="946" w:firstLineChars="263"/>
        <w:rPr>
          <w:rFonts w:ascii="华文新魏" w:eastAsia="华文新魏"/>
          <w:bCs/>
          <w:color w:val="auto"/>
          <w:spacing w:val="90"/>
          <w:sz w:val="18"/>
          <w:szCs w:val="24"/>
          <w:highlight w:val="none"/>
        </w:rPr>
      </w:pPr>
    </w:p>
    <w:p w14:paraId="2DE35348">
      <w:pPr>
        <w:spacing w:line="240" w:lineRule="auto"/>
        <w:ind w:left="-2" w:leftChars="-1" w:right="144" w:rightChars="60" w:firstLine="946" w:firstLineChars="263"/>
        <w:rPr>
          <w:rFonts w:ascii="华文新魏" w:eastAsia="华文新魏"/>
          <w:bCs/>
          <w:color w:val="auto"/>
          <w:spacing w:val="90"/>
          <w:sz w:val="18"/>
          <w:szCs w:val="24"/>
          <w:highlight w:val="none"/>
        </w:rPr>
      </w:pPr>
    </w:p>
    <w:p w14:paraId="04FEC47B">
      <w:pPr>
        <w:spacing w:line="240" w:lineRule="auto"/>
        <w:ind w:right="144" w:rightChars="60" w:firstLine="0" w:firstLineChars="0"/>
        <w:jc w:val="center"/>
        <w:rPr>
          <w:rFonts w:ascii="华文新魏" w:eastAsia="华文新魏"/>
          <w:bCs/>
          <w:color w:val="auto"/>
          <w:spacing w:val="90"/>
          <w:sz w:val="84"/>
          <w:szCs w:val="84"/>
          <w:highlight w:val="none"/>
        </w:rPr>
      </w:pPr>
      <w:r>
        <w:rPr>
          <w:rFonts w:hint="eastAsia" w:ascii="华文新魏" w:eastAsia="华文新魏"/>
          <w:bCs/>
          <w:color w:val="auto"/>
          <w:spacing w:val="90"/>
          <w:sz w:val="84"/>
          <w:szCs w:val="84"/>
          <w:highlight w:val="none"/>
        </w:rPr>
        <w:t>政府采购合同</w:t>
      </w:r>
    </w:p>
    <w:p w14:paraId="3CC4558F">
      <w:pPr>
        <w:tabs>
          <w:tab w:val="left" w:pos="5040"/>
        </w:tabs>
        <w:spacing w:line="340" w:lineRule="exact"/>
        <w:ind w:firstLine="0" w:firstLineChars="0"/>
        <w:jc w:val="center"/>
        <w:rPr>
          <w:rFonts w:hAnsi="宋体"/>
          <w:color w:val="auto"/>
          <w:sz w:val="32"/>
          <w:szCs w:val="32"/>
          <w:highlight w:val="none"/>
        </w:rPr>
      </w:pPr>
    </w:p>
    <w:p w14:paraId="5313359A">
      <w:pPr>
        <w:tabs>
          <w:tab w:val="left" w:pos="5040"/>
        </w:tabs>
        <w:spacing w:line="340" w:lineRule="exact"/>
        <w:ind w:firstLine="0" w:firstLineChars="0"/>
        <w:jc w:val="center"/>
        <w:rPr>
          <w:rFonts w:hAnsi="宋体"/>
          <w:color w:val="auto"/>
          <w:sz w:val="32"/>
          <w:szCs w:val="32"/>
          <w:highlight w:val="none"/>
        </w:rPr>
      </w:pPr>
    </w:p>
    <w:p w14:paraId="22FC28F1">
      <w:pPr>
        <w:tabs>
          <w:tab w:val="left" w:pos="5040"/>
        </w:tabs>
        <w:spacing w:line="340" w:lineRule="exact"/>
        <w:ind w:firstLine="0" w:firstLineChars="0"/>
        <w:jc w:val="center"/>
        <w:rPr>
          <w:rFonts w:hAnsi="宋体"/>
          <w:color w:val="auto"/>
          <w:sz w:val="32"/>
          <w:szCs w:val="32"/>
          <w:highlight w:val="none"/>
        </w:rPr>
      </w:pPr>
    </w:p>
    <w:p w14:paraId="3EBB70C7">
      <w:pPr>
        <w:tabs>
          <w:tab w:val="left" w:pos="5040"/>
        </w:tabs>
        <w:spacing w:line="340" w:lineRule="exact"/>
        <w:ind w:firstLine="0" w:firstLineChars="0"/>
        <w:rPr>
          <w:rFonts w:hAnsi="宋体"/>
          <w:color w:val="auto"/>
          <w:sz w:val="32"/>
          <w:szCs w:val="32"/>
          <w:highlight w:val="none"/>
        </w:rPr>
      </w:pPr>
    </w:p>
    <w:p w14:paraId="37E26A38">
      <w:pPr>
        <w:tabs>
          <w:tab w:val="left" w:pos="5040"/>
        </w:tabs>
        <w:spacing w:line="340" w:lineRule="exact"/>
        <w:ind w:firstLine="0" w:firstLineChars="0"/>
        <w:jc w:val="center"/>
        <w:rPr>
          <w:rFonts w:hAnsi="宋体"/>
          <w:color w:val="auto"/>
          <w:sz w:val="32"/>
          <w:szCs w:val="32"/>
          <w:highlight w:val="none"/>
        </w:rPr>
      </w:pPr>
    </w:p>
    <w:p w14:paraId="0411BDB7">
      <w:pPr>
        <w:ind w:firstLine="560"/>
        <w:jc w:val="center"/>
        <w:rPr>
          <w:rFonts w:ascii="宋体" w:hAnsi="宋体"/>
          <w:bCs/>
          <w:color w:val="auto"/>
          <w:sz w:val="28"/>
          <w:szCs w:val="24"/>
          <w:highlight w:val="none"/>
          <w:u w:val="single"/>
        </w:rPr>
      </w:pPr>
      <w:r>
        <w:rPr>
          <w:rFonts w:hint="eastAsia" w:ascii="宋体" w:hAnsi="宋体"/>
          <w:bCs/>
          <w:color w:val="auto"/>
          <w:sz w:val="28"/>
          <w:szCs w:val="24"/>
          <w:highlight w:val="none"/>
        </w:rPr>
        <w:t>项目名称：</w:t>
      </w:r>
      <w:r>
        <w:rPr>
          <w:rFonts w:hint="eastAsia" w:ascii="宋体" w:hAnsi="宋体"/>
          <w:bCs/>
          <w:color w:val="auto"/>
          <w:sz w:val="28"/>
          <w:szCs w:val="24"/>
          <w:highlight w:val="none"/>
          <w:u w:val="single"/>
        </w:rPr>
        <w:t>2026年桂林市生态环境局10个小型水站、3个水质自动监测站及2个环境空气自动监测站运行维护服务采购</w:t>
      </w:r>
    </w:p>
    <w:p w14:paraId="37A7C104">
      <w:pPr>
        <w:ind w:firstLine="0" w:firstLineChars="0"/>
        <w:jc w:val="center"/>
        <w:rPr>
          <w:rFonts w:ascii="宋体" w:hAnsi="宋体"/>
          <w:bCs/>
          <w:color w:val="auto"/>
          <w:sz w:val="28"/>
          <w:szCs w:val="24"/>
          <w:highlight w:val="none"/>
        </w:rPr>
      </w:pPr>
    </w:p>
    <w:p w14:paraId="39A47E63">
      <w:pPr>
        <w:ind w:firstLine="1680" w:firstLineChars="600"/>
        <w:rPr>
          <w:rFonts w:ascii="宋体" w:hAnsi="宋体"/>
          <w:bCs/>
          <w:color w:val="auto"/>
          <w:sz w:val="28"/>
          <w:szCs w:val="24"/>
          <w:highlight w:val="none"/>
          <w:u w:val="single"/>
        </w:rPr>
      </w:pPr>
      <w:r>
        <w:rPr>
          <w:rFonts w:hint="eastAsia" w:ascii="宋体" w:hAnsi="宋体"/>
          <w:bCs/>
          <w:color w:val="auto"/>
          <w:sz w:val="28"/>
          <w:szCs w:val="24"/>
          <w:highlight w:val="none"/>
        </w:rPr>
        <w:t>项目编号：</w:t>
      </w:r>
      <w:r>
        <w:rPr>
          <w:rFonts w:hint="eastAsia" w:ascii="宋体" w:hAnsi="宋体"/>
          <w:bCs/>
          <w:color w:val="auto"/>
          <w:sz w:val="28"/>
          <w:szCs w:val="24"/>
          <w:highlight w:val="none"/>
          <w:u w:val="single"/>
        </w:rPr>
        <w:t xml:space="preserve">                  </w:t>
      </w:r>
    </w:p>
    <w:p w14:paraId="76915DD3">
      <w:pPr>
        <w:ind w:firstLine="1960" w:firstLineChars="700"/>
        <w:rPr>
          <w:rFonts w:ascii="宋体" w:hAnsi="宋体"/>
          <w:bCs/>
          <w:color w:val="auto"/>
          <w:sz w:val="28"/>
          <w:szCs w:val="24"/>
          <w:highlight w:val="none"/>
          <w:u w:val="single"/>
        </w:rPr>
      </w:pPr>
      <w:r>
        <w:rPr>
          <w:rFonts w:hint="eastAsia" w:ascii="宋体" w:hAnsi="宋体"/>
          <w:bCs/>
          <w:color w:val="auto"/>
          <w:sz w:val="28"/>
          <w:szCs w:val="24"/>
          <w:highlight w:val="none"/>
        </w:rPr>
        <w:t>分标号：</w:t>
      </w:r>
      <w:r>
        <w:rPr>
          <w:rFonts w:hint="eastAsia" w:ascii="宋体" w:hAnsi="宋体"/>
          <w:bCs/>
          <w:color w:val="auto"/>
          <w:sz w:val="28"/>
          <w:szCs w:val="24"/>
          <w:highlight w:val="none"/>
          <w:u w:val="single"/>
        </w:rPr>
        <w:t xml:space="preserve">              </w:t>
      </w:r>
    </w:p>
    <w:p w14:paraId="41C95AE4">
      <w:pPr>
        <w:ind w:firstLine="0" w:firstLineChars="0"/>
        <w:rPr>
          <w:rFonts w:ascii="宋体" w:hAnsi="宋体"/>
          <w:bCs/>
          <w:color w:val="auto"/>
          <w:sz w:val="28"/>
          <w:szCs w:val="24"/>
          <w:highlight w:val="none"/>
        </w:rPr>
      </w:pPr>
    </w:p>
    <w:p w14:paraId="64B0C4C0">
      <w:pPr>
        <w:ind w:firstLine="555" w:firstLineChars="0"/>
        <w:rPr>
          <w:rFonts w:ascii="宋体" w:hAnsi="宋体"/>
          <w:bCs/>
          <w:color w:val="auto"/>
          <w:sz w:val="28"/>
          <w:szCs w:val="24"/>
          <w:highlight w:val="none"/>
        </w:rPr>
      </w:pPr>
    </w:p>
    <w:p w14:paraId="6C78F77A">
      <w:pPr>
        <w:ind w:firstLine="2240" w:firstLineChars="800"/>
        <w:rPr>
          <w:rFonts w:ascii="宋体" w:hAnsi="宋体"/>
          <w:bCs/>
          <w:color w:val="auto"/>
          <w:sz w:val="28"/>
          <w:szCs w:val="24"/>
          <w:highlight w:val="none"/>
        </w:rPr>
      </w:pPr>
      <w:r>
        <w:rPr>
          <w:rFonts w:hint="eastAsia" w:ascii="宋体" w:hAnsi="宋体"/>
          <w:bCs/>
          <w:color w:val="auto"/>
          <w:sz w:val="28"/>
          <w:szCs w:val="24"/>
          <w:highlight w:val="none"/>
        </w:rPr>
        <w:t>签订合同时间：2026年   月    日</w:t>
      </w:r>
    </w:p>
    <w:p w14:paraId="77BAFB94">
      <w:pPr>
        <w:tabs>
          <w:tab w:val="left" w:pos="5040"/>
        </w:tabs>
        <w:spacing w:line="340" w:lineRule="exact"/>
        <w:ind w:firstLine="0" w:firstLineChars="0"/>
        <w:jc w:val="center"/>
        <w:rPr>
          <w:rFonts w:hAnsi="宋体"/>
          <w:color w:val="auto"/>
          <w:sz w:val="32"/>
          <w:szCs w:val="32"/>
          <w:highlight w:val="none"/>
        </w:rPr>
      </w:pPr>
    </w:p>
    <w:p w14:paraId="5B524B22">
      <w:pPr>
        <w:tabs>
          <w:tab w:val="left" w:pos="5040"/>
        </w:tabs>
        <w:spacing w:line="340" w:lineRule="exact"/>
        <w:ind w:firstLine="0" w:firstLineChars="0"/>
        <w:jc w:val="center"/>
        <w:rPr>
          <w:rFonts w:hAnsi="宋体"/>
          <w:color w:val="auto"/>
          <w:sz w:val="32"/>
          <w:szCs w:val="32"/>
          <w:highlight w:val="none"/>
        </w:rPr>
      </w:pPr>
    </w:p>
    <w:p w14:paraId="7F19469E">
      <w:pPr>
        <w:tabs>
          <w:tab w:val="left" w:pos="5040"/>
        </w:tabs>
        <w:spacing w:line="340" w:lineRule="exact"/>
        <w:ind w:firstLine="0" w:firstLineChars="0"/>
        <w:jc w:val="center"/>
        <w:rPr>
          <w:rFonts w:hAnsi="宋体"/>
          <w:color w:val="auto"/>
          <w:sz w:val="32"/>
          <w:szCs w:val="32"/>
          <w:highlight w:val="none"/>
        </w:rPr>
      </w:pPr>
    </w:p>
    <w:p w14:paraId="07B7117D">
      <w:pPr>
        <w:tabs>
          <w:tab w:val="left" w:pos="5040"/>
        </w:tabs>
        <w:spacing w:line="340" w:lineRule="exact"/>
        <w:ind w:firstLine="0" w:firstLineChars="0"/>
        <w:jc w:val="center"/>
        <w:rPr>
          <w:rFonts w:hAnsi="宋体"/>
          <w:color w:val="auto"/>
          <w:sz w:val="32"/>
          <w:szCs w:val="32"/>
          <w:highlight w:val="none"/>
        </w:rPr>
      </w:pPr>
    </w:p>
    <w:p w14:paraId="1526A614">
      <w:pPr>
        <w:spacing w:line="400" w:lineRule="exact"/>
        <w:ind w:firstLine="0" w:firstLineChars="0"/>
        <w:rPr>
          <w:rFonts w:ascii="宋体" w:hAnsi="宋体"/>
          <w:b/>
          <w:color w:val="auto"/>
          <w:sz w:val="30"/>
          <w:szCs w:val="30"/>
          <w:highlight w:val="none"/>
        </w:rPr>
      </w:pPr>
    </w:p>
    <w:p w14:paraId="06BE138D">
      <w:pPr>
        <w:spacing w:line="400" w:lineRule="exact"/>
        <w:ind w:firstLine="0" w:firstLineChars="0"/>
        <w:jc w:val="center"/>
        <w:rPr>
          <w:rFonts w:ascii="宋体" w:hAnsi="宋体"/>
          <w:b/>
          <w:color w:val="auto"/>
          <w:sz w:val="30"/>
          <w:szCs w:val="30"/>
          <w:highlight w:val="none"/>
        </w:rPr>
      </w:pPr>
    </w:p>
    <w:p w14:paraId="4500CA3C">
      <w:pPr>
        <w:spacing w:line="400" w:lineRule="exact"/>
        <w:ind w:firstLine="0" w:firstLineChars="0"/>
        <w:jc w:val="center"/>
        <w:rPr>
          <w:rFonts w:ascii="宋体" w:hAnsi="宋体"/>
          <w:b/>
          <w:color w:val="auto"/>
          <w:sz w:val="30"/>
          <w:szCs w:val="30"/>
          <w:highlight w:val="none"/>
        </w:rPr>
      </w:pPr>
    </w:p>
    <w:p w14:paraId="4A5B3A9C">
      <w:pPr>
        <w:spacing w:line="400" w:lineRule="exact"/>
        <w:ind w:firstLine="0" w:firstLineChars="0"/>
        <w:jc w:val="center"/>
        <w:rPr>
          <w:rFonts w:ascii="宋体" w:hAnsi="宋体"/>
          <w:color w:val="auto"/>
          <w:sz w:val="30"/>
          <w:szCs w:val="30"/>
          <w:highlight w:val="none"/>
        </w:rPr>
      </w:pPr>
      <w:r>
        <w:rPr>
          <w:rFonts w:hint="eastAsia" w:ascii="宋体" w:hAnsi="宋体"/>
          <w:b/>
          <w:color w:val="auto"/>
          <w:sz w:val="30"/>
          <w:szCs w:val="30"/>
          <w:highlight w:val="none"/>
        </w:rPr>
        <w:t>分标1   政府采购合同（合同主要条款及格式）</w:t>
      </w:r>
    </w:p>
    <w:p w14:paraId="28E45235">
      <w:pPr>
        <w:spacing w:line="340" w:lineRule="exact"/>
        <w:ind w:firstLine="0" w:firstLineChars="0"/>
        <w:rPr>
          <w:rFonts w:ascii="宋体" w:hAnsi="宋体"/>
          <w:color w:val="auto"/>
          <w:kern w:val="0"/>
          <w:sz w:val="21"/>
          <w:szCs w:val="24"/>
          <w:highlight w:val="none"/>
        </w:rPr>
      </w:pPr>
    </w:p>
    <w:p w14:paraId="5A32856F">
      <w:pPr>
        <w:spacing w:line="400" w:lineRule="exact"/>
        <w:ind w:firstLine="0" w:firstLineChars="0"/>
        <w:rPr>
          <w:rFonts w:ascii="宋体" w:hAnsi="宋体"/>
          <w:color w:val="auto"/>
          <w:sz w:val="21"/>
          <w:szCs w:val="24"/>
          <w:highlight w:val="none"/>
        </w:rPr>
      </w:pPr>
      <w:r>
        <w:rPr>
          <w:rFonts w:hint="eastAsia" w:ascii="宋体" w:hAnsi="宋体"/>
          <w:color w:val="auto"/>
          <w:sz w:val="21"/>
          <w:szCs w:val="24"/>
          <w:highlight w:val="none"/>
        </w:rPr>
        <w:t>项目名称：2026年桂林市生态环境局10个小型水站、3个水质自动监测站及2个环境空气自动监测站运行维护服务采购</w:t>
      </w:r>
    </w:p>
    <w:p w14:paraId="5F35C66B">
      <w:pPr>
        <w:spacing w:line="400" w:lineRule="exact"/>
        <w:ind w:firstLine="0" w:firstLineChars="0"/>
        <w:rPr>
          <w:rFonts w:ascii="宋体" w:hAnsi="宋体"/>
          <w:color w:val="auto"/>
          <w:sz w:val="21"/>
          <w:szCs w:val="24"/>
          <w:highlight w:val="none"/>
        </w:rPr>
      </w:pPr>
      <w:r>
        <w:rPr>
          <w:rFonts w:hint="eastAsia" w:ascii="宋体" w:hAnsi="宋体"/>
          <w:color w:val="auto"/>
          <w:sz w:val="21"/>
          <w:szCs w:val="24"/>
          <w:highlight w:val="none"/>
        </w:rPr>
        <w:t>项目编号：</w:t>
      </w:r>
      <w:r>
        <w:rPr>
          <w:rFonts w:hint="eastAsia" w:ascii="宋体" w:hAnsi="宋体"/>
          <w:color w:val="auto"/>
          <w:sz w:val="21"/>
          <w:szCs w:val="24"/>
          <w:highlight w:val="none"/>
          <w:u w:val="single"/>
        </w:rPr>
        <w:t xml:space="preserve">                         </w:t>
      </w:r>
    </w:p>
    <w:p w14:paraId="2D09E192">
      <w:pPr>
        <w:spacing w:line="400" w:lineRule="exact"/>
        <w:ind w:firstLine="0" w:firstLineChars="0"/>
        <w:rPr>
          <w:rFonts w:ascii="宋体" w:hAnsi="宋体"/>
          <w:color w:val="auto"/>
          <w:sz w:val="21"/>
          <w:szCs w:val="24"/>
          <w:highlight w:val="none"/>
        </w:rPr>
      </w:pPr>
    </w:p>
    <w:p w14:paraId="6F1F6AB0">
      <w:pPr>
        <w:spacing w:line="400" w:lineRule="exact"/>
        <w:ind w:firstLine="0" w:firstLineChars="0"/>
        <w:rPr>
          <w:rFonts w:ascii="宋体" w:hAnsi="宋体"/>
          <w:color w:val="auto"/>
          <w:sz w:val="21"/>
          <w:szCs w:val="24"/>
          <w:highlight w:val="none"/>
        </w:rPr>
      </w:pPr>
      <w:r>
        <w:rPr>
          <w:rFonts w:hint="eastAsia" w:ascii="宋体" w:hAnsi="宋体"/>
          <w:color w:val="auto"/>
          <w:sz w:val="21"/>
          <w:szCs w:val="24"/>
          <w:highlight w:val="none"/>
        </w:rPr>
        <w:t>甲方：</w:t>
      </w:r>
      <w:r>
        <w:rPr>
          <w:rFonts w:hint="eastAsia" w:ascii="宋体" w:hAnsi="宋体"/>
          <w:color w:val="auto"/>
          <w:sz w:val="21"/>
          <w:szCs w:val="24"/>
          <w:highlight w:val="none"/>
          <w:u w:val="single"/>
        </w:rPr>
        <w:t>桂林市生态环境局</w:t>
      </w:r>
      <w:r>
        <w:rPr>
          <w:rFonts w:hint="eastAsia" w:ascii="宋体" w:hAnsi="宋体"/>
          <w:color w:val="auto"/>
          <w:sz w:val="21"/>
          <w:szCs w:val="24"/>
          <w:highlight w:val="none"/>
        </w:rPr>
        <w:t>（采购人，以下简称甲方）</w:t>
      </w:r>
    </w:p>
    <w:p w14:paraId="234CDB2C">
      <w:pPr>
        <w:spacing w:line="400" w:lineRule="exact"/>
        <w:ind w:firstLine="0" w:firstLineChars="0"/>
        <w:rPr>
          <w:rFonts w:ascii="宋体" w:hAnsi="宋体"/>
          <w:color w:val="auto"/>
          <w:sz w:val="21"/>
          <w:szCs w:val="24"/>
          <w:highlight w:val="none"/>
        </w:rPr>
      </w:pPr>
      <w:r>
        <w:rPr>
          <w:rFonts w:hint="eastAsia" w:ascii="宋体" w:hAnsi="宋体"/>
          <w:color w:val="auto"/>
          <w:sz w:val="21"/>
          <w:szCs w:val="24"/>
          <w:highlight w:val="none"/>
        </w:rPr>
        <w:t>乙方：</w:t>
      </w:r>
      <w:r>
        <w:rPr>
          <w:rFonts w:hint="eastAsia" w:ascii="宋体" w:hAnsi="宋体"/>
          <w:color w:val="auto"/>
          <w:sz w:val="21"/>
          <w:szCs w:val="24"/>
          <w:highlight w:val="none"/>
          <w:u w:val="single"/>
        </w:rPr>
        <w:t xml:space="preserve">                         </w:t>
      </w:r>
      <w:r>
        <w:rPr>
          <w:rFonts w:hint="eastAsia" w:ascii="宋体" w:hAnsi="宋体"/>
          <w:color w:val="auto"/>
          <w:sz w:val="21"/>
          <w:szCs w:val="24"/>
          <w:highlight w:val="none"/>
        </w:rPr>
        <w:t>（成交供应商，以下简称乙方）</w:t>
      </w:r>
    </w:p>
    <w:p w14:paraId="5680FCED">
      <w:pPr>
        <w:spacing w:line="340" w:lineRule="exact"/>
        <w:ind w:firstLine="420"/>
        <w:rPr>
          <w:rFonts w:ascii="宋体" w:hAnsi="宋体"/>
          <w:color w:val="auto"/>
          <w:kern w:val="0"/>
          <w:sz w:val="21"/>
          <w:szCs w:val="24"/>
          <w:highlight w:val="none"/>
        </w:rPr>
      </w:pPr>
    </w:p>
    <w:p w14:paraId="2D73F70D">
      <w:pPr>
        <w:spacing w:line="400" w:lineRule="exact"/>
        <w:ind w:firstLine="420"/>
        <w:rPr>
          <w:rFonts w:ascii="宋体" w:hAnsi="宋体"/>
          <w:color w:val="auto"/>
          <w:sz w:val="21"/>
          <w:szCs w:val="21"/>
          <w:highlight w:val="none"/>
        </w:rPr>
      </w:pPr>
      <w:r>
        <w:rPr>
          <w:rFonts w:hint="eastAsia" w:ascii="宋体" w:hAnsi="宋体"/>
          <w:color w:val="auto"/>
          <w:sz w:val="21"/>
          <w:szCs w:val="21"/>
          <w:highlight w:val="none"/>
        </w:rPr>
        <w:t>根据《中华人民共和国政府采购法》《中华人民共和国政府采购法实施条例》《中华人民共和国民法典》等法律法规规定，按照竞争性磋商文件（以下简称磋商文件）、响应文件规定条款和成交供应商的承诺、甲乙双方签订本采购合同。</w:t>
      </w:r>
    </w:p>
    <w:p w14:paraId="54D9773A">
      <w:pPr>
        <w:spacing w:line="340" w:lineRule="exact"/>
        <w:ind w:firstLine="422"/>
        <w:rPr>
          <w:rFonts w:ascii="宋体" w:hAnsi="宋体"/>
          <w:b/>
          <w:color w:val="auto"/>
          <w:sz w:val="21"/>
          <w:szCs w:val="21"/>
          <w:highlight w:val="none"/>
        </w:rPr>
      </w:pPr>
      <w:r>
        <w:rPr>
          <w:rFonts w:hint="eastAsia" w:ascii="宋体" w:hAnsi="宋体"/>
          <w:b/>
          <w:color w:val="auto"/>
          <w:sz w:val="21"/>
          <w:szCs w:val="21"/>
          <w:highlight w:val="none"/>
        </w:rPr>
        <w:t>第一条 合同文件</w:t>
      </w:r>
    </w:p>
    <w:p w14:paraId="35BFCD2E">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本合同所附下列文件是构成本合同不可分割的部分：</w:t>
      </w:r>
    </w:p>
    <w:p w14:paraId="1A2F20C6">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1.竞争性磋商文件</w:t>
      </w:r>
    </w:p>
    <w:p w14:paraId="1D091536">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2.成交供应商提交的响应（或应答）文件；</w:t>
      </w:r>
    </w:p>
    <w:p w14:paraId="007F84D3">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3.项目实施方案（如有）、服务方案（如有）；</w:t>
      </w:r>
    </w:p>
    <w:p w14:paraId="37173BB7">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4.磋商中的磋商记录；</w:t>
      </w:r>
    </w:p>
    <w:p w14:paraId="115AA3A4">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5.成交通知书；</w:t>
      </w:r>
    </w:p>
    <w:p w14:paraId="5D448672">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6.本合同协议书及有关补充资料；</w:t>
      </w:r>
    </w:p>
    <w:p w14:paraId="28E6A246">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7.标准、规范及有关技术文件</w:t>
      </w:r>
    </w:p>
    <w:p w14:paraId="32EC2F9F">
      <w:pPr>
        <w:spacing w:line="440" w:lineRule="exact"/>
        <w:ind w:firstLine="422"/>
        <w:rPr>
          <w:b/>
          <w:color w:val="auto"/>
          <w:sz w:val="21"/>
          <w:szCs w:val="21"/>
          <w:highlight w:val="none"/>
        </w:rPr>
      </w:pPr>
      <w:r>
        <w:rPr>
          <w:rFonts w:hint="eastAsia" w:ascii="宋体" w:hAnsi="宋体"/>
          <w:b/>
          <w:color w:val="auto"/>
          <w:sz w:val="21"/>
          <w:szCs w:val="21"/>
          <w:highlight w:val="none"/>
        </w:rPr>
        <w:t>第二条  合同标的及</w:t>
      </w:r>
      <w:r>
        <w:rPr>
          <w:rFonts w:hint="eastAsia"/>
          <w:b/>
          <w:color w:val="auto"/>
          <w:sz w:val="21"/>
          <w:szCs w:val="21"/>
          <w:highlight w:val="none"/>
        </w:rPr>
        <w:t>合同金额</w:t>
      </w:r>
    </w:p>
    <w:p w14:paraId="29EBB896">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1.合同标的</w:t>
      </w:r>
    </w:p>
    <w:tbl>
      <w:tblPr>
        <w:tblStyle w:val="45"/>
        <w:tblW w:w="977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2350"/>
        <w:gridCol w:w="992"/>
        <w:gridCol w:w="993"/>
        <w:gridCol w:w="1417"/>
        <w:gridCol w:w="2083"/>
      </w:tblGrid>
      <w:tr w14:paraId="6521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4" w:hRule="atLeast"/>
        </w:trPr>
        <w:tc>
          <w:tcPr>
            <w:tcW w:w="1941" w:type="dxa"/>
            <w:tcBorders>
              <w:top w:val="single" w:color="auto" w:sz="4" w:space="0"/>
              <w:left w:val="single" w:color="auto" w:sz="4" w:space="0"/>
              <w:bottom w:val="single" w:color="auto" w:sz="4" w:space="0"/>
              <w:right w:val="single" w:color="auto" w:sz="4" w:space="0"/>
            </w:tcBorders>
            <w:vAlign w:val="center"/>
          </w:tcPr>
          <w:p w14:paraId="53151374">
            <w:pPr>
              <w:snapToGrid w:val="0"/>
              <w:spacing w:line="4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服务名称</w:t>
            </w:r>
          </w:p>
        </w:tc>
        <w:tc>
          <w:tcPr>
            <w:tcW w:w="2350" w:type="dxa"/>
            <w:tcBorders>
              <w:top w:val="single" w:color="auto" w:sz="4" w:space="0"/>
              <w:left w:val="single" w:color="auto" w:sz="4" w:space="0"/>
              <w:bottom w:val="single" w:color="auto" w:sz="4" w:space="0"/>
              <w:right w:val="single" w:color="auto" w:sz="4" w:space="0"/>
            </w:tcBorders>
            <w:vAlign w:val="center"/>
          </w:tcPr>
          <w:p w14:paraId="6A98357C">
            <w:pPr>
              <w:snapToGrid w:val="0"/>
              <w:spacing w:line="440" w:lineRule="exact"/>
              <w:ind w:firstLine="0" w:firstLineChars="0"/>
              <w:jc w:val="center"/>
              <w:rPr>
                <w:rFonts w:ascii="宋体" w:hAnsi="宋体"/>
                <w:color w:val="auto"/>
                <w:sz w:val="21"/>
                <w:szCs w:val="30"/>
                <w:highlight w:val="none"/>
              </w:rPr>
            </w:pPr>
            <w:r>
              <w:rPr>
                <w:rFonts w:hint="eastAsia" w:ascii="宋体" w:hAnsi="宋体"/>
                <w:color w:val="auto"/>
                <w:sz w:val="21"/>
                <w:szCs w:val="21"/>
                <w:highlight w:val="none"/>
              </w:rPr>
              <w:t>服务承诺内容</w:t>
            </w:r>
          </w:p>
        </w:tc>
        <w:tc>
          <w:tcPr>
            <w:tcW w:w="992" w:type="dxa"/>
            <w:tcBorders>
              <w:top w:val="single" w:color="auto" w:sz="4" w:space="0"/>
              <w:left w:val="single" w:color="auto" w:sz="4" w:space="0"/>
              <w:bottom w:val="single" w:color="auto" w:sz="4" w:space="0"/>
              <w:right w:val="single" w:color="auto" w:sz="4" w:space="0"/>
            </w:tcBorders>
            <w:vAlign w:val="center"/>
          </w:tcPr>
          <w:p w14:paraId="6C48C8E9">
            <w:pPr>
              <w:snapToGrid w:val="0"/>
              <w:spacing w:line="4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数量</w:t>
            </w:r>
          </w:p>
          <w:p w14:paraId="3F507DF1">
            <w:pPr>
              <w:snapToGrid w:val="0"/>
              <w:spacing w:line="4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①</w:t>
            </w:r>
          </w:p>
        </w:tc>
        <w:tc>
          <w:tcPr>
            <w:tcW w:w="993" w:type="dxa"/>
            <w:tcBorders>
              <w:top w:val="single" w:color="auto" w:sz="4" w:space="0"/>
              <w:left w:val="single" w:color="auto" w:sz="4" w:space="0"/>
              <w:bottom w:val="single" w:color="auto" w:sz="4" w:space="0"/>
              <w:right w:val="single" w:color="auto" w:sz="4" w:space="0"/>
            </w:tcBorders>
            <w:vAlign w:val="center"/>
          </w:tcPr>
          <w:p w14:paraId="0DFC6497">
            <w:pPr>
              <w:snapToGrid w:val="0"/>
              <w:spacing w:line="4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1417" w:type="dxa"/>
            <w:tcBorders>
              <w:top w:val="single" w:color="auto" w:sz="4" w:space="0"/>
              <w:left w:val="single" w:color="auto" w:sz="4" w:space="0"/>
              <w:bottom w:val="single" w:color="auto" w:sz="4" w:space="0"/>
              <w:right w:val="single" w:color="auto" w:sz="4" w:space="0"/>
            </w:tcBorders>
            <w:vAlign w:val="center"/>
          </w:tcPr>
          <w:p w14:paraId="26ABA6C2">
            <w:pPr>
              <w:snapToGrid w:val="0"/>
              <w:spacing w:line="4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单价（元）</w:t>
            </w:r>
          </w:p>
          <w:p w14:paraId="22293945">
            <w:pPr>
              <w:snapToGrid w:val="0"/>
              <w:spacing w:line="4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②</w:t>
            </w:r>
          </w:p>
        </w:tc>
        <w:tc>
          <w:tcPr>
            <w:tcW w:w="2083" w:type="dxa"/>
            <w:tcBorders>
              <w:top w:val="single" w:color="auto" w:sz="4" w:space="0"/>
              <w:left w:val="single" w:color="auto" w:sz="4" w:space="0"/>
              <w:bottom w:val="single" w:color="auto" w:sz="4" w:space="0"/>
              <w:right w:val="single" w:color="auto" w:sz="4" w:space="0"/>
            </w:tcBorders>
            <w:vAlign w:val="center"/>
          </w:tcPr>
          <w:p w14:paraId="2286C8E9">
            <w:pPr>
              <w:snapToGrid w:val="0"/>
              <w:spacing w:line="440" w:lineRule="exact"/>
              <w:ind w:firstLine="0" w:firstLineChars="0"/>
              <w:jc w:val="center"/>
              <w:rPr>
                <w:rFonts w:ascii="宋体" w:hAnsi="宋体"/>
                <w:color w:val="auto"/>
                <w:sz w:val="21"/>
                <w:szCs w:val="21"/>
                <w:highlight w:val="none"/>
              </w:rPr>
            </w:pPr>
            <w:r>
              <w:rPr>
                <w:rFonts w:hint="eastAsia" w:ascii="宋体" w:hAnsi="宋体"/>
                <w:b/>
                <w:color w:val="auto"/>
                <w:sz w:val="21"/>
                <w:szCs w:val="21"/>
                <w:highlight w:val="none"/>
              </w:rPr>
              <w:t>单项合计金额</w:t>
            </w:r>
            <w:r>
              <w:rPr>
                <w:rFonts w:hint="eastAsia" w:ascii="宋体" w:hAnsi="宋体"/>
                <w:color w:val="auto"/>
                <w:sz w:val="21"/>
                <w:szCs w:val="21"/>
                <w:highlight w:val="none"/>
              </w:rPr>
              <w:t>（元）</w:t>
            </w:r>
          </w:p>
          <w:p w14:paraId="27D65901">
            <w:pPr>
              <w:snapToGrid w:val="0"/>
              <w:spacing w:line="4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③=①×②</w:t>
            </w:r>
          </w:p>
        </w:tc>
      </w:tr>
      <w:tr w14:paraId="22A1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941" w:type="dxa"/>
            <w:tcBorders>
              <w:top w:val="single" w:color="auto" w:sz="4" w:space="0"/>
              <w:left w:val="single" w:color="auto" w:sz="4" w:space="0"/>
              <w:bottom w:val="single" w:color="auto" w:sz="4" w:space="0"/>
              <w:right w:val="single" w:color="auto" w:sz="4" w:space="0"/>
            </w:tcBorders>
            <w:vAlign w:val="center"/>
          </w:tcPr>
          <w:p w14:paraId="4847BAA9">
            <w:pPr>
              <w:snapToGrid w:val="0"/>
              <w:spacing w:line="440" w:lineRule="exact"/>
              <w:ind w:firstLine="0" w:firstLineChars="0"/>
              <w:jc w:val="center"/>
              <w:rPr>
                <w:rFonts w:ascii="宋体" w:hAnsi="宋体"/>
                <w:color w:val="auto"/>
                <w:sz w:val="21"/>
                <w:szCs w:val="21"/>
                <w:highlight w:val="none"/>
              </w:rPr>
            </w:pPr>
            <w:r>
              <w:rPr>
                <w:rFonts w:hint="eastAsia" w:ascii="宋体" w:hAnsi="宋体"/>
                <w:color w:val="auto"/>
                <w:sz w:val="21"/>
                <w:szCs w:val="24"/>
                <w:highlight w:val="none"/>
              </w:rPr>
              <w:t>10个小型水站运行维护服务</w:t>
            </w:r>
          </w:p>
        </w:tc>
        <w:tc>
          <w:tcPr>
            <w:tcW w:w="2350" w:type="dxa"/>
            <w:tcBorders>
              <w:top w:val="single" w:color="auto" w:sz="4" w:space="0"/>
              <w:left w:val="single" w:color="auto" w:sz="4" w:space="0"/>
              <w:bottom w:val="single" w:color="auto" w:sz="4" w:space="0"/>
              <w:right w:val="single" w:color="auto" w:sz="4" w:space="0"/>
            </w:tcBorders>
            <w:vAlign w:val="center"/>
          </w:tcPr>
          <w:p w14:paraId="02D0C54F">
            <w:pPr>
              <w:snapToGrid w:val="0"/>
              <w:spacing w:line="440" w:lineRule="exact"/>
              <w:ind w:firstLine="0" w:firstLineChars="0"/>
              <w:jc w:val="center"/>
              <w:rPr>
                <w:rFonts w:ascii="宋体" w:hAnsi="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E2E07FF">
            <w:pPr>
              <w:snapToGrid w:val="0"/>
              <w:spacing w:line="4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993" w:type="dxa"/>
            <w:tcBorders>
              <w:top w:val="single" w:color="auto" w:sz="4" w:space="0"/>
              <w:left w:val="single" w:color="auto" w:sz="4" w:space="0"/>
              <w:bottom w:val="single" w:color="auto" w:sz="4" w:space="0"/>
              <w:right w:val="single" w:color="auto" w:sz="4" w:space="0"/>
            </w:tcBorders>
            <w:vAlign w:val="center"/>
          </w:tcPr>
          <w:p w14:paraId="66F58021">
            <w:pPr>
              <w:snapToGrid w:val="0"/>
              <w:spacing w:line="4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项</w:t>
            </w:r>
          </w:p>
        </w:tc>
        <w:tc>
          <w:tcPr>
            <w:tcW w:w="1417" w:type="dxa"/>
            <w:tcBorders>
              <w:top w:val="single" w:color="auto" w:sz="4" w:space="0"/>
              <w:left w:val="single" w:color="auto" w:sz="4" w:space="0"/>
              <w:bottom w:val="single" w:color="auto" w:sz="4" w:space="0"/>
              <w:right w:val="single" w:color="auto" w:sz="4" w:space="0"/>
            </w:tcBorders>
            <w:vAlign w:val="center"/>
          </w:tcPr>
          <w:p w14:paraId="73414F32">
            <w:pPr>
              <w:snapToGrid w:val="0"/>
              <w:spacing w:line="440" w:lineRule="exact"/>
              <w:ind w:firstLine="0" w:firstLineChars="0"/>
              <w:jc w:val="center"/>
              <w:rPr>
                <w:rFonts w:ascii="宋体" w:hAnsi="宋体"/>
                <w:color w:val="auto"/>
                <w:sz w:val="21"/>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2B882FDF">
            <w:pPr>
              <w:snapToGrid w:val="0"/>
              <w:spacing w:line="440" w:lineRule="exact"/>
              <w:ind w:firstLine="0" w:firstLineChars="0"/>
              <w:jc w:val="center"/>
              <w:rPr>
                <w:rFonts w:ascii="宋体" w:hAnsi="宋体"/>
                <w:color w:val="auto"/>
                <w:sz w:val="21"/>
                <w:szCs w:val="21"/>
                <w:highlight w:val="none"/>
              </w:rPr>
            </w:pPr>
          </w:p>
        </w:tc>
      </w:tr>
      <w:tr w14:paraId="1FDC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93" w:type="dxa"/>
            <w:gridSpan w:val="5"/>
            <w:tcBorders>
              <w:top w:val="single" w:color="auto" w:sz="4" w:space="0"/>
              <w:left w:val="single" w:color="auto" w:sz="4" w:space="0"/>
              <w:bottom w:val="single" w:color="auto" w:sz="4" w:space="0"/>
              <w:right w:val="single" w:color="auto" w:sz="4" w:space="0"/>
            </w:tcBorders>
            <w:vAlign w:val="center"/>
          </w:tcPr>
          <w:p w14:paraId="1DDA4FBD">
            <w:pPr>
              <w:snapToGrid w:val="0"/>
              <w:spacing w:line="4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合计</w:t>
            </w:r>
          </w:p>
        </w:tc>
        <w:tc>
          <w:tcPr>
            <w:tcW w:w="2083" w:type="dxa"/>
            <w:tcBorders>
              <w:top w:val="single" w:color="auto" w:sz="4" w:space="0"/>
              <w:left w:val="single" w:color="auto" w:sz="4" w:space="0"/>
              <w:bottom w:val="single" w:color="auto" w:sz="4" w:space="0"/>
              <w:right w:val="single" w:color="auto" w:sz="4" w:space="0"/>
            </w:tcBorders>
            <w:vAlign w:val="center"/>
          </w:tcPr>
          <w:p w14:paraId="5B31C845">
            <w:pPr>
              <w:snapToGrid w:val="0"/>
              <w:spacing w:line="440" w:lineRule="exact"/>
              <w:ind w:firstLine="0" w:firstLineChars="0"/>
              <w:jc w:val="center"/>
              <w:rPr>
                <w:rFonts w:ascii="宋体" w:hAnsi="宋体"/>
                <w:color w:val="auto"/>
                <w:sz w:val="21"/>
                <w:szCs w:val="21"/>
                <w:highlight w:val="none"/>
              </w:rPr>
            </w:pPr>
          </w:p>
        </w:tc>
      </w:tr>
    </w:tbl>
    <w:p w14:paraId="793A4E44">
      <w:pPr>
        <w:spacing w:line="360" w:lineRule="exact"/>
        <w:ind w:firstLine="411" w:firstLineChars="196"/>
        <w:rPr>
          <w:color w:val="auto"/>
          <w:sz w:val="21"/>
          <w:szCs w:val="21"/>
          <w:highlight w:val="none"/>
        </w:rPr>
      </w:pPr>
      <w:r>
        <w:rPr>
          <w:rFonts w:hint="eastAsia"/>
          <w:color w:val="auto"/>
          <w:sz w:val="21"/>
          <w:szCs w:val="21"/>
          <w:highlight w:val="none"/>
        </w:rPr>
        <w:t>根据《成交通知书》的成交内容，合同的总金额为：（大写）</w:t>
      </w:r>
      <w:r>
        <w:rPr>
          <w:rFonts w:hint="eastAsia"/>
          <w:color w:val="auto"/>
          <w:sz w:val="21"/>
          <w:szCs w:val="21"/>
          <w:highlight w:val="none"/>
          <w:u w:val="single"/>
        </w:rPr>
        <w:t>人民币          （¥</w:t>
      </w:r>
      <w:r>
        <w:rPr>
          <w:rFonts w:hint="eastAsia"/>
          <w:color w:val="auto"/>
          <w:sz w:val="21"/>
          <w:szCs w:val="21"/>
          <w:highlight w:val="none"/>
          <w:u w:val="single"/>
        </w:rPr>
        <w:t xml:space="preserve">              ）</w:t>
      </w:r>
      <w:r>
        <w:rPr>
          <w:rFonts w:hint="eastAsia"/>
          <w:color w:val="auto"/>
          <w:sz w:val="21"/>
          <w:szCs w:val="21"/>
          <w:highlight w:val="none"/>
        </w:rPr>
        <w:t>。</w:t>
      </w:r>
    </w:p>
    <w:p w14:paraId="4CD97A3E">
      <w:pPr>
        <w:spacing w:line="360" w:lineRule="exact"/>
        <w:ind w:firstLine="411" w:firstLineChars="196"/>
        <w:rPr>
          <w:rFonts w:ascii="宋体" w:hAnsi="宋体"/>
          <w:b/>
          <w:color w:val="auto"/>
          <w:sz w:val="21"/>
          <w:szCs w:val="21"/>
          <w:highlight w:val="none"/>
        </w:rPr>
      </w:pPr>
      <w:r>
        <w:rPr>
          <w:rFonts w:hint="eastAsia" w:ascii="宋体" w:hAnsi="宋体"/>
          <w:color w:val="auto"/>
          <w:sz w:val="21"/>
          <w:szCs w:val="21"/>
          <w:highlight w:val="none"/>
        </w:rPr>
        <w:t>2.合同总金额应包括本次采购范围内运维服务的价款、完成本项目服务的相关费用（包含技术服务费、耗材、拟投入本项目的设备（备机）、人员成本、劳务费、资料收集、研究、指导、交通、通讯、差旅费、管理费、利润、税费、验收以及合同明示或暗示的所有责任、义务、风险及运营期间所需水、电、通讯所需费用）、</w:t>
      </w:r>
      <w:r>
        <w:rPr>
          <w:rFonts w:hint="eastAsia" w:ascii="宋体" w:hAnsi="宋体" w:cs="宋体"/>
          <w:color w:val="auto"/>
          <w:sz w:val="21"/>
          <w:szCs w:val="21"/>
          <w:highlight w:val="none"/>
        </w:rPr>
        <w:t>运维期间租赁费等费用总和</w:t>
      </w:r>
      <w:r>
        <w:rPr>
          <w:rFonts w:hint="eastAsia" w:ascii="宋体" w:hAnsi="宋体"/>
          <w:color w:val="auto"/>
          <w:sz w:val="21"/>
          <w:szCs w:val="21"/>
          <w:highlight w:val="none"/>
        </w:rPr>
        <w:t>等费用总和。</w:t>
      </w:r>
    </w:p>
    <w:p w14:paraId="4E3379F5">
      <w:pPr>
        <w:spacing w:line="36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第三条  质量保证</w:t>
      </w:r>
    </w:p>
    <w:p w14:paraId="27DA9940">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1.乙方应</w:t>
      </w:r>
      <w:r>
        <w:rPr>
          <w:rFonts w:ascii="宋体" w:hAnsi="宋体"/>
          <w:color w:val="auto"/>
          <w:sz w:val="21"/>
          <w:szCs w:val="21"/>
          <w:highlight w:val="none"/>
        </w:rPr>
        <w:t>按照竞争性</w:t>
      </w:r>
      <w:r>
        <w:rPr>
          <w:rFonts w:hint="eastAsia" w:ascii="宋体" w:hAnsi="宋体"/>
          <w:color w:val="auto"/>
          <w:sz w:val="21"/>
          <w:szCs w:val="21"/>
          <w:highlight w:val="none"/>
        </w:rPr>
        <w:t>磋商</w:t>
      </w:r>
      <w:r>
        <w:rPr>
          <w:rFonts w:ascii="宋体" w:hAnsi="宋体"/>
          <w:color w:val="auto"/>
          <w:sz w:val="21"/>
          <w:szCs w:val="21"/>
          <w:highlight w:val="none"/>
        </w:rPr>
        <w:t>文件规定、</w:t>
      </w:r>
      <w:r>
        <w:rPr>
          <w:rFonts w:hint="eastAsia" w:ascii="宋体" w:hAnsi="宋体"/>
          <w:color w:val="auto"/>
          <w:sz w:val="21"/>
          <w:szCs w:val="21"/>
          <w:highlight w:val="none"/>
        </w:rPr>
        <w:t>响应</w:t>
      </w:r>
      <w:r>
        <w:rPr>
          <w:rFonts w:ascii="宋体" w:hAnsi="宋体"/>
          <w:color w:val="auto"/>
          <w:sz w:val="21"/>
          <w:szCs w:val="21"/>
          <w:highlight w:val="none"/>
        </w:rPr>
        <w:t>文件承诺以及合同条款等</w:t>
      </w:r>
      <w:r>
        <w:rPr>
          <w:rFonts w:hint="eastAsia" w:ascii="宋体" w:hAnsi="宋体"/>
          <w:color w:val="auto"/>
          <w:sz w:val="21"/>
          <w:szCs w:val="21"/>
          <w:highlight w:val="none"/>
        </w:rPr>
        <w:t>内容</w:t>
      </w:r>
      <w:r>
        <w:rPr>
          <w:rFonts w:ascii="宋体" w:hAnsi="宋体"/>
          <w:color w:val="auto"/>
          <w:sz w:val="21"/>
          <w:szCs w:val="21"/>
          <w:highlight w:val="none"/>
        </w:rPr>
        <w:t>提供</w:t>
      </w:r>
      <w:r>
        <w:rPr>
          <w:rFonts w:hint="eastAsia" w:ascii="宋体" w:hAnsi="宋体"/>
          <w:color w:val="auto"/>
          <w:sz w:val="21"/>
          <w:szCs w:val="21"/>
          <w:highlight w:val="none"/>
        </w:rPr>
        <w:t>服务和提交服务记录，数据质量控制指标满足国家、自治区相关技术规范要求。</w:t>
      </w:r>
    </w:p>
    <w:p w14:paraId="0835FFA6">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2.服务质量按竞争性磋商文件要求及响应文件承诺。</w:t>
      </w:r>
    </w:p>
    <w:p w14:paraId="1A9D3D27">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3.提供的服务在甲方使用时不会侵犯任何第三方的专利权、商标权、工业设计权或其他权利，甲方在使用时拥有充分、完整的设计成果的知识产权。</w:t>
      </w:r>
    </w:p>
    <w:p w14:paraId="1D3FBD56">
      <w:pPr>
        <w:spacing w:line="340" w:lineRule="exact"/>
        <w:ind w:firstLine="413" w:firstLineChars="196"/>
        <w:rPr>
          <w:rFonts w:ascii="宋体" w:hAnsi="宋体" w:cs="宋体"/>
          <w:b/>
          <w:color w:val="auto"/>
          <w:sz w:val="21"/>
          <w:szCs w:val="21"/>
          <w:highlight w:val="none"/>
        </w:rPr>
      </w:pPr>
      <w:r>
        <w:rPr>
          <w:rFonts w:hint="eastAsia" w:ascii="宋体" w:hAnsi="宋体" w:cs="宋体"/>
          <w:b/>
          <w:color w:val="auto"/>
          <w:sz w:val="21"/>
          <w:szCs w:val="21"/>
          <w:highlight w:val="none"/>
        </w:rPr>
        <w:t>第四条  权力保证</w:t>
      </w:r>
    </w:p>
    <w:p w14:paraId="314F609D">
      <w:pPr>
        <w:spacing w:line="340" w:lineRule="exact"/>
        <w:ind w:firstLine="411" w:firstLineChars="196"/>
        <w:rPr>
          <w:rFonts w:ascii="宋体" w:hAnsi="宋体" w:cs="宋体"/>
          <w:color w:val="auto"/>
          <w:sz w:val="21"/>
          <w:szCs w:val="21"/>
          <w:highlight w:val="none"/>
        </w:rPr>
      </w:pPr>
      <w:r>
        <w:rPr>
          <w:rFonts w:hint="eastAsia" w:ascii="宋体" w:hAnsi="宋体" w:cs="宋体"/>
          <w:color w:val="auto"/>
          <w:sz w:val="21"/>
          <w:szCs w:val="21"/>
          <w:highlight w:val="none"/>
        </w:rPr>
        <w:t>乙方应保证所提供服务在使用时不会侵犯任何第三方的其他权利。</w:t>
      </w:r>
    </w:p>
    <w:p w14:paraId="4D3A2EBE">
      <w:pPr>
        <w:spacing w:line="36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第五条  服务内容及要求</w:t>
      </w:r>
    </w:p>
    <w:p w14:paraId="4C200258">
      <w:pPr>
        <w:spacing w:line="36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具体详见本文件“采购需求”。乙方必须按照</w:t>
      </w:r>
      <w:r>
        <w:rPr>
          <w:rFonts w:hint="eastAsia"/>
          <w:color w:val="auto"/>
          <w:sz w:val="21"/>
          <w:szCs w:val="24"/>
          <w:highlight w:val="none"/>
        </w:rPr>
        <w:t>磋商文件</w:t>
      </w:r>
      <w:r>
        <w:rPr>
          <w:rFonts w:hint="eastAsia" w:ascii="宋体" w:hAnsi="宋体"/>
          <w:color w:val="auto"/>
          <w:sz w:val="21"/>
          <w:szCs w:val="21"/>
          <w:highlight w:val="none"/>
        </w:rPr>
        <w:t>“采购需求”中的所有要求向甲方提供服务。</w:t>
      </w:r>
    </w:p>
    <w:p w14:paraId="0306C336">
      <w:pPr>
        <w:spacing w:line="360" w:lineRule="exact"/>
        <w:ind w:left="120" w:leftChars="50" w:firstLine="320" w:firstLineChars="152"/>
        <w:rPr>
          <w:rFonts w:ascii="宋体" w:hAnsi="宋体"/>
          <w:b/>
          <w:color w:val="auto"/>
          <w:sz w:val="21"/>
          <w:szCs w:val="21"/>
          <w:highlight w:val="none"/>
        </w:rPr>
      </w:pPr>
      <w:r>
        <w:rPr>
          <w:rFonts w:hint="eastAsia" w:ascii="宋体" w:hAnsi="宋体"/>
          <w:b/>
          <w:color w:val="auto"/>
          <w:sz w:val="21"/>
          <w:szCs w:val="21"/>
          <w:highlight w:val="none"/>
        </w:rPr>
        <w:t>第六条  考核标准</w:t>
      </w:r>
    </w:p>
    <w:p w14:paraId="357BAEE8">
      <w:pPr>
        <w:spacing w:line="340" w:lineRule="exact"/>
        <w:ind w:firstLine="420"/>
        <w:rPr>
          <w:rFonts w:ascii="宋体" w:hAnsi="宋体"/>
          <w:bCs/>
          <w:color w:val="auto"/>
          <w:sz w:val="21"/>
          <w:szCs w:val="21"/>
          <w:highlight w:val="none"/>
        </w:rPr>
      </w:pPr>
      <w:r>
        <w:rPr>
          <w:rFonts w:hint="eastAsia" w:ascii="宋体" w:hAnsi="宋体"/>
          <w:bCs/>
          <w:color w:val="auto"/>
          <w:sz w:val="21"/>
          <w:szCs w:val="21"/>
          <w:highlight w:val="none"/>
        </w:rPr>
        <w:t>1.仪器运行状态指标</w:t>
      </w:r>
    </w:p>
    <w:p w14:paraId="64F1CE47">
      <w:pPr>
        <w:spacing w:line="340" w:lineRule="exact"/>
        <w:ind w:firstLine="420"/>
        <w:rPr>
          <w:rFonts w:ascii="宋体" w:hAnsi="宋体"/>
          <w:bCs/>
          <w:color w:val="auto"/>
          <w:sz w:val="21"/>
          <w:szCs w:val="21"/>
          <w:highlight w:val="none"/>
        </w:rPr>
      </w:pPr>
      <w:r>
        <w:rPr>
          <w:rFonts w:hint="eastAsia" w:ascii="宋体" w:hAnsi="宋体"/>
          <w:bCs/>
          <w:color w:val="auto"/>
          <w:sz w:val="21"/>
          <w:szCs w:val="21"/>
          <w:highlight w:val="none"/>
        </w:rPr>
        <w:t>（1）所有水站每天在线情况。</w:t>
      </w:r>
    </w:p>
    <w:p w14:paraId="2B835C07">
      <w:pPr>
        <w:spacing w:line="340" w:lineRule="exact"/>
        <w:ind w:firstLine="420"/>
        <w:rPr>
          <w:rFonts w:ascii="宋体" w:hAnsi="宋体"/>
          <w:bCs/>
          <w:color w:val="auto"/>
          <w:sz w:val="21"/>
          <w:szCs w:val="21"/>
          <w:highlight w:val="none"/>
        </w:rPr>
      </w:pPr>
      <w:r>
        <w:rPr>
          <w:rFonts w:hint="eastAsia" w:ascii="宋体" w:hAnsi="宋体"/>
          <w:bCs/>
          <w:color w:val="auto"/>
          <w:sz w:val="21"/>
          <w:szCs w:val="21"/>
          <w:highlight w:val="none"/>
        </w:rPr>
        <w:t>（2）所有水站系统的每个参数有效数据获取率高于90%（“有效数据获取率” 是指实际正常运行小时数与应监测小时数之比）。</w:t>
      </w:r>
    </w:p>
    <w:p w14:paraId="696E3109">
      <w:pPr>
        <w:spacing w:line="340" w:lineRule="exact"/>
        <w:ind w:firstLine="420"/>
        <w:rPr>
          <w:rFonts w:ascii="宋体" w:hAnsi="宋体"/>
          <w:bCs/>
          <w:color w:val="auto"/>
          <w:sz w:val="21"/>
          <w:szCs w:val="21"/>
          <w:highlight w:val="none"/>
        </w:rPr>
      </w:pPr>
      <w:r>
        <w:rPr>
          <w:rFonts w:hint="eastAsia" w:ascii="宋体" w:hAnsi="宋体"/>
          <w:bCs/>
          <w:color w:val="auto"/>
          <w:sz w:val="21"/>
          <w:szCs w:val="21"/>
          <w:highlight w:val="none"/>
        </w:rPr>
        <w:t>（3）构成水站系统的仪器、设备的运行状态参数是否满足使用说明书要求作为系统仪器、设备运行是否正常的依据。</w:t>
      </w:r>
    </w:p>
    <w:p w14:paraId="435C24D3">
      <w:pPr>
        <w:spacing w:line="340" w:lineRule="exact"/>
        <w:ind w:firstLine="420"/>
        <w:rPr>
          <w:rFonts w:ascii="宋体" w:hAnsi="宋体"/>
          <w:bCs/>
          <w:color w:val="auto"/>
          <w:sz w:val="21"/>
          <w:szCs w:val="21"/>
          <w:highlight w:val="none"/>
        </w:rPr>
      </w:pPr>
      <w:r>
        <w:rPr>
          <w:rFonts w:hint="eastAsia" w:ascii="宋体" w:hAnsi="宋体"/>
          <w:bCs/>
          <w:color w:val="auto"/>
          <w:sz w:val="21"/>
          <w:szCs w:val="21"/>
          <w:highlight w:val="none"/>
        </w:rPr>
        <w:t>（4）水站数据平台是否正常运行。</w:t>
      </w:r>
    </w:p>
    <w:p w14:paraId="40FD8479">
      <w:pPr>
        <w:spacing w:line="340" w:lineRule="exact"/>
        <w:ind w:firstLine="420"/>
        <w:rPr>
          <w:rFonts w:ascii="宋体" w:hAnsi="宋体"/>
          <w:bCs/>
          <w:color w:val="auto"/>
          <w:sz w:val="21"/>
          <w:szCs w:val="21"/>
          <w:highlight w:val="none"/>
        </w:rPr>
      </w:pPr>
      <w:r>
        <w:rPr>
          <w:rFonts w:hint="eastAsia" w:ascii="宋体" w:hAnsi="宋体"/>
          <w:bCs/>
          <w:color w:val="auto"/>
          <w:sz w:val="21"/>
          <w:szCs w:val="21"/>
          <w:highlight w:val="none"/>
        </w:rPr>
        <w:t xml:space="preserve"> 2.数据质量指标考核：仪器稳定性、准确性指标满足国家、自治区相关技术规范要求。</w:t>
      </w:r>
    </w:p>
    <w:p w14:paraId="58CFFD48">
      <w:pPr>
        <w:spacing w:line="340" w:lineRule="exact"/>
        <w:ind w:firstLine="420"/>
        <w:rPr>
          <w:rFonts w:ascii="宋体" w:hAnsi="宋体"/>
          <w:bCs/>
          <w:color w:val="auto"/>
          <w:sz w:val="21"/>
          <w:szCs w:val="21"/>
          <w:highlight w:val="none"/>
        </w:rPr>
      </w:pPr>
      <w:r>
        <w:rPr>
          <w:rFonts w:hint="eastAsia" w:ascii="宋体" w:hAnsi="宋体"/>
          <w:bCs/>
          <w:color w:val="auto"/>
          <w:sz w:val="21"/>
          <w:szCs w:val="21"/>
          <w:highlight w:val="none"/>
        </w:rPr>
        <w:t xml:space="preserve"> 3.考核办法：</w:t>
      </w:r>
      <w:r>
        <w:rPr>
          <w:rFonts w:hint="eastAsia" w:ascii="宋体" w:hAnsi="宋体" w:cs="宋体"/>
          <w:color w:val="auto"/>
          <w:kern w:val="0"/>
          <w:sz w:val="21"/>
          <w:szCs w:val="21"/>
          <w:highlight w:val="none"/>
        </w:rPr>
        <w:t>采购人或采购人委托的第三方机构</w:t>
      </w:r>
      <w:r>
        <w:rPr>
          <w:rFonts w:hint="eastAsia" w:ascii="宋体" w:hAnsi="宋体"/>
          <w:bCs/>
          <w:color w:val="auto"/>
          <w:sz w:val="21"/>
          <w:szCs w:val="21"/>
          <w:highlight w:val="none"/>
        </w:rPr>
        <w:t>自正式运维起每三个月对运维单位开展一次运营维护工作考核，依据上述维护内容就每周、每月、每季的维护质量和相关指标相结合的方式进行评分，满分为100分。由采购人组织有关人员进行评审。</w:t>
      </w:r>
    </w:p>
    <w:p w14:paraId="3E349F81">
      <w:pPr>
        <w:spacing w:line="340" w:lineRule="exact"/>
        <w:ind w:firstLine="420"/>
        <w:rPr>
          <w:rFonts w:ascii="宋体" w:hAnsi="宋体"/>
          <w:bCs/>
          <w:color w:val="auto"/>
          <w:sz w:val="21"/>
          <w:szCs w:val="21"/>
          <w:highlight w:val="none"/>
        </w:rPr>
      </w:pPr>
      <w:r>
        <w:rPr>
          <w:rFonts w:hint="eastAsia" w:ascii="宋体" w:hAnsi="宋体"/>
          <w:bCs/>
          <w:color w:val="auto"/>
          <w:sz w:val="21"/>
          <w:szCs w:val="21"/>
          <w:highlight w:val="none"/>
        </w:rPr>
        <w:t>（1）按季度对每个站点单独考核，其中单次考核结果均≥90分为合格。</w:t>
      </w:r>
    </w:p>
    <w:p w14:paraId="03D7E45E">
      <w:pPr>
        <w:spacing w:line="340" w:lineRule="exact"/>
        <w:ind w:firstLine="420"/>
        <w:rPr>
          <w:rFonts w:ascii="宋体" w:hAnsi="宋体"/>
          <w:bCs/>
          <w:color w:val="auto"/>
          <w:sz w:val="21"/>
          <w:szCs w:val="21"/>
          <w:highlight w:val="none"/>
        </w:rPr>
      </w:pPr>
      <w:r>
        <w:rPr>
          <w:rFonts w:hint="eastAsia" w:ascii="宋体" w:hAnsi="宋体"/>
          <w:bCs/>
          <w:color w:val="auto"/>
          <w:sz w:val="21"/>
          <w:szCs w:val="21"/>
          <w:highlight w:val="none"/>
        </w:rPr>
        <w:t>（2）单次考核结果≥80分且＜90分的，为初级警告，按比例扣除当季度运行费的10%，并责令整改。</w:t>
      </w:r>
    </w:p>
    <w:p w14:paraId="0C60AF16">
      <w:pPr>
        <w:spacing w:line="340" w:lineRule="exact"/>
        <w:ind w:firstLine="420"/>
        <w:rPr>
          <w:rFonts w:ascii="宋体" w:hAnsi="宋体"/>
          <w:bCs/>
          <w:color w:val="auto"/>
          <w:sz w:val="21"/>
          <w:szCs w:val="21"/>
          <w:highlight w:val="none"/>
        </w:rPr>
      </w:pPr>
      <w:r>
        <w:rPr>
          <w:rFonts w:hint="eastAsia" w:ascii="宋体" w:hAnsi="宋体"/>
          <w:bCs/>
          <w:color w:val="auto"/>
          <w:sz w:val="21"/>
          <w:szCs w:val="21"/>
          <w:highlight w:val="none"/>
        </w:rPr>
        <w:t>（3）单次考核结果≥70分且＜80分的，为二级警告，按比例扣除当季度运行费的35%，并责令整改。一年合同期内出现两次二级警告情况，视为成交供应商违约，终止运营托管运维合同。</w:t>
      </w:r>
    </w:p>
    <w:p w14:paraId="742996A9">
      <w:pPr>
        <w:spacing w:line="340" w:lineRule="exact"/>
        <w:ind w:firstLine="420"/>
        <w:rPr>
          <w:rFonts w:ascii="宋体" w:hAnsi="宋体" w:cs="宋体"/>
          <w:color w:val="auto"/>
          <w:sz w:val="21"/>
          <w:szCs w:val="21"/>
          <w:highlight w:val="none"/>
        </w:rPr>
      </w:pPr>
      <w:r>
        <w:rPr>
          <w:rFonts w:hint="eastAsia" w:ascii="宋体" w:hAnsi="宋体"/>
          <w:bCs/>
          <w:color w:val="auto"/>
          <w:sz w:val="21"/>
          <w:szCs w:val="21"/>
          <w:highlight w:val="none"/>
        </w:rPr>
        <w:t>（4）考核结果在＜70分的，不予支付当季度运维费用并视为成交供应商</w:t>
      </w:r>
      <w:r>
        <w:rPr>
          <w:rFonts w:hint="eastAsia" w:ascii="宋体" w:hAnsi="宋体" w:cs="宋体"/>
          <w:color w:val="auto"/>
          <w:sz w:val="21"/>
          <w:szCs w:val="21"/>
          <w:highlight w:val="none"/>
        </w:rPr>
        <w:t>违约，</w:t>
      </w:r>
      <w:r>
        <w:rPr>
          <w:rFonts w:hint="eastAsia" w:ascii="宋体" w:hAnsi="宋体"/>
          <w:bCs/>
          <w:color w:val="auto"/>
          <w:sz w:val="21"/>
          <w:szCs w:val="21"/>
          <w:highlight w:val="none"/>
        </w:rPr>
        <w:t>终止运营托管运维合同。</w:t>
      </w:r>
    </w:p>
    <w:p w14:paraId="7A85D005">
      <w:pPr>
        <w:spacing w:line="340" w:lineRule="exact"/>
        <w:ind w:firstLine="420"/>
        <w:rPr>
          <w:rFonts w:ascii="宋体" w:hAnsi="宋体"/>
          <w:bCs/>
          <w:color w:val="auto"/>
          <w:sz w:val="21"/>
          <w:szCs w:val="21"/>
          <w:highlight w:val="none"/>
        </w:rPr>
      </w:pPr>
      <w:r>
        <w:rPr>
          <w:rFonts w:hint="eastAsia" w:ascii="宋体" w:hAnsi="宋体"/>
          <w:bCs/>
          <w:color w:val="auto"/>
          <w:sz w:val="21"/>
          <w:szCs w:val="21"/>
          <w:highlight w:val="none"/>
        </w:rPr>
        <w:t>（5）一旦发现弄虚作假现象，按违约处理，并追究其相应的法律责任，采购人有权向监督管理部门汇报并处理，不予支付当季运维费用，同时按当季维护费用的双倍进行经济处罚。</w:t>
      </w:r>
    </w:p>
    <w:p w14:paraId="7A8A4F1E">
      <w:pPr>
        <w:spacing w:line="360" w:lineRule="exact"/>
        <w:ind w:left="120" w:leftChars="50" w:firstLine="424" w:firstLineChars="202"/>
        <w:rPr>
          <w:rFonts w:ascii="宋体" w:hAnsi="宋体"/>
          <w:color w:val="auto"/>
          <w:sz w:val="21"/>
          <w:szCs w:val="21"/>
          <w:highlight w:val="none"/>
        </w:rPr>
      </w:pPr>
      <w:r>
        <w:rPr>
          <w:rFonts w:hint="eastAsia" w:ascii="宋体" w:hAnsi="宋体"/>
          <w:color w:val="auto"/>
          <w:sz w:val="21"/>
          <w:szCs w:val="21"/>
          <w:highlight w:val="none"/>
        </w:rPr>
        <w:t>4.水质自动监测站监测系统运营服务考核表：</w:t>
      </w:r>
    </w:p>
    <w:tbl>
      <w:tblPr>
        <w:tblStyle w:val="45"/>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58"/>
        <w:gridCol w:w="4311"/>
        <w:gridCol w:w="1701"/>
        <w:gridCol w:w="708"/>
        <w:gridCol w:w="730"/>
      </w:tblGrid>
      <w:tr w14:paraId="2FB3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6" w:type="dxa"/>
            <w:gridSpan w:val="3"/>
            <w:vAlign w:val="center"/>
          </w:tcPr>
          <w:p w14:paraId="270A231E">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考核内容</w:t>
            </w:r>
          </w:p>
        </w:tc>
        <w:tc>
          <w:tcPr>
            <w:tcW w:w="1701" w:type="dxa"/>
            <w:vAlign w:val="center"/>
          </w:tcPr>
          <w:p w14:paraId="4AF1FB0F">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扣分值</w:t>
            </w:r>
          </w:p>
        </w:tc>
        <w:tc>
          <w:tcPr>
            <w:tcW w:w="708" w:type="dxa"/>
            <w:vAlign w:val="center"/>
          </w:tcPr>
          <w:p w14:paraId="40393B07">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扣分结果</w:t>
            </w:r>
          </w:p>
        </w:tc>
        <w:tc>
          <w:tcPr>
            <w:tcW w:w="730" w:type="dxa"/>
            <w:vAlign w:val="center"/>
          </w:tcPr>
          <w:p w14:paraId="6E9A4771">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扣分说明</w:t>
            </w:r>
          </w:p>
        </w:tc>
      </w:tr>
      <w:tr w14:paraId="0EB8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67" w:type="dxa"/>
            <w:vMerge w:val="restart"/>
            <w:vAlign w:val="center"/>
          </w:tcPr>
          <w:p w14:paraId="1D00012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服务内容</w:t>
            </w:r>
          </w:p>
        </w:tc>
        <w:tc>
          <w:tcPr>
            <w:tcW w:w="958" w:type="dxa"/>
            <w:vAlign w:val="center"/>
          </w:tcPr>
          <w:p w14:paraId="243930C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远程检查</w:t>
            </w:r>
            <w:r>
              <w:rPr>
                <w:rFonts w:hint="eastAsia" w:ascii="宋体" w:hAnsi="宋体" w:cs="宋体"/>
                <w:color w:val="auto"/>
                <w:kern w:val="0"/>
                <w:sz w:val="21"/>
                <w:szCs w:val="21"/>
                <w:highlight w:val="none"/>
                <w:lang w:eastAsia="zh-CN"/>
              </w:rPr>
              <w:t>、审核</w:t>
            </w:r>
            <w:r>
              <w:rPr>
                <w:rFonts w:hint="eastAsia" w:ascii="宋体" w:hAnsi="宋体" w:cs="宋体"/>
                <w:color w:val="auto"/>
                <w:kern w:val="0"/>
                <w:sz w:val="21"/>
                <w:szCs w:val="21"/>
                <w:highlight w:val="none"/>
              </w:rPr>
              <w:t>数据</w:t>
            </w:r>
          </w:p>
        </w:tc>
        <w:tc>
          <w:tcPr>
            <w:tcW w:w="4311" w:type="dxa"/>
            <w:vAlign w:val="center"/>
          </w:tcPr>
          <w:p w14:paraId="4111F71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每天8:00—23:30，专人负责通过数据平台对监测仪器状态实施监控。监控时段内仪器故障发现时间不得超过1小时，非监控时段内仪器故障发现时间不得晚于次日8:30</w:t>
            </w:r>
            <w:r>
              <w:rPr>
                <w:rFonts w:hint="eastAsia" w:ascii="宋体" w:hAnsi="宋体" w:cs="宋体"/>
                <w:color w:val="auto"/>
                <w:kern w:val="0"/>
                <w:sz w:val="21"/>
                <w:szCs w:val="21"/>
                <w:highlight w:val="none"/>
                <w:lang w:eastAsia="zh-CN"/>
              </w:rPr>
              <w:t>。每天9:00前在指定网站完成数据一审工作。</w:t>
            </w:r>
          </w:p>
        </w:tc>
        <w:tc>
          <w:tcPr>
            <w:tcW w:w="1701" w:type="dxa"/>
            <w:vAlign w:val="center"/>
          </w:tcPr>
          <w:p w14:paraId="69405C2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错、漏1次扣0.5分</w:t>
            </w:r>
          </w:p>
        </w:tc>
        <w:tc>
          <w:tcPr>
            <w:tcW w:w="708" w:type="dxa"/>
            <w:vAlign w:val="center"/>
          </w:tcPr>
          <w:p w14:paraId="651B621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30" w:type="dxa"/>
            <w:vAlign w:val="center"/>
          </w:tcPr>
          <w:p w14:paraId="668EC8B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3581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567" w:type="dxa"/>
            <w:vMerge w:val="continue"/>
            <w:vAlign w:val="center"/>
          </w:tcPr>
          <w:p w14:paraId="4B2FA51A">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7DDDAAE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会商与</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信息</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交流</w:t>
            </w:r>
          </w:p>
        </w:tc>
        <w:tc>
          <w:tcPr>
            <w:tcW w:w="4311" w:type="dxa"/>
            <w:vAlign w:val="center"/>
          </w:tcPr>
          <w:p w14:paraId="3BF1BB81">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每天9:00以短信方式汇报前一日工作情况及当日工作安排。出现仪器故障、监测数据异常等情况时以电话和电子形式及时上报</w:t>
            </w:r>
          </w:p>
        </w:tc>
        <w:tc>
          <w:tcPr>
            <w:tcW w:w="1701" w:type="dxa"/>
            <w:vAlign w:val="center"/>
          </w:tcPr>
          <w:p w14:paraId="43B3133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错、漏1次扣0.5分</w:t>
            </w:r>
          </w:p>
        </w:tc>
        <w:tc>
          <w:tcPr>
            <w:tcW w:w="708" w:type="dxa"/>
            <w:vAlign w:val="center"/>
          </w:tcPr>
          <w:p w14:paraId="47F4E62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30" w:type="dxa"/>
            <w:vAlign w:val="center"/>
          </w:tcPr>
          <w:p w14:paraId="192EDA8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0517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567" w:type="dxa"/>
            <w:vMerge w:val="continue"/>
            <w:vAlign w:val="center"/>
          </w:tcPr>
          <w:p w14:paraId="470D32FE">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606A0DBE">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监测数据审核和管理</w:t>
            </w:r>
          </w:p>
        </w:tc>
        <w:tc>
          <w:tcPr>
            <w:tcW w:w="4311" w:type="dxa"/>
            <w:vAlign w:val="center"/>
          </w:tcPr>
          <w:p w14:paraId="5F9E1933">
            <w:pPr>
              <w:widowControl/>
              <w:spacing w:line="30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安排专人专职负责管理和监控数据，每日对数据进行审核并标记核实异常和无效数据，超标数据必须核实原因并及时汇报。</w:t>
            </w:r>
          </w:p>
        </w:tc>
        <w:tc>
          <w:tcPr>
            <w:tcW w:w="1701" w:type="dxa"/>
            <w:vAlign w:val="center"/>
          </w:tcPr>
          <w:p w14:paraId="4F3997F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错、漏1项扣1分</w:t>
            </w:r>
          </w:p>
        </w:tc>
        <w:tc>
          <w:tcPr>
            <w:tcW w:w="708" w:type="dxa"/>
            <w:vAlign w:val="center"/>
          </w:tcPr>
          <w:p w14:paraId="6F86A6EE">
            <w:pPr>
              <w:widowControl/>
              <w:spacing w:line="300" w:lineRule="auto"/>
              <w:ind w:firstLine="0" w:firstLineChars="0"/>
              <w:jc w:val="center"/>
              <w:rPr>
                <w:rFonts w:ascii="宋体" w:hAnsi="宋体" w:cs="宋体"/>
                <w:color w:val="auto"/>
                <w:kern w:val="0"/>
                <w:sz w:val="21"/>
                <w:szCs w:val="21"/>
                <w:highlight w:val="none"/>
              </w:rPr>
            </w:pPr>
          </w:p>
        </w:tc>
        <w:tc>
          <w:tcPr>
            <w:tcW w:w="730" w:type="dxa"/>
            <w:vAlign w:val="center"/>
          </w:tcPr>
          <w:p w14:paraId="1BBEE303">
            <w:pPr>
              <w:widowControl/>
              <w:spacing w:line="300" w:lineRule="auto"/>
              <w:ind w:firstLine="0" w:firstLineChars="0"/>
              <w:jc w:val="center"/>
              <w:rPr>
                <w:rFonts w:ascii="宋体" w:hAnsi="宋体" w:cs="宋体"/>
                <w:color w:val="auto"/>
                <w:kern w:val="0"/>
                <w:sz w:val="21"/>
                <w:szCs w:val="21"/>
                <w:highlight w:val="none"/>
              </w:rPr>
            </w:pPr>
          </w:p>
        </w:tc>
      </w:tr>
      <w:tr w14:paraId="2B61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567" w:type="dxa"/>
            <w:vMerge w:val="continue"/>
            <w:vAlign w:val="center"/>
          </w:tcPr>
          <w:p w14:paraId="77B981B0">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22B1301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子站现场巡检</w:t>
            </w:r>
          </w:p>
        </w:tc>
        <w:tc>
          <w:tcPr>
            <w:tcW w:w="4311" w:type="dxa"/>
            <w:vAlign w:val="center"/>
          </w:tcPr>
          <w:p w14:paraId="028F365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频次：不少于1次/（站•周）。巡检内容和记录要素，要包括子站监测系统所有功能单元的最新运行情况和现场检查维护情况，反映在巡检记录表上的巡检内容和记录要素必须完整，并与实际子站情况相符，记录内容不完整、不规范和弄虚作假的当作缺检计算，每月的前10天内，提交上月子站巡检记录，每季前15天进行汇总。</w:t>
            </w:r>
          </w:p>
        </w:tc>
        <w:tc>
          <w:tcPr>
            <w:tcW w:w="1701" w:type="dxa"/>
            <w:vAlign w:val="center"/>
          </w:tcPr>
          <w:p w14:paraId="4B24090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错、漏1次巡检扣1分</w:t>
            </w:r>
          </w:p>
        </w:tc>
        <w:tc>
          <w:tcPr>
            <w:tcW w:w="708" w:type="dxa"/>
            <w:vAlign w:val="center"/>
          </w:tcPr>
          <w:p w14:paraId="407B73E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30" w:type="dxa"/>
            <w:vAlign w:val="center"/>
          </w:tcPr>
          <w:p w14:paraId="5B1ABA1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533F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67" w:type="dxa"/>
            <w:vMerge w:val="continue"/>
            <w:vAlign w:val="center"/>
          </w:tcPr>
          <w:p w14:paraId="633FE539">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2549B32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仪器和平台故障排除</w:t>
            </w:r>
          </w:p>
        </w:tc>
        <w:tc>
          <w:tcPr>
            <w:tcW w:w="4311" w:type="dxa"/>
            <w:vAlign w:val="center"/>
          </w:tcPr>
          <w:p w14:paraId="176A5A7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故障检修到场与故障排除（指恢复正常运行，不可抗力的破坏以及如停电停水、预防性维护、受控备件供应不上等情况除外）必须及时：1小时内到达故障现场，水质应急事件必须1小时内到达现场，48小时内排除故障；如在规定时间内无法恢复正常运行，则按要求规定一周三次手工采样，并委托有资质的单位进行手工分析，每周一8:30上报手工采样数据（附原始报告）</w:t>
            </w:r>
          </w:p>
        </w:tc>
        <w:tc>
          <w:tcPr>
            <w:tcW w:w="1701" w:type="dxa"/>
            <w:vAlign w:val="center"/>
          </w:tcPr>
          <w:p w14:paraId="661CB69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每个参数不响应1次或超过时限每天扣1分，超过5天每天扣2分</w:t>
            </w:r>
          </w:p>
        </w:tc>
        <w:tc>
          <w:tcPr>
            <w:tcW w:w="708" w:type="dxa"/>
            <w:vAlign w:val="center"/>
          </w:tcPr>
          <w:p w14:paraId="7696476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30" w:type="dxa"/>
            <w:vAlign w:val="center"/>
          </w:tcPr>
          <w:p w14:paraId="7E3F08B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47FB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567" w:type="dxa"/>
            <w:vMerge w:val="continue"/>
            <w:vAlign w:val="center"/>
          </w:tcPr>
          <w:p w14:paraId="444A9FBF">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7DDF2A2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站房环境及辅助设备维护</w:t>
            </w:r>
          </w:p>
        </w:tc>
        <w:tc>
          <w:tcPr>
            <w:tcW w:w="4311" w:type="dxa"/>
            <w:vAlign w:val="center"/>
          </w:tcPr>
          <w:p w14:paraId="75618DE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站房内外整洁、维持站房温湿度环境稳定、防火防盗防雷。维护辅助设备稳定运行等。</w:t>
            </w:r>
          </w:p>
        </w:tc>
        <w:tc>
          <w:tcPr>
            <w:tcW w:w="1701" w:type="dxa"/>
            <w:vAlign w:val="center"/>
          </w:tcPr>
          <w:p w14:paraId="3A8DF8D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错、漏1次扣1分；辅助设备无正当理由一个月内没维修扣2分，超过一个月每月扣3分</w:t>
            </w:r>
          </w:p>
        </w:tc>
        <w:tc>
          <w:tcPr>
            <w:tcW w:w="708" w:type="dxa"/>
            <w:vAlign w:val="center"/>
          </w:tcPr>
          <w:p w14:paraId="739017CF">
            <w:pPr>
              <w:widowControl/>
              <w:spacing w:line="300" w:lineRule="auto"/>
              <w:ind w:firstLine="0" w:firstLineChars="0"/>
              <w:jc w:val="center"/>
              <w:rPr>
                <w:rFonts w:ascii="宋体" w:hAnsi="宋体" w:cs="宋体"/>
                <w:color w:val="auto"/>
                <w:kern w:val="0"/>
                <w:sz w:val="21"/>
                <w:szCs w:val="21"/>
                <w:highlight w:val="none"/>
              </w:rPr>
            </w:pPr>
          </w:p>
        </w:tc>
        <w:tc>
          <w:tcPr>
            <w:tcW w:w="730" w:type="dxa"/>
            <w:vAlign w:val="center"/>
          </w:tcPr>
          <w:p w14:paraId="79EE59E1">
            <w:pPr>
              <w:widowControl/>
              <w:spacing w:line="300" w:lineRule="auto"/>
              <w:ind w:firstLine="0" w:firstLineChars="0"/>
              <w:jc w:val="center"/>
              <w:rPr>
                <w:rFonts w:ascii="宋体" w:hAnsi="宋体" w:cs="宋体"/>
                <w:color w:val="auto"/>
                <w:kern w:val="0"/>
                <w:sz w:val="21"/>
                <w:szCs w:val="21"/>
                <w:highlight w:val="none"/>
              </w:rPr>
            </w:pPr>
          </w:p>
        </w:tc>
      </w:tr>
      <w:tr w14:paraId="6E9D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567" w:type="dxa"/>
            <w:vMerge w:val="continue"/>
            <w:vAlign w:val="center"/>
          </w:tcPr>
          <w:p w14:paraId="05154C56">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1D1E33D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仪器运行维护</w:t>
            </w:r>
          </w:p>
        </w:tc>
        <w:tc>
          <w:tcPr>
            <w:tcW w:w="4311" w:type="dxa"/>
            <w:vAlign w:val="center"/>
          </w:tcPr>
          <w:p w14:paraId="2AB7AC9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按照相关要求进行运行状态系统检查、清洗、校准、打磨、更换试剂、更换零备件等维护工作</w:t>
            </w:r>
          </w:p>
        </w:tc>
        <w:tc>
          <w:tcPr>
            <w:tcW w:w="1701" w:type="dxa"/>
            <w:vAlign w:val="center"/>
          </w:tcPr>
          <w:p w14:paraId="63646BB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错、漏1次扣1分</w:t>
            </w:r>
          </w:p>
        </w:tc>
        <w:tc>
          <w:tcPr>
            <w:tcW w:w="708" w:type="dxa"/>
            <w:vAlign w:val="center"/>
          </w:tcPr>
          <w:p w14:paraId="1E84AC3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30" w:type="dxa"/>
            <w:vAlign w:val="center"/>
          </w:tcPr>
          <w:p w14:paraId="62D05D7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21D5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67" w:type="dxa"/>
            <w:vMerge w:val="continue"/>
            <w:vAlign w:val="center"/>
          </w:tcPr>
          <w:p w14:paraId="3CCABE88">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48FC405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质量控制</w:t>
            </w:r>
          </w:p>
        </w:tc>
        <w:tc>
          <w:tcPr>
            <w:tcW w:w="4311" w:type="dxa"/>
            <w:vAlign w:val="center"/>
          </w:tcPr>
          <w:p w14:paraId="103D611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每个参数“周核查、月比对”</w:t>
            </w:r>
          </w:p>
        </w:tc>
        <w:tc>
          <w:tcPr>
            <w:tcW w:w="1701" w:type="dxa"/>
            <w:vAlign w:val="center"/>
          </w:tcPr>
          <w:p w14:paraId="1DC353A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错、漏1个参数1次1分</w:t>
            </w:r>
          </w:p>
        </w:tc>
        <w:tc>
          <w:tcPr>
            <w:tcW w:w="708" w:type="dxa"/>
            <w:vAlign w:val="center"/>
          </w:tcPr>
          <w:p w14:paraId="696CF76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30" w:type="dxa"/>
            <w:vAlign w:val="center"/>
          </w:tcPr>
          <w:p w14:paraId="145BD3B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2D4D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67" w:type="dxa"/>
            <w:vMerge w:val="continue"/>
            <w:vAlign w:val="center"/>
          </w:tcPr>
          <w:p w14:paraId="163A958C">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6087DD7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废液处理</w:t>
            </w:r>
          </w:p>
        </w:tc>
        <w:tc>
          <w:tcPr>
            <w:tcW w:w="4311" w:type="dxa"/>
            <w:vAlign w:val="center"/>
          </w:tcPr>
          <w:p w14:paraId="57492F7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做好废液收集并妥善处理处置废液，废液桶标识清晰</w:t>
            </w:r>
          </w:p>
        </w:tc>
        <w:tc>
          <w:tcPr>
            <w:tcW w:w="1701" w:type="dxa"/>
            <w:vAlign w:val="center"/>
          </w:tcPr>
          <w:p w14:paraId="2DAF02B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废液桶无标识扣2分；不及时、不规范处理处置废液的，扣1分；废液放置站房外长期存放扣4分</w:t>
            </w:r>
          </w:p>
        </w:tc>
        <w:tc>
          <w:tcPr>
            <w:tcW w:w="708" w:type="dxa"/>
            <w:vAlign w:val="center"/>
          </w:tcPr>
          <w:p w14:paraId="2E08AE9B">
            <w:pPr>
              <w:widowControl/>
              <w:spacing w:line="300" w:lineRule="auto"/>
              <w:ind w:firstLine="0" w:firstLineChars="0"/>
              <w:jc w:val="center"/>
              <w:rPr>
                <w:rFonts w:ascii="宋体" w:hAnsi="宋体" w:cs="宋体"/>
                <w:color w:val="auto"/>
                <w:kern w:val="0"/>
                <w:sz w:val="21"/>
                <w:szCs w:val="21"/>
                <w:highlight w:val="none"/>
              </w:rPr>
            </w:pPr>
          </w:p>
        </w:tc>
        <w:tc>
          <w:tcPr>
            <w:tcW w:w="730" w:type="dxa"/>
            <w:vAlign w:val="center"/>
          </w:tcPr>
          <w:p w14:paraId="1E1F2EA7">
            <w:pPr>
              <w:widowControl/>
              <w:spacing w:line="300" w:lineRule="auto"/>
              <w:ind w:firstLine="0" w:firstLineChars="0"/>
              <w:jc w:val="center"/>
              <w:rPr>
                <w:rFonts w:ascii="宋体" w:hAnsi="宋体" w:cs="宋体"/>
                <w:color w:val="auto"/>
                <w:kern w:val="0"/>
                <w:sz w:val="21"/>
                <w:szCs w:val="21"/>
                <w:highlight w:val="none"/>
              </w:rPr>
            </w:pPr>
          </w:p>
        </w:tc>
      </w:tr>
      <w:tr w14:paraId="3A56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67" w:type="dxa"/>
            <w:vMerge w:val="continue"/>
            <w:vAlign w:val="center"/>
          </w:tcPr>
          <w:p w14:paraId="0F8C04D7">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09A263EE">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数据保密</w:t>
            </w:r>
          </w:p>
        </w:tc>
        <w:tc>
          <w:tcPr>
            <w:tcW w:w="4311" w:type="dxa"/>
            <w:vAlign w:val="center"/>
          </w:tcPr>
          <w:p w14:paraId="35E0614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不论何时，运维单位都应承担监测数据的保密责任；运维单位按照采购人的要求，进行报告和传输有关的监测数据，均不得以任何方式和渠道向外界传递任何监测数据。</w:t>
            </w:r>
          </w:p>
        </w:tc>
        <w:tc>
          <w:tcPr>
            <w:tcW w:w="1701" w:type="dxa"/>
            <w:vAlign w:val="center"/>
          </w:tcPr>
          <w:p w14:paraId="7C01978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发现1次扣20分</w:t>
            </w:r>
          </w:p>
        </w:tc>
        <w:tc>
          <w:tcPr>
            <w:tcW w:w="708" w:type="dxa"/>
            <w:vAlign w:val="center"/>
          </w:tcPr>
          <w:p w14:paraId="641EAD4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30" w:type="dxa"/>
            <w:vAlign w:val="center"/>
          </w:tcPr>
          <w:p w14:paraId="07EA15E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27A0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67" w:type="dxa"/>
            <w:vMerge w:val="continue"/>
            <w:vAlign w:val="center"/>
          </w:tcPr>
          <w:p w14:paraId="2E00CA8A">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6F66CD9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记录</w:t>
            </w:r>
          </w:p>
        </w:tc>
        <w:tc>
          <w:tcPr>
            <w:tcW w:w="4311" w:type="dxa"/>
            <w:vAlign w:val="center"/>
          </w:tcPr>
          <w:p w14:paraId="55E9582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按规范要求做好日常相关记录表格，每月交一次所有记录给采购方审查。采购方可随时抽查记录内容，运营商须及时提供，不得阻挠、拖延、伪造。</w:t>
            </w:r>
          </w:p>
        </w:tc>
        <w:tc>
          <w:tcPr>
            <w:tcW w:w="1701" w:type="dxa"/>
            <w:vAlign w:val="center"/>
          </w:tcPr>
          <w:p w14:paraId="73E751E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期限内缺1份扣1分</w:t>
            </w:r>
          </w:p>
        </w:tc>
        <w:tc>
          <w:tcPr>
            <w:tcW w:w="708" w:type="dxa"/>
            <w:vAlign w:val="center"/>
          </w:tcPr>
          <w:p w14:paraId="0C3D787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30" w:type="dxa"/>
            <w:vAlign w:val="center"/>
          </w:tcPr>
          <w:p w14:paraId="2D44132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4913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567" w:type="dxa"/>
            <w:vMerge w:val="restart"/>
            <w:vAlign w:val="center"/>
          </w:tcPr>
          <w:p w14:paraId="50CC622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服务质量</w:t>
            </w:r>
          </w:p>
        </w:tc>
        <w:tc>
          <w:tcPr>
            <w:tcW w:w="958" w:type="dxa"/>
            <w:vAlign w:val="center"/>
          </w:tcPr>
          <w:p w14:paraId="4BDF174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质控考核</w:t>
            </w:r>
          </w:p>
        </w:tc>
        <w:tc>
          <w:tcPr>
            <w:tcW w:w="4311" w:type="dxa"/>
            <w:vAlign w:val="center"/>
          </w:tcPr>
          <w:p w14:paraId="488D3B8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接受采购人或采购人委托的第三方机构或采购人上级部门考核的定期或不定期考核</w:t>
            </w:r>
          </w:p>
        </w:tc>
        <w:tc>
          <w:tcPr>
            <w:tcW w:w="1701" w:type="dxa"/>
            <w:vAlign w:val="center"/>
          </w:tcPr>
          <w:p w14:paraId="6D31E5D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上级部门考核不合格1次扣20分；本单位内部（或委托第三方机构）考核1个参数1次不合格扣2分</w:t>
            </w:r>
          </w:p>
        </w:tc>
        <w:tc>
          <w:tcPr>
            <w:tcW w:w="708" w:type="dxa"/>
            <w:vAlign w:val="center"/>
          </w:tcPr>
          <w:p w14:paraId="2E4A3DB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30" w:type="dxa"/>
            <w:vAlign w:val="center"/>
          </w:tcPr>
          <w:p w14:paraId="712F927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4122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567" w:type="dxa"/>
            <w:vMerge w:val="continue"/>
            <w:vAlign w:val="center"/>
          </w:tcPr>
          <w:p w14:paraId="1482E160">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7C0CEC2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服务态度</w:t>
            </w:r>
          </w:p>
        </w:tc>
        <w:tc>
          <w:tcPr>
            <w:tcW w:w="4311" w:type="dxa"/>
            <w:vAlign w:val="center"/>
          </w:tcPr>
          <w:p w14:paraId="16CC6A9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运维人员按要求开展各项工作</w:t>
            </w:r>
          </w:p>
        </w:tc>
        <w:tc>
          <w:tcPr>
            <w:tcW w:w="1701" w:type="dxa"/>
            <w:vAlign w:val="center"/>
          </w:tcPr>
          <w:p w14:paraId="3B20DA6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工作拖拉、推诿、态度恶劣、语言过激造成不良影响的扣5分</w:t>
            </w:r>
          </w:p>
        </w:tc>
        <w:tc>
          <w:tcPr>
            <w:tcW w:w="708" w:type="dxa"/>
            <w:vAlign w:val="center"/>
          </w:tcPr>
          <w:p w14:paraId="76683F5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30" w:type="dxa"/>
            <w:vAlign w:val="center"/>
          </w:tcPr>
          <w:p w14:paraId="1852F23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3C27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67" w:type="dxa"/>
            <w:vMerge w:val="continue"/>
            <w:vAlign w:val="center"/>
          </w:tcPr>
          <w:p w14:paraId="6506F666">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57278C2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记录、报告规范</w:t>
            </w:r>
          </w:p>
        </w:tc>
        <w:tc>
          <w:tcPr>
            <w:tcW w:w="4311" w:type="dxa"/>
            <w:vAlign w:val="center"/>
          </w:tcPr>
          <w:p w14:paraId="2337CF7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所有记录须字体清晰，不得模糊潦草，并按规范填写相应内容。</w:t>
            </w:r>
          </w:p>
        </w:tc>
        <w:tc>
          <w:tcPr>
            <w:tcW w:w="1701" w:type="dxa"/>
            <w:vAlign w:val="center"/>
          </w:tcPr>
          <w:p w14:paraId="2F1EDD4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1项扣1分</w:t>
            </w:r>
          </w:p>
        </w:tc>
        <w:tc>
          <w:tcPr>
            <w:tcW w:w="708" w:type="dxa"/>
            <w:vAlign w:val="center"/>
          </w:tcPr>
          <w:p w14:paraId="4E1BA67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30" w:type="dxa"/>
            <w:vAlign w:val="center"/>
          </w:tcPr>
          <w:p w14:paraId="15CEDE0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4CBE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567" w:type="dxa"/>
            <w:vMerge w:val="continue"/>
            <w:vAlign w:val="center"/>
          </w:tcPr>
          <w:p w14:paraId="588A45C7">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4BA3BDA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单站单项数据月度有效获取率</w:t>
            </w:r>
          </w:p>
        </w:tc>
        <w:tc>
          <w:tcPr>
            <w:tcW w:w="4311" w:type="dxa"/>
            <w:vAlign w:val="center"/>
          </w:tcPr>
          <w:p w14:paraId="63AFB21E">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每个子站每个参数月度有效数据获取率不小于90%</w:t>
            </w:r>
          </w:p>
        </w:tc>
        <w:tc>
          <w:tcPr>
            <w:tcW w:w="1701" w:type="dxa"/>
            <w:vAlign w:val="center"/>
          </w:tcPr>
          <w:p w14:paraId="66510BC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单站单项不达标1次扣2分</w:t>
            </w:r>
          </w:p>
        </w:tc>
        <w:tc>
          <w:tcPr>
            <w:tcW w:w="708" w:type="dxa"/>
            <w:vAlign w:val="center"/>
          </w:tcPr>
          <w:p w14:paraId="4E3EAEA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30" w:type="dxa"/>
            <w:vAlign w:val="center"/>
          </w:tcPr>
          <w:p w14:paraId="55C0490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7BF3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67" w:type="dxa"/>
            <w:vMerge w:val="continue"/>
            <w:vAlign w:val="center"/>
          </w:tcPr>
          <w:p w14:paraId="50B761A5">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2629E9A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单站数据有效率</w:t>
            </w:r>
          </w:p>
        </w:tc>
        <w:tc>
          <w:tcPr>
            <w:tcW w:w="4311" w:type="dxa"/>
            <w:vAlign w:val="center"/>
          </w:tcPr>
          <w:p w14:paraId="30F5AF65">
            <w:pPr>
              <w:widowControl/>
              <w:spacing w:line="30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每月所有参数数据有效率≥80%（除去断流、停电、不可抗力因素引起的故障或停运，以及采购方认为可以扣除 的时间段）</w:t>
            </w:r>
          </w:p>
        </w:tc>
        <w:tc>
          <w:tcPr>
            <w:tcW w:w="1701" w:type="dxa"/>
            <w:vAlign w:val="center"/>
          </w:tcPr>
          <w:p w14:paraId="5C56759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有效率每降低1%（四舍五入），扣2.5分。注：考核参数最低的有效率，不考核平均有效率。</w:t>
            </w:r>
          </w:p>
        </w:tc>
        <w:tc>
          <w:tcPr>
            <w:tcW w:w="708" w:type="dxa"/>
            <w:vAlign w:val="center"/>
          </w:tcPr>
          <w:p w14:paraId="7BEA92D2">
            <w:pPr>
              <w:widowControl/>
              <w:spacing w:line="300" w:lineRule="auto"/>
              <w:ind w:firstLine="0" w:firstLineChars="0"/>
              <w:jc w:val="center"/>
              <w:rPr>
                <w:rFonts w:ascii="宋体" w:hAnsi="宋体" w:cs="宋体"/>
                <w:color w:val="auto"/>
                <w:kern w:val="0"/>
                <w:sz w:val="21"/>
                <w:szCs w:val="21"/>
                <w:highlight w:val="none"/>
              </w:rPr>
            </w:pPr>
          </w:p>
        </w:tc>
        <w:tc>
          <w:tcPr>
            <w:tcW w:w="730" w:type="dxa"/>
            <w:vAlign w:val="center"/>
          </w:tcPr>
          <w:p w14:paraId="710F887C">
            <w:pPr>
              <w:widowControl/>
              <w:spacing w:line="300" w:lineRule="auto"/>
              <w:ind w:firstLine="0" w:firstLineChars="0"/>
              <w:jc w:val="center"/>
              <w:rPr>
                <w:rFonts w:ascii="宋体" w:hAnsi="宋体" w:cs="宋体"/>
                <w:color w:val="auto"/>
                <w:kern w:val="0"/>
                <w:sz w:val="21"/>
                <w:szCs w:val="21"/>
                <w:highlight w:val="none"/>
              </w:rPr>
            </w:pPr>
          </w:p>
        </w:tc>
      </w:tr>
      <w:tr w14:paraId="6A46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67" w:type="dxa"/>
            <w:vMerge w:val="continue"/>
            <w:vAlign w:val="center"/>
          </w:tcPr>
          <w:p w14:paraId="565EFF00">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1569921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备机使用情况</w:t>
            </w:r>
          </w:p>
        </w:tc>
        <w:tc>
          <w:tcPr>
            <w:tcW w:w="4311" w:type="dxa"/>
            <w:vAlign w:val="center"/>
          </w:tcPr>
          <w:p w14:paraId="0E17710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未经许可，</w:t>
            </w:r>
            <w:r>
              <w:rPr>
                <w:rFonts w:hint="eastAsia" w:ascii="宋体" w:hAnsi="宋体" w:cs="宋体"/>
                <w:color w:val="auto"/>
                <w:kern w:val="0"/>
                <w:sz w:val="21"/>
                <w:szCs w:val="21"/>
                <w:highlight w:val="none"/>
              </w:rPr>
              <w:t>备机连续使用不得超过1个月</w:t>
            </w:r>
          </w:p>
        </w:tc>
        <w:tc>
          <w:tcPr>
            <w:tcW w:w="1701" w:type="dxa"/>
            <w:vAlign w:val="center"/>
          </w:tcPr>
          <w:p w14:paraId="3458C5A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1个项目超过1天每天扣1分，超过5天每天扣2分</w:t>
            </w:r>
          </w:p>
        </w:tc>
        <w:tc>
          <w:tcPr>
            <w:tcW w:w="708" w:type="dxa"/>
            <w:vAlign w:val="center"/>
          </w:tcPr>
          <w:p w14:paraId="4CA29D62">
            <w:pPr>
              <w:widowControl/>
              <w:spacing w:line="300" w:lineRule="auto"/>
              <w:ind w:firstLine="0" w:firstLineChars="0"/>
              <w:jc w:val="center"/>
              <w:rPr>
                <w:rFonts w:ascii="宋体" w:hAnsi="宋体" w:cs="宋体"/>
                <w:color w:val="auto"/>
                <w:kern w:val="0"/>
                <w:sz w:val="21"/>
                <w:szCs w:val="21"/>
                <w:highlight w:val="none"/>
              </w:rPr>
            </w:pPr>
          </w:p>
        </w:tc>
        <w:tc>
          <w:tcPr>
            <w:tcW w:w="730" w:type="dxa"/>
            <w:vAlign w:val="center"/>
          </w:tcPr>
          <w:p w14:paraId="157CA806">
            <w:pPr>
              <w:widowControl/>
              <w:spacing w:line="300" w:lineRule="auto"/>
              <w:ind w:firstLine="0" w:firstLineChars="0"/>
              <w:jc w:val="center"/>
              <w:rPr>
                <w:rFonts w:ascii="宋体" w:hAnsi="宋体" w:cs="宋体"/>
                <w:color w:val="auto"/>
                <w:kern w:val="0"/>
                <w:sz w:val="21"/>
                <w:szCs w:val="21"/>
                <w:highlight w:val="none"/>
              </w:rPr>
            </w:pPr>
          </w:p>
        </w:tc>
      </w:tr>
      <w:tr w14:paraId="0DBD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67" w:type="dxa"/>
            <w:vMerge w:val="continue"/>
            <w:vAlign w:val="center"/>
          </w:tcPr>
          <w:p w14:paraId="3347151C">
            <w:pPr>
              <w:widowControl/>
              <w:spacing w:line="300" w:lineRule="auto"/>
              <w:ind w:firstLine="0" w:firstLineChars="0"/>
              <w:jc w:val="left"/>
              <w:rPr>
                <w:rFonts w:ascii="宋体" w:hAnsi="宋体" w:cs="宋体"/>
                <w:color w:val="auto"/>
                <w:kern w:val="0"/>
                <w:sz w:val="21"/>
                <w:szCs w:val="21"/>
                <w:highlight w:val="none"/>
              </w:rPr>
            </w:pPr>
          </w:p>
        </w:tc>
        <w:tc>
          <w:tcPr>
            <w:tcW w:w="958" w:type="dxa"/>
            <w:vMerge w:val="restart"/>
            <w:vAlign w:val="center"/>
          </w:tcPr>
          <w:p w14:paraId="49019A3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（是否存在不满足合同或相关规范要求的情况）</w:t>
            </w:r>
          </w:p>
        </w:tc>
        <w:tc>
          <w:tcPr>
            <w:tcW w:w="4311" w:type="dxa"/>
            <w:vAlign w:val="center"/>
          </w:tcPr>
          <w:p w14:paraId="5D859E3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但对数据不造成影响的项目</w:t>
            </w:r>
          </w:p>
        </w:tc>
        <w:tc>
          <w:tcPr>
            <w:tcW w:w="1701" w:type="dxa"/>
            <w:vAlign w:val="center"/>
          </w:tcPr>
          <w:p w14:paraId="6A13C8A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每1项扣1分</w:t>
            </w:r>
          </w:p>
        </w:tc>
        <w:tc>
          <w:tcPr>
            <w:tcW w:w="708" w:type="dxa"/>
            <w:vAlign w:val="center"/>
          </w:tcPr>
          <w:p w14:paraId="140651C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30" w:type="dxa"/>
            <w:vAlign w:val="center"/>
          </w:tcPr>
          <w:p w14:paraId="517B998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2B20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7" w:type="dxa"/>
            <w:vMerge w:val="continue"/>
            <w:vAlign w:val="center"/>
          </w:tcPr>
          <w:p w14:paraId="42C5F6C5">
            <w:pPr>
              <w:widowControl/>
              <w:spacing w:line="300" w:lineRule="auto"/>
              <w:ind w:firstLine="0" w:firstLineChars="0"/>
              <w:jc w:val="left"/>
              <w:rPr>
                <w:rFonts w:ascii="宋体" w:hAnsi="宋体" w:cs="宋体"/>
                <w:color w:val="auto"/>
                <w:kern w:val="0"/>
                <w:sz w:val="21"/>
                <w:szCs w:val="21"/>
                <w:highlight w:val="none"/>
              </w:rPr>
            </w:pPr>
          </w:p>
        </w:tc>
        <w:tc>
          <w:tcPr>
            <w:tcW w:w="958" w:type="dxa"/>
            <w:vMerge w:val="continue"/>
            <w:vAlign w:val="center"/>
          </w:tcPr>
          <w:p w14:paraId="3F98BFF4">
            <w:pPr>
              <w:widowControl/>
              <w:spacing w:line="300" w:lineRule="auto"/>
              <w:ind w:firstLine="0" w:firstLineChars="0"/>
              <w:jc w:val="left"/>
              <w:rPr>
                <w:rFonts w:ascii="宋体" w:hAnsi="宋体" w:cs="宋体"/>
                <w:color w:val="auto"/>
                <w:kern w:val="0"/>
                <w:sz w:val="21"/>
                <w:szCs w:val="21"/>
                <w:highlight w:val="none"/>
              </w:rPr>
            </w:pPr>
          </w:p>
        </w:tc>
        <w:tc>
          <w:tcPr>
            <w:tcW w:w="4311" w:type="dxa"/>
            <w:vAlign w:val="center"/>
          </w:tcPr>
          <w:p w14:paraId="6208CC0E">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且可能对数据造成严重影响的项目</w:t>
            </w:r>
          </w:p>
        </w:tc>
        <w:tc>
          <w:tcPr>
            <w:tcW w:w="1701" w:type="dxa"/>
            <w:vAlign w:val="center"/>
          </w:tcPr>
          <w:p w14:paraId="06891BD1">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每1项扣3分</w:t>
            </w:r>
          </w:p>
        </w:tc>
        <w:tc>
          <w:tcPr>
            <w:tcW w:w="708" w:type="dxa"/>
            <w:vAlign w:val="center"/>
          </w:tcPr>
          <w:p w14:paraId="54FCD586">
            <w:pPr>
              <w:spacing w:line="300" w:lineRule="auto"/>
              <w:ind w:firstLine="0" w:firstLineChars="0"/>
              <w:jc w:val="left"/>
              <w:rPr>
                <w:rFonts w:ascii="宋体" w:hAnsi="宋体" w:cs="宋体"/>
                <w:color w:val="auto"/>
                <w:kern w:val="0"/>
                <w:sz w:val="21"/>
                <w:szCs w:val="21"/>
                <w:highlight w:val="none"/>
              </w:rPr>
            </w:pPr>
          </w:p>
        </w:tc>
        <w:tc>
          <w:tcPr>
            <w:tcW w:w="730" w:type="dxa"/>
            <w:vAlign w:val="center"/>
          </w:tcPr>
          <w:p w14:paraId="02986327">
            <w:pPr>
              <w:spacing w:line="300" w:lineRule="auto"/>
              <w:ind w:firstLine="0" w:firstLineChars="0"/>
              <w:jc w:val="left"/>
              <w:rPr>
                <w:rFonts w:ascii="宋体" w:hAnsi="宋体" w:cs="宋体"/>
                <w:color w:val="auto"/>
                <w:kern w:val="0"/>
                <w:sz w:val="21"/>
                <w:szCs w:val="21"/>
                <w:highlight w:val="none"/>
              </w:rPr>
            </w:pPr>
          </w:p>
        </w:tc>
      </w:tr>
      <w:tr w14:paraId="0325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67" w:type="dxa"/>
            <w:vMerge w:val="continue"/>
            <w:vAlign w:val="center"/>
          </w:tcPr>
          <w:p w14:paraId="1B6B8CA9">
            <w:pPr>
              <w:widowControl/>
              <w:spacing w:line="300" w:lineRule="auto"/>
              <w:ind w:firstLine="0" w:firstLineChars="0"/>
              <w:jc w:val="left"/>
              <w:rPr>
                <w:rFonts w:ascii="宋体" w:hAnsi="宋体" w:cs="宋体"/>
                <w:color w:val="auto"/>
                <w:kern w:val="0"/>
                <w:sz w:val="21"/>
                <w:szCs w:val="21"/>
                <w:highlight w:val="none"/>
              </w:rPr>
            </w:pPr>
          </w:p>
        </w:tc>
        <w:tc>
          <w:tcPr>
            <w:tcW w:w="958" w:type="dxa"/>
            <w:vMerge w:val="continue"/>
            <w:vAlign w:val="center"/>
          </w:tcPr>
          <w:p w14:paraId="07FFDD54">
            <w:pPr>
              <w:widowControl/>
              <w:spacing w:line="300" w:lineRule="auto"/>
              <w:ind w:firstLine="0" w:firstLineChars="0"/>
              <w:jc w:val="left"/>
              <w:rPr>
                <w:rFonts w:ascii="宋体" w:hAnsi="宋体" w:cs="宋体"/>
                <w:color w:val="auto"/>
                <w:kern w:val="0"/>
                <w:sz w:val="21"/>
                <w:szCs w:val="21"/>
                <w:highlight w:val="none"/>
              </w:rPr>
            </w:pPr>
          </w:p>
        </w:tc>
        <w:tc>
          <w:tcPr>
            <w:tcW w:w="4311" w:type="dxa"/>
            <w:vAlign w:val="center"/>
          </w:tcPr>
          <w:p w14:paraId="7DDAA04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且已对数据造成严重影响的项目</w:t>
            </w:r>
          </w:p>
        </w:tc>
        <w:tc>
          <w:tcPr>
            <w:tcW w:w="1701" w:type="dxa"/>
            <w:vAlign w:val="center"/>
          </w:tcPr>
          <w:p w14:paraId="4742B50E">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每1项扣5分</w:t>
            </w:r>
          </w:p>
        </w:tc>
        <w:tc>
          <w:tcPr>
            <w:tcW w:w="708" w:type="dxa"/>
            <w:vAlign w:val="center"/>
          </w:tcPr>
          <w:p w14:paraId="6528B306">
            <w:pPr>
              <w:widowControl/>
              <w:spacing w:line="300" w:lineRule="auto"/>
              <w:ind w:firstLine="0" w:firstLineChars="0"/>
              <w:jc w:val="left"/>
              <w:rPr>
                <w:rFonts w:ascii="宋体" w:hAnsi="宋体" w:cs="宋体"/>
                <w:color w:val="auto"/>
                <w:kern w:val="0"/>
                <w:sz w:val="21"/>
                <w:szCs w:val="21"/>
                <w:highlight w:val="none"/>
              </w:rPr>
            </w:pPr>
          </w:p>
        </w:tc>
        <w:tc>
          <w:tcPr>
            <w:tcW w:w="730" w:type="dxa"/>
            <w:vAlign w:val="center"/>
          </w:tcPr>
          <w:p w14:paraId="6568DE52">
            <w:pPr>
              <w:widowControl/>
              <w:spacing w:line="300" w:lineRule="auto"/>
              <w:ind w:firstLine="0" w:firstLineChars="0"/>
              <w:jc w:val="left"/>
              <w:rPr>
                <w:rFonts w:ascii="宋体" w:hAnsi="宋体" w:cs="宋体"/>
                <w:color w:val="auto"/>
                <w:kern w:val="0"/>
                <w:sz w:val="21"/>
                <w:szCs w:val="21"/>
                <w:highlight w:val="none"/>
              </w:rPr>
            </w:pPr>
          </w:p>
        </w:tc>
      </w:tr>
      <w:tr w14:paraId="65E9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67" w:type="dxa"/>
            <w:vMerge w:val="continue"/>
            <w:vAlign w:val="center"/>
          </w:tcPr>
          <w:p w14:paraId="5D4D24CB">
            <w:pPr>
              <w:widowControl/>
              <w:spacing w:line="300" w:lineRule="auto"/>
              <w:ind w:firstLine="0" w:firstLineChars="0"/>
              <w:jc w:val="left"/>
              <w:rPr>
                <w:rFonts w:ascii="宋体" w:hAnsi="宋体" w:cs="宋体"/>
                <w:color w:val="auto"/>
                <w:kern w:val="0"/>
                <w:sz w:val="21"/>
                <w:szCs w:val="21"/>
                <w:highlight w:val="none"/>
              </w:rPr>
            </w:pPr>
          </w:p>
        </w:tc>
        <w:tc>
          <w:tcPr>
            <w:tcW w:w="958" w:type="dxa"/>
            <w:vAlign w:val="center"/>
          </w:tcPr>
          <w:p w14:paraId="738975C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数据真实性</w:t>
            </w:r>
          </w:p>
        </w:tc>
        <w:tc>
          <w:tcPr>
            <w:tcW w:w="4311" w:type="dxa"/>
            <w:vAlign w:val="center"/>
          </w:tcPr>
          <w:p w14:paraId="7B77878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制造虚假数据</w:t>
            </w:r>
          </w:p>
        </w:tc>
        <w:tc>
          <w:tcPr>
            <w:tcW w:w="1701" w:type="dxa"/>
            <w:vAlign w:val="center"/>
          </w:tcPr>
          <w:p w14:paraId="3397A0E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终止合同，不予支付当季运维费用</w:t>
            </w:r>
          </w:p>
        </w:tc>
        <w:tc>
          <w:tcPr>
            <w:tcW w:w="708" w:type="dxa"/>
            <w:vAlign w:val="center"/>
          </w:tcPr>
          <w:p w14:paraId="5B04D426">
            <w:pPr>
              <w:widowControl/>
              <w:spacing w:line="300" w:lineRule="auto"/>
              <w:ind w:firstLine="0" w:firstLineChars="0"/>
              <w:jc w:val="left"/>
              <w:rPr>
                <w:rFonts w:ascii="宋体" w:hAnsi="宋体" w:cs="宋体"/>
                <w:color w:val="auto"/>
                <w:kern w:val="0"/>
                <w:sz w:val="21"/>
                <w:szCs w:val="21"/>
                <w:highlight w:val="none"/>
              </w:rPr>
            </w:pPr>
          </w:p>
        </w:tc>
        <w:tc>
          <w:tcPr>
            <w:tcW w:w="730" w:type="dxa"/>
            <w:vAlign w:val="center"/>
          </w:tcPr>
          <w:p w14:paraId="634B96E9">
            <w:pPr>
              <w:widowControl/>
              <w:spacing w:line="300" w:lineRule="auto"/>
              <w:ind w:firstLine="0" w:firstLineChars="0"/>
              <w:jc w:val="left"/>
              <w:rPr>
                <w:rFonts w:ascii="宋体" w:hAnsi="宋体" w:cs="宋体"/>
                <w:color w:val="auto"/>
                <w:kern w:val="0"/>
                <w:sz w:val="21"/>
                <w:szCs w:val="21"/>
                <w:highlight w:val="none"/>
              </w:rPr>
            </w:pPr>
          </w:p>
        </w:tc>
      </w:tr>
      <w:tr w14:paraId="59E1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836" w:type="dxa"/>
            <w:gridSpan w:val="3"/>
            <w:vAlign w:val="center"/>
          </w:tcPr>
          <w:p w14:paraId="42FE45D2">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本季度考核总得分</w:t>
            </w:r>
          </w:p>
        </w:tc>
        <w:tc>
          <w:tcPr>
            <w:tcW w:w="3139" w:type="dxa"/>
            <w:gridSpan w:val="3"/>
            <w:vAlign w:val="center"/>
          </w:tcPr>
          <w:p w14:paraId="2FC9557E">
            <w:pPr>
              <w:widowControl/>
              <w:spacing w:line="300" w:lineRule="auto"/>
              <w:ind w:firstLine="0" w:firstLineChars="0"/>
              <w:jc w:val="center"/>
              <w:rPr>
                <w:rFonts w:ascii="宋体" w:hAnsi="宋体" w:cs="宋体"/>
                <w:b/>
                <w:bCs/>
                <w:color w:val="auto"/>
                <w:kern w:val="0"/>
                <w:sz w:val="21"/>
                <w:szCs w:val="21"/>
                <w:highlight w:val="none"/>
              </w:rPr>
            </w:pPr>
          </w:p>
        </w:tc>
      </w:tr>
      <w:tr w14:paraId="00E7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836" w:type="dxa"/>
            <w:gridSpan w:val="3"/>
            <w:vAlign w:val="center"/>
          </w:tcPr>
          <w:p w14:paraId="3DB276AF">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本季度考核总评价</w:t>
            </w:r>
          </w:p>
        </w:tc>
        <w:tc>
          <w:tcPr>
            <w:tcW w:w="3139" w:type="dxa"/>
            <w:gridSpan w:val="3"/>
            <w:vAlign w:val="center"/>
          </w:tcPr>
          <w:p w14:paraId="027FEE58">
            <w:pPr>
              <w:widowControl/>
              <w:spacing w:line="300" w:lineRule="auto"/>
              <w:ind w:firstLine="0" w:firstLineChars="0"/>
              <w:jc w:val="center"/>
              <w:rPr>
                <w:rFonts w:ascii="宋体" w:hAnsi="宋体" w:cs="宋体"/>
                <w:b/>
                <w:bCs/>
                <w:color w:val="auto"/>
                <w:kern w:val="0"/>
                <w:sz w:val="21"/>
                <w:szCs w:val="21"/>
                <w:highlight w:val="none"/>
              </w:rPr>
            </w:pPr>
          </w:p>
        </w:tc>
      </w:tr>
    </w:tbl>
    <w:p w14:paraId="48536596">
      <w:pPr>
        <w:spacing w:line="360" w:lineRule="exact"/>
        <w:ind w:firstLine="310" w:firstLineChars="147"/>
        <w:rPr>
          <w:rFonts w:ascii="宋体" w:hAnsi="宋体"/>
          <w:b/>
          <w:color w:val="auto"/>
          <w:sz w:val="21"/>
          <w:szCs w:val="21"/>
          <w:highlight w:val="none"/>
        </w:rPr>
      </w:pPr>
      <w:r>
        <w:rPr>
          <w:rFonts w:hint="eastAsia" w:ascii="宋体" w:hAnsi="宋体"/>
          <w:b/>
          <w:color w:val="auto"/>
          <w:sz w:val="21"/>
          <w:szCs w:val="21"/>
          <w:highlight w:val="none"/>
        </w:rPr>
        <w:t>第七条  服务期限、地点</w:t>
      </w:r>
    </w:p>
    <w:p w14:paraId="426D015B">
      <w:pPr>
        <w:spacing w:line="36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1.服务期限：</w:t>
      </w:r>
      <w:r>
        <w:rPr>
          <w:rFonts w:hint="eastAsia" w:ascii="宋体" w:hAnsi="宋体"/>
          <w:color w:val="auto"/>
          <w:sz w:val="21"/>
          <w:szCs w:val="21"/>
          <w:highlight w:val="none"/>
          <w:u w:val="single"/>
        </w:rPr>
        <w:t>1年（即：2026年1月1日至2026年12月31日）</w:t>
      </w:r>
      <w:r>
        <w:rPr>
          <w:rFonts w:hint="eastAsia" w:ascii="宋体" w:hAnsi="宋体"/>
          <w:color w:val="auto"/>
          <w:sz w:val="21"/>
          <w:szCs w:val="21"/>
          <w:highlight w:val="none"/>
        </w:rPr>
        <w:t>，</w:t>
      </w:r>
      <w:r>
        <w:rPr>
          <w:rFonts w:hint="eastAsia" w:ascii="宋体" w:hAnsi="宋体"/>
          <w:bCs/>
          <w:color w:val="auto"/>
          <w:sz w:val="21"/>
          <w:szCs w:val="21"/>
          <w:highlight w:val="none"/>
        </w:rPr>
        <w:t>【</w:t>
      </w:r>
      <w:r>
        <w:rPr>
          <w:rFonts w:hint="eastAsia" w:ascii="宋体" w:hAnsi="宋体"/>
          <w:color w:val="auto"/>
          <w:sz w:val="21"/>
          <w:szCs w:val="21"/>
          <w:highlight w:val="none"/>
        </w:rPr>
        <w:t>上一年度合同期满至2025年12月31日，考虑到水站运行维护的连续性，2026年1月1日至本项目乙方正式进场开展工作期间的运维工作仍由上一年度成交单位负责，其间所发生费用作为本项目不可变更费用，对于2026年1月1日至本项目乙方接管运维工作期间的费用，本项目乙方须在进场开展工作服务后15日内依据甲方审核费用，按照本项目成交价比例支付给原服务单位。支付标准：[本项目成交金额÷365]×（2026年1月1日到接管日前的天数）。如本次项目乙方为原服务单位，则本项目合同开始日期为2026年1月1日至2026年12月31日】。</w:t>
      </w:r>
    </w:p>
    <w:p w14:paraId="6AD9CCEF">
      <w:pPr>
        <w:spacing w:line="360" w:lineRule="exact"/>
        <w:ind w:firstLine="411" w:firstLineChars="196"/>
        <w:rPr>
          <w:rFonts w:ascii="宋体" w:hAnsi="宋体"/>
          <w:b/>
          <w:color w:val="auto"/>
          <w:sz w:val="21"/>
          <w:szCs w:val="21"/>
          <w:highlight w:val="none"/>
          <w:u w:val="single"/>
        </w:rPr>
      </w:pPr>
      <w:r>
        <w:rPr>
          <w:rFonts w:hint="eastAsia" w:ascii="宋体" w:hAnsi="宋体"/>
          <w:color w:val="auto"/>
          <w:sz w:val="21"/>
          <w:szCs w:val="21"/>
          <w:highlight w:val="none"/>
        </w:rPr>
        <w:t>2.服务地点：</w:t>
      </w:r>
      <w:r>
        <w:rPr>
          <w:rFonts w:hint="eastAsia" w:ascii="宋体" w:hAnsi="宋体"/>
          <w:color w:val="auto"/>
          <w:sz w:val="21"/>
          <w:szCs w:val="21"/>
          <w:highlight w:val="none"/>
          <w:u w:val="single"/>
        </w:rPr>
        <w:t>广西桂林市采购人指定地点</w:t>
      </w:r>
      <w:r>
        <w:rPr>
          <w:rFonts w:hint="eastAsia" w:ascii="宋体" w:hAnsi="宋体"/>
          <w:color w:val="auto"/>
          <w:sz w:val="21"/>
          <w:szCs w:val="21"/>
          <w:highlight w:val="none"/>
        </w:rPr>
        <w:t>。</w:t>
      </w:r>
    </w:p>
    <w:p w14:paraId="4097D49A">
      <w:pPr>
        <w:spacing w:line="340" w:lineRule="exact"/>
        <w:ind w:firstLine="413" w:firstLineChars="196"/>
        <w:rPr>
          <w:rFonts w:ascii="宋体" w:hAnsi="宋体" w:cs="宋体"/>
          <w:b/>
          <w:bCs/>
          <w:color w:val="auto"/>
          <w:sz w:val="21"/>
          <w:szCs w:val="21"/>
          <w:highlight w:val="none"/>
        </w:rPr>
      </w:pPr>
      <w:r>
        <w:rPr>
          <w:rFonts w:hint="eastAsia" w:ascii="宋体" w:hAnsi="宋体" w:cs="宋体"/>
          <w:b/>
          <w:bCs/>
          <w:color w:val="auto"/>
          <w:sz w:val="21"/>
          <w:szCs w:val="21"/>
          <w:highlight w:val="none"/>
        </w:rPr>
        <w:t>第八条  保密要求</w:t>
      </w:r>
    </w:p>
    <w:p w14:paraId="1BC3E174">
      <w:pPr>
        <w:spacing w:line="340" w:lineRule="exact"/>
        <w:ind w:firstLine="411" w:firstLineChars="196"/>
        <w:rPr>
          <w:rFonts w:ascii="宋体" w:hAnsi="宋体" w:cs="宋体"/>
          <w:color w:val="auto"/>
          <w:sz w:val="21"/>
          <w:szCs w:val="24"/>
          <w:highlight w:val="none"/>
        </w:rPr>
      </w:pPr>
      <w:r>
        <w:rPr>
          <w:rFonts w:hint="eastAsia" w:ascii="宋体" w:hAnsi="宋体" w:cs="宋体"/>
          <w:color w:val="auto"/>
          <w:sz w:val="21"/>
          <w:szCs w:val="24"/>
          <w:highlight w:val="none"/>
        </w:rPr>
        <w:t>乙方须严格遵守甲方的保密制度要求，在项目运营维护服务过程中，对本项目所有项目信息以及接触到数据予以保密，未经甲方书面允许，不得以任何形式向第三方透露本项目的任何内容。</w:t>
      </w:r>
    </w:p>
    <w:p w14:paraId="44ACD9E2">
      <w:pPr>
        <w:spacing w:line="360" w:lineRule="exact"/>
        <w:ind w:firstLine="422"/>
        <w:rPr>
          <w:rFonts w:ascii="宋体" w:hAnsi="宋体"/>
          <w:b/>
          <w:color w:val="auto"/>
          <w:sz w:val="21"/>
          <w:szCs w:val="21"/>
          <w:highlight w:val="none"/>
        </w:rPr>
      </w:pPr>
      <w:r>
        <w:rPr>
          <w:rFonts w:hint="eastAsia" w:ascii="宋体" w:hAnsi="宋体"/>
          <w:b/>
          <w:color w:val="auto"/>
          <w:sz w:val="21"/>
          <w:szCs w:val="21"/>
          <w:highlight w:val="none"/>
        </w:rPr>
        <w:t>第九条　履约保证金</w:t>
      </w:r>
    </w:p>
    <w:p w14:paraId="362F9C87">
      <w:pPr>
        <w:spacing w:line="360" w:lineRule="exact"/>
        <w:ind w:firstLine="420"/>
        <w:rPr>
          <w:rFonts w:ascii="宋体" w:hAnsi="宋体"/>
          <w:bCs/>
          <w:color w:val="auto"/>
          <w:sz w:val="21"/>
          <w:szCs w:val="21"/>
          <w:highlight w:val="none"/>
        </w:rPr>
      </w:pPr>
      <w:r>
        <w:rPr>
          <w:rFonts w:hint="eastAsia" w:ascii="宋体" w:hAnsi="宋体"/>
          <w:bCs/>
          <w:color w:val="auto"/>
          <w:sz w:val="21"/>
          <w:szCs w:val="21"/>
          <w:highlight w:val="none"/>
        </w:rPr>
        <w:t>1.若乙方为中型企业的，则按合同金额的2%提交；若乙方为小微企业的，则免收履约保证金。乙方必须在成交通知书发出之日起8个工作日内，且在与甲方签订合同前将履约保证金以支票、汇票、本票或者金融机构、担保机构出具的保函等非现金形式提交至甲方指定账户。</w:t>
      </w:r>
    </w:p>
    <w:p w14:paraId="5B94B052">
      <w:pPr>
        <w:spacing w:line="360" w:lineRule="exact"/>
        <w:ind w:firstLine="420"/>
        <w:rPr>
          <w:rFonts w:ascii="宋体" w:hAnsi="宋体"/>
          <w:bCs/>
          <w:color w:val="auto"/>
          <w:sz w:val="21"/>
          <w:szCs w:val="21"/>
          <w:highlight w:val="none"/>
        </w:rPr>
      </w:pPr>
      <w:r>
        <w:rPr>
          <w:rFonts w:hint="eastAsia" w:ascii="宋体" w:hAnsi="宋体"/>
          <w:bCs/>
          <w:color w:val="auto"/>
          <w:sz w:val="21"/>
          <w:szCs w:val="21"/>
          <w:highlight w:val="none"/>
        </w:rPr>
        <w:t>2.如果乙方没能按上述规定执行，甲方将上报桂林市政府采购监督管理机构，取消该成交资格，并有权授予第二成交候选供应商为成交供应商资格或重新组织采购。</w:t>
      </w:r>
    </w:p>
    <w:p w14:paraId="723D2C5A">
      <w:pPr>
        <w:spacing w:line="360" w:lineRule="exact"/>
        <w:ind w:firstLine="420"/>
        <w:rPr>
          <w:rFonts w:ascii="宋体" w:hAnsi="宋体"/>
          <w:bCs/>
          <w:color w:val="auto"/>
          <w:sz w:val="21"/>
          <w:szCs w:val="21"/>
          <w:highlight w:val="none"/>
        </w:rPr>
      </w:pPr>
      <w:r>
        <w:rPr>
          <w:rFonts w:hint="eastAsia" w:ascii="宋体" w:hAnsi="宋体"/>
          <w:bCs/>
          <w:color w:val="auto"/>
          <w:sz w:val="21"/>
          <w:szCs w:val="21"/>
          <w:highlight w:val="none"/>
        </w:rPr>
        <w:t>3.乙方履行完成合同约定权利义务事项，若无违约情况，凭《桂林市政府采购项目合同验收书》和履约保证金交纳凭证向采购人申请办理退还手续，甲方不得额外要求乙方提交其他证明材料，并应当自收到退还资料之日起5个工作日内退还其履约保证金（无息）。如乙方不按双方签订的合同规定履约，则履约保证金不予退还，履约保证金不足以赔偿损失的，按实际损失赔偿。</w:t>
      </w:r>
    </w:p>
    <w:p w14:paraId="2FDB6E7C">
      <w:pPr>
        <w:spacing w:line="360" w:lineRule="exact"/>
        <w:ind w:left="120" w:leftChars="50" w:firstLine="320" w:firstLineChars="152"/>
        <w:rPr>
          <w:rFonts w:ascii="宋体" w:hAnsi="宋体"/>
          <w:b/>
          <w:color w:val="auto"/>
          <w:sz w:val="21"/>
          <w:szCs w:val="21"/>
          <w:highlight w:val="none"/>
        </w:rPr>
      </w:pPr>
      <w:r>
        <w:rPr>
          <w:rFonts w:hint="eastAsia" w:ascii="宋体" w:hAnsi="宋体"/>
          <w:b/>
          <w:color w:val="auto"/>
          <w:sz w:val="21"/>
          <w:szCs w:val="21"/>
          <w:highlight w:val="none"/>
        </w:rPr>
        <w:t>第十条  付款方式</w:t>
      </w:r>
    </w:p>
    <w:p w14:paraId="102A5335">
      <w:pPr>
        <w:spacing w:line="360" w:lineRule="exact"/>
        <w:ind w:firstLine="420"/>
        <w:rPr>
          <w:rFonts w:ascii="宋体" w:hAnsi="宋体"/>
          <w:color w:val="auto"/>
          <w:sz w:val="21"/>
          <w:szCs w:val="21"/>
          <w:highlight w:val="none"/>
        </w:rPr>
      </w:pPr>
      <w:r>
        <w:rPr>
          <w:rFonts w:hint="eastAsia" w:ascii="宋体" w:hAnsi="宋体"/>
          <w:color w:val="auto"/>
          <w:sz w:val="21"/>
          <w:szCs w:val="21"/>
          <w:highlight w:val="none"/>
        </w:rPr>
        <w:t>1.本项目合同款分两次支付，签订合同且乙方达到合同实施条件（指乙方在承诺投入本项目实施的人员全部到位）并报甲方备案后，在财政资金到账的情况下，10个工作日内支付合同款的50%，第三季度结束后支付合同款的50%（无息，50%合同款=合同金额的50%减去一年考核扣款）。</w:t>
      </w:r>
    </w:p>
    <w:p w14:paraId="42C6C8A8">
      <w:pPr>
        <w:spacing w:line="360" w:lineRule="exact"/>
        <w:ind w:firstLine="420"/>
        <w:rPr>
          <w:rFonts w:ascii="宋体" w:hAnsi="宋体"/>
          <w:color w:val="auto"/>
          <w:sz w:val="21"/>
          <w:szCs w:val="21"/>
          <w:highlight w:val="none"/>
        </w:rPr>
      </w:pPr>
      <w:r>
        <w:rPr>
          <w:rFonts w:hint="eastAsia" w:ascii="宋体" w:hAnsi="宋体"/>
          <w:color w:val="auto"/>
          <w:sz w:val="21"/>
          <w:szCs w:val="21"/>
          <w:highlight w:val="none"/>
        </w:rPr>
        <w:t>2.在甲方付款前，乙方应向甲方提供相应等额有效、合法的发票，否则甲方有权不予付款，直至乙方提供符合约定的发票为止。</w:t>
      </w:r>
    </w:p>
    <w:p w14:paraId="5F0CBBE8">
      <w:pPr>
        <w:spacing w:line="36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第十一条  税费</w:t>
      </w:r>
    </w:p>
    <w:p w14:paraId="06919C2F">
      <w:pPr>
        <w:spacing w:line="36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本合同执行中相关的一切税费均由乙方负担。</w:t>
      </w:r>
    </w:p>
    <w:p w14:paraId="1B2175F1">
      <w:pPr>
        <w:snapToGrid w:val="0"/>
        <w:spacing w:line="340" w:lineRule="exact"/>
        <w:ind w:firstLine="422"/>
        <w:rPr>
          <w:rFonts w:ascii="宋体" w:hAnsi="宋体" w:cs="宋体"/>
          <w:b/>
          <w:color w:val="auto"/>
          <w:sz w:val="21"/>
          <w:szCs w:val="21"/>
          <w:highlight w:val="none"/>
        </w:rPr>
      </w:pPr>
      <w:r>
        <w:rPr>
          <w:rFonts w:hint="eastAsia" w:ascii="宋体" w:hAnsi="宋体"/>
          <w:b/>
          <w:color w:val="auto"/>
          <w:sz w:val="21"/>
          <w:szCs w:val="21"/>
          <w:highlight w:val="none"/>
        </w:rPr>
        <w:t xml:space="preserve">第十二条  </w:t>
      </w:r>
      <w:r>
        <w:rPr>
          <w:rFonts w:hint="eastAsia" w:ascii="宋体" w:hAnsi="宋体" w:cs="宋体"/>
          <w:b/>
          <w:color w:val="auto"/>
          <w:sz w:val="21"/>
          <w:szCs w:val="21"/>
          <w:highlight w:val="none"/>
        </w:rPr>
        <w:t>验收方式及标准：</w:t>
      </w:r>
    </w:p>
    <w:p w14:paraId="6DB6613C">
      <w:pPr>
        <w:snapToGrid w:val="0"/>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1.验收方式：现场验收。</w:t>
      </w:r>
    </w:p>
    <w:p w14:paraId="08BD2DF7">
      <w:pPr>
        <w:snapToGrid w:val="0"/>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2.验收标准：依照国家相关法律法规及行业规定，根据竞争性磋商文件要求及响应文件承诺进行验收。</w:t>
      </w:r>
    </w:p>
    <w:p w14:paraId="5C991740">
      <w:pPr>
        <w:spacing w:line="360" w:lineRule="exact"/>
        <w:ind w:firstLine="422"/>
        <w:rPr>
          <w:rFonts w:ascii="宋体" w:hAnsi="宋体"/>
          <w:b/>
          <w:color w:val="auto"/>
          <w:sz w:val="21"/>
          <w:szCs w:val="21"/>
          <w:highlight w:val="none"/>
        </w:rPr>
      </w:pPr>
      <w:r>
        <w:rPr>
          <w:rFonts w:hint="eastAsia" w:ascii="宋体" w:hAnsi="宋体"/>
          <w:b/>
          <w:color w:val="auto"/>
          <w:sz w:val="21"/>
          <w:szCs w:val="21"/>
          <w:highlight w:val="none"/>
        </w:rPr>
        <w:t>第十三条  违约责任</w:t>
      </w:r>
    </w:p>
    <w:p w14:paraId="781DC6C4">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1.乙方所提供的服务质量不合格的，应及时调整，调整不及时的按逾期完成处罚，乙方应向甲方支付合同金额</w:t>
      </w:r>
      <w:r>
        <w:rPr>
          <w:rFonts w:hint="eastAsia" w:ascii="宋体" w:hAnsi="宋体"/>
          <w:color w:val="auto"/>
          <w:sz w:val="21"/>
          <w:szCs w:val="21"/>
          <w:highlight w:val="none"/>
          <w:u w:val="single"/>
        </w:rPr>
        <w:t>5%</w:t>
      </w:r>
      <w:r>
        <w:rPr>
          <w:rFonts w:hint="eastAsia" w:ascii="宋体" w:hAnsi="宋体"/>
          <w:color w:val="auto"/>
          <w:sz w:val="21"/>
          <w:szCs w:val="21"/>
          <w:highlight w:val="none"/>
        </w:rPr>
        <w:t>违约金并赔偿甲方经济损失，如违约金不足以弥补甲方损失的，应当由乙方承担全部的损失赔偿责任。</w:t>
      </w:r>
    </w:p>
    <w:p w14:paraId="295F4936">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2.乙方提供的服务如果侵犯了第三方合法权益而引发的任何纠纷或诉讼，均由乙方负责交涉并承担全部责任。</w:t>
      </w:r>
    </w:p>
    <w:p w14:paraId="478867C5">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3.乙方未按本合同和响应文件中规定的服务承诺提供服务的，乙方应按本合同合计金额</w:t>
      </w:r>
      <w:r>
        <w:rPr>
          <w:rFonts w:hint="eastAsia" w:ascii="宋体" w:hAnsi="宋体"/>
          <w:color w:val="auto"/>
          <w:sz w:val="21"/>
          <w:szCs w:val="21"/>
          <w:highlight w:val="none"/>
          <w:u w:val="single"/>
        </w:rPr>
        <w:t>5%</w:t>
      </w:r>
      <w:r>
        <w:rPr>
          <w:rFonts w:hint="eastAsia" w:ascii="宋体" w:hAnsi="宋体"/>
          <w:color w:val="auto"/>
          <w:sz w:val="21"/>
          <w:szCs w:val="21"/>
          <w:highlight w:val="none"/>
        </w:rPr>
        <w:t>向甲方支付违约金，如违约金不足以弥补甲方损失的，应当由乙方承担全部的损失赔偿责任。</w:t>
      </w:r>
    </w:p>
    <w:p w14:paraId="5701D186">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4.乙方提供的服务质量或数据不准确、来源不明或其他因服务过程引起的缺陷和其他质量原因造成的问题，由乙方负责，费用从合同款项中扣除，不足另补。</w:t>
      </w:r>
    </w:p>
    <w:p w14:paraId="7BCFDD2A">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5.其他违约行为按违约合同额</w:t>
      </w:r>
      <w:r>
        <w:rPr>
          <w:rFonts w:hint="eastAsia" w:ascii="宋体" w:hAnsi="宋体"/>
          <w:color w:val="auto"/>
          <w:sz w:val="21"/>
          <w:szCs w:val="21"/>
          <w:highlight w:val="none"/>
          <w:u w:val="single"/>
        </w:rPr>
        <w:t>5%</w:t>
      </w:r>
      <w:r>
        <w:rPr>
          <w:rFonts w:hint="eastAsia" w:ascii="宋体" w:hAnsi="宋体"/>
          <w:color w:val="auto"/>
          <w:sz w:val="21"/>
          <w:szCs w:val="21"/>
          <w:highlight w:val="none"/>
        </w:rPr>
        <w:t>收取违约金并赔偿经济损失。</w:t>
      </w:r>
    </w:p>
    <w:p w14:paraId="70648C24">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第十四条  通知与送达</w:t>
      </w:r>
    </w:p>
    <w:p w14:paraId="5C6132E5">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1.所有通知和通信都应是书面的（可用电子邮件预送达），并亲自送达或以传真、挂号邮寄、特快专递等方式至本合同所示的项目联系人。</w:t>
      </w:r>
    </w:p>
    <w:p w14:paraId="17EA51BD">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2.亲自送达或挂号邮寄、特快专递的通知送达时生效，传真发送后在收到对方确认函时生效。任何一方变更本合同所示的项目联系人及联系方式，应提前</w:t>
      </w:r>
      <w:r>
        <w:rPr>
          <w:rFonts w:hint="eastAsia" w:ascii="宋体" w:hAnsi="宋体"/>
          <w:color w:val="auto"/>
          <w:sz w:val="21"/>
          <w:szCs w:val="21"/>
          <w:highlight w:val="none"/>
          <w:u w:val="single"/>
        </w:rPr>
        <w:t>5日</w:t>
      </w:r>
      <w:r>
        <w:rPr>
          <w:rFonts w:hint="eastAsia" w:ascii="宋体" w:hAnsi="宋体"/>
          <w:color w:val="auto"/>
          <w:sz w:val="21"/>
          <w:szCs w:val="21"/>
          <w:highlight w:val="none"/>
        </w:rPr>
        <w:t>书面通知对方。</w:t>
      </w:r>
    </w:p>
    <w:p w14:paraId="134E6B45">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第十五条  不可抗力事件处理</w:t>
      </w:r>
    </w:p>
    <w:p w14:paraId="427604F7">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 在合同有效期内，乙方因不可抗力事件导致不能履行合同，则合同履行期可延长，其延长期与不可抗力影响期相同。</w:t>
      </w:r>
    </w:p>
    <w:p w14:paraId="44A95BD6">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2. 不可抗力事件发生后，应立即通知对方，并在随后的15日内向对方提供不可抗力发生和持续期间的充分证据或有关权威机构出具的证明。提出受不可抗力影响的一方，还应尽一切合理努力排除不可抗力对履行合同造成的影响。</w:t>
      </w:r>
    </w:p>
    <w:p w14:paraId="3034EDFF">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3. 不可抗力事件延续60日以上的，由甲方确定是否继续履行本合同</w:t>
      </w:r>
    </w:p>
    <w:p w14:paraId="799B0D86">
      <w:pPr>
        <w:spacing w:line="36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第十六条  合同争议解决</w:t>
      </w:r>
    </w:p>
    <w:p w14:paraId="4C62CF3B">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 因服务质量问题发生争议的，应邀请国家认可的质量检测机构对服务质量进行鉴定。服务质量符合标准的，鉴定费由甲方承担；服务质量不符合标准的，鉴定费由乙方承担。</w:t>
      </w:r>
    </w:p>
    <w:p w14:paraId="05B4E686">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2. 因履行本合同引起的或与本合同有关的争议，甲乙双方应首先通过友好协商解决，如果协商不能解决，双方均应当向桂林市临桂区人民法院提起诉讼。</w:t>
      </w:r>
    </w:p>
    <w:p w14:paraId="07FC5F3A">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3.若某方违约，违约方应承担守约方所有维权支出，包括但不限于：诉讼费、律师费、保全费、调查取证费等。</w:t>
      </w:r>
    </w:p>
    <w:p w14:paraId="77DDDE8D">
      <w:pPr>
        <w:spacing w:line="340" w:lineRule="exact"/>
        <w:ind w:left="435" w:firstLine="0" w:firstLineChars="0"/>
        <w:rPr>
          <w:rFonts w:ascii="宋体" w:hAnsi="宋体"/>
          <w:color w:val="auto"/>
          <w:sz w:val="21"/>
          <w:szCs w:val="21"/>
          <w:highlight w:val="none"/>
        </w:rPr>
      </w:pPr>
      <w:r>
        <w:rPr>
          <w:rFonts w:hint="eastAsia" w:ascii="宋体" w:hAnsi="宋体"/>
          <w:color w:val="auto"/>
          <w:sz w:val="21"/>
          <w:szCs w:val="21"/>
          <w:highlight w:val="none"/>
        </w:rPr>
        <w:t>4. 诉讼期间，根据事实情况由甲方判断本合同是否继续履行。</w:t>
      </w:r>
    </w:p>
    <w:p w14:paraId="15AFC70E">
      <w:pPr>
        <w:spacing w:line="36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第十七条  合同的变更、终止与转让</w:t>
      </w:r>
    </w:p>
    <w:p w14:paraId="13741312">
      <w:pPr>
        <w:spacing w:line="360" w:lineRule="exact"/>
        <w:ind w:firstLine="420"/>
        <w:rPr>
          <w:rFonts w:ascii="宋体" w:hAnsi="宋体"/>
          <w:color w:val="auto"/>
          <w:sz w:val="21"/>
          <w:szCs w:val="21"/>
          <w:highlight w:val="none"/>
        </w:rPr>
      </w:pPr>
      <w:r>
        <w:rPr>
          <w:rFonts w:hint="eastAsia" w:ascii="宋体" w:hAnsi="宋体"/>
          <w:color w:val="auto"/>
          <w:sz w:val="21"/>
          <w:szCs w:val="21"/>
          <w:highlight w:val="none"/>
        </w:rPr>
        <w:t>1.除《中华人民共和国政府采购法》第五十条规定的情形外，本合同一经签订，甲乙双方不得擅自变更，中止或终止。</w:t>
      </w:r>
    </w:p>
    <w:p w14:paraId="670C48BE">
      <w:pPr>
        <w:spacing w:line="360" w:lineRule="exact"/>
        <w:ind w:left="420" w:firstLine="0" w:firstLineChars="0"/>
        <w:rPr>
          <w:rFonts w:ascii="宋体" w:hAnsi="宋体"/>
          <w:b/>
          <w:color w:val="auto"/>
          <w:sz w:val="21"/>
          <w:szCs w:val="21"/>
          <w:highlight w:val="none"/>
        </w:rPr>
      </w:pPr>
      <w:r>
        <w:rPr>
          <w:rFonts w:hint="eastAsia" w:ascii="宋体" w:hAnsi="宋体"/>
          <w:color w:val="auto"/>
          <w:sz w:val="21"/>
          <w:szCs w:val="21"/>
          <w:highlight w:val="none"/>
        </w:rPr>
        <w:t>2.乙方不得擅自转让其应履行的合同义务。</w:t>
      </w:r>
    </w:p>
    <w:p w14:paraId="5D4F8B7F">
      <w:pPr>
        <w:spacing w:line="36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第十八条  合同生效及其它</w:t>
      </w:r>
    </w:p>
    <w:p w14:paraId="4FA7653F">
      <w:pPr>
        <w:spacing w:line="360" w:lineRule="exact"/>
        <w:ind w:firstLine="420"/>
        <w:rPr>
          <w:rFonts w:ascii="宋体" w:hAnsi="宋体"/>
          <w:color w:val="auto"/>
          <w:sz w:val="21"/>
          <w:szCs w:val="21"/>
          <w:highlight w:val="none"/>
        </w:rPr>
      </w:pPr>
      <w:r>
        <w:rPr>
          <w:rFonts w:hint="eastAsia" w:ascii="宋体" w:hAnsi="宋体"/>
          <w:color w:val="auto"/>
          <w:sz w:val="21"/>
          <w:szCs w:val="21"/>
          <w:highlight w:val="none"/>
        </w:rPr>
        <w:t>1.合同经甲乙双方法定代表人、负责人、自然人或相应的授权代表签字并加盖单位公章后生效。</w:t>
      </w:r>
    </w:p>
    <w:p w14:paraId="63E4011E">
      <w:pPr>
        <w:spacing w:line="360" w:lineRule="exact"/>
        <w:ind w:firstLine="420"/>
        <w:rPr>
          <w:rFonts w:ascii="宋体" w:hAnsi="宋体"/>
          <w:color w:val="auto"/>
          <w:sz w:val="21"/>
          <w:szCs w:val="21"/>
          <w:highlight w:val="none"/>
        </w:rPr>
      </w:pPr>
      <w:r>
        <w:rPr>
          <w:rFonts w:hint="eastAsia" w:ascii="宋体" w:hAnsi="宋体"/>
          <w:color w:val="auto"/>
          <w:sz w:val="21"/>
          <w:szCs w:val="21"/>
          <w:highlight w:val="none"/>
        </w:rPr>
        <w:t>2.合同执行中涉及采购资金和采购内容修改或补充的，需经桂林市财政部门审批，并签订书面补充协议报桂林市财政局备案，方可作为主合同不可分割的一部分。</w:t>
      </w:r>
    </w:p>
    <w:p w14:paraId="3D0BD6EE">
      <w:pPr>
        <w:spacing w:line="360" w:lineRule="exact"/>
        <w:ind w:left="435" w:firstLine="0" w:firstLineChars="0"/>
        <w:rPr>
          <w:rFonts w:ascii="宋体" w:hAnsi="宋体"/>
          <w:color w:val="auto"/>
          <w:sz w:val="21"/>
          <w:szCs w:val="21"/>
          <w:highlight w:val="none"/>
        </w:rPr>
      </w:pPr>
      <w:r>
        <w:rPr>
          <w:rFonts w:hint="eastAsia" w:ascii="宋体" w:hAnsi="宋体"/>
          <w:color w:val="auto"/>
          <w:sz w:val="21"/>
          <w:szCs w:val="21"/>
          <w:highlight w:val="none"/>
        </w:rPr>
        <w:t>3.本合同未尽事宜，遵照</w:t>
      </w:r>
      <w:r>
        <w:rPr>
          <w:rFonts w:hint="eastAsia" w:ascii="宋体" w:hAnsi="宋体"/>
          <w:color w:val="auto"/>
          <w:sz w:val="21"/>
          <w:szCs w:val="24"/>
          <w:highlight w:val="none"/>
        </w:rPr>
        <w:t>《中华人民共和国民法典》</w:t>
      </w:r>
      <w:r>
        <w:rPr>
          <w:rFonts w:hint="eastAsia" w:ascii="宋体" w:hAnsi="宋体"/>
          <w:color w:val="auto"/>
          <w:sz w:val="21"/>
          <w:szCs w:val="21"/>
          <w:highlight w:val="none"/>
        </w:rPr>
        <w:t>有关条文执行。</w:t>
      </w:r>
    </w:p>
    <w:p w14:paraId="0A414C0B">
      <w:pPr>
        <w:spacing w:line="360" w:lineRule="exact"/>
        <w:ind w:firstLine="420"/>
        <w:rPr>
          <w:rFonts w:ascii="宋体" w:hAnsi="宋体"/>
          <w:color w:val="auto"/>
          <w:sz w:val="21"/>
          <w:szCs w:val="21"/>
          <w:highlight w:val="none"/>
        </w:rPr>
      </w:pPr>
    </w:p>
    <w:p w14:paraId="060F04D6">
      <w:pPr>
        <w:spacing w:line="360" w:lineRule="exact"/>
        <w:ind w:firstLine="420"/>
        <w:rPr>
          <w:rFonts w:ascii="宋体" w:hAnsi="宋体"/>
          <w:color w:val="auto"/>
          <w:sz w:val="21"/>
          <w:szCs w:val="24"/>
          <w:highlight w:val="none"/>
        </w:rPr>
      </w:pPr>
      <w:r>
        <w:rPr>
          <w:rFonts w:hint="eastAsia" w:ascii="宋体" w:hAnsi="宋体"/>
          <w:color w:val="auto"/>
          <w:sz w:val="21"/>
          <w:szCs w:val="21"/>
          <w:highlight w:val="none"/>
        </w:rPr>
        <w:t>本合同甲乙双方签字盖章后生效，一式五份，具有同等法律效力，甲、乙双方各二份、采购代理机构一份。</w:t>
      </w:r>
    </w:p>
    <w:p w14:paraId="09393A1F">
      <w:pPr>
        <w:tabs>
          <w:tab w:val="left" w:pos="4320"/>
          <w:tab w:val="left" w:pos="4500"/>
        </w:tabs>
        <w:spacing w:line="360" w:lineRule="exact"/>
        <w:ind w:firstLine="0" w:firstLineChars="0"/>
        <w:rPr>
          <w:rFonts w:ascii="宋体" w:hAnsi="宋体"/>
          <w:color w:val="auto"/>
          <w:sz w:val="21"/>
          <w:szCs w:val="21"/>
          <w:highlight w:val="none"/>
        </w:rPr>
      </w:pPr>
    </w:p>
    <w:p w14:paraId="73776976">
      <w:pPr>
        <w:tabs>
          <w:tab w:val="left" w:pos="4320"/>
          <w:tab w:val="left" w:pos="4500"/>
        </w:tabs>
        <w:spacing w:line="360" w:lineRule="exact"/>
        <w:ind w:firstLine="0" w:firstLineChars="0"/>
        <w:rPr>
          <w:rFonts w:ascii="宋体" w:hAnsi="宋体"/>
          <w:color w:val="auto"/>
          <w:sz w:val="21"/>
          <w:szCs w:val="21"/>
          <w:highlight w:val="none"/>
          <w:u w:val="single"/>
        </w:rPr>
      </w:pPr>
      <w:r>
        <w:rPr>
          <w:rFonts w:hint="eastAsia" w:ascii="宋体" w:hAnsi="宋体"/>
          <w:color w:val="auto"/>
          <w:sz w:val="21"/>
          <w:szCs w:val="21"/>
          <w:highlight w:val="none"/>
        </w:rPr>
        <w:t>甲方（公章）：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乙方（公章，自然人除外）：</w:t>
      </w:r>
      <w:r>
        <w:rPr>
          <w:rFonts w:hint="eastAsia" w:ascii="宋体" w:hAnsi="宋体"/>
          <w:color w:val="auto"/>
          <w:sz w:val="21"/>
          <w:szCs w:val="21"/>
          <w:highlight w:val="none"/>
          <w:u w:val="single"/>
        </w:rPr>
        <w:t xml:space="preserve">                           </w:t>
      </w:r>
    </w:p>
    <w:p w14:paraId="4715C888">
      <w:pPr>
        <w:spacing w:line="360" w:lineRule="exact"/>
        <w:ind w:left="4620" w:hanging="4620" w:hangingChars="2200"/>
        <w:rPr>
          <w:rFonts w:ascii="宋体" w:hAnsi="宋体"/>
          <w:color w:val="auto"/>
          <w:sz w:val="21"/>
          <w:szCs w:val="21"/>
          <w:highlight w:val="none"/>
          <w:u w:val="singl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hAnsi="宋体"/>
          <w:color w:val="auto"/>
          <w:sz w:val="21"/>
          <w:szCs w:val="24"/>
          <w:highlight w:val="none"/>
        </w:rPr>
        <w:t>法定代表人（负责人、自然人）签字（属自然人的应在签名处加盖大拇指指印）</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29BADC34">
      <w:pPr>
        <w:tabs>
          <w:tab w:val="left" w:pos="4680"/>
        </w:tabs>
        <w:spacing w:line="360" w:lineRule="exact"/>
        <w:ind w:firstLine="0" w:firstLineChars="0"/>
        <w:rPr>
          <w:rFonts w:ascii="宋体" w:hAnsi="宋体"/>
          <w:color w:val="auto"/>
          <w:sz w:val="21"/>
          <w:szCs w:val="21"/>
          <w:highlight w:val="none"/>
          <w:u w:val="single"/>
        </w:rPr>
      </w:pPr>
      <w:r>
        <w:rPr>
          <w:rFonts w:hint="eastAsia" w:ascii="宋体" w:hAnsi="宋体"/>
          <w:color w:val="auto"/>
          <w:sz w:val="21"/>
          <w:szCs w:val="21"/>
          <w:highlight w:val="none"/>
        </w:rPr>
        <w:t>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委托代理人：</w:t>
      </w:r>
      <w:r>
        <w:rPr>
          <w:rFonts w:hint="eastAsia" w:ascii="宋体" w:hAnsi="宋体"/>
          <w:color w:val="auto"/>
          <w:sz w:val="21"/>
          <w:szCs w:val="21"/>
          <w:highlight w:val="none"/>
          <w:u w:val="single"/>
        </w:rPr>
        <w:t xml:space="preserve">                                    </w:t>
      </w:r>
    </w:p>
    <w:p w14:paraId="009E85B8">
      <w:pPr>
        <w:tabs>
          <w:tab w:val="left" w:pos="5040"/>
        </w:tabs>
        <w:spacing w:line="360" w:lineRule="exact"/>
        <w:ind w:firstLine="0" w:firstLineChars="0"/>
        <w:rPr>
          <w:rFonts w:ascii="宋体" w:hAnsi="宋体"/>
          <w:color w:val="auto"/>
          <w:sz w:val="21"/>
          <w:szCs w:val="21"/>
          <w:highlight w:val="none"/>
          <w:u w:val="single"/>
        </w:rPr>
      </w:pPr>
      <w:r>
        <w:rPr>
          <w:rFonts w:hint="eastAsia" w:ascii="宋体" w:hAnsi="宋体"/>
          <w:color w:val="auto"/>
          <w:sz w:val="21"/>
          <w:szCs w:val="21"/>
          <w:highlight w:val="none"/>
        </w:rPr>
        <w:t>电  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电   话： </w:t>
      </w:r>
      <w:r>
        <w:rPr>
          <w:rFonts w:hint="eastAsia" w:ascii="宋体" w:hAnsi="宋体"/>
          <w:color w:val="auto"/>
          <w:sz w:val="21"/>
          <w:szCs w:val="21"/>
          <w:highlight w:val="none"/>
          <w:u w:val="single"/>
        </w:rPr>
        <w:t xml:space="preserve">                                    </w:t>
      </w:r>
    </w:p>
    <w:p w14:paraId="5C7C9A9D">
      <w:pPr>
        <w:tabs>
          <w:tab w:val="left" w:pos="5040"/>
        </w:tabs>
        <w:spacing w:line="36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开户名称：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开户名称：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334470C6">
      <w:pPr>
        <w:tabs>
          <w:tab w:val="left" w:pos="5040"/>
        </w:tabs>
        <w:spacing w:line="36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开户银行：</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开户银行：</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63A724E8">
      <w:pPr>
        <w:tabs>
          <w:tab w:val="left" w:pos="5040"/>
        </w:tabs>
        <w:spacing w:line="36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银行账号：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银行账号：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1E3FD557">
      <w:pPr>
        <w:spacing w:line="360" w:lineRule="exact"/>
        <w:ind w:firstLine="0" w:firstLineChars="0"/>
        <w:rPr>
          <w:color w:val="auto"/>
          <w:sz w:val="21"/>
          <w:szCs w:val="24"/>
          <w:highlight w:val="none"/>
        </w:rPr>
      </w:pPr>
      <w:r>
        <w:rPr>
          <w:rFonts w:hint="eastAsia" w:ascii="宋体" w:hAnsi="宋体"/>
          <w:color w:val="auto"/>
          <w:sz w:val="21"/>
          <w:szCs w:val="21"/>
          <w:highlight w:val="none"/>
        </w:rPr>
        <w:t>日    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日    期：</w:t>
      </w:r>
      <w:r>
        <w:rPr>
          <w:rFonts w:hint="eastAsia" w:ascii="宋体" w:hAnsi="宋体"/>
          <w:color w:val="auto"/>
          <w:sz w:val="21"/>
          <w:szCs w:val="21"/>
          <w:highlight w:val="none"/>
          <w:u w:val="single"/>
        </w:rPr>
        <w:t xml:space="preserve">                                  </w:t>
      </w:r>
    </w:p>
    <w:p w14:paraId="11E82427">
      <w:pPr>
        <w:spacing w:line="400" w:lineRule="exact"/>
        <w:ind w:firstLine="0" w:firstLineChars="0"/>
        <w:jc w:val="center"/>
        <w:rPr>
          <w:rFonts w:ascii="宋体" w:hAnsi="宋体"/>
          <w:b/>
          <w:color w:val="auto"/>
          <w:sz w:val="30"/>
          <w:szCs w:val="30"/>
          <w:highlight w:val="none"/>
        </w:rPr>
      </w:pPr>
    </w:p>
    <w:p w14:paraId="11BFB2D4">
      <w:pPr>
        <w:spacing w:line="400" w:lineRule="exact"/>
        <w:ind w:firstLine="0" w:firstLineChars="0"/>
        <w:jc w:val="center"/>
        <w:rPr>
          <w:rFonts w:ascii="宋体" w:hAnsi="宋体"/>
          <w:b/>
          <w:color w:val="auto"/>
          <w:sz w:val="30"/>
          <w:szCs w:val="30"/>
          <w:highlight w:val="none"/>
        </w:rPr>
      </w:pPr>
    </w:p>
    <w:p w14:paraId="023C2D83">
      <w:pPr>
        <w:spacing w:line="400" w:lineRule="exact"/>
        <w:ind w:firstLine="0" w:firstLineChars="0"/>
        <w:jc w:val="center"/>
        <w:rPr>
          <w:rFonts w:ascii="宋体" w:hAnsi="宋体"/>
          <w:b/>
          <w:color w:val="auto"/>
          <w:sz w:val="30"/>
          <w:szCs w:val="30"/>
          <w:highlight w:val="none"/>
        </w:rPr>
      </w:pPr>
    </w:p>
    <w:p w14:paraId="59AA9A6F">
      <w:pPr>
        <w:spacing w:line="400" w:lineRule="exact"/>
        <w:ind w:firstLine="0" w:firstLineChars="0"/>
        <w:jc w:val="center"/>
        <w:rPr>
          <w:rFonts w:ascii="宋体" w:hAnsi="宋体"/>
          <w:b/>
          <w:color w:val="auto"/>
          <w:sz w:val="30"/>
          <w:szCs w:val="30"/>
          <w:highlight w:val="none"/>
        </w:rPr>
      </w:pPr>
    </w:p>
    <w:p w14:paraId="00F375BD">
      <w:pPr>
        <w:spacing w:line="400" w:lineRule="exact"/>
        <w:ind w:firstLine="0" w:firstLineChars="0"/>
        <w:jc w:val="center"/>
        <w:rPr>
          <w:rFonts w:ascii="宋体" w:hAnsi="宋体"/>
          <w:b/>
          <w:color w:val="auto"/>
          <w:sz w:val="30"/>
          <w:szCs w:val="30"/>
          <w:highlight w:val="none"/>
        </w:rPr>
      </w:pPr>
    </w:p>
    <w:p w14:paraId="16F87CE0">
      <w:pPr>
        <w:spacing w:line="400" w:lineRule="exact"/>
        <w:ind w:firstLine="0" w:firstLineChars="0"/>
        <w:jc w:val="center"/>
        <w:rPr>
          <w:rFonts w:ascii="宋体" w:hAnsi="宋体"/>
          <w:b/>
          <w:color w:val="auto"/>
          <w:sz w:val="30"/>
          <w:szCs w:val="30"/>
          <w:highlight w:val="none"/>
        </w:rPr>
      </w:pPr>
    </w:p>
    <w:p w14:paraId="55DB4D1B">
      <w:pPr>
        <w:spacing w:line="400" w:lineRule="exact"/>
        <w:ind w:firstLine="0" w:firstLineChars="0"/>
        <w:jc w:val="center"/>
        <w:rPr>
          <w:rFonts w:ascii="宋体" w:hAnsi="宋体"/>
          <w:b/>
          <w:color w:val="auto"/>
          <w:sz w:val="30"/>
          <w:szCs w:val="30"/>
          <w:highlight w:val="none"/>
        </w:rPr>
      </w:pPr>
    </w:p>
    <w:p w14:paraId="5929DED5">
      <w:pPr>
        <w:spacing w:line="400" w:lineRule="exact"/>
        <w:ind w:firstLine="0" w:firstLineChars="0"/>
        <w:jc w:val="center"/>
        <w:rPr>
          <w:rFonts w:ascii="宋体" w:hAnsi="宋体"/>
          <w:b/>
          <w:color w:val="auto"/>
          <w:sz w:val="30"/>
          <w:szCs w:val="30"/>
          <w:highlight w:val="none"/>
        </w:rPr>
      </w:pPr>
    </w:p>
    <w:p w14:paraId="3656879E">
      <w:pPr>
        <w:spacing w:line="400" w:lineRule="exact"/>
        <w:ind w:firstLine="0" w:firstLineChars="0"/>
        <w:jc w:val="center"/>
        <w:rPr>
          <w:rFonts w:ascii="宋体" w:hAnsi="宋体"/>
          <w:b/>
          <w:color w:val="auto"/>
          <w:sz w:val="30"/>
          <w:szCs w:val="30"/>
          <w:highlight w:val="none"/>
        </w:rPr>
      </w:pPr>
    </w:p>
    <w:p w14:paraId="309D8401">
      <w:pPr>
        <w:spacing w:line="400" w:lineRule="exact"/>
        <w:ind w:firstLine="0" w:firstLineChars="0"/>
        <w:jc w:val="center"/>
        <w:rPr>
          <w:rFonts w:ascii="宋体" w:hAnsi="宋体"/>
          <w:b/>
          <w:color w:val="auto"/>
          <w:sz w:val="30"/>
          <w:szCs w:val="30"/>
          <w:highlight w:val="none"/>
        </w:rPr>
      </w:pPr>
    </w:p>
    <w:p w14:paraId="25DDD868">
      <w:pPr>
        <w:spacing w:line="400" w:lineRule="exact"/>
        <w:ind w:firstLine="0" w:firstLineChars="0"/>
        <w:jc w:val="center"/>
        <w:rPr>
          <w:rFonts w:ascii="宋体" w:hAnsi="宋体"/>
          <w:b/>
          <w:color w:val="auto"/>
          <w:sz w:val="30"/>
          <w:szCs w:val="30"/>
          <w:highlight w:val="none"/>
        </w:rPr>
      </w:pPr>
    </w:p>
    <w:p w14:paraId="4AC3D08B">
      <w:pPr>
        <w:spacing w:line="400" w:lineRule="exact"/>
        <w:ind w:firstLine="0" w:firstLineChars="0"/>
        <w:jc w:val="center"/>
        <w:rPr>
          <w:rFonts w:ascii="宋体" w:hAnsi="宋体"/>
          <w:b/>
          <w:color w:val="auto"/>
          <w:sz w:val="30"/>
          <w:szCs w:val="30"/>
          <w:highlight w:val="none"/>
        </w:rPr>
      </w:pPr>
    </w:p>
    <w:p w14:paraId="55243844">
      <w:pPr>
        <w:spacing w:line="400" w:lineRule="exact"/>
        <w:ind w:firstLine="0" w:firstLineChars="0"/>
        <w:jc w:val="center"/>
        <w:rPr>
          <w:rFonts w:ascii="宋体" w:hAnsi="宋体"/>
          <w:b/>
          <w:color w:val="auto"/>
          <w:sz w:val="30"/>
          <w:szCs w:val="30"/>
          <w:highlight w:val="none"/>
        </w:rPr>
      </w:pPr>
    </w:p>
    <w:p w14:paraId="698F6563">
      <w:pPr>
        <w:spacing w:line="400" w:lineRule="exact"/>
        <w:ind w:firstLine="0" w:firstLineChars="0"/>
        <w:jc w:val="center"/>
        <w:rPr>
          <w:rFonts w:ascii="宋体" w:hAnsi="宋体"/>
          <w:b/>
          <w:color w:val="auto"/>
          <w:sz w:val="30"/>
          <w:szCs w:val="30"/>
          <w:highlight w:val="none"/>
        </w:rPr>
      </w:pPr>
    </w:p>
    <w:p w14:paraId="3D317B41">
      <w:pPr>
        <w:spacing w:line="400" w:lineRule="exact"/>
        <w:ind w:firstLine="0" w:firstLineChars="0"/>
        <w:jc w:val="center"/>
        <w:rPr>
          <w:rFonts w:ascii="宋体" w:hAnsi="宋体"/>
          <w:b/>
          <w:color w:val="auto"/>
          <w:sz w:val="30"/>
          <w:szCs w:val="30"/>
          <w:highlight w:val="none"/>
        </w:rPr>
      </w:pPr>
    </w:p>
    <w:p w14:paraId="2E5242DB">
      <w:pPr>
        <w:spacing w:line="400" w:lineRule="exact"/>
        <w:ind w:firstLine="0" w:firstLineChars="0"/>
        <w:jc w:val="center"/>
        <w:rPr>
          <w:rFonts w:ascii="宋体" w:hAnsi="宋体"/>
          <w:b/>
          <w:color w:val="auto"/>
          <w:sz w:val="30"/>
          <w:szCs w:val="30"/>
          <w:highlight w:val="none"/>
        </w:rPr>
      </w:pPr>
    </w:p>
    <w:p w14:paraId="24DBA806">
      <w:pPr>
        <w:spacing w:line="400" w:lineRule="exact"/>
        <w:ind w:firstLine="0" w:firstLineChars="0"/>
        <w:jc w:val="center"/>
        <w:rPr>
          <w:rFonts w:ascii="宋体" w:hAnsi="宋体"/>
          <w:b/>
          <w:color w:val="auto"/>
          <w:sz w:val="30"/>
          <w:szCs w:val="30"/>
          <w:highlight w:val="none"/>
        </w:rPr>
      </w:pPr>
    </w:p>
    <w:p w14:paraId="19C9A734">
      <w:pPr>
        <w:spacing w:line="400" w:lineRule="exact"/>
        <w:ind w:firstLine="0" w:firstLineChars="0"/>
        <w:jc w:val="center"/>
        <w:rPr>
          <w:rFonts w:ascii="宋体" w:hAnsi="宋体"/>
          <w:b/>
          <w:color w:val="auto"/>
          <w:sz w:val="30"/>
          <w:szCs w:val="30"/>
          <w:highlight w:val="none"/>
        </w:rPr>
      </w:pPr>
    </w:p>
    <w:p w14:paraId="68203221">
      <w:pPr>
        <w:spacing w:line="400" w:lineRule="exact"/>
        <w:ind w:firstLine="0" w:firstLineChars="0"/>
        <w:jc w:val="center"/>
        <w:rPr>
          <w:rFonts w:ascii="宋体" w:hAnsi="宋体"/>
          <w:color w:val="auto"/>
          <w:sz w:val="30"/>
          <w:szCs w:val="30"/>
          <w:highlight w:val="none"/>
        </w:rPr>
      </w:pPr>
      <w:r>
        <w:rPr>
          <w:rFonts w:hint="eastAsia" w:ascii="宋体" w:hAnsi="宋体"/>
          <w:b/>
          <w:color w:val="auto"/>
          <w:sz w:val="30"/>
          <w:szCs w:val="30"/>
          <w:highlight w:val="none"/>
        </w:rPr>
        <w:t>分标2    政府采购合同（合同主要条款及格式）</w:t>
      </w:r>
    </w:p>
    <w:p w14:paraId="36301DB1">
      <w:pPr>
        <w:spacing w:line="400" w:lineRule="exact"/>
        <w:ind w:firstLine="0" w:firstLineChars="0"/>
        <w:rPr>
          <w:rFonts w:ascii="宋体" w:hAnsi="宋体"/>
          <w:color w:val="auto"/>
          <w:sz w:val="21"/>
          <w:szCs w:val="24"/>
          <w:highlight w:val="none"/>
        </w:rPr>
      </w:pPr>
    </w:p>
    <w:p w14:paraId="6EEFD2E2">
      <w:pPr>
        <w:spacing w:line="400" w:lineRule="exact"/>
        <w:ind w:firstLine="0" w:firstLineChars="0"/>
        <w:rPr>
          <w:rFonts w:ascii="宋体" w:hAnsi="宋体"/>
          <w:color w:val="auto"/>
          <w:sz w:val="21"/>
          <w:szCs w:val="24"/>
          <w:highlight w:val="none"/>
        </w:rPr>
      </w:pPr>
      <w:r>
        <w:rPr>
          <w:rFonts w:hint="eastAsia" w:ascii="宋体" w:hAnsi="宋体"/>
          <w:color w:val="auto"/>
          <w:sz w:val="21"/>
          <w:szCs w:val="24"/>
          <w:highlight w:val="none"/>
        </w:rPr>
        <w:t>项目名称：2026年桂林市生态环境局10个小型水站、3个水质自动监测站及2个环境空气自动监测站运行维护服务采购</w:t>
      </w:r>
    </w:p>
    <w:p w14:paraId="017A222A">
      <w:pPr>
        <w:spacing w:line="400" w:lineRule="exact"/>
        <w:ind w:firstLine="0" w:firstLineChars="0"/>
        <w:rPr>
          <w:rFonts w:ascii="宋体" w:hAnsi="宋体"/>
          <w:color w:val="auto"/>
          <w:sz w:val="21"/>
          <w:szCs w:val="24"/>
          <w:highlight w:val="none"/>
        </w:rPr>
      </w:pPr>
      <w:r>
        <w:rPr>
          <w:rFonts w:hint="eastAsia" w:ascii="宋体" w:hAnsi="宋体"/>
          <w:color w:val="auto"/>
          <w:sz w:val="21"/>
          <w:szCs w:val="24"/>
          <w:highlight w:val="none"/>
        </w:rPr>
        <w:t>项目编号：</w:t>
      </w:r>
      <w:r>
        <w:rPr>
          <w:rFonts w:hint="eastAsia" w:ascii="宋体" w:hAnsi="宋体"/>
          <w:color w:val="auto"/>
          <w:sz w:val="21"/>
          <w:szCs w:val="24"/>
          <w:highlight w:val="none"/>
          <w:u w:val="single"/>
        </w:rPr>
        <w:t xml:space="preserve">                         </w:t>
      </w:r>
    </w:p>
    <w:p w14:paraId="457D54B0">
      <w:pPr>
        <w:spacing w:line="400" w:lineRule="exact"/>
        <w:ind w:firstLine="0" w:firstLineChars="0"/>
        <w:rPr>
          <w:rFonts w:ascii="宋体" w:hAnsi="宋体"/>
          <w:color w:val="auto"/>
          <w:sz w:val="21"/>
          <w:szCs w:val="24"/>
          <w:highlight w:val="none"/>
        </w:rPr>
      </w:pPr>
    </w:p>
    <w:p w14:paraId="7426BCF3">
      <w:pPr>
        <w:spacing w:line="400" w:lineRule="exact"/>
        <w:ind w:firstLine="0" w:firstLineChars="0"/>
        <w:rPr>
          <w:rFonts w:ascii="宋体" w:hAnsi="宋体"/>
          <w:color w:val="auto"/>
          <w:sz w:val="21"/>
          <w:szCs w:val="24"/>
          <w:highlight w:val="none"/>
        </w:rPr>
      </w:pPr>
      <w:r>
        <w:rPr>
          <w:rFonts w:hint="eastAsia" w:ascii="宋体" w:hAnsi="宋体"/>
          <w:color w:val="auto"/>
          <w:sz w:val="21"/>
          <w:szCs w:val="24"/>
          <w:highlight w:val="none"/>
        </w:rPr>
        <w:t>甲方：</w:t>
      </w:r>
      <w:r>
        <w:rPr>
          <w:rFonts w:hint="eastAsia" w:ascii="宋体" w:hAnsi="宋体"/>
          <w:color w:val="auto"/>
          <w:sz w:val="21"/>
          <w:szCs w:val="24"/>
          <w:highlight w:val="none"/>
          <w:u w:val="single"/>
        </w:rPr>
        <w:t>桂林市生态环境局</w:t>
      </w:r>
      <w:r>
        <w:rPr>
          <w:rFonts w:hint="eastAsia" w:ascii="宋体" w:hAnsi="宋体"/>
          <w:color w:val="auto"/>
          <w:sz w:val="21"/>
          <w:szCs w:val="24"/>
          <w:highlight w:val="none"/>
        </w:rPr>
        <w:t>（采购人，以下简称甲方）</w:t>
      </w:r>
    </w:p>
    <w:p w14:paraId="0D2BB9DB">
      <w:pPr>
        <w:spacing w:line="400" w:lineRule="exact"/>
        <w:ind w:firstLine="0" w:firstLineChars="0"/>
        <w:rPr>
          <w:rFonts w:ascii="宋体" w:hAnsi="宋体"/>
          <w:color w:val="auto"/>
          <w:sz w:val="21"/>
          <w:szCs w:val="24"/>
          <w:highlight w:val="none"/>
        </w:rPr>
      </w:pPr>
      <w:r>
        <w:rPr>
          <w:rFonts w:hint="eastAsia" w:ascii="宋体" w:hAnsi="宋体"/>
          <w:color w:val="auto"/>
          <w:sz w:val="21"/>
          <w:szCs w:val="24"/>
          <w:highlight w:val="none"/>
        </w:rPr>
        <w:t>乙方：</w:t>
      </w:r>
      <w:r>
        <w:rPr>
          <w:rFonts w:hint="eastAsia" w:ascii="宋体" w:hAnsi="宋体"/>
          <w:color w:val="auto"/>
          <w:sz w:val="21"/>
          <w:szCs w:val="24"/>
          <w:highlight w:val="none"/>
          <w:u w:val="single"/>
        </w:rPr>
        <w:t xml:space="preserve">                         </w:t>
      </w:r>
      <w:r>
        <w:rPr>
          <w:rFonts w:hint="eastAsia" w:ascii="宋体" w:hAnsi="宋体"/>
          <w:color w:val="auto"/>
          <w:sz w:val="21"/>
          <w:szCs w:val="24"/>
          <w:highlight w:val="none"/>
        </w:rPr>
        <w:t>（成交供应商，以下简称乙方）</w:t>
      </w:r>
    </w:p>
    <w:p w14:paraId="6185B889">
      <w:pPr>
        <w:spacing w:line="340" w:lineRule="exact"/>
        <w:ind w:firstLine="420"/>
        <w:rPr>
          <w:rFonts w:ascii="宋体" w:hAnsi="宋体"/>
          <w:color w:val="auto"/>
          <w:sz w:val="21"/>
          <w:szCs w:val="21"/>
          <w:highlight w:val="none"/>
        </w:rPr>
      </w:pPr>
    </w:p>
    <w:p w14:paraId="62053F87">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根据《中华人民共和国政府采购法》《中华人民共和国政府采购法实施条例》《中华人民共和国民法典》等法律法规规定，按照竞争性磋商文件（以下简称磋商文件）、响应文件规定条款和成交供应商的承诺、甲乙双方签订本采购合同。</w:t>
      </w:r>
    </w:p>
    <w:p w14:paraId="7E62FD20">
      <w:pPr>
        <w:spacing w:line="340" w:lineRule="exact"/>
        <w:ind w:left="413" w:firstLine="0" w:firstLineChars="0"/>
        <w:rPr>
          <w:rFonts w:ascii="宋体" w:hAnsi="宋体"/>
          <w:b/>
          <w:color w:val="auto"/>
          <w:sz w:val="21"/>
          <w:szCs w:val="21"/>
          <w:highlight w:val="none"/>
        </w:rPr>
      </w:pPr>
      <w:r>
        <w:rPr>
          <w:rFonts w:hint="eastAsia" w:ascii="宋体" w:hAnsi="宋体"/>
          <w:b/>
          <w:color w:val="auto"/>
          <w:sz w:val="21"/>
          <w:szCs w:val="21"/>
          <w:highlight w:val="none"/>
        </w:rPr>
        <w:t>第一条  合同文件</w:t>
      </w:r>
    </w:p>
    <w:p w14:paraId="3695A1B9">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本合同所附下列文件是构成本合同不可分割的部分：</w:t>
      </w:r>
    </w:p>
    <w:p w14:paraId="2569FBAB">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 竞争性磋商文件</w:t>
      </w:r>
    </w:p>
    <w:p w14:paraId="6DE89135">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2.成交供应商提交的响应（或应答）文件；</w:t>
      </w:r>
    </w:p>
    <w:p w14:paraId="0E17800A">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3.项目实施方案（如有）、服务方案（如有）；</w:t>
      </w:r>
    </w:p>
    <w:p w14:paraId="3697B4C2">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4.磋商中的磋商记录；</w:t>
      </w:r>
    </w:p>
    <w:p w14:paraId="74FE47FF">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5.成交通知书；</w:t>
      </w:r>
    </w:p>
    <w:p w14:paraId="5A1CF374">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6.本合同协议书及有关补充资料；</w:t>
      </w:r>
    </w:p>
    <w:p w14:paraId="23B47FAF">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7.标准、规范及有关技术文件</w:t>
      </w:r>
    </w:p>
    <w:p w14:paraId="5E932E8B">
      <w:pPr>
        <w:spacing w:line="340" w:lineRule="exact"/>
        <w:ind w:firstLine="422"/>
        <w:rPr>
          <w:rFonts w:ascii="宋体" w:hAnsi="宋体"/>
          <w:b/>
          <w:color w:val="auto"/>
          <w:sz w:val="21"/>
          <w:szCs w:val="21"/>
          <w:highlight w:val="none"/>
        </w:rPr>
      </w:pPr>
      <w:r>
        <w:rPr>
          <w:rFonts w:hint="eastAsia" w:ascii="宋体" w:hAnsi="宋体"/>
          <w:b/>
          <w:color w:val="auto"/>
          <w:sz w:val="21"/>
          <w:szCs w:val="21"/>
          <w:highlight w:val="none"/>
        </w:rPr>
        <w:t>第一条 合同标的及合同金额</w:t>
      </w:r>
    </w:p>
    <w:p w14:paraId="4F6D7FC2">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1.合同标的</w:t>
      </w:r>
    </w:p>
    <w:tbl>
      <w:tblPr>
        <w:tblStyle w:val="45"/>
        <w:tblW w:w="9355" w:type="dxa"/>
        <w:tblInd w:w="3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984"/>
        <w:gridCol w:w="1701"/>
        <w:gridCol w:w="992"/>
        <w:gridCol w:w="709"/>
        <w:gridCol w:w="1276"/>
        <w:gridCol w:w="1984"/>
      </w:tblGrid>
      <w:tr w14:paraId="64917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709" w:type="dxa"/>
            <w:tcBorders>
              <w:top w:val="single" w:color="auto" w:sz="4" w:space="0"/>
              <w:left w:val="single" w:color="auto" w:sz="4" w:space="0"/>
              <w:bottom w:val="single" w:color="auto" w:sz="4" w:space="0"/>
              <w:right w:val="single" w:color="auto" w:sz="4" w:space="0"/>
            </w:tcBorders>
            <w:vAlign w:val="center"/>
          </w:tcPr>
          <w:p w14:paraId="36CB1995">
            <w:pPr>
              <w:tabs>
                <w:tab w:val="left" w:pos="1418"/>
              </w:tabs>
              <w:snapToGrid w:val="0"/>
              <w:spacing w:before="50" w:after="50" w:line="340" w:lineRule="exact"/>
              <w:ind w:firstLine="0" w:firstLineChars="0"/>
              <w:jc w:val="center"/>
              <w:rPr>
                <w:rFonts w:ascii="宋体" w:hAnsi="宋体"/>
                <w:color w:val="auto"/>
                <w:sz w:val="21"/>
                <w:szCs w:val="24"/>
                <w:highlight w:val="none"/>
              </w:rPr>
            </w:pPr>
            <w:r>
              <w:rPr>
                <w:rFonts w:hint="eastAsia" w:ascii="宋体" w:hAnsi="宋体"/>
                <w:color w:val="auto"/>
                <w:sz w:val="21"/>
                <w:szCs w:val="24"/>
                <w:highlight w:val="none"/>
              </w:rPr>
              <w:t>项号</w:t>
            </w:r>
          </w:p>
        </w:tc>
        <w:tc>
          <w:tcPr>
            <w:tcW w:w="1984" w:type="dxa"/>
            <w:tcBorders>
              <w:top w:val="single" w:color="auto" w:sz="4" w:space="0"/>
              <w:left w:val="single" w:color="auto" w:sz="4" w:space="0"/>
              <w:bottom w:val="single" w:color="auto" w:sz="4" w:space="0"/>
              <w:right w:val="single" w:color="auto" w:sz="4" w:space="0"/>
            </w:tcBorders>
            <w:vAlign w:val="center"/>
          </w:tcPr>
          <w:p w14:paraId="28A13662">
            <w:pPr>
              <w:tabs>
                <w:tab w:val="left" w:pos="1418"/>
              </w:tabs>
              <w:snapToGrid w:val="0"/>
              <w:spacing w:before="50" w:after="50" w:line="340" w:lineRule="exact"/>
              <w:ind w:firstLine="0" w:firstLineChars="0"/>
              <w:jc w:val="center"/>
              <w:rPr>
                <w:rFonts w:ascii="宋体" w:hAnsi="宋体"/>
                <w:color w:val="auto"/>
                <w:sz w:val="21"/>
                <w:szCs w:val="24"/>
                <w:highlight w:val="none"/>
              </w:rPr>
            </w:pPr>
            <w:r>
              <w:rPr>
                <w:rFonts w:hint="eastAsia" w:ascii="宋体" w:hAnsi="宋体"/>
                <w:color w:val="auto"/>
                <w:sz w:val="21"/>
                <w:szCs w:val="24"/>
                <w:highlight w:val="none"/>
              </w:rPr>
              <w:t>标的的名称</w:t>
            </w:r>
          </w:p>
        </w:tc>
        <w:tc>
          <w:tcPr>
            <w:tcW w:w="1701" w:type="dxa"/>
            <w:tcBorders>
              <w:top w:val="single" w:color="auto" w:sz="4" w:space="0"/>
              <w:left w:val="single" w:color="auto" w:sz="4" w:space="0"/>
              <w:bottom w:val="single" w:color="auto" w:sz="4" w:space="0"/>
              <w:right w:val="single" w:color="auto" w:sz="4" w:space="0"/>
            </w:tcBorders>
            <w:vAlign w:val="center"/>
          </w:tcPr>
          <w:p w14:paraId="4BB00B7E">
            <w:pPr>
              <w:tabs>
                <w:tab w:val="left" w:pos="1418"/>
              </w:tabs>
              <w:snapToGrid w:val="0"/>
              <w:spacing w:before="50" w:after="50" w:line="340" w:lineRule="exact"/>
              <w:ind w:firstLine="0" w:firstLineChars="0"/>
              <w:jc w:val="center"/>
              <w:rPr>
                <w:rFonts w:ascii="宋体" w:hAnsi="宋体"/>
                <w:color w:val="auto"/>
                <w:sz w:val="21"/>
                <w:szCs w:val="24"/>
                <w:highlight w:val="none"/>
              </w:rPr>
            </w:pPr>
            <w:r>
              <w:rPr>
                <w:rFonts w:hint="eastAsia" w:ascii="宋体" w:hAnsi="宋体"/>
                <w:color w:val="auto"/>
                <w:sz w:val="21"/>
                <w:szCs w:val="24"/>
                <w:highlight w:val="none"/>
              </w:rPr>
              <w:t>服务内容</w:t>
            </w:r>
          </w:p>
        </w:tc>
        <w:tc>
          <w:tcPr>
            <w:tcW w:w="992" w:type="dxa"/>
            <w:tcBorders>
              <w:top w:val="single" w:color="auto" w:sz="4" w:space="0"/>
              <w:left w:val="single" w:color="auto" w:sz="4" w:space="0"/>
              <w:bottom w:val="single" w:color="auto" w:sz="4" w:space="0"/>
              <w:right w:val="single" w:color="auto" w:sz="4" w:space="0"/>
            </w:tcBorders>
            <w:vAlign w:val="center"/>
          </w:tcPr>
          <w:p w14:paraId="3BB5BBF6">
            <w:pPr>
              <w:tabs>
                <w:tab w:val="left" w:pos="1418"/>
              </w:tabs>
              <w:snapToGrid w:val="0"/>
              <w:spacing w:before="50" w:after="50" w:line="340" w:lineRule="exact"/>
              <w:ind w:firstLine="0" w:firstLineChars="0"/>
              <w:jc w:val="center"/>
              <w:rPr>
                <w:rFonts w:ascii="宋体" w:hAnsi="宋体"/>
                <w:color w:val="auto"/>
                <w:sz w:val="21"/>
                <w:szCs w:val="24"/>
                <w:highlight w:val="none"/>
              </w:rPr>
            </w:pPr>
            <w:r>
              <w:rPr>
                <w:rFonts w:hint="eastAsia" w:ascii="宋体" w:hAnsi="宋体"/>
                <w:color w:val="auto"/>
                <w:sz w:val="21"/>
                <w:szCs w:val="24"/>
                <w:highlight w:val="none"/>
              </w:rPr>
              <w:t>数量</w:t>
            </w:r>
          </w:p>
          <w:p w14:paraId="45F8A861">
            <w:pPr>
              <w:tabs>
                <w:tab w:val="left" w:pos="1418"/>
              </w:tabs>
              <w:snapToGrid w:val="0"/>
              <w:spacing w:before="50" w:after="50" w:line="340" w:lineRule="exact"/>
              <w:ind w:firstLine="0" w:firstLineChars="0"/>
              <w:jc w:val="center"/>
              <w:rPr>
                <w:rFonts w:ascii="宋体" w:hAnsi="宋体"/>
                <w:color w:val="auto"/>
                <w:sz w:val="21"/>
                <w:szCs w:val="24"/>
                <w:highlight w:val="none"/>
              </w:rPr>
            </w:pPr>
            <w:r>
              <w:rPr>
                <w:rFonts w:hint="eastAsia" w:ascii="宋体" w:hAnsi="宋体"/>
                <w:color w:val="auto"/>
                <w:sz w:val="21"/>
                <w:szCs w:val="24"/>
                <w:highlight w:val="none"/>
              </w:rPr>
              <w:t>①</w:t>
            </w:r>
          </w:p>
        </w:tc>
        <w:tc>
          <w:tcPr>
            <w:tcW w:w="709" w:type="dxa"/>
            <w:tcBorders>
              <w:top w:val="single" w:color="auto" w:sz="4" w:space="0"/>
              <w:left w:val="single" w:color="auto" w:sz="4" w:space="0"/>
              <w:bottom w:val="single" w:color="auto" w:sz="4" w:space="0"/>
              <w:right w:val="single" w:color="auto" w:sz="4" w:space="0"/>
            </w:tcBorders>
            <w:vAlign w:val="center"/>
          </w:tcPr>
          <w:p w14:paraId="6F606D2C">
            <w:pPr>
              <w:tabs>
                <w:tab w:val="left" w:pos="1418"/>
              </w:tabs>
              <w:snapToGrid w:val="0"/>
              <w:spacing w:before="50" w:after="50" w:line="340" w:lineRule="exact"/>
              <w:ind w:firstLine="0" w:firstLineChars="0"/>
              <w:jc w:val="center"/>
              <w:rPr>
                <w:rFonts w:ascii="宋体" w:hAnsi="宋体"/>
                <w:color w:val="auto"/>
                <w:sz w:val="21"/>
                <w:szCs w:val="24"/>
                <w:highlight w:val="none"/>
              </w:rPr>
            </w:pPr>
            <w:r>
              <w:rPr>
                <w:rFonts w:hint="eastAsia" w:ascii="宋体" w:hAnsi="宋体"/>
                <w:color w:val="auto"/>
                <w:sz w:val="21"/>
                <w:szCs w:val="24"/>
                <w:highlight w:val="none"/>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61492C51">
            <w:pPr>
              <w:tabs>
                <w:tab w:val="left" w:pos="1418"/>
              </w:tabs>
              <w:snapToGrid w:val="0"/>
              <w:spacing w:before="50" w:after="50" w:line="340" w:lineRule="exact"/>
              <w:ind w:firstLine="0" w:firstLineChars="0"/>
              <w:jc w:val="center"/>
              <w:rPr>
                <w:rFonts w:ascii="宋体" w:hAnsi="宋体"/>
                <w:color w:val="auto"/>
                <w:sz w:val="21"/>
                <w:szCs w:val="24"/>
                <w:highlight w:val="none"/>
              </w:rPr>
            </w:pPr>
            <w:r>
              <w:rPr>
                <w:rFonts w:hint="eastAsia" w:ascii="宋体" w:hAnsi="宋体"/>
                <w:color w:val="auto"/>
                <w:sz w:val="21"/>
                <w:szCs w:val="24"/>
                <w:highlight w:val="none"/>
              </w:rPr>
              <w:t>单价②</w:t>
            </w:r>
          </w:p>
        </w:tc>
        <w:tc>
          <w:tcPr>
            <w:tcW w:w="1984" w:type="dxa"/>
            <w:tcBorders>
              <w:top w:val="single" w:color="auto" w:sz="4" w:space="0"/>
              <w:left w:val="single" w:color="auto" w:sz="4" w:space="0"/>
              <w:bottom w:val="single" w:color="auto" w:sz="4" w:space="0"/>
              <w:right w:val="single" w:color="auto" w:sz="4" w:space="0"/>
            </w:tcBorders>
            <w:vAlign w:val="center"/>
          </w:tcPr>
          <w:p w14:paraId="4F35F8AA">
            <w:pPr>
              <w:snapToGrid w:val="0"/>
              <w:spacing w:line="340" w:lineRule="exact"/>
              <w:ind w:firstLine="0" w:firstLineChars="0"/>
              <w:jc w:val="center"/>
              <w:rPr>
                <w:rFonts w:ascii="宋体" w:hAnsi="宋体"/>
                <w:color w:val="auto"/>
                <w:sz w:val="21"/>
                <w:szCs w:val="21"/>
                <w:highlight w:val="none"/>
              </w:rPr>
            </w:pPr>
            <w:r>
              <w:rPr>
                <w:rFonts w:hint="eastAsia" w:ascii="宋体" w:hAnsi="宋体"/>
                <w:b/>
                <w:color w:val="auto"/>
                <w:sz w:val="21"/>
                <w:szCs w:val="21"/>
                <w:highlight w:val="none"/>
              </w:rPr>
              <w:t>单项合计金额</w:t>
            </w:r>
            <w:r>
              <w:rPr>
                <w:rFonts w:hint="eastAsia" w:ascii="宋体" w:hAnsi="宋体"/>
                <w:color w:val="auto"/>
                <w:sz w:val="21"/>
                <w:szCs w:val="21"/>
                <w:highlight w:val="none"/>
              </w:rPr>
              <w:t>（元）③＝①×②</w:t>
            </w:r>
          </w:p>
        </w:tc>
      </w:tr>
      <w:tr w14:paraId="1C1FA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709" w:type="dxa"/>
            <w:tcBorders>
              <w:top w:val="single" w:color="auto" w:sz="4" w:space="0"/>
              <w:left w:val="single" w:color="auto" w:sz="4" w:space="0"/>
              <w:bottom w:val="single" w:color="auto" w:sz="4" w:space="0"/>
              <w:right w:val="single" w:color="auto" w:sz="4" w:space="0"/>
            </w:tcBorders>
            <w:vAlign w:val="center"/>
          </w:tcPr>
          <w:p w14:paraId="3BC52824">
            <w:pPr>
              <w:tabs>
                <w:tab w:val="left" w:pos="1418"/>
              </w:tabs>
              <w:snapToGrid w:val="0"/>
              <w:spacing w:before="50" w:after="50" w:line="340" w:lineRule="exact"/>
              <w:ind w:firstLine="0" w:firstLineChars="0"/>
              <w:jc w:val="center"/>
              <w:rPr>
                <w:rFonts w:ascii="宋体" w:hAnsi="宋体"/>
                <w:color w:val="auto"/>
                <w:sz w:val="21"/>
                <w:szCs w:val="24"/>
                <w:highlight w:val="none"/>
              </w:rPr>
            </w:pPr>
            <w:r>
              <w:rPr>
                <w:rFonts w:hint="eastAsia" w:ascii="宋体" w:hAnsi="宋体"/>
                <w:color w:val="auto"/>
                <w:sz w:val="21"/>
                <w:szCs w:val="24"/>
                <w:highlight w:val="none"/>
              </w:rPr>
              <w:t>1</w:t>
            </w:r>
          </w:p>
        </w:tc>
        <w:tc>
          <w:tcPr>
            <w:tcW w:w="1984" w:type="dxa"/>
            <w:tcBorders>
              <w:top w:val="single" w:color="auto" w:sz="4" w:space="0"/>
              <w:left w:val="single" w:color="auto" w:sz="4" w:space="0"/>
              <w:bottom w:val="single" w:color="auto" w:sz="4" w:space="0"/>
              <w:right w:val="single" w:color="auto" w:sz="4" w:space="0"/>
            </w:tcBorders>
            <w:vAlign w:val="center"/>
          </w:tcPr>
          <w:p w14:paraId="15A1B84F">
            <w:pPr>
              <w:tabs>
                <w:tab w:val="left" w:pos="1418"/>
              </w:tabs>
              <w:snapToGrid w:val="0"/>
              <w:spacing w:before="50" w:after="50" w:line="340" w:lineRule="exact"/>
              <w:ind w:firstLine="0" w:firstLineChars="0"/>
              <w:jc w:val="center"/>
              <w:rPr>
                <w:rFonts w:ascii="宋体" w:hAnsi="宋体"/>
                <w:b/>
                <w:color w:val="auto"/>
                <w:sz w:val="21"/>
                <w:szCs w:val="24"/>
                <w:highlight w:val="none"/>
              </w:rPr>
            </w:pPr>
            <w:r>
              <w:rPr>
                <w:rFonts w:hint="eastAsia" w:ascii="宋体" w:hAnsi="宋体" w:cs="宋体"/>
                <w:color w:val="auto"/>
                <w:sz w:val="21"/>
                <w:szCs w:val="24"/>
                <w:highlight w:val="none"/>
              </w:rPr>
              <w:t>3个水质自动监测站运行维护服务</w:t>
            </w:r>
          </w:p>
        </w:tc>
        <w:tc>
          <w:tcPr>
            <w:tcW w:w="1701" w:type="dxa"/>
            <w:tcBorders>
              <w:top w:val="single" w:color="auto" w:sz="4" w:space="0"/>
              <w:left w:val="single" w:color="auto" w:sz="4" w:space="0"/>
              <w:right w:val="single" w:color="auto" w:sz="4" w:space="0"/>
            </w:tcBorders>
            <w:vAlign w:val="center"/>
          </w:tcPr>
          <w:p w14:paraId="78287042">
            <w:pPr>
              <w:tabs>
                <w:tab w:val="left" w:pos="1418"/>
              </w:tabs>
              <w:snapToGrid w:val="0"/>
              <w:spacing w:before="50" w:after="50" w:line="340" w:lineRule="exact"/>
              <w:ind w:firstLine="0" w:firstLineChars="0"/>
              <w:jc w:val="center"/>
              <w:rPr>
                <w:rFonts w:ascii="宋体" w:hAnsi="宋体"/>
                <w:color w:val="auto"/>
                <w:sz w:val="21"/>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26791B5">
            <w:pPr>
              <w:tabs>
                <w:tab w:val="left" w:pos="1418"/>
              </w:tabs>
              <w:snapToGrid w:val="0"/>
              <w:spacing w:before="50" w:after="50" w:line="340" w:lineRule="exact"/>
              <w:ind w:firstLine="0" w:firstLineChars="0"/>
              <w:jc w:val="center"/>
              <w:rPr>
                <w:rFonts w:ascii="宋体" w:hAnsi="宋体"/>
                <w:color w:val="auto"/>
                <w:sz w:val="21"/>
                <w:szCs w:val="24"/>
                <w:highlight w:val="none"/>
              </w:rPr>
            </w:pPr>
            <w:r>
              <w:rPr>
                <w:rFonts w:hint="eastAsia" w:ascii="宋体" w:hAnsi="宋体"/>
                <w:color w:val="auto"/>
                <w:sz w:val="21"/>
                <w:szCs w:val="24"/>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14:paraId="1A4D9ECE">
            <w:pPr>
              <w:tabs>
                <w:tab w:val="left" w:pos="1418"/>
              </w:tabs>
              <w:snapToGrid w:val="0"/>
              <w:spacing w:before="50" w:after="50" w:line="340" w:lineRule="exact"/>
              <w:ind w:firstLine="0" w:firstLineChars="0"/>
              <w:jc w:val="center"/>
              <w:rPr>
                <w:rFonts w:ascii="宋体" w:hAnsi="宋体"/>
                <w:color w:val="auto"/>
                <w:sz w:val="21"/>
                <w:szCs w:val="24"/>
                <w:highlight w:val="none"/>
              </w:rPr>
            </w:pPr>
            <w:r>
              <w:rPr>
                <w:rFonts w:hint="eastAsia" w:ascii="宋体" w:hAnsi="宋体"/>
                <w:color w:val="auto"/>
                <w:sz w:val="21"/>
                <w:szCs w:val="24"/>
                <w:highlight w:val="none"/>
              </w:rPr>
              <w:t>项</w:t>
            </w:r>
          </w:p>
        </w:tc>
        <w:tc>
          <w:tcPr>
            <w:tcW w:w="1276" w:type="dxa"/>
            <w:tcBorders>
              <w:top w:val="single" w:color="auto" w:sz="4" w:space="0"/>
              <w:left w:val="single" w:color="auto" w:sz="4" w:space="0"/>
              <w:bottom w:val="single" w:color="auto" w:sz="4" w:space="0"/>
              <w:right w:val="single" w:color="auto" w:sz="4" w:space="0"/>
            </w:tcBorders>
            <w:vAlign w:val="center"/>
          </w:tcPr>
          <w:p w14:paraId="2ED1F458">
            <w:pPr>
              <w:tabs>
                <w:tab w:val="left" w:pos="1418"/>
              </w:tabs>
              <w:snapToGrid w:val="0"/>
              <w:spacing w:before="50" w:after="50" w:line="340" w:lineRule="exact"/>
              <w:ind w:firstLine="0" w:firstLineChars="0"/>
              <w:jc w:val="center"/>
              <w:rPr>
                <w:rFonts w:ascii="宋体" w:hAnsi="宋体"/>
                <w:color w:val="auto"/>
                <w:sz w:val="21"/>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47978D97">
            <w:pPr>
              <w:tabs>
                <w:tab w:val="left" w:pos="1418"/>
              </w:tabs>
              <w:snapToGrid w:val="0"/>
              <w:spacing w:before="50" w:after="50" w:line="340" w:lineRule="exact"/>
              <w:ind w:firstLine="0" w:firstLineChars="0"/>
              <w:jc w:val="center"/>
              <w:rPr>
                <w:rFonts w:ascii="宋体" w:hAnsi="宋体"/>
                <w:color w:val="auto"/>
                <w:sz w:val="21"/>
                <w:szCs w:val="24"/>
                <w:highlight w:val="none"/>
              </w:rPr>
            </w:pPr>
          </w:p>
        </w:tc>
      </w:tr>
      <w:tr w14:paraId="014DB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371" w:type="dxa"/>
            <w:gridSpan w:val="6"/>
            <w:tcBorders>
              <w:top w:val="single" w:color="auto" w:sz="4" w:space="0"/>
              <w:left w:val="single" w:color="auto" w:sz="4" w:space="0"/>
              <w:bottom w:val="single" w:color="auto" w:sz="4" w:space="0"/>
              <w:right w:val="single" w:color="auto" w:sz="4" w:space="0"/>
            </w:tcBorders>
            <w:vAlign w:val="center"/>
          </w:tcPr>
          <w:p w14:paraId="0568FA6B">
            <w:pPr>
              <w:tabs>
                <w:tab w:val="left" w:pos="1418"/>
              </w:tabs>
              <w:snapToGrid w:val="0"/>
              <w:spacing w:before="50" w:after="50" w:line="340" w:lineRule="exact"/>
              <w:ind w:firstLine="0" w:firstLineChars="0"/>
              <w:jc w:val="center"/>
              <w:rPr>
                <w:rFonts w:ascii="宋体" w:hAnsi="宋体"/>
                <w:color w:val="auto"/>
                <w:sz w:val="21"/>
                <w:szCs w:val="24"/>
                <w:highlight w:val="none"/>
              </w:rPr>
            </w:pPr>
            <w:r>
              <w:rPr>
                <w:rFonts w:hint="eastAsia" w:ascii="宋体" w:hAnsi="宋体" w:cs="宋体"/>
                <w:color w:val="auto"/>
                <w:sz w:val="21"/>
                <w:szCs w:val="21"/>
                <w:highlight w:val="none"/>
              </w:rPr>
              <w:t>合计</w:t>
            </w:r>
          </w:p>
        </w:tc>
        <w:tc>
          <w:tcPr>
            <w:tcW w:w="1984" w:type="dxa"/>
            <w:tcBorders>
              <w:top w:val="single" w:color="auto" w:sz="4" w:space="0"/>
              <w:left w:val="single" w:color="auto" w:sz="4" w:space="0"/>
              <w:bottom w:val="single" w:color="auto" w:sz="4" w:space="0"/>
              <w:right w:val="single" w:color="auto" w:sz="4" w:space="0"/>
            </w:tcBorders>
            <w:vAlign w:val="center"/>
          </w:tcPr>
          <w:p w14:paraId="275BA175">
            <w:pPr>
              <w:tabs>
                <w:tab w:val="left" w:pos="1418"/>
              </w:tabs>
              <w:snapToGrid w:val="0"/>
              <w:spacing w:before="50" w:after="50" w:line="340" w:lineRule="exact"/>
              <w:ind w:firstLine="0" w:firstLineChars="0"/>
              <w:jc w:val="center"/>
              <w:rPr>
                <w:rFonts w:ascii="宋体" w:hAnsi="宋体"/>
                <w:color w:val="auto"/>
                <w:sz w:val="21"/>
                <w:szCs w:val="24"/>
                <w:highlight w:val="none"/>
              </w:rPr>
            </w:pPr>
          </w:p>
        </w:tc>
      </w:tr>
    </w:tbl>
    <w:p w14:paraId="1E597FE0">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根据《成交通知书》的成交内容，合同的总金额为：（大写）</w:t>
      </w:r>
      <w:r>
        <w:rPr>
          <w:rFonts w:hint="eastAsia" w:ascii="宋体" w:hAnsi="宋体"/>
          <w:color w:val="auto"/>
          <w:sz w:val="21"/>
          <w:szCs w:val="21"/>
          <w:highlight w:val="none"/>
          <w:u w:val="single"/>
        </w:rPr>
        <w:t>　　　　　　　　　</w:t>
      </w:r>
      <w:r>
        <w:rPr>
          <w:rFonts w:hint="eastAsia" w:ascii="宋体" w:hAnsi="宋体"/>
          <w:color w:val="auto"/>
          <w:sz w:val="21"/>
          <w:szCs w:val="21"/>
          <w:highlight w:val="none"/>
        </w:rPr>
        <w:t>人民币（</w:t>
      </w:r>
      <w:r>
        <w:rPr>
          <w:rFonts w:hint="eastAsia"/>
          <w:color w:val="auto"/>
          <w:sz w:val="21"/>
          <w:szCs w:val="21"/>
          <w:highlight w:val="none"/>
          <w:u w:val="single"/>
        </w:rPr>
        <w:t>¥</w:t>
      </w:r>
      <w:r>
        <w:rPr>
          <w:rFonts w:hint="eastAsia" w:ascii="宋体" w:hAnsi="宋体"/>
          <w:color w:val="auto"/>
          <w:sz w:val="21"/>
          <w:szCs w:val="21"/>
          <w:highlight w:val="none"/>
          <w:u w:val="single"/>
        </w:rPr>
        <w:t>　　　　　</w:t>
      </w:r>
      <w:r>
        <w:rPr>
          <w:rFonts w:hint="eastAsia" w:ascii="宋体" w:hAnsi="宋体"/>
          <w:color w:val="auto"/>
          <w:sz w:val="21"/>
          <w:szCs w:val="21"/>
          <w:highlight w:val="none"/>
        </w:rPr>
        <w:t>）</w:t>
      </w:r>
    </w:p>
    <w:p w14:paraId="6A8B6F0B">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2.合同总金额应包括本次采购范围内的服务价款、各种人力成本、拟投入设备成本、设备维修维护、零配件试剂更换、软件维护、仪器质量控制、站房维护、辅助仪器检定、防雷检测费、消防设备、水电费、交通运输费、专用工具、交通费、法定税费、不可预见费、合理利润及其它成本费等各项费用的总和。甲方不再支付任何费用。</w:t>
      </w:r>
    </w:p>
    <w:p w14:paraId="022FE6F5">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第三条  质量保证</w:t>
      </w:r>
    </w:p>
    <w:p w14:paraId="02BBFAA8">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1.乙方应</w:t>
      </w:r>
      <w:r>
        <w:rPr>
          <w:rFonts w:ascii="宋体" w:hAnsi="宋体"/>
          <w:color w:val="auto"/>
          <w:sz w:val="21"/>
          <w:szCs w:val="21"/>
          <w:highlight w:val="none"/>
        </w:rPr>
        <w:t>按照竞争性</w:t>
      </w:r>
      <w:r>
        <w:rPr>
          <w:rFonts w:hint="eastAsia" w:ascii="宋体" w:hAnsi="宋体"/>
          <w:color w:val="auto"/>
          <w:sz w:val="21"/>
          <w:szCs w:val="21"/>
          <w:highlight w:val="none"/>
        </w:rPr>
        <w:t>磋商</w:t>
      </w:r>
      <w:r>
        <w:rPr>
          <w:rFonts w:ascii="宋体" w:hAnsi="宋体"/>
          <w:color w:val="auto"/>
          <w:sz w:val="21"/>
          <w:szCs w:val="21"/>
          <w:highlight w:val="none"/>
        </w:rPr>
        <w:t>文件规定、</w:t>
      </w:r>
      <w:r>
        <w:rPr>
          <w:rFonts w:hint="eastAsia" w:ascii="宋体" w:hAnsi="宋体"/>
          <w:color w:val="auto"/>
          <w:sz w:val="21"/>
          <w:szCs w:val="21"/>
          <w:highlight w:val="none"/>
        </w:rPr>
        <w:t>响应</w:t>
      </w:r>
      <w:r>
        <w:rPr>
          <w:rFonts w:ascii="宋体" w:hAnsi="宋体"/>
          <w:color w:val="auto"/>
          <w:sz w:val="21"/>
          <w:szCs w:val="21"/>
          <w:highlight w:val="none"/>
        </w:rPr>
        <w:t>文件承诺以及合同条款等</w:t>
      </w:r>
      <w:r>
        <w:rPr>
          <w:rFonts w:hint="eastAsia" w:ascii="宋体" w:hAnsi="宋体"/>
          <w:color w:val="auto"/>
          <w:sz w:val="21"/>
          <w:szCs w:val="21"/>
          <w:highlight w:val="none"/>
        </w:rPr>
        <w:t>内容</w:t>
      </w:r>
      <w:r>
        <w:rPr>
          <w:rFonts w:ascii="宋体" w:hAnsi="宋体"/>
          <w:color w:val="auto"/>
          <w:sz w:val="21"/>
          <w:szCs w:val="21"/>
          <w:highlight w:val="none"/>
        </w:rPr>
        <w:t>提供</w:t>
      </w:r>
      <w:r>
        <w:rPr>
          <w:rFonts w:hint="eastAsia" w:ascii="宋体" w:hAnsi="宋体"/>
          <w:color w:val="auto"/>
          <w:sz w:val="21"/>
          <w:szCs w:val="21"/>
          <w:highlight w:val="none"/>
        </w:rPr>
        <w:t>服务和提交服务记录，数据质量控制指标满足国家、自治区相关技术规范要求。</w:t>
      </w:r>
    </w:p>
    <w:p w14:paraId="008BB49D">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2. 服务质量按竞争性磋商文件要求及响应文件承诺。</w:t>
      </w:r>
    </w:p>
    <w:p w14:paraId="0A9C8A47">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3.提供的服务在甲方使用时不会侵犯任何第三方的专利权、商标权、工业设计权或其他权利，甲方在使用时拥有充分、完整的设计成果的知识产权。</w:t>
      </w:r>
    </w:p>
    <w:p w14:paraId="32718E31">
      <w:pPr>
        <w:spacing w:line="340" w:lineRule="exact"/>
        <w:ind w:firstLine="413" w:firstLineChars="196"/>
        <w:rPr>
          <w:rFonts w:ascii="宋体" w:hAnsi="宋体" w:cs="宋体"/>
          <w:b/>
          <w:color w:val="auto"/>
          <w:sz w:val="21"/>
          <w:szCs w:val="21"/>
          <w:highlight w:val="none"/>
        </w:rPr>
      </w:pPr>
      <w:r>
        <w:rPr>
          <w:rFonts w:hint="eastAsia" w:ascii="宋体" w:hAnsi="宋体" w:cs="宋体"/>
          <w:b/>
          <w:color w:val="auto"/>
          <w:sz w:val="21"/>
          <w:szCs w:val="21"/>
          <w:highlight w:val="none"/>
        </w:rPr>
        <w:t>第四条  权力保证</w:t>
      </w:r>
    </w:p>
    <w:p w14:paraId="4968AF21">
      <w:pPr>
        <w:spacing w:line="340" w:lineRule="exact"/>
        <w:ind w:firstLine="411" w:firstLineChars="196"/>
        <w:rPr>
          <w:rFonts w:ascii="宋体" w:hAnsi="宋体" w:cs="宋体"/>
          <w:color w:val="auto"/>
          <w:sz w:val="21"/>
          <w:szCs w:val="21"/>
          <w:highlight w:val="none"/>
        </w:rPr>
      </w:pPr>
      <w:r>
        <w:rPr>
          <w:rFonts w:hint="eastAsia" w:ascii="宋体" w:hAnsi="宋体" w:cs="宋体"/>
          <w:color w:val="auto"/>
          <w:sz w:val="21"/>
          <w:szCs w:val="21"/>
          <w:highlight w:val="none"/>
        </w:rPr>
        <w:t>乙方应保证所提供服务在使用时不会侵犯任何第三方的其他权利。</w:t>
      </w:r>
    </w:p>
    <w:p w14:paraId="50135E90">
      <w:pPr>
        <w:spacing w:line="340" w:lineRule="exact"/>
        <w:ind w:firstLine="422"/>
        <w:rPr>
          <w:rFonts w:ascii="宋体" w:hAnsi="宋体"/>
          <w:b/>
          <w:color w:val="auto"/>
          <w:sz w:val="21"/>
          <w:szCs w:val="21"/>
          <w:highlight w:val="none"/>
        </w:rPr>
      </w:pPr>
      <w:r>
        <w:rPr>
          <w:rFonts w:hint="eastAsia" w:ascii="宋体" w:hAnsi="宋体"/>
          <w:b/>
          <w:color w:val="auto"/>
          <w:sz w:val="21"/>
          <w:szCs w:val="21"/>
          <w:highlight w:val="none"/>
        </w:rPr>
        <w:t>第五条  服务要求</w:t>
      </w:r>
    </w:p>
    <w:p w14:paraId="121FAD1B">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1.乙方应按照国家有关法律规定以及响应文件和本合同所附的《服务方案》，为甲方提供服务。</w:t>
      </w:r>
    </w:p>
    <w:p w14:paraId="6440A2C6">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2.在本合同履行过程中发生的技术问题等，乙方应在接到甲方通知后在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小时内进行答复。</w:t>
      </w:r>
    </w:p>
    <w:p w14:paraId="1EB16817">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3.乙方应对服务质量出现的技术及相关问题负责处理解决并承担一切费用。</w:t>
      </w:r>
    </w:p>
    <w:p w14:paraId="16F2EBE3">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第六条  考核标准</w:t>
      </w:r>
    </w:p>
    <w:p w14:paraId="0050196B">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1.仪器考核内容</w:t>
      </w:r>
    </w:p>
    <w:p w14:paraId="1BEBC8F5">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（1）所有水站每天在线情况。</w:t>
      </w:r>
    </w:p>
    <w:p w14:paraId="3F89237D">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（2）构成水站系统的仪器、设备的运行状态参数是否满足使用说明书要求作为系统仪器、设备运行是否正常的依据。</w:t>
      </w:r>
    </w:p>
    <w:p w14:paraId="0B235B63">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（3）所有水站系统的每个月每个参数有效数据获取率≥90%（“有效数据获取率” 是指已实际正常运行小时数与应监测小时数之比）。</w:t>
      </w:r>
    </w:p>
    <w:p w14:paraId="6675AACC">
      <w:pPr>
        <w:spacing w:line="30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（4）数据质量控制指标满足国家、自治区相关技术规范要求。</w:t>
      </w:r>
    </w:p>
    <w:p w14:paraId="4B26390A">
      <w:pPr>
        <w:spacing w:line="30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（5）服务态度和及时性。</w:t>
      </w:r>
    </w:p>
    <w:p w14:paraId="146701D0">
      <w:pPr>
        <w:spacing w:line="30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（6）相关技术规范及合同中规定的内容。</w:t>
      </w:r>
    </w:p>
    <w:p w14:paraId="4EBD3F7C">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2.考核办法</w:t>
      </w:r>
    </w:p>
    <w:p w14:paraId="4D39575B">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甲方自正式运维起每三个月对运维单位开展一次运营维护工作考核，依据上述维护内容就每周、每月、每季的维护质量和相关指标相结合的方式进行评分，满分为100分。由甲方组织有关人员进行评审，考核合格后按照合同要求支付该季度的运行费。</w:t>
      </w:r>
    </w:p>
    <w:p w14:paraId="2BD919B3">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（1）按季度对每个站点单独考核，其中单次考核结果均≥90分为合格。</w:t>
      </w:r>
    </w:p>
    <w:p w14:paraId="42BBA11F">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（2）单次考核结果≥80分且＜90分的，为初级警告，按比例扣除当季度运行费的10%，并责令整改。</w:t>
      </w:r>
    </w:p>
    <w:p w14:paraId="33210BD6">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（3）单次考核结果≥70分且＜80分的，为二级警告，按比例扣除当季度运行费的35%，并责令整改。一年合同期内出现两次二级警告情况，视为成交供应商违约，终止运营托管运维合同。</w:t>
      </w:r>
    </w:p>
    <w:p w14:paraId="15CFE7F6">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（4）考核结果在＜70分的，不予支付当季度运维费用并视为成交供应商违约，终止运营托管运维合同。</w:t>
      </w:r>
    </w:p>
    <w:p w14:paraId="64028C53">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（5）一旦发现弄虚作假现象，按违约处理，并追究其相应的法律责任，采购人有权向监督管理部门汇报并处理，不予支付当季运维费用，同时按当季维护费用的双倍进行经济处罚。</w:t>
      </w:r>
    </w:p>
    <w:p w14:paraId="50CE42B0">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弄虚作假现象如下：</w:t>
      </w:r>
    </w:p>
    <w:p w14:paraId="13E1416B">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①存在《环境监测数据弄虚作假行为判定及处理办法》中认定的篡改、伪造或者指使篡改、伪造监测数据行为的；</w:t>
      </w:r>
    </w:p>
    <w:p w14:paraId="4397536D">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②实施或强令、指使、授意他人实施修改参数，或者干扰采样，致使监测数据严重失真的；</w:t>
      </w:r>
    </w:p>
    <w:p w14:paraId="1F686739">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③实施或参与干扰采水设施和自动监测设施、破坏地表水水质自动站的；</w:t>
      </w:r>
    </w:p>
    <w:p w14:paraId="034CBB65">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 xml:space="preserve">④在河流或湖库站点的采水口周边范围内，采取设置人工喷泉、曝气等增氧措施或投放生物、化学药剂等措施，强行改变水体理化性质，导致采集水样异常的； </w:t>
      </w:r>
    </w:p>
    <w:p w14:paraId="31BDC252">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⑤针对水站采水环境实施人为干预，造成河流改道或断流，故意绕开站点采水口，导致站点失去污染监控作用的；</w:t>
      </w:r>
    </w:p>
    <w:p w14:paraId="57D49935">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⑥其他破坏地表水水质自动站的情形。</w:t>
      </w:r>
    </w:p>
    <w:p w14:paraId="120679CC">
      <w:pPr>
        <w:spacing w:line="300" w:lineRule="auto"/>
        <w:ind w:left="120" w:leftChars="5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3. 地表水水质自动站托管运维服务考核表：</w:t>
      </w:r>
    </w:p>
    <w:tbl>
      <w:tblPr>
        <w:tblStyle w:val="45"/>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58"/>
        <w:gridCol w:w="4111"/>
        <w:gridCol w:w="2044"/>
        <w:gridCol w:w="709"/>
        <w:gridCol w:w="790"/>
      </w:tblGrid>
      <w:tr w14:paraId="2528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6" w:type="dxa"/>
            <w:gridSpan w:val="3"/>
            <w:vAlign w:val="center"/>
          </w:tcPr>
          <w:p w14:paraId="1D7B3E09">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考核内容</w:t>
            </w:r>
          </w:p>
        </w:tc>
        <w:tc>
          <w:tcPr>
            <w:tcW w:w="2044" w:type="dxa"/>
            <w:vAlign w:val="center"/>
          </w:tcPr>
          <w:p w14:paraId="1C079838">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扣分值</w:t>
            </w:r>
          </w:p>
        </w:tc>
        <w:tc>
          <w:tcPr>
            <w:tcW w:w="709" w:type="dxa"/>
            <w:vAlign w:val="center"/>
          </w:tcPr>
          <w:p w14:paraId="6A67519E">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扣分结果</w:t>
            </w:r>
          </w:p>
        </w:tc>
        <w:tc>
          <w:tcPr>
            <w:tcW w:w="790" w:type="dxa"/>
            <w:vAlign w:val="center"/>
          </w:tcPr>
          <w:p w14:paraId="18B2F9DC">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扣分说明</w:t>
            </w:r>
          </w:p>
        </w:tc>
      </w:tr>
      <w:tr w14:paraId="641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67" w:type="dxa"/>
            <w:vMerge w:val="restart"/>
            <w:vAlign w:val="center"/>
          </w:tcPr>
          <w:p w14:paraId="11CB5F9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服务内容</w:t>
            </w:r>
          </w:p>
        </w:tc>
        <w:tc>
          <w:tcPr>
            <w:tcW w:w="1158" w:type="dxa"/>
            <w:vAlign w:val="center"/>
          </w:tcPr>
          <w:p w14:paraId="421E280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远程检查</w:t>
            </w:r>
            <w:r>
              <w:rPr>
                <w:rFonts w:hint="eastAsia" w:ascii="宋体" w:hAnsi="宋体" w:cs="宋体"/>
                <w:color w:val="auto"/>
                <w:kern w:val="0"/>
                <w:sz w:val="21"/>
                <w:szCs w:val="21"/>
                <w:highlight w:val="none"/>
                <w:lang w:eastAsia="zh-CN"/>
              </w:rPr>
              <w:t>、审核</w:t>
            </w:r>
            <w:r>
              <w:rPr>
                <w:rFonts w:hint="eastAsia" w:ascii="宋体" w:hAnsi="宋体" w:cs="宋体"/>
                <w:color w:val="auto"/>
                <w:kern w:val="0"/>
                <w:sz w:val="21"/>
                <w:szCs w:val="21"/>
                <w:highlight w:val="none"/>
              </w:rPr>
              <w:t>数据</w:t>
            </w:r>
          </w:p>
        </w:tc>
        <w:tc>
          <w:tcPr>
            <w:tcW w:w="4111" w:type="dxa"/>
            <w:vAlign w:val="center"/>
          </w:tcPr>
          <w:p w14:paraId="19F1582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每天8:00—23:30，专人负责通过数据平台对监测仪器状态实施监控。监控时段内仪器故障发现时间不得超过1小时，非监控时段内仪器故障发现时间不得晚于次日8:30</w:t>
            </w:r>
            <w:r>
              <w:rPr>
                <w:rFonts w:hint="eastAsia" w:ascii="宋体" w:hAnsi="宋体" w:cs="宋体"/>
                <w:color w:val="auto"/>
                <w:kern w:val="0"/>
                <w:sz w:val="21"/>
                <w:szCs w:val="21"/>
                <w:highlight w:val="none"/>
                <w:lang w:eastAsia="zh-CN"/>
              </w:rPr>
              <w:t>。每天9:00前在指定网站完成数据一审工作。</w:t>
            </w:r>
          </w:p>
        </w:tc>
        <w:tc>
          <w:tcPr>
            <w:tcW w:w="2044" w:type="dxa"/>
            <w:vAlign w:val="center"/>
          </w:tcPr>
          <w:p w14:paraId="5AD0777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错、漏1次扣0.5分</w:t>
            </w:r>
          </w:p>
        </w:tc>
        <w:tc>
          <w:tcPr>
            <w:tcW w:w="709" w:type="dxa"/>
            <w:vAlign w:val="center"/>
          </w:tcPr>
          <w:p w14:paraId="0A83BDC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7B14B2A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72D1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567" w:type="dxa"/>
            <w:vMerge w:val="continue"/>
            <w:vAlign w:val="center"/>
          </w:tcPr>
          <w:p w14:paraId="4147B644">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7728320E">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会商与</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信息</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交流</w:t>
            </w:r>
          </w:p>
        </w:tc>
        <w:tc>
          <w:tcPr>
            <w:tcW w:w="4111" w:type="dxa"/>
            <w:vAlign w:val="center"/>
          </w:tcPr>
          <w:p w14:paraId="5C153DBE">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每天9:00以短信方式汇报前一日工作情况及当日工作安排。出现仪器故障、监测数据异常等情况时以电话和电子形式及时上报</w:t>
            </w:r>
          </w:p>
        </w:tc>
        <w:tc>
          <w:tcPr>
            <w:tcW w:w="2044" w:type="dxa"/>
            <w:vAlign w:val="center"/>
          </w:tcPr>
          <w:p w14:paraId="35EE893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错、漏1次扣0.5分</w:t>
            </w:r>
          </w:p>
        </w:tc>
        <w:tc>
          <w:tcPr>
            <w:tcW w:w="709" w:type="dxa"/>
            <w:vAlign w:val="center"/>
          </w:tcPr>
          <w:p w14:paraId="1B1247F1">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275E96E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6B59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567" w:type="dxa"/>
            <w:vMerge w:val="continue"/>
            <w:vAlign w:val="center"/>
          </w:tcPr>
          <w:p w14:paraId="59D318CE">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126B720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监测数据审核和管理</w:t>
            </w:r>
          </w:p>
        </w:tc>
        <w:tc>
          <w:tcPr>
            <w:tcW w:w="4111" w:type="dxa"/>
            <w:vAlign w:val="center"/>
          </w:tcPr>
          <w:p w14:paraId="3F022C31">
            <w:pPr>
              <w:widowControl/>
              <w:spacing w:line="30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安排专人专职负责管理和监控数据，每日对数据进行审核并标记核实异常和无效数据，超标数据必须核实原因并及时汇报。</w:t>
            </w:r>
          </w:p>
        </w:tc>
        <w:tc>
          <w:tcPr>
            <w:tcW w:w="2044" w:type="dxa"/>
            <w:vAlign w:val="center"/>
          </w:tcPr>
          <w:p w14:paraId="51662FB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错、漏1项扣1分</w:t>
            </w:r>
          </w:p>
        </w:tc>
        <w:tc>
          <w:tcPr>
            <w:tcW w:w="709" w:type="dxa"/>
            <w:vAlign w:val="center"/>
          </w:tcPr>
          <w:p w14:paraId="58423AA1">
            <w:pPr>
              <w:widowControl/>
              <w:spacing w:line="300" w:lineRule="auto"/>
              <w:ind w:firstLine="0" w:firstLineChars="0"/>
              <w:jc w:val="center"/>
              <w:rPr>
                <w:rFonts w:ascii="宋体" w:hAnsi="宋体" w:cs="宋体"/>
                <w:color w:val="auto"/>
                <w:kern w:val="0"/>
                <w:sz w:val="21"/>
                <w:szCs w:val="21"/>
                <w:highlight w:val="none"/>
              </w:rPr>
            </w:pPr>
          </w:p>
        </w:tc>
        <w:tc>
          <w:tcPr>
            <w:tcW w:w="790" w:type="dxa"/>
            <w:vAlign w:val="center"/>
          </w:tcPr>
          <w:p w14:paraId="7FD00B93">
            <w:pPr>
              <w:widowControl/>
              <w:spacing w:line="300" w:lineRule="auto"/>
              <w:ind w:firstLine="0" w:firstLineChars="0"/>
              <w:jc w:val="center"/>
              <w:rPr>
                <w:rFonts w:ascii="宋体" w:hAnsi="宋体" w:cs="宋体"/>
                <w:color w:val="auto"/>
                <w:kern w:val="0"/>
                <w:sz w:val="21"/>
                <w:szCs w:val="21"/>
                <w:highlight w:val="none"/>
              </w:rPr>
            </w:pPr>
          </w:p>
        </w:tc>
      </w:tr>
      <w:tr w14:paraId="266A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567" w:type="dxa"/>
            <w:vMerge w:val="continue"/>
            <w:vAlign w:val="center"/>
          </w:tcPr>
          <w:p w14:paraId="51341BEB">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571FF74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子站现场巡检</w:t>
            </w:r>
          </w:p>
        </w:tc>
        <w:tc>
          <w:tcPr>
            <w:tcW w:w="4111" w:type="dxa"/>
            <w:vAlign w:val="center"/>
          </w:tcPr>
          <w:p w14:paraId="005EA17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频次：不少于1次/（站•周）。巡检内容和记录要素，要包括子站监测系统所有功能单元的最新运行情况和现场检查维护情况，反映在巡检记录表上的巡检内容和记录要素必须完整，并与实际子站情况相符，记录内容不完整、不规范和弄虚作假的当作缺检计算，每月的前10天内，提交上月子站巡检记录，每季前15天进行汇总。</w:t>
            </w:r>
          </w:p>
        </w:tc>
        <w:tc>
          <w:tcPr>
            <w:tcW w:w="2044" w:type="dxa"/>
            <w:vAlign w:val="center"/>
          </w:tcPr>
          <w:p w14:paraId="4964DB9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错、漏1次巡检扣1分</w:t>
            </w:r>
          </w:p>
        </w:tc>
        <w:tc>
          <w:tcPr>
            <w:tcW w:w="709" w:type="dxa"/>
            <w:vAlign w:val="center"/>
          </w:tcPr>
          <w:p w14:paraId="3D494B1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3FD340D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58E8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67" w:type="dxa"/>
            <w:vMerge w:val="continue"/>
            <w:vAlign w:val="center"/>
          </w:tcPr>
          <w:p w14:paraId="61F06819">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5ED66F1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仪器和平台故障排除</w:t>
            </w:r>
          </w:p>
        </w:tc>
        <w:tc>
          <w:tcPr>
            <w:tcW w:w="4111" w:type="dxa"/>
            <w:vAlign w:val="center"/>
          </w:tcPr>
          <w:p w14:paraId="637056F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故障检修到场与故障排除（指恢复正常运行，不可抗力的破坏以及如停电停水、预防性维护、受控备件供应不上等情况除外）必须及时：1小时内到达故障现场，水质应急事件必须1小时内到达现场，48小时内排除故障；如在规定时间内无法恢复正常运行，则按要求规定一周三次手工采样，并委托有资质的单位进行手工分析，每周一8:30上报手工采样数据（附原始报告）</w:t>
            </w:r>
          </w:p>
        </w:tc>
        <w:tc>
          <w:tcPr>
            <w:tcW w:w="2044" w:type="dxa"/>
            <w:vAlign w:val="center"/>
          </w:tcPr>
          <w:p w14:paraId="67C50F81">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每个参数不响应1次或超过时限每天扣1分，超过5天每天扣2分</w:t>
            </w:r>
          </w:p>
        </w:tc>
        <w:tc>
          <w:tcPr>
            <w:tcW w:w="709" w:type="dxa"/>
            <w:vAlign w:val="center"/>
          </w:tcPr>
          <w:p w14:paraId="0DF0B68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6697641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1B0C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567" w:type="dxa"/>
            <w:vMerge w:val="continue"/>
            <w:vAlign w:val="center"/>
          </w:tcPr>
          <w:p w14:paraId="66701C7C">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76019F3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站房环境及辅助设备维护</w:t>
            </w:r>
          </w:p>
        </w:tc>
        <w:tc>
          <w:tcPr>
            <w:tcW w:w="4111" w:type="dxa"/>
            <w:vAlign w:val="center"/>
          </w:tcPr>
          <w:p w14:paraId="374680A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站房内外整洁、维持站房温湿度环境稳定、防火防盗防雷。维护辅助设备稳定运行等。</w:t>
            </w:r>
          </w:p>
        </w:tc>
        <w:tc>
          <w:tcPr>
            <w:tcW w:w="2044" w:type="dxa"/>
            <w:vAlign w:val="center"/>
          </w:tcPr>
          <w:p w14:paraId="26C1BDC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错、漏1次扣1分；辅助设备无正当理由一个月内没维修扣2分，超过一个月每月扣3分</w:t>
            </w:r>
          </w:p>
        </w:tc>
        <w:tc>
          <w:tcPr>
            <w:tcW w:w="709" w:type="dxa"/>
            <w:vAlign w:val="center"/>
          </w:tcPr>
          <w:p w14:paraId="7199C5CB">
            <w:pPr>
              <w:widowControl/>
              <w:spacing w:line="300" w:lineRule="auto"/>
              <w:ind w:firstLine="0" w:firstLineChars="0"/>
              <w:jc w:val="center"/>
              <w:rPr>
                <w:rFonts w:ascii="宋体" w:hAnsi="宋体" w:cs="宋体"/>
                <w:color w:val="auto"/>
                <w:kern w:val="0"/>
                <w:sz w:val="21"/>
                <w:szCs w:val="21"/>
                <w:highlight w:val="none"/>
              </w:rPr>
            </w:pPr>
          </w:p>
        </w:tc>
        <w:tc>
          <w:tcPr>
            <w:tcW w:w="790" w:type="dxa"/>
            <w:vAlign w:val="center"/>
          </w:tcPr>
          <w:p w14:paraId="3345E26D">
            <w:pPr>
              <w:widowControl/>
              <w:spacing w:line="300" w:lineRule="auto"/>
              <w:ind w:firstLine="0" w:firstLineChars="0"/>
              <w:jc w:val="center"/>
              <w:rPr>
                <w:rFonts w:ascii="宋体" w:hAnsi="宋体" w:cs="宋体"/>
                <w:color w:val="auto"/>
                <w:kern w:val="0"/>
                <w:sz w:val="21"/>
                <w:szCs w:val="21"/>
                <w:highlight w:val="none"/>
              </w:rPr>
            </w:pPr>
          </w:p>
        </w:tc>
      </w:tr>
      <w:tr w14:paraId="3290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567" w:type="dxa"/>
            <w:vMerge w:val="continue"/>
            <w:vAlign w:val="center"/>
          </w:tcPr>
          <w:p w14:paraId="3E79013E">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4331867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仪器运行维护</w:t>
            </w:r>
          </w:p>
        </w:tc>
        <w:tc>
          <w:tcPr>
            <w:tcW w:w="4111" w:type="dxa"/>
            <w:vAlign w:val="center"/>
          </w:tcPr>
          <w:p w14:paraId="5E0015A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按照相关要求进行运行状态系统检查、清洗、校准、打磨、更换试剂、更换零备件等维护工作</w:t>
            </w:r>
          </w:p>
        </w:tc>
        <w:tc>
          <w:tcPr>
            <w:tcW w:w="2044" w:type="dxa"/>
            <w:vAlign w:val="center"/>
          </w:tcPr>
          <w:p w14:paraId="444BE87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错、漏1次扣1分</w:t>
            </w:r>
          </w:p>
        </w:tc>
        <w:tc>
          <w:tcPr>
            <w:tcW w:w="709" w:type="dxa"/>
            <w:vAlign w:val="center"/>
          </w:tcPr>
          <w:p w14:paraId="2F21B835">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3BA48BB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4451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67" w:type="dxa"/>
            <w:vMerge w:val="continue"/>
            <w:vAlign w:val="center"/>
          </w:tcPr>
          <w:p w14:paraId="779844D4">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27956BC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质量控制</w:t>
            </w:r>
          </w:p>
        </w:tc>
        <w:tc>
          <w:tcPr>
            <w:tcW w:w="4111" w:type="dxa"/>
            <w:vAlign w:val="center"/>
          </w:tcPr>
          <w:p w14:paraId="2A55A22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每个参数“周核查、月比对”</w:t>
            </w:r>
          </w:p>
        </w:tc>
        <w:tc>
          <w:tcPr>
            <w:tcW w:w="2044" w:type="dxa"/>
            <w:vAlign w:val="center"/>
          </w:tcPr>
          <w:p w14:paraId="323B076A">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错、漏1个参数1次1分</w:t>
            </w:r>
          </w:p>
        </w:tc>
        <w:tc>
          <w:tcPr>
            <w:tcW w:w="709" w:type="dxa"/>
            <w:vAlign w:val="center"/>
          </w:tcPr>
          <w:p w14:paraId="1D98456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75AB365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472A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67" w:type="dxa"/>
            <w:vMerge w:val="continue"/>
            <w:vAlign w:val="center"/>
          </w:tcPr>
          <w:p w14:paraId="067F0325">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51A85DA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废液处理</w:t>
            </w:r>
          </w:p>
        </w:tc>
        <w:tc>
          <w:tcPr>
            <w:tcW w:w="4111" w:type="dxa"/>
            <w:vAlign w:val="center"/>
          </w:tcPr>
          <w:p w14:paraId="431CFCB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做好废液收集并妥善处理处置废液，废液桶标识清晰</w:t>
            </w:r>
          </w:p>
        </w:tc>
        <w:tc>
          <w:tcPr>
            <w:tcW w:w="2044" w:type="dxa"/>
            <w:vAlign w:val="center"/>
          </w:tcPr>
          <w:p w14:paraId="4A181C2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废液桶无标识扣2分；不及时、不规范处理处置废液的，扣1分；废液放置站房外长期存放扣4分</w:t>
            </w:r>
          </w:p>
        </w:tc>
        <w:tc>
          <w:tcPr>
            <w:tcW w:w="709" w:type="dxa"/>
            <w:vAlign w:val="center"/>
          </w:tcPr>
          <w:p w14:paraId="19FBC614">
            <w:pPr>
              <w:widowControl/>
              <w:spacing w:line="300" w:lineRule="auto"/>
              <w:ind w:firstLine="0" w:firstLineChars="0"/>
              <w:jc w:val="center"/>
              <w:rPr>
                <w:rFonts w:ascii="宋体" w:hAnsi="宋体" w:cs="宋体"/>
                <w:color w:val="auto"/>
                <w:kern w:val="0"/>
                <w:sz w:val="21"/>
                <w:szCs w:val="21"/>
                <w:highlight w:val="none"/>
              </w:rPr>
            </w:pPr>
          </w:p>
        </w:tc>
        <w:tc>
          <w:tcPr>
            <w:tcW w:w="790" w:type="dxa"/>
            <w:vAlign w:val="center"/>
          </w:tcPr>
          <w:p w14:paraId="6AEAA78F">
            <w:pPr>
              <w:widowControl/>
              <w:spacing w:line="300" w:lineRule="auto"/>
              <w:ind w:firstLine="0" w:firstLineChars="0"/>
              <w:jc w:val="center"/>
              <w:rPr>
                <w:rFonts w:ascii="宋体" w:hAnsi="宋体" w:cs="宋体"/>
                <w:color w:val="auto"/>
                <w:kern w:val="0"/>
                <w:sz w:val="21"/>
                <w:szCs w:val="21"/>
                <w:highlight w:val="none"/>
              </w:rPr>
            </w:pPr>
          </w:p>
        </w:tc>
      </w:tr>
      <w:tr w14:paraId="2B62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67" w:type="dxa"/>
            <w:vMerge w:val="continue"/>
            <w:vAlign w:val="center"/>
          </w:tcPr>
          <w:p w14:paraId="5782AC2D">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4B1431A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数据保密</w:t>
            </w:r>
          </w:p>
        </w:tc>
        <w:tc>
          <w:tcPr>
            <w:tcW w:w="4111" w:type="dxa"/>
            <w:vAlign w:val="center"/>
          </w:tcPr>
          <w:p w14:paraId="60C0F44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不论何时，运维单位都应承担监测数据的保密责任；运维单位按照采购人的要求，进行报告和传输有关的监测数据，均不得以任何方式和渠道向外界传递任何监测数据。</w:t>
            </w:r>
          </w:p>
        </w:tc>
        <w:tc>
          <w:tcPr>
            <w:tcW w:w="2044" w:type="dxa"/>
            <w:vAlign w:val="center"/>
          </w:tcPr>
          <w:p w14:paraId="6568659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发现1次扣20分</w:t>
            </w:r>
          </w:p>
        </w:tc>
        <w:tc>
          <w:tcPr>
            <w:tcW w:w="709" w:type="dxa"/>
            <w:vAlign w:val="center"/>
          </w:tcPr>
          <w:p w14:paraId="710E403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4AC2B9E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6DFE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67" w:type="dxa"/>
            <w:vMerge w:val="continue"/>
            <w:vAlign w:val="center"/>
          </w:tcPr>
          <w:p w14:paraId="00FAFDA4">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37E11C2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记录</w:t>
            </w:r>
          </w:p>
        </w:tc>
        <w:tc>
          <w:tcPr>
            <w:tcW w:w="4111" w:type="dxa"/>
            <w:vAlign w:val="center"/>
          </w:tcPr>
          <w:p w14:paraId="5200BD2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按规范要求做好日常相关记录表格，每月交一次所有记录给采购方审查。采购方可随时抽查记录内容，运营商须及时提供，不得阻挠、拖延、伪造。</w:t>
            </w:r>
          </w:p>
        </w:tc>
        <w:tc>
          <w:tcPr>
            <w:tcW w:w="2044" w:type="dxa"/>
            <w:vAlign w:val="center"/>
          </w:tcPr>
          <w:p w14:paraId="0165A26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期限内缺1份扣1分</w:t>
            </w:r>
          </w:p>
        </w:tc>
        <w:tc>
          <w:tcPr>
            <w:tcW w:w="709" w:type="dxa"/>
            <w:vAlign w:val="center"/>
          </w:tcPr>
          <w:p w14:paraId="3314922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3737AD4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095F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567" w:type="dxa"/>
            <w:vMerge w:val="restart"/>
            <w:vAlign w:val="center"/>
          </w:tcPr>
          <w:p w14:paraId="4B6C642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服务质量</w:t>
            </w:r>
          </w:p>
        </w:tc>
        <w:tc>
          <w:tcPr>
            <w:tcW w:w="1158" w:type="dxa"/>
            <w:vAlign w:val="center"/>
          </w:tcPr>
          <w:p w14:paraId="184BADD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质控考核</w:t>
            </w:r>
          </w:p>
        </w:tc>
        <w:tc>
          <w:tcPr>
            <w:tcW w:w="4111" w:type="dxa"/>
            <w:vAlign w:val="center"/>
          </w:tcPr>
          <w:p w14:paraId="2A592AB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接受采购人或采购人委托的第三方机构或采购人上级部门考核的定期或不定期考核</w:t>
            </w:r>
          </w:p>
        </w:tc>
        <w:tc>
          <w:tcPr>
            <w:tcW w:w="2044" w:type="dxa"/>
            <w:vAlign w:val="center"/>
          </w:tcPr>
          <w:p w14:paraId="39C8498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上级部门考核不合格1次扣20分；本单位内部（或委托第三方机构）考核1个参数1次不合格扣2分</w:t>
            </w:r>
          </w:p>
        </w:tc>
        <w:tc>
          <w:tcPr>
            <w:tcW w:w="709" w:type="dxa"/>
            <w:vAlign w:val="center"/>
          </w:tcPr>
          <w:p w14:paraId="53B9AFD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159B7EE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25E3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567" w:type="dxa"/>
            <w:vMerge w:val="continue"/>
            <w:vAlign w:val="center"/>
          </w:tcPr>
          <w:p w14:paraId="2CA3986D">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1B1B5D5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服务态度</w:t>
            </w:r>
          </w:p>
        </w:tc>
        <w:tc>
          <w:tcPr>
            <w:tcW w:w="4111" w:type="dxa"/>
            <w:vAlign w:val="center"/>
          </w:tcPr>
          <w:p w14:paraId="03D7F6D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运维人员按要求开展各项工作</w:t>
            </w:r>
          </w:p>
        </w:tc>
        <w:tc>
          <w:tcPr>
            <w:tcW w:w="2044" w:type="dxa"/>
            <w:vAlign w:val="center"/>
          </w:tcPr>
          <w:p w14:paraId="0F249C9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工作拖拉、推诿、态度恶劣、语言过激造成不良影响的扣5分</w:t>
            </w:r>
          </w:p>
        </w:tc>
        <w:tc>
          <w:tcPr>
            <w:tcW w:w="709" w:type="dxa"/>
            <w:vAlign w:val="center"/>
          </w:tcPr>
          <w:p w14:paraId="0A97756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6F803E51">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1431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67" w:type="dxa"/>
            <w:vMerge w:val="continue"/>
            <w:vAlign w:val="center"/>
          </w:tcPr>
          <w:p w14:paraId="2AC9CD68">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1AD9E8D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记录、报告规范</w:t>
            </w:r>
          </w:p>
        </w:tc>
        <w:tc>
          <w:tcPr>
            <w:tcW w:w="4111" w:type="dxa"/>
            <w:vAlign w:val="center"/>
          </w:tcPr>
          <w:p w14:paraId="34C68D0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所有记录须字体清晰，不得模糊潦草，并按规范填写相应内容。</w:t>
            </w:r>
          </w:p>
        </w:tc>
        <w:tc>
          <w:tcPr>
            <w:tcW w:w="2044" w:type="dxa"/>
            <w:vAlign w:val="center"/>
          </w:tcPr>
          <w:p w14:paraId="401DD26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1项扣1分</w:t>
            </w:r>
          </w:p>
        </w:tc>
        <w:tc>
          <w:tcPr>
            <w:tcW w:w="709" w:type="dxa"/>
            <w:vAlign w:val="center"/>
          </w:tcPr>
          <w:p w14:paraId="531CEF5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1815B79E">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565B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567" w:type="dxa"/>
            <w:vMerge w:val="continue"/>
            <w:vAlign w:val="center"/>
          </w:tcPr>
          <w:p w14:paraId="57F5303C">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74485A37">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单站单项数据月度有效获取率</w:t>
            </w:r>
          </w:p>
        </w:tc>
        <w:tc>
          <w:tcPr>
            <w:tcW w:w="4111" w:type="dxa"/>
            <w:vAlign w:val="center"/>
          </w:tcPr>
          <w:p w14:paraId="16B9E9D1">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每个子站每个参数月度有效数据获取率不小于90%</w:t>
            </w:r>
          </w:p>
        </w:tc>
        <w:tc>
          <w:tcPr>
            <w:tcW w:w="2044" w:type="dxa"/>
            <w:vAlign w:val="center"/>
          </w:tcPr>
          <w:p w14:paraId="754BB7E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单站单项不达标1次扣2分</w:t>
            </w:r>
          </w:p>
        </w:tc>
        <w:tc>
          <w:tcPr>
            <w:tcW w:w="709" w:type="dxa"/>
            <w:vAlign w:val="center"/>
          </w:tcPr>
          <w:p w14:paraId="74DA6BC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7A66D73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1510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567" w:type="dxa"/>
            <w:vMerge w:val="continue"/>
            <w:vAlign w:val="center"/>
          </w:tcPr>
          <w:p w14:paraId="02B0FFF0">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5B574FA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单站数据有效率</w:t>
            </w:r>
          </w:p>
        </w:tc>
        <w:tc>
          <w:tcPr>
            <w:tcW w:w="4111" w:type="dxa"/>
            <w:vAlign w:val="center"/>
          </w:tcPr>
          <w:p w14:paraId="3F98E0F1">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每月所有参数数据有效率≥80%（除去断流、停电、不可抗力因素引起的故障或停运，以及采购方认为可以扣除 的时间段）</w:t>
            </w:r>
          </w:p>
        </w:tc>
        <w:tc>
          <w:tcPr>
            <w:tcW w:w="2044" w:type="dxa"/>
            <w:vAlign w:val="center"/>
          </w:tcPr>
          <w:p w14:paraId="66FA4B66">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有效率每降低1%（四舍五入），扣1 分。注：考核参数最低的有效率，不考核平均有效率。</w:t>
            </w:r>
          </w:p>
        </w:tc>
        <w:tc>
          <w:tcPr>
            <w:tcW w:w="709" w:type="dxa"/>
            <w:vAlign w:val="center"/>
          </w:tcPr>
          <w:p w14:paraId="2B2B7DB2">
            <w:pPr>
              <w:widowControl/>
              <w:spacing w:line="300" w:lineRule="auto"/>
              <w:ind w:firstLine="0" w:firstLineChars="0"/>
              <w:jc w:val="center"/>
              <w:rPr>
                <w:rFonts w:ascii="宋体" w:hAnsi="宋体" w:cs="宋体"/>
                <w:color w:val="auto"/>
                <w:kern w:val="0"/>
                <w:sz w:val="21"/>
                <w:szCs w:val="21"/>
                <w:highlight w:val="none"/>
              </w:rPr>
            </w:pPr>
          </w:p>
        </w:tc>
        <w:tc>
          <w:tcPr>
            <w:tcW w:w="790" w:type="dxa"/>
            <w:vAlign w:val="center"/>
          </w:tcPr>
          <w:p w14:paraId="3E81CFE2">
            <w:pPr>
              <w:widowControl/>
              <w:spacing w:line="300" w:lineRule="auto"/>
              <w:ind w:firstLine="0" w:firstLineChars="0"/>
              <w:jc w:val="center"/>
              <w:rPr>
                <w:rFonts w:ascii="宋体" w:hAnsi="宋体" w:cs="宋体"/>
                <w:color w:val="auto"/>
                <w:kern w:val="0"/>
                <w:sz w:val="21"/>
                <w:szCs w:val="21"/>
                <w:highlight w:val="none"/>
              </w:rPr>
            </w:pPr>
          </w:p>
        </w:tc>
      </w:tr>
      <w:tr w14:paraId="198D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67" w:type="dxa"/>
            <w:vMerge w:val="continue"/>
            <w:vAlign w:val="center"/>
          </w:tcPr>
          <w:p w14:paraId="45D8484D">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155A7B8E">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备机使用情况</w:t>
            </w:r>
          </w:p>
        </w:tc>
        <w:tc>
          <w:tcPr>
            <w:tcW w:w="4111" w:type="dxa"/>
            <w:vAlign w:val="center"/>
          </w:tcPr>
          <w:p w14:paraId="4B42B84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未经许可，</w:t>
            </w:r>
            <w:r>
              <w:rPr>
                <w:rFonts w:hint="eastAsia" w:ascii="宋体" w:hAnsi="宋体" w:cs="宋体"/>
                <w:color w:val="auto"/>
                <w:kern w:val="0"/>
                <w:sz w:val="21"/>
                <w:szCs w:val="21"/>
                <w:highlight w:val="none"/>
              </w:rPr>
              <w:t>备机连续使用不得超过1个月</w:t>
            </w:r>
          </w:p>
        </w:tc>
        <w:tc>
          <w:tcPr>
            <w:tcW w:w="2044" w:type="dxa"/>
            <w:vAlign w:val="center"/>
          </w:tcPr>
          <w:p w14:paraId="59A520E9">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1个项目超过1天每天扣1分，超过5天每天扣2分</w:t>
            </w:r>
          </w:p>
        </w:tc>
        <w:tc>
          <w:tcPr>
            <w:tcW w:w="709" w:type="dxa"/>
            <w:vAlign w:val="center"/>
          </w:tcPr>
          <w:p w14:paraId="2EEC7AAA">
            <w:pPr>
              <w:widowControl/>
              <w:spacing w:line="300" w:lineRule="auto"/>
              <w:ind w:firstLine="0" w:firstLineChars="0"/>
              <w:jc w:val="center"/>
              <w:rPr>
                <w:rFonts w:ascii="宋体" w:hAnsi="宋体" w:cs="宋体"/>
                <w:color w:val="auto"/>
                <w:kern w:val="0"/>
                <w:sz w:val="21"/>
                <w:szCs w:val="21"/>
                <w:highlight w:val="none"/>
              </w:rPr>
            </w:pPr>
          </w:p>
        </w:tc>
        <w:tc>
          <w:tcPr>
            <w:tcW w:w="790" w:type="dxa"/>
            <w:vAlign w:val="center"/>
          </w:tcPr>
          <w:p w14:paraId="412A9470">
            <w:pPr>
              <w:widowControl/>
              <w:spacing w:line="300" w:lineRule="auto"/>
              <w:ind w:firstLine="0" w:firstLineChars="0"/>
              <w:jc w:val="center"/>
              <w:rPr>
                <w:rFonts w:ascii="宋体" w:hAnsi="宋体" w:cs="宋体"/>
                <w:color w:val="auto"/>
                <w:kern w:val="0"/>
                <w:sz w:val="21"/>
                <w:szCs w:val="21"/>
                <w:highlight w:val="none"/>
              </w:rPr>
            </w:pPr>
          </w:p>
        </w:tc>
      </w:tr>
      <w:tr w14:paraId="33AD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67" w:type="dxa"/>
            <w:vMerge w:val="continue"/>
            <w:vAlign w:val="center"/>
          </w:tcPr>
          <w:p w14:paraId="61BCCE0A">
            <w:pPr>
              <w:widowControl/>
              <w:spacing w:line="300" w:lineRule="auto"/>
              <w:ind w:firstLine="0" w:firstLineChars="0"/>
              <w:jc w:val="left"/>
              <w:rPr>
                <w:rFonts w:ascii="宋体" w:hAnsi="宋体" w:cs="宋体"/>
                <w:color w:val="auto"/>
                <w:kern w:val="0"/>
                <w:sz w:val="21"/>
                <w:szCs w:val="21"/>
                <w:highlight w:val="none"/>
              </w:rPr>
            </w:pPr>
          </w:p>
        </w:tc>
        <w:tc>
          <w:tcPr>
            <w:tcW w:w="1158" w:type="dxa"/>
            <w:vMerge w:val="restart"/>
            <w:vAlign w:val="center"/>
          </w:tcPr>
          <w:p w14:paraId="2339412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（是否存在不满足合同或相关规范要求的情况）</w:t>
            </w:r>
          </w:p>
        </w:tc>
        <w:tc>
          <w:tcPr>
            <w:tcW w:w="4111" w:type="dxa"/>
            <w:vAlign w:val="center"/>
          </w:tcPr>
          <w:p w14:paraId="6685681B">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但对数据不造成影响的项目</w:t>
            </w:r>
          </w:p>
        </w:tc>
        <w:tc>
          <w:tcPr>
            <w:tcW w:w="2044" w:type="dxa"/>
            <w:vAlign w:val="center"/>
          </w:tcPr>
          <w:p w14:paraId="26F7C613">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每1项扣1分</w:t>
            </w:r>
          </w:p>
        </w:tc>
        <w:tc>
          <w:tcPr>
            <w:tcW w:w="709" w:type="dxa"/>
            <w:vAlign w:val="center"/>
          </w:tcPr>
          <w:p w14:paraId="0A76A0D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90" w:type="dxa"/>
            <w:vAlign w:val="center"/>
          </w:tcPr>
          <w:p w14:paraId="04044A92">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7E91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7" w:type="dxa"/>
            <w:vMerge w:val="continue"/>
            <w:vAlign w:val="center"/>
          </w:tcPr>
          <w:p w14:paraId="1FF91F84">
            <w:pPr>
              <w:widowControl/>
              <w:spacing w:line="300" w:lineRule="auto"/>
              <w:ind w:firstLine="0" w:firstLineChars="0"/>
              <w:jc w:val="left"/>
              <w:rPr>
                <w:rFonts w:ascii="宋体" w:hAnsi="宋体" w:cs="宋体"/>
                <w:color w:val="auto"/>
                <w:kern w:val="0"/>
                <w:sz w:val="21"/>
                <w:szCs w:val="21"/>
                <w:highlight w:val="none"/>
              </w:rPr>
            </w:pPr>
          </w:p>
        </w:tc>
        <w:tc>
          <w:tcPr>
            <w:tcW w:w="1158" w:type="dxa"/>
            <w:vMerge w:val="continue"/>
            <w:vAlign w:val="center"/>
          </w:tcPr>
          <w:p w14:paraId="333AD32F">
            <w:pPr>
              <w:widowControl/>
              <w:spacing w:line="300" w:lineRule="auto"/>
              <w:ind w:firstLine="0" w:firstLineChars="0"/>
              <w:jc w:val="left"/>
              <w:rPr>
                <w:rFonts w:ascii="宋体" w:hAnsi="宋体" w:cs="宋体"/>
                <w:color w:val="auto"/>
                <w:kern w:val="0"/>
                <w:sz w:val="21"/>
                <w:szCs w:val="21"/>
                <w:highlight w:val="none"/>
              </w:rPr>
            </w:pPr>
          </w:p>
        </w:tc>
        <w:tc>
          <w:tcPr>
            <w:tcW w:w="4111" w:type="dxa"/>
            <w:vAlign w:val="center"/>
          </w:tcPr>
          <w:p w14:paraId="72C48FC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且可能对数据造成严重影响的项目</w:t>
            </w:r>
          </w:p>
        </w:tc>
        <w:tc>
          <w:tcPr>
            <w:tcW w:w="2044" w:type="dxa"/>
            <w:vAlign w:val="center"/>
          </w:tcPr>
          <w:p w14:paraId="79CDDAF4">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每1项扣3分</w:t>
            </w:r>
          </w:p>
        </w:tc>
        <w:tc>
          <w:tcPr>
            <w:tcW w:w="709" w:type="dxa"/>
            <w:vAlign w:val="center"/>
          </w:tcPr>
          <w:p w14:paraId="6955AC10">
            <w:pPr>
              <w:spacing w:line="300" w:lineRule="auto"/>
              <w:ind w:firstLine="0" w:firstLineChars="0"/>
              <w:jc w:val="left"/>
              <w:rPr>
                <w:rFonts w:ascii="宋体" w:hAnsi="宋体" w:cs="宋体"/>
                <w:color w:val="auto"/>
                <w:kern w:val="0"/>
                <w:sz w:val="21"/>
                <w:szCs w:val="21"/>
                <w:highlight w:val="none"/>
              </w:rPr>
            </w:pPr>
          </w:p>
        </w:tc>
        <w:tc>
          <w:tcPr>
            <w:tcW w:w="790" w:type="dxa"/>
            <w:vAlign w:val="center"/>
          </w:tcPr>
          <w:p w14:paraId="16B6D189">
            <w:pPr>
              <w:spacing w:line="300" w:lineRule="auto"/>
              <w:ind w:firstLine="0" w:firstLineChars="0"/>
              <w:jc w:val="left"/>
              <w:rPr>
                <w:rFonts w:ascii="宋体" w:hAnsi="宋体" w:cs="宋体"/>
                <w:color w:val="auto"/>
                <w:kern w:val="0"/>
                <w:sz w:val="21"/>
                <w:szCs w:val="21"/>
                <w:highlight w:val="none"/>
              </w:rPr>
            </w:pPr>
          </w:p>
        </w:tc>
      </w:tr>
      <w:tr w14:paraId="6DB7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67" w:type="dxa"/>
            <w:vMerge w:val="continue"/>
            <w:vAlign w:val="center"/>
          </w:tcPr>
          <w:p w14:paraId="20C1F612">
            <w:pPr>
              <w:widowControl/>
              <w:spacing w:line="300" w:lineRule="auto"/>
              <w:ind w:firstLine="0" w:firstLineChars="0"/>
              <w:jc w:val="left"/>
              <w:rPr>
                <w:rFonts w:ascii="宋体" w:hAnsi="宋体" w:cs="宋体"/>
                <w:color w:val="auto"/>
                <w:kern w:val="0"/>
                <w:sz w:val="21"/>
                <w:szCs w:val="21"/>
                <w:highlight w:val="none"/>
              </w:rPr>
            </w:pPr>
          </w:p>
        </w:tc>
        <w:tc>
          <w:tcPr>
            <w:tcW w:w="1158" w:type="dxa"/>
            <w:vMerge w:val="continue"/>
            <w:vAlign w:val="center"/>
          </w:tcPr>
          <w:p w14:paraId="4C09D925">
            <w:pPr>
              <w:widowControl/>
              <w:spacing w:line="300" w:lineRule="auto"/>
              <w:ind w:firstLine="0" w:firstLineChars="0"/>
              <w:jc w:val="left"/>
              <w:rPr>
                <w:rFonts w:ascii="宋体" w:hAnsi="宋体" w:cs="宋体"/>
                <w:color w:val="auto"/>
                <w:kern w:val="0"/>
                <w:sz w:val="21"/>
                <w:szCs w:val="21"/>
                <w:highlight w:val="none"/>
              </w:rPr>
            </w:pPr>
          </w:p>
        </w:tc>
        <w:tc>
          <w:tcPr>
            <w:tcW w:w="4111" w:type="dxa"/>
            <w:vAlign w:val="center"/>
          </w:tcPr>
          <w:p w14:paraId="30DC3AA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且已对数据造成严重影响的项目</w:t>
            </w:r>
          </w:p>
        </w:tc>
        <w:tc>
          <w:tcPr>
            <w:tcW w:w="2044" w:type="dxa"/>
            <w:vAlign w:val="center"/>
          </w:tcPr>
          <w:p w14:paraId="0BC30D2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每1项扣5分</w:t>
            </w:r>
          </w:p>
        </w:tc>
        <w:tc>
          <w:tcPr>
            <w:tcW w:w="709" w:type="dxa"/>
            <w:vAlign w:val="center"/>
          </w:tcPr>
          <w:p w14:paraId="54DD88DC">
            <w:pPr>
              <w:widowControl/>
              <w:spacing w:line="300" w:lineRule="auto"/>
              <w:ind w:firstLine="0" w:firstLineChars="0"/>
              <w:jc w:val="left"/>
              <w:rPr>
                <w:rFonts w:ascii="宋体" w:hAnsi="宋体" w:cs="宋体"/>
                <w:color w:val="auto"/>
                <w:kern w:val="0"/>
                <w:sz w:val="21"/>
                <w:szCs w:val="21"/>
                <w:highlight w:val="none"/>
              </w:rPr>
            </w:pPr>
          </w:p>
        </w:tc>
        <w:tc>
          <w:tcPr>
            <w:tcW w:w="790" w:type="dxa"/>
            <w:vAlign w:val="center"/>
          </w:tcPr>
          <w:p w14:paraId="51D83005">
            <w:pPr>
              <w:widowControl/>
              <w:spacing w:line="300" w:lineRule="auto"/>
              <w:ind w:firstLine="0" w:firstLineChars="0"/>
              <w:jc w:val="left"/>
              <w:rPr>
                <w:rFonts w:ascii="宋体" w:hAnsi="宋体" w:cs="宋体"/>
                <w:color w:val="auto"/>
                <w:kern w:val="0"/>
                <w:sz w:val="21"/>
                <w:szCs w:val="21"/>
                <w:highlight w:val="none"/>
              </w:rPr>
            </w:pPr>
          </w:p>
        </w:tc>
      </w:tr>
      <w:tr w14:paraId="67A7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67" w:type="dxa"/>
            <w:vMerge w:val="continue"/>
            <w:vAlign w:val="center"/>
          </w:tcPr>
          <w:p w14:paraId="22FA1832">
            <w:pPr>
              <w:widowControl/>
              <w:spacing w:line="300" w:lineRule="auto"/>
              <w:ind w:firstLine="0" w:firstLineChars="0"/>
              <w:jc w:val="left"/>
              <w:rPr>
                <w:rFonts w:ascii="宋体" w:hAnsi="宋体" w:cs="宋体"/>
                <w:color w:val="auto"/>
                <w:kern w:val="0"/>
                <w:sz w:val="21"/>
                <w:szCs w:val="21"/>
                <w:highlight w:val="none"/>
              </w:rPr>
            </w:pPr>
          </w:p>
        </w:tc>
        <w:tc>
          <w:tcPr>
            <w:tcW w:w="1158" w:type="dxa"/>
            <w:vAlign w:val="center"/>
          </w:tcPr>
          <w:p w14:paraId="6F7EFA1F">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数据真实性</w:t>
            </w:r>
          </w:p>
        </w:tc>
        <w:tc>
          <w:tcPr>
            <w:tcW w:w="4111" w:type="dxa"/>
            <w:vAlign w:val="center"/>
          </w:tcPr>
          <w:p w14:paraId="754E6DC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制造虚假数据</w:t>
            </w:r>
          </w:p>
        </w:tc>
        <w:tc>
          <w:tcPr>
            <w:tcW w:w="2044" w:type="dxa"/>
            <w:vAlign w:val="center"/>
          </w:tcPr>
          <w:p w14:paraId="5CD712BC">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终止合同，不予支付当季运维费用</w:t>
            </w:r>
          </w:p>
        </w:tc>
        <w:tc>
          <w:tcPr>
            <w:tcW w:w="709" w:type="dxa"/>
            <w:vAlign w:val="center"/>
          </w:tcPr>
          <w:p w14:paraId="41F6983A">
            <w:pPr>
              <w:widowControl/>
              <w:spacing w:line="300" w:lineRule="auto"/>
              <w:ind w:firstLine="0" w:firstLineChars="0"/>
              <w:jc w:val="left"/>
              <w:rPr>
                <w:rFonts w:ascii="宋体" w:hAnsi="宋体" w:cs="宋体"/>
                <w:color w:val="auto"/>
                <w:kern w:val="0"/>
                <w:sz w:val="21"/>
                <w:szCs w:val="21"/>
                <w:highlight w:val="none"/>
              </w:rPr>
            </w:pPr>
          </w:p>
        </w:tc>
        <w:tc>
          <w:tcPr>
            <w:tcW w:w="790" w:type="dxa"/>
            <w:vAlign w:val="center"/>
          </w:tcPr>
          <w:p w14:paraId="2C3AD26C">
            <w:pPr>
              <w:widowControl/>
              <w:spacing w:line="300" w:lineRule="auto"/>
              <w:ind w:firstLine="0" w:firstLineChars="0"/>
              <w:jc w:val="left"/>
              <w:rPr>
                <w:rFonts w:ascii="宋体" w:hAnsi="宋体" w:cs="宋体"/>
                <w:color w:val="auto"/>
                <w:kern w:val="0"/>
                <w:sz w:val="21"/>
                <w:szCs w:val="21"/>
                <w:highlight w:val="none"/>
              </w:rPr>
            </w:pPr>
          </w:p>
        </w:tc>
      </w:tr>
      <w:tr w14:paraId="6667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836" w:type="dxa"/>
            <w:gridSpan w:val="3"/>
            <w:vAlign w:val="center"/>
          </w:tcPr>
          <w:p w14:paraId="15A43A2F">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本季度考核总得分</w:t>
            </w:r>
          </w:p>
        </w:tc>
        <w:tc>
          <w:tcPr>
            <w:tcW w:w="3543" w:type="dxa"/>
            <w:gridSpan w:val="3"/>
            <w:vAlign w:val="center"/>
          </w:tcPr>
          <w:p w14:paraId="5858EC1F">
            <w:pPr>
              <w:widowControl/>
              <w:spacing w:line="300" w:lineRule="auto"/>
              <w:ind w:firstLine="0" w:firstLineChars="0"/>
              <w:jc w:val="center"/>
              <w:rPr>
                <w:rFonts w:ascii="宋体" w:hAnsi="宋体" w:cs="宋体"/>
                <w:b/>
                <w:bCs/>
                <w:color w:val="auto"/>
                <w:kern w:val="0"/>
                <w:sz w:val="21"/>
                <w:szCs w:val="21"/>
                <w:highlight w:val="none"/>
              </w:rPr>
            </w:pPr>
          </w:p>
        </w:tc>
      </w:tr>
      <w:tr w14:paraId="1414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836" w:type="dxa"/>
            <w:gridSpan w:val="3"/>
            <w:vAlign w:val="center"/>
          </w:tcPr>
          <w:p w14:paraId="24F39C59">
            <w:pPr>
              <w:widowControl/>
              <w:spacing w:line="30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本季度考核总评价</w:t>
            </w:r>
          </w:p>
        </w:tc>
        <w:tc>
          <w:tcPr>
            <w:tcW w:w="3543" w:type="dxa"/>
            <w:gridSpan w:val="3"/>
            <w:vAlign w:val="center"/>
          </w:tcPr>
          <w:p w14:paraId="30C1C0F9">
            <w:pPr>
              <w:widowControl/>
              <w:spacing w:line="300" w:lineRule="auto"/>
              <w:ind w:firstLine="0" w:firstLineChars="0"/>
              <w:jc w:val="center"/>
              <w:rPr>
                <w:rFonts w:ascii="宋体" w:hAnsi="宋体" w:cs="宋体"/>
                <w:b/>
                <w:bCs/>
                <w:color w:val="auto"/>
                <w:kern w:val="0"/>
                <w:sz w:val="21"/>
                <w:szCs w:val="21"/>
                <w:highlight w:val="none"/>
              </w:rPr>
            </w:pPr>
          </w:p>
        </w:tc>
      </w:tr>
    </w:tbl>
    <w:p w14:paraId="0092C11D">
      <w:pPr>
        <w:spacing w:line="300" w:lineRule="auto"/>
        <w:ind w:left="120" w:leftChars="50" w:firstLine="315" w:firstLineChars="150"/>
        <w:rPr>
          <w:rFonts w:ascii="宋体" w:hAnsi="宋体" w:cs="宋体"/>
          <w:color w:val="auto"/>
          <w:sz w:val="21"/>
          <w:szCs w:val="21"/>
          <w:highlight w:val="none"/>
        </w:rPr>
      </w:pPr>
    </w:p>
    <w:p w14:paraId="19072EDC">
      <w:pPr>
        <w:spacing w:line="340" w:lineRule="exact"/>
        <w:ind w:firstLine="527" w:firstLineChars="250"/>
        <w:rPr>
          <w:rFonts w:ascii="宋体" w:hAnsi="宋体" w:cs="宋体"/>
          <w:b/>
          <w:color w:val="auto"/>
          <w:sz w:val="21"/>
          <w:szCs w:val="24"/>
          <w:highlight w:val="none"/>
        </w:rPr>
      </w:pPr>
      <w:r>
        <w:rPr>
          <w:rFonts w:hint="eastAsia" w:ascii="宋体" w:hAnsi="宋体"/>
          <w:b/>
          <w:color w:val="auto"/>
          <w:sz w:val="21"/>
          <w:szCs w:val="21"/>
          <w:highlight w:val="none"/>
        </w:rPr>
        <w:t>第七条  服务期限、地点</w:t>
      </w:r>
    </w:p>
    <w:p w14:paraId="439D5FAD">
      <w:pPr>
        <w:spacing w:line="340" w:lineRule="exact"/>
        <w:ind w:firstLine="420"/>
        <w:rPr>
          <w:rFonts w:ascii="宋体" w:hAnsi="宋体"/>
          <w:color w:val="auto"/>
          <w:sz w:val="21"/>
          <w:szCs w:val="21"/>
          <w:highlight w:val="none"/>
          <w:u w:val="single"/>
        </w:rPr>
      </w:pPr>
      <w:r>
        <w:rPr>
          <w:rFonts w:hint="eastAsia" w:ascii="宋体" w:hAnsi="宋体"/>
          <w:color w:val="auto"/>
          <w:sz w:val="21"/>
          <w:szCs w:val="21"/>
          <w:highlight w:val="none"/>
        </w:rPr>
        <w:t>1.</w:t>
      </w:r>
      <w:r>
        <w:rPr>
          <w:rFonts w:hint="eastAsia"/>
          <w:color w:val="auto"/>
          <w:sz w:val="21"/>
          <w:szCs w:val="24"/>
          <w:highlight w:val="none"/>
        </w:rPr>
        <w:t xml:space="preserve"> 服务期限：</w:t>
      </w:r>
      <w:r>
        <w:rPr>
          <w:rFonts w:hint="eastAsia" w:ascii="宋体" w:hAnsi="宋体"/>
          <w:color w:val="auto"/>
          <w:sz w:val="21"/>
          <w:szCs w:val="21"/>
          <w:highlight w:val="none"/>
        </w:rPr>
        <w:t>1年（即：2026年1月1日至2026年12月31日），</w:t>
      </w:r>
      <w:r>
        <w:rPr>
          <w:rFonts w:hint="eastAsia" w:ascii="宋体" w:hAnsi="宋体"/>
          <w:bCs/>
          <w:color w:val="auto"/>
          <w:sz w:val="21"/>
          <w:szCs w:val="21"/>
          <w:highlight w:val="none"/>
        </w:rPr>
        <w:t>【</w:t>
      </w:r>
      <w:r>
        <w:rPr>
          <w:rFonts w:hint="eastAsia" w:ascii="宋体" w:hAnsi="宋体"/>
          <w:color w:val="auto"/>
          <w:sz w:val="21"/>
          <w:szCs w:val="21"/>
          <w:highlight w:val="none"/>
        </w:rPr>
        <w:t>上一年度合同期满至2025年12月31日，考虑到水站运行维护的连续性，2026年1月1日至本项目乙方正式进场开展工作期间的运维工作仍由上一年度成交单位负责，其间所发生费用作为本项目不可变更费用，对于2026年1月1日至本项目乙方接管运维工作期间的费用，本项目乙方须在进场开展工作服务后15日内依据甲方审核费用，按照本项目成交价比例支付给原服务单位。支付标准：[本项目成交金额÷365]×（2026年1月1日到接管日前的天数）。如本次项目乙方为原服务单位，则本项目合同开始日期为2026年1月1日至2026年12月31日】。</w:t>
      </w:r>
    </w:p>
    <w:p w14:paraId="076C4635">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2.服务地点：广西桂林市采购人指定地点。</w:t>
      </w:r>
    </w:p>
    <w:p w14:paraId="5FCE0CA9">
      <w:pPr>
        <w:spacing w:line="340" w:lineRule="exact"/>
        <w:ind w:firstLine="413" w:firstLineChars="196"/>
        <w:rPr>
          <w:rFonts w:ascii="宋体" w:hAnsi="宋体" w:cs="宋体"/>
          <w:b/>
          <w:bCs/>
          <w:color w:val="auto"/>
          <w:sz w:val="21"/>
          <w:szCs w:val="21"/>
          <w:highlight w:val="none"/>
        </w:rPr>
      </w:pPr>
      <w:r>
        <w:rPr>
          <w:rFonts w:hint="eastAsia" w:ascii="宋体" w:hAnsi="宋体" w:cs="宋体"/>
          <w:b/>
          <w:bCs/>
          <w:color w:val="auto"/>
          <w:sz w:val="21"/>
          <w:szCs w:val="21"/>
          <w:highlight w:val="none"/>
        </w:rPr>
        <w:t>第八条  保密要求</w:t>
      </w:r>
    </w:p>
    <w:p w14:paraId="7EC88C14">
      <w:pPr>
        <w:spacing w:line="340" w:lineRule="exact"/>
        <w:ind w:firstLine="411" w:firstLineChars="196"/>
        <w:rPr>
          <w:rFonts w:ascii="宋体" w:hAnsi="宋体" w:cs="宋体"/>
          <w:color w:val="auto"/>
          <w:sz w:val="21"/>
          <w:szCs w:val="24"/>
          <w:highlight w:val="none"/>
        </w:rPr>
      </w:pPr>
      <w:r>
        <w:rPr>
          <w:rFonts w:hint="eastAsia" w:ascii="宋体" w:hAnsi="宋体" w:cs="宋体"/>
          <w:color w:val="auto"/>
          <w:sz w:val="21"/>
          <w:szCs w:val="24"/>
          <w:highlight w:val="none"/>
        </w:rPr>
        <w:t>乙方须严格遵守甲方的保密制度要求，在项目运营维护服务过程中，对本项目所有项目信息以及接触到数据予以保密，未经甲方书面允许，不得以任何形式向第三方透露本项目的任何内容。</w:t>
      </w:r>
    </w:p>
    <w:p w14:paraId="6EB2CF8D">
      <w:pPr>
        <w:spacing w:line="360" w:lineRule="exact"/>
        <w:ind w:firstLine="422"/>
        <w:rPr>
          <w:rFonts w:ascii="宋体" w:hAnsi="宋体"/>
          <w:b/>
          <w:color w:val="auto"/>
          <w:sz w:val="21"/>
          <w:szCs w:val="21"/>
          <w:highlight w:val="none"/>
        </w:rPr>
      </w:pPr>
      <w:r>
        <w:rPr>
          <w:rFonts w:hint="eastAsia" w:ascii="宋体" w:hAnsi="宋体"/>
          <w:b/>
          <w:color w:val="auto"/>
          <w:sz w:val="21"/>
          <w:szCs w:val="21"/>
          <w:highlight w:val="none"/>
        </w:rPr>
        <w:t>第九条　履约保证金</w:t>
      </w:r>
    </w:p>
    <w:p w14:paraId="5CD150D4">
      <w:pPr>
        <w:spacing w:line="360" w:lineRule="exact"/>
        <w:ind w:firstLine="420"/>
        <w:rPr>
          <w:rFonts w:ascii="宋体" w:hAnsi="宋体"/>
          <w:bCs/>
          <w:color w:val="auto"/>
          <w:sz w:val="21"/>
          <w:szCs w:val="21"/>
          <w:highlight w:val="none"/>
        </w:rPr>
      </w:pPr>
      <w:r>
        <w:rPr>
          <w:rFonts w:hint="eastAsia" w:ascii="宋体" w:hAnsi="宋体"/>
          <w:bCs/>
          <w:color w:val="auto"/>
          <w:sz w:val="21"/>
          <w:szCs w:val="21"/>
          <w:highlight w:val="none"/>
        </w:rPr>
        <w:t>1.若乙方为中型企业的，则按合同金额的2%提交；若乙方为小微企业的，则免收履约保证金。乙方必须在成交通知书发出之日起8个工作日内，且在与甲方签订合同前将履约保证金以支票、汇票、本票或者金融机构、担保机构出具的保函等非现金形式提交至甲方指定账户。</w:t>
      </w:r>
    </w:p>
    <w:p w14:paraId="6516B18D">
      <w:pPr>
        <w:spacing w:line="360" w:lineRule="exact"/>
        <w:ind w:firstLine="420"/>
        <w:rPr>
          <w:rFonts w:ascii="宋体" w:hAnsi="宋体"/>
          <w:bCs/>
          <w:color w:val="auto"/>
          <w:sz w:val="21"/>
          <w:szCs w:val="21"/>
          <w:highlight w:val="none"/>
        </w:rPr>
      </w:pPr>
      <w:r>
        <w:rPr>
          <w:rFonts w:hint="eastAsia" w:ascii="宋体" w:hAnsi="宋体"/>
          <w:bCs/>
          <w:color w:val="auto"/>
          <w:sz w:val="21"/>
          <w:szCs w:val="21"/>
          <w:highlight w:val="none"/>
        </w:rPr>
        <w:t>2.如果乙方没能按上述规定执行，甲方将上报桂林市政府采购监督管理机构，取消该成交资格，并有权授予第二成交候选供应商为成交供应商资格或重新组织采购。</w:t>
      </w:r>
    </w:p>
    <w:p w14:paraId="32A65493">
      <w:pPr>
        <w:spacing w:line="360" w:lineRule="exact"/>
        <w:ind w:firstLine="420"/>
        <w:rPr>
          <w:rFonts w:ascii="宋体" w:hAnsi="宋体"/>
          <w:bCs/>
          <w:color w:val="auto"/>
          <w:sz w:val="21"/>
          <w:szCs w:val="21"/>
          <w:highlight w:val="none"/>
        </w:rPr>
      </w:pPr>
      <w:r>
        <w:rPr>
          <w:rFonts w:hint="eastAsia" w:ascii="宋体" w:hAnsi="宋体"/>
          <w:bCs/>
          <w:color w:val="auto"/>
          <w:sz w:val="21"/>
          <w:szCs w:val="21"/>
          <w:highlight w:val="none"/>
        </w:rPr>
        <w:t>3.乙方履行完成合同约定权利义务事项，若无违约情况，凭《桂林市政府采购项目合同验收书》和履约保证金交纳凭证向采购人申请办理退还手续，甲方不得额外要求乙方提交其他证明材料，并应当自收到退还资料之日起5个工作日内退还其履约保证金（无息）。如乙方不按双方签订的合同规定履约，则履约保证金不予退还，履约保证金不足以赔偿损失的，按实际损失赔偿。</w:t>
      </w:r>
    </w:p>
    <w:p w14:paraId="320769E3">
      <w:pPr>
        <w:spacing w:line="360" w:lineRule="exact"/>
        <w:ind w:firstLine="422"/>
        <w:rPr>
          <w:rFonts w:ascii="宋体" w:hAnsi="宋体"/>
          <w:b/>
          <w:color w:val="auto"/>
          <w:sz w:val="21"/>
          <w:szCs w:val="21"/>
          <w:highlight w:val="none"/>
        </w:rPr>
      </w:pPr>
      <w:r>
        <w:rPr>
          <w:rFonts w:hint="eastAsia" w:ascii="宋体" w:hAnsi="宋体"/>
          <w:b/>
          <w:color w:val="auto"/>
          <w:sz w:val="21"/>
          <w:szCs w:val="21"/>
          <w:highlight w:val="none"/>
        </w:rPr>
        <w:t>第十条  付款方式</w:t>
      </w:r>
    </w:p>
    <w:p w14:paraId="6176052D">
      <w:pPr>
        <w:spacing w:line="360" w:lineRule="exact"/>
        <w:ind w:firstLine="420"/>
        <w:rPr>
          <w:rFonts w:ascii="宋体" w:hAnsi="宋体"/>
          <w:bCs/>
          <w:color w:val="auto"/>
          <w:sz w:val="21"/>
          <w:szCs w:val="21"/>
          <w:highlight w:val="none"/>
        </w:rPr>
      </w:pPr>
      <w:r>
        <w:rPr>
          <w:rFonts w:hint="eastAsia" w:ascii="宋体" w:hAnsi="宋体"/>
          <w:bCs/>
          <w:color w:val="auto"/>
          <w:sz w:val="21"/>
          <w:szCs w:val="21"/>
          <w:highlight w:val="none"/>
        </w:rPr>
        <w:t>1.本项目合同款分两次支付，签订合同且乙方达到合同实施条件（指乙方在承诺投入本项目实施的人员全部到位）并报甲方备案后，在财政资金到账的情况下，10个工作日内支付合同款的50%，第三季度结束后支付合同款的50%（无息，50%合同款=合同金额的50%减去一年考核扣款）。</w:t>
      </w:r>
    </w:p>
    <w:p w14:paraId="07B175C7">
      <w:pPr>
        <w:spacing w:line="360" w:lineRule="exact"/>
        <w:ind w:firstLine="420"/>
        <w:rPr>
          <w:rFonts w:ascii="宋体" w:hAnsi="宋体"/>
          <w:bCs/>
          <w:color w:val="auto"/>
          <w:sz w:val="21"/>
          <w:szCs w:val="21"/>
          <w:highlight w:val="none"/>
        </w:rPr>
      </w:pPr>
      <w:r>
        <w:rPr>
          <w:rFonts w:hint="eastAsia" w:ascii="宋体" w:hAnsi="宋体"/>
          <w:bCs/>
          <w:color w:val="auto"/>
          <w:sz w:val="21"/>
          <w:szCs w:val="21"/>
          <w:highlight w:val="none"/>
        </w:rPr>
        <w:t>2.在甲方付款前，乙方应向甲方提供相应等额有效、合法的发票，否则甲方有权不予付款，直至乙方提供符合约定的发票为止。</w:t>
      </w:r>
    </w:p>
    <w:p w14:paraId="3E001262">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第十一条  税费</w:t>
      </w:r>
    </w:p>
    <w:p w14:paraId="23CE1132">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本合同执行中相关的一切税费均由乙方负担。</w:t>
      </w:r>
    </w:p>
    <w:p w14:paraId="33766B9A">
      <w:pPr>
        <w:snapToGrid w:val="0"/>
        <w:spacing w:line="340" w:lineRule="exact"/>
        <w:ind w:firstLine="422"/>
        <w:rPr>
          <w:rFonts w:ascii="宋体" w:hAnsi="宋体" w:cs="宋体"/>
          <w:b/>
          <w:color w:val="auto"/>
          <w:sz w:val="21"/>
          <w:szCs w:val="21"/>
          <w:highlight w:val="none"/>
        </w:rPr>
      </w:pPr>
      <w:r>
        <w:rPr>
          <w:rFonts w:hint="eastAsia" w:ascii="宋体" w:hAnsi="宋体"/>
          <w:b/>
          <w:color w:val="auto"/>
          <w:sz w:val="21"/>
          <w:szCs w:val="21"/>
          <w:highlight w:val="none"/>
        </w:rPr>
        <w:t xml:space="preserve">第十二条  </w:t>
      </w:r>
      <w:r>
        <w:rPr>
          <w:rFonts w:hint="eastAsia" w:ascii="宋体" w:hAnsi="宋体" w:cs="宋体"/>
          <w:b/>
          <w:color w:val="auto"/>
          <w:sz w:val="21"/>
          <w:szCs w:val="21"/>
          <w:highlight w:val="none"/>
        </w:rPr>
        <w:t>验收方式及标准：</w:t>
      </w:r>
    </w:p>
    <w:p w14:paraId="610AD4E0">
      <w:pPr>
        <w:snapToGrid w:val="0"/>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1.验收方式：现场验收。</w:t>
      </w:r>
    </w:p>
    <w:p w14:paraId="77957EB9">
      <w:pPr>
        <w:snapToGrid w:val="0"/>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2.验收标准：依照国家相关法律法规及行业规定，根据竞争性磋商文件要求及响应文件承诺进行验收。</w:t>
      </w:r>
    </w:p>
    <w:p w14:paraId="3D2B67E2">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第十三条  违约责任</w:t>
      </w:r>
    </w:p>
    <w:p w14:paraId="453D1980">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1.乙方所提供的服务质量不合格的，应及时调整，调整不及时的按逾期完成处罚，乙方应向甲方支付合同金额</w:t>
      </w:r>
      <w:r>
        <w:rPr>
          <w:rFonts w:hint="eastAsia" w:ascii="宋体" w:hAnsi="宋体"/>
          <w:color w:val="auto"/>
          <w:sz w:val="21"/>
          <w:szCs w:val="21"/>
          <w:highlight w:val="none"/>
          <w:u w:val="single"/>
        </w:rPr>
        <w:t>5%</w:t>
      </w:r>
      <w:r>
        <w:rPr>
          <w:rFonts w:hint="eastAsia" w:ascii="宋体" w:hAnsi="宋体"/>
          <w:color w:val="auto"/>
          <w:sz w:val="21"/>
          <w:szCs w:val="21"/>
          <w:highlight w:val="none"/>
        </w:rPr>
        <w:t>违约金并赔偿甲方经济损失，如违约金不足以弥补甲方损失的，应当由乙方承担全部的损失赔偿责任。</w:t>
      </w:r>
    </w:p>
    <w:p w14:paraId="54081984">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2.乙方提供的服务如果侵犯了第三方合法权益而引发的任何纠纷或诉讼，均由乙方负责交涉并承担全部责任。</w:t>
      </w:r>
    </w:p>
    <w:p w14:paraId="55C7CADF">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3.乙方未按本合同和响应文件中规定的服务承诺提供服务的，乙方应按本合同合计金额</w:t>
      </w:r>
      <w:r>
        <w:rPr>
          <w:rFonts w:hint="eastAsia" w:ascii="宋体" w:hAnsi="宋体"/>
          <w:color w:val="auto"/>
          <w:sz w:val="21"/>
          <w:szCs w:val="21"/>
          <w:highlight w:val="none"/>
          <w:u w:val="single"/>
        </w:rPr>
        <w:t>5%</w:t>
      </w:r>
      <w:r>
        <w:rPr>
          <w:rFonts w:hint="eastAsia" w:ascii="宋体" w:hAnsi="宋体"/>
          <w:color w:val="auto"/>
          <w:sz w:val="21"/>
          <w:szCs w:val="21"/>
          <w:highlight w:val="none"/>
        </w:rPr>
        <w:t>向甲方支付违约金，如违约金不足以弥补甲方损失的，应当由乙方承担全部的损失赔偿责任。</w:t>
      </w:r>
    </w:p>
    <w:p w14:paraId="6CBEB8C2">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4.乙方提供的服务质量或数据不准确、来源不明或其他因服务过程引起的缺陷和其他质量原因造成的问题，由乙方负责，费用从合同款项中扣除，不足另补。</w:t>
      </w:r>
    </w:p>
    <w:p w14:paraId="6BC2CBF5">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5.其他违约行为按违约合同额</w:t>
      </w:r>
      <w:r>
        <w:rPr>
          <w:rFonts w:hint="eastAsia" w:ascii="宋体" w:hAnsi="宋体"/>
          <w:color w:val="auto"/>
          <w:sz w:val="21"/>
          <w:szCs w:val="21"/>
          <w:highlight w:val="none"/>
          <w:u w:val="single"/>
        </w:rPr>
        <w:t>5%</w:t>
      </w:r>
      <w:r>
        <w:rPr>
          <w:rFonts w:hint="eastAsia" w:ascii="宋体" w:hAnsi="宋体"/>
          <w:color w:val="auto"/>
          <w:sz w:val="21"/>
          <w:szCs w:val="21"/>
          <w:highlight w:val="none"/>
        </w:rPr>
        <w:t>收取违约金并赔偿经济损失。</w:t>
      </w:r>
    </w:p>
    <w:p w14:paraId="2B175BFC">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第十四条  通知与送达</w:t>
      </w:r>
    </w:p>
    <w:p w14:paraId="3A308E44">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1.所有通知和通信都应是书面的（可用电子邮件预送达），并亲自送达或以传真、挂号邮寄、特快专递等方式至本合同所示的项目联系人。</w:t>
      </w:r>
    </w:p>
    <w:p w14:paraId="73CE979F">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2.亲自送达或挂号邮寄、特快专递的通知送达时生效，传真发送后在收到对方确认函时生效。任何一方变更本合同所示的项目联系人及联系方式，应提前</w:t>
      </w:r>
      <w:r>
        <w:rPr>
          <w:rFonts w:hint="eastAsia" w:ascii="宋体" w:hAnsi="宋体"/>
          <w:color w:val="auto"/>
          <w:sz w:val="21"/>
          <w:szCs w:val="21"/>
          <w:highlight w:val="none"/>
          <w:u w:val="single"/>
        </w:rPr>
        <w:t>5日</w:t>
      </w:r>
      <w:r>
        <w:rPr>
          <w:rFonts w:hint="eastAsia" w:ascii="宋体" w:hAnsi="宋体"/>
          <w:color w:val="auto"/>
          <w:sz w:val="21"/>
          <w:szCs w:val="21"/>
          <w:highlight w:val="none"/>
        </w:rPr>
        <w:t>书面通知对方。</w:t>
      </w:r>
    </w:p>
    <w:p w14:paraId="579BB58E">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第十五条  不可抗力事件处理</w:t>
      </w:r>
    </w:p>
    <w:p w14:paraId="0B91001A">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 在合同有效期内，乙方因不可抗力事件导致不能履行合同，则合同履行期可延长，其延长期与不可抗力影响期相同。</w:t>
      </w:r>
    </w:p>
    <w:p w14:paraId="54BD8E0E">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2. 不可抗力事件发生后，应立即通知对方，并在随后的15日内向对方提供不可抗力发生和持续期间的充分证据或有关权威机构出具的证明。提出受不可抗力影响的一方，还应尽一切合理努力排除不可抗力对履行合同造成的影响。</w:t>
      </w:r>
    </w:p>
    <w:p w14:paraId="06FF9A2A">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3. 不可抗力事件延续60日以上的，由甲方确定是否继续履行本合同。</w:t>
      </w:r>
    </w:p>
    <w:p w14:paraId="16C9E007">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第十六条  合同争议解决</w:t>
      </w:r>
    </w:p>
    <w:p w14:paraId="59A42ACF">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 因服务质量问题发生争议的，应邀请国家认可的质量检测机构对服务质量进行鉴定。服务质量符合标准的，鉴定费由甲方承担；服务质量不符合标准的，鉴定费由乙方承担。</w:t>
      </w:r>
    </w:p>
    <w:p w14:paraId="0A0B1EDE">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2. 因履行本合同引起的或与本合同有关的争议，甲乙双方应首先通过友好协商解决，如果协商不能解决，双方均应当向桂林市临桂区人民法院提起诉讼。</w:t>
      </w:r>
    </w:p>
    <w:p w14:paraId="67ABF20E">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3.若某方违约，违约方应承担守约方所有维权支出，包括但不限于：诉讼费、律师费、保全费、调查取证费等。</w:t>
      </w:r>
    </w:p>
    <w:p w14:paraId="4A71E0E5">
      <w:pPr>
        <w:spacing w:line="340" w:lineRule="exact"/>
        <w:ind w:left="435" w:firstLine="0" w:firstLineChars="0"/>
        <w:rPr>
          <w:rFonts w:ascii="宋体" w:hAnsi="宋体"/>
          <w:color w:val="auto"/>
          <w:sz w:val="21"/>
          <w:szCs w:val="21"/>
          <w:highlight w:val="none"/>
        </w:rPr>
      </w:pPr>
      <w:r>
        <w:rPr>
          <w:rFonts w:hint="eastAsia" w:ascii="宋体" w:hAnsi="宋体"/>
          <w:color w:val="auto"/>
          <w:sz w:val="21"/>
          <w:szCs w:val="21"/>
          <w:highlight w:val="none"/>
        </w:rPr>
        <w:t>4. 诉讼期间，根据事实情况由甲方判断本合同是否继续履行。</w:t>
      </w:r>
    </w:p>
    <w:p w14:paraId="0DCD9AEB">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第十七条  合同的变更、终止与转让</w:t>
      </w:r>
    </w:p>
    <w:p w14:paraId="23BCE82A">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 除《中华人民共和国政府采购法》第五十条规定的情形外，本合同一经签订，甲乙双方不得擅自变更，中止或终止。</w:t>
      </w:r>
    </w:p>
    <w:p w14:paraId="21234EFA">
      <w:pPr>
        <w:spacing w:line="340" w:lineRule="exact"/>
        <w:ind w:left="420" w:firstLine="0" w:firstLineChars="0"/>
        <w:rPr>
          <w:rFonts w:ascii="宋体" w:hAnsi="宋体"/>
          <w:color w:val="auto"/>
          <w:sz w:val="21"/>
          <w:szCs w:val="21"/>
          <w:highlight w:val="none"/>
        </w:rPr>
      </w:pPr>
      <w:r>
        <w:rPr>
          <w:rFonts w:hint="eastAsia" w:ascii="宋体" w:hAnsi="宋体"/>
          <w:color w:val="auto"/>
          <w:sz w:val="21"/>
          <w:szCs w:val="21"/>
          <w:highlight w:val="none"/>
        </w:rPr>
        <w:t>2. 乙方不得擅自转让其应履行的合同义务。</w:t>
      </w:r>
    </w:p>
    <w:p w14:paraId="62999DBE">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第十八条  合同生效及其它</w:t>
      </w:r>
    </w:p>
    <w:p w14:paraId="3A456275">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 合同经甲乙双方法定代表人或负责人或自然人或相应的授权代表签字并加盖单位公章后生效。</w:t>
      </w:r>
    </w:p>
    <w:p w14:paraId="12DEF394">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2. 合同执行中涉及采购资金和采购内容修改或补充的，需经桂林市财政部门审批，并签订书面补充协议报桂林市财政局备案，方可作为主合同不可分割的一部分。</w:t>
      </w:r>
    </w:p>
    <w:p w14:paraId="0E333CC6">
      <w:pPr>
        <w:spacing w:line="340" w:lineRule="exact"/>
        <w:ind w:left="435" w:firstLine="0" w:firstLineChars="0"/>
        <w:rPr>
          <w:rFonts w:ascii="宋体" w:hAnsi="宋体"/>
          <w:color w:val="auto"/>
          <w:sz w:val="21"/>
          <w:szCs w:val="21"/>
          <w:highlight w:val="none"/>
        </w:rPr>
      </w:pPr>
      <w:r>
        <w:rPr>
          <w:rFonts w:hint="eastAsia" w:ascii="宋体" w:hAnsi="宋体"/>
          <w:color w:val="auto"/>
          <w:sz w:val="21"/>
          <w:szCs w:val="21"/>
          <w:highlight w:val="none"/>
        </w:rPr>
        <w:t>3. 本合同未尽事宜，遵照《中华人民共和国民法典》有关条文执行。</w:t>
      </w:r>
    </w:p>
    <w:p w14:paraId="5EAF40C2">
      <w:pPr>
        <w:spacing w:line="340" w:lineRule="exact"/>
        <w:ind w:left="420" w:firstLine="0" w:firstLineChars="0"/>
        <w:rPr>
          <w:rFonts w:ascii="宋体" w:hAnsi="宋体"/>
          <w:b/>
          <w:color w:val="auto"/>
          <w:sz w:val="21"/>
          <w:szCs w:val="21"/>
          <w:highlight w:val="none"/>
        </w:rPr>
      </w:pPr>
    </w:p>
    <w:p w14:paraId="04544199">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本合同甲乙双方签字盖章后生效，一式五份，具有同等法律效力，甲、乙双方各二份、采购代理机构一份。</w:t>
      </w:r>
    </w:p>
    <w:p w14:paraId="2F654C5F">
      <w:pPr>
        <w:tabs>
          <w:tab w:val="left" w:pos="4320"/>
          <w:tab w:val="left" w:pos="4500"/>
        </w:tabs>
        <w:spacing w:line="360" w:lineRule="exact"/>
        <w:ind w:firstLine="0" w:firstLineChars="0"/>
        <w:rPr>
          <w:rFonts w:ascii="宋体" w:hAnsi="宋体"/>
          <w:color w:val="auto"/>
          <w:sz w:val="21"/>
          <w:szCs w:val="21"/>
          <w:highlight w:val="none"/>
        </w:rPr>
      </w:pPr>
    </w:p>
    <w:p w14:paraId="5C2F9E6B">
      <w:pPr>
        <w:tabs>
          <w:tab w:val="left" w:pos="4320"/>
          <w:tab w:val="left" w:pos="4500"/>
        </w:tabs>
        <w:spacing w:line="360" w:lineRule="exact"/>
        <w:ind w:firstLine="0" w:firstLineChars="0"/>
        <w:rPr>
          <w:rFonts w:ascii="宋体" w:hAnsi="宋体"/>
          <w:color w:val="auto"/>
          <w:sz w:val="21"/>
          <w:szCs w:val="21"/>
          <w:highlight w:val="none"/>
        </w:rPr>
      </w:pPr>
    </w:p>
    <w:p w14:paraId="29DD5AC5">
      <w:pPr>
        <w:tabs>
          <w:tab w:val="left" w:pos="4320"/>
          <w:tab w:val="left" w:pos="4500"/>
        </w:tabs>
        <w:spacing w:line="360" w:lineRule="exact"/>
        <w:ind w:firstLine="0" w:firstLineChars="0"/>
        <w:rPr>
          <w:rFonts w:ascii="宋体" w:hAnsi="宋体"/>
          <w:color w:val="auto"/>
          <w:sz w:val="21"/>
          <w:szCs w:val="21"/>
          <w:highlight w:val="none"/>
          <w:u w:val="single"/>
        </w:rPr>
      </w:pPr>
      <w:r>
        <w:rPr>
          <w:rFonts w:hint="eastAsia" w:ascii="宋体" w:hAnsi="宋体"/>
          <w:color w:val="auto"/>
          <w:sz w:val="21"/>
          <w:szCs w:val="21"/>
          <w:highlight w:val="none"/>
        </w:rPr>
        <w:t>甲方（公章）：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乙方（公章，自然人除外）：</w:t>
      </w:r>
      <w:r>
        <w:rPr>
          <w:rFonts w:hint="eastAsia" w:ascii="宋体" w:hAnsi="宋体"/>
          <w:color w:val="auto"/>
          <w:sz w:val="21"/>
          <w:szCs w:val="21"/>
          <w:highlight w:val="none"/>
          <w:u w:val="single"/>
        </w:rPr>
        <w:t xml:space="preserve">                           </w:t>
      </w:r>
    </w:p>
    <w:p w14:paraId="2BF0009F">
      <w:pPr>
        <w:spacing w:line="360" w:lineRule="exact"/>
        <w:ind w:left="4620" w:hanging="4620" w:hangingChars="2200"/>
        <w:rPr>
          <w:rFonts w:ascii="宋体" w:hAnsi="宋体"/>
          <w:color w:val="auto"/>
          <w:sz w:val="21"/>
          <w:szCs w:val="21"/>
          <w:highlight w:val="none"/>
          <w:u w:val="singl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hAnsi="宋体"/>
          <w:color w:val="auto"/>
          <w:sz w:val="21"/>
          <w:szCs w:val="24"/>
          <w:highlight w:val="none"/>
        </w:rPr>
        <w:t>法定代表人（负责人、自然人）签字（属自然人的应在签名处加盖大拇指指印）</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3154B16C">
      <w:pPr>
        <w:tabs>
          <w:tab w:val="left" w:pos="4680"/>
        </w:tabs>
        <w:spacing w:line="360" w:lineRule="exact"/>
        <w:ind w:firstLine="0" w:firstLineChars="0"/>
        <w:rPr>
          <w:rFonts w:ascii="宋体" w:hAnsi="宋体"/>
          <w:color w:val="auto"/>
          <w:sz w:val="21"/>
          <w:szCs w:val="21"/>
          <w:highlight w:val="none"/>
          <w:u w:val="single"/>
        </w:rPr>
      </w:pPr>
      <w:r>
        <w:rPr>
          <w:rFonts w:hint="eastAsia" w:ascii="宋体" w:hAnsi="宋体"/>
          <w:color w:val="auto"/>
          <w:sz w:val="21"/>
          <w:szCs w:val="21"/>
          <w:highlight w:val="none"/>
        </w:rPr>
        <w:t>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委托代理人：</w:t>
      </w:r>
      <w:r>
        <w:rPr>
          <w:rFonts w:hint="eastAsia" w:ascii="宋体" w:hAnsi="宋体"/>
          <w:color w:val="auto"/>
          <w:sz w:val="21"/>
          <w:szCs w:val="21"/>
          <w:highlight w:val="none"/>
          <w:u w:val="single"/>
        </w:rPr>
        <w:t xml:space="preserve">                                     </w:t>
      </w:r>
    </w:p>
    <w:p w14:paraId="19275806">
      <w:pPr>
        <w:tabs>
          <w:tab w:val="left" w:pos="5040"/>
        </w:tabs>
        <w:spacing w:line="360" w:lineRule="exact"/>
        <w:ind w:firstLine="0" w:firstLineChars="0"/>
        <w:rPr>
          <w:rFonts w:ascii="宋体" w:hAnsi="宋体"/>
          <w:color w:val="auto"/>
          <w:sz w:val="21"/>
          <w:szCs w:val="21"/>
          <w:highlight w:val="none"/>
          <w:u w:val="single"/>
        </w:rPr>
      </w:pPr>
      <w:r>
        <w:rPr>
          <w:rFonts w:hint="eastAsia" w:ascii="宋体" w:hAnsi="宋体"/>
          <w:color w:val="auto"/>
          <w:sz w:val="21"/>
          <w:szCs w:val="21"/>
          <w:highlight w:val="none"/>
        </w:rPr>
        <w:t>电  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电   话： </w:t>
      </w:r>
      <w:r>
        <w:rPr>
          <w:rFonts w:hint="eastAsia" w:ascii="宋体" w:hAnsi="宋体"/>
          <w:color w:val="auto"/>
          <w:sz w:val="21"/>
          <w:szCs w:val="21"/>
          <w:highlight w:val="none"/>
          <w:u w:val="single"/>
        </w:rPr>
        <w:t xml:space="preserve">                                     </w:t>
      </w:r>
    </w:p>
    <w:p w14:paraId="1568A537">
      <w:pPr>
        <w:tabs>
          <w:tab w:val="left" w:pos="5040"/>
        </w:tabs>
        <w:spacing w:line="36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开户名称：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开户名称：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6A96E9F2">
      <w:pPr>
        <w:tabs>
          <w:tab w:val="left" w:pos="5040"/>
        </w:tabs>
        <w:spacing w:line="36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开户银行：</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开户银行：</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3A99E73E">
      <w:pPr>
        <w:tabs>
          <w:tab w:val="left" w:pos="5040"/>
        </w:tabs>
        <w:spacing w:line="36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银行账号：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银行账号：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3D4918CE">
      <w:pPr>
        <w:spacing w:line="360" w:lineRule="exact"/>
        <w:ind w:firstLine="0" w:firstLineChars="0"/>
        <w:rPr>
          <w:color w:val="auto"/>
          <w:sz w:val="21"/>
          <w:szCs w:val="24"/>
          <w:highlight w:val="none"/>
        </w:rPr>
      </w:pPr>
      <w:r>
        <w:rPr>
          <w:rFonts w:hint="eastAsia" w:ascii="宋体" w:hAnsi="宋体"/>
          <w:color w:val="auto"/>
          <w:sz w:val="21"/>
          <w:szCs w:val="21"/>
          <w:highlight w:val="none"/>
        </w:rPr>
        <w:t>日    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日    期：</w:t>
      </w:r>
      <w:r>
        <w:rPr>
          <w:rFonts w:hint="eastAsia" w:ascii="宋体" w:hAnsi="宋体"/>
          <w:color w:val="auto"/>
          <w:sz w:val="21"/>
          <w:szCs w:val="21"/>
          <w:highlight w:val="none"/>
          <w:u w:val="single"/>
        </w:rPr>
        <w:t xml:space="preserve">                                </w:t>
      </w:r>
    </w:p>
    <w:p w14:paraId="3849642A">
      <w:pPr>
        <w:spacing w:line="400" w:lineRule="exact"/>
        <w:ind w:firstLine="0" w:firstLineChars="0"/>
        <w:jc w:val="center"/>
        <w:rPr>
          <w:rFonts w:ascii="宋体" w:hAnsi="宋体"/>
          <w:b/>
          <w:color w:val="auto"/>
          <w:sz w:val="30"/>
          <w:szCs w:val="30"/>
          <w:highlight w:val="none"/>
        </w:rPr>
      </w:pPr>
    </w:p>
    <w:p w14:paraId="7294641D">
      <w:pPr>
        <w:spacing w:line="400" w:lineRule="exact"/>
        <w:ind w:firstLine="0" w:firstLineChars="0"/>
        <w:jc w:val="center"/>
        <w:rPr>
          <w:rFonts w:ascii="宋体" w:hAnsi="宋体"/>
          <w:b/>
          <w:color w:val="auto"/>
          <w:sz w:val="30"/>
          <w:szCs w:val="30"/>
          <w:highlight w:val="none"/>
        </w:rPr>
      </w:pPr>
    </w:p>
    <w:p w14:paraId="41D1A9F7">
      <w:pPr>
        <w:spacing w:line="400" w:lineRule="exact"/>
        <w:ind w:firstLine="0" w:firstLineChars="0"/>
        <w:rPr>
          <w:rFonts w:ascii="宋体" w:hAnsi="宋体"/>
          <w:b/>
          <w:color w:val="auto"/>
          <w:sz w:val="30"/>
          <w:szCs w:val="30"/>
          <w:highlight w:val="none"/>
        </w:rPr>
      </w:pPr>
    </w:p>
    <w:p w14:paraId="23724545">
      <w:pPr>
        <w:spacing w:line="400" w:lineRule="exact"/>
        <w:ind w:firstLine="0" w:firstLineChars="0"/>
        <w:rPr>
          <w:rFonts w:ascii="宋体" w:hAnsi="宋体"/>
          <w:b/>
          <w:color w:val="auto"/>
          <w:sz w:val="30"/>
          <w:szCs w:val="30"/>
          <w:highlight w:val="none"/>
        </w:rPr>
      </w:pPr>
    </w:p>
    <w:p w14:paraId="71D8280D">
      <w:pPr>
        <w:spacing w:line="400" w:lineRule="exact"/>
        <w:ind w:firstLine="0" w:firstLineChars="0"/>
        <w:rPr>
          <w:rFonts w:ascii="宋体" w:hAnsi="宋体"/>
          <w:b/>
          <w:color w:val="auto"/>
          <w:sz w:val="30"/>
          <w:szCs w:val="30"/>
          <w:highlight w:val="none"/>
        </w:rPr>
      </w:pPr>
    </w:p>
    <w:p w14:paraId="0C857F93">
      <w:pPr>
        <w:spacing w:line="400" w:lineRule="exact"/>
        <w:ind w:firstLine="0" w:firstLineChars="0"/>
        <w:rPr>
          <w:rFonts w:ascii="宋体" w:hAnsi="宋体"/>
          <w:b/>
          <w:color w:val="auto"/>
          <w:sz w:val="30"/>
          <w:szCs w:val="30"/>
          <w:highlight w:val="none"/>
        </w:rPr>
      </w:pPr>
    </w:p>
    <w:p w14:paraId="787BDFD3">
      <w:pPr>
        <w:spacing w:line="400" w:lineRule="exact"/>
        <w:ind w:firstLine="0" w:firstLineChars="0"/>
        <w:rPr>
          <w:rFonts w:ascii="宋体" w:hAnsi="宋体"/>
          <w:b/>
          <w:color w:val="auto"/>
          <w:sz w:val="30"/>
          <w:szCs w:val="30"/>
          <w:highlight w:val="none"/>
        </w:rPr>
      </w:pPr>
    </w:p>
    <w:p w14:paraId="43468F0C">
      <w:pPr>
        <w:spacing w:line="400" w:lineRule="exact"/>
        <w:ind w:firstLine="0" w:firstLineChars="0"/>
        <w:rPr>
          <w:rFonts w:ascii="宋体" w:hAnsi="宋体"/>
          <w:b/>
          <w:color w:val="auto"/>
          <w:sz w:val="30"/>
          <w:szCs w:val="30"/>
          <w:highlight w:val="none"/>
        </w:rPr>
      </w:pPr>
    </w:p>
    <w:p w14:paraId="04EAA0B2">
      <w:pPr>
        <w:spacing w:line="400" w:lineRule="exact"/>
        <w:ind w:firstLine="0" w:firstLineChars="0"/>
        <w:rPr>
          <w:rFonts w:ascii="宋体" w:hAnsi="宋体"/>
          <w:b/>
          <w:color w:val="auto"/>
          <w:sz w:val="30"/>
          <w:szCs w:val="30"/>
          <w:highlight w:val="none"/>
        </w:rPr>
      </w:pPr>
    </w:p>
    <w:p w14:paraId="38237E44">
      <w:pPr>
        <w:spacing w:line="400" w:lineRule="exact"/>
        <w:ind w:firstLine="0" w:firstLineChars="0"/>
        <w:rPr>
          <w:rFonts w:ascii="宋体" w:hAnsi="宋体"/>
          <w:b/>
          <w:color w:val="auto"/>
          <w:sz w:val="30"/>
          <w:szCs w:val="30"/>
          <w:highlight w:val="none"/>
        </w:rPr>
      </w:pPr>
    </w:p>
    <w:p w14:paraId="44AFD9FC">
      <w:pPr>
        <w:spacing w:line="400" w:lineRule="exact"/>
        <w:ind w:firstLine="0" w:firstLineChars="0"/>
        <w:rPr>
          <w:rFonts w:ascii="宋体" w:hAnsi="宋体"/>
          <w:b/>
          <w:color w:val="auto"/>
          <w:sz w:val="30"/>
          <w:szCs w:val="30"/>
          <w:highlight w:val="none"/>
        </w:rPr>
      </w:pPr>
    </w:p>
    <w:p w14:paraId="294A65E0">
      <w:pPr>
        <w:spacing w:line="400" w:lineRule="exact"/>
        <w:ind w:firstLine="0" w:firstLineChars="0"/>
        <w:jc w:val="center"/>
        <w:rPr>
          <w:rFonts w:ascii="宋体" w:hAnsi="宋体"/>
          <w:color w:val="auto"/>
          <w:sz w:val="30"/>
          <w:szCs w:val="30"/>
          <w:highlight w:val="none"/>
        </w:rPr>
      </w:pPr>
      <w:r>
        <w:rPr>
          <w:rFonts w:hint="eastAsia" w:ascii="宋体" w:hAnsi="宋体"/>
          <w:b/>
          <w:color w:val="auto"/>
          <w:sz w:val="30"/>
          <w:szCs w:val="30"/>
          <w:highlight w:val="none"/>
        </w:rPr>
        <w:t>分标3   政府采购合同（合同主要条款及格式）</w:t>
      </w:r>
    </w:p>
    <w:p w14:paraId="2633073C">
      <w:pPr>
        <w:spacing w:line="400" w:lineRule="exact"/>
        <w:ind w:firstLine="0" w:firstLineChars="0"/>
        <w:rPr>
          <w:rFonts w:ascii="宋体" w:hAnsi="宋体"/>
          <w:color w:val="auto"/>
          <w:sz w:val="21"/>
          <w:szCs w:val="24"/>
          <w:highlight w:val="none"/>
        </w:rPr>
      </w:pPr>
    </w:p>
    <w:p w14:paraId="0EA95FDE">
      <w:pPr>
        <w:spacing w:line="400" w:lineRule="exact"/>
        <w:ind w:firstLine="0" w:firstLineChars="0"/>
        <w:rPr>
          <w:rFonts w:ascii="宋体" w:hAnsi="宋体"/>
          <w:color w:val="auto"/>
          <w:sz w:val="21"/>
          <w:szCs w:val="24"/>
          <w:highlight w:val="none"/>
        </w:rPr>
      </w:pPr>
      <w:r>
        <w:rPr>
          <w:rFonts w:hint="eastAsia" w:ascii="宋体" w:hAnsi="宋体"/>
          <w:color w:val="auto"/>
          <w:sz w:val="21"/>
          <w:szCs w:val="24"/>
          <w:highlight w:val="none"/>
        </w:rPr>
        <w:t>项目名称：2026年桂林市生态环境局10个小型水站、3个水质自动监测站及2个环境空气自动监测站运行维护服务采购</w:t>
      </w:r>
    </w:p>
    <w:p w14:paraId="12CF7DAD">
      <w:pPr>
        <w:spacing w:line="400" w:lineRule="exact"/>
        <w:ind w:firstLine="0" w:firstLineChars="0"/>
        <w:rPr>
          <w:rFonts w:ascii="宋体" w:hAnsi="宋体"/>
          <w:color w:val="auto"/>
          <w:sz w:val="21"/>
          <w:szCs w:val="24"/>
          <w:highlight w:val="none"/>
        </w:rPr>
      </w:pPr>
      <w:r>
        <w:rPr>
          <w:rFonts w:hint="eastAsia" w:ascii="宋体" w:hAnsi="宋体"/>
          <w:color w:val="auto"/>
          <w:sz w:val="21"/>
          <w:szCs w:val="24"/>
          <w:highlight w:val="none"/>
        </w:rPr>
        <w:t>项目编号：</w:t>
      </w:r>
      <w:r>
        <w:rPr>
          <w:rFonts w:hint="eastAsia" w:ascii="宋体" w:hAnsi="宋体"/>
          <w:color w:val="auto"/>
          <w:sz w:val="21"/>
          <w:szCs w:val="24"/>
          <w:highlight w:val="none"/>
          <w:u w:val="single"/>
        </w:rPr>
        <w:t xml:space="preserve">                         </w:t>
      </w:r>
    </w:p>
    <w:p w14:paraId="3D1507E6">
      <w:pPr>
        <w:spacing w:line="400" w:lineRule="exact"/>
        <w:ind w:firstLine="0" w:firstLineChars="0"/>
        <w:rPr>
          <w:rFonts w:ascii="宋体" w:hAnsi="宋体"/>
          <w:color w:val="auto"/>
          <w:sz w:val="21"/>
          <w:szCs w:val="24"/>
          <w:highlight w:val="none"/>
        </w:rPr>
      </w:pPr>
    </w:p>
    <w:p w14:paraId="6ADCE947">
      <w:pPr>
        <w:spacing w:line="400" w:lineRule="exact"/>
        <w:ind w:firstLine="0" w:firstLineChars="0"/>
        <w:rPr>
          <w:rFonts w:ascii="宋体" w:hAnsi="宋体"/>
          <w:color w:val="auto"/>
          <w:sz w:val="21"/>
          <w:szCs w:val="24"/>
          <w:highlight w:val="none"/>
        </w:rPr>
      </w:pPr>
      <w:r>
        <w:rPr>
          <w:rFonts w:hint="eastAsia" w:ascii="宋体" w:hAnsi="宋体"/>
          <w:color w:val="auto"/>
          <w:sz w:val="21"/>
          <w:szCs w:val="24"/>
          <w:highlight w:val="none"/>
        </w:rPr>
        <w:t>甲方：</w:t>
      </w:r>
      <w:r>
        <w:rPr>
          <w:rFonts w:hint="eastAsia" w:ascii="宋体" w:hAnsi="宋体"/>
          <w:color w:val="auto"/>
          <w:sz w:val="21"/>
          <w:szCs w:val="24"/>
          <w:highlight w:val="none"/>
          <w:u w:val="single"/>
        </w:rPr>
        <w:t>桂林市生态环境局</w:t>
      </w:r>
      <w:r>
        <w:rPr>
          <w:rFonts w:hint="eastAsia" w:ascii="宋体" w:hAnsi="宋体"/>
          <w:color w:val="auto"/>
          <w:sz w:val="21"/>
          <w:szCs w:val="24"/>
          <w:highlight w:val="none"/>
        </w:rPr>
        <w:t>（采购人，以下简称甲方）</w:t>
      </w:r>
    </w:p>
    <w:p w14:paraId="37EE4A1F">
      <w:pPr>
        <w:spacing w:line="400" w:lineRule="exact"/>
        <w:ind w:firstLine="0" w:firstLineChars="0"/>
        <w:rPr>
          <w:rFonts w:ascii="宋体" w:hAnsi="宋体"/>
          <w:color w:val="auto"/>
          <w:sz w:val="21"/>
          <w:szCs w:val="24"/>
          <w:highlight w:val="none"/>
        </w:rPr>
      </w:pPr>
      <w:r>
        <w:rPr>
          <w:rFonts w:hint="eastAsia" w:ascii="宋体" w:hAnsi="宋体"/>
          <w:color w:val="auto"/>
          <w:sz w:val="21"/>
          <w:szCs w:val="24"/>
          <w:highlight w:val="none"/>
        </w:rPr>
        <w:t>乙方：</w:t>
      </w:r>
      <w:r>
        <w:rPr>
          <w:rFonts w:hint="eastAsia" w:ascii="宋体" w:hAnsi="宋体"/>
          <w:color w:val="auto"/>
          <w:sz w:val="21"/>
          <w:szCs w:val="24"/>
          <w:highlight w:val="none"/>
          <w:u w:val="single"/>
        </w:rPr>
        <w:t xml:space="preserve">                         </w:t>
      </w:r>
      <w:r>
        <w:rPr>
          <w:rFonts w:hint="eastAsia" w:ascii="宋体" w:hAnsi="宋体"/>
          <w:color w:val="auto"/>
          <w:sz w:val="21"/>
          <w:szCs w:val="24"/>
          <w:highlight w:val="none"/>
        </w:rPr>
        <w:t>（成交供应商，以下简称乙方）</w:t>
      </w:r>
    </w:p>
    <w:p w14:paraId="4B9E4E85">
      <w:pPr>
        <w:spacing w:line="400" w:lineRule="exact"/>
        <w:ind w:firstLine="0" w:firstLineChars="0"/>
        <w:rPr>
          <w:rFonts w:ascii="宋体" w:hAnsi="宋体"/>
          <w:color w:val="auto"/>
          <w:sz w:val="21"/>
          <w:szCs w:val="24"/>
          <w:highlight w:val="none"/>
        </w:rPr>
      </w:pPr>
    </w:p>
    <w:p w14:paraId="13371431">
      <w:pPr>
        <w:spacing w:line="340" w:lineRule="exact"/>
        <w:ind w:firstLine="420"/>
        <w:rPr>
          <w:rFonts w:ascii="宋体" w:hAnsi="宋体"/>
          <w:color w:val="auto"/>
          <w:sz w:val="21"/>
          <w:szCs w:val="21"/>
          <w:highlight w:val="none"/>
        </w:rPr>
      </w:pPr>
      <w:bookmarkStart w:id="40" w:name="_Toc456863728"/>
      <w:r>
        <w:rPr>
          <w:rFonts w:hint="eastAsia" w:ascii="宋体" w:hAnsi="宋体"/>
          <w:color w:val="auto"/>
          <w:sz w:val="21"/>
          <w:szCs w:val="21"/>
          <w:highlight w:val="none"/>
        </w:rPr>
        <w:t>根据《中华人民共和国政府采购法》《中华人民共和国政府采购法实施条例》《中华人民共和国民法典》等法律法规规定，按照竞争性磋商文件（以下简称磋商文件）、响应文件规定条款和成交供应商的承诺、甲乙双方签订本采购合同。</w:t>
      </w:r>
    </w:p>
    <w:p w14:paraId="430E6767">
      <w:pPr>
        <w:spacing w:line="340" w:lineRule="exact"/>
        <w:ind w:firstLine="422"/>
        <w:rPr>
          <w:rFonts w:ascii="宋体" w:hAnsi="宋体"/>
          <w:b/>
          <w:color w:val="auto"/>
          <w:sz w:val="21"/>
          <w:szCs w:val="21"/>
          <w:highlight w:val="none"/>
        </w:rPr>
      </w:pPr>
      <w:r>
        <w:rPr>
          <w:rFonts w:hint="eastAsia" w:ascii="宋体" w:hAnsi="宋体"/>
          <w:b/>
          <w:color w:val="auto"/>
          <w:sz w:val="21"/>
          <w:szCs w:val="21"/>
          <w:highlight w:val="none"/>
        </w:rPr>
        <w:t>第一条 合同文件</w:t>
      </w:r>
    </w:p>
    <w:p w14:paraId="1AA1BED3">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本合同所附下列文件是构成本合同不可分割的部分：</w:t>
      </w:r>
    </w:p>
    <w:p w14:paraId="4A22676A">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 竞争性磋商文件</w:t>
      </w:r>
    </w:p>
    <w:p w14:paraId="24E62148">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2.成交供应商提交的响应（或应答）文件；</w:t>
      </w:r>
    </w:p>
    <w:p w14:paraId="2B977D7B">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3.项目实施方案（如有）、服务方案（如有）；</w:t>
      </w:r>
    </w:p>
    <w:p w14:paraId="6DB5A59B">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4.磋商中的磋商记录；</w:t>
      </w:r>
    </w:p>
    <w:p w14:paraId="6C9F27E9">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5.成交通知书；</w:t>
      </w:r>
    </w:p>
    <w:p w14:paraId="30CB188C">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6.本合同协议书及有关补充资料；</w:t>
      </w:r>
    </w:p>
    <w:p w14:paraId="7A7972EB">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7.标准、规范及有关技术文件</w:t>
      </w:r>
    </w:p>
    <w:p w14:paraId="203AAD31">
      <w:pPr>
        <w:spacing w:line="440" w:lineRule="exact"/>
        <w:ind w:left="413" w:firstLine="0" w:firstLineChars="0"/>
        <w:rPr>
          <w:b/>
          <w:color w:val="auto"/>
          <w:sz w:val="21"/>
          <w:szCs w:val="21"/>
          <w:highlight w:val="none"/>
        </w:rPr>
      </w:pPr>
      <w:r>
        <w:rPr>
          <w:rFonts w:hint="eastAsia" w:ascii="宋体" w:hAnsi="宋体"/>
          <w:b/>
          <w:color w:val="auto"/>
          <w:sz w:val="21"/>
          <w:szCs w:val="21"/>
          <w:highlight w:val="none"/>
        </w:rPr>
        <w:t>第二条  合同标的及</w:t>
      </w:r>
      <w:r>
        <w:rPr>
          <w:rFonts w:hint="eastAsia"/>
          <w:b/>
          <w:color w:val="auto"/>
          <w:sz w:val="21"/>
          <w:szCs w:val="21"/>
          <w:highlight w:val="none"/>
        </w:rPr>
        <w:t xml:space="preserve">合同金额            </w:t>
      </w:r>
    </w:p>
    <w:p w14:paraId="0612E22F">
      <w:pPr>
        <w:spacing w:line="340" w:lineRule="exact"/>
        <w:ind w:left="413" w:firstLine="0" w:firstLineChars="0"/>
        <w:rPr>
          <w:rFonts w:ascii="宋体" w:hAnsi="宋体"/>
          <w:color w:val="auto"/>
          <w:sz w:val="21"/>
          <w:szCs w:val="21"/>
          <w:highlight w:val="none"/>
        </w:rPr>
      </w:pPr>
      <w:r>
        <w:rPr>
          <w:rFonts w:hint="eastAsia" w:ascii="宋体" w:hAnsi="宋体"/>
          <w:color w:val="auto"/>
          <w:sz w:val="21"/>
          <w:szCs w:val="21"/>
          <w:highlight w:val="none"/>
        </w:rPr>
        <w:t>1.合同标的</w:t>
      </w:r>
    </w:p>
    <w:tbl>
      <w:tblPr>
        <w:tblStyle w:val="45"/>
        <w:tblW w:w="963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843"/>
        <w:gridCol w:w="1842"/>
        <w:gridCol w:w="993"/>
        <w:gridCol w:w="850"/>
        <w:gridCol w:w="1276"/>
        <w:gridCol w:w="1984"/>
      </w:tblGrid>
      <w:tr w14:paraId="44249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851" w:type="dxa"/>
            <w:tcBorders>
              <w:top w:val="single" w:color="auto" w:sz="4" w:space="0"/>
              <w:left w:val="single" w:color="auto" w:sz="4" w:space="0"/>
              <w:bottom w:val="single" w:color="auto" w:sz="4" w:space="0"/>
              <w:right w:val="single" w:color="auto" w:sz="4" w:space="0"/>
            </w:tcBorders>
            <w:vAlign w:val="center"/>
          </w:tcPr>
          <w:p w14:paraId="1D7BCD17">
            <w:pPr>
              <w:tabs>
                <w:tab w:val="left" w:pos="1418"/>
              </w:tabs>
              <w:snapToGrid w:val="0"/>
              <w:spacing w:before="50" w:after="50"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项号</w:t>
            </w:r>
          </w:p>
        </w:tc>
        <w:tc>
          <w:tcPr>
            <w:tcW w:w="1843" w:type="dxa"/>
            <w:tcBorders>
              <w:top w:val="single" w:color="auto" w:sz="4" w:space="0"/>
              <w:left w:val="single" w:color="auto" w:sz="4" w:space="0"/>
              <w:bottom w:val="single" w:color="auto" w:sz="4" w:space="0"/>
              <w:right w:val="single" w:color="auto" w:sz="4" w:space="0"/>
            </w:tcBorders>
            <w:vAlign w:val="center"/>
          </w:tcPr>
          <w:p w14:paraId="31779EAF">
            <w:pPr>
              <w:tabs>
                <w:tab w:val="left" w:pos="1418"/>
              </w:tabs>
              <w:snapToGrid w:val="0"/>
              <w:spacing w:before="50" w:after="50"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标的的名称</w:t>
            </w:r>
          </w:p>
        </w:tc>
        <w:tc>
          <w:tcPr>
            <w:tcW w:w="1842" w:type="dxa"/>
            <w:tcBorders>
              <w:top w:val="single" w:color="auto" w:sz="4" w:space="0"/>
              <w:left w:val="single" w:color="auto" w:sz="4" w:space="0"/>
              <w:bottom w:val="single" w:color="auto" w:sz="4" w:space="0"/>
              <w:right w:val="single" w:color="auto" w:sz="4" w:space="0"/>
            </w:tcBorders>
            <w:vAlign w:val="center"/>
          </w:tcPr>
          <w:p w14:paraId="550F634F">
            <w:pPr>
              <w:tabs>
                <w:tab w:val="left" w:pos="1418"/>
              </w:tabs>
              <w:snapToGrid w:val="0"/>
              <w:spacing w:before="50" w:after="50"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服务内容</w:t>
            </w:r>
          </w:p>
        </w:tc>
        <w:tc>
          <w:tcPr>
            <w:tcW w:w="993" w:type="dxa"/>
            <w:tcBorders>
              <w:top w:val="single" w:color="auto" w:sz="4" w:space="0"/>
              <w:left w:val="single" w:color="auto" w:sz="4" w:space="0"/>
              <w:bottom w:val="single" w:color="auto" w:sz="4" w:space="0"/>
              <w:right w:val="single" w:color="auto" w:sz="4" w:space="0"/>
            </w:tcBorders>
            <w:vAlign w:val="center"/>
          </w:tcPr>
          <w:p w14:paraId="4A61AF55">
            <w:pPr>
              <w:tabs>
                <w:tab w:val="left" w:pos="1418"/>
              </w:tabs>
              <w:snapToGrid w:val="0"/>
              <w:spacing w:before="50" w:after="50"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数量</w:t>
            </w:r>
          </w:p>
          <w:p w14:paraId="20901D5B">
            <w:pPr>
              <w:tabs>
                <w:tab w:val="left" w:pos="1418"/>
              </w:tabs>
              <w:snapToGrid w:val="0"/>
              <w:spacing w:before="50" w:after="50"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①</w:t>
            </w:r>
          </w:p>
        </w:tc>
        <w:tc>
          <w:tcPr>
            <w:tcW w:w="850" w:type="dxa"/>
            <w:tcBorders>
              <w:top w:val="single" w:color="auto" w:sz="4" w:space="0"/>
              <w:left w:val="single" w:color="auto" w:sz="4" w:space="0"/>
              <w:bottom w:val="single" w:color="auto" w:sz="4" w:space="0"/>
              <w:right w:val="single" w:color="auto" w:sz="4" w:space="0"/>
            </w:tcBorders>
            <w:vAlign w:val="center"/>
          </w:tcPr>
          <w:p w14:paraId="53C2FEDA">
            <w:pPr>
              <w:tabs>
                <w:tab w:val="left" w:pos="1418"/>
              </w:tabs>
              <w:snapToGrid w:val="0"/>
              <w:spacing w:before="50" w:after="50"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7AB7E661">
            <w:pPr>
              <w:tabs>
                <w:tab w:val="left" w:pos="1418"/>
              </w:tabs>
              <w:snapToGrid w:val="0"/>
              <w:spacing w:before="50" w:after="50"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单价②</w:t>
            </w:r>
          </w:p>
        </w:tc>
        <w:tc>
          <w:tcPr>
            <w:tcW w:w="1984" w:type="dxa"/>
            <w:tcBorders>
              <w:top w:val="single" w:color="auto" w:sz="4" w:space="0"/>
              <w:left w:val="single" w:color="auto" w:sz="4" w:space="0"/>
              <w:bottom w:val="single" w:color="auto" w:sz="4" w:space="0"/>
              <w:right w:val="single" w:color="auto" w:sz="4" w:space="0"/>
            </w:tcBorders>
            <w:vAlign w:val="center"/>
          </w:tcPr>
          <w:p w14:paraId="7C0E1ABC">
            <w:pPr>
              <w:snapToGrid w:val="0"/>
              <w:spacing w:line="340" w:lineRule="exact"/>
              <w:ind w:firstLine="0" w:firstLineChars="0"/>
              <w:jc w:val="center"/>
              <w:rPr>
                <w:rFonts w:ascii="宋体" w:hAnsi="宋体"/>
                <w:color w:val="auto"/>
                <w:sz w:val="21"/>
                <w:szCs w:val="21"/>
                <w:highlight w:val="none"/>
              </w:rPr>
            </w:pPr>
            <w:r>
              <w:rPr>
                <w:rFonts w:hint="eastAsia" w:ascii="宋体" w:hAnsi="宋体"/>
                <w:b/>
                <w:color w:val="auto"/>
                <w:sz w:val="21"/>
                <w:szCs w:val="21"/>
                <w:highlight w:val="none"/>
              </w:rPr>
              <w:t>单项合计金额</w:t>
            </w:r>
            <w:r>
              <w:rPr>
                <w:rFonts w:hint="eastAsia" w:ascii="宋体" w:hAnsi="宋体"/>
                <w:color w:val="auto"/>
                <w:sz w:val="21"/>
                <w:szCs w:val="21"/>
                <w:highlight w:val="none"/>
              </w:rPr>
              <w:t>（元）③＝①×②</w:t>
            </w:r>
          </w:p>
        </w:tc>
      </w:tr>
      <w:tr w14:paraId="6BBF5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851" w:type="dxa"/>
            <w:tcBorders>
              <w:top w:val="single" w:color="auto" w:sz="4" w:space="0"/>
              <w:left w:val="single" w:color="auto" w:sz="4" w:space="0"/>
              <w:bottom w:val="single" w:color="auto" w:sz="4" w:space="0"/>
              <w:right w:val="single" w:color="auto" w:sz="4" w:space="0"/>
            </w:tcBorders>
            <w:vAlign w:val="center"/>
          </w:tcPr>
          <w:p w14:paraId="4A9F74BB">
            <w:pPr>
              <w:tabs>
                <w:tab w:val="left" w:pos="1418"/>
              </w:tabs>
              <w:snapToGrid w:val="0"/>
              <w:spacing w:before="50" w:after="50"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843" w:type="dxa"/>
            <w:tcBorders>
              <w:top w:val="single" w:color="auto" w:sz="4" w:space="0"/>
              <w:left w:val="single" w:color="auto" w:sz="4" w:space="0"/>
              <w:bottom w:val="single" w:color="auto" w:sz="4" w:space="0"/>
              <w:right w:val="single" w:color="auto" w:sz="4" w:space="0"/>
            </w:tcBorders>
            <w:vAlign w:val="center"/>
          </w:tcPr>
          <w:p w14:paraId="624E0B7D">
            <w:pPr>
              <w:tabs>
                <w:tab w:val="left" w:pos="1418"/>
              </w:tabs>
              <w:snapToGrid w:val="0"/>
              <w:spacing w:before="50" w:after="50" w:line="340" w:lineRule="exact"/>
              <w:ind w:firstLine="0" w:firstLineChars="0"/>
              <w:jc w:val="center"/>
              <w:rPr>
                <w:rFonts w:ascii="宋体" w:hAnsi="宋体"/>
                <w:color w:val="auto"/>
                <w:sz w:val="21"/>
                <w:szCs w:val="21"/>
                <w:highlight w:val="none"/>
              </w:rPr>
            </w:pPr>
            <w:r>
              <w:rPr>
                <w:rFonts w:hint="eastAsia" w:ascii="宋体" w:hAnsi="宋体" w:cs="宋体"/>
                <w:color w:val="auto"/>
                <w:sz w:val="21"/>
                <w:szCs w:val="21"/>
                <w:highlight w:val="none"/>
              </w:rPr>
              <w:t>2个环境空气自动监测站运行维护服务</w:t>
            </w:r>
          </w:p>
        </w:tc>
        <w:tc>
          <w:tcPr>
            <w:tcW w:w="1842" w:type="dxa"/>
            <w:tcBorders>
              <w:top w:val="single" w:color="auto" w:sz="4" w:space="0"/>
              <w:left w:val="single" w:color="auto" w:sz="4" w:space="0"/>
              <w:right w:val="single" w:color="auto" w:sz="4" w:space="0"/>
            </w:tcBorders>
            <w:vAlign w:val="center"/>
          </w:tcPr>
          <w:p w14:paraId="671BA747">
            <w:pPr>
              <w:tabs>
                <w:tab w:val="left" w:pos="1418"/>
              </w:tabs>
              <w:snapToGrid w:val="0"/>
              <w:spacing w:before="50" w:after="50" w:line="340" w:lineRule="exact"/>
              <w:ind w:firstLine="0" w:firstLineChars="0"/>
              <w:jc w:val="center"/>
              <w:rPr>
                <w:rFonts w:ascii="宋体" w:hAnsi="宋体"/>
                <w:color w:val="auto"/>
                <w:sz w:val="21"/>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2AED4C13">
            <w:pPr>
              <w:tabs>
                <w:tab w:val="left" w:pos="1418"/>
              </w:tabs>
              <w:snapToGrid w:val="0"/>
              <w:spacing w:before="50" w:after="50"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850" w:type="dxa"/>
            <w:tcBorders>
              <w:top w:val="single" w:color="auto" w:sz="4" w:space="0"/>
              <w:left w:val="single" w:color="auto" w:sz="4" w:space="0"/>
              <w:bottom w:val="single" w:color="auto" w:sz="4" w:space="0"/>
              <w:right w:val="single" w:color="auto" w:sz="4" w:space="0"/>
            </w:tcBorders>
            <w:vAlign w:val="center"/>
          </w:tcPr>
          <w:p w14:paraId="6C8C435A">
            <w:pPr>
              <w:tabs>
                <w:tab w:val="left" w:pos="1418"/>
              </w:tabs>
              <w:snapToGrid w:val="0"/>
              <w:spacing w:before="50" w:after="50" w:line="3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项</w:t>
            </w:r>
          </w:p>
        </w:tc>
        <w:tc>
          <w:tcPr>
            <w:tcW w:w="1276" w:type="dxa"/>
            <w:tcBorders>
              <w:top w:val="single" w:color="auto" w:sz="4" w:space="0"/>
              <w:left w:val="single" w:color="auto" w:sz="4" w:space="0"/>
              <w:bottom w:val="single" w:color="auto" w:sz="4" w:space="0"/>
              <w:right w:val="single" w:color="auto" w:sz="4" w:space="0"/>
            </w:tcBorders>
            <w:vAlign w:val="center"/>
          </w:tcPr>
          <w:p w14:paraId="5C00B45A">
            <w:pPr>
              <w:tabs>
                <w:tab w:val="left" w:pos="1418"/>
              </w:tabs>
              <w:snapToGrid w:val="0"/>
              <w:spacing w:before="50" w:after="50" w:line="340" w:lineRule="exact"/>
              <w:ind w:firstLine="0" w:firstLineChars="0"/>
              <w:jc w:val="center"/>
              <w:rPr>
                <w:rFonts w:ascii="宋体" w:hAnsi="宋体"/>
                <w:color w:val="auto"/>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213C6D3">
            <w:pPr>
              <w:tabs>
                <w:tab w:val="left" w:pos="1418"/>
              </w:tabs>
              <w:snapToGrid w:val="0"/>
              <w:spacing w:before="50" w:after="50" w:line="340" w:lineRule="exact"/>
              <w:ind w:firstLine="0" w:firstLineChars="0"/>
              <w:jc w:val="center"/>
              <w:rPr>
                <w:rFonts w:ascii="宋体" w:hAnsi="宋体"/>
                <w:color w:val="auto"/>
                <w:sz w:val="21"/>
                <w:szCs w:val="21"/>
                <w:highlight w:val="none"/>
              </w:rPr>
            </w:pPr>
          </w:p>
        </w:tc>
      </w:tr>
      <w:tr w14:paraId="0F298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655" w:type="dxa"/>
            <w:gridSpan w:val="6"/>
            <w:tcBorders>
              <w:top w:val="single" w:color="auto" w:sz="4" w:space="0"/>
              <w:left w:val="single" w:color="auto" w:sz="4" w:space="0"/>
              <w:bottom w:val="single" w:color="auto" w:sz="4" w:space="0"/>
              <w:right w:val="single" w:color="auto" w:sz="4" w:space="0"/>
            </w:tcBorders>
            <w:vAlign w:val="center"/>
          </w:tcPr>
          <w:p w14:paraId="265BFD83">
            <w:pPr>
              <w:tabs>
                <w:tab w:val="left" w:pos="1418"/>
              </w:tabs>
              <w:snapToGrid w:val="0"/>
              <w:spacing w:before="50" w:after="50" w:line="340" w:lineRule="exact"/>
              <w:ind w:firstLine="0" w:firstLineChars="0"/>
              <w:jc w:val="center"/>
              <w:rPr>
                <w:rFonts w:ascii="宋体" w:hAnsi="宋体"/>
                <w:color w:val="auto"/>
                <w:sz w:val="21"/>
                <w:szCs w:val="21"/>
                <w:highlight w:val="none"/>
              </w:rPr>
            </w:pPr>
            <w:r>
              <w:rPr>
                <w:rFonts w:hint="eastAsia" w:ascii="宋体" w:hAnsi="宋体" w:cs="宋体"/>
                <w:color w:val="auto"/>
                <w:sz w:val="21"/>
                <w:szCs w:val="21"/>
                <w:highlight w:val="none"/>
              </w:rPr>
              <w:t>合计</w:t>
            </w:r>
          </w:p>
        </w:tc>
        <w:tc>
          <w:tcPr>
            <w:tcW w:w="1984" w:type="dxa"/>
            <w:tcBorders>
              <w:top w:val="single" w:color="auto" w:sz="4" w:space="0"/>
              <w:left w:val="single" w:color="auto" w:sz="4" w:space="0"/>
              <w:bottom w:val="single" w:color="auto" w:sz="4" w:space="0"/>
              <w:right w:val="single" w:color="auto" w:sz="4" w:space="0"/>
            </w:tcBorders>
            <w:vAlign w:val="center"/>
          </w:tcPr>
          <w:p w14:paraId="3219499B">
            <w:pPr>
              <w:tabs>
                <w:tab w:val="left" w:pos="1418"/>
              </w:tabs>
              <w:snapToGrid w:val="0"/>
              <w:spacing w:before="50" w:after="50" w:line="340" w:lineRule="exact"/>
              <w:ind w:firstLine="0" w:firstLineChars="0"/>
              <w:jc w:val="center"/>
              <w:rPr>
                <w:rFonts w:ascii="宋体" w:hAnsi="宋体"/>
                <w:color w:val="auto"/>
                <w:sz w:val="21"/>
                <w:szCs w:val="21"/>
                <w:highlight w:val="none"/>
              </w:rPr>
            </w:pPr>
          </w:p>
        </w:tc>
      </w:tr>
    </w:tbl>
    <w:p w14:paraId="48838862">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根据《成交通知书》的成交内容，合同的总金额为：（大写）</w:t>
      </w:r>
      <w:r>
        <w:rPr>
          <w:rFonts w:hint="eastAsia" w:ascii="宋体" w:hAnsi="宋体"/>
          <w:color w:val="auto"/>
          <w:sz w:val="21"/>
          <w:szCs w:val="21"/>
          <w:highlight w:val="none"/>
          <w:u w:val="single"/>
        </w:rPr>
        <w:t>人民币           （</w:t>
      </w:r>
      <w:r>
        <w:rPr>
          <w:rFonts w:hint="eastAsia"/>
          <w:color w:val="auto"/>
          <w:sz w:val="21"/>
          <w:szCs w:val="21"/>
          <w:highlight w:val="none"/>
          <w:u w:val="singl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913F928">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2.合同总金额应包括本次采购范围内运维服务的价款、完成本项目服务的相关费用（包含技术服务费、耗材、拟投入本项目的设备（备机）、人员成本、劳务费、资料收集、研究、指导、交通、通讯、差旅费、管理费、利润、税费、验收以及合同明示或暗示的所有责任、义务、风险及运营期间所需水、电、通讯所需费用）等费用总和。</w:t>
      </w:r>
    </w:p>
    <w:p w14:paraId="0E4A6068">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第三条  质量保证</w:t>
      </w:r>
    </w:p>
    <w:p w14:paraId="56612669">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1.乙方应按磋商文件要求及响应文件承诺的服务技术标准、质量标准等向甲方提供服务。</w:t>
      </w:r>
    </w:p>
    <w:p w14:paraId="680B5F90">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2.提供的服务在甲方使用时不会侵犯任何第三方的专利权、商标权、工业设计权或其他权利，甲方在使用时拥有充分、完整的设计成果的知识产权。</w:t>
      </w:r>
    </w:p>
    <w:p w14:paraId="175DF3DA">
      <w:pPr>
        <w:spacing w:line="340" w:lineRule="exact"/>
        <w:ind w:firstLine="413" w:firstLineChars="196"/>
        <w:rPr>
          <w:rFonts w:ascii="宋体" w:hAnsi="宋体" w:cs="宋体"/>
          <w:b/>
          <w:color w:val="auto"/>
          <w:sz w:val="21"/>
          <w:szCs w:val="21"/>
          <w:highlight w:val="none"/>
        </w:rPr>
      </w:pPr>
      <w:r>
        <w:rPr>
          <w:rFonts w:hint="eastAsia" w:ascii="宋体" w:hAnsi="宋体" w:cs="宋体"/>
          <w:b/>
          <w:color w:val="auto"/>
          <w:sz w:val="21"/>
          <w:szCs w:val="21"/>
          <w:highlight w:val="none"/>
        </w:rPr>
        <w:t>第四条  权力保证</w:t>
      </w:r>
    </w:p>
    <w:p w14:paraId="0A60B230">
      <w:pPr>
        <w:spacing w:line="340" w:lineRule="exact"/>
        <w:ind w:firstLine="411" w:firstLineChars="196"/>
        <w:rPr>
          <w:rFonts w:ascii="宋体" w:hAnsi="宋体" w:cs="宋体"/>
          <w:color w:val="auto"/>
          <w:sz w:val="21"/>
          <w:szCs w:val="21"/>
          <w:highlight w:val="none"/>
        </w:rPr>
      </w:pPr>
      <w:r>
        <w:rPr>
          <w:rFonts w:hint="eastAsia" w:ascii="宋体" w:hAnsi="宋体" w:cs="宋体"/>
          <w:color w:val="auto"/>
          <w:sz w:val="21"/>
          <w:szCs w:val="21"/>
          <w:highlight w:val="none"/>
        </w:rPr>
        <w:t>乙方应保证所提供服务在使用时不会侵犯任何第三方的其他权利。</w:t>
      </w:r>
    </w:p>
    <w:p w14:paraId="3AA0938F">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第五条  服务内容及要求</w:t>
      </w:r>
    </w:p>
    <w:p w14:paraId="3D49B0A9">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具体详见本文件“采购需求”。乙方必须按照磋商文件“采购需求”中的所有要求向甲方提供服务。</w:t>
      </w:r>
    </w:p>
    <w:p w14:paraId="4F0B29D2">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第六条  监督考核要求</w:t>
      </w:r>
    </w:p>
    <w:p w14:paraId="7A5042BD">
      <w:pPr>
        <w:spacing w:line="340" w:lineRule="exact"/>
        <w:ind w:firstLine="411" w:firstLineChars="196"/>
        <w:rPr>
          <w:rFonts w:ascii="宋体" w:hAnsi="宋体" w:cs="宋体"/>
          <w:bCs/>
          <w:color w:val="auto"/>
          <w:sz w:val="21"/>
          <w:szCs w:val="21"/>
          <w:highlight w:val="none"/>
        </w:rPr>
      </w:pPr>
      <w:r>
        <w:rPr>
          <w:rFonts w:hint="eastAsia" w:ascii="宋体" w:hAnsi="宋体" w:cs="宋体"/>
          <w:bCs/>
          <w:color w:val="auto"/>
          <w:sz w:val="21"/>
          <w:szCs w:val="21"/>
          <w:highlight w:val="none"/>
        </w:rPr>
        <w:t>甲方或甲方委托的第三方机构组织开展运维管理和质控考核，对达不到运维要求或违规操作的，甲方可以扣减相应的运维费，并有权终止运维合同。</w:t>
      </w:r>
    </w:p>
    <w:p w14:paraId="741D4A9D">
      <w:pPr>
        <w:spacing w:line="340" w:lineRule="exact"/>
        <w:ind w:firstLine="422"/>
        <w:rPr>
          <w:rFonts w:ascii="宋体" w:hAnsi="宋体"/>
          <w:b/>
          <w:bCs/>
          <w:color w:val="auto"/>
          <w:sz w:val="21"/>
          <w:szCs w:val="21"/>
          <w:highlight w:val="none"/>
        </w:rPr>
      </w:pPr>
      <w:r>
        <w:rPr>
          <w:rFonts w:hint="eastAsia" w:ascii="宋体" w:hAnsi="宋体" w:cs="宋体"/>
          <w:b/>
          <w:bCs/>
          <w:color w:val="auto"/>
          <w:sz w:val="21"/>
          <w:szCs w:val="21"/>
          <w:highlight w:val="none"/>
        </w:rPr>
        <w:t>1.</w:t>
      </w:r>
      <w:r>
        <w:rPr>
          <w:rFonts w:hint="eastAsia" w:ascii="宋体" w:hAnsi="宋体" w:cs="宋体"/>
          <w:b/>
          <w:bCs/>
          <w:color w:val="auto"/>
          <w:spacing w:val="-8"/>
          <w:sz w:val="21"/>
          <w:szCs w:val="21"/>
          <w:highlight w:val="none"/>
        </w:rPr>
        <w:t>监督管理</w:t>
      </w:r>
    </w:p>
    <w:p w14:paraId="22C44FEA">
      <w:pPr>
        <w:spacing w:line="340" w:lineRule="exact"/>
        <w:ind w:firstLine="420"/>
        <w:rPr>
          <w:rFonts w:ascii="宋体" w:hAnsi="宋体"/>
          <w:color w:val="auto"/>
          <w:sz w:val="21"/>
          <w:szCs w:val="21"/>
          <w:highlight w:val="none"/>
        </w:rPr>
      </w:pPr>
      <w:r>
        <w:rPr>
          <w:rFonts w:hint="eastAsia" w:ascii="宋体" w:hAnsi="宋体" w:cs="宋体"/>
          <w:color w:val="auto"/>
          <w:sz w:val="21"/>
          <w:szCs w:val="21"/>
          <w:highlight w:val="none"/>
        </w:rPr>
        <w:t>（1）要求乙方承担监测数据的保密责任（要求与</w:t>
      </w:r>
      <w:r>
        <w:rPr>
          <w:rFonts w:hint="eastAsia" w:ascii="宋体" w:hAnsi="宋体" w:cs="宋体"/>
          <w:bCs/>
          <w:color w:val="auto"/>
          <w:sz w:val="21"/>
          <w:szCs w:val="21"/>
          <w:highlight w:val="none"/>
        </w:rPr>
        <w:t>甲方</w:t>
      </w:r>
      <w:r>
        <w:rPr>
          <w:rFonts w:hint="eastAsia" w:ascii="宋体" w:hAnsi="宋体" w:cs="宋体"/>
          <w:color w:val="auto"/>
          <w:sz w:val="21"/>
          <w:szCs w:val="21"/>
          <w:highlight w:val="none"/>
        </w:rPr>
        <w:t>签订保密协议），不得利用本项目的数据、档案或有关资料对外开展技术交流、业务联系、数据交换等。否则，按违约处理，并追究其相应的法律责任，甲方有权向监督管理部门汇报并处理。</w:t>
      </w:r>
    </w:p>
    <w:p w14:paraId="603A869E">
      <w:pPr>
        <w:spacing w:line="340" w:lineRule="exact"/>
        <w:ind w:firstLine="420"/>
        <w:rPr>
          <w:rFonts w:ascii="宋体" w:hAnsi="宋体"/>
          <w:color w:val="auto"/>
          <w:sz w:val="21"/>
          <w:szCs w:val="21"/>
          <w:highlight w:val="none"/>
        </w:rPr>
      </w:pPr>
      <w:r>
        <w:rPr>
          <w:rFonts w:hint="eastAsia" w:ascii="宋体" w:hAnsi="宋体" w:cs="宋体"/>
          <w:color w:val="auto"/>
          <w:sz w:val="21"/>
          <w:szCs w:val="21"/>
          <w:highlight w:val="none"/>
        </w:rPr>
        <w:t>（2）运维期间出现调整数据、修改参数、改动设备、弄虚作假等违规行为的，</w:t>
      </w:r>
      <w:r>
        <w:rPr>
          <w:rFonts w:hint="eastAsia" w:ascii="宋体" w:hAnsi="宋体" w:cs="宋体"/>
          <w:bCs/>
          <w:color w:val="auto"/>
          <w:sz w:val="21"/>
          <w:szCs w:val="21"/>
          <w:highlight w:val="none"/>
        </w:rPr>
        <w:t>甲方</w:t>
      </w:r>
      <w:r>
        <w:rPr>
          <w:rFonts w:hint="eastAsia" w:ascii="宋体" w:hAnsi="宋体" w:cs="宋体"/>
          <w:color w:val="auto"/>
          <w:sz w:val="21"/>
          <w:szCs w:val="21"/>
          <w:highlight w:val="none"/>
        </w:rPr>
        <w:t>有权终止运维合同。</w:t>
      </w:r>
    </w:p>
    <w:p w14:paraId="404B4798">
      <w:pPr>
        <w:spacing w:line="340" w:lineRule="exact"/>
        <w:ind w:firstLine="420"/>
        <w:rPr>
          <w:rFonts w:ascii="宋体" w:hAnsi="宋体"/>
          <w:color w:val="auto"/>
          <w:sz w:val="21"/>
          <w:szCs w:val="21"/>
          <w:highlight w:val="none"/>
        </w:rPr>
      </w:pPr>
      <w:r>
        <w:rPr>
          <w:rFonts w:hint="eastAsia" w:ascii="宋体" w:hAnsi="宋体" w:cs="宋体"/>
          <w:color w:val="auto"/>
          <w:sz w:val="21"/>
          <w:szCs w:val="21"/>
          <w:highlight w:val="none"/>
        </w:rPr>
        <w:t>（3）运维期间，乙方按安全生产有关规定，建立安全生产制度，切实消除安全隐患。</w:t>
      </w:r>
    </w:p>
    <w:p w14:paraId="23067726">
      <w:pPr>
        <w:spacing w:line="340" w:lineRule="exact"/>
        <w:ind w:firstLine="422"/>
        <w:rPr>
          <w:rFonts w:ascii="宋体" w:hAnsi="宋体"/>
          <w:b/>
          <w:bCs/>
          <w:color w:val="auto"/>
          <w:sz w:val="21"/>
          <w:szCs w:val="21"/>
          <w:highlight w:val="none"/>
        </w:rPr>
      </w:pPr>
      <w:r>
        <w:rPr>
          <w:rFonts w:hint="eastAsia" w:ascii="宋体" w:hAnsi="宋体" w:cs="宋体"/>
          <w:b/>
          <w:bCs/>
          <w:color w:val="auto"/>
          <w:sz w:val="21"/>
          <w:szCs w:val="21"/>
          <w:highlight w:val="none"/>
        </w:rPr>
        <w:t>2.</w:t>
      </w:r>
      <w:r>
        <w:rPr>
          <w:rFonts w:hint="eastAsia" w:ascii="宋体" w:hAnsi="宋体" w:cs="宋体"/>
          <w:b/>
          <w:bCs/>
          <w:color w:val="auto"/>
          <w:spacing w:val="-8"/>
          <w:sz w:val="21"/>
          <w:szCs w:val="21"/>
          <w:highlight w:val="none"/>
        </w:rPr>
        <w:t>考核办法</w:t>
      </w:r>
    </w:p>
    <w:p w14:paraId="4A15B9FB">
      <w:pPr>
        <w:spacing w:line="340" w:lineRule="exact"/>
        <w:ind w:firstLine="420"/>
        <w:rPr>
          <w:rFonts w:ascii="宋体" w:hAnsi="宋体"/>
          <w:color w:val="auto"/>
          <w:sz w:val="21"/>
          <w:szCs w:val="21"/>
          <w:highlight w:val="none"/>
        </w:rPr>
      </w:pPr>
      <w:r>
        <w:rPr>
          <w:rFonts w:hint="eastAsia" w:ascii="宋体" w:hAnsi="宋体" w:cs="宋体"/>
          <w:color w:val="auto"/>
          <w:sz w:val="21"/>
          <w:szCs w:val="21"/>
          <w:highlight w:val="none"/>
        </w:rPr>
        <w:t>对乙方运行维护服务质量每月检查一次，每季度考核一次。考核采取百分制、单站考核的方式，主要包括单个站点数据有效性，监测数据获取率、数据质控合格率（以下简称“两率”）以及运行维护的内容，考核总分按照合同要求支付该季度的运行费：</w:t>
      </w:r>
    </w:p>
    <w:p w14:paraId="3E8CAF78">
      <w:pPr>
        <w:spacing w:line="340" w:lineRule="exact"/>
        <w:ind w:firstLine="422"/>
        <w:rPr>
          <w:rFonts w:ascii="宋体" w:hAnsi="宋体"/>
          <w:b/>
          <w:bCs/>
          <w:color w:val="auto"/>
          <w:sz w:val="21"/>
          <w:szCs w:val="21"/>
          <w:highlight w:val="none"/>
        </w:rPr>
      </w:pPr>
      <w:r>
        <w:rPr>
          <w:rFonts w:hint="eastAsia" w:ascii="宋体" w:hAnsi="宋体" w:cs="宋体"/>
          <w:b/>
          <w:bCs/>
          <w:color w:val="auto"/>
          <w:sz w:val="21"/>
          <w:szCs w:val="21"/>
          <w:highlight w:val="none"/>
        </w:rPr>
        <w:t>（1）</w:t>
      </w:r>
      <w:r>
        <w:rPr>
          <w:rFonts w:hint="eastAsia" w:ascii="宋体" w:hAnsi="宋体" w:cs="宋体"/>
          <w:b/>
          <w:bCs/>
          <w:color w:val="auto"/>
          <w:spacing w:val="-8"/>
          <w:sz w:val="21"/>
          <w:szCs w:val="21"/>
          <w:highlight w:val="none"/>
        </w:rPr>
        <w:t>数据有效性</w:t>
      </w:r>
    </w:p>
    <w:p w14:paraId="36346DE7">
      <w:pPr>
        <w:spacing w:line="340" w:lineRule="exact"/>
        <w:ind w:firstLine="420"/>
        <w:rPr>
          <w:rFonts w:ascii="宋体" w:hAnsi="宋体"/>
          <w:color w:val="auto"/>
          <w:sz w:val="21"/>
          <w:szCs w:val="21"/>
          <w:highlight w:val="none"/>
        </w:rPr>
      </w:pPr>
      <w:r>
        <w:rPr>
          <w:rFonts w:hint="eastAsia" w:ascii="宋体" w:hAnsi="宋体" w:cs="宋体"/>
          <w:snapToGrid w:val="0"/>
          <w:color w:val="auto"/>
          <w:kern w:val="0"/>
          <w:sz w:val="21"/>
          <w:szCs w:val="21"/>
          <w:highlight w:val="none"/>
        </w:rPr>
        <w:t>①</w:t>
      </w:r>
      <w:r>
        <w:rPr>
          <w:rFonts w:hint="eastAsia" w:ascii="宋体" w:hAnsi="宋体" w:cs="宋体"/>
          <w:color w:val="auto"/>
          <w:sz w:val="21"/>
          <w:szCs w:val="21"/>
          <w:highlight w:val="none"/>
        </w:rPr>
        <w:t>考核时段内单个站点任一监测项目有效数据量应满足《环境空气质量标准》（GB 3095-2012）中规定的污染物浓度数据有效性的最低要求，否则考核总分为0分。</w:t>
      </w:r>
    </w:p>
    <w:p w14:paraId="1469128F">
      <w:pPr>
        <w:spacing w:line="340" w:lineRule="exact"/>
        <w:ind w:firstLine="420"/>
        <w:rPr>
          <w:rFonts w:ascii="宋体" w:hAnsi="宋体"/>
          <w:color w:val="auto"/>
          <w:sz w:val="21"/>
          <w:szCs w:val="21"/>
          <w:highlight w:val="none"/>
        </w:rPr>
      </w:pPr>
      <w:r>
        <w:rPr>
          <w:rFonts w:hint="eastAsia" w:ascii="宋体" w:hAnsi="宋体" w:cs="宋体"/>
          <w:snapToGrid w:val="0"/>
          <w:color w:val="auto"/>
          <w:kern w:val="0"/>
          <w:sz w:val="21"/>
          <w:szCs w:val="21"/>
          <w:highlight w:val="none"/>
        </w:rPr>
        <w:t>②</w:t>
      </w:r>
      <w:r>
        <w:rPr>
          <w:rFonts w:hint="eastAsia" w:ascii="宋体" w:hAnsi="宋体" w:cs="宋体"/>
          <w:color w:val="auto"/>
          <w:sz w:val="21"/>
          <w:szCs w:val="21"/>
          <w:highlight w:val="none"/>
        </w:rPr>
        <w:t>单站设备数据捕获率必须高于90%（含），否则考核总分以0分计，不予支付运维费用。单站设备数据质控合格率必须高于80%，否则考核总分以0分计，不予支付运维费用。</w:t>
      </w:r>
    </w:p>
    <w:p w14:paraId="1DF9B10C">
      <w:pPr>
        <w:spacing w:line="340" w:lineRule="exact"/>
        <w:ind w:firstLine="422"/>
        <w:rPr>
          <w:rFonts w:ascii="宋体" w:hAnsi="宋体"/>
          <w:b/>
          <w:bCs/>
          <w:color w:val="auto"/>
          <w:sz w:val="21"/>
          <w:szCs w:val="21"/>
          <w:highlight w:val="none"/>
        </w:rPr>
      </w:pPr>
      <w:r>
        <w:rPr>
          <w:rFonts w:hint="eastAsia" w:ascii="宋体" w:hAnsi="宋体" w:cs="宋体"/>
          <w:b/>
          <w:bCs/>
          <w:color w:val="auto"/>
          <w:sz w:val="21"/>
          <w:szCs w:val="21"/>
          <w:highlight w:val="none"/>
        </w:rPr>
        <w:t>（2）</w:t>
      </w:r>
      <w:r>
        <w:rPr>
          <w:rFonts w:hint="eastAsia" w:ascii="宋体" w:hAnsi="宋体" w:cs="宋体"/>
          <w:b/>
          <w:bCs/>
          <w:color w:val="auto"/>
          <w:spacing w:val="-8"/>
          <w:sz w:val="21"/>
          <w:szCs w:val="21"/>
          <w:highlight w:val="none"/>
        </w:rPr>
        <w:t>两率及运行维护</w:t>
      </w:r>
    </w:p>
    <w:p w14:paraId="0F09DC93">
      <w:pPr>
        <w:spacing w:line="340" w:lineRule="exact"/>
        <w:ind w:firstLine="420"/>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符合数据有效性要求后，参照本部分执行。</w:t>
      </w:r>
    </w:p>
    <w:p w14:paraId="085FA442">
      <w:pPr>
        <w:spacing w:line="340" w:lineRule="exact"/>
        <w:ind w:firstLine="420"/>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① 两率部分（60分）</w:t>
      </w:r>
    </w:p>
    <w:p w14:paraId="582D3BEF">
      <w:pPr>
        <w:spacing w:line="340" w:lineRule="exact"/>
        <w:ind w:firstLine="420"/>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单站监测数据质控合格率高于90%（含）的，得60分；≥80%（含）＜90%的，得分为60×（数据质控合格率+5%）。</w:t>
      </w:r>
    </w:p>
    <w:p w14:paraId="5A61365C">
      <w:pPr>
        <w:spacing w:line="340" w:lineRule="exact"/>
        <w:ind w:firstLine="420"/>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② 运行维护部分（40分）</w:t>
      </w:r>
    </w:p>
    <w:p w14:paraId="5E6F4EE5">
      <w:pPr>
        <w:spacing w:line="340" w:lineRule="exact"/>
        <w:ind w:firstLine="420"/>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运行维护部分每月由采购人组织检查核实，此部分占总分40%，此表满分为40分。</w:t>
      </w:r>
    </w:p>
    <w:p w14:paraId="6F32A179">
      <w:pPr>
        <w:spacing w:line="340" w:lineRule="exact"/>
        <w:ind w:firstLine="422"/>
        <w:rPr>
          <w:rFonts w:ascii="宋体" w:hAnsi="宋体" w:cs="宋体"/>
          <w:color w:val="auto"/>
          <w:sz w:val="21"/>
          <w:szCs w:val="21"/>
          <w:highlight w:val="none"/>
        </w:rPr>
      </w:pPr>
      <w:r>
        <w:rPr>
          <w:rFonts w:hint="eastAsia" w:ascii="宋体" w:hAnsi="宋体" w:cs="宋体"/>
          <w:b/>
          <w:bCs/>
          <w:color w:val="auto"/>
          <w:sz w:val="21"/>
          <w:szCs w:val="21"/>
          <w:highlight w:val="none"/>
        </w:rPr>
        <w:t>运行维护具体考核办法如下</w:t>
      </w:r>
      <w:r>
        <w:rPr>
          <w:rFonts w:hint="eastAsia" w:ascii="宋体" w:hAnsi="宋体" w:cs="宋体"/>
          <w:color w:val="auto"/>
          <w:sz w:val="21"/>
          <w:szCs w:val="21"/>
          <w:highlight w:val="none"/>
        </w:rPr>
        <w:t>：</w:t>
      </w:r>
    </w:p>
    <w:tbl>
      <w:tblPr>
        <w:tblStyle w:val="4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141"/>
        <w:gridCol w:w="3631"/>
        <w:gridCol w:w="1556"/>
        <w:gridCol w:w="1134"/>
        <w:gridCol w:w="1061"/>
      </w:tblGrid>
      <w:tr w14:paraId="1992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603" w:type="dxa"/>
            <w:gridSpan w:val="3"/>
            <w:vAlign w:val="center"/>
          </w:tcPr>
          <w:p w14:paraId="04698995">
            <w:pPr>
              <w:spacing w:line="340" w:lineRule="exact"/>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考核内容</w:t>
            </w:r>
          </w:p>
        </w:tc>
        <w:tc>
          <w:tcPr>
            <w:tcW w:w="1556" w:type="dxa"/>
            <w:vAlign w:val="center"/>
          </w:tcPr>
          <w:p w14:paraId="5FCFDEE3">
            <w:pPr>
              <w:widowControl/>
              <w:spacing w:line="340" w:lineRule="exact"/>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扣分值</w:t>
            </w:r>
          </w:p>
        </w:tc>
        <w:tc>
          <w:tcPr>
            <w:tcW w:w="1134" w:type="dxa"/>
            <w:vAlign w:val="center"/>
          </w:tcPr>
          <w:p w14:paraId="44A6886D">
            <w:pPr>
              <w:widowControl/>
              <w:spacing w:line="340" w:lineRule="exact"/>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评分结果</w:t>
            </w:r>
          </w:p>
        </w:tc>
        <w:tc>
          <w:tcPr>
            <w:tcW w:w="1061" w:type="dxa"/>
            <w:vAlign w:val="center"/>
          </w:tcPr>
          <w:p w14:paraId="43CC8EE5">
            <w:pPr>
              <w:widowControl/>
              <w:spacing w:line="340" w:lineRule="exact"/>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评分说明</w:t>
            </w:r>
          </w:p>
        </w:tc>
      </w:tr>
      <w:tr w14:paraId="0E0E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31" w:type="dxa"/>
            <w:vMerge w:val="restart"/>
            <w:vAlign w:val="center"/>
          </w:tcPr>
          <w:p w14:paraId="2E79FC47">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服务内容</w:t>
            </w:r>
          </w:p>
        </w:tc>
        <w:tc>
          <w:tcPr>
            <w:tcW w:w="1141" w:type="dxa"/>
            <w:vAlign w:val="center"/>
          </w:tcPr>
          <w:p w14:paraId="18CFF9AD">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远程检查</w:t>
            </w:r>
            <w:r>
              <w:rPr>
                <w:rFonts w:hint="eastAsia" w:ascii="宋体" w:hAnsi="宋体" w:cs="宋体"/>
                <w:color w:val="auto"/>
                <w:kern w:val="0"/>
                <w:sz w:val="21"/>
                <w:szCs w:val="21"/>
                <w:highlight w:val="none"/>
                <w:lang w:eastAsia="zh-CN"/>
              </w:rPr>
              <w:t>、审核</w:t>
            </w:r>
            <w:r>
              <w:rPr>
                <w:rFonts w:hint="eastAsia" w:ascii="宋体" w:hAnsi="宋体" w:cs="宋体"/>
                <w:color w:val="auto"/>
                <w:kern w:val="0"/>
                <w:sz w:val="21"/>
                <w:szCs w:val="21"/>
                <w:highlight w:val="none"/>
              </w:rPr>
              <w:t>数据</w:t>
            </w:r>
          </w:p>
        </w:tc>
        <w:tc>
          <w:tcPr>
            <w:tcW w:w="3631" w:type="dxa"/>
            <w:vAlign w:val="center"/>
          </w:tcPr>
          <w:p w14:paraId="7DAA1911">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每天8:00—23:30，专人负责通过数据平台对监测仪器状态实施监控。监控时段内仪器故障发现时间不得超过1小时，非监控时段内仪器故障发现时间不得晚于次日8:30</w:t>
            </w:r>
            <w:r>
              <w:rPr>
                <w:rFonts w:hint="eastAsia" w:ascii="宋体" w:hAnsi="宋体" w:cs="宋体"/>
                <w:color w:val="auto"/>
                <w:kern w:val="0"/>
                <w:sz w:val="21"/>
                <w:szCs w:val="21"/>
                <w:highlight w:val="none"/>
                <w:lang w:eastAsia="zh-CN"/>
              </w:rPr>
              <w:t>。每天9:00前在指定网站完成数据一审工作。</w:t>
            </w:r>
          </w:p>
        </w:tc>
        <w:tc>
          <w:tcPr>
            <w:tcW w:w="1556" w:type="dxa"/>
            <w:vAlign w:val="center"/>
          </w:tcPr>
          <w:p w14:paraId="01909C5D">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错、漏1次扣0.5分</w:t>
            </w:r>
          </w:p>
        </w:tc>
        <w:tc>
          <w:tcPr>
            <w:tcW w:w="1134" w:type="dxa"/>
            <w:vAlign w:val="center"/>
          </w:tcPr>
          <w:p w14:paraId="23CB4094">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61" w:type="dxa"/>
            <w:vAlign w:val="center"/>
          </w:tcPr>
          <w:p w14:paraId="4779285C">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0F3D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31" w:type="dxa"/>
            <w:vMerge w:val="continue"/>
            <w:vAlign w:val="center"/>
          </w:tcPr>
          <w:p w14:paraId="5296F45A">
            <w:pPr>
              <w:widowControl/>
              <w:spacing w:line="340" w:lineRule="exact"/>
              <w:ind w:firstLine="0" w:firstLineChars="0"/>
              <w:jc w:val="left"/>
              <w:rPr>
                <w:rFonts w:ascii="宋体" w:hAnsi="宋体" w:cs="宋体"/>
                <w:color w:val="auto"/>
                <w:kern w:val="0"/>
                <w:sz w:val="21"/>
                <w:szCs w:val="21"/>
                <w:highlight w:val="none"/>
              </w:rPr>
            </w:pPr>
          </w:p>
        </w:tc>
        <w:tc>
          <w:tcPr>
            <w:tcW w:w="1141" w:type="dxa"/>
            <w:vAlign w:val="center"/>
          </w:tcPr>
          <w:p w14:paraId="0429033B">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会商与</w:t>
            </w:r>
          </w:p>
          <w:p w14:paraId="346D9C71">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信息</w:t>
            </w:r>
          </w:p>
          <w:p w14:paraId="6C1762C1">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交流</w:t>
            </w:r>
          </w:p>
        </w:tc>
        <w:tc>
          <w:tcPr>
            <w:tcW w:w="3631" w:type="dxa"/>
            <w:vAlign w:val="center"/>
          </w:tcPr>
          <w:p w14:paraId="58347FCC">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每天8:30以短信方式汇报前一日工作情况及当日工作安排。出现仪器故障、监测数据异常等情况时以电话和电子形式及时上报</w:t>
            </w:r>
          </w:p>
        </w:tc>
        <w:tc>
          <w:tcPr>
            <w:tcW w:w="1556" w:type="dxa"/>
            <w:vAlign w:val="center"/>
          </w:tcPr>
          <w:p w14:paraId="71178E59">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错、漏1次扣0.5分</w:t>
            </w:r>
          </w:p>
        </w:tc>
        <w:tc>
          <w:tcPr>
            <w:tcW w:w="1134" w:type="dxa"/>
            <w:vAlign w:val="center"/>
          </w:tcPr>
          <w:p w14:paraId="2FBCD2FC">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61" w:type="dxa"/>
            <w:vAlign w:val="center"/>
          </w:tcPr>
          <w:p w14:paraId="79F6E1B0">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21DA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31" w:type="dxa"/>
            <w:vMerge w:val="continue"/>
            <w:vAlign w:val="center"/>
          </w:tcPr>
          <w:p w14:paraId="3679E111">
            <w:pPr>
              <w:widowControl/>
              <w:spacing w:line="340" w:lineRule="exact"/>
              <w:ind w:firstLine="0" w:firstLineChars="0"/>
              <w:jc w:val="left"/>
              <w:rPr>
                <w:rFonts w:ascii="宋体" w:hAnsi="宋体" w:cs="宋体"/>
                <w:color w:val="auto"/>
                <w:kern w:val="0"/>
                <w:sz w:val="21"/>
                <w:szCs w:val="21"/>
                <w:highlight w:val="none"/>
              </w:rPr>
            </w:pPr>
          </w:p>
        </w:tc>
        <w:tc>
          <w:tcPr>
            <w:tcW w:w="1141" w:type="dxa"/>
            <w:vAlign w:val="center"/>
          </w:tcPr>
          <w:p w14:paraId="7CBC08DD">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监测数据审核和管理</w:t>
            </w:r>
          </w:p>
        </w:tc>
        <w:tc>
          <w:tcPr>
            <w:tcW w:w="3631" w:type="dxa"/>
            <w:vAlign w:val="center"/>
          </w:tcPr>
          <w:p w14:paraId="54ACEF42">
            <w:pPr>
              <w:widowControl/>
              <w:spacing w:line="30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安排专人专职负责管理和监控数据，每日对数据进行审核并标记核实异常和无效数据，超标数据必须核实原因并及时汇报。</w:t>
            </w:r>
          </w:p>
        </w:tc>
        <w:tc>
          <w:tcPr>
            <w:tcW w:w="1556" w:type="dxa"/>
            <w:vAlign w:val="center"/>
          </w:tcPr>
          <w:p w14:paraId="0963A340">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错、漏1项扣1分</w:t>
            </w:r>
          </w:p>
        </w:tc>
        <w:tc>
          <w:tcPr>
            <w:tcW w:w="1134" w:type="dxa"/>
            <w:vAlign w:val="center"/>
          </w:tcPr>
          <w:p w14:paraId="4E7A93C8">
            <w:pPr>
              <w:widowControl/>
              <w:spacing w:line="340" w:lineRule="exact"/>
              <w:ind w:firstLine="0" w:firstLineChars="0"/>
              <w:jc w:val="center"/>
              <w:rPr>
                <w:rFonts w:ascii="宋体" w:hAnsi="宋体" w:cs="宋体"/>
                <w:color w:val="auto"/>
                <w:kern w:val="0"/>
                <w:sz w:val="21"/>
                <w:szCs w:val="21"/>
                <w:highlight w:val="none"/>
              </w:rPr>
            </w:pPr>
          </w:p>
        </w:tc>
        <w:tc>
          <w:tcPr>
            <w:tcW w:w="1061" w:type="dxa"/>
            <w:vAlign w:val="center"/>
          </w:tcPr>
          <w:p w14:paraId="4F844F13">
            <w:pPr>
              <w:widowControl/>
              <w:spacing w:line="340" w:lineRule="exact"/>
              <w:ind w:firstLine="0" w:firstLineChars="0"/>
              <w:jc w:val="center"/>
              <w:rPr>
                <w:rFonts w:ascii="宋体" w:hAnsi="宋体" w:cs="宋体"/>
                <w:color w:val="auto"/>
                <w:kern w:val="0"/>
                <w:sz w:val="21"/>
                <w:szCs w:val="21"/>
                <w:highlight w:val="none"/>
              </w:rPr>
            </w:pPr>
          </w:p>
        </w:tc>
      </w:tr>
      <w:tr w14:paraId="475F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831" w:type="dxa"/>
            <w:vMerge w:val="continue"/>
            <w:vAlign w:val="center"/>
          </w:tcPr>
          <w:p w14:paraId="53109519">
            <w:pPr>
              <w:widowControl/>
              <w:spacing w:line="340" w:lineRule="exact"/>
              <w:ind w:firstLine="0" w:firstLineChars="0"/>
              <w:jc w:val="left"/>
              <w:rPr>
                <w:rFonts w:ascii="宋体" w:hAnsi="宋体" w:cs="宋体"/>
                <w:color w:val="auto"/>
                <w:kern w:val="0"/>
                <w:sz w:val="21"/>
                <w:szCs w:val="21"/>
                <w:highlight w:val="none"/>
              </w:rPr>
            </w:pPr>
          </w:p>
        </w:tc>
        <w:tc>
          <w:tcPr>
            <w:tcW w:w="1141" w:type="dxa"/>
            <w:vAlign w:val="center"/>
          </w:tcPr>
          <w:p w14:paraId="3E34CD7A">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子站现场巡检</w:t>
            </w:r>
          </w:p>
        </w:tc>
        <w:tc>
          <w:tcPr>
            <w:tcW w:w="3631" w:type="dxa"/>
            <w:vAlign w:val="center"/>
          </w:tcPr>
          <w:p w14:paraId="0ABBA2A8">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频次：不少于1次/（站•</w:t>
            </w:r>
            <w:r>
              <w:rPr>
                <w:rFonts w:hint="eastAsia" w:ascii="宋体" w:hAnsi="宋体" w:cs="仿宋"/>
                <w:color w:val="auto"/>
                <w:kern w:val="0"/>
                <w:sz w:val="21"/>
                <w:szCs w:val="21"/>
                <w:highlight w:val="none"/>
              </w:rPr>
              <w:t>周）。巡检内容和记录要素，要包括子站监测系统所有功能单元的最新运行情况和现场检查维护情况，反映在巡检记录表上的巡检内容和记录要素必须完整，并与实际子站情况相符，记录内容不完整、不规范和弄虚作假的当作缺检计算，每月的前</w:t>
            </w:r>
            <w:r>
              <w:rPr>
                <w:rFonts w:hint="eastAsia" w:ascii="宋体" w:hAnsi="宋体" w:cs="宋体"/>
                <w:color w:val="auto"/>
                <w:kern w:val="0"/>
                <w:sz w:val="21"/>
                <w:szCs w:val="21"/>
                <w:highlight w:val="none"/>
              </w:rPr>
              <w:t>10天内，提交上月子站巡检记录，每季前15天进行汇总。</w:t>
            </w:r>
          </w:p>
        </w:tc>
        <w:tc>
          <w:tcPr>
            <w:tcW w:w="1556" w:type="dxa"/>
            <w:vAlign w:val="center"/>
          </w:tcPr>
          <w:p w14:paraId="5B5BB8A2">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错、漏1次巡检扣0.5分</w:t>
            </w:r>
          </w:p>
        </w:tc>
        <w:tc>
          <w:tcPr>
            <w:tcW w:w="1134" w:type="dxa"/>
            <w:vAlign w:val="center"/>
          </w:tcPr>
          <w:p w14:paraId="68C70221">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61" w:type="dxa"/>
            <w:vAlign w:val="center"/>
          </w:tcPr>
          <w:p w14:paraId="35A99FAE">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7CE9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31" w:type="dxa"/>
            <w:vMerge w:val="continue"/>
            <w:vAlign w:val="center"/>
          </w:tcPr>
          <w:p w14:paraId="39CCD89B">
            <w:pPr>
              <w:widowControl/>
              <w:spacing w:line="340" w:lineRule="exact"/>
              <w:ind w:firstLine="0" w:firstLineChars="0"/>
              <w:jc w:val="left"/>
              <w:rPr>
                <w:rFonts w:ascii="宋体" w:hAnsi="宋体" w:cs="宋体"/>
                <w:color w:val="auto"/>
                <w:kern w:val="0"/>
                <w:sz w:val="21"/>
                <w:szCs w:val="21"/>
                <w:highlight w:val="none"/>
              </w:rPr>
            </w:pPr>
          </w:p>
        </w:tc>
        <w:tc>
          <w:tcPr>
            <w:tcW w:w="1141" w:type="dxa"/>
            <w:vAlign w:val="center"/>
          </w:tcPr>
          <w:p w14:paraId="029E8EB3">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故障排除</w:t>
            </w:r>
          </w:p>
        </w:tc>
        <w:tc>
          <w:tcPr>
            <w:tcW w:w="3631" w:type="dxa"/>
            <w:vAlign w:val="center"/>
          </w:tcPr>
          <w:p w14:paraId="17D51B15">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故障检修到场与故障排除（指恢复正常运行，不可抗力的破坏以及如停电停水、空调故障、预防性维护等情况除外）必须及时：1小时内到达故障现场，3小时内排除故障或用备用设备替代。</w:t>
            </w:r>
          </w:p>
        </w:tc>
        <w:tc>
          <w:tcPr>
            <w:tcW w:w="1556" w:type="dxa"/>
            <w:vAlign w:val="center"/>
          </w:tcPr>
          <w:p w14:paraId="657CB4FE">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每个参数不响应1次或超过时限每小时扣1分</w:t>
            </w:r>
          </w:p>
        </w:tc>
        <w:tc>
          <w:tcPr>
            <w:tcW w:w="1134" w:type="dxa"/>
            <w:vAlign w:val="center"/>
          </w:tcPr>
          <w:p w14:paraId="7C38663C">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61" w:type="dxa"/>
            <w:vAlign w:val="center"/>
          </w:tcPr>
          <w:p w14:paraId="1AB71691">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5540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31" w:type="dxa"/>
            <w:vMerge w:val="continue"/>
            <w:vAlign w:val="center"/>
          </w:tcPr>
          <w:p w14:paraId="24314B76">
            <w:pPr>
              <w:widowControl/>
              <w:spacing w:line="340" w:lineRule="exact"/>
              <w:ind w:firstLine="0" w:firstLineChars="0"/>
              <w:jc w:val="left"/>
              <w:rPr>
                <w:rFonts w:ascii="宋体" w:hAnsi="宋体" w:cs="宋体"/>
                <w:color w:val="auto"/>
                <w:kern w:val="0"/>
                <w:sz w:val="21"/>
                <w:szCs w:val="21"/>
                <w:highlight w:val="none"/>
              </w:rPr>
            </w:pPr>
          </w:p>
        </w:tc>
        <w:tc>
          <w:tcPr>
            <w:tcW w:w="1141" w:type="dxa"/>
            <w:vAlign w:val="center"/>
          </w:tcPr>
          <w:p w14:paraId="1228A45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子站全面维护</w:t>
            </w:r>
          </w:p>
        </w:tc>
        <w:tc>
          <w:tcPr>
            <w:tcW w:w="3631" w:type="dxa"/>
            <w:vAlign w:val="center"/>
          </w:tcPr>
          <w:p w14:paraId="3C35797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按照相关要求进行维护工作</w:t>
            </w:r>
          </w:p>
        </w:tc>
        <w:tc>
          <w:tcPr>
            <w:tcW w:w="1556" w:type="dxa"/>
            <w:vAlign w:val="center"/>
          </w:tcPr>
          <w:p w14:paraId="6A81BE98">
            <w:pPr>
              <w:widowControl/>
              <w:spacing w:line="30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错、漏1次扣0.5分</w:t>
            </w:r>
          </w:p>
        </w:tc>
        <w:tc>
          <w:tcPr>
            <w:tcW w:w="1134" w:type="dxa"/>
            <w:vAlign w:val="center"/>
          </w:tcPr>
          <w:p w14:paraId="0E79AA6F">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61" w:type="dxa"/>
            <w:vAlign w:val="center"/>
          </w:tcPr>
          <w:p w14:paraId="6C8C164D">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2A2A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31" w:type="dxa"/>
            <w:vMerge w:val="continue"/>
            <w:vAlign w:val="center"/>
          </w:tcPr>
          <w:p w14:paraId="22D8502B">
            <w:pPr>
              <w:widowControl/>
              <w:spacing w:line="340" w:lineRule="exact"/>
              <w:ind w:firstLine="0" w:firstLineChars="0"/>
              <w:jc w:val="left"/>
              <w:rPr>
                <w:rFonts w:ascii="宋体" w:hAnsi="宋体" w:cs="宋体"/>
                <w:color w:val="auto"/>
                <w:kern w:val="0"/>
                <w:sz w:val="21"/>
                <w:szCs w:val="21"/>
                <w:highlight w:val="none"/>
              </w:rPr>
            </w:pPr>
          </w:p>
        </w:tc>
        <w:tc>
          <w:tcPr>
            <w:tcW w:w="1141" w:type="dxa"/>
            <w:vAlign w:val="center"/>
          </w:tcPr>
          <w:p w14:paraId="5F88564A">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质量</w:t>
            </w:r>
          </w:p>
          <w:p w14:paraId="0C633877">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w:t>
            </w:r>
          </w:p>
        </w:tc>
        <w:tc>
          <w:tcPr>
            <w:tcW w:w="3631" w:type="dxa"/>
            <w:vAlign w:val="center"/>
          </w:tcPr>
          <w:p w14:paraId="5579F011">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按要求进行质量控制</w:t>
            </w:r>
          </w:p>
        </w:tc>
        <w:tc>
          <w:tcPr>
            <w:tcW w:w="1556" w:type="dxa"/>
            <w:vAlign w:val="center"/>
          </w:tcPr>
          <w:p w14:paraId="41FB96EA">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错、漏1个参数1次0.5分</w:t>
            </w:r>
          </w:p>
        </w:tc>
        <w:tc>
          <w:tcPr>
            <w:tcW w:w="1134" w:type="dxa"/>
            <w:vAlign w:val="center"/>
          </w:tcPr>
          <w:p w14:paraId="6BD96792">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61" w:type="dxa"/>
            <w:vAlign w:val="center"/>
          </w:tcPr>
          <w:p w14:paraId="0E6740B5">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0A82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31" w:type="dxa"/>
            <w:vMerge w:val="continue"/>
            <w:vAlign w:val="center"/>
          </w:tcPr>
          <w:p w14:paraId="2A225C44">
            <w:pPr>
              <w:widowControl/>
              <w:spacing w:line="340" w:lineRule="exact"/>
              <w:ind w:firstLine="0" w:firstLineChars="0"/>
              <w:jc w:val="left"/>
              <w:rPr>
                <w:rFonts w:ascii="宋体" w:hAnsi="宋体" w:cs="宋体"/>
                <w:color w:val="auto"/>
                <w:kern w:val="0"/>
                <w:sz w:val="21"/>
                <w:szCs w:val="21"/>
                <w:highlight w:val="none"/>
              </w:rPr>
            </w:pPr>
          </w:p>
        </w:tc>
        <w:tc>
          <w:tcPr>
            <w:tcW w:w="1141" w:type="dxa"/>
            <w:vAlign w:val="center"/>
          </w:tcPr>
          <w:p w14:paraId="033A537B">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数据保密</w:t>
            </w:r>
          </w:p>
        </w:tc>
        <w:tc>
          <w:tcPr>
            <w:tcW w:w="3631" w:type="dxa"/>
            <w:vAlign w:val="center"/>
          </w:tcPr>
          <w:p w14:paraId="6FA140B1">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不论何时，成交供应商都应承担监测数据的保密责任；成交供应商按照采购人的要求，进行报告和传输有关的监测数据，均不得以任何方式和渠道向外界传递任何监测数据。</w:t>
            </w:r>
          </w:p>
        </w:tc>
        <w:tc>
          <w:tcPr>
            <w:tcW w:w="1556" w:type="dxa"/>
            <w:vAlign w:val="center"/>
          </w:tcPr>
          <w:p w14:paraId="183BAA2F">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发现1次扣20分</w:t>
            </w:r>
          </w:p>
        </w:tc>
        <w:tc>
          <w:tcPr>
            <w:tcW w:w="1134" w:type="dxa"/>
            <w:vAlign w:val="center"/>
          </w:tcPr>
          <w:p w14:paraId="43FC9C6C">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61" w:type="dxa"/>
            <w:vAlign w:val="center"/>
          </w:tcPr>
          <w:p w14:paraId="4D09C2C9">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438F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31" w:type="dxa"/>
            <w:vMerge w:val="continue"/>
            <w:vAlign w:val="center"/>
          </w:tcPr>
          <w:p w14:paraId="49A571C8">
            <w:pPr>
              <w:widowControl/>
              <w:spacing w:line="340" w:lineRule="exact"/>
              <w:ind w:firstLine="0" w:firstLineChars="0"/>
              <w:jc w:val="left"/>
              <w:rPr>
                <w:rFonts w:ascii="宋体" w:hAnsi="宋体" w:cs="宋体"/>
                <w:color w:val="auto"/>
                <w:kern w:val="0"/>
                <w:sz w:val="21"/>
                <w:szCs w:val="21"/>
                <w:highlight w:val="none"/>
              </w:rPr>
            </w:pPr>
          </w:p>
        </w:tc>
        <w:tc>
          <w:tcPr>
            <w:tcW w:w="1141" w:type="dxa"/>
            <w:vAlign w:val="center"/>
          </w:tcPr>
          <w:p w14:paraId="6B0AF213">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记录</w:t>
            </w:r>
          </w:p>
        </w:tc>
        <w:tc>
          <w:tcPr>
            <w:tcW w:w="3631" w:type="dxa"/>
            <w:vAlign w:val="center"/>
          </w:tcPr>
          <w:p w14:paraId="1DF5BCBD">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按规范要求做好日常相关记录表格，每月提交一次所有记录给用户审查。采购人可随时抽查记录内容，成交供应商须及时提供，不得阻挠、拖延、伪造。</w:t>
            </w:r>
          </w:p>
        </w:tc>
        <w:tc>
          <w:tcPr>
            <w:tcW w:w="1556" w:type="dxa"/>
            <w:vAlign w:val="center"/>
          </w:tcPr>
          <w:p w14:paraId="77565F9F">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期限内缺1份扣1分</w:t>
            </w:r>
          </w:p>
        </w:tc>
        <w:tc>
          <w:tcPr>
            <w:tcW w:w="1134" w:type="dxa"/>
            <w:vAlign w:val="center"/>
          </w:tcPr>
          <w:p w14:paraId="479F431C">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61" w:type="dxa"/>
            <w:vAlign w:val="center"/>
          </w:tcPr>
          <w:p w14:paraId="43DE55D3">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499E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31" w:type="dxa"/>
            <w:vMerge w:val="restart"/>
            <w:vAlign w:val="center"/>
          </w:tcPr>
          <w:p w14:paraId="6C5DB478">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服务质量</w:t>
            </w:r>
          </w:p>
        </w:tc>
        <w:tc>
          <w:tcPr>
            <w:tcW w:w="1141" w:type="dxa"/>
            <w:vAlign w:val="center"/>
          </w:tcPr>
          <w:p w14:paraId="61E15EF8">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质控考核</w:t>
            </w:r>
          </w:p>
        </w:tc>
        <w:tc>
          <w:tcPr>
            <w:tcW w:w="3631" w:type="dxa"/>
            <w:vAlign w:val="center"/>
          </w:tcPr>
          <w:p w14:paraId="1E054835">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接受采购人或采购人委托的第三方机构或采购人上级部门考核的定期或不定期考核</w:t>
            </w:r>
          </w:p>
        </w:tc>
        <w:tc>
          <w:tcPr>
            <w:tcW w:w="1556" w:type="dxa"/>
            <w:vAlign w:val="center"/>
          </w:tcPr>
          <w:p w14:paraId="4BAFD33F">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上级部门考核不合格1次扣20分；本单位内部考核1个参数1次不合格扣2分</w:t>
            </w:r>
          </w:p>
        </w:tc>
        <w:tc>
          <w:tcPr>
            <w:tcW w:w="1134" w:type="dxa"/>
            <w:vAlign w:val="center"/>
          </w:tcPr>
          <w:p w14:paraId="3348085B">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61" w:type="dxa"/>
            <w:vAlign w:val="center"/>
          </w:tcPr>
          <w:p w14:paraId="6D75572F">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50A3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31" w:type="dxa"/>
            <w:vMerge w:val="continue"/>
            <w:vAlign w:val="center"/>
          </w:tcPr>
          <w:p w14:paraId="63C2E18B">
            <w:pPr>
              <w:widowControl/>
              <w:spacing w:line="340" w:lineRule="exact"/>
              <w:ind w:firstLine="0" w:firstLineChars="0"/>
              <w:jc w:val="left"/>
              <w:rPr>
                <w:rFonts w:ascii="宋体" w:hAnsi="宋体" w:cs="宋体"/>
                <w:color w:val="auto"/>
                <w:kern w:val="0"/>
                <w:sz w:val="21"/>
                <w:szCs w:val="21"/>
                <w:highlight w:val="none"/>
              </w:rPr>
            </w:pPr>
          </w:p>
        </w:tc>
        <w:tc>
          <w:tcPr>
            <w:tcW w:w="1141" w:type="dxa"/>
            <w:vAlign w:val="center"/>
          </w:tcPr>
          <w:p w14:paraId="46536EDB">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备机使用情况</w:t>
            </w:r>
          </w:p>
        </w:tc>
        <w:tc>
          <w:tcPr>
            <w:tcW w:w="3631" w:type="dxa"/>
            <w:vAlign w:val="center"/>
          </w:tcPr>
          <w:p w14:paraId="09D0ADD7">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未经许可，</w:t>
            </w:r>
            <w:r>
              <w:rPr>
                <w:rFonts w:hint="eastAsia" w:ascii="宋体" w:hAnsi="宋体" w:cs="宋体"/>
                <w:color w:val="auto"/>
                <w:kern w:val="0"/>
                <w:sz w:val="21"/>
                <w:szCs w:val="21"/>
                <w:highlight w:val="none"/>
              </w:rPr>
              <w:t>备机连续使用不得超过1个月</w:t>
            </w:r>
          </w:p>
        </w:tc>
        <w:tc>
          <w:tcPr>
            <w:tcW w:w="1556" w:type="dxa"/>
            <w:vAlign w:val="center"/>
          </w:tcPr>
          <w:p w14:paraId="25A9C243">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1个项目超过1天每天扣1分，超过5天每天扣2分</w:t>
            </w:r>
          </w:p>
        </w:tc>
        <w:tc>
          <w:tcPr>
            <w:tcW w:w="1134" w:type="dxa"/>
            <w:vAlign w:val="center"/>
          </w:tcPr>
          <w:p w14:paraId="7C8E3DCE">
            <w:pPr>
              <w:widowControl/>
              <w:spacing w:line="340" w:lineRule="exact"/>
              <w:ind w:firstLine="0" w:firstLineChars="0"/>
              <w:jc w:val="center"/>
              <w:rPr>
                <w:rFonts w:ascii="宋体" w:hAnsi="宋体" w:cs="宋体"/>
                <w:color w:val="auto"/>
                <w:kern w:val="0"/>
                <w:sz w:val="21"/>
                <w:szCs w:val="21"/>
                <w:highlight w:val="none"/>
              </w:rPr>
            </w:pPr>
          </w:p>
        </w:tc>
        <w:tc>
          <w:tcPr>
            <w:tcW w:w="1061" w:type="dxa"/>
            <w:vAlign w:val="center"/>
          </w:tcPr>
          <w:p w14:paraId="77E61440">
            <w:pPr>
              <w:widowControl/>
              <w:spacing w:line="340" w:lineRule="exact"/>
              <w:ind w:firstLine="0" w:firstLineChars="0"/>
              <w:jc w:val="center"/>
              <w:rPr>
                <w:rFonts w:ascii="宋体" w:hAnsi="宋体" w:cs="宋体"/>
                <w:color w:val="auto"/>
                <w:kern w:val="0"/>
                <w:sz w:val="21"/>
                <w:szCs w:val="21"/>
                <w:highlight w:val="none"/>
              </w:rPr>
            </w:pPr>
          </w:p>
        </w:tc>
      </w:tr>
      <w:tr w14:paraId="059E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31" w:type="dxa"/>
            <w:vMerge w:val="restart"/>
            <w:vAlign w:val="center"/>
          </w:tcPr>
          <w:p w14:paraId="35B16AB9">
            <w:pPr>
              <w:widowControl/>
              <w:spacing w:line="340" w:lineRule="exact"/>
              <w:ind w:firstLine="0" w:firstLineChars="0"/>
              <w:jc w:val="left"/>
              <w:rPr>
                <w:rFonts w:ascii="宋体" w:hAnsi="宋体" w:cs="宋体"/>
                <w:color w:val="auto"/>
                <w:kern w:val="0"/>
                <w:sz w:val="21"/>
                <w:szCs w:val="21"/>
                <w:highlight w:val="none"/>
              </w:rPr>
            </w:pPr>
          </w:p>
        </w:tc>
        <w:tc>
          <w:tcPr>
            <w:tcW w:w="1141" w:type="dxa"/>
            <w:vAlign w:val="center"/>
          </w:tcPr>
          <w:p w14:paraId="7257F87F">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记录、报告规范</w:t>
            </w:r>
          </w:p>
        </w:tc>
        <w:tc>
          <w:tcPr>
            <w:tcW w:w="3631" w:type="dxa"/>
            <w:vAlign w:val="center"/>
          </w:tcPr>
          <w:p w14:paraId="33E5104E">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所有记录须字体清晰，不得模糊潦草，并按规范填写相应内容。</w:t>
            </w:r>
          </w:p>
        </w:tc>
        <w:tc>
          <w:tcPr>
            <w:tcW w:w="1556" w:type="dxa"/>
            <w:vAlign w:val="center"/>
          </w:tcPr>
          <w:p w14:paraId="75AF5706">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1项扣0.5分</w:t>
            </w:r>
          </w:p>
        </w:tc>
        <w:tc>
          <w:tcPr>
            <w:tcW w:w="1134" w:type="dxa"/>
            <w:vAlign w:val="center"/>
          </w:tcPr>
          <w:p w14:paraId="62AA8773">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61" w:type="dxa"/>
            <w:vAlign w:val="center"/>
          </w:tcPr>
          <w:p w14:paraId="431B33CC">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6E48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31" w:type="dxa"/>
            <w:vMerge w:val="continue"/>
            <w:vAlign w:val="center"/>
          </w:tcPr>
          <w:p w14:paraId="3F81B2F0">
            <w:pPr>
              <w:widowControl/>
              <w:spacing w:line="340" w:lineRule="exact"/>
              <w:ind w:firstLine="0" w:firstLineChars="0"/>
              <w:jc w:val="left"/>
              <w:rPr>
                <w:rFonts w:ascii="宋体" w:hAnsi="宋体" w:cs="宋体"/>
                <w:color w:val="auto"/>
                <w:kern w:val="0"/>
                <w:sz w:val="21"/>
                <w:szCs w:val="21"/>
                <w:highlight w:val="none"/>
              </w:rPr>
            </w:pPr>
          </w:p>
        </w:tc>
        <w:tc>
          <w:tcPr>
            <w:tcW w:w="1141" w:type="dxa"/>
            <w:vMerge w:val="restart"/>
            <w:vAlign w:val="center"/>
          </w:tcPr>
          <w:p w14:paraId="6DBA8298">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w:t>
            </w:r>
          </w:p>
          <w:p w14:paraId="2730E028">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（是否存在不满足合同或相关规范要求的情况）</w:t>
            </w:r>
          </w:p>
        </w:tc>
        <w:tc>
          <w:tcPr>
            <w:tcW w:w="3631" w:type="dxa"/>
            <w:vAlign w:val="center"/>
          </w:tcPr>
          <w:p w14:paraId="19141768">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不满足本项目合同或相关规范要求，</w:t>
            </w:r>
          </w:p>
          <w:p w14:paraId="32D29F17">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但对数据不造成影响的项目</w:t>
            </w:r>
          </w:p>
        </w:tc>
        <w:tc>
          <w:tcPr>
            <w:tcW w:w="1556" w:type="dxa"/>
            <w:vAlign w:val="center"/>
          </w:tcPr>
          <w:p w14:paraId="552DF292">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每1项扣1分</w:t>
            </w:r>
          </w:p>
        </w:tc>
        <w:tc>
          <w:tcPr>
            <w:tcW w:w="1134" w:type="dxa"/>
            <w:vMerge w:val="restart"/>
            <w:vAlign w:val="center"/>
          </w:tcPr>
          <w:p w14:paraId="5EBFB43D">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61" w:type="dxa"/>
            <w:vMerge w:val="restart"/>
            <w:vAlign w:val="center"/>
          </w:tcPr>
          <w:p w14:paraId="7B7262E5">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1D10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31" w:type="dxa"/>
            <w:vMerge w:val="continue"/>
            <w:vAlign w:val="center"/>
          </w:tcPr>
          <w:p w14:paraId="7E4A75B5">
            <w:pPr>
              <w:widowControl/>
              <w:spacing w:line="340" w:lineRule="exact"/>
              <w:ind w:firstLine="0" w:firstLineChars="0"/>
              <w:jc w:val="left"/>
              <w:rPr>
                <w:rFonts w:ascii="宋体" w:hAnsi="宋体" w:cs="宋体"/>
                <w:color w:val="auto"/>
                <w:kern w:val="0"/>
                <w:sz w:val="21"/>
                <w:szCs w:val="21"/>
                <w:highlight w:val="none"/>
              </w:rPr>
            </w:pPr>
          </w:p>
        </w:tc>
        <w:tc>
          <w:tcPr>
            <w:tcW w:w="1141" w:type="dxa"/>
            <w:vMerge w:val="continue"/>
            <w:vAlign w:val="center"/>
          </w:tcPr>
          <w:p w14:paraId="0992A7DA">
            <w:pPr>
              <w:widowControl/>
              <w:spacing w:line="340" w:lineRule="exact"/>
              <w:ind w:firstLine="0" w:firstLineChars="0"/>
              <w:jc w:val="left"/>
              <w:rPr>
                <w:rFonts w:ascii="宋体" w:hAnsi="宋体" w:cs="宋体"/>
                <w:color w:val="auto"/>
                <w:kern w:val="0"/>
                <w:sz w:val="21"/>
                <w:szCs w:val="21"/>
                <w:highlight w:val="none"/>
              </w:rPr>
            </w:pPr>
          </w:p>
        </w:tc>
        <w:tc>
          <w:tcPr>
            <w:tcW w:w="3631" w:type="dxa"/>
            <w:vAlign w:val="center"/>
          </w:tcPr>
          <w:p w14:paraId="5A3E1CDA">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w:t>
            </w:r>
          </w:p>
          <w:p w14:paraId="1BE5BC0D">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且可能对数据造成严重影响的项目</w:t>
            </w:r>
          </w:p>
        </w:tc>
        <w:tc>
          <w:tcPr>
            <w:tcW w:w="1556" w:type="dxa"/>
            <w:vAlign w:val="center"/>
          </w:tcPr>
          <w:p w14:paraId="576C04EE">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每1项扣3分</w:t>
            </w:r>
          </w:p>
        </w:tc>
        <w:tc>
          <w:tcPr>
            <w:tcW w:w="1134" w:type="dxa"/>
            <w:vMerge w:val="continue"/>
            <w:vAlign w:val="center"/>
          </w:tcPr>
          <w:p w14:paraId="6605FFDE">
            <w:pPr>
              <w:widowControl/>
              <w:spacing w:line="340" w:lineRule="exact"/>
              <w:ind w:firstLine="0" w:firstLineChars="0"/>
              <w:jc w:val="left"/>
              <w:rPr>
                <w:rFonts w:ascii="宋体" w:hAnsi="宋体" w:cs="宋体"/>
                <w:color w:val="auto"/>
                <w:kern w:val="0"/>
                <w:sz w:val="21"/>
                <w:szCs w:val="21"/>
                <w:highlight w:val="none"/>
              </w:rPr>
            </w:pPr>
          </w:p>
        </w:tc>
        <w:tc>
          <w:tcPr>
            <w:tcW w:w="1061" w:type="dxa"/>
            <w:vMerge w:val="continue"/>
            <w:vAlign w:val="center"/>
          </w:tcPr>
          <w:p w14:paraId="0F35C696">
            <w:pPr>
              <w:widowControl/>
              <w:spacing w:line="340" w:lineRule="exact"/>
              <w:ind w:firstLine="0" w:firstLineChars="0"/>
              <w:jc w:val="left"/>
              <w:rPr>
                <w:rFonts w:ascii="宋体" w:hAnsi="宋体" w:cs="宋体"/>
                <w:color w:val="auto"/>
                <w:kern w:val="0"/>
                <w:sz w:val="21"/>
                <w:szCs w:val="21"/>
                <w:highlight w:val="none"/>
              </w:rPr>
            </w:pPr>
          </w:p>
        </w:tc>
      </w:tr>
      <w:tr w14:paraId="4FC1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31" w:type="dxa"/>
            <w:vMerge w:val="continue"/>
            <w:vAlign w:val="center"/>
          </w:tcPr>
          <w:p w14:paraId="0ED9E196">
            <w:pPr>
              <w:widowControl/>
              <w:spacing w:line="340" w:lineRule="exact"/>
              <w:ind w:firstLine="0" w:firstLineChars="0"/>
              <w:jc w:val="left"/>
              <w:rPr>
                <w:rFonts w:ascii="宋体" w:hAnsi="宋体" w:cs="宋体"/>
                <w:color w:val="auto"/>
                <w:kern w:val="0"/>
                <w:sz w:val="21"/>
                <w:szCs w:val="21"/>
                <w:highlight w:val="none"/>
              </w:rPr>
            </w:pPr>
          </w:p>
        </w:tc>
        <w:tc>
          <w:tcPr>
            <w:tcW w:w="1141" w:type="dxa"/>
            <w:vMerge w:val="continue"/>
            <w:vAlign w:val="center"/>
          </w:tcPr>
          <w:p w14:paraId="57AFF8D4">
            <w:pPr>
              <w:widowControl/>
              <w:spacing w:line="340" w:lineRule="exact"/>
              <w:ind w:firstLine="0" w:firstLineChars="0"/>
              <w:jc w:val="left"/>
              <w:rPr>
                <w:rFonts w:ascii="宋体" w:hAnsi="宋体" w:cs="宋体"/>
                <w:color w:val="auto"/>
                <w:kern w:val="0"/>
                <w:sz w:val="21"/>
                <w:szCs w:val="21"/>
                <w:highlight w:val="none"/>
              </w:rPr>
            </w:pPr>
          </w:p>
        </w:tc>
        <w:tc>
          <w:tcPr>
            <w:tcW w:w="3631" w:type="dxa"/>
            <w:vAlign w:val="center"/>
          </w:tcPr>
          <w:p w14:paraId="14E9C5D8">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不满足合同或相关规范要求，</w:t>
            </w:r>
          </w:p>
          <w:p w14:paraId="6757A75D">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且已对数据造成严重影响的项目</w:t>
            </w:r>
          </w:p>
        </w:tc>
        <w:tc>
          <w:tcPr>
            <w:tcW w:w="1556" w:type="dxa"/>
            <w:vAlign w:val="center"/>
          </w:tcPr>
          <w:p w14:paraId="28BC87F5">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每1项扣5分</w:t>
            </w:r>
          </w:p>
        </w:tc>
        <w:tc>
          <w:tcPr>
            <w:tcW w:w="1134" w:type="dxa"/>
            <w:vMerge w:val="continue"/>
            <w:vAlign w:val="center"/>
          </w:tcPr>
          <w:p w14:paraId="63B88E6E">
            <w:pPr>
              <w:widowControl/>
              <w:spacing w:line="340" w:lineRule="exact"/>
              <w:ind w:firstLine="0" w:firstLineChars="0"/>
              <w:jc w:val="left"/>
              <w:rPr>
                <w:rFonts w:ascii="宋体" w:hAnsi="宋体" w:cs="宋体"/>
                <w:color w:val="auto"/>
                <w:kern w:val="0"/>
                <w:sz w:val="21"/>
                <w:szCs w:val="21"/>
                <w:highlight w:val="none"/>
              </w:rPr>
            </w:pPr>
          </w:p>
        </w:tc>
        <w:tc>
          <w:tcPr>
            <w:tcW w:w="1061" w:type="dxa"/>
            <w:vMerge w:val="continue"/>
            <w:vAlign w:val="center"/>
          </w:tcPr>
          <w:p w14:paraId="3A3CF64A">
            <w:pPr>
              <w:widowControl/>
              <w:spacing w:line="340" w:lineRule="exact"/>
              <w:ind w:firstLine="0" w:firstLineChars="0"/>
              <w:jc w:val="left"/>
              <w:rPr>
                <w:rFonts w:ascii="宋体" w:hAnsi="宋体" w:cs="宋体"/>
                <w:color w:val="auto"/>
                <w:kern w:val="0"/>
                <w:sz w:val="21"/>
                <w:szCs w:val="21"/>
                <w:highlight w:val="none"/>
              </w:rPr>
            </w:pPr>
          </w:p>
        </w:tc>
      </w:tr>
      <w:tr w14:paraId="74E8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31" w:type="dxa"/>
            <w:vMerge w:val="restart"/>
            <w:vAlign w:val="center"/>
          </w:tcPr>
          <w:p w14:paraId="4734F286">
            <w:pPr>
              <w:widowControl/>
              <w:spacing w:line="34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服务保障</w:t>
            </w:r>
          </w:p>
          <w:p w14:paraId="5548DAFE">
            <w:pPr>
              <w:widowControl/>
              <w:spacing w:line="340" w:lineRule="exact"/>
              <w:ind w:firstLine="0" w:firstLineChars="0"/>
              <w:jc w:val="left"/>
              <w:rPr>
                <w:rFonts w:ascii="宋体" w:hAnsi="宋体" w:cs="宋体"/>
                <w:color w:val="auto"/>
                <w:kern w:val="0"/>
                <w:sz w:val="21"/>
                <w:szCs w:val="21"/>
                <w:highlight w:val="none"/>
              </w:rPr>
            </w:pPr>
          </w:p>
        </w:tc>
        <w:tc>
          <w:tcPr>
            <w:tcW w:w="1141" w:type="dxa"/>
            <w:vAlign w:val="center"/>
          </w:tcPr>
          <w:p w14:paraId="670613B8">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运维人员</w:t>
            </w:r>
          </w:p>
        </w:tc>
        <w:tc>
          <w:tcPr>
            <w:tcW w:w="3631" w:type="dxa"/>
            <w:vAlign w:val="center"/>
          </w:tcPr>
          <w:p w14:paraId="6F2F64B0">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成交供应商的在岗运维人员情况</w:t>
            </w:r>
          </w:p>
        </w:tc>
        <w:tc>
          <w:tcPr>
            <w:tcW w:w="1556" w:type="dxa"/>
            <w:vAlign w:val="center"/>
          </w:tcPr>
          <w:p w14:paraId="0836B4E5">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不满3人扣5分，工作拖拉、推诿、态度恶劣、语言过激造成不良影响的扣5分</w:t>
            </w:r>
          </w:p>
        </w:tc>
        <w:tc>
          <w:tcPr>
            <w:tcW w:w="1134" w:type="dxa"/>
            <w:vAlign w:val="center"/>
          </w:tcPr>
          <w:p w14:paraId="35C65988">
            <w:pPr>
              <w:widowControl/>
              <w:spacing w:line="340" w:lineRule="exact"/>
              <w:ind w:firstLine="0" w:firstLineChars="0"/>
              <w:jc w:val="left"/>
              <w:rPr>
                <w:rFonts w:ascii="宋体" w:hAnsi="宋体" w:cs="宋体"/>
                <w:color w:val="auto"/>
                <w:kern w:val="0"/>
                <w:sz w:val="21"/>
                <w:szCs w:val="21"/>
                <w:highlight w:val="none"/>
              </w:rPr>
            </w:pPr>
          </w:p>
        </w:tc>
        <w:tc>
          <w:tcPr>
            <w:tcW w:w="1061" w:type="dxa"/>
            <w:vAlign w:val="center"/>
          </w:tcPr>
          <w:p w14:paraId="156593EB">
            <w:pPr>
              <w:widowControl/>
              <w:spacing w:line="340" w:lineRule="exact"/>
              <w:ind w:firstLine="0" w:firstLineChars="0"/>
              <w:jc w:val="left"/>
              <w:rPr>
                <w:rFonts w:ascii="宋体" w:hAnsi="宋体" w:cs="宋体"/>
                <w:color w:val="auto"/>
                <w:kern w:val="0"/>
                <w:sz w:val="21"/>
                <w:szCs w:val="21"/>
                <w:highlight w:val="none"/>
              </w:rPr>
            </w:pPr>
          </w:p>
        </w:tc>
      </w:tr>
      <w:tr w14:paraId="161B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31" w:type="dxa"/>
            <w:vMerge w:val="continue"/>
            <w:vAlign w:val="center"/>
          </w:tcPr>
          <w:p w14:paraId="138C95FC">
            <w:pPr>
              <w:widowControl/>
              <w:spacing w:line="340" w:lineRule="exact"/>
              <w:ind w:firstLine="0" w:firstLineChars="0"/>
              <w:jc w:val="left"/>
              <w:rPr>
                <w:rFonts w:ascii="宋体" w:hAnsi="宋体" w:cs="宋体"/>
                <w:color w:val="auto"/>
                <w:kern w:val="0"/>
                <w:sz w:val="21"/>
                <w:szCs w:val="21"/>
                <w:highlight w:val="none"/>
              </w:rPr>
            </w:pPr>
          </w:p>
        </w:tc>
        <w:tc>
          <w:tcPr>
            <w:tcW w:w="1141" w:type="dxa"/>
            <w:vAlign w:val="center"/>
          </w:tcPr>
          <w:p w14:paraId="13629EEB">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其他保障</w:t>
            </w:r>
          </w:p>
        </w:tc>
        <w:tc>
          <w:tcPr>
            <w:tcW w:w="3631" w:type="dxa"/>
            <w:vAlign w:val="center"/>
          </w:tcPr>
          <w:p w14:paraId="497763F4">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车辆保障、备机保障等其他硬件条件</w:t>
            </w:r>
          </w:p>
        </w:tc>
        <w:tc>
          <w:tcPr>
            <w:tcW w:w="1556" w:type="dxa"/>
            <w:vAlign w:val="center"/>
          </w:tcPr>
          <w:p w14:paraId="04426588">
            <w:pPr>
              <w:widowControl/>
              <w:spacing w:line="34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车辆不满足1辆扣5分，其他不满足扣1分</w:t>
            </w:r>
          </w:p>
        </w:tc>
        <w:tc>
          <w:tcPr>
            <w:tcW w:w="1134" w:type="dxa"/>
            <w:vAlign w:val="center"/>
          </w:tcPr>
          <w:p w14:paraId="023DB660">
            <w:pPr>
              <w:widowControl/>
              <w:spacing w:line="340" w:lineRule="exact"/>
              <w:ind w:firstLine="0" w:firstLineChars="0"/>
              <w:jc w:val="left"/>
              <w:rPr>
                <w:rFonts w:ascii="宋体" w:hAnsi="宋体" w:cs="宋体"/>
                <w:color w:val="auto"/>
                <w:kern w:val="0"/>
                <w:sz w:val="21"/>
                <w:szCs w:val="21"/>
                <w:highlight w:val="none"/>
              </w:rPr>
            </w:pPr>
          </w:p>
        </w:tc>
        <w:tc>
          <w:tcPr>
            <w:tcW w:w="1061" w:type="dxa"/>
            <w:vAlign w:val="center"/>
          </w:tcPr>
          <w:p w14:paraId="148A3B8C">
            <w:pPr>
              <w:widowControl/>
              <w:spacing w:line="340" w:lineRule="exact"/>
              <w:ind w:firstLine="0" w:firstLineChars="0"/>
              <w:jc w:val="left"/>
              <w:rPr>
                <w:rFonts w:ascii="宋体" w:hAnsi="宋体" w:cs="宋体"/>
                <w:color w:val="auto"/>
                <w:kern w:val="0"/>
                <w:sz w:val="21"/>
                <w:szCs w:val="21"/>
                <w:highlight w:val="none"/>
              </w:rPr>
            </w:pPr>
          </w:p>
        </w:tc>
      </w:tr>
      <w:tr w14:paraId="633B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03" w:type="dxa"/>
            <w:gridSpan w:val="3"/>
            <w:vAlign w:val="center"/>
          </w:tcPr>
          <w:p w14:paraId="2A8BE60C">
            <w:pPr>
              <w:widowControl/>
              <w:spacing w:line="340" w:lineRule="exact"/>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本季度考核总得分</w:t>
            </w:r>
          </w:p>
        </w:tc>
        <w:tc>
          <w:tcPr>
            <w:tcW w:w="3751" w:type="dxa"/>
            <w:gridSpan w:val="3"/>
            <w:vAlign w:val="center"/>
          </w:tcPr>
          <w:p w14:paraId="54051D1F">
            <w:pPr>
              <w:widowControl/>
              <w:spacing w:line="340" w:lineRule="exact"/>
              <w:ind w:firstLine="0" w:firstLineChars="0"/>
              <w:jc w:val="center"/>
              <w:rPr>
                <w:rFonts w:ascii="宋体" w:hAnsi="宋体" w:cs="宋体"/>
                <w:b/>
                <w:bCs/>
                <w:color w:val="auto"/>
                <w:kern w:val="0"/>
                <w:sz w:val="21"/>
                <w:szCs w:val="21"/>
                <w:highlight w:val="none"/>
              </w:rPr>
            </w:pPr>
          </w:p>
        </w:tc>
      </w:tr>
      <w:tr w14:paraId="3EF1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03" w:type="dxa"/>
            <w:gridSpan w:val="3"/>
            <w:vAlign w:val="center"/>
          </w:tcPr>
          <w:p w14:paraId="69C9C997">
            <w:pPr>
              <w:widowControl/>
              <w:spacing w:line="340" w:lineRule="exact"/>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本季度考核总评价</w:t>
            </w:r>
          </w:p>
        </w:tc>
        <w:tc>
          <w:tcPr>
            <w:tcW w:w="3751" w:type="dxa"/>
            <w:gridSpan w:val="3"/>
            <w:vAlign w:val="center"/>
          </w:tcPr>
          <w:p w14:paraId="7D479A24">
            <w:pPr>
              <w:widowControl/>
              <w:spacing w:line="340" w:lineRule="exact"/>
              <w:ind w:firstLine="0" w:firstLineChars="0"/>
              <w:jc w:val="center"/>
              <w:rPr>
                <w:rFonts w:ascii="宋体" w:hAnsi="宋体" w:cs="宋体"/>
                <w:b/>
                <w:bCs/>
                <w:color w:val="auto"/>
                <w:kern w:val="0"/>
                <w:sz w:val="21"/>
                <w:szCs w:val="21"/>
                <w:highlight w:val="none"/>
              </w:rPr>
            </w:pPr>
          </w:p>
        </w:tc>
      </w:tr>
    </w:tbl>
    <w:p w14:paraId="4B243D1C">
      <w:pPr>
        <w:spacing w:line="340" w:lineRule="exact"/>
        <w:ind w:firstLine="420"/>
        <w:rPr>
          <w:rFonts w:ascii="宋体" w:hAnsi="宋体"/>
          <w:snapToGrid w:val="0"/>
          <w:color w:val="auto"/>
          <w:kern w:val="0"/>
          <w:sz w:val="21"/>
          <w:szCs w:val="21"/>
          <w:highlight w:val="none"/>
        </w:rPr>
      </w:pPr>
      <w:r>
        <w:rPr>
          <w:rFonts w:hint="eastAsia" w:ascii="宋体" w:hAnsi="宋体" w:cs="宋体"/>
          <w:color w:val="auto"/>
          <w:sz w:val="21"/>
          <w:szCs w:val="21"/>
          <w:highlight w:val="none"/>
        </w:rPr>
        <w:t>③考核总分</w:t>
      </w:r>
    </w:p>
    <w:p w14:paraId="48494186">
      <w:pPr>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考核总分=两率得分+运维得分</w:t>
      </w:r>
    </w:p>
    <w:p w14:paraId="3D63902A">
      <w:pPr>
        <w:spacing w:line="340" w:lineRule="exact"/>
        <w:ind w:firstLine="411" w:firstLineChars="196"/>
        <w:rPr>
          <w:rFonts w:ascii="宋体" w:hAnsi="宋体"/>
          <w:color w:val="auto"/>
          <w:sz w:val="21"/>
          <w:szCs w:val="21"/>
          <w:highlight w:val="none"/>
        </w:rPr>
      </w:pPr>
      <w:r>
        <w:rPr>
          <w:rFonts w:hint="eastAsia" w:ascii="宋体" w:hAnsi="宋体" w:cs="宋体"/>
          <w:color w:val="auto"/>
          <w:sz w:val="21"/>
          <w:szCs w:val="21"/>
          <w:highlight w:val="none"/>
        </w:rPr>
        <w:t>A.</w:t>
      </w:r>
      <w:r>
        <w:rPr>
          <w:rFonts w:hint="eastAsia" w:ascii="宋体" w:hAnsi="宋体"/>
          <w:color w:val="auto"/>
          <w:sz w:val="21"/>
          <w:szCs w:val="21"/>
          <w:highlight w:val="none"/>
        </w:rPr>
        <w:t>按季度对每个站点单独考核，其中单次考核结果均≥90分为合格。</w:t>
      </w:r>
    </w:p>
    <w:p w14:paraId="2F9E76F9">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B.单次考核结果≥80分且＜90分的，为初级警告，按比例扣除当季度运行费的10%，并责令整改。</w:t>
      </w:r>
    </w:p>
    <w:p w14:paraId="6D46EE85">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C.单次考核结果≥70分且＜80分的，为二级警告，按比例扣除当季度运行费的35%，并责令整改。一年合同期内出现两次二级警告情况，视为乙方违约，终止运营托管运维合同。</w:t>
      </w:r>
    </w:p>
    <w:p w14:paraId="553949C5">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D.考核结果在＜70分的，不予支付当季度运维费用并视为乙方违约，终止运营托管运维合同。</w:t>
      </w:r>
    </w:p>
    <w:p w14:paraId="11CFE250">
      <w:pPr>
        <w:spacing w:line="360" w:lineRule="exact"/>
        <w:ind w:left="120" w:leftChars="50" w:firstLine="319" w:firstLineChars="152"/>
        <w:rPr>
          <w:rFonts w:ascii="宋体" w:hAnsi="宋体"/>
          <w:color w:val="auto"/>
          <w:sz w:val="21"/>
          <w:szCs w:val="21"/>
          <w:highlight w:val="none"/>
        </w:rPr>
      </w:pPr>
      <w:r>
        <w:rPr>
          <w:rFonts w:hint="eastAsia" w:ascii="宋体" w:hAnsi="宋体"/>
          <w:color w:val="auto"/>
          <w:sz w:val="21"/>
          <w:szCs w:val="21"/>
          <w:highlight w:val="none"/>
        </w:rPr>
        <w:t xml:space="preserve">E.一旦发现弄虚作假现象，按违约处理，并追究其相应的法律责任，甲方有权向监督管理部门汇报并处理，不予支付当季运维费用，同时按当季维护费用的双倍进行经济处罚。 </w:t>
      </w:r>
    </w:p>
    <w:p w14:paraId="6F29BF12">
      <w:pPr>
        <w:spacing w:line="340" w:lineRule="exact"/>
        <w:ind w:firstLine="420"/>
        <w:rPr>
          <w:rFonts w:ascii="宋体" w:hAnsi="宋体"/>
          <w:color w:val="auto"/>
          <w:sz w:val="21"/>
          <w:szCs w:val="21"/>
          <w:highlight w:val="none"/>
        </w:rPr>
      </w:pPr>
      <w:r>
        <w:rPr>
          <w:rFonts w:hint="eastAsia" w:ascii="宋体" w:hAnsi="宋体" w:cs="宋体"/>
          <w:color w:val="auto"/>
          <w:sz w:val="21"/>
          <w:szCs w:val="21"/>
          <w:highlight w:val="none"/>
        </w:rPr>
        <w:t>F.数据捕获率指考核时段内各监测项目实际获取的小时值监测数据量总和除以应获得小时值数据量总和。每日各项目应获得小时值数据量均按24个计，考核时段天数按考核时段内日历天数计。计算应获得小时值数据量时，应扣除因不可抗力造成的停止监测的小时数。</w:t>
      </w:r>
    </w:p>
    <w:p w14:paraId="2F941598">
      <w:pPr>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数据质控合格率指考核时段内各监测项目实际获取的质控合格的小时值监测数据量总和除以应获得小时值数据量总和。</w:t>
      </w:r>
    </w:p>
    <w:p w14:paraId="5F0D2C07">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第七条  服务期限、地点</w:t>
      </w:r>
    </w:p>
    <w:p w14:paraId="175EF125">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1.服务期限：1年（即：2026年1月1日至2026年12月31日），</w:t>
      </w:r>
      <w:r>
        <w:rPr>
          <w:rFonts w:hint="eastAsia" w:ascii="宋体" w:hAnsi="宋体"/>
          <w:bCs/>
          <w:color w:val="auto"/>
          <w:sz w:val="21"/>
          <w:szCs w:val="21"/>
          <w:highlight w:val="none"/>
        </w:rPr>
        <w:t>【</w:t>
      </w:r>
      <w:r>
        <w:rPr>
          <w:rFonts w:hint="eastAsia" w:ascii="宋体" w:hAnsi="宋体"/>
          <w:color w:val="auto"/>
          <w:sz w:val="21"/>
          <w:szCs w:val="21"/>
          <w:highlight w:val="none"/>
        </w:rPr>
        <w:t>上一年度合同期满至2025年12月31日，考虑到水站运行维护的连续性，2026年1月1日至本项目乙方正式进场开展工作期间的运维工作仍由上一年度成交单位负责，其间所发生费用作为本项目不可变更费用，对于2026年1月1日至本项目乙方接管运维工作期间的费用，本项目乙方须在进场开展工作服务后15日内依据甲方审核费用，按照本项目成交价比例支付给原服务单位。支付标准：[本项目成交金额÷365]×（2026年1月1日到接管日前的天数）。如本次项目乙方为原服务单位，则本项目合同开始日期为2026年1月1日至2026年12月31日】。</w:t>
      </w:r>
    </w:p>
    <w:p w14:paraId="3055E1CC">
      <w:pPr>
        <w:spacing w:line="340" w:lineRule="exact"/>
        <w:ind w:firstLine="411" w:firstLineChars="196"/>
        <w:rPr>
          <w:rFonts w:ascii="宋体" w:hAnsi="宋体"/>
          <w:b/>
          <w:color w:val="auto"/>
          <w:sz w:val="21"/>
          <w:szCs w:val="21"/>
          <w:highlight w:val="none"/>
          <w:u w:val="single"/>
        </w:rPr>
      </w:pPr>
      <w:r>
        <w:rPr>
          <w:rFonts w:hint="eastAsia" w:ascii="宋体" w:hAnsi="宋体"/>
          <w:color w:val="auto"/>
          <w:sz w:val="21"/>
          <w:szCs w:val="21"/>
          <w:highlight w:val="none"/>
        </w:rPr>
        <w:t>2.服务地点：</w:t>
      </w:r>
      <w:r>
        <w:rPr>
          <w:rFonts w:hint="eastAsia" w:ascii="宋体" w:hAnsi="宋体"/>
          <w:color w:val="auto"/>
          <w:sz w:val="21"/>
          <w:szCs w:val="21"/>
          <w:highlight w:val="none"/>
          <w:u w:val="single"/>
        </w:rPr>
        <w:t>广西桂林市采购人指定地点</w:t>
      </w:r>
      <w:r>
        <w:rPr>
          <w:rFonts w:hint="eastAsia" w:ascii="宋体" w:hAnsi="宋体"/>
          <w:color w:val="auto"/>
          <w:sz w:val="21"/>
          <w:szCs w:val="21"/>
          <w:highlight w:val="none"/>
        </w:rPr>
        <w:t>。</w:t>
      </w:r>
    </w:p>
    <w:p w14:paraId="69C42247">
      <w:pPr>
        <w:spacing w:line="340" w:lineRule="exact"/>
        <w:ind w:firstLine="413" w:firstLineChars="196"/>
        <w:rPr>
          <w:rFonts w:ascii="宋体" w:hAnsi="宋体" w:cs="宋体"/>
          <w:b/>
          <w:bCs/>
          <w:color w:val="auto"/>
          <w:sz w:val="21"/>
          <w:szCs w:val="21"/>
          <w:highlight w:val="none"/>
        </w:rPr>
      </w:pPr>
      <w:r>
        <w:rPr>
          <w:rFonts w:hint="eastAsia" w:ascii="宋体" w:hAnsi="宋体" w:cs="宋体"/>
          <w:b/>
          <w:bCs/>
          <w:color w:val="auto"/>
          <w:sz w:val="21"/>
          <w:szCs w:val="21"/>
          <w:highlight w:val="none"/>
        </w:rPr>
        <w:t>第八条  保密要求</w:t>
      </w:r>
    </w:p>
    <w:p w14:paraId="2463EF76">
      <w:pPr>
        <w:spacing w:line="340" w:lineRule="exact"/>
        <w:ind w:firstLine="411" w:firstLineChars="196"/>
        <w:rPr>
          <w:rFonts w:ascii="宋体" w:hAnsi="宋体" w:cs="宋体"/>
          <w:color w:val="auto"/>
          <w:sz w:val="21"/>
          <w:szCs w:val="21"/>
          <w:highlight w:val="none"/>
        </w:rPr>
      </w:pPr>
      <w:r>
        <w:rPr>
          <w:rFonts w:hint="eastAsia" w:ascii="宋体" w:hAnsi="宋体" w:cs="宋体"/>
          <w:color w:val="auto"/>
          <w:sz w:val="21"/>
          <w:szCs w:val="21"/>
          <w:highlight w:val="none"/>
        </w:rPr>
        <w:t>乙方须严格遵守甲方的保密制度要求，在项目运营维护服务过程中，对本项目所有项目信息以及接触到数据予以保密，未经甲方书面允许，不得以任何形式向第三方透露本项目的任何内容。</w:t>
      </w:r>
    </w:p>
    <w:p w14:paraId="28E64A66">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第九条　履约保证金</w:t>
      </w:r>
    </w:p>
    <w:p w14:paraId="25C0FE4D">
      <w:pPr>
        <w:spacing w:line="340" w:lineRule="exact"/>
        <w:ind w:firstLine="411" w:firstLineChars="196"/>
        <w:rPr>
          <w:rFonts w:ascii="宋体" w:hAnsi="宋体"/>
          <w:bCs/>
          <w:color w:val="auto"/>
          <w:sz w:val="21"/>
          <w:szCs w:val="21"/>
          <w:highlight w:val="none"/>
        </w:rPr>
      </w:pPr>
      <w:r>
        <w:rPr>
          <w:rFonts w:hint="eastAsia" w:ascii="宋体" w:hAnsi="宋体"/>
          <w:bCs/>
          <w:color w:val="auto"/>
          <w:sz w:val="21"/>
          <w:szCs w:val="21"/>
          <w:highlight w:val="none"/>
        </w:rPr>
        <w:t>1.若乙方为中型企业的，则按合同金额的2%提交；若乙方为小微企业的，则免收履约保证金。乙方必须在成交通知书发出之日起8个工作日内，且在与甲方签订合同前将履约保证金以支票、汇票、本票或者金融机构、担保机构出具的保函等非现金形式提交至甲方指定账户。</w:t>
      </w:r>
    </w:p>
    <w:p w14:paraId="77E8A23E">
      <w:pPr>
        <w:spacing w:line="340" w:lineRule="exact"/>
        <w:ind w:firstLine="411" w:firstLineChars="196"/>
        <w:rPr>
          <w:rFonts w:ascii="宋体" w:hAnsi="宋体"/>
          <w:bCs/>
          <w:color w:val="auto"/>
          <w:sz w:val="21"/>
          <w:szCs w:val="21"/>
          <w:highlight w:val="none"/>
        </w:rPr>
      </w:pPr>
      <w:r>
        <w:rPr>
          <w:rFonts w:hint="eastAsia" w:ascii="宋体" w:hAnsi="宋体"/>
          <w:bCs/>
          <w:color w:val="auto"/>
          <w:sz w:val="21"/>
          <w:szCs w:val="21"/>
          <w:highlight w:val="none"/>
        </w:rPr>
        <w:t>2.如果乙方没能按上述规定执行，甲方将上报桂林市政府采购监督管理机构，取消该成交资格，并有权授予第二成交候选供应商为成交供应商资格或重新组织采购。</w:t>
      </w:r>
    </w:p>
    <w:p w14:paraId="32A50F4C">
      <w:pPr>
        <w:spacing w:line="340" w:lineRule="exact"/>
        <w:ind w:firstLine="411" w:firstLineChars="196"/>
        <w:rPr>
          <w:rFonts w:ascii="宋体" w:hAnsi="宋体"/>
          <w:bCs/>
          <w:color w:val="auto"/>
          <w:sz w:val="21"/>
          <w:szCs w:val="21"/>
          <w:highlight w:val="none"/>
        </w:rPr>
      </w:pPr>
      <w:r>
        <w:rPr>
          <w:rFonts w:hint="eastAsia" w:ascii="宋体" w:hAnsi="宋体"/>
          <w:bCs/>
          <w:color w:val="auto"/>
          <w:sz w:val="21"/>
          <w:szCs w:val="21"/>
          <w:highlight w:val="none"/>
        </w:rPr>
        <w:t>3.乙方履行完成合同约定权利义务事项，若无违约情况，凭《桂林市政府采购项目合同验收书》和履约保证金交纳凭证向采购人申请办理退还手续，甲方不得额外要求乙方提交其他证明材料，并应当自收到退还资料之日起5个工作日内退还其履约保证金（无息）。如乙方不按双方签订的合同规定履约，则履约保证金不予退还，履约保证金不足以赔偿损失的，按实际损失赔偿。</w:t>
      </w:r>
    </w:p>
    <w:p w14:paraId="0148AA4F">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第十条  付款方式</w:t>
      </w:r>
    </w:p>
    <w:p w14:paraId="5BBA480D">
      <w:pPr>
        <w:spacing w:line="340" w:lineRule="exact"/>
        <w:ind w:firstLine="411" w:firstLineChars="196"/>
        <w:rPr>
          <w:rFonts w:ascii="宋体" w:hAnsi="宋体"/>
          <w:bCs/>
          <w:color w:val="auto"/>
          <w:sz w:val="21"/>
          <w:szCs w:val="21"/>
          <w:highlight w:val="none"/>
        </w:rPr>
      </w:pPr>
      <w:r>
        <w:rPr>
          <w:rFonts w:hint="eastAsia" w:ascii="宋体" w:hAnsi="宋体"/>
          <w:bCs/>
          <w:color w:val="auto"/>
          <w:sz w:val="21"/>
          <w:szCs w:val="21"/>
          <w:highlight w:val="none"/>
        </w:rPr>
        <w:t>1.本项目合同款分两次支付，签订合同且乙方达到合同实施条件（指乙方在承诺投入本项目实施的人员全部到位）并报甲方备案后，在财政资金到账的情况下，10个工作日内支付合同款的50%，第三季度结束后支付合同款的50%（无息，50%合同款=合同金额的50%减去一年考核扣款）。</w:t>
      </w:r>
    </w:p>
    <w:p w14:paraId="146B1323">
      <w:pPr>
        <w:spacing w:line="340" w:lineRule="exact"/>
        <w:ind w:firstLine="411" w:firstLineChars="196"/>
        <w:rPr>
          <w:rFonts w:ascii="宋体" w:hAnsi="宋体"/>
          <w:bCs/>
          <w:color w:val="auto"/>
          <w:sz w:val="21"/>
          <w:szCs w:val="21"/>
          <w:highlight w:val="none"/>
        </w:rPr>
      </w:pPr>
      <w:r>
        <w:rPr>
          <w:rFonts w:hint="eastAsia" w:ascii="宋体" w:hAnsi="宋体"/>
          <w:bCs/>
          <w:color w:val="auto"/>
          <w:sz w:val="21"/>
          <w:szCs w:val="21"/>
          <w:highlight w:val="none"/>
        </w:rPr>
        <w:t>2.在甲方付款前，乙方应向甲方提供相应等额有效、合法的发票，否则甲方有权不予付款，直至乙方提供符合约定的发票为止。</w:t>
      </w:r>
    </w:p>
    <w:p w14:paraId="6AC9E0AE">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第十一条  税费</w:t>
      </w:r>
    </w:p>
    <w:p w14:paraId="5DBD718A">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本合同执行中相关的一切税费均由乙方负担。</w:t>
      </w:r>
    </w:p>
    <w:p w14:paraId="47B99E90">
      <w:pPr>
        <w:snapToGrid w:val="0"/>
        <w:spacing w:line="340" w:lineRule="exact"/>
        <w:ind w:firstLine="422"/>
        <w:rPr>
          <w:rFonts w:ascii="宋体" w:hAnsi="宋体" w:cs="宋体"/>
          <w:b/>
          <w:color w:val="auto"/>
          <w:sz w:val="21"/>
          <w:szCs w:val="21"/>
          <w:highlight w:val="none"/>
        </w:rPr>
      </w:pPr>
      <w:r>
        <w:rPr>
          <w:rFonts w:hint="eastAsia" w:ascii="宋体" w:hAnsi="宋体"/>
          <w:b/>
          <w:color w:val="auto"/>
          <w:sz w:val="21"/>
          <w:szCs w:val="21"/>
          <w:highlight w:val="none"/>
        </w:rPr>
        <w:t xml:space="preserve">第十二条  </w:t>
      </w:r>
      <w:r>
        <w:rPr>
          <w:rFonts w:hint="eastAsia" w:ascii="宋体" w:hAnsi="宋体" w:cs="宋体"/>
          <w:b/>
          <w:color w:val="auto"/>
          <w:sz w:val="21"/>
          <w:szCs w:val="21"/>
          <w:highlight w:val="none"/>
        </w:rPr>
        <w:t>验收方式及标准：</w:t>
      </w:r>
    </w:p>
    <w:p w14:paraId="3704D593">
      <w:pPr>
        <w:snapToGrid w:val="0"/>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1.验收方式：现场验收。</w:t>
      </w:r>
    </w:p>
    <w:p w14:paraId="4F824B62">
      <w:pPr>
        <w:snapToGrid w:val="0"/>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2.验收标准：依照国家相关法律法规及行业规定，根据竞争性磋商文件要求及响应文件承诺进行验收。</w:t>
      </w:r>
    </w:p>
    <w:p w14:paraId="5492C66B">
      <w:pPr>
        <w:spacing w:line="340" w:lineRule="exact"/>
        <w:ind w:firstLine="422"/>
        <w:rPr>
          <w:rFonts w:ascii="宋体" w:hAnsi="宋体"/>
          <w:b/>
          <w:color w:val="auto"/>
          <w:sz w:val="21"/>
          <w:szCs w:val="21"/>
          <w:highlight w:val="none"/>
        </w:rPr>
      </w:pPr>
      <w:r>
        <w:rPr>
          <w:rFonts w:hint="eastAsia" w:ascii="宋体" w:hAnsi="宋体"/>
          <w:b/>
          <w:color w:val="auto"/>
          <w:sz w:val="21"/>
          <w:szCs w:val="21"/>
          <w:highlight w:val="none"/>
        </w:rPr>
        <w:t>第十三条  违约责任</w:t>
      </w:r>
    </w:p>
    <w:p w14:paraId="1DD2CC38">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1.乙方所提供的服务质量不合格的，应及时调整，调整不及时的按逾期完成处罚，乙方应向甲方支付合同金额</w:t>
      </w:r>
      <w:r>
        <w:rPr>
          <w:rFonts w:hint="eastAsia" w:ascii="宋体" w:hAnsi="宋体"/>
          <w:color w:val="auto"/>
          <w:sz w:val="21"/>
          <w:szCs w:val="21"/>
          <w:highlight w:val="none"/>
          <w:u w:val="single"/>
        </w:rPr>
        <w:t>5%</w:t>
      </w:r>
      <w:r>
        <w:rPr>
          <w:rFonts w:hint="eastAsia" w:ascii="宋体" w:hAnsi="宋体"/>
          <w:color w:val="auto"/>
          <w:sz w:val="21"/>
          <w:szCs w:val="21"/>
          <w:highlight w:val="none"/>
        </w:rPr>
        <w:t>违约金并赔偿甲方经济损失，如违约金不足以弥补甲方损失的，应当由乙方承担全部的损失赔偿责任。</w:t>
      </w:r>
    </w:p>
    <w:p w14:paraId="3AF12F8D">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2.乙方提供的服务如果侵犯了第三方合法权益而引发的任何纠纷或诉讼，均由乙方负责交涉并承担全部责任。</w:t>
      </w:r>
    </w:p>
    <w:p w14:paraId="51B9F855">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3.乙方未按本合同和响应文件中规定的服务承诺提供服务的，乙方应按本合同合计金额</w:t>
      </w:r>
      <w:r>
        <w:rPr>
          <w:rFonts w:hint="eastAsia" w:ascii="宋体" w:hAnsi="宋体"/>
          <w:color w:val="auto"/>
          <w:sz w:val="21"/>
          <w:szCs w:val="21"/>
          <w:highlight w:val="none"/>
          <w:u w:val="single"/>
        </w:rPr>
        <w:t>5%</w:t>
      </w:r>
      <w:r>
        <w:rPr>
          <w:rFonts w:hint="eastAsia" w:ascii="宋体" w:hAnsi="宋体"/>
          <w:color w:val="auto"/>
          <w:sz w:val="21"/>
          <w:szCs w:val="21"/>
          <w:highlight w:val="none"/>
        </w:rPr>
        <w:t>向甲方支付违约金，如违约金不足以弥补甲方损失的，应当由乙方承担全部的损失赔偿责任。</w:t>
      </w:r>
    </w:p>
    <w:p w14:paraId="6678B2FD">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4.乙方提供的服务质量或数据不准确、来源不明或其他因服务过程引起的缺陷和其他质量原因造成的问题，由乙方负责，费用从合同款项中扣除，不足另补。</w:t>
      </w:r>
    </w:p>
    <w:p w14:paraId="3F777325">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5.其他违约行为按违约合同额</w:t>
      </w:r>
      <w:r>
        <w:rPr>
          <w:rFonts w:hint="eastAsia" w:ascii="宋体" w:hAnsi="宋体"/>
          <w:color w:val="auto"/>
          <w:sz w:val="21"/>
          <w:szCs w:val="21"/>
          <w:highlight w:val="none"/>
          <w:u w:val="single"/>
        </w:rPr>
        <w:t>5%</w:t>
      </w:r>
      <w:r>
        <w:rPr>
          <w:rFonts w:hint="eastAsia" w:ascii="宋体" w:hAnsi="宋体"/>
          <w:color w:val="auto"/>
          <w:sz w:val="21"/>
          <w:szCs w:val="21"/>
          <w:highlight w:val="none"/>
        </w:rPr>
        <w:t>收取违约金并赔偿经济损失。</w:t>
      </w:r>
    </w:p>
    <w:p w14:paraId="6489271C">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第十四条  通知与送达</w:t>
      </w:r>
    </w:p>
    <w:p w14:paraId="7CAE40C0">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1.所有通知和通信都应是书面的（可用电子邮件预送达），并亲自送达或以传真、挂号邮寄、特快专递等方式至本合同所示的项目联系人。</w:t>
      </w:r>
    </w:p>
    <w:p w14:paraId="43F6EEF3">
      <w:pPr>
        <w:spacing w:line="340" w:lineRule="exact"/>
        <w:ind w:firstLine="411" w:firstLineChars="196"/>
        <w:rPr>
          <w:rFonts w:ascii="宋体" w:hAnsi="宋体"/>
          <w:color w:val="auto"/>
          <w:sz w:val="21"/>
          <w:szCs w:val="21"/>
          <w:highlight w:val="none"/>
        </w:rPr>
      </w:pPr>
      <w:r>
        <w:rPr>
          <w:rFonts w:hint="eastAsia" w:ascii="宋体" w:hAnsi="宋体"/>
          <w:color w:val="auto"/>
          <w:sz w:val="21"/>
          <w:szCs w:val="21"/>
          <w:highlight w:val="none"/>
        </w:rPr>
        <w:t>2.亲自送达或挂号邮寄、特快专递的通知送达时生效，传真发送后在收到对方确认函时生效。任何一方变更本合同所示的项目联系人及联系方式，应提前</w:t>
      </w:r>
      <w:r>
        <w:rPr>
          <w:rFonts w:hint="eastAsia" w:ascii="宋体" w:hAnsi="宋体"/>
          <w:color w:val="auto"/>
          <w:sz w:val="21"/>
          <w:szCs w:val="21"/>
          <w:highlight w:val="none"/>
          <w:u w:val="single"/>
        </w:rPr>
        <w:t>5日</w:t>
      </w:r>
      <w:r>
        <w:rPr>
          <w:rFonts w:hint="eastAsia" w:ascii="宋体" w:hAnsi="宋体"/>
          <w:color w:val="auto"/>
          <w:sz w:val="21"/>
          <w:szCs w:val="21"/>
          <w:highlight w:val="none"/>
        </w:rPr>
        <w:t>书面通知对方。</w:t>
      </w:r>
    </w:p>
    <w:p w14:paraId="7339BB03">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第十五条  不可抗力事件处理</w:t>
      </w:r>
    </w:p>
    <w:p w14:paraId="08C86106">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1.在合同有效期内，乙方因不可抗力事件导致不能履行合同，则合同履行期可延长，其延长期与不可抗力影响期相同。</w:t>
      </w:r>
    </w:p>
    <w:p w14:paraId="0A3ECB45">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2.不可抗力事件发生后，应立即通知对方，并在随后的15日内向对方提供不可抗力发生和持续期间的充分证据或有关权威机构出具的证明。提出受不可抗力影响的一方，还应尽一切合理努力排除不可抗力对履行合同造成的影响。</w:t>
      </w:r>
    </w:p>
    <w:p w14:paraId="2608D05D">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3. 不可抗力事件延续60日以上的，由甲方确定是否继续履行本合同</w:t>
      </w:r>
    </w:p>
    <w:p w14:paraId="3B2E3F66">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第十六条  合同争议解决</w:t>
      </w:r>
    </w:p>
    <w:p w14:paraId="78430E0F">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 因服务质量问题发生争议的，应邀请国家认可的质量检测机构对服务质量进行鉴定。服务质量符合标准的，鉴定费由甲方承担；服务质量不符合标准的，鉴定费由乙方承担。</w:t>
      </w:r>
    </w:p>
    <w:p w14:paraId="3F7F45C4">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2. 因履行本合同引起的或与本合同有关的争议，甲乙双方应首先通过友好协商解决，如果协商不能解决，双方均应向桂林市临桂区人民法院提起诉讼。</w:t>
      </w:r>
    </w:p>
    <w:p w14:paraId="10A454D6">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3.若某方违约，违约方应承担守约方所有维权支出，包括但不限于：诉讼费、律师费、保全费、调查取证费等。</w:t>
      </w:r>
    </w:p>
    <w:p w14:paraId="0B57470C">
      <w:pPr>
        <w:spacing w:line="340" w:lineRule="exact"/>
        <w:ind w:left="435" w:firstLine="0" w:firstLineChars="0"/>
        <w:rPr>
          <w:rFonts w:ascii="宋体" w:hAnsi="宋体"/>
          <w:color w:val="auto"/>
          <w:sz w:val="21"/>
          <w:szCs w:val="21"/>
          <w:highlight w:val="none"/>
        </w:rPr>
      </w:pPr>
      <w:r>
        <w:rPr>
          <w:rFonts w:hint="eastAsia" w:ascii="宋体" w:hAnsi="宋体"/>
          <w:color w:val="auto"/>
          <w:sz w:val="21"/>
          <w:szCs w:val="21"/>
          <w:highlight w:val="none"/>
        </w:rPr>
        <w:t>4. 诉讼期间，根据事实情况由甲方判断本合同是否继续履行。</w:t>
      </w:r>
    </w:p>
    <w:p w14:paraId="2E4D5EC4">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第十七条  合同的变更、终止与转让</w:t>
      </w:r>
    </w:p>
    <w:p w14:paraId="69396303">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1.除《中华人民共和国政府采购法》第五十条规定的情形外，本合同一经签订，甲乙双方不得擅自变更，中止或终止。</w:t>
      </w:r>
    </w:p>
    <w:p w14:paraId="599853D0">
      <w:pPr>
        <w:spacing w:line="340" w:lineRule="exact"/>
        <w:ind w:left="420" w:firstLine="0" w:firstLineChars="0"/>
        <w:rPr>
          <w:rFonts w:ascii="宋体" w:hAnsi="宋体"/>
          <w:b/>
          <w:color w:val="auto"/>
          <w:sz w:val="21"/>
          <w:szCs w:val="21"/>
          <w:highlight w:val="none"/>
        </w:rPr>
      </w:pPr>
      <w:r>
        <w:rPr>
          <w:rFonts w:hint="eastAsia" w:ascii="宋体" w:hAnsi="宋体"/>
          <w:color w:val="auto"/>
          <w:sz w:val="21"/>
          <w:szCs w:val="21"/>
          <w:highlight w:val="none"/>
        </w:rPr>
        <w:t>2.乙方不得擅自转让其应履行的合同义务。</w:t>
      </w:r>
    </w:p>
    <w:p w14:paraId="43D437B7">
      <w:pPr>
        <w:spacing w:line="340" w:lineRule="exact"/>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第十八条  合同生效及其它</w:t>
      </w:r>
    </w:p>
    <w:p w14:paraId="3F6A4990">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1.合同经甲乙双方法定代表人、负责人、自然人或相应的授权代表签字并加盖单位公章后生效。</w:t>
      </w:r>
    </w:p>
    <w:p w14:paraId="6B94EA3C">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2.合同执行中涉及采购资金和采购内容修改或补充的，需经桂林市财政部门审批，并签订书面补充协议报桂林市财政局备案，方可作为主合同不可分割的一部分。</w:t>
      </w:r>
    </w:p>
    <w:p w14:paraId="4AEAE03B">
      <w:pPr>
        <w:spacing w:line="340" w:lineRule="exact"/>
        <w:ind w:left="435" w:firstLine="0" w:firstLineChars="0"/>
        <w:rPr>
          <w:rFonts w:ascii="宋体" w:hAnsi="宋体"/>
          <w:color w:val="auto"/>
          <w:sz w:val="21"/>
          <w:szCs w:val="21"/>
          <w:highlight w:val="none"/>
        </w:rPr>
      </w:pPr>
      <w:r>
        <w:rPr>
          <w:rFonts w:hint="eastAsia" w:ascii="宋体" w:hAnsi="宋体"/>
          <w:color w:val="auto"/>
          <w:sz w:val="21"/>
          <w:szCs w:val="21"/>
          <w:highlight w:val="none"/>
        </w:rPr>
        <w:t>3.本合同未尽事宜，遵照《中华人民共和国民法典》有关条文执行。</w:t>
      </w:r>
    </w:p>
    <w:p w14:paraId="2FA90895">
      <w:pPr>
        <w:spacing w:line="340" w:lineRule="exact"/>
        <w:ind w:firstLine="420"/>
        <w:rPr>
          <w:rFonts w:ascii="宋体" w:hAnsi="宋体"/>
          <w:color w:val="auto"/>
          <w:sz w:val="21"/>
          <w:szCs w:val="21"/>
          <w:highlight w:val="none"/>
        </w:rPr>
      </w:pPr>
    </w:p>
    <w:p w14:paraId="02BB0B1B">
      <w:pPr>
        <w:spacing w:line="340" w:lineRule="exact"/>
        <w:ind w:firstLine="420"/>
        <w:rPr>
          <w:rFonts w:ascii="宋体" w:hAnsi="宋体"/>
          <w:color w:val="auto"/>
          <w:sz w:val="21"/>
          <w:szCs w:val="21"/>
          <w:highlight w:val="none"/>
        </w:rPr>
      </w:pPr>
      <w:r>
        <w:rPr>
          <w:rFonts w:hint="eastAsia" w:ascii="宋体" w:hAnsi="宋体"/>
          <w:color w:val="auto"/>
          <w:sz w:val="21"/>
          <w:szCs w:val="21"/>
          <w:highlight w:val="none"/>
        </w:rPr>
        <w:t>本合同甲乙双方签字盖章后生效，一式五份，具有同等法律效力，甲、乙双方各二份、采购代理机构一份。</w:t>
      </w:r>
    </w:p>
    <w:p w14:paraId="5CA5CF84">
      <w:pPr>
        <w:spacing w:line="340" w:lineRule="exact"/>
        <w:ind w:firstLine="0" w:firstLineChars="0"/>
        <w:rPr>
          <w:rFonts w:ascii="宋体" w:hAnsi="宋体"/>
          <w:color w:val="auto"/>
          <w:sz w:val="21"/>
          <w:szCs w:val="21"/>
          <w:highlight w:val="none"/>
          <w:u w:val="single"/>
        </w:rPr>
      </w:pPr>
      <w:r>
        <w:rPr>
          <w:rFonts w:hint="eastAsia" w:ascii="宋体" w:hAnsi="宋体"/>
          <w:color w:val="auto"/>
          <w:sz w:val="21"/>
          <w:szCs w:val="21"/>
          <w:highlight w:val="none"/>
        </w:rPr>
        <w:t>甲方（公章）：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乙方（公章，自然人除外）：</w:t>
      </w:r>
      <w:r>
        <w:rPr>
          <w:rFonts w:hint="eastAsia" w:ascii="宋体" w:hAnsi="宋体"/>
          <w:color w:val="auto"/>
          <w:sz w:val="21"/>
          <w:szCs w:val="21"/>
          <w:highlight w:val="none"/>
          <w:u w:val="single"/>
        </w:rPr>
        <w:t xml:space="preserve">                           </w:t>
      </w:r>
    </w:p>
    <w:p w14:paraId="6016EA72">
      <w:pPr>
        <w:spacing w:line="360" w:lineRule="exact"/>
        <w:ind w:left="4620" w:hanging="4620" w:hangingChars="2200"/>
        <w:rPr>
          <w:rFonts w:ascii="宋体" w:hAnsi="宋体"/>
          <w:color w:val="auto"/>
          <w:sz w:val="21"/>
          <w:szCs w:val="21"/>
          <w:highlight w:val="none"/>
          <w:u w:val="singl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hAnsi="宋体"/>
          <w:color w:val="auto"/>
          <w:sz w:val="21"/>
          <w:szCs w:val="24"/>
          <w:highlight w:val="none"/>
        </w:rPr>
        <w:t>法定代表人（负责人、自然人）签字（属自然人的应在签名处加盖大拇指指印）</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6A2D130B">
      <w:pPr>
        <w:tabs>
          <w:tab w:val="left" w:pos="4680"/>
        </w:tabs>
        <w:spacing w:line="360" w:lineRule="exact"/>
        <w:ind w:firstLine="0" w:firstLineChars="0"/>
        <w:rPr>
          <w:rFonts w:ascii="宋体" w:hAnsi="宋体"/>
          <w:color w:val="auto"/>
          <w:sz w:val="21"/>
          <w:szCs w:val="21"/>
          <w:highlight w:val="none"/>
          <w:u w:val="single"/>
        </w:rPr>
      </w:pPr>
      <w:r>
        <w:rPr>
          <w:rFonts w:hint="eastAsia" w:ascii="宋体" w:hAnsi="宋体"/>
          <w:color w:val="auto"/>
          <w:sz w:val="21"/>
          <w:szCs w:val="21"/>
          <w:highlight w:val="none"/>
        </w:rPr>
        <w:t>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委托代理人：</w:t>
      </w:r>
      <w:r>
        <w:rPr>
          <w:rFonts w:hint="eastAsia" w:ascii="宋体" w:hAnsi="宋体"/>
          <w:color w:val="auto"/>
          <w:sz w:val="21"/>
          <w:szCs w:val="21"/>
          <w:highlight w:val="none"/>
          <w:u w:val="single"/>
        </w:rPr>
        <w:t xml:space="preserve">                                     </w:t>
      </w:r>
    </w:p>
    <w:p w14:paraId="5E4081F5">
      <w:pPr>
        <w:tabs>
          <w:tab w:val="left" w:pos="5040"/>
        </w:tabs>
        <w:spacing w:line="360" w:lineRule="exact"/>
        <w:ind w:firstLine="0" w:firstLineChars="0"/>
        <w:rPr>
          <w:rFonts w:ascii="宋体" w:hAnsi="宋体"/>
          <w:color w:val="auto"/>
          <w:sz w:val="21"/>
          <w:szCs w:val="21"/>
          <w:highlight w:val="none"/>
          <w:u w:val="single"/>
        </w:rPr>
      </w:pPr>
      <w:r>
        <w:rPr>
          <w:rFonts w:hint="eastAsia" w:ascii="宋体" w:hAnsi="宋体"/>
          <w:color w:val="auto"/>
          <w:sz w:val="21"/>
          <w:szCs w:val="21"/>
          <w:highlight w:val="none"/>
        </w:rPr>
        <w:t>电  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电   话： </w:t>
      </w:r>
      <w:r>
        <w:rPr>
          <w:rFonts w:hint="eastAsia" w:ascii="宋体" w:hAnsi="宋体"/>
          <w:color w:val="auto"/>
          <w:sz w:val="21"/>
          <w:szCs w:val="21"/>
          <w:highlight w:val="none"/>
          <w:u w:val="single"/>
        </w:rPr>
        <w:t xml:space="preserve">                                     </w:t>
      </w:r>
    </w:p>
    <w:p w14:paraId="6BC68299">
      <w:pPr>
        <w:tabs>
          <w:tab w:val="left" w:pos="5040"/>
        </w:tabs>
        <w:spacing w:line="36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开户名称：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开户名称：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398D0551">
      <w:pPr>
        <w:tabs>
          <w:tab w:val="left" w:pos="5040"/>
        </w:tabs>
        <w:spacing w:line="36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开户银行：</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开户银行：</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7211D741">
      <w:pPr>
        <w:tabs>
          <w:tab w:val="left" w:pos="5040"/>
        </w:tabs>
        <w:spacing w:line="36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银行账号：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银行账号：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317BC8DB">
      <w:pPr>
        <w:spacing w:line="360" w:lineRule="exact"/>
        <w:ind w:firstLine="0" w:firstLineChars="0"/>
        <w:rPr>
          <w:color w:val="auto"/>
          <w:sz w:val="21"/>
          <w:szCs w:val="24"/>
          <w:highlight w:val="none"/>
        </w:rPr>
      </w:pPr>
      <w:r>
        <w:rPr>
          <w:rFonts w:hint="eastAsia" w:ascii="宋体" w:hAnsi="宋体"/>
          <w:color w:val="auto"/>
          <w:sz w:val="21"/>
          <w:szCs w:val="21"/>
          <w:highlight w:val="none"/>
        </w:rPr>
        <w:t>日    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日    期：</w:t>
      </w:r>
      <w:r>
        <w:rPr>
          <w:rFonts w:hint="eastAsia" w:ascii="宋体" w:hAnsi="宋体"/>
          <w:color w:val="auto"/>
          <w:sz w:val="21"/>
          <w:szCs w:val="21"/>
          <w:highlight w:val="none"/>
          <w:u w:val="single"/>
        </w:rPr>
        <w:t xml:space="preserve">                                </w:t>
      </w:r>
    </w:p>
    <w:p w14:paraId="74D5574A">
      <w:pPr>
        <w:tabs>
          <w:tab w:val="left" w:pos="5040"/>
        </w:tabs>
        <w:spacing w:line="340" w:lineRule="exact"/>
        <w:ind w:firstLine="0" w:firstLineChars="0"/>
        <w:rPr>
          <w:rFonts w:ascii="宋体" w:hAnsi="宋体"/>
          <w:color w:val="auto"/>
          <w:sz w:val="21"/>
          <w:szCs w:val="21"/>
          <w:highlight w:val="none"/>
        </w:rPr>
      </w:pPr>
      <w:r>
        <w:rPr>
          <w:rFonts w:hint="eastAsia" w:ascii="宋体" w:hAnsi="宋体"/>
          <w:color w:val="auto"/>
          <w:sz w:val="21"/>
          <w:szCs w:val="21"/>
          <w:highlight w:val="none"/>
        </w:rPr>
        <w:t xml:space="preserve">                         </w:t>
      </w:r>
      <w:bookmarkEnd w:id="40"/>
      <w:bookmarkStart w:id="41" w:name="_Toc82016593"/>
    </w:p>
    <w:p w14:paraId="3782BB01">
      <w:pPr>
        <w:tabs>
          <w:tab w:val="left" w:pos="5040"/>
        </w:tabs>
        <w:spacing w:line="340" w:lineRule="exact"/>
        <w:ind w:firstLine="0" w:firstLineChars="0"/>
        <w:rPr>
          <w:rFonts w:ascii="宋体" w:hAnsi="宋体"/>
          <w:color w:val="auto"/>
          <w:sz w:val="21"/>
          <w:szCs w:val="21"/>
          <w:highlight w:val="none"/>
        </w:rPr>
      </w:pPr>
    </w:p>
    <w:p w14:paraId="2D4CD86D">
      <w:pPr>
        <w:tabs>
          <w:tab w:val="left" w:pos="5040"/>
        </w:tabs>
        <w:spacing w:line="340" w:lineRule="exact"/>
        <w:ind w:firstLine="0" w:firstLineChars="0"/>
        <w:rPr>
          <w:rFonts w:ascii="宋体" w:hAnsi="宋体"/>
          <w:color w:val="auto"/>
          <w:sz w:val="21"/>
          <w:szCs w:val="21"/>
          <w:highlight w:val="none"/>
        </w:rPr>
      </w:pPr>
    </w:p>
    <w:p w14:paraId="781796E0">
      <w:pPr>
        <w:tabs>
          <w:tab w:val="left" w:pos="5040"/>
        </w:tabs>
        <w:spacing w:line="340" w:lineRule="exact"/>
        <w:ind w:firstLine="0" w:firstLineChars="0"/>
        <w:rPr>
          <w:rFonts w:ascii="宋体" w:hAnsi="宋体"/>
          <w:color w:val="auto"/>
          <w:sz w:val="21"/>
          <w:szCs w:val="21"/>
          <w:highlight w:val="none"/>
        </w:rPr>
      </w:pPr>
    </w:p>
    <w:p w14:paraId="3C0401F1">
      <w:pPr>
        <w:tabs>
          <w:tab w:val="left" w:pos="5040"/>
        </w:tabs>
        <w:spacing w:line="340" w:lineRule="exact"/>
        <w:ind w:firstLine="0" w:firstLineChars="0"/>
        <w:rPr>
          <w:rFonts w:ascii="宋体" w:hAnsi="宋体"/>
          <w:color w:val="auto"/>
          <w:sz w:val="21"/>
          <w:szCs w:val="21"/>
          <w:highlight w:val="none"/>
        </w:rPr>
      </w:pPr>
    </w:p>
    <w:p w14:paraId="00CB4A0E">
      <w:pPr>
        <w:tabs>
          <w:tab w:val="left" w:pos="5040"/>
        </w:tabs>
        <w:spacing w:line="340" w:lineRule="exact"/>
        <w:ind w:firstLine="0" w:firstLineChars="0"/>
        <w:rPr>
          <w:rFonts w:ascii="宋体" w:hAnsi="宋体"/>
          <w:color w:val="auto"/>
          <w:sz w:val="21"/>
          <w:szCs w:val="21"/>
          <w:highlight w:val="none"/>
        </w:rPr>
      </w:pPr>
    </w:p>
    <w:p w14:paraId="11E4A3DA">
      <w:pPr>
        <w:tabs>
          <w:tab w:val="left" w:pos="5040"/>
        </w:tabs>
        <w:spacing w:line="340" w:lineRule="exact"/>
        <w:ind w:firstLine="0" w:firstLineChars="0"/>
        <w:rPr>
          <w:rFonts w:ascii="宋体" w:hAnsi="宋体"/>
          <w:color w:val="auto"/>
          <w:sz w:val="21"/>
          <w:szCs w:val="21"/>
          <w:highlight w:val="none"/>
        </w:rPr>
      </w:pPr>
    </w:p>
    <w:p w14:paraId="0B6E8E7C">
      <w:pPr>
        <w:tabs>
          <w:tab w:val="left" w:pos="5040"/>
        </w:tabs>
        <w:spacing w:line="340" w:lineRule="exact"/>
        <w:ind w:firstLine="0" w:firstLineChars="0"/>
        <w:rPr>
          <w:rFonts w:ascii="宋体" w:hAnsi="宋体"/>
          <w:color w:val="auto"/>
          <w:sz w:val="21"/>
          <w:szCs w:val="21"/>
          <w:highlight w:val="none"/>
        </w:rPr>
      </w:pPr>
    </w:p>
    <w:p w14:paraId="2B5CD113">
      <w:pPr>
        <w:tabs>
          <w:tab w:val="left" w:pos="5040"/>
        </w:tabs>
        <w:spacing w:line="340" w:lineRule="exact"/>
        <w:ind w:firstLine="0" w:firstLineChars="0"/>
        <w:rPr>
          <w:rFonts w:ascii="宋体" w:hAnsi="宋体"/>
          <w:color w:val="auto"/>
          <w:sz w:val="21"/>
          <w:szCs w:val="21"/>
          <w:highlight w:val="none"/>
        </w:rPr>
      </w:pPr>
    </w:p>
    <w:p w14:paraId="22CD9391">
      <w:pPr>
        <w:tabs>
          <w:tab w:val="left" w:pos="5040"/>
        </w:tabs>
        <w:spacing w:line="340" w:lineRule="exact"/>
        <w:ind w:firstLine="0" w:firstLineChars="0"/>
        <w:rPr>
          <w:rFonts w:ascii="宋体" w:hAnsi="宋体"/>
          <w:color w:val="auto"/>
          <w:sz w:val="21"/>
          <w:szCs w:val="21"/>
          <w:highlight w:val="none"/>
        </w:rPr>
      </w:pPr>
    </w:p>
    <w:p w14:paraId="43A2F2B6">
      <w:pPr>
        <w:tabs>
          <w:tab w:val="left" w:pos="5040"/>
        </w:tabs>
        <w:spacing w:line="340" w:lineRule="exact"/>
        <w:ind w:firstLine="0" w:firstLineChars="0"/>
        <w:rPr>
          <w:rFonts w:ascii="宋体" w:hAnsi="宋体"/>
          <w:color w:val="auto"/>
          <w:sz w:val="21"/>
          <w:szCs w:val="21"/>
          <w:highlight w:val="none"/>
        </w:rPr>
      </w:pPr>
    </w:p>
    <w:p w14:paraId="5D4607D2">
      <w:pPr>
        <w:tabs>
          <w:tab w:val="left" w:pos="5040"/>
        </w:tabs>
        <w:spacing w:line="340" w:lineRule="exact"/>
        <w:ind w:firstLine="0" w:firstLineChars="0"/>
        <w:rPr>
          <w:rFonts w:ascii="宋体" w:hAnsi="宋体"/>
          <w:color w:val="auto"/>
          <w:sz w:val="21"/>
          <w:szCs w:val="21"/>
          <w:highlight w:val="none"/>
        </w:rPr>
      </w:pPr>
    </w:p>
    <w:p w14:paraId="62A6E166">
      <w:pPr>
        <w:tabs>
          <w:tab w:val="left" w:pos="5040"/>
        </w:tabs>
        <w:spacing w:line="340" w:lineRule="exact"/>
        <w:ind w:firstLine="0" w:firstLineChars="0"/>
        <w:rPr>
          <w:rFonts w:ascii="宋体" w:hAnsi="宋体"/>
          <w:color w:val="auto"/>
          <w:sz w:val="21"/>
          <w:szCs w:val="21"/>
          <w:highlight w:val="none"/>
        </w:rPr>
      </w:pPr>
    </w:p>
    <w:p w14:paraId="3721E54A">
      <w:pPr>
        <w:tabs>
          <w:tab w:val="left" w:pos="5040"/>
        </w:tabs>
        <w:spacing w:line="340" w:lineRule="exact"/>
        <w:ind w:firstLine="0" w:firstLineChars="0"/>
        <w:rPr>
          <w:rFonts w:ascii="宋体" w:hAnsi="宋体"/>
          <w:color w:val="auto"/>
          <w:sz w:val="21"/>
          <w:szCs w:val="21"/>
          <w:highlight w:val="none"/>
        </w:rPr>
      </w:pPr>
    </w:p>
    <w:p w14:paraId="2A661C8E">
      <w:pPr>
        <w:tabs>
          <w:tab w:val="left" w:pos="5040"/>
        </w:tabs>
        <w:spacing w:line="340" w:lineRule="exact"/>
        <w:ind w:firstLine="0" w:firstLineChars="0"/>
        <w:rPr>
          <w:rFonts w:ascii="宋体" w:hAnsi="宋体"/>
          <w:color w:val="auto"/>
          <w:sz w:val="21"/>
          <w:szCs w:val="21"/>
          <w:highlight w:val="none"/>
        </w:rPr>
      </w:pPr>
    </w:p>
    <w:p w14:paraId="2A6230CE">
      <w:pPr>
        <w:tabs>
          <w:tab w:val="left" w:pos="5040"/>
        </w:tabs>
        <w:spacing w:line="340" w:lineRule="exact"/>
        <w:ind w:firstLine="0" w:firstLineChars="0"/>
        <w:rPr>
          <w:rFonts w:ascii="宋体" w:hAnsi="宋体"/>
          <w:color w:val="auto"/>
          <w:sz w:val="21"/>
          <w:szCs w:val="21"/>
          <w:highlight w:val="none"/>
        </w:rPr>
      </w:pPr>
    </w:p>
    <w:p w14:paraId="13F711AD">
      <w:pPr>
        <w:tabs>
          <w:tab w:val="left" w:pos="5040"/>
        </w:tabs>
        <w:spacing w:line="340" w:lineRule="exact"/>
        <w:ind w:firstLine="0" w:firstLineChars="0"/>
        <w:rPr>
          <w:rFonts w:ascii="宋体" w:hAnsi="宋体"/>
          <w:color w:val="auto"/>
          <w:sz w:val="21"/>
          <w:szCs w:val="21"/>
          <w:highlight w:val="none"/>
        </w:rPr>
      </w:pPr>
    </w:p>
    <w:p w14:paraId="086DCE3A">
      <w:pPr>
        <w:tabs>
          <w:tab w:val="left" w:pos="5040"/>
        </w:tabs>
        <w:spacing w:line="340" w:lineRule="exact"/>
        <w:ind w:firstLine="0" w:firstLineChars="0"/>
        <w:rPr>
          <w:rFonts w:ascii="宋体" w:hAnsi="宋体"/>
          <w:color w:val="auto"/>
          <w:sz w:val="21"/>
          <w:szCs w:val="21"/>
          <w:highlight w:val="none"/>
        </w:rPr>
      </w:pPr>
    </w:p>
    <w:p w14:paraId="778D3945">
      <w:pPr>
        <w:tabs>
          <w:tab w:val="left" w:pos="5040"/>
        </w:tabs>
        <w:spacing w:line="340" w:lineRule="exact"/>
        <w:ind w:firstLine="0" w:firstLineChars="0"/>
        <w:rPr>
          <w:rFonts w:ascii="宋体" w:hAnsi="宋体"/>
          <w:color w:val="auto"/>
          <w:sz w:val="21"/>
          <w:szCs w:val="21"/>
          <w:highlight w:val="none"/>
        </w:rPr>
      </w:pPr>
    </w:p>
    <w:p w14:paraId="7FDB00BA">
      <w:pPr>
        <w:tabs>
          <w:tab w:val="left" w:pos="5040"/>
        </w:tabs>
        <w:spacing w:line="340" w:lineRule="exact"/>
        <w:ind w:firstLine="0" w:firstLineChars="0"/>
        <w:rPr>
          <w:rFonts w:ascii="宋体" w:hAnsi="宋体"/>
          <w:color w:val="auto"/>
          <w:sz w:val="21"/>
          <w:szCs w:val="21"/>
          <w:highlight w:val="none"/>
        </w:rPr>
      </w:pPr>
    </w:p>
    <w:p w14:paraId="0FB7D8BC">
      <w:pPr>
        <w:tabs>
          <w:tab w:val="left" w:pos="5040"/>
        </w:tabs>
        <w:spacing w:line="340" w:lineRule="exact"/>
        <w:ind w:firstLine="0" w:firstLineChars="0"/>
        <w:rPr>
          <w:rFonts w:ascii="宋体" w:hAnsi="宋体"/>
          <w:color w:val="auto"/>
          <w:sz w:val="21"/>
          <w:szCs w:val="21"/>
          <w:highlight w:val="none"/>
        </w:rPr>
      </w:pPr>
    </w:p>
    <w:p w14:paraId="1B024CD6">
      <w:pPr>
        <w:tabs>
          <w:tab w:val="left" w:pos="5040"/>
        </w:tabs>
        <w:spacing w:line="340" w:lineRule="exact"/>
        <w:ind w:firstLine="0" w:firstLineChars="0"/>
        <w:rPr>
          <w:rFonts w:ascii="宋体" w:hAnsi="宋体"/>
          <w:color w:val="auto"/>
          <w:sz w:val="21"/>
          <w:szCs w:val="21"/>
          <w:highlight w:val="none"/>
        </w:rPr>
      </w:pPr>
    </w:p>
    <w:p w14:paraId="424A6B7C">
      <w:pPr>
        <w:tabs>
          <w:tab w:val="left" w:pos="5040"/>
        </w:tabs>
        <w:spacing w:line="340" w:lineRule="exact"/>
        <w:ind w:firstLine="0" w:firstLineChars="0"/>
        <w:rPr>
          <w:rFonts w:ascii="宋体" w:hAnsi="宋体"/>
          <w:color w:val="auto"/>
          <w:sz w:val="21"/>
          <w:szCs w:val="21"/>
          <w:highlight w:val="none"/>
        </w:rPr>
      </w:pPr>
    </w:p>
    <w:p w14:paraId="3C0A414C">
      <w:pPr>
        <w:tabs>
          <w:tab w:val="left" w:pos="5040"/>
        </w:tabs>
        <w:spacing w:line="340" w:lineRule="exact"/>
        <w:ind w:firstLine="0" w:firstLineChars="0"/>
        <w:rPr>
          <w:rFonts w:ascii="宋体" w:hAnsi="宋体"/>
          <w:color w:val="auto"/>
          <w:sz w:val="21"/>
          <w:szCs w:val="21"/>
          <w:highlight w:val="none"/>
        </w:rPr>
      </w:pPr>
    </w:p>
    <w:p w14:paraId="7077E4DC">
      <w:pPr>
        <w:tabs>
          <w:tab w:val="left" w:pos="5040"/>
        </w:tabs>
        <w:spacing w:line="340" w:lineRule="exact"/>
        <w:ind w:firstLine="0" w:firstLineChars="0"/>
        <w:rPr>
          <w:rFonts w:ascii="宋体" w:hAnsi="宋体"/>
          <w:color w:val="auto"/>
          <w:sz w:val="21"/>
          <w:szCs w:val="21"/>
          <w:highlight w:val="none"/>
        </w:rPr>
      </w:pPr>
    </w:p>
    <w:p w14:paraId="4293CD79">
      <w:pPr>
        <w:tabs>
          <w:tab w:val="left" w:pos="5040"/>
        </w:tabs>
        <w:spacing w:line="340" w:lineRule="exact"/>
        <w:ind w:firstLine="0" w:firstLineChars="0"/>
        <w:rPr>
          <w:rFonts w:ascii="宋体" w:hAnsi="宋体"/>
          <w:color w:val="auto"/>
          <w:sz w:val="21"/>
          <w:szCs w:val="21"/>
          <w:highlight w:val="none"/>
        </w:rPr>
      </w:pPr>
    </w:p>
    <w:p w14:paraId="3B3E770B">
      <w:pPr>
        <w:tabs>
          <w:tab w:val="left" w:pos="5040"/>
        </w:tabs>
        <w:spacing w:line="340" w:lineRule="exact"/>
        <w:ind w:firstLine="0" w:firstLineChars="0"/>
        <w:rPr>
          <w:rFonts w:ascii="宋体" w:hAnsi="宋体"/>
          <w:color w:val="auto"/>
          <w:sz w:val="21"/>
          <w:szCs w:val="21"/>
          <w:highlight w:val="none"/>
        </w:rPr>
      </w:pPr>
    </w:p>
    <w:p w14:paraId="6669C3E6">
      <w:pPr>
        <w:tabs>
          <w:tab w:val="left" w:pos="5040"/>
        </w:tabs>
        <w:spacing w:line="340" w:lineRule="exact"/>
        <w:ind w:firstLine="0" w:firstLineChars="0"/>
        <w:rPr>
          <w:rFonts w:ascii="宋体" w:hAnsi="宋体"/>
          <w:color w:val="auto"/>
          <w:sz w:val="21"/>
          <w:szCs w:val="21"/>
          <w:highlight w:val="none"/>
        </w:rPr>
      </w:pPr>
    </w:p>
    <w:p w14:paraId="028D45C5">
      <w:pPr>
        <w:tabs>
          <w:tab w:val="left" w:pos="5040"/>
        </w:tabs>
        <w:spacing w:line="340" w:lineRule="exact"/>
        <w:ind w:firstLine="0" w:firstLineChars="0"/>
        <w:rPr>
          <w:rFonts w:ascii="宋体" w:hAnsi="宋体"/>
          <w:color w:val="auto"/>
          <w:sz w:val="21"/>
          <w:szCs w:val="21"/>
          <w:highlight w:val="none"/>
        </w:rPr>
      </w:pPr>
    </w:p>
    <w:p w14:paraId="00BA49AC">
      <w:pPr>
        <w:tabs>
          <w:tab w:val="left" w:pos="5040"/>
        </w:tabs>
        <w:spacing w:line="340" w:lineRule="exact"/>
        <w:ind w:firstLine="0" w:firstLineChars="0"/>
        <w:rPr>
          <w:rFonts w:ascii="宋体" w:hAnsi="宋体"/>
          <w:color w:val="auto"/>
          <w:sz w:val="21"/>
          <w:szCs w:val="21"/>
          <w:highlight w:val="none"/>
        </w:rPr>
      </w:pPr>
    </w:p>
    <w:p w14:paraId="05A8FA52">
      <w:pPr>
        <w:tabs>
          <w:tab w:val="left" w:pos="5040"/>
        </w:tabs>
        <w:spacing w:line="340" w:lineRule="exact"/>
        <w:ind w:firstLine="0" w:firstLineChars="0"/>
        <w:rPr>
          <w:rFonts w:ascii="宋体" w:hAnsi="宋体"/>
          <w:color w:val="auto"/>
          <w:sz w:val="21"/>
          <w:szCs w:val="21"/>
          <w:highlight w:val="none"/>
        </w:rPr>
      </w:pPr>
    </w:p>
    <w:p w14:paraId="3E97D40E">
      <w:pPr>
        <w:tabs>
          <w:tab w:val="left" w:pos="5040"/>
        </w:tabs>
        <w:spacing w:line="340" w:lineRule="exact"/>
        <w:ind w:firstLine="0" w:firstLineChars="0"/>
        <w:rPr>
          <w:rFonts w:ascii="宋体" w:hAnsi="宋体"/>
          <w:color w:val="auto"/>
          <w:sz w:val="21"/>
          <w:szCs w:val="21"/>
          <w:highlight w:val="none"/>
        </w:rPr>
      </w:pPr>
    </w:p>
    <w:p w14:paraId="61AEF39C">
      <w:pPr>
        <w:tabs>
          <w:tab w:val="left" w:pos="5040"/>
        </w:tabs>
        <w:spacing w:line="340" w:lineRule="exact"/>
        <w:ind w:firstLine="0" w:firstLineChars="0"/>
        <w:rPr>
          <w:rFonts w:ascii="宋体" w:hAnsi="宋体"/>
          <w:color w:val="auto"/>
          <w:sz w:val="21"/>
          <w:szCs w:val="21"/>
          <w:highlight w:val="none"/>
        </w:rPr>
      </w:pPr>
    </w:p>
    <w:p w14:paraId="0FC48184">
      <w:pPr>
        <w:tabs>
          <w:tab w:val="left" w:pos="5040"/>
        </w:tabs>
        <w:spacing w:line="340" w:lineRule="exact"/>
        <w:ind w:firstLine="0" w:firstLineChars="0"/>
        <w:rPr>
          <w:rFonts w:ascii="宋体" w:hAnsi="宋体"/>
          <w:color w:val="auto"/>
          <w:sz w:val="21"/>
          <w:szCs w:val="21"/>
          <w:highlight w:val="none"/>
        </w:rPr>
      </w:pPr>
    </w:p>
    <w:p w14:paraId="00A95044">
      <w:pPr>
        <w:tabs>
          <w:tab w:val="left" w:pos="5040"/>
        </w:tabs>
        <w:spacing w:line="340" w:lineRule="exact"/>
        <w:ind w:firstLine="2570" w:firstLineChars="8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第六章 响应文件（格式）</w:t>
      </w:r>
      <w:bookmarkEnd w:id="41"/>
    </w:p>
    <w:p w14:paraId="7A78F3BA">
      <w:pPr>
        <w:spacing w:line="240" w:lineRule="auto"/>
        <w:ind w:firstLine="0" w:firstLineChars="0"/>
        <w:rPr>
          <w:rFonts w:ascii="宋体" w:hAnsi="宋体" w:cs="宋体"/>
          <w:b/>
          <w:color w:val="auto"/>
          <w:kern w:val="0"/>
          <w:sz w:val="32"/>
          <w:szCs w:val="32"/>
          <w:highlight w:val="none"/>
        </w:rPr>
      </w:pPr>
    </w:p>
    <w:p w14:paraId="0D2B1B2A">
      <w:pPr>
        <w:spacing w:line="400" w:lineRule="exact"/>
        <w:ind w:firstLine="0" w:firstLineChars="0"/>
        <w:outlineLvl w:val="2"/>
        <w:rPr>
          <w:rFonts w:ascii="宋体" w:hAnsi="宋体" w:cs="宋体"/>
          <w:b/>
          <w:color w:val="auto"/>
          <w:kern w:val="0"/>
          <w:sz w:val="32"/>
          <w:szCs w:val="32"/>
          <w:highlight w:val="none"/>
        </w:rPr>
      </w:pPr>
      <w:bookmarkStart w:id="42" w:name="_Toc82016594"/>
      <w:r>
        <w:rPr>
          <w:rFonts w:hint="eastAsia" w:ascii="宋体" w:hAnsi="宋体" w:cs="宋体"/>
          <w:b/>
          <w:color w:val="auto"/>
          <w:kern w:val="0"/>
          <w:sz w:val="32"/>
          <w:szCs w:val="32"/>
          <w:highlight w:val="none"/>
        </w:rPr>
        <w:t>一、响应文件封面标记</w:t>
      </w:r>
      <w:bookmarkEnd w:id="42"/>
    </w:p>
    <w:p w14:paraId="49BDCB30">
      <w:pPr>
        <w:snapToGrid w:val="0"/>
        <w:spacing w:before="120" w:beforeLines="50" w:after="50" w:line="240" w:lineRule="auto"/>
        <w:ind w:firstLine="0" w:firstLineChars="0"/>
        <w:jc w:val="center"/>
        <w:rPr>
          <w:rFonts w:ascii="宋体" w:hAnsi="宋体" w:cs="宋体"/>
          <w:bCs/>
          <w:color w:val="auto"/>
          <w:kern w:val="0"/>
          <w:sz w:val="32"/>
          <w:szCs w:val="32"/>
          <w:highlight w:val="none"/>
        </w:rPr>
      </w:pPr>
    </w:p>
    <w:p w14:paraId="1128BB5E">
      <w:pPr>
        <w:snapToGrid w:val="0"/>
        <w:spacing w:before="120" w:beforeLines="50" w:after="50" w:line="240" w:lineRule="auto"/>
        <w:ind w:firstLine="0" w:firstLineChars="0"/>
        <w:jc w:val="center"/>
        <w:rPr>
          <w:rFonts w:ascii="宋体" w:hAnsi="宋体" w:cs="宋体"/>
          <w:bCs/>
          <w:color w:val="auto"/>
          <w:kern w:val="0"/>
          <w:sz w:val="32"/>
          <w:szCs w:val="32"/>
          <w:highlight w:val="none"/>
        </w:rPr>
      </w:pPr>
      <w:r>
        <w:rPr>
          <w:rFonts w:hint="eastAsia" w:ascii="宋体" w:hAnsi="宋体" w:cs="宋体"/>
          <w:bCs/>
          <w:color w:val="auto"/>
          <w:kern w:val="0"/>
          <w:sz w:val="32"/>
          <w:szCs w:val="32"/>
          <w:highlight w:val="none"/>
        </w:rPr>
        <w:t>响 应 文 件</w:t>
      </w:r>
    </w:p>
    <w:p w14:paraId="62A8D133">
      <w:pPr>
        <w:snapToGrid w:val="0"/>
        <w:spacing w:before="120" w:beforeLines="50" w:after="50" w:line="240" w:lineRule="auto"/>
        <w:ind w:firstLine="0" w:firstLineChars="0"/>
        <w:rPr>
          <w:rFonts w:ascii="宋体" w:hAnsi="宋体" w:cs="宋体"/>
          <w:bCs/>
          <w:color w:val="auto"/>
          <w:kern w:val="0"/>
          <w:szCs w:val="20"/>
          <w:highlight w:val="none"/>
        </w:rPr>
      </w:pPr>
    </w:p>
    <w:p w14:paraId="016E7962">
      <w:pPr>
        <w:snapToGrid w:val="0"/>
        <w:spacing w:before="120" w:beforeLines="50" w:after="50" w:line="240" w:lineRule="auto"/>
        <w:ind w:firstLine="360" w:firstLineChars="150"/>
        <w:rPr>
          <w:rFonts w:ascii="宋体" w:hAnsi="宋体" w:cs="宋体"/>
          <w:bCs/>
          <w:color w:val="auto"/>
          <w:kern w:val="0"/>
          <w:szCs w:val="24"/>
          <w:highlight w:val="none"/>
        </w:rPr>
      </w:pPr>
      <w:r>
        <w:rPr>
          <w:rFonts w:hint="eastAsia" w:ascii="宋体" w:hAnsi="宋体" w:cs="宋体"/>
          <w:bCs/>
          <w:color w:val="auto"/>
          <w:kern w:val="0"/>
          <w:szCs w:val="24"/>
          <w:highlight w:val="none"/>
        </w:rPr>
        <w:t>项目名称：</w:t>
      </w:r>
    </w:p>
    <w:p w14:paraId="06334EA4">
      <w:pPr>
        <w:snapToGrid w:val="0"/>
        <w:spacing w:before="120" w:beforeLines="50" w:after="50" w:line="240" w:lineRule="auto"/>
        <w:ind w:firstLine="360" w:firstLineChars="150"/>
        <w:rPr>
          <w:rFonts w:ascii="宋体" w:hAnsi="宋体" w:cs="宋体"/>
          <w:bCs/>
          <w:color w:val="auto"/>
          <w:kern w:val="0"/>
          <w:szCs w:val="20"/>
          <w:highlight w:val="none"/>
        </w:rPr>
      </w:pPr>
    </w:p>
    <w:p w14:paraId="795C993B">
      <w:pPr>
        <w:snapToGrid w:val="0"/>
        <w:spacing w:before="120" w:beforeLines="50" w:after="50" w:line="240" w:lineRule="auto"/>
        <w:ind w:firstLine="360" w:firstLineChars="150"/>
        <w:rPr>
          <w:rFonts w:ascii="宋体" w:hAnsi="宋体" w:cs="宋体"/>
          <w:bCs/>
          <w:color w:val="auto"/>
          <w:kern w:val="0"/>
          <w:szCs w:val="20"/>
          <w:highlight w:val="none"/>
        </w:rPr>
      </w:pPr>
    </w:p>
    <w:p w14:paraId="706F65D9">
      <w:pPr>
        <w:snapToGrid w:val="0"/>
        <w:spacing w:before="120" w:beforeLines="50" w:after="50" w:line="240" w:lineRule="auto"/>
        <w:ind w:firstLine="360" w:firstLineChars="150"/>
        <w:rPr>
          <w:rFonts w:ascii="宋体" w:hAnsi="宋体" w:cs="宋体"/>
          <w:bCs/>
          <w:color w:val="auto"/>
          <w:kern w:val="0"/>
          <w:szCs w:val="24"/>
          <w:highlight w:val="none"/>
        </w:rPr>
      </w:pPr>
      <w:r>
        <w:rPr>
          <w:rFonts w:hint="eastAsia" w:ascii="宋体" w:hAnsi="宋体" w:cs="宋体"/>
          <w:bCs/>
          <w:color w:val="auto"/>
          <w:kern w:val="0"/>
          <w:szCs w:val="24"/>
          <w:highlight w:val="none"/>
        </w:rPr>
        <w:t>项目编号：</w:t>
      </w:r>
    </w:p>
    <w:p w14:paraId="7CA328B2">
      <w:pPr>
        <w:snapToGrid w:val="0"/>
        <w:spacing w:before="120" w:beforeLines="50" w:after="50" w:line="240" w:lineRule="auto"/>
        <w:ind w:firstLine="360" w:firstLineChars="150"/>
        <w:rPr>
          <w:rFonts w:ascii="宋体" w:hAnsi="宋体" w:cs="宋体"/>
          <w:bCs/>
          <w:color w:val="auto"/>
          <w:kern w:val="0"/>
          <w:szCs w:val="20"/>
          <w:highlight w:val="none"/>
        </w:rPr>
      </w:pPr>
    </w:p>
    <w:p w14:paraId="1A5D200A">
      <w:pPr>
        <w:spacing w:line="400" w:lineRule="exact"/>
        <w:ind w:firstLine="1050" w:firstLineChars="500"/>
        <w:rPr>
          <w:rFonts w:ascii="宋体" w:hAnsi="宋体" w:cs="宋体"/>
          <w:color w:val="auto"/>
          <w:kern w:val="0"/>
          <w:sz w:val="21"/>
          <w:szCs w:val="21"/>
          <w:highlight w:val="none"/>
        </w:rPr>
      </w:pPr>
    </w:p>
    <w:p w14:paraId="01A2DE5A">
      <w:pPr>
        <w:snapToGrid w:val="0"/>
        <w:spacing w:before="120" w:beforeLines="50" w:after="50" w:line="240" w:lineRule="auto"/>
        <w:ind w:firstLine="360" w:firstLineChars="150"/>
        <w:rPr>
          <w:rFonts w:ascii="宋体" w:hAnsi="宋体" w:cs="宋体"/>
          <w:bCs/>
          <w:color w:val="auto"/>
          <w:kern w:val="0"/>
          <w:szCs w:val="24"/>
          <w:highlight w:val="none"/>
        </w:rPr>
      </w:pPr>
      <w:r>
        <w:rPr>
          <w:rFonts w:hint="eastAsia" w:ascii="宋体" w:hAnsi="宋体" w:cs="宋体"/>
          <w:bCs/>
          <w:color w:val="auto"/>
          <w:kern w:val="0"/>
          <w:szCs w:val="24"/>
          <w:highlight w:val="none"/>
        </w:rPr>
        <w:t>采购代理机构：云之龙咨询集团有限公司</w:t>
      </w:r>
    </w:p>
    <w:p w14:paraId="6038D771">
      <w:pPr>
        <w:snapToGrid w:val="0"/>
        <w:spacing w:before="120" w:beforeLines="50" w:after="50" w:line="240" w:lineRule="auto"/>
        <w:ind w:firstLine="360" w:firstLineChars="150"/>
        <w:rPr>
          <w:rFonts w:ascii="宋体" w:hAnsi="宋体" w:cs="宋体"/>
          <w:bCs/>
          <w:color w:val="auto"/>
          <w:kern w:val="0"/>
          <w:szCs w:val="24"/>
          <w:highlight w:val="none"/>
        </w:rPr>
      </w:pPr>
    </w:p>
    <w:p w14:paraId="7FAE0575">
      <w:pPr>
        <w:snapToGrid w:val="0"/>
        <w:spacing w:before="120" w:beforeLines="50" w:after="50" w:line="240" w:lineRule="auto"/>
        <w:ind w:firstLine="360" w:firstLineChars="150"/>
        <w:rPr>
          <w:rFonts w:ascii="宋体" w:hAnsi="宋体" w:cs="宋体"/>
          <w:bCs/>
          <w:color w:val="auto"/>
          <w:kern w:val="0"/>
          <w:szCs w:val="24"/>
          <w:highlight w:val="none"/>
        </w:rPr>
      </w:pPr>
    </w:p>
    <w:p w14:paraId="52144506">
      <w:pPr>
        <w:snapToGrid w:val="0"/>
        <w:spacing w:before="120" w:beforeLines="50" w:after="50" w:line="240" w:lineRule="auto"/>
        <w:ind w:firstLine="360" w:firstLineChars="150"/>
        <w:rPr>
          <w:rFonts w:ascii="宋体" w:hAnsi="宋体" w:cs="宋体"/>
          <w:bCs/>
          <w:color w:val="auto"/>
          <w:kern w:val="0"/>
          <w:szCs w:val="24"/>
          <w:highlight w:val="none"/>
        </w:rPr>
      </w:pPr>
      <w:r>
        <w:rPr>
          <w:rFonts w:hint="eastAsia" w:ascii="宋体" w:hAnsi="宋体" w:cs="宋体"/>
          <w:bCs/>
          <w:color w:val="auto"/>
          <w:kern w:val="0"/>
          <w:szCs w:val="24"/>
          <w:highlight w:val="none"/>
        </w:rPr>
        <w:t>供应商名称：</w:t>
      </w:r>
    </w:p>
    <w:p w14:paraId="6EA8EA31">
      <w:pPr>
        <w:snapToGrid w:val="0"/>
        <w:spacing w:before="120" w:beforeLines="50" w:after="50" w:line="240" w:lineRule="auto"/>
        <w:ind w:firstLine="360" w:firstLineChars="150"/>
        <w:rPr>
          <w:rFonts w:ascii="宋体" w:hAnsi="宋体"/>
          <w:bCs/>
          <w:color w:val="auto"/>
          <w:kern w:val="0"/>
          <w:szCs w:val="24"/>
          <w:highlight w:val="none"/>
        </w:rPr>
      </w:pPr>
    </w:p>
    <w:p w14:paraId="612D5308">
      <w:pPr>
        <w:snapToGrid w:val="0"/>
        <w:spacing w:before="120" w:beforeLines="50" w:after="50" w:line="240" w:lineRule="auto"/>
        <w:ind w:firstLine="360" w:firstLineChars="150"/>
        <w:rPr>
          <w:rFonts w:ascii="宋体" w:hAnsi="宋体"/>
          <w:bCs/>
          <w:color w:val="auto"/>
          <w:kern w:val="0"/>
          <w:szCs w:val="24"/>
          <w:highlight w:val="none"/>
        </w:rPr>
      </w:pPr>
    </w:p>
    <w:p w14:paraId="22D75637">
      <w:pPr>
        <w:spacing w:line="440" w:lineRule="atLeast"/>
        <w:ind w:firstLine="0" w:firstLineChars="0"/>
        <w:rPr>
          <w:rFonts w:ascii="宋体" w:hAnsi="宋体"/>
          <w:b/>
          <w:color w:val="auto"/>
          <w:kern w:val="0"/>
          <w:sz w:val="32"/>
          <w:szCs w:val="32"/>
          <w:highlight w:val="none"/>
        </w:rPr>
      </w:pPr>
    </w:p>
    <w:p w14:paraId="3A133C92">
      <w:pPr>
        <w:spacing w:line="440" w:lineRule="atLeast"/>
        <w:ind w:firstLine="0" w:firstLineChars="0"/>
        <w:rPr>
          <w:rFonts w:ascii="宋体" w:hAnsi="宋体"/>
          <w:b/>
          <w:color w:val="auto"/>
          <w:kern w:val="0"/>
          <w:sz w:val="32"/>
          <w:szCs w:val="32"/>
          <w:highlight w:val="none"/>
        </w:rPr>
      </w:pPr>
    </w:p>
    <w:p w14:paraId="0F07768C">
      <w:pPr>
        <w:spacing w:line="440" w:lineRule="atLeast"/>
        <w:ind w:firstLine="0" w:firstLineChars="0"/>
        <w:rPr>
          <w:rFonts w:ascii="宋体" w:hAnsi="宋体"/>
          <w:b/>
          <w:color w:val="auto"/>
          <w:kern w:val="0"/>
          <w:sz w:val="32"/>
          <w:szCs w:val="32"/>
          <w:highlight w:val="none"/>
        </w:rPr>
      </w:pPr>
    </w:p>
    <w:p w14:paraId="2C5B939B">
      <w:pPr>
        <w:spacing w:line="440" w:lineRule="atLeast"/>
        <w:ind w:firstLine="0" w:firstLineChars="0"/>
        <w:rPr>
          <w:rFonts w:ascii="宋体" w:hAnsi="宋体"/>
          <w:b/>
          <w:color w:val="auto"/>
          <w:kern w:val="0"/>
          <w:sz w:val="32"/>
          <w:szCs w:val="32"/>
          <w:highlight w:val="none"/>
        </w:rPr>
      </w:pPr>
    </w:p>
    <w:p w14:paraId="503A645E">
      <w:pPr>
        <w:spacing w:line="440" w:lineRule="atLeast"/>
        <w:ind w:firstLine="0" w:firstLineChars="0"/>
        <w:rPr>
          <w:rFonts w:ascii="宋体" w:hAnsi="宋体"/>
          <w:b/>
          <w:color w:val="auto"/>
          <w:kern w:val="0"/>
          <w:sz w:val="32"/>
          <w:szCs w:val="32"/>
          <w:highlight w:val="none"/>
        </w:rPr>
      </w:pPr>
    </w:p>
    <w:p w14:paraId="6B2959CA">
      <w:pPr>
        <w:spacing w:line="440" w:lineRule="atLeast"/>
        <w:ind w:firstLine="0" w:firstLineChars="0"/>
        <w:rPr>
          <w:rFonts w:ascii="宋体" w:hAnsi="宋体"/>
          <w:b/>
          <w:color w:val="auto"/>
          <w:kern w:val="0"/>
          <w:sz w:val="32"/>
          <w:szCs w:val="32"/>
          <w:highlight w:val="none"/>
        </w:rPr>
      </w:pPr>
    </w:p>
    <w:p w14:paraId="2C668CF3">
      <w:pPr>
        <w:spacing w:line="440" w:lineRule="atLeast"/>
        <w:ind w:firstLine="0" w:firstLineChars="0"/>
        <w:rPr>
          <w:rFonts w:ascii="宋体" w:hAnsi="宋体"/>
          <w:b/>
          <w:color w:val="auto"/>
          <w:kern w:val="0"/>
          <w:sz w:val="32"/>
          <w:szCs w:val="32"/>
          <w:highlight w:val="none"/>
        </w:rPr>
      </w:pPr>
    </w:p>
    <w:p w14:paraId="753A15C6">
      <w:pPr>
        <w:spacing w:line="440" w:lineRule="atLeast"/>
        <w:ind w:firstLine="0" w:firstLineChars="0"/>
        <w:rPr>
          <w:rFonts w:ascii="宋体" w:hAnsi="宋体"/>
          <w:b/>
          <w:color w:val="auto"/>
          <w:kern w:val="0"/>
          <w:sz w:val="32"/>
          <w:szCs w:val="32"/>
          <w:highlight w:val="none"/>
        </w:rPr>
      </w:pPr>
    </w:p>
    <w:p w14:paraId="5062426B">
      <w:pPr>
        <w:spacing w:line="440" w:lineRule="atLeast"/>
        <w:ind w:firstLine="0" w:firstLineChars="0"/>
        <w:rPr>
          <w:rFonts w:ascii="宋体" w:hAnsi="宋体"/>
          <w:b/>
          <w:color w:val="auto"/>
          <w:kern w:val="0"/>
          <w:sz w:val="32"/>
          <w:szCs w:val="32"/>
          <w:highlight w:val="none"/>
        </w:rPr>
      </w:pPr>
    </w:p>
    <w:p w14:paraId="649AD584">
      <w:pPr>
        <w:spacing w:line="440" w:lineRule="atLeast"/>
        <w:ind w:firstLine="0" w:firstLineChars="0"/>
        <w:rPr>
          <w:rFonts w:ascii="宋体" w:hAnsi="宋体"/>
          <w:b/>
          <w:color w:val="auto"/>
          <w:kern w:val="0"/>
          <w:sz w:val="32"/>
          <w:szCs w:val="32"/>
          <w:highlight w:val="none"/>
        </w:rPr>
      </w:pPr>
    </w:p>
    <w:p w14:paraId="22FE1035">
      <w:pPr>
        <w:spacing w:line="440" w:lineRule="atLeast"/>
        <w:ind w:firstLine="0" w:firstLineChars="0"/>
        <w:rPr>
          <w:rFonts w:ascii="宋体" w:hAnsi="宋体"/>
          <w:b/>
          <w:color w:val="auto"/>
          <w:kern w:val="0"/>
          <w:sz w:val="32"/>
          <w:szCs w:val="32"/>
          <w:highlight w:val="none"/>
        </w:rPr>
      </w:pPr>
    </w:p>
    <w:p w14:paraId="07C08046">
      <w:pPr>
        <w:spacing w:line="440" w:lineRule="atLeast"/>
        <w:ind w:firstLine="0" w:firstLineChars="0"/>
        <w:rPr>
          <w:rFonts w:ascii="宋体" w:hAnsi="宋体"/>
          <w:b/>
          <w:color w:val="auto"/>
          <w:kern w:val="0"/>
          <w:sz w:val="32"/>
          <w:szCs w:val="32"/>
          <w:highlight w:val="none"/>
        </w:rPr>
      </w:pPr>
    </w:p>
    <w:p w14:paraId="7F05A7B0">
      <w:pPr>
        <w:spacing w:line="440" w:lineRule="atLeast"/>
        <w:ind w:firstLine="0" w:firstLineChars="0"/>
        <w:rPr>
          <w:rFonts w:ascii="宋体" w:hAnsi="宋体"/>
          <w:b/>
          <w:color w:val="auto"/>
          <w:kern w:val="0"/>
          <w:sz w:val="32"/>
          <w:szCs w:val="32"/>
          <w:highlight w:val="none"/>
        </w:rPr>
      </w:pPr>
    </w:p>
    <w:p w14:paraId="16FEF5DD">
      <w:pPr>
        <w:spacing w:line="440" w:lineRule="atLeast"/>
        <w:ind w:firstLine="0" w:firstLineChars="0"/>
        <w:rPr>
          <w:rFonts w:ascii="宋体" w:hAnsi="宋体"/>
          <w:b/>
          <w:color w:val="auto"/>
          <w:kern w:val="0"/>
          <w:sz w:val="32"/>
          <w:szCs w:val="32"/>
          <w:highlight w:val="none"/>
        </w:rPr>
      </w:pPr>
    </w:p>
    <w:p w14:paraId="4E2ADA8E">
      <w:pPr>
        <w:spacing w:line="400" w:lineRule="exact"/>
        <w:ind w:firstLine="0" w:firstLineChars="0"/>
        <w:outlineLvl w:val="2"/>
        <w:rPr>
          <w:rFonts w:ascii="宋体" w:hAnsi="宋体" w:cs="宋体"/>
          <w:b/>
          <w:color w:val="auto"/>
          <w:kern w:val="0"/>
          <w:sz w:val="32"/>
          <w:szCs w:val="32"/>
          <w:highlight w:val="none"/>
        </w:rPr>
      </w:pPr>
      <w:bookmarkStart w:id="43" w:name="_Toc82016595"/>
      <w:r>
        <w:rPr>
          <w:rFonts w:hint="eastAsia" w:ascii="宋体" w:hAnsi="宋体" w:cs="宋体"/>
          <w:b/>
          <w:color w:val="auto"/>
          <w:kern w:val="0"/>
          <w:sz w:val="32"/>
          <w:szCs w:val="32"/>
          <w:highlight w:val="none"/>
        </w:rPr>
        <w:t>二、响应文件组成</w:t>
      </w:r>
      <w:bookmarkEnd w:id="43"/>
    </w:p>
    <w:p w14:paraId="5D0F470F">
      <w:pPr>
        <w:spacing w:line="400" w:lineRule="exact"/>
        <w:ind w:firstLine="0" w:firstLineChars="0"/>
        <w:rPr>
          <w:rFonts w:ascii="宋体" w:hAnsi="宋体" w:cs="宋体"/>
          <w:b/>
          <w:bCs/>
          <w:color w:val="auto"/>
          <w:kern w:val="0"/>
          <w:szCs w:val="24"/>
          <w:highlight w:val="none"/>
        </w:rPr>
      </w:pPr>
    </w:p>
    <w:p w14:paraId="2E26039C">
      <w:pPr>
        <w:spacing w:line="400" w:lineRule="exact"/>
        <w:ind w:firstLine="0" w:firstLineChars="0"/>
        <w:rPr>
          <w:rFonts w:ascii="宋体" w:hAnsi="宋体" w:cs="宋体"/>
          <w:b/>
          <w:bCs/>
          <w:color w:val="auto"/>
          <w:kern w:val="0"/>
          <w:szCs w:val="24"/>
          <w:highlight w:val="none"/>
        </w:rPr>
      </w:pPr>
    </w:p>
    <w:p w14:paraId="03654680">
      <w:pPr>
        <w:spacing w:line="400" w:lineRule="exact"/>
        <w:ind w:firstLine="0" w:firstLineChars="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（一）</w:t>
      </w:r>
      <w:r>
        <w:rPr>
          <w:rFonts w:hint="eastAsia" w:ascii="宋体" w:hAnsi="宋体" w:cs="宋体"/>
          <w:b/>
          <w:color w:val="auto"/>
          <w:kern w:val="0"/>
          <w:sz w:val="32"/>
          <w:szCs w:val="32"/>
          <w:highlight w:val="none"/>
        </w:rPr>
        <w:t>资格性响应证明材料</w:t>
      </w:r>
    </w:p>
    <w:p w14:paraId="5F4E5345">
      <w:pPr>
        <w:spacing w:line="400" w:lineRule="exact"/>
        <w:ind w:firstLine="0" w:firstLineChars="0"/>
        <w:rPr>
          <w:rFonts w:hint="eastAsia" w:ascii="宋体" w:hAnsi="宋体" w:cs="宋体"/>
          <w:b/>
          <w:color w:val="auto"/>
          <w:kern w:val="0"/>
          <w:sz w:val="32"/>
          <w:szCs w:val="32"/>
          <w:highlight w:val="none"/>
        </w:rPr>
      </w:pPr>
    </w:p>
    <w:p w14:paraId="5ADD75CD">
      <w:pPr>
        <w:spacing w:line="400" w:lineRule="exact"/>
        <w:ind w:firstLine="0" w:firstLineChars="0"/>
        <w:rPr>
          <w:rFonts w:hint="eastAsia" w:ascii="宋体" w:hAnsi="宋体" w:cs="宋体"/>
          <w:b/>
          <w:color w:val="auto"/>
          <w:kern w:val="0"/>
          <w:sz w:val="32"/>
          <w:szCs w:val="32"/>
          <w:highlight w:val="none"/>
        </w:rPr>
      </w:pPr>
    </w:p>
    <w:p w14:paraId="7CFD1D59">
      <w:pPr>
        <w:spacing w:line="400" w:lineRule="exact"/>
        <w:ind w:firstLine="0" w:firstLineChars="0"/>
        <w:rPr>
          <w:rFonts w:hint="eastAsia" w:ascii="宋体" w:hAnsi="宋体" w:cs="宋体"/>
          <w:b/>
          <w:color w:val="auto"/>
          <w:kern w:val="0"/>
          <w:sz w:val="32"/>
          <w:szCs w:val="32"/>
          <w:highlight w:val="none"/>
        </w:rPr>
      </w:pPr>
    </w:p>
    <w:p w14:paraId="155BE468">
      <w:pPr>
        <w:spacing w:line="400" w:lineRule="exact"/>
        <w:ind w:firstLine="0" w:firstLineChars="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（二）</w:t>
      </w:r>
      <w:r>
        <w:rPr>
          <w:rFonts w:hint="eastAsia" w:ascii="宋体" w:hAnsi="宋体" w:cs="宋体"/>
          <w:b/>
          <w:color w:val="auto"/>
          <w:kern w:val="0"/>
          <w:sz w:val="32"/>
          <w:szCs w:val="32"/>
          <w:highlight w:val="none"/>
        </w:rPr>
        <w:t>符合性响应证明材料</w:t>
      </w:r>
    </w:p>
    <w:p w14:paraId="0156340A">
      <w:pPr>
        <w:spacing w:line="400" w:lineRule="exact"/>
        <w:ind w:firstLine="0" w:firstLineChars="0"/>
        <w:rPr>
          <w:rFonts w:hint="eastAsia" w:ascii="宋体" w:hAnsi="宋体" w:cs="宋体"/>
          <w:b/>
          <w:color w:val="auto"/>
          <w:kern w:val="0"/>
          <w:sz w:val="32"/>
          <w:szCs w:val="32"/>
          <w:highlight w:val="none"/>
        </w:rPr>
      </w:pPr>
    </w:p>
    <w:p w14:paraId="63171755">
      <w:pPr>
        <w:spacing w:line="400" w:lineRule="exact"/>
        <w:ind w:firstLine="0" w:firstLineChars="0"/>
        <w:rPr>
          <w:rFonts w:hint="eastAsia" w:ascii="宋体" w:hAnsi="宋体" w:cs="宋体"/>
          <w:b/>
          <w:color w:val="auto"/>
          <w:kern w:val="0"/>
          <w:sz w:val="32"/>
          <w:szCs w:val="32"/>
          <w:highlight w:val="none"/>
        </w:rPr>
      </w:pPr>
    </w:p>
    <w:p w14:paraId="07E6FE76">
      <w:pPr>
        <w:spacing w:line="400" w:lineRule="exact"/>
        <w:ind w:firstLine="0" w:firstLineChars="0"/>
        <w:rPr>
          <w:rFonts w:hint="eastAsia" w:ascii="宋体" w:hAnsi="宋体" w:cs="宋体"/>
          <w:b/>
          <w:color w:val="auto"/>
          <w:kern w:val="0"/>
          <w:sz w:val="32"/>
          <w:szCs w:val="32"/>
          <w:highlight w:val="none"/>
        </w:rPr>
      </w:pPr>
    </w:p>
    <w:p w14:paraId="43BCA6FF">
      <w:pPr>
        <w:spacing w:line="400" w:lineRule="exact"/>
        <w:ind w:firstLine="0" w:firstLineChars="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（三）其他有效</w:t>
      </w:r>
      <w:r>
        <w:rPr>
          <w:rFonts w:hint="eastAsia" w:ascii="宋体" w:hAnsi="宋体" w:cs="宋体"/>
          <w:b/>
          <w:color w:val="auto"/>
          <w:kern w:val="0"/>
          <w:sz w:val="32"/>
          <w:szCs w:val="32"/>
          <w:highlight w:val="none"/>
        </w:rPr>
        <w:t>证明材料</w:t>
      </w:r>
    </w:p>
    <w:p w14:paraId="375F4BF8">
      <w:pPr>
        <w:tabs>
          <w:tab w:val="left" w:pos="1305"/>
        </w:tabs>
        <w:spacing w:line="520" w:lineRule="exact"/>
        <w:ind w:firstLine="0" w:firstLineChars="0"/>
        <w:jc w:val="center"/>
        <w:rPr>
          <w:rFonts w:ascii="宋体" w:hAnsi="宋体" w:cs="宋体"/>
          <w:b/>
          <w:color w:val="auto"/>
          <w:kern w:val="0"/>
          <w:sz w:val="32"/>
          <w:szCs w:val="32"/>
          <w:highlight w:val="none"/>
        </w:rPr>
      </w:pPr>
    </w:p>
    <w:p w14:paraId="5DF23FEF">
      <w:pPr>
        <w:tabs>
          <w:tab w:val="left" w:pos="1305"/>
        </w:tabs>
        <w:spacing w:line="520" w:lineRule="exact"/>
        <w:ind w:firstLine="0" w:firstLineChars="0"/>
        <w:jc w:val="center"/>
        <w:rPr>
          <w:rFonts w:ascii="宋体" w:hAnsi="宋体"/>
          <w:b/>
          <w:color w:val="auto"/>
          <w:kern w:val="0"/>
          <w:sz w:val="32"/>
          <w:szCs w:val="32"/>
          <w:highlight w:val="none"/>
        </w:rPr>
      </w:pPr>
    </w:p>
    <w:p w14:paraId="318BA1AC">
      <w:pPr>
        <w:tabs>
          <w:tab w:val="left" w:pos="1305"/>
        </w:tabs>
        <w:spacing w:line="520" w:lineRule="exact"/>
        <w:ind w:firstLine="0" w:firstLineChars="0"/>
        <w:jc w:val="center"/>
        <w:rPr>
          <w:rFonts w:ascii="宋体" w:hAnsi="宋体"/>
          <w:b/>
          <w:color w:val="auto"/>
          <w:kern w:val="0"/>
          <w:sz w:val="32"/>
          <w:szCs w:val="32"/>
          <w:highlight w:val="none"/>
        </w:rPr>
      </w:pPr>
    </w:p>
    <w:p w14:paraId="54C601E6">
      <w:pPr>
        <w:tabs>
          <w:tab w:val="left" w:pos="1305"/>
        </w:tabs>
        <w:spacing w:line="520" w:lineRule="exact"/>
        <w:ind w:firstLine="0" w:firstLineChars="0"/>
        <w:jc w:val="center"/>
        <w:rPr>
          <w:rFonts w:ascii="宋体" w:hAnsi="宋体"/>
          <w:b/>
          <w:color w:val="auto"/>
          <w:kern w:val="0"/>
          <w:sz w:val="32"/>
          <w:szCs w:val="32"/>
          <w:highlight w:val="none"/>
        </w:rPr>
      </w:pPr>
    </w:p>
    <w:p w14:paraId="4B43BA28">
      <w:pPr>
        <w:tabs>
          <w:tab w:val="left" w:pos="1305"/>
        </w:tabs>
        <w:spacing w:line="520" w:lineRule="exact"/>
        <w:ind w:firstLine="0" w:firstLineChars="0"/>
        <w:jc w:val="center"/>
        <w:rPr>
          <w:rFonts w:ascii="宋体" w:hAnsi="宋体"/>
          <w:b/>
          <w:color w:val="auto"/>
          <w:kern w:val="0"/>
          <w:sz w:val="32"/>
          <w:szCs w:val="32"/>
          <w:highlight w:val="none"/>
        </w:rPr>
      </w:pPr>
    </w:p>
    <w:p w14:paraId="00497610">
      <w:pPr>
        <w:tabs>
          <w:tab w:val="left" w:pos="1305"/>
        </w:tabs>
        <w:spacing w:line="520" w:lineRule="exact"/>
        <w:ind w:firstLine="0" w:firstLineChars="0"/>
        <w:jc w:val="center"/>
        <w:rPr>
          <w:rFonts w:ascii="宋体" w:hAnsi="宋体"/>
          <w:b/>
          <w:color w:val="auto"/>
          <w:kern w:val="0"/>
          <w:sz w:val="32"/>
          <w:szCs w:val="32"/>
          <w:highlight w:val="none"/>
        </w:rPr>
      </w:pPr>
    </w:p>
    <w:p w14:paraId="1D42FC03">
      <w:pPr>
        <w:tabs>
          <w:tab w:val="left" w:pos="1305"/>
        </w:tabs>
        <w:spacing w:line="520" w:lineRule="exact"/>
        <w:ind w:firstLine="0" w:firstLineChars="0"/>
        <w:jc w:val="center"/>
        <w:rPr>
          <w:rFonts w:ascii="宋体" w:hAnsi="宋体"/>
          <w:b/>
          <w:color w:val="auto"/>
          <w:kern w:val="0"/>
          <w:sz w:val="32"/>
          <w:szCs w:val="32"/>
          <w:highlight w:val="none"/>
        </w:rPr>
      </w:pPr>
    </w:p>
    <w:p w14:paraId="2DCABB69">
      <w:pPr>
        <w:tabs>
          <w:tab w:val="left" w:pos="1305"/>
        </w:tabs>
        <w:spacing w:line="520" w:lineRule="exact"/>
        <w:ind w:firstLine="0" w:firstLineChars="0"/>
        <w:jc w:val="center"/>
        <w:rPr>
          <w:b/>
          <w:color w:val="auto"/>
          <w:kern w:val="0"/>
          <w:sz w:val="32"/>
          <w:szCs w:val="32"/>
          <w:highlight w:val="none"/>
        </w:rPr>
      </w:pPr>
    </w:p>
    <w:p w14:paraId="55847579">
      <w:pPr>
        <w:spacing w:line="240" w:lineRule="auto"/>
        <w:ind w:firstLine="0" w:firstLineChars="0"/>
        <w:jc w:val="center"/>
        <w:rPr>
          <w:rFonts w:ascii="宋体" w:hAnsi="宋体" w:cs="宋体"/>
          <w:color w:val="auto"/>
          <w:kern w:val="0"/>
          <w:szCs w:val="24"/>
          <w:highlight w:val="none"/>
        </w:rPr>
      </w:pPr>
      <w:r>
        <w:rPr>
          <w:rFonts w:hint="eastAsia"/>
          <w:b/>
          <w:color w:val="auto"/>
          <w:kern w:val="0"/>
          <w:sz w:val="32"/>
          <w:szCs w:val="32"/>
          <w:highlight w:val="none"/>
        </w:rPr>
        <w:br w:type="page"/>
      </w:r>
      <w:r>
        <w:rPr>
          <w:rFonts w:hint="eastAsia" w:ascii="宋体" w:hAnsi="宋体" w:cs="宋体"/>
          <w:b/>
          <w:color w:val="auto"/>
          <w:kern w:val="0"/>
          <w:sz w:val="32"/>
          <w:szCs w:val="32"/>
          <w:highlight w:val="none"/>
        </w:rPr>
        <w:t>（一）资格性响应证明材料目录</w:t>
      </w:r>
    </w:p>
    <w:p w14:paraId="559B83FD">
      <w:pPr>
        <w:tabs>
          <w:tab w:val="left" w:pos="1305"/>
        </w:tabs>
        <w:spacing w:line="520" w:lineRule="exact"/>
        <w:ind w:firstLine="600" w:firstLineChars="250"/>
        <w:rPr>
          <w:rFonts w:ascii="宋体" w:hAnsi="宋体" w:cs="宋体"/>
          <w:color w:val="auto"/>
          <w:kern w:val="0"/>
          <w:szCs w:val="24"/>
          <w:highlight w:val="none"/>
        </w:rPr>
      </w:pPr>
    </w:p>
    <w:p w14:paraId="4A23635E">
      <w:pPr>
        <w:tabs>
          <w:tab w:val="left" w:pos="1305"/>
        </w:tabs>
        <w:spacing w:line="400" w:lineRule="exact"/>
        <w:ind w:firstLine="420"/>
        <w:rPr>
          <w:rFonts w:ascii="宋体" w:hAnsi="宋体" w:cs="宋体"/>
          <w:b/>
          <w:color w:val="auto"/>
          <w:kern w:val="0"/>
          <w:sz w:val="21"/>
          <w:szCs w:val="21"/>
          <w:highlight w:val="none"/>
        </w:rPr>
      </w:pPr>
      <w:r>
        <w:rPr>
          <w:rFonts w:hint="eastAsia" w:ascii="宋体" w:hAnsi="宋体" w:cs="宋体"/>
          <w:color w:val="auto"/>
          <w:kern w:val="0"/>
          <w:sz w:val="21"/>
          <w:szCs w:val="21"/>
          <w:highlight w:val="none"/>
        </w:rPr>
        <w:t>1.响应函</w:t>
      </w:r>
      <w:r>
        <w:rPr>
          <w:rFonts w:hint="eastAsia" w:ascii="宋体" w:hAnsi="宋体" w:cs="宋体"/>
          <w:b/>
          <w:color w:val="auto"/>
          <w:kern w:val="0"/>
          <w:sz w:val="21"/>
          <w:szCs w:val="21"/>
          <w:highlight w:val="none"/>
        </w:rPr>
        <w:t xml:space="preserve">（必须提供） </w:t>
      </w:r>
    </w:p>
    <w:p w14:paraId="4AA7DA8D">
      <w:pPr>
        <w:tabs>
          <w:tab w:val="left" w:pos="1305"/>
        </w:tabs>
        <w:spacing w:line="400" w:lineRule="exact"/>
        <w:ind w:firstLine="420"/>
        <w:rPr>
          <w:rFonts w:ascii="宋体" w:hAnsi="宋体" w:cs="宋体"/>
          <w:b/>
          <w:color w:val="auto"/>
          <w:kern w:val="0"/>
          <w:sz w:val="21"/>
          <w:szCs w:val="21"/>
          <w:highlight w:val="none"/>
        </w:rPr>
      </w:pPr>
      <w:r>
        <w:rPr>
          <w:rFonts w:hint="eastAsia" w:ascii="宋体" w:hAnsi="宋体" w:cs="宋体"/>
          <w:color w:val="auto"/>
          <w:kern w:val="0"/>
          <w:sz w:val="21"/>
          <w:szCs w:val="21"/>
          <w:highlight w:val="none"/>
        </w:rPr>
        <w:t>2.供应商相应的法定代表人身份证正反两面复印件</w:t>
      </w:r>
      <w:r>
        <w:rPr>
          <w:rFonts w:hint="eastAsia" w:ascii="宋体" w:hAnsi="宋体" w:cs="宋体"/>
          <w:b/>
          <w:color w:val="auto"/>
          <w:kern w:val="0"/>
          <w:sz w:val="21"/>
          <w:szCs w:val="21"/>
          <w:highlight w:val="none"/>
        </w:rPr>
        <w:t xml:space="preserve">（必须提供） </w:t>
      </w:r>
    </w:p>
    <w:p w14:paraId="24781F0D">
      <w:pPr>
        <w:tabs>
          <w:tab w:val="left" w:pos="1305"/>
        </w:tabs>
        <w:spacing w:line="400" w:lineRule="exact"/>
        <w:ind w:firstLine="420"/>
        <w:rPr>
          <w:rFonts w:ascii="宋体" w:hAnsi="宋体" w:cs="宋体"/>
          <w:b/>
          <w:color w:val="auto"/>
          <w:kern w:val="0"/>
          <w:sz w:val="21"/>
          <w:szCs w:val="21"/>
          <w:highlight w:val="none"/>
        </w:rPr>
      </w:pPr>
      <w:r>
        <w:rPr>
          <w:rFonts w:hint="eastAsia" w:ascii="宋体" w:hAnsi="宋体" w:cs="宋体"/>
          <w:color w:val="auto"/>
          <w:kern w:val="0"/>
          <w:sz w:val="21"/>
          <w:szCs w:val="21"/>
          <w:highlight w:val="none"/>
        </w:rPr>
        <w:t>3.供应商的授权委托书、委托代理人身份证复印件</w:t>
      </w:r>
      <w:r>
        <w:rPr>
          <w:rFonts w:hint="eastAsia" w:ascii="宋体" w:hAnsi="宋体" w:cs="宋体"/>
          <w:b/>
          <w:color w:val="auto"/>
          <w:kern w:val="0"/>
          <w:sz w:val="21"/>
          <w:szCs w:val="21"/>
          <w:highlight w:val="none"/>
        </w:rPr>
        <w:t xml:space="preserve">（委托代理时必须提供） </w:t>
      </w:r>
    </w:p>
    <w:p w14:paraId="2F4C08AB">
      <w:pPr>
        <w:tabs>
          <w:tab w:val="left" w:pos="1305"/>
        </w:tabs>
        <w:spacing w:line="400" w:lineRule="exact"/>
        <w:ind w:firstLine="420"/>
        <w:rPr>
          <w:rFonts w:ascii="宋体" w:hAnsi="宋体" w:cs="宋体"/>
          <w:b/>
          <w:color w:val="auto"/>
          <w:sz w:val="21"/>
          <w:szCs w:val="21"/>
          <w:highlight w:val="none"/>
        </w:rPr>
      </w:pPr>
      <w:r>
        <w:rPr>
          <w:rFonts w:hint="eastAsia" w:ascii="宋体" w:hAnsi="宋体" w:cs="宋体"/>
          <w:color w:val="auto"/>
          <w:sz w:val="21"/>
          <w:szCs w:val="21"/>
          <w:highlight w:val="none"/>
        </w:rPr>
        <w:t>4.供应商的法人或者其他组织营业执照等证明文件复印件</w:t>
      </w:r>
      <w:r>
        <w:rPr>
          <w:rFonts w:hint="eastAsia" w:ascii="宋体" w:hAnsi="宋体" w:cs="宋体"/>
          <w:b/>
          <w:color w:val="auto"/>
          <w:kern w:val="0"/>
          <w:sz w:val="21"/>
          <w:szCs w:val="21"/>
          <w:highlight w:val="none"/>
        </w:rPr>
        <w:t>（必须提供，自然人除外）</w:t>
      </w:r>
    </w:p>
    <w:p w14:paraId="12F564E3">
      <w:pPr>
        <w:tabs>
          <w:tab w:val="left" w:pos="1305"/>
        </w:tabs>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kern w:val="0"/>
          <w:sz w:val="21"/>
          <w:szCs w:val="21"/>
          <w:highlight w:val="none"/>
        </w:rPr>
        <w:t>供应商2024年度或2025年度内的财务状况报告（或2025年以来银行出具的资信证明）复印件</w:t>
      </w:r>
      <w:r>
        <w:rPr>
          <w:rFonts w:hint="eastAsia" w:ascii="宋体" w:hAnsi="宋体" w:cs="宋体"/>
          <w:b/>
          <w:color w:val="auto"/>
          <w:sz w:val="21"/>
          <w:szCs w:val="21"/>
          <w:highlight w:val="none"/>
        </w:rPr>
        <w:t>（必须提供）</w:t>
      </w:r>
    </w:p>
    <w:p w14:paraId="6B2C06FE">
      <w:pPr>
        <w:spacing w:line="380" w:lineRule="exact"/>
        <w:ind w:firstLine="411" w:firstLineChars="196"/>
        <w:rPr>
          <w:rFonts w:ascii="宋体" w:hAnsi="宋体" w:cs="宋体"/>
          <w:color w:val="auto"/>
          <w:kern w:val="0"/>
          <w:sz w:val="21"/>
          <w:szCs w:val="21"/>
          <w:highlight w:val="none"/>
        </w:rPr>
      </w:pPr>
      <w:r>
        <w:rPr>
          <w:rFonts w:hint="eastAsia" w:ascii="宋体" w:hAnsi="宋体" w:cs="宋体"/>
          <w:color w:val="auto"/>
          <w:kern w:val="0"/>
          <w:sz w:val="21"/>
          <w:szCs w:val="21"/>
          <w:highlight w:val="none"/>
        </w:rPr>
        <w:t>6.供应商依法缴纳税收的相关材料</w:t>
      </w:r>
      <w:r>
        <w:rPr>
          <w:rFonts w:hint="eastAsia" w:ascii="宋体" w:hAnsi="宋体" w:cs="宋体"/>
          <w:b/>
          <w:bCs/>
          <w:color w:val="auto"/>
          <w:kern w:val="0"/>
          <w:sz w:val="21"/>
          <w:szCs w:val="21"/>
          <w:highlight w:val="none"/>
        </w:rPr>
        <w:t>（必须提供）</w:t>
      </w:r>
      <w:r>
        <w:rPr>
          <w:rFonts w:hint="eastAsia" w:ascii="宋体" w:hAnsi="宋体" w:cs="宋体"/>
          <w:color w:val="auto"/>
          <w:kern w:val="0"/>
          <w:sz w:val="21"/>
          <w:szCs w:val="21"/>
          <w:highlight w:val="none"/>
        </w:rPr>
        <w:t>；</w:t>
      </w:r>
    </w:p>
    <w:p w14:paraId="131536C3">
      <w:pPr>
        <w:spacing w:line="380" w:lineRule="exact"/>
        <w:ind w:firstLine="411" w:firstLineChars="196"/>
        <w:rPr>
          <w:rFonts w:ascii="宋体" w:hAnsi="宋体" w:cs="宋体"/>
          <w:color w:val="auto"/>
          <w:kern w:val="0"/>
          <w:sz w:val="21"/>
          <w:szCs w:val="21"/>
          <w:highlight w:val="none"/>
        </w:rPr>
      </w:pPr>
      <w:r>
        <w:rPr>
          <w:rFonts w:hint="eastAsia" w:ascii="宋体" w:hAnsi="宋体" w:cs="宋体"/>
          <w:color w:val="auto"/>
          <w:kern w:val="0"/>
          <w:sz w:val="21"/>
          <w:szCs w:val="21"/>
          <w:highlight w:val="none"/>
        </w:rPr>
        <w:t>7.供应商依法缴纳社会保障资金的相关材料</w:t>
      </w:r>
      <w:r>
        <w:rPr>
          <w:rFonts w:hint="eastAsia" w:ascii="宋体" w:hAnsi="宋体" w:cs="宋体"/>
          <w:b/>
          <w:bCs/>
          <w:color w:val="auto"/>
          <w:kern w:val="0"/>
          <w:sz w:val="21"/>
          <w:szCs w:val="21"/>
          <w:highlight w:val="none"/>
        </w:rPr>
        <w:t>（必须提供）</w:t>
      </w:r>
      <w:r>
        <w:rPr>
          <w:rFonts w:hint="eastAsia" w:ascii="宋体" w:hAnsi="宋体" w:cs="宋体"/>
          <w:color w:val="auto"/>
          <w:kern w:val="0"/>
          <w:sz w:val="21"/>
          <w:szCs w:val="21"/>
          <w:highlight w:val="none"/>
        </w:rPr>
        <w:t>；　</w:t>
      </w:r>
    </w:p>
    <w:p w14:paraId="2FE28D50">
      <w:pPr>
        <w:tabs>
          <w:tab w:val="left" w:pos="1305"/>
        </w:tabs>
        <w:spacing w:line="400" w:lineRule="exact"/>
        <w:ind w:firstLine="420"/>
        <w:rPr>
          <w:rFonts w:ascii="宋体" w:hAnsi="宋体" w:cs="宋体"/>
          <w:b/>
          <w:bCs/>
          <w:color w:val="auto"/>
          <w:kern w:val="0"/>
          <w:sz w:val="21"/>
          <w:szCs w:val="21"/>
          <w:highlight w:val="none"/>
        </w:rPr>
      </w:pPr>
      <w:r>
        <w:rPr>
          <w:rFonts w:hint="eastAsia" w:ascii="宋体" w:hAnsi="宋体" w:cs="宋体"/>
          <w:color w:val="auto"/>
          <w:kern w:val="0"/>
          <w:sz w:val="21"/>
          <w:szCs w:val="21"/>
          <w:highlight w:val="none"/>
        </w:rPr>
        <w:t>8.供应商参加政府采购活动前3年内在经营活动中没有重大违法记录及有关信用信息的书面声明或信用信息报告</w:t>
      </w:r>
      <w:r>
        <w:rPr>
          <w:rFonts w:hint="eastAsia" w:ascii="宋体" w:hAnsi="宋体" w:cs="宋体"/>
          <w:b/>
          <w:bCs/>
          <w:color w:val="auto"/>
          <w:kern w:val="0"/>
          <w:sz w:val="21"/>
          <w:szCs w:val="21"/>
          <w:highlight w:val="none"/>
        </w:rPr>
        <w:t>（必须提供）</w:t>
      </w:r>
    </w:p>
    <w:p w14:paraId="215411ED">
      <w:pPr>
        <w:spacing w:line="400" w:lineRule="exact"/>
        <w:ind w:firstLine="411" w:firstLineChars="196"/>
        <w:rPr>
          <w:rFonts w:ascii="宋体" w:hAnsi="宋体" w:cs="宋体"/>
          <w:color w:val="auto"/>
          <w:kern w:val="0"/>
          <w:sz w:val="21"/>
          <w:szCs w:val="21"/>
          <w:highlight w:val="none"/>
        </w:rPr>
      </w:pPr>
      <w:r>
        <w:rPr>
          <w:rFonts w:hint="eastAsia" w:ascii="宋体" w:hAnsi="宋体" w:cs="宋体"/>
          <w:color w:val="auto"/>
          <w:kern w:val="0"/>
          <w:sz w:val="21"/>
          <w:szCs w:val="21"/>
          <w:highlight w:val="none"/>
        </w:rPr>
        <w:t>9.供应商参加本项目无围标串标行为的承诺函</w:t>
      </w:r>
      <w:r>
        <w:rPr>
          <w:rFonts w:hint="eastAsia" w:ascii="宋体" w:hAnsi="宋体" w:cs="宋体"/>
          <w:b/>
          <w:color w:val="auto"/>
          <w:kern w:val="0"/>
          <w:sz w:val="21"/>
          <w:szCs w:val="21"/>
          <w:highlight w:val="none"/>
        </w:rPr>
        <w:t>（必须提供）</w:t>
      </w:r>
    </w:p>
    <w:p w14:paraId="31407F19">
      <w:pPr>
        <w:spacing w:line="40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10.供应商属于中小企业的相关证明材料</w:t>
      </w:r>
      <w:r>
        <w:rPr>
          <w:rFonts w:hint="eastAsia" w:ascii="宋体" w:hAnsi="宋体" w:cs="宋体"/>
          <w:b/>
          <w:color w:val="auto"/>
          <w:kern w:val="0"/>
          <w:sz w:val="21"/>
          <w:szCs w:val="21"/>
          <w:highlight w:val="none"/>
        </w:rPr>
        <w:t>（必须提供）</w:t>
      </w:r>
    </w:p>
    <w:p w14:paraId="1258BF4C">
      <w:pPr>
        <w:tabs>
          <w:tab w:val="left" w:pos="1305"/>
        </w:tabs>
        <w:spacing w:line="380" w:lineRule="exact"/>
        <w:ind w:firstLine="422"/>
        <w:rPr>
          <w:rFonts w:ascii="宋体" w:hAnsi="宋体" w:cs="宋体"/>
          <w:b/>
          <w:color w:val="auto"/>
          <w:kern w:val="0"/>
          <w:sz w:val="21"/>
          <w:szCs w:val="21"/>
          <w:highlight w:val="none"/>
        </w:rPr>
      </w:pPr>
    </w:p>
    <w:p w14:paraId="71AF7895">
      <w:pPr>
        <w:tabs>
          <w:tab w:val="left" w:pos="1305"/>
        </w:tabs>
        <w:spacing w:line="520" w:lineRule="exact"/>
        <w:ind w:firstLine="420"/>
        <w:rPr>
          <w:rFonts w:ascii="宋体" w:hAnsi="宋体" w:cs="宋体"/>
          <w:color w:val="auto"/>
          <w:sz w:val="21"/>
          <w:szCs w:val="21"/>
          <w:highlight w:val="none"/>
        </w:rPr>
      </w:pPr>
    </w:p>
    <w:p w14:paraId="73B1F23F">
      <w:pPr>
        <w:spacing w:line="440" w:lineRule="atLeast"/>
        <w:ind w:firstLine="0" w:firstLineChars="0"/>
        <w:rPr>
          <w:rFonts w:ascii="宋体" w:hAnsi="宋体"/>
          <w:b/>
          <w:color w:val="auto"/>
          <w:kern w:val="0"/>
          <w:sz w:val="28"/>
          <w:szCs w:val="28"/>
          <w:highlight w:val="none"/>
        </w:rPr>
      </w:pPr>
    </w:p>
    <w:p w14:paraId="0CA7607D">
      <w:pPr>
        <w:spacing w:line="440" w:lineRule="atLeast"/>
        <w:ind w:firstLine="0" w:firstLineChars="0"/>
        <w:rPr>
          <w:rFonts w:ascii="宋体" w:hAnsi="宋体"/>
          <w:b/>
          <w:color w:val="auto"/>
          <w:kern w:val="0"/>
          <w:sz w:val="28"/>
          <w:szCs w:val="28"/>
          <w:highlight w:val="none"/>
        </w:rPr>
      </w:pPr>
    </w:p>
    <w:p w14:paraId="0C2D49CB">
      <w:pPr>
        <w:spacing w:line="440" w:lineRule="atLeast"/>
        <w:ind w:firstLine="0" w:firstLineChars="0"/>
        <w:rPr>
          <w:rFonts w:ascii="宋体" w:hAnsi="宋体"/>
          <w:b/>
          <w:color w:val="auto"/>
          <w:kern w:val="0"/>
          <w:sz w:val="28"/>
          <w:szCs w:val="28"/>
          <w:highlight w:val="none"/>
        </w:rPr>
      </w:pPr>
    </w:p>
    <w:p w14:paraId="4074B4EE">
      <w:pPr>
        <w:spacing w:line="440" w:lineRule="atLeast"/>
        <w:ind w:firstLine="0" w:firstLineChars="0"/>
        <w:rPr>
          <w:rFonts w:ascii="宋体" w:hAnsi="宋体"/>
          <w:b/>
          <w:color w:val="auto"/>
          <w:kern w:val="0"/>
          <w:sz w:val="28"/>
          <w:szCs w:val="28"/>
          <w:highlight w:val="none"/>
        </w:rPr>
      </w:pPr>
    </w:p>
    <w:p w14:paraId="584DF38A">
      <w:pPr>
        <w:spacing w:line="440" w:lineRule="atLeast"/>
        <w:ind w:firstLine="0" w:firstLineChars="0"/>
        <w:rPr>
          <w:rFonts w:ascii="宋体" w:hAnsi="宋体"/>
          <w:b/>
          <w:color w:val="auto"/>
          <w:kern w:val="0"/>
          <w:sz w:val="28"/>
          <w:szCs w:val="28"/>
          <w:highlight w:val="none"/>
        </w:rPr>
      </w:pPr>
    </w:p>
    <w:p w14:paraId="4184D03F">
      <w:pPr>
        <w:spacing w:line="440" w:lineRule="atLeast"/>
        <w:ind w:firstLine="0" w:firstLineChars="0"/>
        <w:rPr>
          <w:rFonts w:ascii="宋体" w:hAnsi="宋体"/>
          <w:b/>
          <w:color w:val="auto"/>
          <w:kern w:val="0"/>
          <w:sz w:val="28"/>
          <w:szCs w:val="28"/>
          <w:highlight w:val="none"/>
        </w:rPr>
      </w:pPr>
    </w:p>
    <w:p w14:paraId="1F35D5EF">
      <w:pPr>
        <w:spacing w:line="440" w:lineRule="atLeast"/>
        <w:ind w:firstLine="0" w:firstLineChars="0"/>
        <w:rPr>
          <w:rFonts w:ascii="宋体" w:hAnsi="宋体"/>
          <w:b/>
          <w:color w:val="auto"/>
          <w:kern w:val="0"/>
          <w:sz w:val="28"/>
          <w:szCs w:val="28"/>
          <w:highlight w:val="none"/>
        </w:rPr>
      </w:pPr>
    </w:p>
    <w:p w14:paraId="6F5CEB84">
      <w:pPr>
        <w:spacing w:line="440" w:lineRule="atLeast"/>
        <w:ind w:firstLine="0" w:firstLineChars="0"/>
        <w:rPr>
          <w:rFonts w:ascii="宋体" w:hAnsi="宋体"/>
          <w:b/>
          <w:color w:val="auto"/>
          <w:kern w:val="0"/>
          <w:sz w:val="28"/>
          <w:szCs w:val="28"/>
          <w:highlight w:val="none"/>
        </w:rPr>
      </w:pPr>
    </w:p>
    <w:p w14:paraId="5AC421E9">
      <w:pPr>
        <w:spacing w:line="440" w:lineRule="atLeast"/>
        <w:ind w:firstLine="0" w:firstLineChars="0"/>
        <w:rPr>
          <w:rFonts w:ascii="宋体" w:hAnsi="宋体"/>
          <w:b/>
          <w:color w:val="auto"/>
          <w:kern w:val="0"/>
          <w:sz w:val="28"/>
          <w:szCs w:val="28"/>
          <w:highlight w:val="none"/>
        </w:rPr>
      </w:pPr>
    </w:p>
    <w:p w14:paraId="3155C455">
      <w:pPr>
        <w:spacing w:line="440" w:lineRule="atLeast"/>
        <w:ind w:firstLine="0" w:firstLineChars="0"/>
        <w:rPr>
          <w:rFonts w:ascii="宋体" w:hAnsi="宋体"/>
          <w:b/>
          <w:color w:val="auto"/>
          <w:kern w:val="0"/>
          <w:sz w:val="28"/>
          <w:szCs w:val="28"/>
          <w:highlight w:val="none"/>
        </w:rPr>
      </w:pPr>
    </w:p>
    <w:p w14:paraId="4259BECE">
      <w:pPr>
        <w:spacing w:line="440" w:lineRule="atLeast"/>
        <w:ind w:firstLine="0" w:firstLineChars="0"/>
        <w:rPr>
          <w:rFonts w:ascii="宋体" w:hAnsi="宋体"/>
          <w:b/>
          <w:color w:val="auto"/>
          <w:kern w:val="0"/>
          <w:sz w:val="28"/>
          <w:szCs w:val="28"/>
          <w:highlight w:val="none"/>
        </w:rPr>
      </w:pPr>
    </w:p>
    <w:p w14:paraId="07F9BB15">
      <w:pPr>
        <w:spacing w:line="440" w:lineRule="atLeast"/>
        <w:ind w:firstLine="0" w:firstLineChars="0"/>
        <w:rPr>
          <w:rFonts w:ascii="宋体" w:hAnsi="宋体"/>
          <w:b/>
          <w:color w:val="auto"/>
          <w:kern w:val="0"/>
          <w:sz w:val="28"/>
          <w:szCs w:val="28"/>
          <w:highlight w:val="none"/>
        </w:rPr>
      </w:pPr>
    </w:p>
    <w:p w14:paraId="128ACABB">
      <w:pPr>
        <w:spacing w:line="440" w:lineRule="atLeast"/>
        <w:ind w:firstLine="0" w:firstLineChars="0"/>
        <w:rPr>
          <w:rFonts w:ascii="宋体" w:hAnsi="宋体"/>
          <w:b/>
          <w:color w:val="auto"/>
          <w:kern w:val="0"/>
          <w:sz w:val="28"/>
          <w:szCs w:val="28"/>
          <w:highlight w:val="none"/>
        </w:rPr>
      </w:pPr>
    </w:p>
    <w:p w14:paraId="719020F4">
      <w:pPr>
        <w:spacing w:line="440" w:lineRule="atLeast"/>
        <w:ind w:firstLine="0" w:firstLineChars="0"/>
        <w:rPr>
          <w:rFonts w:ascii="宋体" w:hAnsi="宋体"/>
          <w:b/>
          <w:color w:val="auto"/>
          <w:kern w:val="0"/>
          <w:sz w:val="28"/>
          <w:szCs w:val="28"/>
          <w:highlight w:val="none"/>
        </w:rPr>
      </w:pPr>
    </w:p>
    <w:p w14:paraId="414D133F">
      <w:pPr>
        <w:spacing w:line="440" w:lineRule="atLeast"/>
        <w:ind w:firstLine="0" w:firstLineChars="0"/>
        <w:rPr>
          <w:rFonts w:ascii="宋体" w:hAnsi="宋体"/>
          <w:b/>
          <w:color w:val="auto"/>
          <w:kern w:val="0"/>
          <w:sz w:val="28"/>
          <w:szCs w:val="28"/>
          <w:highlight w:val="none"/>
        </w:rPr>
      </w:pPr>
    </w:p>
    <w:p w14:paraId="44E83339">
      <w:pPr>
        <w:spacing w:line="440" w:lineRule="atLeast"/>
        <w:ind w:firstLine="0" w:firstLineChars="0"/>
        <w:rPr>
          <w:rFonts w:ascii="宋体" w:hAnsi="宋体"/>
          <w:b/>
          <w:color w:val="auto"/>
          <w:kern w:val="0"/>
          <w:sz w:val="28"/>
          <w:szCs w:val="28"/>
          <w:highlight w:val="none"/>
        </w:rPr>
      </w:pPr>
    </w:p>
    <w:p w14:paraId="1B01FBA9">
      <w:pPr>
        <w:spacing w:line="440" w:lineRule="atLeast"/>
        <w:ind w:firstLine="0" w:firstLineChars="0"/>
        <w:rPr>
          <w:rFonts w:ascii="宋体" w:hAnsi="宋体"/>
          <w:b/>
          <w:color w:val="auto"/>
          <w:kern w:val="0"/>
          <w:sz w:val="28"/>
          <w:szCs w:val="28"/>
          <w:highlight w:val="none"/>
        </w:rPr>
      </w:pPr>
    </w:p>
    <w:p w14:paraId="36202FBA">
      <w:pPr>
        <w:spacing w:line="240" w:lineRule="auto"/>
        <w:ind w:firstLine="0" w:firstLineChars="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1. 响应函（必须提供）</w:t>
      </w:r>
    </w:p>
    <w:p w14:paraId="0BD3C84B">
      <w:pPr>
        <w:spacing w:line="440" w:lineRule="atLeast"/>
        <w:ind w:firstLine="0" w:firstLineChars="0"/>
        <w:rPr>
          <w:rFonts w:ascii="宋体" w:hAnsi="宋体" w:cs="宋体"/>
          <w:b/>
          <w:color w:val="auto"/>
          <w:kern w:val="0"/>
          <w:szCs w:val="24"/>
          <w:highlight w:val="none"/>
        </w:rPr>
      </w:pPr>
      <w:r>
        <w:rPr>
          <w:rFonts w:hint="eastAsia" w:ascii="宋体" w:hAnsi="宋体" w:cs="宋体"/>
          <w:b/>
          <w:color w:val="auto"/>
          <w:kern w:val="0"/>
          <w:szCs w:val="24"/>
          <w:highlight w:val="none"/>
        </w:rPr>
        <w:t>附件：</w:t>
      </w:r>
    </w:p>
    <w:p w14:paraId="56B790EE">
      <w:pPr>
        <w:spacing w:line="240" w:lineRule="auto"/>
        <w:ind w:firstLine="803" w:firstLineChars="250"/>
        <w:jc w:val="center"/>
        <w:rPr>
          <w:rFonts w:ascii="宋体" w:hAnsi="宋体" w:cs="宋体"/>
          <w:b/>
          <w:color w:val="auto"/>
          <w:kern w:val="0"/>
          <w:sz w:val="32"/>
          <w:szCs w:val="20"/>
          <w:highlight w:val="none"/>
        </w:rPr>
      </w:pPr>
      <w:r>
        <w:rPr>
          <w:rFonts w:hint="eastAsia" w:ascii="宋体" w:hAnsi="宋体" w:cs="宋体"/>
          <w:b/>
          <w:color w:val="auto"/>
          <w:kern w:val="0"/>
          <w:sz w:val="32"/>
          <w:szCs w:val="20"/>
          <w:highlight w:val="none"/>
        </w:rPr>
        <w:t>响 应 函 （格 式）</w:t>
      </w:r>
    </w:p>
    <w:p w14:paraId="5B3FD054">
      <w:pPr>
        <w:spacing w:line="400" w:lineRule="exact"/>
        <w:ind w:firstLine="0" w:firstLineChars="0"/>
        <w:rPr>
          <w:rFonts w:ascii="宋体" w:hAnsi="宋体" w:cs="宋体"/>
          <w:color w:val="auto"/>
          <w:kern w:val="0"/>
          <w:sz w:val="21"/>
          <w:szCs w:val="24"/>
          <w:highlight w:val="none"/>
        </w:rPr>
      </w:pPr>
      <w:r>
        <w:rPr>
          <w:rFonts w:hint="eastAsia" w:ascii="宋体" w:hAnsi="宋体" w:cs="宋体"/>
          <w:color w:val="auto"/>
          <w:kern w:val="0"/>
          <w:sz w:val="21"/>
          <w:szCs w:val="21"/>
          <w:highlight w:val="none"/>
        </w:rPr>
        <w:t>致：</w:t>
      </w:r>
      <w:r>
        <w:rPr>
          <w:rFonts w:hint="eastAsia" w:ascii="宋体" w:hAnsi="宋体" w:cs="宋体"/>
          <w:color w:val="auto"/>
          <w:kern w:val="0"/>
          <w:sz w:val="21"/>
          <w:szCs w:val="21"/>
          <w:highlight w:val="none"/>
          <w:u w:val="single"/>
        </w:rPr>
        <w:t xml:space="preserve">云之龙咨询集团有限公司 </w:t>
      </w:r>
    </w:p>
    <w:p w14:paraId="3A280680">
      <w:pPr>
        <w:spacing w:line="400" w:lineRule="exact"/>
        <w:ind w:firstLine="0" w:firstLineChars="0"/>
        <w:rPr>
          <w:rFonts w:ascii="宋体" w:hAnsi="宋体" w:cs="宋体"/>
          <w:color w:val="auto"/>
          <w:kern w:val="0"/>
          <w:sz w:val="21"/>
          <w:szCs w:val="21"/>
          <w:highlight w:val="none"/>
        </w:rPr>
      </w:pPr>
    </w:p>
    <w:p w14:paraId="2C8E2A21">
      <w:pPr>
        <w:spacing w:line="320" w:lineRule="exact"/>
        <w:ind w:left="120" w:leftChars="50" w:firstLine="315" w:firstLineChars="150"/>
        <w:rPr>
          <w:rFonts w:ascii="宋体" w:hAnsi="宋体" w:cs="宋体"/>
          <w:color w:val="auto"/>
          <w:kern w:val="0"/>
          <w:sz w:val="21"/>
          <w:szCs w:val="20"/>
          <w:highlight w:val="none"/>
        </w:rPr>
      </w:pPr>
      <w:r>
        <w:rPr>
          <w:rFonts w:hint="eastAsia" w:ascii="宋体" w:hAnsi="宋体" w:cs="宋体"/>
          <w:color w:val="auto"/>
          <w:kern w:val="0"/>
          <w:sz w:val="21"/>
          <w:szCs w:val="20"/>
          <w:highlight w:val="none"/>
        </w:rPr>
        <w:t>根据贵方项目磋商文件，项目编号</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1"/>
          <w:highlight w:val="none"/>
        </w:rPr>
        <w:t>，签字代表</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（姓名）经正式授权并代表供应商</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1"/>
          <w:highlight w:val="none"/>
        </w:rPr>
        <w:t>供应商单位名称</w:t>
      </w:r>
      <w:r>
        <w:rPr>
          <w:rFonts w:hint="eastAsia" w:ascii="宋体" w:hAnsi="宋体" w:cs="宋体"/>
          <w:color w:val="auto"/>
          <w:kern w:val="0"/>
          <w:sz w:val="21"/>
          <w:szCs w:val="20"/>
          <w:highlight w:val="none"/>
        </w:rPr>
        <w:t>），提交响应文件。</w:t>
      </w:r>
    </w:p>
    <w:p w14:paraId="64F2EE5B">
      <w:pPr>
        <w:spacing w:line="320" w:lineRule="exact"/>
        <w:ind w:firstLine="42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据此函，签字代表宣布同意如下：</w:t>
      </w:r>
    </w:p>
    <w:p w14:paraId="56AF0601">
      <w:pPr>
        <w:spacing w:line="320" w:lineRule="exact"/>
        <w:ind w:firstLine="42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1.按磋商文件采购需求，磋商报价详见“磋商报价表”。</w:t>
      </w:r>
    </w:p>
    <w:p w14:paraId="13863240">
      <w:pPr>
        <w:spacing w:line="320" w:lineRule="exact"/>
        <w:ind w:firstLine="42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2.我方承诺已具备磋商文件规定的供应商资格条件。</w:t>
      </w:r>
    </w:p>
    <w:p w14:paraId="1E428B95">
      <w:pPr>
        <w:spacing w:line="320" w:lineRule="exact"/>
        <w:ind w:firstLine="42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 xml:space="preserve">3.我方已详细审核磋商文件，包括修改文件（如有的话）和有关附件，将自行承担因对全部磋商文件理解不正确或误解而产生的相应后果。 </w:t>
      </w:r>
    </w:p>
    <w:p w14:paraId="79F18DCB">
      <w:pPr>
        <w:spacing w:line="320" w:lineRule="exact"/>
        <w:ind w:firstLine="42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4.响应文件有效期为</w:t>
      </w:r>
      <w:r>
        <w:rPr>
          <w:rFonts w:hint="eastAsia" w:ascii="宋体" w:hAnsi="宋体" w:cs="宋体"/>
          <w:color w:val="auto"/>
          <w:kern w:val="0"/>
          <w:sz w:val="21"/>
          <w:szCs w:val="21"/>
          <w:highlight w:val="none"/>
        </w:rPr>
        <w:t>自响应文件提交截止时间之日起90天。</w:t>
      </w:r>
      <w:r>
        <w:rPr>
          <w:rFonts w:hint="eastAsia" w:ascii="宋体" w:hAnsi="宋体" w:cs="宋体"/>
          <w:color w:val="auto"/>
          <w:kern w:val="0"/>
          <w:sz w:val="21"/>
          <w:szCs w:val="20"/>
          <w:highlight w:val="none"/>
        </w:rPr>
        <w:t xml:space="preserve"> </w:t>
      </w:r>
    </w:p>
    <w:p w14:paraId="42D9AD91">
      <w:pPr>
        <w:spacing w:line="320" w:lineRule="exact"/>
        <w:ind w:firstLine="42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5.如我方成交：</w:t>
      </w:r>
    </w:p>
    <w:p w14:paraId="33E4613A">
      <w:pPr>
        <w:spacing w:line="320" w:lineRule="exact"/>
        <w:ind w:firstLine="42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（1）我方承诺在收到成交通知书后，在成交通知书规定的期限内与采购人签订合同。</w:t>
      </w:r>
    </w:p>
    <w:p w14:paraId="5B72C7D5">
      <w:pPr>
        <w:spacing w:line="320" w:lineRule="exact"/>
        <w:ind w:firstLine="42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（2）我方承诺按照磋商文件规定提交履约担保。</w:t>
      </w:r>
    </w:p>
    <w:p w14:paraId="5D692772">
      <w:pPr>
        <w:spacing w:line="320" w:lineRule="exact"/>
        <w:ind w:firstLine="42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（3）我方承诺本响应文件至本项目合同履行完毕止均保持有效，并按磋商文件及政府采购法律法规的规定履行合同责任和义务。</w:t>
      </w:r>
    </w:p>
    <w:p w14:paraId="261B1DED">
      <w:pPr>
        <w:spacing w:line="320" w:lineRule="exact"/>
        <w:ind w:firstLine="42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（4）我方保证在领取成交通知书前，按本项目竞争性磋商文件的规定及标准向贵单位一次性足额支付代理服务费。代理服务费发票我方选择开具：□增值税普通发票、□增值税专用发票，开票信息如下：</w:t>
      </w:r>
    </w:p>
    <w:p w14:paraId="7957DAF2">
      <w:pPr>
        <w:spacing w:line="320" w:lineRule="exact"/>
        <w:ind w:firstLine="42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开具增值税普通发票开票信息：</w:t>
      </w:r>
    </w:p>
    <w:p w14:paraId="3A776B8D">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①公司名称：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w:t>
      </w:r>
    </w:p>
    <w:p w14:paraId="1265E0F5">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②纳税人识别号：</w:t>
      </w:r>
      <w:r>
        <w:rPr>
          <w:rFonts w:hint="eastAsia" w:ascii="宋体" w:hAnsi="宋体" w:cs="宋体"/>
          <w:color w:val="auto"/>
          <w:kern w:val="0"/>
          <w:sz w:val="21"/>
          <w:szCs w:val="21"/>
          <w:highlight w:val="none"/>
          <w:u w:val="single"/>
        </w:rPr>
        <w:t xml:space="preserve">               </w:t>
      </w:r>
    </w:p>
    <w:p w14:paraId="6973DD96">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开具增值税专用发票开票信息：</w:t>
      </w:r>
    </w:p>
    <w:p w14:paraId="1D08A161">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①公司名称：</w:t>
      </w:r>
      <w:r>
        <w:rPr>
          <w:rFonts w:hint="eastAsia" w:ascii="宋体" w:hAnsi="宋体" w:cs="宋体"/>
          <w:color w:val="auto"/>
          <w:kern w:val="0"/>
          <w:sz w:val="21"/>
          <w:szCs w:val="21"/>
          <w:highlight w:val="none"/>
          <w:u w:val="single"/>
        </w:rPr>
        <w:t xml:space="preserve">               </w:t>
      </w:r>
    </w:p>
    <w:p w14:paraId="6F23D091">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②纳税人识别号：_</w:t>
      </w:r>
      <w:r>
        <w:rPr>
          <w:rFonts w:hint="eastAsia" w:ascii="宋体" w:hAnsi="宋体" w:cs="宋体"/>
          <w:color w:val="auto"/>
          <w:kern w:val="0"/>
          <w:sz w:val="21"/>
          <w:szCs w:val="21"/>
          <w:highlight w:val="none"/>
          <w:u w:val="single"/>
        </w:rPr>
        <w:t xml:space="preserve">               </w:t>
      </w:r>
    </w:p>
    <w:p w14:paraId="4C052BB5">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③税局登记地址：</w:t>
      </w:r>
      <w:r>
        <w:rPr>
          <w:rFonts w:hint="eastAsia" w:ascii="宋体" w:hAnsi="宋体" w:cs="宋体"/>
          <w:color w:val="auto"/>
          <w:kern w:val="0"/>
          <w:sz w:val="21"/>
          <w:szCs w:val="21"/>
          <w:highlight w:val="none"/>
          <w:u w:val="single"/>
        </w:rPr>
        <w:t xml:space="preserve">               </w:t>
      </w:r>
    </w:p>
    <w:p w14:paraId="7D6AA148">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④税局登记电话：</w:t>
      </w:r>
      <w:r>
        <w:rPr>
          <w:rFonts w:hint="eastAsia" w:ascii="宋体" w:hAnsi="宋体" w:cs="宋体"/>
          <w:color w:val="auto"/>
          <w:kern w:val="0"/>
          <w:sz w:val="21"/>
          <w:szCs w:val="21"/>
          <w:highlight w:val="none"/>
          <w:u w:val="single"/>
        </w:rPr>
        <w:t xml:space="preserve">               </w:t>
      </w:r>
    </w:p>
    <w:p w14:paraId="7EBA41E3">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⑤开户银行：</w:t>
      </w:r>
      <w:r>
        <w:rPr>
          <w:rFonts w:hint="eastAsia" w:ascii="宋体" w:hAnsi="宋体" w:cs="宋体"/>
          <w:color w:val="auto"/>
          <w:kern w:val="0"/>
          <w:sz w:val="21"/>
          <w:szCs w:val="21"/>
          <w:highlight w:val="none"/>
          <w:u w:val="single"/>
        </w:rPr>
        <w:t xml:space="preserve">               </w:t>
      </w:r>
    </w:p>
    <w:p w14:paraId="4A7E8FAF">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⑥银行账户：</w:t>
      </w:r>
      <w:r>
        <w:rPr>
          <w:rFonts w:hint="eastAsia" w:ascii="宋体" w:hAnsi="宋体" w:cs="宋体"/>
          <w:color w:val="auto"/>
          <w:kern w:val="0"/>
          <w:sz w:val="21"/>
          <w:szCs w:val="21"/>
          <w:highlight w:val="none"/>
          <w:u w:val="single"/>
        </w:rPr>
        <w:t xml:space="preserve">               </w:t>
      </w:r>
    </w:p>
    <w:p w14:paraId="745B0DE7">
      <w:pPr>
        <w:pStyle w:val="43"/>
        <w:ind w:firstLine="210"/>
        <w:rPr>
          <w:color w:val="auto"/>
          <w:highlight w:val="none"/>
        </w:rPr>
      </w:pPr>
    </w:p>
    <w:p w14:paraId="6431553F">
      <w:pPr>
        <w:spacing w:line="320" w:lineRule="exact"/>
        <w:ind w:firstLine="42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与本响应有关的正式通讯地址为：</w:t>
      </w:r>
    </w:p>
    <w:p w14:paraId="53A03551">
      <w:pPr>
        <w:spacing w:line="320" w:lineRule="exact"/>
        <w:ind w:firstLine="420" w:firstLineChars="0"/>
        <w:rPr>
          <w:rFonts w:ascii="宋体" w:hAnsi="宋体" w:cs="宋体"/>
          <w:color w:val="auto"/>
          <w:kern w:val="0"/>
          <w:sz w:val="21"/>
          <w:szCs w:val="20"/>
          <w:highlight w:val="none"/>
          <w:u w:val="single"/>
        </w:rPr>
      </w:pPr>
      <w:r>
        <w:rPr>
          <w:rFonts w:hint="eastAsia" w:ascii="宋体" w:hAnsi="宋体" w:cs="宋体"/>
          <w:color w:val="auto"/>
          <w:kern w:val="0"/>
          <w:sz w:val="21"/>
          <w:szCs w:val="20"/>
          <w:highlight w:val="none"/>
        </w:rPr>
        <w:t>地址：</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邮编：</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邮箱：</w:t>
      </w:r>
      <w:r>
        <w:rPr>
          <w:rFonts w:hint="eastAsia" w:ascii="宋体" w:hAnsi="宋体" w:cs="宋体"/>
          <w:color w:val="auto"/>
          <w:kern w:val="0"/>
          <w:sz w:val="21"/>
          <w:szCs w:val="20"/>
          <w:highlight w:val="none"/>
          <w:u w:val="single"/>
        </w:rPr>
        <w:t xml:space="preserve">                   </w:t>
      </w:r>
    </w:p>
    <w:p w14:paraId="442A3FB0">
      <w:pPr>
        <w:spacing w:line="320" w:lineRule="exact"/>
        <w:ind w:firstLine="420" w:firstLineChars="0"/>
        <w:rPr>
          <w:rFonts w:ascii="宋体" w:hAnsi="宋体" w:cs="宋体"/>
          <w:color w:val="auto"/>
          <w:kern w:val="0"/>
          <w:sz w:val="21"/>
          <w:szCs w:val="20"/>
          <w:highlight w:val="none"/>
          <w:u w:val="single"/>
        </w:rPr>
      </w:pPr>
      <w:r>
        <w:rPr>
          <w:rFonts w:hint="eastAsia" w:ascii="宋体" w:hAnsi="宋体" w:cs="宋体"/>
          <w:color w:val="auto"/>
          <w:kern w:val="0"/>
          <w:sz w:val="21"/>
          <w:szCs w:val="20"/>
          <w:highlight w:val="none"/>
        </w:rPr>
        <w:t>办公电话：</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传真：</w:t>
      </w:r>
      <w:r>
        <w:rPr>
          <w:rFonts w:hint="eastAsia" w:ascii="宋体" w:hAnsi="宋体" w:cs="宋体"/>
          <w:color w:val="auto"/>
          <w:kern w:val="0"/>
          <w:sz w:val="21"/>
          <w:szCs w:val="20"/>
          <w:highlight w:val="none"/>
          <w:u w:val="single"/>
        </w:rPr>
        <w:t xml:space="preserve">               </w:t>
      </w:r>
    </w:p>
    <w:p w14:paraId="23DA25EB">
      <w:pPr>
        <w:spacing w:line="320" w:lineRule="exact"/>
        <w:ind w:firstLine="420" w:firstLineChars="0"/>
        <w:rPr>
          <w:rFonts w:ascii="宋体" w:hAnsi="宋体" w:cs="宋体"/>
          <w:color w:val="auto"/>
          <w:kern w:val="0"/>
          <w:sz w:val="21"/>
          <w:szCs w:val="20"/>
          <w:highlight w:val="none"/>
          <w:u w:val="single"/>
        </w:rPr>
      </w:pPr>
      <w:r>
        <w:rPr>
          <w:rFonts w:hint="eastAsia" w:ascii="宋体" w:hAnsi="宋体" w:cs="宋体"/>
          <w:color w:val="auto"/>
          <w:kern w:val="0"/>
          <w:sz w:val="21"/>
          <w:szCs w:val="20"/>
          <w:highlight w:val="none"/>
        </w:rPr>
        <w:t>委托代理人联系电话：</w:t>
      </w:r>
      <w:r>
        <w:rPr>
          <w:rFonts w:hint="eastAsia" w:ascii="宋体" w:hAnsi="宋体" w:cs="宋体"/>
          <w:color w:val="auto"/>
          <w:kern w:val="0"/>
          <w:sz w:val="21"/>
          <w:szCs w:val="20"/>
          <w:highlight w:val="none"/>
          <w:u w:val="single"/>
        </w:rPr>
        <w:t xml:space="preserve">                        </w:t>
      </w:r>
    </w:p>
    <w:p w14:paraId="02ED8031">
      <w:pPr>
        <w:spacing w:line="320" w:lineRule="exact"/>
        <w:ind w:firstLine="420" w:firstLineChars="0"/>
        <w:rPr>
          <w:rFonts w:ascii="宋体" w:hAnsi="宋体" w:cs="宋体"/>
          <w:color w:val="auto"/>
          <w:kern w:val="0"/>
          <w:sz w:val="21"/>
          <w:szCs w:val="20"/>
          <w:highlight w:val="none"/>
          <w:u w:val="single"/>
        </w:rPr>
      </w:pPr>
      <w:r>
        <w:rPr>
          <w:rFonts w:hint="eastAsia" w:ascii="宋体" w:hAnsi="宋体" w:cs="宋体"/>
          <w:color w:val="auto"/>
          <w:kern w:val="0"/>
          <w:sz w:val="21"/>
          <w:szCs w:val="20"/>
          <w:highlight w:val="none"/>
        </w:rPr>
        <w:t>开户名称：</w:t>
      </w:r>
      <w:r>
        <w:rPr>
          <w:rFonts w:hint="eastAsia" w:ascii="宋体" w:hAnsi="宋体" w:cs="宋体"/>
          <w:color w:val="auto"/>
          <w:kern w:val="0"/>
          <w:sz w:val="21"/>
          <w:szCs w:val="20"/>
          <w:highlight w:val="none"/>
          <w:u w:val="single"/>
        </w:rPr>
        <w:t xml:space="preserve">                         </w:t>
      </w:r>
    </w:p>
    <w:p w14:paraId="6C5B86C7">
      <w:pPr>
        <w:spacing w:line="320" w:lineRule="exact"/>
        <w:ind w:firstLine="42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开户银行：</w:t>
      </w:r>
      <w:r>
        <w:rPr>
          <w:rFonts w:hint="eastAsia" w:ascii="宋体" w:hAnsi="宋体" w:cs="宋体"/>
          <w:color w:val="auto"/>
          <w:kern w:val="0"/>
          <w:sz w:val="21"/>
          <w:szCs w:val="20"/>
          <w:highlight w:val="none"/>
          <w:u w:val="single"/>
        </w:rPr>
        <w:t xml:space="preserve">                               　       </w:t>
      </w:r>
    </w:p>
    <w:p w14:paraId="0E4E7C3B">
      <w:pPr>
        <w:spacing w:line="320" w:lineRule="exact"/>
        <w:ind w:firstLine="420" w:firstLineChars="0"/>
        <w:rPr>
          <w:rFonts w:ascii="宋体" w:hAnsi="宋体" w:cs="宋体"/>
          <w:color w:val="auto"/>
          <w:kern w:val="0"/>
          <w:sz w:val="21"/>
          <w:szCs w:val="20"/>
          <w:highlight w:val="none"/>
        </w:rPr>
      </w:pPr>
      <w:r>
        <w:rPr>
          <w:rFonts w:hint="eastAsia" w:ascii="宋体" w:hAnsi="宋体" w:cs="宋体"/>
          <w:color w:val="auto"/>
          <w:kern w:val="0"/>
          <w:sz w:val="21"/>
          <w:szCs w:val="20"/>
          <w:highlight w:val="none"/>
        </w:rPr>
        <w:t>账号：</w:t>
      </w:r>
      <w:r>
        <w:rPr>
          <w:rFonts w:hint="eastAsia" w:ascii="宋体" w:hAnsi="宋体" w:cs="宋体"/>
          <w:color w:val="auto"/>
          <w:kern w:val="0"/>
          <w:sz w:val="21"/>
          <w:szCs w:val="20"/>
          <w:highlight w:val="none"/>
          <w:u w:val="single"/>
        </w:rPr>
        <w:t xml:space="preserve">                                   　　　   </w:t>
      </w:r>
    </w:p>
    <w:p w14:paraId="74009841">
      <w:pPr>
        <w:spacing w:line="340" w:lineRule="exact"/>
        <w:ind w:firstLine="420" w:firstLineChars="0"/>
        <w:rPr>
          <w:rFonts w:ascii="宋体" w:hAnsi="宋体" w:cs="宋体"/>
          <w:color w:val="auto"/>
          <w:kern w:val="0"/>
          <w:sz w:val="21"/>
          <w:szCs w:val="20"/>
          <w:highlight w:val="none"/>
        </w:rPr>
      </w:pPr>
    </w:p>
    <w:p w14:paraId="55DDF7FD">
      <w:pPr>
        <w:spacing w:line="340" w:lineRule="exact"/>
        <w:ind w:firstLine="420" w:firstLineChars="0"/>
        <w:rPr>
          <w:rFonts w:ascii="宋体" w:hAnsi="宋体" w:cs="宋体"/>
          <w:color w:val="auto"/>
          <w:sz w:val="21"/>
          <w:szCs w:val="20"/>
          <w:highlight w:val="none"/>
        </w:rPr>
      </w:pPr>
      <w:r>
        <w:rPr>
          <w:rFonts w:hint="eastAsia" w:ascii="宋体" w:hAnsi="宋体" w:cs="宋体"/>
          <w:color w:val="auto"/>
          <w:sz w:val="21"/>
          <w:szCs w:val="20"/>
          <w:highlight w:val="none"/>
        </w:rPr>
        <w:t>供应商</w:t>
      </w:r>
      <w:r>
        <w:rPr>
          <w:rFonts w:hint="eastAsia" w:ascii="宋体" w:hAnsi="宋体" w:cs="宋体"/>
          <w:bCs/>
          <w:color w:val="auto"/>
          <w:sz w:val="21"/>
          <w:szCs w:val="21"/>
          <w:highlight w:val="none"/>
        </w:rPr>
        <w:t>（电子签章）</w:t>
      </w:r>
      <w:r>
        <w:rPr>
          <w:rFonts w:hint="eastAsia" w:ascii="宋体" w:hAnsi="宋体" w:cs="宋体"/>
          <w:color w:val="auto"/>
          <w:sz w:val="21"/>
          <w:szCs w:val="20"/>
          <w:highlight w:val="none"/>
        </w:rPr>
        <w:t>：</w:t>
      </w:r>
      <w:r>
        <w:rPr>
          <w:rFonts w:hint="eastAsia" w:ascii="宋体" w:hAnsi="宋体" w:cs="宋体"/>
          <w:color w:val="auto"/>
          <w:sz w:val="21"/>
          <w:szCs w:val="20"/>
          <w:highlight w:val="none"/>
          <w:u w:val="single"/>
        </w:rPr>
        <w:t xml:space="preserve">                                              </w:t>
      </w:r>
    </w:p>
    <w:p w14:paraId="3F7F80D9">
      <w:pPr>
        <w:spacing w:line="340" w:lineRule="exact"/>
        <w:ind w:firstLine="420" w:firstLineChars="0"/>
        <w:rPr>
          <w:rFonts w:ascii="宋体" w:hAnsi="宋体" w:cs="宋体"/>
          <w:color w:val="auto"/>
          <w:sz w:val="21"/>
          <w:szCs w:val="20"/>
          <w:highlight w:val="none"/>
        </w:rPr>
      </w:pPr>
      <w:r>
        <w:rPr>
          <w:rFonts w:hint="eastAsia" w:ascii="宋体" w:hAnsi="宋体" w:cs="宋体"/>
          <w:color w:val="auto"/>
          <w:sz w:val="21"/>
          <w:szCs w:val="20"/>
          <w:highlight w:val="none"/>
        </w:rPr>
        <w:t>法定代表人或相应的委托代理人签字（或电子签名）：</w:t>
      </w:r>
      <w:r>
        <w:rPr>
          <w:rFonts w:hint="eastAsia" w:ascii="宋体" w:hAnsi="宋体" w:cs="宋体"/>
          <w:color w:val="auto"/>
          <w:sz w:val="21"/>
          <w:szCs w:val="20"/>
          <w:highlight w:val="none"/>
          <w:u w:val="single"/>
        </w:rPr>
        <w:t xml:space="preserve">        </w:t>
      </w:r>
    </w:p>
    <w:p w14:paraId="197ED9CE">
      <w:pPr>
        <w:spacing w:line="340" w:lineRule="exact"/>
        <w:ind w:firstLine="420" w:firstLineChars="0"/>
        <w:rPr>
          <w:rFonts w:ascii="宋体" w:hAnsi="宋体" w:cs="宋体"/>
          <w:color w:val="auto"/>
          <w:sz w:val="21"/>
          <w:szCs w:val="20"/>
          <w:highlight w:val="none"/>
          <w:u w:val="single"/>
        </w:rPr>
      </w:pPr>
      <w:r>
        <w:rPr>
          <w:rFonts w:hint="eastAsia" w:ascii="宋体" w:hAnsi="宋体" w:cs="宋体"/>
          <w:bCs/>
          <w:color w:val="auto"/>
          <w:sz w:val="21"/>
          <w:szCs w:val="20"/>
          <w:highlight w:val="none"/>
        </w:rPr>
        <w:t>响应</w:t>
      </w:r>
      <w:r>
        <w:rPr>
          <w:rFonts w:hint="eastAsia" w:ascii="宋体" w:hAnsi="宋体" w:cs="宋体"/>
          <w:color w:val="auto"/>
          <w:sz w:val="21"/>
          <w:szCs w:val="20"/>
          <w:highlight w:val="none"/>
        </w:rPr>
        <w:t>日期：</w:t>
      </w:r>
      <w:r>
        <w:rPr>
          <w:rFonts w:hint="eastAsia" w:ascii="宋体" w:hAnsi="宋体" w:cs="宋体"/>
          <w:color w:val="auto"/>
          <w:sz w:val="21"/>
          <w:szCs w:val="20"/>
          <w:highlight w:val="none"/>
          <w:u w:val="single"/>
        </w:rPr>
        <w:t xml:space="preserve">                               </w:t>
      </w:r>
    </w:p>
    <w:p w14:paraId="32766690">
      <w:pPr>
        <w:spacing w:line="340" w:lineRule="exact"/>
        <w:ind w:firstLine="420"/>
        <w:rPr>
          <w:rFonts w:ascii="宋体" w:hAnsi="宋体" w:cs="宋体"/>
          <w:bCs/>
          <w:color w:val="auto"/>
          <w:kern w:val="0"/>
          <w:sz w:val="21"/>
          <w:szCs w:val="20"/>
          <w:highlight w:val="none"/>
        </w:rPr>
      </w:pPr>
    </w:p>
    <w:p w14:paraId="03497B08">
      <w:pPr>
        <w:spacing w:line="340" w:lineRule="exact"/>
        <w:ind w:left="900" w:leftChars="200" w:hanging="420" w:hangingChars="200"/>
        <w:rPr>
          <w:rFonts w:ascii="宋体" w:hAnsi="宋体" w:cs="宋体"/>
          <w:bCs/>
          <w:color w:val="auto"/>
          <w:sz w:val="21"/>
          <w:szCs w:val="20"/>
          <w:highlight w:val="none"/>
        </w:rPr>
      </w:pPr>
      <w:r>
        <w:rPr>
          <w:rFonts w:hint="eastAsia" w:ascii="宋体" w:hAnsi="宋体" w:cs="宋体"/>
          <w:bCs/>
          <w:color w:val="auto"/>
          <w:sz w:val="21"/>
          <w:szCs w:val="20"/>
          <w:highlight w:val="none"/>
        </w:rPr>
        <w:t>注：1.未按照本响应函（格式）要求填报的响应函将被视为非实质性响应竞争性磋商文件要求，从而导致该响应被拒绝。</w:t>
      </w:r>
    </w:p>
    <w:p w14:paraId="350197C8">
      <w:pPr>
        <w:spacing w:line="340" w:lineRule="exact"/>
        <w:ind w:left="960" w:leftChars="400" w:firstLine="0" w:firstLineChars="0"/>
        <w:rPr>
          <w:rFonts w:ascii="宋体" w:hAnsi="宋体" w:cs="宋体"/>
          <w:bCs/>
          <w:color w:val="auto"/>
          <w:sz w:val="21"/>
          <w:szCs w:val="20"/>
          <w:highlight w:val="none"/>
        </w:rPr>
      </w:pPr>
      <w:r>
        <w:rPr>
          <w:rFonts w:hint="eastAsia" w:ascii="宋体" w:hAnsi="宋体" w:cs="宋体"/>
          <w:bCs/>
          <w:color w:val="auto"/>
          <w:sz w:val="21"/>
          <w:szCs w:val="21"/>
          <w:highlight w:val="none"/>
        </w:rPr>
        <w:t>2.供应商必须按</w:t>
      </w:r>
      <w:r>
        <w:rPr>
          <w:rFonts w:hint="eastAsia" w:ascii="宋体" w:hAnsi="宋体" w:cs="宋体"/>
          <w:bCs/>
          <w:color w:val="auto"/>
          <w:sz w:val="21"/>
          <w:szCs w:val="20"/>
          <w:highlight w:val="none"/>
        </w:rPr>
        <w:t>本响应函（格式）</w:t>
      </w:r>
      <w:r>
        <w:rPr>
          <w:rFonts w:hint="eastAsia" w:ascii="宋体" w:hAnsi="宋体" w:cs="宋体"/>
          <w:bCs/>
          <w:color w:val="auto"/>
          <w:sz w:val="21"/>
          <w:szCs w:val="21"/>
          <w:highlight w:val="none"/>
        </w:rPr>
        <w:t>要求注明清楚联系方式（包括地址、邮编、邮箱、电话等），从而确保成交结果等相关信息能及时通知到位。</w:t>
      </w:r>
    </w:p>
    <w:p w14:paraId="19289E24">
      <w:pPr>
        <w:spacing w:line="340" w:lineRule="exact"/>
        <w:ind w:left="960" w:leftChars="400" w:firstLine="0" w:firstLineChars="0"/>
        <w:rPr>
          <w:rFonts w:ascii="宋体" w:hAnsi="宋体" w:cs="宋体"/>
          <w:bCs/>
          <w:color w:val="auto"/>
          <w:sz w:val="21"/>
          <w:szCs w:val="21"/>
          <w:highlight w:val="none"/>
        </w:rPr>
      </w:pPr>
      <w:r>
        <w:rPr>
          <w:rFonts w:hint="eastAsia" w:ascii="宋体" w:hAnsi="宋体" w:cs="宋体"/>
          <w:bCs/>
          <w:color w:val="auto"/>
          <w:sz w:val="21"/>
          <w:szCs w:val="21"/>
          <w:highlight w:val="none"/>
        </w:rPr>
        <w:t>3.响应函须由法定代表人或相应的委托代理人签字</w:t>
      </w:r>
      <w:r>
        <w:rPr>
          <w:rFonts w:hint="eastAsia" w:ascii="宋体" w:hAnsi="宋体" w:cs="宋体"/>
          <w:color w:val="auto"/>
          <w:sz w:val="21"/>
          <w:szCs w:val="20"/>
          <w:highlight w:val="none"/>
        </w:rPr>
        <w:t>（或电子签名），</w:t>
      </w:r>
      <w:r>
        <w:rPr>
          <w:rFonts w:hint="eastAsia" w:ascii="宋体" w:hAnsi="宋体" w:cs="宋体"/>
          <w:bCs/>
          <w:color w:val="auto"/>
          <w:sz w:val="21"/>
          <w:szCs w:val="21"/>
          <w:highlight w:val="none"/>
        </w:rPr>
        <w:t>并加盖供应商电子签章。</w:t>
      </w:r>
    </w:p>
    <w:p w14:paraId="46478453">
      <w:pPr>
        <w:spacing w:line="340" w:lineRule="exact"/>
        <w:ind w:left="960" w:leftChars="400" w:firstLine="0" w:firstLineChars="0"/>
        <w:rPr>
          <w:rFonts w:ascii="宋体" w:hAnsi="宋体" w:cs="宋体"/>
          <w:bCs/>
          <w:color w:val="auto"/>
          <w:sz w:val="21"/>
          <w:szCs w:val="21"/>
          <w:highlight w:val="none"/>
        </w:rPr>
      </w:pPr>
    </w:p>
    <w:p w14:paraId="40AC354D">
      <w:pPr>
        <w:spacing w:line="240" w:lineRule="auto"/>
        <w:ind w:left="2940" w:firstLine="0" w:firstLineChars="0"/>
        <w:rPr>
          <w:color w:val="auto"/>
          <w:sz w:val="21"/>
          <w:szCs w:val="24"/>
          <w:highlight w:val="none"/>
        </w:rPr>
      </w:pPr>
    </w:p>
    <w:p w14:paraId="298599F3">
      <w:pPr>
        <w:spacing w:line="240" w:lineRule="auto"/>
        <w:ind w:firstLine="0" w:firstLineChars="0"/>
        <w:rPr>
          <w:color w:val="auto"/>
          <w:sz w:val="21"/>
          <w:szCs w:val="24"/>
          <w:highlight w:val="none"/>
        </w:rPr>
      </w:pPr>
    </w:p>
    <w:p w14:paraId="056FC3FE">
      <w:pPr>
        <w:spacing w:line="240" w:lineRule="auto"/>
        <w:ind w:firstLine="0" w:firstLineChars="0"/>
        <w:rPr>
          <w:color w:val="auto"/>
          <w:sz w:val="21"/>
          <w:szCs w:val="24"/>
          <w:highlight w:val="none"/>
        </w:rPr>
      </w:pPr>
    </w:p>
    <w:p w14:paraId="2BBE8A0B">
      <w:pPr>
        <w:spacing w:line="240" w:lineRule="auto"/>
        <w:ind w:left="2940" w:firstLine="0" w:firstLineChars="0"/>
        <w:rPr>
          <w:color w:val="auto"/>
          <w:sz w:val="21"/>
          <w:szCs w:val="24"/>
          <w:highlight w:val="none"/>
        </w:rPr>
      </w:pPr>
    </w:p>
    <w:p w14:paraId="47C28643">
      <w:pPr>
        <w:spacing w:line="240" w:lineRule="auto"/>
        <w:ind w:firstLine="0" w:firstLineChars="0"/>
        <w:rPr>
          <w:color w:val="auto"/>
          <w:sz w:val="21"/>
          <w:szCs w:val="24"/>
          <w:highlight w:val="none"/>
        </w:rPr>
      </w:pPr>
    </w:p>
    <w:p w14:paraId="0CA59002">
      <w:pPr>
        <w:tabs>
          <w:tab w:val="left" w:pos="1305"/>
        </w:tabs>
        <w:spacing w:line="380" w:lineRule="exact"/>
        <w:ind w:firstLine="0" w:firstLineChars="0"/>
        <w:rPr>
          <w:rFonts w:ascii="宋体" w:hAnsi="宋体" w:cs="宋体"/>
          <w:b/>
          <w:color w:val="auto"/>
          <w:sz w:val="28"/>
          <w:szCs w:val="28"/>
          <w:highlight w:val="none"/>
        </w:rPr>
      </w:pPr>
      <w:r>
        <w:rPr>
          <w:rFonts w:hint="eastAsia" w:ascii="宋体" w:hAnsi="宋体" w:cs="宋体"/>
          <w:b/>
          <w:color w:val="auto"/>
          <w:sz w:val="28"/>
          <w:szCs w:val="28"/>
          <w:highlight w:val="none"/>
        </w:rPr>
        <w:t>2.供应商相应的法定代表人身份证正反两面复印件（必须提供）</w:t>
      </w:r>
    </w:p>
    <w:p w14:paraId="46926422">
      <w:pPr>
        <w:tabs>
          <w:tab w:val="left" w:pos="1305"/>
        </w:tabs>
        <w:spacing w:line="380" w:lineRule="exact"/>
        <w:ind w:firstLine="0" w:firstLineChars="0"/>
        <w:rPr>
          <w:rFonts w:ascii="宋体" w:hAnsi="宋体" w:cs="宋体"/>
          <w:color w:val="auto"/>
          <w:kern w:val="0"/>
          <w:sz w:val="21"/>
          <w:szCs w:val="21"/>
          <w:highlight w:val="none"/>
        </w:rPr>
      </w:pPr>
    </w:p>
    <w:p w14:paraId="79184A29">
      <w:pPr>
        <w:tabs>
          <w:tab w:val="left" w:pos="1305"/>
        </w:tabs>
        <w:spacing w:line="380" w:lineRule="exact"/>
        <w:ind w:firstLine="0" w:firstLineChars="0"/>
        <w:rPr>
          <w:rFonts w:ascii="宋体" w:hAnsi="宋体" w:cs="宋体"/>
          <w:color w:val="auto"/>
          <w:kern w:val="0"/>
          <w:sz w:val="21"/>
          <w:szCs w:val="21"/>
          <w:highlight w:val="none"/>
        </w:rPr>
      </w:pPr>
    </w:p>
    <w:p w14:paraId="33E1F09F">
      <w:pPr>
        <w:spacing w:line="300" w:lineRule="exact"/>
        <w:ind w:firstLine="0" w:firstLineChars="0"/>
        <w:rPr>
          <w:rFonts w:ascii="宋体" w:hAnsi="宋体" w:cs="宋体"/>
          <w:b/>
          <w:color w:val="auto"/>
          <w:kern w:val="0"/>
          <w:sz w:val="28"/>
          <w:szCs w:val="28"/>
          <w:highlight w:val="none"/>
        </w:rPr>
      </w:pPr>
    </w:p>
    <w:p w14:paraId="7DD8C2A0">
      <w:pPr>
        <w:spacing w:line="300" w:lineRule="exact"/>
        <w:ind w:firstLine="0" w:firstLineChars="0"/>
        <w:rPr>
          <w:rFonts w:ascii="宋体" w:hAnsi="宋体" w:cs="宋体"/>
          <w:b/>
          <w:color w:val="auto"/>
          <w:sz w:val="28"/>
          <w:szCs w:val="28"/>
          <w:highlight w:val="none"/>
        </w:rPr>
      </w:pPr>
    </w:p>
    <w:p w14:paraId="7FAF5D2C">
      <w:pPr>
        <w:spacing w:line="300" w:lineRule="exact"/>
        <w:ind w:firstLine="0" w:firstLineChars="0"/>
        <w:rPr>
          <w:rFonts w:ascii="宋体" w:hAnsi="宋体" w:cs="宋体"/>
          <w:b/>
          <w:color w:val="auto"/>
          <w:sz w:val="28"/>
          <w:szCs w:val="28"/>
          <w:highlight w:val="none"/>
        </w:rPr>
      </w:pPr>
    </w:p>
    <w:p w14:paraId="0596544E">
      <w:pPr>
        <w:spacing w:line="300" w:lineRule="exact"/>
        <w:ind w:firstLine="0" w:firstLineChars="0"/>
        <w:rPr>
          <w:rFonts w:ascii="宋体" w:hAnsi="宋体" w:cs="宋体"/>
          <w:b/>
          <w:color w:val="auto"/>
          <w:sz w:val="28"/>
          <w:szCs w:val="28"/>
          <w:highlight w:val="none"/>
        </w:rPr>
      </w:pPr>
    </w:p>
    <w:p w14:paraId="732CD66D">
      <w:pPr>
        <w:spacing w:line="300" w:lineRule="exact"/>
        <w:ind w:firstLine="0" w:firstLineChars="0"/>
        <w:rPr>
          <w:rFonts w:ascii="宋体" w:hAnsi="宋体" w:cs="宋体"/>
          <w:b/>
          <w:color w:val="auto"/>
          <w:sz w:val="28"/>
          <w:szCs w:val="28"/>
          <w:highlight w:val="none"/>
        </w:rPr>
      </w:pPr>
    </w:p>
    <w:p w14:paraId="1A2B063E">
      <w:pPr>
        <w:spacing w:line="300" w:lineRule="exact"/>
        <w:ind w:firstLine="0" w:firstLineChars="0"/>
        <w:rPr>
          <w:rFonts w:ascii="宋体" w:hAnsi="宋体" w:cs="宋体"/>
          <w:b/>
          <w:color w:val="auto"/>
          <w:sz w:val="28"/>
          <w:szCs w:val="28"/>
          <w:highlight w:val="none"/>
        </w:rPr>
      </w:pPr>
    </w:p>
    <w:p w14:paraId="7F9B28B3">
      <w:pPr>
        <w:spacing w:line="300" w:lineRule="exact"/>
        <w:ind w:firstLine="0" w:firstLineChars="0"/>
        <w:rPr>
          <w:rFonts w:ascii="宋体" w:hAnsi="宋体" w:cs="宋体"/>
          <w:b/>
          <w:color w:val="auto"/>
          <w:sz w:val="28"/>
          <w:szCs w:val="28"/>
          <w:highlight w:val="none"/>
        </w:rPr>
      </w:pPr>
    </w:p>
    <w:p w14:paraId="7E75535C">
      <w:pPr>
        <w:spacing w:line="300" w:lineRule="exact"/>
        <w:ind w:firstLine="0" w:firstLineChars="0"/>
        <w:rPr>
          <w:rFonts w:ascii="宋体" w:hAnsi="宋体" w:cs="宋体"/>
          <w:b/>
          <w:color w:val="auto"/>
          <w:sz w:val="28"/>
          <w:szCs w:val="28"/>
          <w:highlight w:val="none"/>
        </w:rPr>
      </w:pPr>
    </w:p>
    <w:p w14:paraId="760BE5D5">
      <w:pPr>
        <w:spacing w:line="300" w:lineRule="exact"/>
        <w:ind w:firstLine="0" w:firstLineChars="0"/>
        <w:rPr>
          <w:rFonts w:ascii="宋体" w:hAnsi="宋体" w:cs="宋体"/>
          <w:b/>
          <w:color w:val="auto"/>
          <w:sz w:val="28"/>
          <w:szCs w:val="28"/>
          <w:highlight w:val="none"/>
        </w:rPr>
      </w:pPr>
    </w:p>
    <w:p w14:paraId="417D0E7F">
      <w:pPr>
        <w:spacing w:line="300" w:lineRule="exact"/>
        <w:ind w:firstLine="0" w:firstLineChars="0"/>
        <w:rPr>
          <w:rFonts w:ascii="宋体" w:hAnsi="宋体" w:cs="宋体"/>
          <w:b/>
          <w:color w:val="auto"/>
          <w:sz w:val="28"/>
          <w:szCs w:val="28"/>
          <w:highlight w:val="none"/>
        </w:rPr>
      </w:pPr>
    </w:p>
    <w:p w14:paraId="75A1EA30">
      <w:pPr>
        <w:spacing w:line="300" w:lineRule="exact"/>
        <w:ind w:firstLine="0" w:firstLineChars="0"/>
        <w:rPr>
          <w:rFonts w:ascii="宋体" w:hAnsi="宋体" w:cs="宋体"/>
          <w:b/>
          <w:color w:val="auto"/>
          <w:sz w:val="28"/>
          <w:szCs w:val="28"/>
          <w:highlight w:val="none"/>
        </w:rPr>
      </w:pPr>
    </w:p>
    <w:p w14:paraId="5FA21B49">
      <w:pPr>
        <w:spacing w:line="300" w:lineRule="exact"/>
        <w:ind w:firstLine="0" w:firstLineChars="0"/>
        <w:rPr>
          <w:rFonts w:ascii="宋体" w:hAnsi="宋体" w:cs="宋体"/>
          <w:b/>
          <w:color w:val="auto"/>
          <w:sz w:val="28"/>
          <w:szCs w:val="28"/>
          <w:highlight w:val="none"/>
        </w:rPr>
      </w:pPr>
    </w:p>
    <w:p w14:paraId="68FDB66E">
      <w:pPr>
        <w:spacing w:line="300" w:lineRule="exact"/>
        <w:ind w:firstLine="0" w:firstLineChars="0"/>
        <w:rPr>
          <w:rFonts w:ascii="宋体" w:hAnsi="宋体" w:cs="宋体"/>
          <w:b/>
          <w:color w:val="auto"/>
          <w:sz w:val="28"/>
          <w:szCs w:val="28"/>
          <w:highlight w:val="none"/>
        </w:rPr>
      </w:pPr>
    </w:p>
    <w:p w14:paraId="684C7DEA">
      <w:pPr>
        <w:spacing w:line="300" w:lineRule="exact"/>
        <w:ind w:firstLine="0" w:firstLineChars="0"/>
        <w:rPr>
          <w:rFonts w:ascii="宋体" w:hAnsi="宋体" w:cs="宋体"/>
          <w:b/>
          <w:color w:val="auto"/>
          <w:sz w:val="28"/>
          <w:szCs w:val="28"/>
          <w:highlight w:val="none"/>
        </w:rPr>
      </w:pPr>
    </w:p>
    <w:p w14:paraId="59875FAF">
      <w:pPr>
        <w:spacing w:line="300" w:lineRule="exact"/>
        <w:ind w:firstLine="0" w:firstLineChars="0"/>
        <w:rPr>
          <w:rFonts w:ascii="宋体" w:hAnsi="宋体" w:cs="宋体"/>
          <w:b/>
          <w:color w:val="auto"/>
          <w:sz w:val="28"/>
          <w:szCs w:val="28"/>
          <w:highlight w:val="none"/>
        </w:rPr>
      </w:pPr>
    </w:p>
    <w:p w14:paraId="396EA912">
      <w:pPr>
        <w:spacing w:line="300" w:lineRule="exact"/>
        <w:ind w:firstLine="0" w:firstLineChars="0"/>
        <w:rPr>
          <w:rFonts w:ascii="宋体" w:hAnsi="宋体" w:cs="宋体"/>
          <w:b/>
          <w:color w:val="auto"/>
          <w:sz w:val="28"/>
          <w:szCs w:val="28"/>
          <w:highlight w:val="none"/>
        </w:rPr>
      </w:pPr>
    </w:p>
    <w:p w14:paraId="6558F1FA">
      <w:pPr>
        <w:spacing w:line="300" w:lineRule="exact"/>
        <w:ind w:firstLine="0" w:firstLineChars="0"/>
        <w:rPr>
          <w:rFonts w:ascii="宋体" w:hAnsi="宋体" w:cs="宋体"/>
          <w:b/>
          <w:color w:val="auto"/>
          <w:sz w:val="28"/>
          <w:szCs w:val="28"/>
          <w:highlight w:val="none"/>
        </w:rPr>
      </w:pPr>
    </w:p>
    <w:p w14:paraId="2047E6E1">
      <w:pPr>
        <w:spacing w:line="300" w:lineRule="exact"/>
        <w:ind w:firstLine="0" w:firstLineChars="0"/>
        <w:rPr>
          <w:rFonts w:ascii="宋体" w:hAnsi="宋体" w:cs="宋体"/>
          <w:b/>
          <w:color w:val="auto"/>
          <w:sz w:val="28"/>
          <w:szCs w:val="28"/>
          <w:highlight w:val="none"/>
        </w:rPr>
      </w:pPr>
    </w:p>
    <w:p w14:paraId="0170FE2A">
      <w:pPr>
        <w:spacing w:line="300" w:lineRule="exact"/>
        <w:ind w:firstLine="0" w:firstLineChars="0"/>
        <w:rPr>
          <w:rFonts w:ascii="宋体" w:hAnsi="宋体" w:cs="宋体"/>
          <w:b/>
          <w:color w:val="auto"/>
          <w:sz w:val="28"/>
          <w:szCs w:val="28"/>
          <w:highlight w:val="none"/>
        </w:rPr>
      </w:pPr>
    </w:p>
    <w:p w14:paraId="66D33C1D">
      <w:pPr>
        <w:spacing w:line="300" w:lineRule="exact"/>
        <w:ind w:firstLine="0" w:firstLineChars="0"/>
        <w:rPr>
          <w:rFonts w:ascii="宋体" w:hAnsi="宋体" w:cs="宋体"/>
          <w:b/>
          <w:color w:val="auto"/>
          <w:sz w:val="28"/>
          <w:szCs w:val="28"/>
          <w:highlight w:val="none"/>
        </w:rPr>
      </w:pPr>
    </w:p>
    <w:p w14:paraId="50B620D7">
      <w:pPr>
        <w:spacing w:line="300" w:lineRule="exact"/>
        <w:ind w:firstLine="0" w:firstLineChars="0"/>
        <w:rPr>
          <w:rFonts w:ascii="宋体" w:hAnsi="宋体" w:cs="宋体"/>
          <w:b/>
          <w:color w:val="auto"/>
          <w:sz w:val="28"/>
          <w:szCs w:val="28"/>
          <w:highlight w:val="none"/>
        </w:rPr>
      </w:pPr>
    </w:p>
    <w:p w14:paraId="7616CA85">
      <w:pPr>
        <w:spacing w:line="300" w:lineRule="exact"/>
        <w:ind w:firstLine="0" w:firstLineChars="0"/>
        <w:rPr>
          <w:rFonts w:ascii="宋体" w:hAnsi="宋体" w:cs="宋体"/>
          <w:b/>
          <w:color w:val="auto"/>
          <w:sz w:val="28"/>
          <w:szCs w:val="28"/>
          <w:highlight w:val="none"/>
        </w:rPr>
      </w:pPr>
    </w:p>
    <w:p w14:paraId="6364382A">
      <w:pPr>
        <w:spacing w:line="300" w:lineRule="exact"/>
        <w:ind w:firstLine="0" w:firstLineChars="0"/>
        <w:rPr>
          <w:rFonts w:ascii="宋体" w:hAnsi="宋体" w:cs="宋体"/>
          <w:b/>
          <w:color w:val="auto"/>
          <w:sz w:val="28"/>
          <w:szCs w:val="28"/>
          <w:highlight w:val="none"/>
        </w:rPr>
      </w:pPr>
    </w:p>
    <w:p w14:paraId="16CB9A2C">
      <w:pPr>
        <w:spacing w:line="300" w:lineRule="exact"/>
        <w:ind w:firstLine="0" w:firstLineChars="0"/>
        <w:rPr>
          <w:rFonts w:ascii="宋体" w:hAnsi="宋体" w:cs="宋体"/>
          <w:b/>
          <w:color w:val="auto"/>
          <w:sz w:val="28"/>
          <w:szCs w:val="28"/>
          <w:highlight w:val="none"/>
        </w:rPr>
      </w:pPr>
    </w:p>
    <w:p w14:paraId="1BE64794">
      <w:pPr>
        <w:spacing w:line="300" w:lineRule="exact"/>
        <w:ind w:firstLine="0" w:firstLineChars="0"/>
        <w:rPr>
          <w:rFonts w:ascii="宋体" w:hAnsi="宋体" w:cs="宋体"/>
          <w:b/>
          <w:color w:val="auto"/>
          <w:sz w:val="28"/>
          <w:szCs w:val="28"/>
          <w:highlight w:val="none"/>
        </w:rPr>
      </w:pPr>
    </w:p>
    <w:p w14:paraId="6C54B814">
      <w:pPr>
        <w:spacing w:line="300" w:lineRule="exact"/>
        <w:ind w:firstLine="0" w:firstLineChars="0"/>
        <w:rPr>
          <w:rFonts w:ascii="宋体" w:hAnsi="宋体" w:cs="宋体"/>
          <w:b/>
          <w:color w:val="auto"/>
          <w:sz w:val="28"/>
          <w:szCs w:val="28"/>
          <w:highlight w:val="none"/>
        </w:rPr>
      </w:pPr>
    </w:p>
    <w:p w14:paraId="0926C3C4">
      <w:pPr>
        <w:spacing w:line="300" w:lineRule="exact"/>
        <w:ind w:firstLine="0" w:firstLineChars="0"/>
        <w:rPr>
          <w:rFonts w:ascii="宋体" w:hAnsi="宋体" w:cs="宋体"/>
          <w:b/>
          <w:color w:val="auto"/>
          <w:sz w:val="28"/>
          <w:szCs w:val="28"/>
          <w:highlight w:val="none"/>
        </w:rPr>
      </w:pPr>
    </w:p>
    <w:p w14:paraId="2F30EA48">
      <w:pPr>
        <w:spacing w:line="300" w:lineRule="exact"/>
        <w:ind w:firstLine="0" w:firstLineChars="0"/>
        <w:rPr>
          <w:rFonts w:ascii="宋体" w:hAnsi="宋体" w:cs="宋体"/>
          <w:b/>
          <w:color w:val="auto"/>
          <w:sz w:val="28"/>
          <w:szCs w:val="28"/>
          <w:highlight w:val="none"/>
        </w:rPr>
      </w:pPr>
    </w:p>
    <w:p w14:paraId="029888DA">
      <w:pPr>
        <w:spacing w:line="300" w:lineRule="exact"/>
        <w:ind w:firstLine="0" w:firstLineChars="0"/>
        <w:rPr>
          <w:rFonts w:ascii="宋体" w:hAnsi="宋体" w:cs="宋体"/>
          <w:b/>
          <w:color w:val="auto"/>
          <w:sz w:val="28"/>
          <w:szCs w:val="28"/>
          <w:highlight w:val="none"/>
        </w:rPr>
      </w:pPr>
    </w:p>
    <w:p w14:paraId="30C6CB9E">
      <w:pPr>
        <w:spacing w:line="300" w:lineRule="exact"/>
        <w:ind w:firstLine="0" w:firstLineChars="0"/>
        <w:rPr>
          <w:rFonts w:ascii="宋体" w:hAnsi="宋体" w:cs="宋体"/>
          <w:b/>
          <w:color w:val="auto"/>
          <w:sz w:val="28"/>
          <w:szCs w:val="28"/>
          <w:highlight w:val="none"/>
        </w:rPr>
      </w:pPr>
      <w:r>
        <w:rPr>
          <w:rFonts w:hint="eastAsia" w:ascii="宋体" w:hAnsi="宋体" w:cs="宋体"/>
          <w:b/>
          <w:color w:val="auto"/>
          <w:sz w:val="28"/>
          <w:szCs w:val="28"/>
          <w:highlight w:val="none"/>
        </w:rPr>
        <w:t>3.供应商的授权委托书原件、委托代理人身份证正反面复印件（委托代理时必须提供）</w:t>
      </w:r>
    </w:p>
    <w:p w14:paraId="557E3D9F">
      <w:pPr>
        <w:spacing w:line="300" w:lineRule="exact"/>
        <w:ind w:firstLine="0" w:firstLineChars="0"/>
        <w:rPr>
          <w:rFonts w:ascii="宋体" w:hAnsi="宋体" w:cs="宋体"/>
          <w:b/>
          <w:color w:val="auto"/>
          <w:kern w:val="0"/>
          <w:sz w:val="28"/>
          <w:szCs w:val="28"/>
          <w:highlight w:val="none"/>
        </w:rPr>
      </w:pPr>
    </w:p>
    <w:p w14:paraId="670EE9B5">
      <w:pPr>
        <w:spacing w:line="400" w:lineRule="exact"/>
        <w:ind w:left="480" w:leftChars="200" w:firstLine="157" w:firstLineChars="49"/>
        <w:rPr>
          <w:rFonts w:ascii="宋体" w:hAnsi="宋体" w:cs="宋体"/>
          <w:b/>
          <w:color w:val="auto"/>
          <w:sz w:val="32"/>
          <w:szCs w:val="32"/>
          <w:highlight w:val="none"/>
        </w:rPr>
      </w:pPr>
      <w:r>
        <w:rPr>
          <w:rFonts w:hint="eastAsia" w:ascii="宋体" w:hAnsi="宋体" w:cs="宋体"/>
          <w:b/>
          <w:color w:val="auto"/>
          <w:sz w:val="32"/>
          <w:szCs w:val="32"/>
          <w:highlight w:val="none"/>
        </w:rPr>
        <w:t>附件：</w:t>
      </w:r>
    </w:p>
    <w:p w14:paraId="4228A2A4">
      <w:pPr>
        <w:spacing w:line="240" w:lineRule="auto"/>
        <w:ind w:firstLine="482"/>
        <w:rPr>
          <w:rFonts w:ascii="宋体" w:hAnsi="宋体" w:cs="宋体"/>
          <w:b/>
          <w:color w:val="auto"/>
          <w:szCs w:val="24"/>
          <w:highlight w:val="none"/>
        </w:rPr>
      </w:pPr>
    </w:p>
    <w:p w14:paraId="2BF437E9">
      <w:pPr>
        <w:spacing w:line="240" w:lineRule="auto"/>
        <w:ind w:firstLine="0" w:firstLineChars="0"/>
        <w:jc w:val="center"/>
        <w:rPr>
          <w:rFonts w:ascii="宋体" w:hAnsi="宋体" w:cs="宋体"/>
          <w:b/>
          <w:color w:val="auto"/>
          <w:sz w:val="32"/>
          <w:szCs w:val="20"/>
          <w:highlight w:val="none"/>
        </w:rPr>
      </w:pPr>
      <w:r>
        <w:rPr>
          <w:rFonts w:hint="eastAsia" w:ascii="宋体" w:hAnsi="宋体" w:cs="宋体"/>
          <w:b/>
          <w:color w:val="auto"/>
          <w:sz w:val="32"/>
          <w:szCs w:val="20"/>
          <w:highlight w:val="none"/>
        </w:rPr>
        <w:t xml:space="preserve">  授权委托书（格式一）</w:t>
      </w:r>
    </w:p>
    <w:p w14:paraId="5311A050">
      <w:pPr>
        <w:snapToGrid w:val="0"/>
        <w:spacing w:line="400" w:lineRule="exact"/>
        <w:ind w:firstLine="0" w:firstLineChars="0"/>
        <w:rPr>
          <w:rFonts w:ascii="宋体" w:hAnsi="宋体" w:cs="宋体"/>
          <w:color w:val="auto"/>
          <w:sz w:val="21"/>
          <w:szCs w:val="24"/>
          <w:highlight w:val="none"/>
        </w:rPr>
      </w:pPr>
      <w:r>
        <w:rPr>
          <w:rFonts w:hint="eastAsia" w:ascii="宋体" w:hAnsi="宋体" w:cs="宋体"/>
          <w:b/>
          <w:color w:val="auto"/>
          <w:sz w:val="21"/>
          <w:szCs w:val="21"/>
          <w:highlight w:val="none"/>
        </w:rPr>
        <w:t>致</w:t>
      </w:r>
      <w:r>
        <w:rPr>
          <w:rFonts w:hint="eastAsia" w:ascii="宋体" w:hAnsi="宋体" w:cs="宋体"/>
          <w:color w:val="auto"/>
          <w:sz w:val="21"/>
          <w:szCs w:val="21"/>
          <w:highlight w:val="none"/>
        </w:rPr>
        <w:t>：</w:t>
      </w:r>
      <w:r>
        <w:rPr>
          <w:rFonts w:hint="eastAsia" w:ascii="宋体" w:hAnsi="宋体" w:cs="宋体"/>
          <w:color w:val="auto"/>
          <w:sz w:val="21"/>
          <w:szCs w:val="24"/>
          <w:highlight w:val="none"/>
          <w:u w:val="single"/>
        </w:rPr>
        <w:t>云之龙咨询集团有限公司</w:t>
      </w:r>
    </w:p>
    <w:p w14:paraId="663FFF84">
      <w:pPr>
        <w:snapToGrid w:val="0"/>
        <w:spacing w:line="400" w:lineRule="exact"/>
        <w:ind w:firstLine="0" w:firstLineChars="0"/>
        <w:rPr>
          <w:rFonts w:ascii="宋体" w:hAnsi="宋体" w:cs="宋体"/>
          <w:color w:val="auto"/>
          <w:sz w:val="21"/>
          <w:szCs w:val="21"/>
          <w:highlight w:val="none"/>
          <w:u w:val="single"/>
        </w:rPr>
      </w:pPr>
    </w:p>
    <w:p w14:paraId="403A5EB8">
      <w:pPr>
        <w:spacing w:line="400" w:lineRule="exact"/>
        <w:ind w:firstLine="525" w:firstLineChars="250"/>
        <w:rPr>
          <w:rFonts w:ascii="宋体" w:hAnsi="宋体" w:cs="宋体"/>
          <w:color w:val="auto"/>
          <w:sz w:val="21"/>
          <w:szCs w:val="20"/>
          <w:highlight w:val="none"/>
        </w:rPr>
      </w:pPr>
      <w:r>
        <w:rPr>
          <w:rFonts w:hint="eastAsia" w:ascii="宋体" w:hAnsi="宋体" w:cs="宋体"/>
          <w:color w:val="auto"/>
          <w:kern w:val="0"/>
          <w:sz w:val="21"/>
          <w:szCs w:val="20"/>
          <w:highlight w:val="none"/>
        </w:rPr>
        <w:t>我</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（姓名）系</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（供应商名称）的法定代表人（负责人），现授权委托本单位在职职工</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（姓名）以我公司名义参加</w:t>
      </w:r>
      <w:r>
        <w:rPr>
          <w:rFonts w:hint="eastAsia" w:ascii="宋体" w:hAnsi="宋体" w:cs="宋体"/>
          <w:color w:val="auto"/>
          <w:kern w:val="0"/>
          <w:sz w:val="21"/>
          <w:szCs w:val="20"/>
          <w:highlight w:val="none"/>
          <w:u w:val="single"/>
        </w:rPr>
        <w:t xml:space="preserve">      </w:t>
      </w:r>
      <w:r>
        <w:rPr>
          <w:rFonts w:hint="eastAsia" w:ascii="宋体" w:hAnsi="宋体" w:cs="宋体"/>
          <w:color w:val="auto"/>
          <w:sz w:val="21"/>
          <w:szCs w:val="20"/>
          <w:highlight w:val="none"/>
          <w:u w:val="single"/>
        </w:rPr>
        <w:t xml:space="preserve">（项目名称及项目编号）        </w:t>
      </w:r>
      <w:r>
        <w:rPr>
          <w:rFonts w:hint="eastAsia" w:ascii="宋体" w:hAnsi="宋体" w:cs="宋体"/>
          <w:color w:val="auto"/>
          <w:sz w:val="21"/>
          <w:szCs w:val="20"/>
          <w:highlight w:val="none"/>
        </w:rPr>
        <w:t>项目的磋商活动，并代表我方全权办理针对上述项目的磋商、签约等具体事务和签署相关文件。</w:t>
      </w:r>
    </w:p>
    <w:p w14:paraId="1A5084AC">
      <w:pPr>
        <w:spacing w:line="400" w:lineRule="exact"/>
        <w:ind w:firstLine="420"/>
        <w:rPr>
          <w:rFonts w:ascii="宋体" w:hAnsi="宋体" w:cs="宋体"/>
          <w:color w:val="auto"/>
          <w:sz w:val="21"/>
          <w:szCs w:val="20"/>
          <w:highlight w:val="none"/>
        </w:rPr>
      </w:pPr>
      <w:r>
        <w:rPr>
          <w:rFonts w:hint="eastAsia" w:ascii="宋体" w:hAnsi="宋体" w:cs="宋体"/>
          <w:color w:val="auto"/>
          <w:sz w:val="21"/>
          <w:szCs w:val="20"/>
          <w:highlight w:val="none"/>
        </w:rPr>
        <w:t>我方对被授权人的签字事项负全部责任。</w:t>
      </w:r>
    </w:p>
    <w:p w14:paraId="1DFE8D6F">
      <w:pPr>
        <w:spacing w:line="400" w:lineRule="exact"/>
        <w:ind w:firstLine="420"/>
        <w:rPr>
          <w:rFonts w:ascii="宋体" w:hAnsi="宋体" w:cs="宋体"/>
          <w:color w:val="auto"/>
          <w:sz w:val="21"/>
          <w:szCs w:val="20"/>
          <w:highlight w:val="none"/>
          <w:u w:val="single"/>
        </w:rPr>
      </w:pPr>
      <w:r>
        <w:rPr>
          <w:rFonts w:hint="eastAsia" w:ascii="宋体" w:hAnsi="宋体" w:cs="宋体"/>
          <w:color w:val="auto"/>
          <w:sz w:val="21"/>
          <w:szCs w:val="20"/>
          <w:highlight w:val="none"/>
        </w:rPr>
        <w:t>授权委托代理期限：从</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 日起至</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日止。</w:t>
      </w:r>
    </w:p>
    <w:p w14:paraId="498491B9">
      <w:pPr>
        <w:spacing w:line="400" w:lineRule="exact"/>
        <w:ind w:firstLine="0" w:firstLineChars="0"/>
        <w:rPr>
          <w:rFonts w:ascii="宋体" w:hAnsi="宋体" w:cs="宋体"/>
          <w:color w:val="auto"/>
          <w:sz w:val="21"/>
          <w:szCs w:val="20"/>
          <w:highlight w:val="none"/>
          <w:u w:val="single"/>
        </w:rPr>
      </w:pPr>
      <w:r>
        <w:rPr>
          <w:rFonts w:hint="eastAsia" w:ascii="宋体" w:hAnsi="宋体" w:cs="宋体"/>
          <w:color w:val="auto"/>
          <w:sz w:val="21"/>
          <w:szCs w:val="20"/>
          <w:highlight w:val="none"/>
        </w:rPr>
        <w:t xml:space="preserve">                                                                                             </w:t>
      </w:r>
    </w:p>
    <w:p w14:paraId="7DD73B19">
      <w:pPr>
        <w:spacing w:line="400" w:lineRule="exact"/>
        <w:ind w:firstLine="420"/>
        <w:rPr>
          <w:rFonts w:ascii="宋体" w:hAnsi="宋体" w:cs="宋体"/>
          <w:color w:val="auto"/>
          <w:kern w:val="0"/>
          <w:sz w:val="21"/>
          <w:szCs w:val="24"/>
          <w:highlight w:val="none"/>
        </w:rPr>
      </w:pPr>
      <w:r>
        <w:rPr>
          <w:rFonts w:hint="eastAsia" w:ascii="宋体" w:hAnsi="宋体" w:cs="宋体"/>
          <w:color w:val="auto"/>
          <w:kern w:val="0"/>
          <w:sz w:val="21"/>
          <w:szCs w:val="24"/>
          <w:highlight w:val="none"/>
        </w:rPr>
        <w:t xml:space="preserve">代理人无转委托权，特此委托。 </w:t>
      </w:r>
    </w:p>
    <w:p w14:paraId="45032691">
      <w:pPr>
        <w:spacing w:line="240" w:lineRule="auto"/>
        <w:ind w:firstLine="0" w:firstLineChars="0"/>
        <w:rPr>
          <w:rFonts w:ascii="宋体" w:hAnsi="宋体" w:cs="宋体"/>
          <w:color w:val="auto"/>
          <w:sz w:val="21"/>
          <w:szCs w:val="24"/>
          <w:highlight w:val="none"/>
        </w:rPr>
      </w:pPr>
    </w:p>
    <w:p w14:paraId="24EB6584">
      <w:pPr>
        <w:snapToGrid w:val="0"/>
        <w:spacing w:line="400" w:lineRule="exact"/>
        <w:ind w:firstLine="420" w:firstLineChars="0"/>
        <w:rPr>
          <w:rFonts w:ascii="宋体" w:hAnsi="宋体" w:cs="宋体"/>
          <w:color w:val="auto"/>
          <w:sz w:val="21"/>
          <w:szCs w:val="21"/>
          <w:highlight w:val="none"/>
        </w:rPr>
      </w:pPr>
      <w:r>
        <w:rPr>
          <w:rFonts w:hint="eastAsia" w:ascii="宋体" w:hAnsi="宋体" w:cs="宋体"/>
          <w:color w:val="auto"/>
          <w:sz w:val="21"/>
          <w:szCs w:val="21"/>
          <w:highlight w:val="none"/>
        </w:rPr>
        <w:t>我已在下面签字，以资证明。</w:t>
      </w:r>
    </w:p>
    <w:p w14:paraId="75A22E73">
      <w:pPr>
        <w:widowControl/>
        <w:spacing w:line="240" w:lineRule="auto"/>
        <w:ind w:firstLine="480"/>
        <w:jc w:val="left"/>
        <w:rPr>
          <w:rFonts w:ascii="宋体" w:hAnsi="宋体" w:cs="宋体"/>
          <w:color w:val="auto"/>
          <w:kern w:val="0"/>
          <w:szCs w:val="28"/>
          <w:highlight w:val="none"/>
        </w:rPr>
      </w:pPr>
    </w:p>
    <w:p w14:paraId="69DCE624">
      <w:pPr>
        <w:widowControl/>
        <w:spacing w:line="240" w:lineRule="auto"/>
        <w:ind w:firstLine="480"/>
        <w:jc w:val="left"/>
        <w:rPr>
          <w:rFonts w:ascii="宋体" w:hAnsi="宋体" w:cs="宋体"/>
          <w:color w:val="auto"/>
          <w:kern w:val="0"/>
          <w:szCs w:val="28"/>
          <w:highlight w:val="none"/>
        </w:rPr>
      </w:pPr>
      <w:r>
        <w:rPr>
          <w:rFonts w:hint="eastAsia" w:ascii="宋体" w:hAnsi="宋体" w:cs="宋体"/>
          <w:color w:val="auto"/>
          <w:kern w:val="0"/>
          <w:szCs w:val="28"/>
          <w:highlight w:val="none"/>
        </w:rPr>
        <w:t xml:space="preserve">供应商（电子签章）：                                   </w:t>
      </w:r>
    </w:p>
    <w:p w14:paraId="5A75D05D">
      <w:pPr>
        <w:widowControl/>
        <w:spacing w:line="240" w:lineRule="auto"/>
        <w:ind w:firstLine="480"/>
        <w:jc w:val="left"/>
        <w:rPr>
          <w:rFonts w:ascii="宋体" w:hAnsi="宋体" w:cs="宋体"/>
          <w:color w:val="auto"/>
          <w:kern w:val="0"/>
          <w:szCs w:val="21"/>
          <w:highlight w:val="none"/>
        </w:rPr>
      </w:pPr>
    </w:p>
    <w:p w14:paraId="74C75F17">
      <w:pPr>
        <w:widowControl/>
        <w:spacing w:line="240" w:lineRule="auto"/>
        <w:ind w:firstLine="480"/>
        <w:jc w:val="left"/>
        <w:rPr>
          <w:rFonts w:ascii="宋体" w:hAnsi="宋体" w:cs="宋体"/>
          <w:color w:val="auto"/>
          <w:kern w:val="0"/>
          <w:szCs w:val="28"/>
          <w:highlight w:val="none"/>
        </w:rPr>
      </w:pPr>
      <w:r>
        <w:rPr>
          <w:rFonts w:hint="eastAsia" w:ascii="宋体" w:hAnsi="宋体" w:cs="宋体"/>
          <w:color w:val="auto"/>
          <w:kern w:val="0"/>
          <w:szCs w:val="28"/>
          <w:highlight w:val="none"/>
        </w:rPr>
        <w:t xml:space="preserve">法定代表人（负责人）签字（或电子签名）：                       　    </w:t>
      </w:r>
    </w:p>
    <w:p w14:paraId="1F97F75C">
      <w:pPr>
        <w:widowControl/>
        <w:spacing w:line="240" w:lineRule="auto"/>
        <w:ind w:firstLine="480"/>
        <w:jc w:val="left"/>
        <w:rPr>
          <w:rFonts w:ascii="宋体" w:hAnsi="宋体" w:cs="宋体"/>
          <w:color w:val="auto"/>
          <w:kern w:val="0"/>
          <w:szCs w:val="28"/>
          <w:highlight w:val="none"/>
        </w:rPr>
      </w:pPr>
    </w:p>
    <w:p w14:paraId="23F93D98">
      <w:pPr>
        <w:widowControl/>
        <w:spacing w:line="240" w:lineRule="auto"/>
        <w:ind w:firstLine="480"/>
        <w:jc w:val="left"/>
        <w:rPr>
          <w:rFonts w:ascii="宋体" w:hAnsi="宋体" w:cs="宋体"/>
          <w:color w:val="auto"/>
          <w:kern w:val="0"/>
          <w:szCs w:val="28"/>
          <w:highlight w:val="none"/>
        </w:rPr>
      </w:pPr>
      <w:r>
        <w:rPr>
          <w:rFonts w:hint="eastAsia" w:ascii="宋体" w:hAnsi="宋体" w:cs="宋体"/>
          <w:color w:val="auto"/>
          <w:kern w:val="0"/>
          <w:szCs w:val="28"/>
          <w:highlight w:val="none"/>
        </w:rPr>
        <w:t>年      月     日</w:t>
      </w:r>
    </w:p>
    <w:p w14:paraId="2BBCBA66">
      <w:pPr>
        <w:spacing w:line="400" w:lineRule="exact"/>
        <w:ind w:firstLine="602" w:firstLineChars="250"/>
        <w:rPr>
          <w:rFonts w:ascii="宋体" w:hAnsi="宋体" w:cs="宋体"/>
          <w:b/>
          <w:color w:val="auto"/>
          <w:szCs w:val="24"/>
          <w:highlight w:val="none"/>
        </w:rPr>
      </w:pPr>
    </w:p>
    <w:p w14:paraId="0247AE27">
      <w:pPr>
        <w:spacing w:line="400" w:lineRule="exact"/>
        <w:ind w:firstLine="602" w:firstLineChars="250"/>
        <w:rPr>
          <w:rFonts w:ascii="宋体" w:hAnsi="宋体" w:cs="宋体"/>
          <w:b/>
          <w:color w:val="auto"/>
          <w:szCs w:val="24"/>
          <w:highlight w:val="none"/>
        </w:rPr>
      </w:pPr>
      <w:r>
        <w:rPr>
          <w:rFonts w:hint="eastAsia" w:ascii="宋体" w:hAnsi="宋体" w:cs="宋体"/>
          <w:b/>
          <w:color w:val="auto"/>
          <w:szCs w:val="24"/>
          <w:highlight w:val="none"/>
        </w:rPr>
        <w:t>附：委托代理人身份证正反面复印件（委托代理时必须提供）。</w:t>
      </w:r>
    </w:p>
    <w:p w14:paraId="12F0D281">
      <w:pPr>
        <w:spacing w:line="240" w:lineRule="auto"/>
        <w:ind w:firstLine="0" w:firstLineChars="0"/>
        <w:rPr>
          <w:rFonts w:ascii="宋体" w:hAnsi="宋体" w:cs="宋体"/>
          <w:color w:val="auto"/>
          <w:sz w:val="21"/>
          <w:szCs w:val="24"/>
          <w:highlight w:val="none"/>
        </w:rPr>
      </w:pPr>
    </w:p>
    <w:p w14:paraId="3BC86B85">
      <w:pPr>
        <w:spacing w:line="240" w:lineRule="auto"/>
        <w:ind w:firstLine="0" w:firstLineChars="0"/>
        <w:rPr>
          <w:rFonts w:ascii="宋体" w:hAnsi="宋体" w:cs="宋体"/>
          <w:color w:val="auto"/>
          <w:sz w:val="21"/>
          <w:szCs w:val="24"/>
          <w:highlight w:val="none"/>
        </w:rPr>
      </w:pPr>
    </w:p>
    <w:p w14:paraId="12D190D4">
      <w:pPr>
        <w:spacing w:line="240" w:lineRule="auto"/>
        <w:ind w:firstLine="0" w:firstLineChars="0"/>
        <w:rPr>
          <w:rFonts w:ascii="宋体" w:hAnsi="宋体" w:cs="宋体"/>
          <w:color w:val="auto"/>
          <w:sz w:val="21"/>
          <w:szCs w:val="24"/>
          <w:highlight w:val="none"/>
        </w:rPr>
      </w:pPr>
    </w:p>
    <w:p w14:paraId="0CADE1BF">
      <w:pPr>
        <w:spacing w:line="240" w:lineRule="auto"/>
        <w:ind w:firstLine="0" w:firstLineChars="0"/>
        <w:rPr>
          <w:rFonts w:ascii="宋体" w:hAnsi="宋体" w:cs="宋体"/>
          <w:color w:val="auto"/>
          <w:sz w:val="21"/>
          <w:szCs w:val="24"/>
          <w:highlight w:val="none"/>
        </w:rPr>
      </w:pPr>
    </w:p>
    <w:p w14:paraId="05BA0FDE">
      <w:pPr>
        <w:spacing w:line="240" w:lineRule="auto"/>
        <w:ind w:firstLine="0" w:firstLineChars="0"/>
        <w:rPr>
          <w:rFonts w:ascii="宋体" w:hAnsi="宋体" w:cs="宋体"/>
          <w:color w:val="auto"/>
          <w:sz w:val="21"/>
          <w:szCs w:val="24"/>
          <w:highlight w:val="none"/>
        </w:rPr>
      </w:pPr>
    </w:p>
    <w:p w14:paraId="4DFF62F5">
      <w:pPr>
        <w:spacing w:line="240" w:lineRule="auto"/>
        <w:ind w:firstLine="0" w:firstLineChars="0"/>
        <w:rPr>
          <w:rFonts w:ascii="宋体" w:hAnsi="宋体" w:cs="宋体"/>
          <w:color w:val="auto"/>
          <w:sz w:val="21"/>
          <w:szCs w:val="24"/>
          <w:highlight w:val="none"/>
        </w:rPr>
      </w:pPr>
    </w:p>
    <w:p w14:paraId="59842A64">
      <w:pPr>
        <w:spacing w:line="240" w:lineRule="auto"/>
        <w:ind w:firstLine="0" w:firstLineChars="0"/>
        <w:rPr>
          <w:rFonts w:ascii="宋体" w:hAnsi="宋体" w:cs="宋体"/>
          <w:color w:val="auto"/>
          <w:sz w:val="21"/>
          <w:szCs w:val="24"/>
          <w:highlight w:val="none"/>
        </w:rPr>
      </w:pPr>
    </w:p>
    <w:p w14:paraId="3E5B32EB">
      <w:pPr>
        <w:spacing w:line="240" w:lineRule="auto"/>
        <w:ind w:firstLine="0" w:firstLineChars="0"/>
        <w:rPr>
          <w:rFonts w:ascii="宋体" w:hAnsi="宋体" w:cs="宋体"/>
          <w:color w:val="auto"/>
          <w:sz w:val="21"/>
          <w:szCs w:val="24"/>
          <w:highlight w:val="none"/>
        </w:rPr>
      </w:pPr>
    </w:p>
    <w:p w14:paraId="4BBD2D20">
      <w:pPr>
        <w:spacing w:line="240" w:lineRule="auto"/>
        <w:ind w:firstLine="0" w:firstLineChars="0"/>
        <w:rPr>
          <w:rFonts w:ascii="宋体" w:hAnsi="宋体" w:cs="宋体"/>
          <w:color w:val="auto"/>
          <w:sz w:val="21"/>
          <w:szCs w:val="24"/>
          <w:highlight w:val="none"/>
        </w:rPr>
      </w:pPr>
    </w:p>
    <w:p w14:paraId="3378F09A">
      <w:pPr>
        <w:spacing w:line="240" w:lineRule="auto"/>
        <w:ind w:firstLine="0" w:firstLineChars="0"/>
        <w:rPr>
          <w:rFonts w:ascii="宋体" w:hAnsi="宋体" w:cs="宋体"/>
          <w:color w:val="auto"/>
          <w:sz w:val="21"/>
          <w:szCs w:val="24"/>
          <w:highlight w:val="none"/>
        </w:rPr>
      </w:pPr>
    </w:p>
    <w:p w14:paraId="41B324D4">
      <w:pPr>
        <w:spacing w:line="240" w:lineRule="auto"/>
        <w:ind w:firstLine="0" w:firstLineChars="0"/>
        <w:rPr>
          <w:rFonts w:ascii="宋体" w:hAnsi="宋体" w:cs="宋体"/>
          <w:color w:val="auto"/>
          <w:sz w:val="21"/>
          <w:szCs w:val="24"/>
          <w:highlight w:val="none"/>
        </w:rPr>
      </w:pPr>
    </w:p>
    <w:p w14:paraId="1098AD8A">
      <w:pPr>
        <w:spacing w:line="240" w:lineRule="auto"/>
        <w:ind w:firstLine="0" w:firstLineChars="0"/>
        <w:rPr>
          <w:rFonts w:ascii="宋体" w:hAnsi="宋体" w:cs="宋体"/>
          <w:color w:val="auto"/>
          <w:sz w:val="21"/>
          <w:szCs w:val="24"/>
          <w:highlight w:val="none"/>
        </w:rPr>
      </w:pPr>
    </w:p>
    <w:p w14:paraId="4C46366A">
      <w:pPr>
        <w:spacing w:line="240" w:lineRule="auto"/>
        <w:ind w:firstLine="0" w:firstLineChars="0"/>
        <w:jc w:val="center"/>
        <w:rPr>
          <w:rFonts w:ascii="宋体" w:hAnsi="宋体" w:cs="宋体"/>
          <w:b/>
          <w:color w:val="auto"/>
          <w:sz w:val="32"/>
          <w:szCs w:val="20"/>
          <w:highlight w:val="none"/>
        </w:rPr>
      </w:pPr>
    </w:p>
    <w:p w14:paraId="3CA24B96">
      <w:pPr>
        <w:spacing w:line="240" w:lineRule="auto"/>
        <w:ind w:firstLine="0" w:firstLineChars="0"/>
        <w:jc w:val="center"/>
        <w:rPr>
          <w:rFonts w:ascii="宋体" w:hAnsi="宋体" w:cs="宋体"/>
          <w:b/>
          <w:color w:val="auto"/>
          <w:sz w:val="32"/>
          <w:szCs w:val="20"/>
          <w:highlight w:val="none"/>
        </w:rPr>
      </w:pPr>
    </w:p>
    <w:p w14:paraId="393A937B">
      <w:pPr>
        <w:spacing w:line="240" w:lineRule="auto"/>
        <w:ind w:firstLine="0" w:firstLineChars="0"/>
        <w:jc w:val="center"/>
        <w:rPr>
          <w:rFonts w:ascii="宋体" w:hAnsi="宋体" w:cs="宋体"/>
          <w:b/>
          <w:color w:val="auto"/>
          <w:sz w:val="32"/>
          <w:szCs w:val="20"/>
          <w:highlight w:val="none"/>
        </w:rPr>
      </w:pPr>
    </w:p>
    <w:p w14:paraId="1738B54B">
      <w:pPr>
        <w:spacing w:line="240" w:lineRule="auto"/>
        <w:ind w:firstLine="0" w:firstLineChars="0"/>
        <w:jc w:val="center"/>
        <w:rPr>
          <w:rFonts w:ascii="宋体" w:hAnsi="宋体" w:cs="宋体"/>
          <w:b/>
          <w:color w:val="auto"/>
          <w:sz w:val="32"/>
          <w:szCs w:val="20"/>
          <w:highlight w:val="none"/>
        </w:rPr>
      </w:pPr>
    </w:p>
    <w:p w14:paraId="758FCF64">
      <w:pPr>
        <w:spacing w:line="240" w:lineRule="auto"/>
        <w:ind w:firstLine="0" w:firstLineChars="0"/>
        <w:jc w:val="center"/>
        <w:rPr>
          <w:rFonts w:ascii="宋体" w:hAnsi="宋体" w:cs="宋体"/>
          <w:b/>
          <w:color w:val="auto"/>
          <w:sz w:val="32"/>
          <w:szCs w:val="20"/>
          <w:highlight w:val="none"/>
        </w:rPr>
      </w:pPr>
      <w:r>
        <w:rPr>
          <w:rFonts w:hint="eastAsia" w:ascii="宋体" w:hAnsi="宋体" w:cs="宋体"/>
          <w:b/>
          <w:color w:val="auto"/>
          <w:sz w:val="32"/>
          <w:szCs w:val="20"/>
          <w:highlight w:val="none"/>
        </w:rPr>
        <w:t>授权委托书（格式二）</w:t>
      </w:r>
    </w:p>
    <w:p w14:paraId="291424AB">
      <w:pPr>
        <w:snapToGrid w:val="0"/>
        <w:spacing w:line="400" w:lineRule="exact"/>
        <w:ind w:firstLine="0" w:firstLineChars="0"/>
        <w:rPr>
          <w:rFonts w:ascii="宋体" w:hAnsi="宋体" w:cs="宋体"/>
          <w:color w:val="auto"/>
          <w:sz w:val="21"/>
          <w:szCs w:val="24"/>
          <w:highlight w:val="none"/>
        </w:rPr>
      </w:pPr>
      <w:r>
        <w:rPr>
          <w:rFonts w:hint="eastAsia" w:ascii="宋体" w:hAnsi="宋体" w:cs="宋体"/>
          <w:b/>
          <w:color w:val="auto"/>
          <w:sz w:val="21"/>
          <w:szCs w:val="21"/>
          <w:highlight w:val="none"/>
        </w:rPr>
        <w:t>致</w:t>
      </w:r>
      <w:r>
        <w:rPr>
          <w:rFonts w:hint="eastAsia" w:ascii="宋体" w:hAnsi="宋体" w:cs="宋体"/>
          <w:color w:val="auto"/>
          <w:sz w:val="21"/>
          <w:szCs w:val="21"/>
          <w:highlight w:val="none"/>
        </w:rPr>
        <w:t>：</w:t>
      </w:r>
      <w:r>
        <w:rPr>
          <w:rFonts w:hint="eastAsia" w:ascii="宋体" w:hAnsi="宋体" w:cs="宋体"/>
          <w:color w:val="auto"/>
          <w:sz w:val="21"/>
          <w:szCs w:val="24"/>
          <w:highlight w:val="none"/>
          <w:u w:val="single"/>
        </w:rPr>
        <w:t>云之龙咨询集团有限公司</w:t>
      </w:r>
    </w:p>
    <w:p w14:paraId="04CF78FC">
      <w:pPr>
        <w:spacing w:line="240" w:lineRule="auto"/>
        <w:ind w:firstLine="0" w:firstLineChars="0"/>
        <w:rPr>
          <w:rFonts w:ascii="宋体" w:hAnsi="宋体" w:cs="宋体"/>
          <w:color w:val="auto"/>
          <w:sz w:val="21"/>
          <w:szCs w:val="24"/>
          <w:highlight w:val="none"/>
        </w:rPr>
      </w:pPr>
    </w:p>
    <w:p w14:paraId="26610C41">
      <w:pPr>
        <w:spacing w:line="340" w:lineRule="exact"/>
        <w:ind w:firstLine="420"/>
        <w:rPr>
          <w:rFonts w:ascii="宋体" w:hAnsi="宋体" w:cs="宋体"/>
          <w:color w:val="auto"/>
          <w:sz w:val="21"/>
          <w:szCs w:val="20"/>
          <w:highlight w:val="none"/>
        </w:rPr>
      </w:pPr>
      <w:r>
        <w:rPr>
          <w:rFonts w:hint="eastAsia" w:ascii="宋体" w:hAnsi="宋体" w:cs="宋体"/>
          <w:color w:val="auto"/>
          <w:kern w:val="0"/>
          <w:sz w:val="21"/>
          <w:szCs w:val="20"/>
          <w:highlight w:val="none"/>
        </w:rPr>
        <w:t>我</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（姓名）系自然人，现授权委托</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 名）以本人名义参加</w:t>
      </w:r>
      <w:r>
        <w:rPr>
          <w:rFonts w:hint="eastAsia" w:ascii="宋体" w:hAnsi="宋体" w:cs="宋体"/>
          <w:color w:val="auto"/>
          <w:kern w:val="0"/>
          <w:sz w:val="21"/>
          <w:szCs w:val="20"/>
          <w:highlight w:val="none"/>
          <w:u w:val="single"/>
        </w:rPr>
        <w:t xml:space="preserve">      </w:t>
      </w:r>
      <w:r>
        <w:rPr>
          <w:rFonts w:hint="eastAsia" w:ascii="宋体" w:hAnsi="宋体" w:cs="宋体"/>
          <w:color w:val="auto"/>
          <w:sz w:val="21"/>
          <w:szCs w:val="20"/>
          <w:highlight w:val="none"/>
          <w:u w:val="single"/>
        </w:rPr>
        <w:t xml:space="preserve">（项目名称及项目编号）        </w:t>
      </w:r>
      <w:r>
        <w:rPr>
          <w:rFonts w:hint="eastAsia" w:ascii="宋体" w:hAnsi="宋体" w:cs="宋体"/>
          <w:color w:val="auto"/>
          <w:sz w:val="21"/>
          <w:szCs w:val="20"/>
          <w:highlight w:val="none"/>
        </w:rPr>
        <w:t>项目的磋商活动，并代表本人全权办理针对上述项目的磋商、签约等具体事务和签署相关文件。</w:t>
      </w:r>
    </w:p>
    <w:p w14:paraId="741FCFA2">
      <w:pPr>
        <w:spacing w:line="340" w:lineRule="exact"/>
        <w:ind w:firstLine="420"/>
        <w:rPr>
          <w:rFonts w:ascii="宋体" w:hAnsi="宋体" w:cs="宋体"/>
          <w:color w:val="auto"/>
          <w:sz w:val="21"/>
          <w:szCs w:val="20"/>
          <w:highlight w:val="none"/>
        </w:rPr>
      </w:pPr>
      <w:r>
        <w:rPr>
          <w:rFonts w:hint="eastAsia" w:ascii="宋体" w:hAnsi="宋体" w:cs="宋体"/>
          <w:color w:val="auto"/>
          <w:sz w:val="21"/>
          <w:szCs w:val="20"/>
          <w:highlight w:val="none"/>
        </w:rPr>
        <w:t>本人对被授权人的签字事项负全部责任。</w:t>
      </w:r>
    </w:p>
    <w:p w14:paraId="036D78A2">
      <w:pPr>
        <w:spacing w:line="340" w:lineRule="exact"/>
        <w:ind w:firstLine="420"/>
        <w:rPr>
          <w:rFonts w:ascii="宋体" w:hAnsi="宋体" w:cs="宋体"/>
          <w:color w:val="auto"/>
          <w:sz w:val="21"/>
          <w:szCs w:val="20"/>
          <w:highlight w:val="none"/>
          <w:u w:val="single"/>
        </w:rPr>
      </w:pPr>
      <w:r>
        <w:rPr>
          <w:rFonts w:hint="eastAsia" w:ascii="宋体" w:hAnsi="宋体" w:cs="宋体"/>
          <w:color w:val="auto"/>
          <w:sz w:val="21"/>
          <w:szCs w:val="20"/>
          <w:highlight w:val="none"/>
        </w:rPr>
        <w:t>授权委托代理期限：从</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 日起至</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日止。</w:t>
      </w:r>
    </w:p>
    <w:p w14:paraId="19B99F38">
      <w:pPr>
        <w:spacing w:line="340" w:lineRule="exact"/>
        <w:ind w:firstLine="0" w:firstLineChars="0"/>
        <w:rPr>
          <w:rFonts w:ascii="宋体" w:hAnsi="宋体" w:cs="宋体"/>
          <w:color w:val="auto"/>
          <w:sz w:val="21"/>
          <w:szCs w:val="20"/>
          <w:highlight w:val="none"/>
          <w:u w:val="single"/>
        </w:rPr>
      </w:pPr>
      <w:r>
        <w:rPr>
          <w:rFonts w:hint="eastAsia" w:ascii="宋体" w:hAnsi="宋体" w:cs="宋体"/>
          <w:color w:val="auto"/>
          <w:sz w:val="21"/>
          <w:szCs w:val="20"/>
          <w:highlight w:val="none"/>
        </w:rPr>
        <w:t xml:space="preserve">                                                                                             </w:t>
      </w:r>
    </w:p>
    <w:p w14:paraId="011DDBF3">
      <w:pPr>
        <w:spacing w:line="340" w:lineRule="exact"/>
        <w:ind w:firstLine="420"/>
        <w:rPr>
          <w:rFonts w:ascii="宋体" w:hAnsi="宋体" w:cs="宋体"/>
          <w:color w:val="auto"/>
          <w:kern w:val="0"/>
          <w:sz w:val="21"/>
          <w:szCs w:val="24"/>
          <w:highlight w:val="none"/>
        </w:rPr>
      </w:pPr>
      <w:r>
        <w:rPr>
          <w:rFonts w:hint="eastAsia" w:ascii="宋体" w:hAnsi="宋体" w:cs="宋体"/>
          <w:color w:val="auto"/>
          <w:kern w:val="0"/>
          <w:sz w:val="21"/>
          <w:szCs w:val="24"/>
          <w:highlight w:val="none"/>
        </w:rPr>
        <w:t xml:space="preserve">代理人无转委托权，特此委托。 </w:t>
      </w:r>
    </w:p>
    <w:p w14:paraId="718B9A05">
      <w:pPr>
        <w:spacing w:line="240" w:lineRule="auto"/>
        <w:ind w:firstLine="0" w:firstLineChars="0"/>
        <w:rPr>
          <w:rFonts w:ascii="宋体" w:hAnsi="宋体" w:cs="宋体"/>
          <w:color w:val="auto"/>
          <w:sz w:val="21"/>
          <w:szCs w:val="24"/>
          <w:highlight w:val="none"/>
        </w:rPr>
      </w:pPr>
    </w:p>
    <w:p w14:paraId="13A09A1F">
      <w:pPr>
        <w:snapToGrid w:val="0"/>
        <w:spacing w:line="340" w:lineRule="exact"/>
        <w:ind w:firstLine="420" w:firstLineChars="0"/>
        <w:rPr>
          <w:rFonts w:ascii="宋体" w:hAnsi="宋体" w:cs="宋体"/>
          <w:color w:val="auto"/>
          <w:sz w:val="21"/>
          <w:szCs w:val="21"/>
          <w:highlight w:val="none"/>
        </w:rPr>
      </w:pPr>
      <w:r>
        <w:rPr>
          <w:rFonts w:hint="eastAsia" w:ascii="宋体" w:hAnsi="宋体" w:cs="宋体"/>
          <w:color w:val="auto"/>
          <w:sz w:val="21"/>
          <w:szCs w:val="21"/>
          <w:highlight w:val="none"/>
        </w:rPr>
        <w:t>我已在下面签字，以资证明。</w:t>
      </w:r>
    </w:p>
    <w:p w14:paraId="13455049">
      <w:pPr>
        <w:spacing w:line="240" w:lineRule="auto"/>
        <w:ind w:firstLine="0" w:firstLineChars="0"/>
        <w:rPr>
          <w:rFonts w:ascii="宋体" w:hAnsi="宋体" w:cs="宋体"/>
          <w:color w:val="auto"/>
          <w:sz w:val="21"/>
          <w:szCs w:val="24"/>
          <w:highlight w:val="none"/>
        </w:rPr>
      </w:pPr>
    </w:p>
    <w:p w14:paraId="6525BCC3">
      <w:pPr>
        <w:snapToGrid w:val="0"/>
        <w:spacing w:line="340" w:lineRule="exact"/>
        <w:ind w:firstLine="420" w:firstLineChars="0"/>
        <w:rPr>
          <w:rFonts w:ascii="宋体" w:hAnsi="宋体" w:cs="宋体"/>
          <w:color w:val="auto"/>
          <w:sz w:val="21"/>
          <w:szCs w:val="21"/>
          <w:highlight w:val="none"/>
        </w:rPr>
      </w:pPr>
      <w:r>
        <w:rPr>
          <w:rFonts w:hint="eastAsia" w:ascii="宋体" w:hAnsi="宋体" w:cs="宋体"/>
          <w:color w:val="auto"/>
          <w:sz w:val="21"/>
          <w:szCs w:val="21"/>
          <w:highlight w:val="none"/>
        </w:rPr>
        <w:t>自然人签字</w:t>
      </w:r>
      <w:r>
        <w:rPr>
          <w:rFonts w:hint="eastAsia" w:hAnsi="宋体" w:cs="宋体"/>
          <w:bCs/>
          <w:color w:val="auto"/>
          <w:sz w:val="21"/>
          <w:szCs w:val="21"/>
          <w:highlight w:val="none"/>
        </w:rPr>
        <w:t>（或电子签名）</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73C7602D">
      <w:pPr>
        <w:snapToGrid w:val="0"/>
        <w:spacing w:line="340" w:lineRule="exact"/>
        <w:ind w:firstLine="420" w:firstLineChars="0"/>
        <w:rPr>
          <w:rFonts w:ascii="宋体" w:hAnsi="宋体" w:cs="宋体"/>
          <w:color w:val="auto"/>
          <w:sz w:val="21"/>
          <w:szCs w:val="21"/>
          <w:highlight w:val="none"/>
        </w:rPr>
      </w:pPr>
    </w:p>
    <w:p w14:paraId="42C1884C">
      <w:pPr>
        <w:snapToGrid w:val="0"/>
        <w:spacing w:line="340" w:lineRule="exact"/>
        <w:ind w:firstLine="42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15969F75">
      <w:pPr>
        <w:spacing w:line="240" w:lineRule="auto"/>
        <w:ind w:firstLine="0" w:firstLineChars="0"/>
        <w:rPr>
          <w:rFonts w:ascii="宋体" w:hAnsi="宋体" w:cs="宋体"/>
          <w:color w:val="auto"/>
          <w:sz w:val="21"/>
          <w:szCs w:val="24"/>
          <w:highlight w:val="none"/>
        </w:rPr>
      </w:pPr>
    </w:p>
    <w:p w14:paraId="4E7008CB">
      <w:pPr>
        <w:spacing w:line="400" w:lineRule="exact"/>
        <w:ind w:firstLine="602" w:firstLineChars="250"/>
        <w:rPr>
          <w:rFonts w:ascii="宋体" w:hAnsi="宋体" w:cs="宋体"/>
          <w:b/>
          <w:color w:val="auto"/>
          <w:szCs w:val="24"/>
          <w:highlight w:val="none"/>
        </w:rPr>
      </w:pPr>
      <w:r>
        <w:rPr>
          <w:rFonts w:hint="eastAsia" w:ascii="宋体" w:hAnsi="宋体" w:cs="宋体"/>
          <w:b/>
          <w:color w:val="auto"/>
          <w:szCs w:val="24"/>
          <w:highlight w:val="none"/>
        </w:rPr>
        <w:t>附：委托代理人身份证正反面复印件以及由社保经办机构出具的自然人本人及委托代理人所缴纳的社保证明复印件（委托代理时必须提供）。</w:t>
      </w:r>
    </w:p>
    <w:p w14:paraId="3B0E43EA">
      <w:pPr>
        <w:spacing w:line="240" w:lineRule="auto"/>
        <w:ind w:firstLine="0" w:firstLineChars="0"/>
        <w:rPr>
          <w:rFonts w:ascii="宋体" w:hAnsi="宋体" w:cs="宋体"/>
          <w:color w:val="auto"/>
          <w:kern w:val="0"/>
          <w:sz w:val="21"/>
          <w:szCs w:val="24"/>
          <w:highlight w:val="none"/>
        </w:rPr>
      </w:pPr>
    </w:p>
    <w:p w14:paraId="2D503EA0">
      <w:pPr>
        <w:spacing w:line="240" w:lineRule="auto"/>
        <w:ind w:firstLine="0" w:firstLineChars="0"/>
        <w:rPr>
          <w:rFonts w:ascii="宋体" w:hAnsi="宋体" w:cs="宋体"/>
          <w:b/>
          <w:color w:val="auto"/>
          <w:kern w:val="0"/>
          <w:sz w:val="32"/>
          <w:szCs w:val="32"/>
          <w:highlight w:val="none"/>
        </w:rPr>
      </w:pPr>
    </w:p>
    <w:p w14:paraId="7A7F5910">
      <w:pPr>
        <w:spacing w:line="240" w:lineRule="auto"/>
        <w:ind w:firstLine="0" w:firstLineChars="0"/>
        <w:rPr>
          <w:rFonts w:ascii="宋体" w:hAnsi="宋体" w:cs="宋体"/>
          <w:b/>
          <w:color w:val="auto"/>
          <w:kern w:val="0"/>
          <w:sz w:val="32"/>
          <w:szCs w:val="32"/>
          <w:highlight w:val="none"/>
        </w:rPr>
      </w:pPr>
    </w:p>
    <w:p w14:paraId="0288ABF5">
      <w:pPr>
        <w:spacing w:line="240" w:lineRule="auto"/>
        <w:ind w:firstLine="0" w:firstLineChars="0"/>
        <w:rPr>
          <w:rFonts w:ascii="宋体" w:hAnsi="宋体" w:cs="宋体"/>
          <w:b/>
          <w:color w:val="auto"/>
          <w:sz w:val="32"/>
          <w:szCs w:val="20"/>
          <w:highlight w:val="none"/>
        </w:rPr>
      </w:pPr>
      <w:r>
        <w:rPr>
          <w:rFonts w:hint="eastAsia" w:ascii="宋体" w:hAnsi="宋体" w:cs="宋体"/>
          <w:b/>
          <w:color w:val="auto"/>
          <w:sz w:val="32"/>
          <w:szCs w:val="32"/>
          <w:highlight w:val="none"/>
        </w:rPr>
        <w:t>4.</w:t>
      </w:r>
      <w:r>
        <w:rPr>
          <w:rFonts w:hint="eastAsia" w:ascii="宋体" w:hAnsi="宋体" w:cs="宋体"/>
          <w:b/>
          <w:color w:val="auto"/>
          <w:sz w:val="28"/>
          <w:szCs w:val="28"/>
          <w:highlight w:val="none"/>
        </w:rPr>
        <w:t>供应商的法人或者其他组织营业执照等证明文件复印件（必须提供，自然人除外）</w:t>
      </w:r>
    </w:p>
    <w:p w14:paraId="50399445">
      <w:pPr>
        <w:tabs>
          <w:tab w:val="left" w:pos="1305"/>
        </w:tabs>
        <w:spacing w:line="380" w:lineRule="exact"/>
        <w:ind w:firstLine="422"/>
        <w:rPr>
          <w:rFonts w:ascii="宋体" w:hAnsi="宋体"/>
          <w:color w:val="auto"/>
          <w:szCs w:val="21"/>
          <w:highlight w:val="none"/>
        </w:rPr>
      </w:pPr>
      <w:r>
        <w:rPr>
          <w:rFonts w:hint="eastAsia" w:ascii="宋体" w:hAnsi="宋体" w:cs="宋体"/>
          <w:b/>
          <w:color w:val="auto"/>
          <w:sz w:val="21"/>
          <w:szCs w:val="21"/>
          <w:highlight w:val="none"/>
        </w:rPr>
        <w:t xml:space="preserve">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 </w:t>
      </w:r>
    </w:p>
    <w:p w14:paraId="4BF9F2BC">
      <w:pPr>
        <w:spacing w:line="240" w:lineRule="auto"/>
        <w:ind w:firstLine="0" w:firstLineChars="0"/>
        <w:rPr>
          <w:rFonts w:ascii="宋体" w:hAnsi="宋体" w:cs="宋体"/>
          <w:b/>
          <w:color w:val="auto"/>
          <w:sz w:val="28"/>
          <w:szCs w:val="28"/>
          <w:highlight w:val="none"/>
        </w:rPr>
      </w:pPr>
    </w:p>
    <w:p w14:paraId="4EE1F4B5">
      <w:pPr>
        <w:spacing w:line="240" w:lineRule="auto"/>
        <w:ind w:firstLine="0" w:firstLineChars="0"/>
        <w:rPr>
          <w:rFonts w:ascii="宋体" w:hAnsi="宋体" w:cs="宋体"/>
          <w:b/>
          <w:color w:val="auto"/>
          <w:sz w:val="28"/>
          <w:szCs w:val="28"/>
          <w:highlight w:val="none"/>
        </w:rPr>
      </w:pPr>
    </w:p>
    <w:p w14:paraId="4D75987F">
      <w:pPr>
        <w:spacing w:line="240" w:lineRule="auto"/>
        <w:ind w:firstLine="0" w:firstLineChars="0"/>
        <w:rPr>
          <w:rFonts w:ascii="宋体" w:hAnsi="宋体" w:cs="宋体"/>
          <w:b/>
          <w:color w:val="auto"/>
          <w:sz w:val="28"/>
          <w:szCs w:val="28"/>
          <w:highlight w:val="none"/>
        </w:rPr>
      </w:pPr>
    </w:p>
    <w:p w14:paraId="33682AB0">
      <w:pPr>
        <w:spacing w:line="240" w:lineRule="auto"/>
        <w:ind w:firstLine="0" w:firstLineChars="0"/>
        <w:rPr>
          <w:rFonts w:ascii="宋体" w:hAnsi="宋体" w:cs="宋体"/>
          <w:b/>
          <w:color w:val="auto"/>
          <w:sz w:val="28"/>
          <w:szCs w:val="28"/>
          <w:highlight w:val="none"/>
        </w:rPr>
      </w:pPr>
    </w:p>
    <w:p w14:paraId="3E3A60A7">
      <w:pPr>
        <w:spacing w:line="240" w:lineRule="auto"/>
        <w:ind w:firstLine="0" w:firstLineChars="0"/>
        <w:rPr>
          <w:rFonts w:ascii="宋体" w:hAnsi="宋体" w:cs="宋体"/>
          <w:b/>
          <w:color w:val="auto"/>
          <w:sz w:val="28"/>
          <w:szCs w:val="28"/>
          <w:highlight w:val="none"/>
        </w:rPr>
      </w:pPr>
      <w:r>
        <w:rPr>
          <w:rFonts w:hint="eastAsia" w:ascii="宋体" w:hAnsi="宋体" w:cs="宋体"/>
          <w:b/>
          <w:color w:val="auto"/>
          <w:sz w:val="28"/>
          <w:szCs w:val="28"/>
          <w:highlight w:val="none"/>
        </w:rPr>
        <w:t>5.供应商2024年度或2025年度内的财务状况报告（或2025年以来银行出具的资信证明）复印件（必须提供）</w:t>
      </w:r>
    </w:p>
    <w:p w14:paraId="609AC1C7">
      <w:pPr>
        <w:spacing w:line="240" w:lineRule="auto"/>
        <w:ind w:firstLine="0" w:firstLineChars="0"/>
        <w:rPr>
          <w:rFonts w:ascii="宋体" w:hAnsi="宋体" w:cs="宋体"/>
          <w:b/>
          <w:color w:val="auto"/>
          <w:sz w:val="28"/>
          <w:szCs w:val="28"/>
          <w:highlight w:val="none"/>
        </w:rPr>
      </w:pPr>
    </w:p>
    <w:p w14:paraId="2C08EAB4">
      <w:pPr>
        <w:spacing w:line="340" w:lineRule="exact"/>
        <w:ind w:firstLine="0" w:firstLineChars="0"/>
        <w:rPr>
          <w:rFonts w:ascii="宋体" w:hAnsi="宋体" w:cs="宋体"/>
          <w:b/>
          <w:color w:val="auto"/>
          <w:kern w:val="0"/>
          <w:sz w:val="28"/>
          <w:szCs w:val="28"/>
          <w:highlight w:val="none"/>
        </w:rPr>
      </w:pPr>
    </w:p>
    <w:p w14:paraId="6D20B515">
      <w:pPr>
        <w:spacing w:line="340" w:lineRule="exact"/>
        <w:ind w:firstLine="0" w:firstLineChars="0"/>
        <w:rPr>
          <w:rFonts w:ascii="宋体" w:hAnsi="宋体" w:cs="宋体"/>
          <w:b/>
          <w:color w:val="auto"/>
          <w:kern w:val="0"/>
          <w:sz w:val="28"/>
          <w:szCs w:val="28"/>
          <w:highlight w:val="none"/>
        </w:rPr>
      </w:pPr>
    </w:p>
    <w:p w14:paraId="1ACFE197">
      <w:pPr>
        <w:spacing w:line="340" w:lineRule="exact"/>
        <w:ind w:firstLine="0" w:firstLineChars="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6.供应商依法缴纳税收的相关材料（必须提供）</w:t>
      </w:r>
    </w:p>
    <w:p w14:paraId="340E142E">
      <w:pPr>
        <w:tabs>
          <w:tab w:val="left" w:pos="1305"/>
        </w:tabs>
        <w:spacing w:line="380" w:lineRule="exact"/>
        <w:ind w:firstLine="422"/>
        <w:rPr>
          <w:rFonts w:ascii="宋体" w:hAnsi="宋体" w:cs="宋体"/>
          <w:b/>
          <w:color w:val="auto"/>
          <w:sz w:val="21"/>
          <w:szCs w:val="21"/>
          <w:highlight w:val="none"/>
        </w:rPr>
      </w:pPr>
    </w:p>
    <w:p w14:paraId="1B28F6A4">
      <w:pPr>
        <w:tabs>
          <w:tab w:val="left" w:pos="1305"/>
        </w:tabs>
        <w:spacing w:line="380" w:lineRule="exact"/>
        <w:ind w:firstLine="422"/>
        <w:rPr>
          <w:rFonts w:ascii="宋体" w:hAnsi="宋体" w:cs="宋体"/>
          <w:b/>
          <w:color w:val="auto"/>
          <w:sz w:val="21"/>
          <w:szCs w:val="21"/>
          <w:highlight w:val="none"/>
        </w:rPr>
      </w:pPr>
      <w:r>
        <w:rPr>
          <w:rFonts w:hint="eastAsia" w:ascii="宋体" w:hAnsi="宋体" w:cs="宋体"/>
          <w:b/>
          <w:color w:val="auto"/>
          <w:sz w:val="21"/>
          <w:szCs w:val="21"/>
          <w:highlight w:val="none"/>
        </w:rPr>
        <w:t>注：供应商必须提供2025年7月以来任意1个月的依法缴纳税收的证明材料复印件；依法免税的供应商，必须提供符合免税条件的证明材料。从成立之日起到响应文件提交截止时间止不足要求月数的，则无需提交。</w:t>
      </w:r>
    </w:p>
    <w:p w14:paraId="0D8AA176">
      <w:pPr>
        <w:spacing w:line="340" w:lineRule="exact"/>
        <w:ind w:firstLine="0" w:firstLineChars="0"/>
        <w:rPr>
          <w:rFonts w:ascii="宋体" w:hAnsi="宋体" w:cs="宋体"/>
          <w:b/>
          <w:color w:val="auto"/>
          <w:kern w:val="0"/>
          <w:sz w:val="28"/>
          <w:szCs w:val="28"/>
          <w:highlight w:val="none"/>
        </w:rPr>
      </w:pPr>
    </w:p>
    <w:p w14:paraId="1A60E1F8">
      <w:pPr>
        <w:spacing w:line="340" w:lineRule="exact"/>
        <w:ind w:firstLine="0" w:firstLineChars="0"/>
        <w:rPr>
          <w:rFonts w:ascii="宋体" w:hAnsi="宋体" w:cs="宋体"/>
          <w:b/>
          <w:color w:val="auto"/>
          <w:kern w:val="0"/>
          <w:sz w:val="28"/>
          <w:szCs w:val="28"/>
          <w:highlight w:val="none"/>
        </w:rPr>
      </w:pPr>
    </w:p>
    <w:p w14:paraId="11C9A01E">
      <w:pPr>
        <w:spacing w:line="340" w:lineRule="exact"/>
        <w:ind w:firstLine="0" w:firstLineChars="0"/>
        <w:rPr>
          <w:rFonts w:ascii="宋体" w:hAnsi="宋体" w:cs="宋体"/>
          <w:b/>
          <w:color w:val="auto"/>
          <w:kern w:val="0"/>
          <w:sz w:val="28"/>
          <w:szCs w:val="28"/>
          <w:highlight w:val="none"/>
        </w:rPr>
      </w:pPr>
    </w:p>
    <w:p w14:paraId="7F105B23">
      <w:pPr>
        <w:spacing w:line="340" w:lineRule="exact"/>
        <w:ind w:firstLine="0" w:firstLineChars="0"/>
        <w:rPr>
          <w:rFonts w:ascii="宋体" w:hAnsi="宋体" w:cs="宋体"/>
          <w:b/>
          <w:color w:val="auto"/>
          <w:kern w:val="0"/>
          <w:sz w:val="28"/>
          <w:szCs w:val="28"/>
          <w:highlight w:val="none"/>
        </w:rPr>
      </w:pPr>
    </w:p>
    <w:p w14:paraId="31854F6B">
      <w:pPr>
        <w:spacing w:line="340" w:lineRule="exact"/>
        <w:ind w:firstLine="0" w:firstLineChars="0"/>
        <w:rPr>
          <w:rFonts w:ascii="宋体" w:hAnsi="宋体" w:cs="宋体"/>
          <w:b/>
          <w:color w:val="auto"/>
          <w:kern w:val="0"/>
          <w:sz w:val="28"/>
          <w:szCs w:val="28"/>
          <w:highlight w:val="none"/>
        </w:rPr>
      </w:pPr>
    </w:p>
    <w:p w14:paraId="62447F88">
      <w:pPr>
        <w:spacing w:line="340" w:lineRule="exact"/>
        <w:ind w:firstLine="0" w:firstLineChars="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7.供应商依法缴纳社会保障资金的相关材料（必须提供）　</w:t>
      </w:r>
    </w:p>
    <w:p w14:paraId="78DD5F11">
      <w:pPr>
        <w:tabs>
          <w:tab w:val="left" w:pos="1305"/>
        </w:tabs>
        <w:spacing w:line="380" w:lineRule="exact"/>
        <w:ind w:firstLine="422"/>
        <w:rPr>
          <w:rFonts w:ascii="宋体" w:hAnsi="宋体" w:cs="宋体"/>
          <w:b/>
          <w:color w:val="auto"/>
          <w:sz w:val="21"/>
          <w:szCs w:val="21"/>
          <w:highlight w:val="none"/>
        </w:rPr>
      </w:pPr>
    </w:p>
    <w:p w14:paraId="5F950722">
      <w:pPr>
        <w:tabs>
          <w:tab w:val="left" w:pos="1305"/>
        </w:tabs>
        <w:spacing w:line="380" w:lineRule="exact"/>
        <w:ind w:firstLine="422"/>
        <w:rPr>
          <w:rFonts w:ascii="宋体" w:hAnsi="宋体" w:cs="宋体"/>
          <w:b/>
          <w:color w:val="auto"/>
          <w:sz w:val="21"/>
          <w:szCs w:val="21"/>
          <w:highlight w:val="none"/>
        </w:rPr>
      </w:pPr>
      <w:r>
        <w:rPr>
          <w:rFonts w:hint="eastAsia" w:ascii="宋体" w:hAnsi="宋体" w:cs="宋体"/>
          <w:b/>
          <w:color w:val="auto"/>
          <w:sz w:val="21"/>
          <w:szCs w:val="21"/>
          <w:highlight w:val="none"/>
        </w:rPr>
        <w:t>注：供应商必须提供2025年7月以来任意1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733F9C35">
      <w:pPr>
        <w:spacing w:line="240" w:lineRule="auto"/>
        <w:ind w:firstLine="0" w:firstLineChars="0"/>
        <w:rPr>
          <w:rFonts w:ascii="宋体" w:hAnsi="宋体" w:cs="宋体"/>
          <w:b/>
          <w:color w:val="auto"/>
          <w:sz w:val="28"/>
          <w:szCs w:val="28"/>
          <w:highlight w:val="none"/>
        </w:rPr>
      </w:pPr>
    </w:p>
    <w:p w14:paraId="6A589CEE">
      <w:pPr>
        <w:spacing w:line="240" w:lineRule="auto"/>
        <w:ind w:firstLine="0" w:firstLineChars="0"/>
        <w:rPr>
          <w:rFonts w:ascii="宋体" w:hAnsi="宋体" w:cs="宋体"/>
          <w:b/>
          <w:color w:val="auto"/>
          <w:sz w:val="28"/>
          <w:szCs w:val="28"/>
          <w:highlight w:val="none"/>
        </w:rPr>
      </w:pPr>
    </w:p>
    <w:p w14:paraId="64894414">
      <w:pPr>
        <w:spacing w:line="340" w:lineRule="exact"/>
        <w:ind w:firstLine="0" w:firstLineChars="0"/>
        <w:rPr>
          <w:rFonts w:ascii="宋体" w:hAnsi="宋体" w:cs="宋体"/>
          <w:b/>
          <w:color w:val="auto"/>
          <w:kern w:val="0"/>
          <w:sz w:val="28"/>
          <w:szCs w:val="28"/>
          <w:highlight w:val="none"/>
        </w:rPr>
      </w:pPr>
    </w:p>
    <w:p w14:paraId="0105A982">
      <w:pPr>
        <w:spacing w:line="340" w:lineRule="exact"/>
        <w:ind w:firstLine="0" w:firstLineChars="0"/>
        <w:rPr>
          <w:rFonts w:ascii="宋体" w:hAnsi="宋体" w:cs="宋体"/>
          <w:b/>
          <w:color w:val="auto"/>
          <w:kern w:val="0"/>
          <w:sz w:val="28"/>
          <w:szCs w:val="28"/>
          <w:highlight w:val="none"/>
        </w:rPr>
      </w:pPr>
    </w:p>
    <w:p w14:paraId="51448577">
      <w:pPr>
        <w:spacing w:line="340" w:lineRule="exact"/>
        <w:ind w:firstLine="0" w:firstLineChars="0"/>
        <w:rPr>
          <w:rFonts w:ascii="宋体" w:hAnsi="宋体" w:cs="宋体"/>
          <w:b/>
          <w:color w:val="auto"/>
          <w:kern w:val="0"/>
          <w:sz w:val="28"/>
          <w:szCs w:val="28"/>
          <w:highlight w:val="none"/>
        </w:rPr>
      </w:pPr>
    </w:p>
    <w:p w14:paraId="4CC10AA3">
      <w:pPr>
        <w:spacing w:line="340" w:lineRule="exact"/>
        <w:ind w:firstLine="0" w:firstLineChars="0"/>
        <w:rPr>
          <w:rFonts w:ascii="宋体" w:hAnsi="宋体" w:cs="宋体"/>
          <w:b/>
          <w:color w:val="auto"/>
          <w:kern w:val="0"/>
          <w:sz w:val="28"/>
          <w:szCs w:val="28"/>
          <w:highlight w:val="none"/>
        </w:rPr>
      </w:pPr>
    </w:p>
    <w:p w14:paraId="24C1DD71">
      <w:pPr>
        <w:spacing w:line="340" w:lineRule="exact"/>
        <w:ind w:firstLine="0" w:firstLineChars="0"/>
        <w:rPr>
          <w:rFonts w:ascii="宋体" w:hAnsi="宋体" w:cs="宋体"/>
          <w:b/>
          <w:color w:val="auto"/>
          <w:kern w:val="0"/>
          <w:sz w:val="28"/>
          <w:szCs w:val="28"/>
          <w:highlight w:val="none"/>
        </w:rPr>
      </w:pPr>
    </w:p>
    <w:p w14:paraId="3C5903CE">
      <w:pPr>
        <w:spacing w:line="340" w:lineRule="exact"/>
        <w:ind w:firstLine="0" w:firstLineChars="0"/>
        <w:rPr>
          <w:rFonts w:ascii="宋体" w:hAnsi="宋体" w:cs="宋体"/>
          <w:b/>
          <w:color w:val="auto"/>
          <w:kern w:val="0"/>
          <w:sz w:val="28"/>
          <w:szCs w:val="28"/>
          <w:highlight w:val="none"/>
        </w:rPr>
      </w:pPr>
    </w:p>
    <w:p w14:paraId="3DF3C1D0">
      <w:pPr>
        <w:spacing w:line="340" w:lineRule="exact"/>
        <w:ind w:firstLine="0" w:firstLineChars="0"/>
        <w:rPr>
          <w:rFonts w:ascii="宋体" w:hAnsi="宋体" w:cs="宋体"/>
          <w:b/>
          <w:color w:val="auto"/>
          <w:kern w:val="0"/>
          <w:sz w:val="28"/>
          <w:szCs w:val="28"/>
          <w:highlight w:val="none"/>
        </w:rPr>
      </w:pPr>
    </w:p>
    <w:p w14:paraId="4B5F2972">
      <w:pPr>
        <w:spacing w:line="340" w:lineRule="exact"/>
        <w:ind w:firstLine="0" w:firstLineChars="0"/>
        <w:rPr>
          <w:rFonts w:ascii="宋体" w:hAnsi="宋体" w:cs="宋体"/>
          <w:b/>
          <w:color w:val="auto"/>
          <w:kern w:val="0"/>
          <w:sz w:val="28"/>
          <w:szCs w:val="28"/>
          <w:highlight w:val="none"/>
        </w:rPr>
      </w:pPr>
    </w:p>
    <w:p w14:paraId="1CC5CEF0">
      <w:pPr>
        <w:spacing w:line="340" w:lineRule="exact"/>
        <w:ind w:firstLine="0" w:firstLineChars="0"/>
        <w:rPr>
          <w:rFonts w:ascii="宋体" w:hAnsi="宋体" w:cs="宋体"/>
          <w:b/>
          <w:color w:val="auto"/>
          <w:kern w:val="0"/>
          <w:sz w:val="28"/>
          <w:szCs w:val="28"/>
          <w:highlight w:val="none"/>
        </w:rPr>
      </w:pPr>
    </w:p>
    <w:p w14:paraId="6BA07C77">
      <w:pPr>
        <w:spacing w:line="340" w:lineRule="exact"/>
        <w:ind w:firstLine="0" w:firstLineChars="0"/>
        <w:rPr>
          <w:rFonts w:ascii="宋体" w:hAnsi="宋体" w:cs="宋体"/>
          <w:b/>
          <w:color w:val="auto"/>
          <w:kern w:val="0"/>
          <w:sz w:val="28"/>
          <w:szCs w:val="28"/>
          <w:highlight w:val="none"/>
        </w:rPr>
      </w:pPr>
    </w:p>
    <w:p w14:paraId="06D3D2AD">
      <w:pPr>
        <w:spacing w:line="340" w:lineRule="exact"/>
        <w:ind w:firstLine="0" w:firstLineChars="0"/>
        <w:rPr>
          <w:rFonts w:ascii="宋体" w:hAnsi="宋体" w:cs="宋体"/>
          <w:b/>
          <w:color w:val="auto"/>
          <w:kern w:val="0"/>
          <w:sz w:val="28"/>
          <w:szCs w:val="28"/>
          <w:highlight w:val="none"/>
        </w:rPr>
      </w:pPr>
    </w:p>
    <w:p w14:paraId="0745EAA0">
      <w:pPr>
        <w:spacing w:line="340" w:lineRule="exact"/>
        <w:ind w:firstLine="0" w:firstLineChars="0"/>
        <w:rPr>
          <w:rFonts w:ascii="宋体" w:hAnsi="宋体" w:cs="宋体"/>
          <w:b/>
          <w:color w:val="auto"/>
          <w:kern w:val="0"/>
          <w:sz w:val="28"/>
          <w:szCs w:val="28"/>
          <w:highlight w:val="none"/>
        </w:rPr>
      </w:pPr>
    </w:p>
    <w:p w14:paraId="2046C34F">
      <w:pPr>
        <w:spacing w:line="340" w:lineRule="exact"/>
        <w:ind w:firstLine="0" w:firstLineChars="0"/>
        <w:rPr>
          <w:rFonts w:ascii="宋体" w:hAnsi="宋体" w:cs="宋体"/>
          <w:b/>
          <w:color w:val="auto"/>
          <w:kern w:val="0"/>
          <w:sz w:val="28"/>
          <w:szCs w:val="28"/>
          <w:highlight w:val="none"/>
        </w:rPr>
      </w:pPr>
    </w:p>
    <w:p w14:paraId="55BF769A">
      <w:pPr>
        <w:spacing w:line="340" w:lineRule="exact"/>
        <w:ind w:firstLine="0" w:firstLineChars="0"/>
        <w:rPr>
          <w:rFonts w:ascii="宋体" w:hAnsi="宋体" w:cs="宋体"/>
          <w:b/>
          <w:color w:val="auto"/>
          <w:kern w:val="0"/>
          <w:sz w:val="28"/>
          <w:szCs w:val="28"/>
          <w:highlight w:val="none"/>
        </w:rPr>
      </w:pPr>
    </w:p>
    <w:p w14:paraId="2D35E809">
      <w:pPr>
        <w:spacing w:line="340" w:lineRule="exact"/>
        <w:ind w:firstLine="0" w:firstLineChars="0"/>
        <w:rPr>
          <w:rFonts w:ascii="宋体" w:hAnsi="宋体" w:cs="宋体"/>
          <w:b/>
          <w:color w:val="auto"/>
          <w:kern w:val="0"/>
          <w:sz w:val="28"/>
          <w:szCs w:val="28"/>
          <w:highlight w:val="none"/>
        </w:rPr>
      </w:pPr>
    </w:p>
    <w:p w14:paraId="08135EF0">
      <w:pPr>
        <w:spacing w:line="340" w:lineRule="exact"/>
        <w:ind w:firstLine="0" w:firstLineChars="0"/>
        <w:rPr>
          <w:rFonts w:ascii="宋体" w:hAnsi="宋体" w:cs="宋体"/>
          <w:b/>
          <w:color w:val="auto"/>
          <w:kern w:val="0"/>
          <w:sz w:val="28"/>
          <w:szCs w:val="28"/>
          <w:highlight w:val="none"/>
        </w:rPr>
      </w:pPr>
    </w:p>
    <w:p w14:paraId="6A2DE378">
      <w:pPr>
        <w:spacing w:line="340" w:lineRule="exact"/>
        <w:ind w:firstLine="0" w:firstLineChars="0"/>
        <w:rPr>
          <w:rFonts w:ascii="宋体" w:hAnsi="宋体" w:cs="宋体"/>
          <w:b/>
          <w:color w:val="auto"/>
          <w:kern w:val="0"/>
          <w:sz w:val="28"/>
          <w:szCs w:val="28"/>
          <w:highlight w:val="none"/>
        </w:rPr>
      </w:pPr>
    </w:p>
    <w:p w14:paraId="7D7C5AF7">
      <w:pPr>
        <w:spacing w:line="340" w:lineRule="exact"/>
        <w:ind w:firstLine="0" w:firstLineChars="0"/>
        <w:rPr>
          <w:rFonts w:ascii="宋体" w:hAnsi="宋体" w:cs="宋体"/>
          <w:b/>
          <w:color w:val="auto"/>
          <w:kern w:val="0"/>
          <w:sz w:val="28"/>
          <w:szCs w:val="28"/>
          <w:highlight w:val="none"/>
        </w:rPr>
      </w:pPr>
    </w:p>
    <w:p w14:paraId="26BAB6E9">
      <w:pPr>
        <w:spacing w:line="340" w:lineRule="exact"/>
        <w:ind w:firstLine="0" w:firstLineChars="0"/>
        <w:rPr>
          <w:rFonts w:ascii="宋体" w:hAnsi="宋体" w:cs="宋体"/>
          <w:b/>
          <w:color w:val="auto"/>
          <w:kern w:val="0"/>
          <w:sz w:val="28"/>
          <w:szCs w:val="28"/>
          <w:highlight w:val="none"/>
        </w:rPr>
      </w:pPr>
    </w:p>
    <w:p w14:paraId="6407C1D0">
      <w:pPr>
        <w:spacing w:line="340" w:lineRule="exact"/>
        <w:ind w:firstLine="0" w:firstLineChars="0"/>
        <w:rPr>
          <w:rFonts w:ascii="宋体" w:hAnsi="宋体" w:cs="宋体"/>
          <w:b/>
          <w:color w:val="auto"/>
          <w:kern w:val="0"/>
          <w:sz w:val="28"/>
          <w:szCs w:val="28"/>
          <w:highlight w:val="none"/>
        </w:rPr>
      </w:pPr>
    </w:p>
    <w:p w14:paraId="18A3391C">
      <w:pPr>
        <w:spacing w:line="340" w:lineRule="exact"/>
        <w:ind w:firstLine="0" w:firstLineChars="0"/>
        <w:rPr>
          <w:rFonts w:ascii="宋体" w:hAnsi="宋体" w:cs="宋体"/>
          <w:b/>
          <w:color w:val="auto"/>
          <w:kern w:val="0"/>
          <w:sz w:val="28"/>
          <w:szCs w:val="28"/>
          <w:highlight w:val="none"/>
        </w:rPr>
      </w:pPr>
    </w:p>
    <w:p w14:paraId="48D293E7">
      <w:pPr>
        <w:spacing w:line="340" w:lineRule="exact"/>
        <w:ind w:firstLine="0" w:firstLineChars="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8.供应商参加政府采购活动前3年内在经营活动中没有重大违法记录及有关信用信息的书面声明或信用信息报告（必须提供）</w:t>
      </w:r>
    </w:p>
    <w:p w14:paraId="5180EF9D">
      <w:pPr>
        <w:spacing w:line="400" w:lineRule="exact"/>
        <w:ind w:left="480" w:leftChars="200" w:firstLine="157" w:firstLineChars="49"/>
        <w:rPr>
          <w:rFonts w:ascii="宋体" w:hAnsi="宋体" w:cs="宋体"/>
          <w:b/>
          <w:color w:val="auto"/>
          <w:kern w:val="0"/>
          <w:sz w:val="32"/>
          <w:szCs w:val="32"/>
          <w:highlight w:val="none"/>
        </w:rPr>
      </w:pPr>
    </w:p>
    <w:p w14:paraId="5A754D0C">
      <w:pPr>
        <w:spacing w:line="400" w:lineRule="exact"/>
        <w:ind w:left="480" w:leftChars="200" w:firstLine="157" w:firstLineChars="49"/>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p>
    <w:p w14:paraId="6119BE97">
      <w:pPr>
        <w:spacing w:line="400" w:lineRule="exact"/>
        <w:ind w:firstLine="0" w:firstLineChars="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声   明（格式）</w:t>
      </w:r>
    </w:p>
    <w:p w14:paraId="33B1A303">
      <w:pPr>
        <w:snapToGrid w:val="0"/>
        <w:spacing w:line="400" w:lineRule="exact"/>
        <w:ind w:firstLine="0" w:firstLineChars="0"/>
        <w:rPr>
          <w:rFonts w:ascii="宋体" w:hAnsi="宋体" w:cs="宋体"/>
          <w:color w:val="auto"/>
          <w:kern w:val="0"/>
          <w:sz w:val="21"/>
          <w:szCs w:val="24"/>
          <w:highlight w:val="none"/>
        </w:rPr>
      </w:pPr>
      <w:r>
        <w:rPr>
          <w:rFonts w:hint="eastAsia" w:ascii="宋体" w:hAnsi="宋体" w:cs="宋体"/>
          <w:b/>
          <w:color w:val="auto"/>
          <w:kern w:val="0"/>
          <w:sz w:val="21"/>
          <w:szCs w:val="21"/>
          <w:highlight w:val="none"/>
        </w:rPr>
        <w:t>致</w:t>
      </w:r>
      <w:r>
        <w:rPr>
          <w:rFonts w:hint="eastAsia" w:ascii="宋体" w:hAnsi="宋体" w:cs="宋体"/>
          <w:color w:val="auto"/>
          <w:kern w:val="0"/>
          <w:sz w:val="21"/>
          <w:szCs w:val="21"/>
          <w:highlight w:val="none"/>
        </w:rPr>
        <w:t>：</w:t>
      </w:r>
      <w:r>
        <w:rPr>
          <w:rFonts w:hint="eastAsia" w:ascii="宋体" w:hAnsi="宋体" w:cs="宋体"/>
          <w:color w:val="auto"/>
          <w:kern w:val="0"/>
          <w:sz w:val="21"/>
          <w:szCs w:val="24"/>
          <w:highlight w:val="none"/>
          <w:u w:val="single"/>
        </w:rPr>
        <w:t>云之龙咨询集团有限公司</w:t>
      </w:r>
    </w:p>
    <w:p w14:paraId="40C7831B">
      <w:pPr>
        <w:spacing w:line="240" w:lineRule="auto"/>
        <w:ind w:firstLine="0" w:firstLineChars="0"/>
        <w:rPr>
          <w:rFonts w:ascii="宋体" w:hAnsi="宋体" w:cs="宋体"/>
          <w:color w:val="auto"/>
          <w:kern w:val="0"/>
          <w:sz w:val="21"/>
          <w:szCs w:val="24"/>
          <w:highlight w:val="none"/>
        </w:rPr>
      </w:pPr>
    </w:p>
    <w:p w14:paraId="40FD748E">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14:paraId="566D4BF1">
      <w:pPr>
        <w:spacing w:line="400" w:lineRule="exact"/>
        <w:ind w:firstLine="420"/>
        <w:rPr>
          <w:rFonts w:ascii="宋体" w:hAnsi="宋体" w:cs="宋体"/>
          <w:color w:val="auto"/>
          <w:kern w:val="0"/>
          <w:sz w:val="21"/>
          <w:szCs w:val="20"/>
          <w:highlight w:val="none"/>
        </w:rPr>
      </w:pPr>
    </w:p>
    <w:p w14:paraId="3A074D05">
      <w:pPr>
        <w:snapToGrid w:val="0"/>
        <w:spacing w:line="400" w:lineRule="exact"/>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w:t>
      </w:r>
      <w:r>
        <w:rPr>
          <w:rFonts w:hint="eastAsia" w:ascii="宋体" w:hAnsi="宋体" w:cs="宋体"/>
          <w:bCs/>
          <w:color w:val="auto"/>
          <w:sz w:val="21"/>
          <w:szCs w:val="21"/>
          <w:highlight w:val="none"/>
        </w:rPr>
        <w:t>电子签章</w:t>
      </w:r>
      <w:r>
        <w:rPr>
          <w:rFonts w:hint="eastAsia" w:ascii="宋体" w:hAnsi="宋体" w:cs="宋体"/>
          <w:b/>
          <w:color w:val="auto"/>
          <w:sz w:val="21"/>
          <w:szCs w:val="21"/>
          <w:highlight w:val="none"/>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452284F2">
      <w:pPr>
        <w:spacing w:line="340" w:lineRule="exact"/>
        <w:ind w:firstLine="0" w:firstLineChars="0"/>
        <w:rPr>
          <w:rFonts w:ascii="宋体" w:hAnsi="宋体" w:cs="宋体"/>
          <w:color w:val="auto"/>
          <w:sz w:val="21"/>
          <w:szCs w:val="24"/>
          <w:highlight w:val="none"/>
        </w:rPr>
      </w:pPr>
      <w:r>
        <w:rPr>
          <w:rFonts w:hint="eastAsia" w:ascii="宋体" w:hAnsi="宋体" w:cs="宋体"/>
          <w:color w:val="auto"/>
          <w:sz w:val="21"/>
          <w:szCs w:val="24"/>
          <w:highlight w:val="none"/>
        </w:rPr>
        <w:t>法定代表人或委托代理人签字</w:t>
      </w:r>
      <w:r>
        <w:rPr>
          <w:rFonts w:hint="eastAsia" w:ascii="宋体" w:hAnsi="宋体" w:cs="宋体"/>
          <w:color w:val="auto"/>
          <w:sz w:val="21"/>
          <w:szCs w:val="20"/>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5853005E">
      <w:pPr>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034208CB">
      <w:pPr>
        <w:spacing w:line="400" w:lineRule="exact"/>
        <w:ind w:left="480" w:leftChars="200" w:firstLine="3780" w:firstLineChars="1800"/>
        <w:rPr>
          <w:rFonts w:ascii="宋体" w:hAnsi="宋体" w:cs="宋体"/>
          <w:color w:val="auto"/>
          <w:sz w:val="21"/>
          <w:szCs w:val="21"/>
          <w:highlight w:val="none"/>
        </w:rPr>
      </w:pPr>
    </w:p>
    <w:p w14:paraId="175803C7">
      <w:pPr>
        <w:spacing w:line="400" w:lineRule="exact"/>
        <w:ind w:left="480" w:leftChars="200" w:firstLine="3780" w:firstLineChars="1800"/>
        <w:rPr>
          <w:rFonts w:ascii="宋体" w:hAnsi="宋体" w:cs="宋体"/>
          <w:color w:val="auto"/>
          <w:kern w:val="0"/>
          <w:sz w:val="21"/>
          <w:szCs w:val="21"/>
          <w:highlight w:val="none"/>
        </w:rPr>
      </w:pPr>
    </w:p>
    <w:p w14:paraId="2695AD55">
      <w:pPr>
        <w:spacing w:line="440" w:lineRule="exact"/>
        <w:ind w:firstLine="735" w:firstLineChars="350"/>
        <w:rPr>
          <w:rFonts w:ascii="宋体" w:hAnsi="宋体" w:cs="宋体"/>
          <w:color w:val="auto"/>
          <w:kern w:val="0"/>
          <w:sz w:val="21"/>
          <w:szCs w:val="21"/>
          <w:highlight w:val="none"/>
        </w:rPr>
      </w:pPr>
    </w:p>
    <w:p w14:paraId="57275DA9">
      <w:pPr>
        <w:spacing w:line="240" w:lineRule="auto"/>
        <w:ind w:firstLine="0" w:firstLineChars="0"/>
        <w:jc w:val="left"/>
        <w:rPr>
          <w:rFonts w:ascii="宋体" w:hAnsi="宋体" w:cs="宋体"/>
          <w:b/>
          <w:color w:val="auto"/>
          <w:sz w:val="21"/>
          <w:szCs w:val="21"/>
          <w:highlight w:val="none"/>
        </w:rPr>
      </w:pPr>
      <w:r>
        <w:rPr>
          <w:rFonts w:hint="eastAsia" w:ascii="宋体" w:hAnsi="宋体" w:cs="宋体"/>
          <w:b/>
          <w:color w:val="auto"/>
          <w:sz w:val="21"/>
          <w:szCs w:val="21"/>
          <w:highlight w:val="none"/>
        </w:rPr>
        <w:t>注：（1）供应商参加政府采购活动前3年内在经营活动中没有重大违法记录及有关信用信息的书面声明须由法定代表人或相应的委托代理人签字（或电子签名），并加盖供应商电子签章。</w:t>
      </w:r>
    </w:p>
    <w:p w14:paraId="1C40F6B0">
      <w:pPr>
        <w:spacing w:line="240" w:lineRule="auto"/>
        <w:ind w:firstLine="422"/>
        <w:jc w:val="left"/>
        <w:rPr>
          <w:rFonts w:ascii="宋体" w:hAnsi="宋体" w:cs="宋体"/>
          <w:b/>
          <w:color w:val="auto"/>
          <w:sz w:val="21"/>
          <w:szCs w:val="21"/>
          <w:highlight w:val="none"/>
        </w:rPr>
      </w:pPr>
      <w:r>
        <w:rPr>
          <w:rFonts w:hint="eastAsia" w:ascii="宋体" w:hAnsi="宋体" w:cs="宋体"/>
          <w:b/>
          <w:color w:val="auto"/>
          <w:sz w:val="21"/>
          <w:szCs w:val="21"/>
          <w:highlight w:val="none"/>
        </w:rPr>
        <w:t>（2）供应商为广西经营主体的，可通过信用中国（广西）网站 （http://xygx.fgw.gxzf.gov.cn）下载信用信息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供应商根据注册地信用中国网站的要求获取。</w:t>
      </w:r>
    </w:p>
    <w:p w14:paraId="03446CB2">
      <w:pPr>
        <w:spacing w:line="340" w:lineRule="exact"/>
        <w:ind w:left="960" w:leftChars="400" w:firstLine="0" w:firstLineChars="0"/>
        <w:rPr>
          <w:rFonts w:ascii="宋体" w:hAnsi="宋体" w:cs="宋体"/>
          <w:b/>
          <w:color w:val="auto"/>
          <w:sz w:val="21"/>
          <w:szCs w:val="21"/>
          <w:highlight w:val="none"/>
        </w:rPr>
      </w:pPr>
    </w:p>
    <w:p w14:paraId="730AA953">
      <w:pPr>
        <w:spacing w:line="340" w:lineRule="exact"/>
        <w:ind w:left="960" w:leftChars="400" w:firstLine="0" w:firstLineChars="0"/>
        <w:rPr>
          <w:rFonts w:ascii="宋体" w:hAnsi="宋体" w:cs="宋体"/>
          <w:b/>
          <w:color w:val="auto"/>
          <w:sz w:val="21"/>
          <w:szCs w:val="21"/>
          <w:highlight w:val="none"/>
        </w:rPr>
      </w:pPr>
    </w:p>
    <w:p w14:paraId="7B0ECBFD">
      <w:pPr>
        <w:spacing w:line="340" w:lineRule="exact"/>
        <w:ind w:left="960" w:leftChars="400" w:firstLine="0" w:firstLineChars="0"/>
        <w:rPr>
          <w:rFonts w:ascii="宋体" w:hAnsi="宋体" w:cs="宋体"/>
          <w:b/>
          <w:color w:val="auto"/>
          <w:sz w:val="21"/>
          <w:szCs w:val="21"/>
          <w:highlight w:val="none"/>
        </w:rPr>
      </w:pPr>
    </w:p>
    <w:p w14:paraId="01B49CFA">
      <w:pPr>
        <w:spacing w:line="340" w:lineRule="exact"/>
        <w:ind w:left="960" w:leftChars="400" w:firstLine="0" w:firstLineChars="0"/>
        <w:rPr>
          <w:rFonts w:ascii="宋体" w:hAnsi="宋体" w:cs="宋体"/>
          <w:b/>
          <w:color w:val="auto"/>
          <w:sz w:val="21"/>
          <w:szCs w:val="21"/>
          <w:highlight w:val="none"/>
        </w:rPr>
      </w:pPr>
    </w:p>
    <w:p w14:paraId="08F6E43D">
      <w:pPr>
        <w:spacing w:line="340" w:lineRule="exact"/>
        <w:ind w:left="960" w:leftChars="400" w:firstLine="0" w:firstLineChars="0"/>
        <w:rPr>
          <w:rFonts w:ascii="宋体" w:hAnsi="宋体" w:cs="宋体"/>
          <w:b/>
          <w:color w:val="auto"/>
          <w:sz w:val="21"/>
          <w:szCs w:val="21"/>
          <w:highlight w:val="none"/>
        </w:rPr>
      </w:pPr>
    </w:p>
    <w:p w14:paraId="029E9B3C">
      <w:pPr>
        <w:spacing w:line="240" w:lineRule="auto"/>
        <w:ind w:left="2940" w:firstLine="0" w:firstLineChars="0"/>
        <w:rPr>
          <w:color w:val="auto"/>
          <w:sz w:val="21"/>
          <w:szCs w:val="24"/>
          <w:highlight w:val="none"/>
        </w:rPr>
      </w:pPr>
    </w:p>
    <w:p w14:paraId="19B5F135">
      <w:pPr>
        <w:spacing w:line="340" w:lineRule="exact"/>
        <w:ind w:firstLine="0" w:firstLineChars="0"/>
        <w:rPr>
          <w:rFonts w:ascii="宋体" w:hAnsi="宋体" w:cs="宋体"/>
          <w:b/>
          <w:color w:val="auto"/>
          <w:kern w:val="0"/>
          <w:sz w:val="28"/>
          <w:szCs w:val="28"/>
          <w:highlight w:val="none"/>
        </w:rPr>
      </w:pPr>
    </w:p>
    <w:p w14:paraId="73F32D1D">
      <w:pPr>
        <w:spacing w:line="340" w:lineRule="exact"/>
        <w:ind w:firstLine="0" w:firstLineChars="0"/>
        <w:rPr>
          <w:rFonts w:ascii="宋体" w:hAnsi="宋体" w:cs="宋体"/>
          <w:b/>
          <w:color w:val="auto"/>
          <w:kern w:val="0"/>
          <w:sz w:val="28"/>
          <w:szCs w:val="28"/>
          <w:highlight w:val="none"/>
        </w:rPr>
      </w:pPr>
    </w:p>
    <w:p w14:paraId="53169791">
      <w:pPr>
        <w:spacing w:line="340" w:lineRule="exact"/>
        <w:ind w:firstLine="0" w:firstLineChars="0"/>
        <w:rPr>
          <w:rFonts w:ascii="宋体" w:hAnsi="宋体" w:cs="宋体"/>
          <w:b/>
          <w:color w:val="auto"/>
          <w:kern w:val="0"/>
          <w:sz w:val="28"/>
          <w:szCs w:val="28"/>
          <w:highlight w:val="none"/>
        </w:rPr>
      </w:pPr>
    </w:p>
    <w:p w14:paraId="24C18698">
      <w:pPr>
        <w:spacing w:line="340" w:lineRule="exact"/>
        <w:ind w:firstLine="0" w:firstLineChars="0"/>
        <w:rPr>
          <w:rFonts w:ascii="宋体" w:hAnsi="宋体" w:cs="宋体"/>
          <w:b/>
          <w:color w:val="auto"/>
          <w:kern w:val="0"/>
          <w:sz w:val="28"/>
          <w:szCs w:val="28"/>
          <w:highlight w:val="none"/>
        </w:rPr>
      </w:pPr>
    </w:p>
    <w:p w14:paraId="2F5544CB">
      <w:pPr>
        <w:spacing w:line="340" w:lineRule="exact"/>
        <w:ind w:firstLine="0" w:firstLineChars="0"/>
        <w:rPr>
          <w:rFonts w:ascii="宋体" w:hAnsi="宋体" w:cs="宋体"/>
          <w:b/>
          <w:color w:val="auto"/>
          <w:kern w:val="0"/>
          <w:sz w:val="28"/>
          <w:szCs w:val="28"/>
          <w:highlight w:val="none"/>
        </w:rPr>
      </w:pPr>
    </w:p>
    <w:p w14:paraId="753CF5D6">
      <w:pPr>
        <w:spacing w:line="340" w:lineRule="exact"/>
        <w:ind w:firstLine="0" w:firstLineChars="0"/>
        <w:rPr>
          <w:rFonts w:ascii="宋体" w:hAnsi="宋体" w:cs="宋体"/>
          <w:b/>
          <w:color w:val="auto"/>
          <w:kern w:val="0"/>
          <w:sz w:val="28"/>
          <w:szCs w:val="28"/>
          <w:highlight w:val="none"/>
        </w:rPr>
      </w:pPr>
    </w:p>
    <w:p w14:paraId="3EB007A1">
      <w:pPr>
        <w:spacing w:line="340" w:lineRule="exact"/>
        <w:ind w:firstLine="0" w:firstLineChars="0"/>
        <w:rPr>
          <w:rFonts w:ascii="宋体" w:hAnsi="宋体" w:cs="宋体"/>
          <w:b/>
          <w:color w:val="auto"/>
          <w:kern w:val="0"/>
          <w:sz w:val="28"/>
          <w:szCs w:val="28"/>
          <w:highlight w:val="none"/>
        </w:rPr>
      </w:pPr>
    </w:p>
    <w:p w14:paraId="0221931E">
      <w:pPr>
        <w:spacing w:line="340" w:lineRule="exact"/>
        <w:ind w:firstLine="0" w:firstLineChars="0"/>
        <w:rPr>
          <w:rFonts w:ascii="宋体" w:hAnsi="宋体" w:cs="宋体"/>
          <w:b/>
          <w:color w:val="auto"/>
          <w:kern w:val="0"/>
          <w:sz w:val="28"/>
          <w:szCs w:val="28"/>
          <w:highlight w:val="none"/>
        </w:rPr>
      </w:pPr>
    </w:p>
    <w:p w14:paraId="5D15A164">
      <w:pPr>
        <w:spacing w:line="340" w:lineRule="exact"/>
        <w:ind w:firstLine="0" w:firstLineChars="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9.供应商参加本项目无围标串标行为的承诺函（必须提供）</w:t>
      </w:r>
    </w:p>
    <w:p w14:paraId="21DD5BB7">
      <w:pPr>
        <w:spacing w:line="400" w:lineRule="exact"/>
        <w:ind w:firstLine="0" w:firstLineChars="0"/>
        <w:rPr>
          <w:rFonts w:ascii="宋体" w:hAnsi="宋体" w:cs="宋体"/>
          <w:b/>
          <w:color w:val="auto"/>
          <w:kern w:val="0"/>
          <w:sz w:val="32"/>
          <w:szCs w:val="32"/>
          <w:highlight w:val="none"/>
        </w:rPr>
      </w:pPr>
    </w:p>
    <w:p w14:paraId="4414328E">
      <w:pPr>
        <w:spacing w:line="400" w:lineRule="exact"/>
        <w:ind w:firstLine="0" w:firstLineChars="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p>
    <w:p w14:paraId="55E43878">
      <w:pPr>
        <w:spacing w:line="400" w:lineRule="exact"/>
        <w:ind w:firstLine="0" w:firstLineChars="0"/>
        <w:jc w:val="center"/>
        <w:rPr>
          <w:rFonts w:ascii="宋体" w:hAnsi="宋体" w:cs="宋体"/>
          <w:b/>
          <w:color w:val="auto"/>
          <w:kern w:val="0"/>
          <w:sz w:val="32"/>
          <w:szCs w:val="32"/>
          <w:highlight w:val="none"/>
        </w:rPr>
      </w:pPr>
    </w:p>
    <w:p w14:paraId="2F5726FE">
      <w:pPr>
        <w:spacing w:line="400" w:lineRule="exact"/>
        <w:ind w:firstLine="0" w:firstLineChars="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供应商参加本项目无围标串标行为的承诺函（格式）</w:t>
      </w:r>
    </w:p>
    <w:p w14:paraId="3D7F981E">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一、我（公司）承诺无下列相互串通的情形：</w:t>
      </w:r>
    </w:p>
    <w:p w14:paraId="62FB996D">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1.不同供应商的响应文件由同一单位或者个人编制；</w:t>
      </w:r>
    </w:p>
    <w:p w14:paraId="6939E554">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2.不同供应商委托同一单位或者个人办理磋商事宜；</w:t>
      </w:r>
    </w:p>
    <w:p w14:paraId="6D1FB595">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3.不同的供应商的响应文件载明的项目管理员为同一个人；</w:t>
      </w:r>
    </w:p>
    <w:p w14:paraId="74860ECF">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4.不同供应商的响应文件异常一致或磋商报价呈规律性差异；</w:t>
      </w:r>
    </w:p>
    <w:p w14:paraId="55F31ACD">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5.不同供应商的响应文件相互混装；</w:t>
      </w:r>
    </w:p>
    <w:p w14:paraId="6A581132">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二、我（公司）承诺无下列恶意串通的情形：</w:t>
      </w:r>
    </w:p>
    <w:p w14:paraId="4F98AC7D">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1.供应商直接或者间接从采购人或者采购代理机构处获得其他供应商的相关信息并修改其响应文件或者响应文件；</w:t>
      </w:r>
    </w:p>
    <w:p w14:paraId="2F1E24E2">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2.供应商按照采购人或者采购代理机构的授意撤换、修改响应文件或者响应文件；</w:t>
      </w:r>
    </w:p>
    <w:p w14:paraId="3279B40A">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3.供应商之间协商报价、技术方案等响应文件或者响应文件的实质性内容；</w:t>
      </w:r>
    </w:p>
    <w:p w14:paraId="01FCB77B">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4.属于同一集团、协会、商会等组织成员的供应商按照该组织要求协同参加政府采购活动；</w:t>
      </w:r>
    </w:p>
    <w:p w14:paraId="5717A6F9">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5.供应商之间事先约定一致抬高或者压低磋商报价，或者在采购项目中事先约定轮流以高价位或者低价位成交，或者事先约定由某一特定供应商成交，然后再参加采购；</w:t>
      </w:r>
    </w:p>
    <w:p w14:paraId="416D8EA1">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6.供应商之间商定部分供应商放弃参加政府采购活动或者放弃成交；</w:t>
      </w:r>
    </w:p>
    <w:p w14:paraId="23057DBF">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7.供应商与采购人或者采购代理机构之间、供应商相互之间，为谋求特定供应商成交或者排斥其他供应商的其他串通行为。</w:t>
      </w:r>
    </w:p>
    <w:p w14:paraId="24B5D843">
      <w:pPr>
        <w:spacing w:line="400" w:lineRule="exact"/>
        <w:ind w:firstLine="420"/>
        <w:rPr>
          <w:rFonts w:ascii="宋体" w:hAnsi="宋体" w:cs="宋体"/>
          <w:color w:val="auto"/>
          <w:kern w:val="0"/>
          <w:sz w:val="21"/>
          <w:szCs w:val="20"/>
          <w:highlight w:val="none"/>
        </w:rPr>
      </w:pPr>
      <w:r>
        <w:rPr>
          <w:rFonts w:hint="eastAsia" w:ascii="宋体" w:hAnsi="宋体" w:cs="宋体"/>
          <w:color w:val="auto"/>
          <w:kern w:val="0"/>
          <w:sz w:val="21"/>
          <w:szCs w:val="20"/>
          <w:highlight w:val="none"/>
        </w:rPr>
        <w:t>以上情形一经核查属实，我方愿意承担一切后果，并不再寻求任何旨在减轻或免除法律责任的辩解。</w:t>
      </w:r>
    </w:p>
    <w:p w14:paraId="6F364DF1">
      <w:pPr>
        <w:spacing w:line="240" w:lineRule="auto"/>
        <w:ind w:firstLine="0" w:firstLineChars="0"/>
        <w:rPr>
          <w:rFonts w:ascii="宋体" w:hAnsi="宋体" w:cs="宋体"/>
          <w:color w:val="auto"/>
          <w:sz w:val="21"/>
          <w:szCs w:val="24"/>
          <w:highlight w:val="none"/>
        </w:rPr>
      </w:pPr>
    </w:p>
    <w:p w14:paraId="1158FAF5">
      <w:pPr>
        <w:spacing w:line="240" w:lineRule="auto"/>
        <w:ind w:firstLine="0" w:firstLineChars="0"/>
        <w:rPr>
          <w:rFonts w:ascii="宋体" w:hAnsi="宋体" w:cs="宋体"/>
          <w:color w:val="auto"/>
          <w:sz w:val="21"/>
          <w:szCs w:val="24"/>
          <w:highlight w:val="none"/>
        </w:rPr>
      </w:pPr>
    </w:p>
    <w:p w14:paraId="1DA04BC4">
      <w:pPr>
        <w:snapToGrid w:val="0"/>
        <w:spacing w:line="400" w:lineRule="exact"/>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298771FA">
      <w:pPr>
        <w:spacing w:line="340" w:lineRule="exact"/>
        <w:ind w:firstLine="0" w:firstLineChars="0"/>
        <w:rPr>
          <w:rFonts w:ascii="宋体" w:hAnsi="宋体" w:cs="宋体"/>
          <w:color w:val="auto"/>
          <w:sz w:val="21"/>
          <w:szCs w:val="24"/>
          <w:highlight w:val="none"/>
        </w:rPr>
      </w:pPr>
      <w:r>
        <w:rPr>
          <w:rFonts w:hint="eastAsia" w:ascii="宋体" w:hAnsi="宋体" w:cs="宋体"/>
          <w:color w:val="auto"/>
          <w:sz w:val="21"/>
          <w:szCs w:val="24"/>
          <w:highlight w:val="none"/>
        </w:rPr>
        <w:t>法定代表人或委托代理人签字</w:t>
      </w:r>
      <w:r>
        <w:rPr>
          <w:rFonts w:hint="eastAsia" w:ascii="宋体" w:hAnsi="宋体" w:cs="宋体"/>
          <w:b/>
          <w:color w:val="auto"/>
          <w:sz w:val="21"/>
          <w:szCs w:val="21"/>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4C2C3A25">
      <w:pPr>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57BF6B5E">
      <w:pPr>
        <w:spacing w:line="400" w:lineRule="exact"/>
        <w:ind w:left="420" w:firstLine="0" w:firstLineChars="0"/>
        <w:jc w:val="center"/>
        <w:rPr>
          <w:rFonts w:ascii="宋体" w:hAnsi="宋体" w:cs="宋体"/>
          <w:b/>
          <w:color w:val="auto"/>
          <w:sz w:val="21"/>
          <w:szCs w:val="21"/>
          <w:highlight w:val="none"/>
        </w:rPr>
      </w:pPr>
    </w:p>
    <w:p w14:paraId="6586CB64">
      <w:pPr>
        <w:spacing w:line="240" w:lineRule="auto"/>
        <w:ind w:firstLine="0" w:firstLineChars="0"/>
        <w:jc w:val="left"/>
        <w:rPr>
          <w:rFonts w:ascii="宋体" w:hAnsi="宋体" w:cs="宋体"/>
          <w:b/>
          <w:color w:val="auto"/>
          <w:sz w:val="21"/>
          <w:szCs w:val="21"/>
          <w:highlight w:val="none"/>
        </w:rPr>
      </w:pPr>
      <w:r>
        <w:rPr>
          <w:rFonts w:hint="eastAsia" w:ascii="宋体" w:hAnsi="宋体" w:cs="宋体"/>
          <w:b/>
          <w:color w:val="auto"/>
          <w:sz w:val="21"/>
          <w:szCs w:val="21"/>
          <w:highlight w:val="none"/>
        </w:rPr>
        <w:t>注：供应商参加本项目无围标串标行为的承诺函须由法定代表人或相应的委托代理人签字（或电子签名），并加盖供应商电子签章。</w:t>
      </w:r>
    </w:p>
    <w:p w14:paraId="7F3597C9">
      <w:pPr>
        <w:spacing w:line="240" w:lineRule="auto"/>
        <w:ind w:firstLine="0" w:firstLineChars="0"/>
        <w:rPr>
          <w:color w:val="auto"/>
          <w:sz w:val="21"/>
          <w:szCs w:val="24"/>
          <w:highlight w:val="none"/>
        </w:rPr>
      </w:pPr>
    </w:p>
    <w:p w14:paraId="460CFFC4">
      <w:pPr>
        <w:spacing w:line="240" w:lineRule="auto"/>
        <w:ind w:firstLine="0" w:firstLineChars="0"/>
        <w:rPr>
          <w:color w:val="auto"/>
          <w:sz w:val="21"/>
          <w:szCs w:val="24"/>
          <w:highlight w:val="none"/>
        </w:rPr>
      </w:pPr>
    </w:p>
    <w:p w14:paraId="7BBCE4E1">
      <w:pPr>
        <w:spacing w:line="240" w:lineRule="auto"/>
        <w:ind w:firstLine="0" w:firstLineChars="0"/>
        <w:rPr>
          <w:color w:val="auto"/>
          <w:sz w:val="21"/>
          <w:szCs w:val="24"/>
          <w:highlight w:val="none"/>
        </w:rPr>
      </w:pPr>
    </w:p>
    <w:p w14:paraId="18A59469">
      <w:pPr>
        <w:spacing w:line="240" w:lineRule="auto"/>
        <w:ind w:firstLine="0" w:firstLineChars="0"/>
        <w:rPr>
          <w:color w:val="auto"/>
          <w:sz w:val="21"/>
          <w:szCs w:val="24"/>
          <w:highlight w:val="none"/>
        </w:rPr>
      </w:pPr>
    </w:p>
    <w:p w14:paraId="233B3F9C">
      <w:pPr>
        <w:spacing w:line="240" w:lineRule="auto"/>
        <w:ind w:firstLine="0" w:firstLineChars="0"/>
        <w:rPr>
          <w:color w:val="auto"/>
          <w:sz w:val="21"/>
          <w:szCs w:val="24"/>
          <w:highlight w:val="none"/>
        </w:rPr>
      </w:pPr>
    </w:p>
    <w:p w14:paraId="330417BE">
      <w:pPr>
        <w:spacing w:line="240" w:lineRule="auto"/>
        <w:ind w:firstLine="0" w:firstLineChars="0"/>
        <w:rPr>
          <w:color w:val="auto"/>
          <w:sz w:val="21"/>
          <w:szCs w:val="24"/>
          <w:highlight w:val="none"/>
        </w:rPr>
      </w:pPr>
    </w:p>
    <w:p w14:paraId="3F0FA638">
      <w:pPr>
        <w:spacing w:line="240" w:lineRule="auto"/>
        <w:ind w:left="2940" w:firstLine="0" w:firstLineChars="0"/>
        <w:rPr>
          <w:color w:val="auto"/>
          <w:sz w:val="21"/>
          <w:szCs w:val="24"/>
          <w:highlight w:val="none"/>
        </w:rPr>
      </w:pPr>
    </w:p>
    <w:p w14:paraId="56689626">
      <w:pPr>
        <w:spacing w:line="240" w:lineRule="auto"/>
        <w:ind w:firstLine="0" w:firstLineChars="0"/>
        <w:rPr>
          <w:rFonts w:ascii="宋体" w:hAnsi="宋体" w:cs="宋体"/>
          <w:b/>
          <w:color w:val="auto"/>
          <w:sz w:val="28"/>
          <w:szCs w:val="28"/>
          <w:highlight w:val="none"/>
        </w:rPr>
      </w:pPr>
      <w:r>
        <w:rPr>
          <w:rFonts w:hint="eastAsia" w:ascii="宋体" w:hAnsi="宋体" w:cs="宋体"/>
          <w:b/>
          <w:color w:val="auto"/>
          <w:sz w:val="28"/>
          <w:szCs w:val="28"/>
          <w:highlight w:val="none"/>
        </w:rPr>
        <w:t>10.供应商属于中小企业的相关证明材料（必须提供）</w:t>
      </w:r>
    </w:p>
    <w:p w14:paraId="0555078D">
      <w:pPr>
        <w:spacing w:line="240" w:lineRule="auto"/>
        <w:ind w:firstLine="0" w:firstLineChars="0"/>
        <w:rPr>
          <w:rFonts w:ascii="宋体" w:hAnsi="宋体" w:cs="宋体"/>
          <w:b/>
          <w:color w:val="auto"/>
          <w:sz w:val="28"/>
          <w:szCs w:val="28"/>
          <w:highlight w:val="none"/>
        </w:rPr>
      </w:pPr>
      <w:r>
        <w:rPr>
          <w:rFonts w:hint="eastAsia" w:ascii="宋体" w:hAnsi="宋体" w:cs="宋体"/>
          <w:b/>
          <w:color w:val="auto"/>
          <w:sz w:val="28"/>
          <w:szCs w:val="28"/>
          <w:highlight w:val="none"/>
        </w:rPr>
        <w:t>注：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供应商根据自身情况，应提供以下证明材料：</w:t>
      </w:r>
    </w:p>
    <w:p w14:paraId="2A0F543C">
      <w:pPr>
        <w:pStyle w:val="25"/>
        <w:rPr>
          <w:rFonts w:ascii="宋体" w:hAnsi="宋体"/>
          <w:b/>
          <w:color w:val="auto"/>
          <w:sz w:val="28"/>
          <w:szCs w:val="28"/>
          <w:highlight w:val="none"/>
        </w:rPr>
      </w:pPr>
      <w:r>
        <w:rPr>
          <w:rFonts w:hint="eastAsia" w:ascii="宋体" w:hAnsi="宋体"/>
          <w:b/>
          <w:color w:val="auto"/>
          <w:sz w:val="28"/>
          <w:szCs w:val="28"/>
          <w:highlight w:val="none"/>
        </w:rPr>
        <w:t>（1）供应商如为符合政策要求的中小企业且承接本项目全部服务的，提供《中小企业声明函》（并对声明的真实性负责）</w:t>
      </w:r>
    </w:p>
    <w:p w14:paraId="291F5B7D">
      <w:pPr>
        <w:pStyle w:val="25"/>
        <w:rPr>
          <w:rFonts w:ascii="宋体" w:hAnsi="宋体"/>
          <w:b/>
          <w:color w:val="auto"/>
          <w:sz w:val="28"/>
          <w:szCs w:val="28"/>
          <w:highlight w:val="none"/>
        </w:rPr>
      </w:pPr>
    </w:p>
    <w:p w14:paraId="33058E25">
      <w:pPr>
        <w:pStyle w:val="25"/>
        <w:rPr>
          <w:rFonts w:ascii="宋体" w:hAnsi="宋体"/>
          <w:color w:val="auto"/>
          <w:sz w:val="28"/>
          <w:szCs w:val="28"/>
          <w:highlight w:val="none"/>
        </w:rPr>
      </w:pPr>
      <w:r>
        <w:rPr>
          <w:rFonts w:hint="eastAsia" w:ascii="宋体" w:hAnsi="宋体"/>
          <w:b/>
          <w:color w:val="auto"/>
          <w:sz w:val="28"/>
          <w:szCs w:val="28"/>
          <w:highlight w:val="none"/>
        </w:rPr>
        <w:t>附件：</w:t>
      </w:r>
    </w:p>
    <w:p w14:paraId="772B0312">
      <w:pPr>
        <w:snapToGrid w:val="0"/>
        <w:spacing w:before="120" w:beforeLines="50" w:after="50" w:line="320" w:lineRule="exact"/>
        <w:ind w:firstLine="643"/>
        <w:jc w:val="center"/>
        <w:rPr>
          <w:rFonts w:ascii="宋体" w:hAnsi="宋体" w:cs="宋体"/>
          <w:b/>
          <w:color w:val="auto"/>
          <w:kern w:val="0"/>
          <w:sz w:val="30"/>
          <w:szCs w:val="30"/>
          <w:highlight w:val="none"/>
        </w:rPr>
      </w:pPr>
      <w:r>
        <w:rPr>
          <w:rFonts w:hint="eastAsia" w:ascii="宋体" w:hAnsi="宋体" w:cs="宋体"/>
          <w:b/>
          <w:color w:val="auto"/>
          <w:kern w:val="0"/>
          <w:sz w:val="32"/>
          <w:szCs w:val="32"/>
          <w:highlight w:val="none"/>
        </w:rPr>
        <w:t>中小企业声明函（格式）</w:t>
      </w:r>
    </w:p>
    <w:p w14:paraId="4821BD61">
      <w:pPr>
        <w:spacing w:line="480" w:lineRule="exact"/>
        <w:ind w:firstLine="560"/>
        <w:rPr>
          <w:rFonts w:ascii="宋体" w:hAnsi="宋体" w:cs="宋体"/>
          <w:color w:val="auto"/>
          <w:kern w:val="0"/>
          <w:sz w:val="28"/>
          <w:szCs w:val="28"/>
          <w:highlight w:val="none"/>
        </w:rPr>
      </w:pPr>
      <w:r>
        <w:rPr>
          <w:rFonts w:hint="eastAsia" w:ascii="宋体" w:hAnsi="宋体" w:cs="宋体"/>
          <w:color w:val="auto"/>
          <w:kern w:val="0"/>
          <w:sz w:val="28"/>
          <w:szCs w:val="28"/>
          <w:highlight w:val="none"/>
        </w:rPr>
        <w:t>本公司郑重声明，根据《政府采购促进中小企业发展管理办法》（财库﹝2020﹞46 号）的规定，本公司参加</w:t>
      </w:r>
      <w:r>
        <w:rPr>
          <w:rFonts w:hint="eastAsia" w:ascii="宋体" w:hAnsi="宋体" w:cs="宋体"/>
          <w:color w:val="auto"/>
          <w:kern w:val="0"/>
          <w:sz w:val="28"/>
          <w:szCs w:val="28"/>
          <w:highlight w:val="none"/>
          <w:u w:val="single"/>
        </w:rPr>
        <w:t>桂林市社会保险事业管理中心</w:t>
      </w:r>
      <w:r>
        <w:rPr>
          <w:rFonts w:hint="eastAsia" w:ascii="宋体" w:hAnsi="宋体" w:cs="宋体"/>
          <w:color w:val="auto"/>
          <w:kern w:val="0"/>
          <w:sz w:val="28"/>
          <w:szCs w:val="28"/>
          <w:highlight w:val="none"/>
        </w:rPr>
        <w:t>的</w:t>
      </w:r>
      <w:r>
        <w:rPr>
          <w:rFonts w:hint="eastAsia" w:ascii="宋体" w:hAnsi="宋体" w:cs="宋体"/>
          <w:color w:val="auto"/>
          <w:kern w:val="0"/>
          <w:sz w:val="28"/>
          <w:szCs w:val="28"/>
          <w:highlight w:val="none"/>
          <w:u w:val="single"/>
        </w:rPr>
        <w:t>桂林市2025年度工伤预防项目</w:t>
      </w:r>
      <w:r>
        <w:rPr>
          <w:rFonts w:hint="eastAsia" w:ascii="宋体" w:hAnsi="宋体" w:cs="宋体"/>
          <w:color w:val="auto"/>
          <w:kern w:val="0"/>
          <w:sz w:val="28"/>
          <w:szCs w:val="28"/>
          <w:highlight w:val="none"/>
        </w:rPr>
        <w:t>采购活动，服务全部由符合政策要求的中小企业承接。相关企业的具体情况如下：</w:t>
      </w:r>
    </w:p>
    <w:p w14:paraId="516B052F">
      <w:pPr>
        <w:spacing w:line="480" w:lineRule="exact"/>
        <w:ind w:firstLine="560"/>
        <w:rPr>
          <w:rFonts w:ascii="宋体" w:hAnsi="宋体" w:cs="宋体"/>
          <w:color w:val="auto"/>
          <w:kern w:val="0"/>
          <w:sz w:val="28"/>
          <w:szCs w:val="28"/>
          <w:highlight w:val="none"/>
        </w:rPr>
      </w:pPr>
      <w:r>
        <w:rPr>
          <w:rFonts w:hint="eastAsia" w:ascii="宋体" w:hAnsi="宋体" w:cs="宋体"/>
          <w:color w:val="auto"/>
          <w:kern w:val="0"/>
          <w:sz w:val="28"/>
          <w:szCs w:val="28"/>
          <w:highlight w:val="none"/>
          <w:u w:val="single"/>
        </w:rPr>
        <w:t>桂林市2025年度工伤预防服务</w:t>
      </w:r>
      <w:r>
        <w:rPr>
          <w:rFonts w:hint="eastAsia" w:ascii="宋体" w:hAnsi="宋体" w:cs="宋体"/>
          <w:color w:val="auto"/>
          <w:kern w:val="0"/>
          <w:sz w:val="28"/>
          <w:szCs w:val="28"/>
          <w:highlight w:val="none"/>
        </w:rPr>
        <w:t>，属于</w:t>
      </w:r>
      <w:r>
        <w:rPr>
          <w:rFonts w:hint="eastAsia" w:ascii="宋体" w:hAnsi="宋体" w:cs="宋体"/>
          <w:color w:val="auto"/>
          <w:kern w:val="0"/>
          <w:sz w:val="28"/>
          <w:szCs w:val="28"/>
          <w:highlight w:val="none"/>
          <w:u w:val="single"/>
        </w:rPr>
        <w:t>其他未列明</w:t>
      </w:r>
      <w:r>
        <w:rPr>
          <w:rFonts w:hint="eastAsia" w:ascii="宋体" w:hAnsi="宋体" w:cs="宋体"/>
          <w:color w:val="auto"/>
          <w:kern w:val="0"/>
          <w:sz w:val="28"/>
          <w:szCs w:val="28"/>
          <w:highlight w:val="none"/>
        </w:rPr>
        <w:t>行业；承接企业为</w:t>
      </w:r>
      <w:r>
        <w:rPr>
          <w:rFonts w:hint="eastAsia" w:ascii="宋体" w:hAnsi="宋体" w:cs="宋体"/>
          <w:color w:val="auto"/>
          <w:kern w:val="0"/>
          <w:sz w:val="28"/>
          <w:szCs w:val="28"/>
          <w:highlight w:val="none"/>
          <w:u w:val="single"/>
        </w:rPr>
        <w:t>（企业名称）</w:t>
      </w:r>
      <w:r>
        <w:rPr>
          <w:rFonts w:hint="eastAsia" w:ascii="宋体" w:hAnsi="宋体" w:cs="宋体"/>
          <w:color w:val="auto"/>
          <w:kern w:val="0"/>
          <w:sz w:val="28"/>
          <w:szCs w:val="28"/>
          <w:highlight w:val="none"/>
        </w:rPr>
        <w:t>，从业人员</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人，营业收入为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万元，资产总额为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万元，属于</w:t>
      </w:r>
      <w:r>
        <w:rPr>
          <w:rFonts w:hint="eastAsia" w:ascii="宋体" w:hAnsi="宋体" w:cs="宋体"/>
          <w:color w:val="auto"/>
          <w:kern w:val="0"/>
          <w:sz w:val="28"/>
          <w:szCs w:val="28"/>
          <w:highlight w:val="none"/>
          <w:u w:val="single"/>
        </w:rPr>
        <w:t>（中型企业、小型企业、微型企业）</w:t>
      </w:r>
      <w:r>
        <w:rPr>
          <w:rFonts w:hint="eastAsia" w:ascii="宋体" w:hAnsi="宋体" w:cs="宋体"/>
          <w:color w:val="auto"/>
          <w:kern w:val="0"/>
          <w:sz w:val="28"/>
          <w:szCs w:val="28"/>
          <w:highlight w:val="none"/>
        </w:rPr>
        <w:t>；</w:t>
      </w:r>
    </w:p>
    <w:p w14:paraId="11B2B8D7">
      <w:pPr>
        <w:spacing w:line="480" w:lineRule="exact"/>
        <w:ind w:firstLine="560"/>
        <w:rPr>
          <w:rFonts w:ascii="宋体" w:hAnsi="宋体" w:cs="宋体"/>
          <w:color w:val="auto"/>
          <w:kern w:val="0"/>
          <w:sz w:val="28"/>
          <w:szCs w:val="28"/>
          <w:highlight w:val="none"/>
        </w:rPr>
      </w:pPr>
      <w:r>
        <w:rPr>
          <w:rFonts w:hint="eastAsia" w:ascii="宋体" w:hAnsi="宋体" w:cs="宋体"/>
          <w:color w:val="auto"/>
          <w:kern w:val="0"/>
          <w:sz w:val="28"/>
          <w:szCs w:val="28"/>
          <w:highlight w:val="none"/>
        </w:rPr>
        <w:t>以上企业，不属于大企业的分支机构，不存在控股股东为大企业的情形，也不存在与大企业的负责人为同一人的情形。</w:t>
      </w:r>
    </w:p>
    <w:p w14:paraId="1069BEA4">
      <w:pPr>
        <w:spacing w:line="480" w:lineRule="exact"/>
        <w:ind w:firstLine="560"/>
        <w:rPr>
          <w:rFonts w:ascii="宋体" w:hAnsi="宋体" w:cs="宋体"/>
          <w:color w:val="auto"/>
          <w:kern w:val="0"/>
          <w:sz w:val="28"/>
          <w:szCs w:val="28"/>
          <w:highlight w:val="none"/>
        </w:rPr>
      </w:pPr>
      <w:r>
        <w:rPr>
          <w:rFonts w:hint="eastAsia" w:ascii="宋体" w:hAnsi="宋体" w:cs="宋体"/>
          <w:color w:val="auto"/>
          <w:kern w:val="0"/>
          <w:sz w:val="28"/>
          <w:szCs w:val="28"/>
          <w:highlight w:val="none"/>
        </w:rPr>
        <w:t>本企业对上述声明内容的真实性负责。如有虚假，将依法承担相应责任。</w:t>
      </w:r>
    </w:p>
    <w:p w14:paraId="43C34556">
      <w:pPr>
        <w:tabs>
          <w:tab w:val="left" w:pos="4860"/>
        </w:tabs>
        <w:spacing w:line="588" w:lineRule="exact"/>
        <w:ind w:right="1560" w:firstLine="560"/>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olor w:val="auto"/>
          <w:sz w:val="28"/>
          <w:szCs w:val="28"/>
          <w:highlight w:val="none"/>
        </w:rPr>
        <w:t>供应商</w:t>
      </w:r>
      <w:r>
        <w:rPr>
          <w:rFonts w:hint="eastAsia" w:ascii="宋体" w:hAnsi="宋体" w:cs="宋体"/>
          <w:color w:val="auto"/>
          <w:sz w:val="28"/>
          <w:szCs w:val="28"/>
          <w:highlight w:val="none"/>
        </w:rPr>
        <w:t>电子签章</w:t>
      </w:r>
      <w:r>
        <w:rPr>
          <w:rFonts w:hint="eastAsia" w:ascii="宋体" w:hAnsi="宋体" w:cs="宋体"/>
          <w:color w:val="auto"/>
          <w:kern w:val="0"/>
          <w:sz w:val="28"/>
          <w:szCs w:val="28"/>
          <w:highlight w:val="none"/>
        </w:rPr>
        <w:t xml:space="preserve">： </w:t>
      </w:r>
    </w:p>
    <w:p w14:paraId="3547D114">
      <w:pPr>
        <w:snapToGrid w:val="0"/>
        <w:spacing w:before="120" w:beforeLines="50" w:after="50"/>
        <w:ind w:firstLine="56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日  期：</w:t>
      </w:r>
    </w:p>
    <w:p w14:paraId="1F2CC821">
      <w:pPr>
        <w:snapToGrid w:val="0"/>
        <w:spacing w:before="120" w:beforeLines="50" w:after="50"/>
        <w:ind w:firstLine="360"/>
        <w:jc w:val="left"/>
        <w:rPr>
          <w:rFonts w:ascii="宋体" w:hAnsi="宋体" w:cs="宋体"/>
          <w:color w:val="auto"/>
          <w:kern w:val="0"/>
          <w:sz w:val="18"/>
          <w:szCs w:val="18"/>
          <w:highlight w:val="none"/>
        </w:rPr>
      </w:pPr>
    </w:p>
    <w:p w14:paraId="140667FE">
      <w:pPr>
        <w:snapToGrid w:val="0"/>
        <w:spacing w:before="120" w:beforeLines="50" w:after="50"/>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注：《中小企业声明函》中从业人员、营业收入、资产总额填报上一年度数据，无上一年度数据的新成立企业可不填报。</w:t>
      </w:r>
    </w:p>
    <w:p w14:paraId="54D0321F">
      <w:pPr>
        <w:pStyle w:val="25"/>
        <w:spacing w:line="400" w:lineRule="exact"/>
        <w:rPr>
          <w:rFonts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（2）供应商如属于监狱企业且承接本项目全部服务的，提供由省级以上监狱管理局、戒毒管理局（含新疆生产建设兵团）出具的属于监狱企业的证明文件</w:t>
      </w:r>
    </w:p>
    <w:p w14:paraId="521FA79A">
      <w:pPr>
        <w:pStyle w:val="11"/>
        <w:rPr>
          <w:color w:val="auto"/>
          <w:highlight w:val="none"/>
          <w:lang w:val="en-GB"/>
        </w:rPr>
      </w:pPr>
    </w:p>
    <w:p w14:paraId="236D9EB5">
      <w:pPr>
        <w:pStyle w:val="170"/>
        <w:rPr>
          <w:rFonts w:hAnsi="宋体"/>
          <w:color w:val="auto"/>
          <w:sz w:val="28"/>
          <w:szCs w:val="28"/>
          <w:highlight w:val="none"/>
        </w:rPr>
      </w:pPr>
    </w:p>
    <w:p w14:paraId="3F6E3E7A">
      <w:pPr>
        <w:pStyle w:val="25"/>
        <w:spacing w:line="400" w:lineRule="exact"/>
        <w:rPr>
          <w:rFonts w:ascii="宋体" w:hAnsi="宋体"/>
          <w:b/>
          <w:color w:val="auto"/>
          <w:sz w:val="28"/>
          <w:szCs w:val="28"/>
          <w:highlight w:val="none"/>
        </w:rPr>
      </w:pPr>
      <w:r>
        <w:rPr>
          <w:rFonts w:hint="eastAsia" w:ascii="宋体" w:hAnsi="宋体"/>
          <w:b/>
          <w:color w:val="auto"/>
          <w:sz w:val="28"/>
          <w:szCs w:val="28"/>
          <w:highlight w:val="none"/>
        </w:rPr>
        <w:t>（3）供应商如属于符合条件的残疾人福利性单位且承接本项目全部服务的，提供《残疾人福利性单位声明函》（并对声明的真实性负责）</w:t>
      </w:r>
    </w:p>
    <w:p w14:paraId="035F950F">
      <w:pPr>
        <w:pStyle w:val="25"/>
        <w:ind w:firstLine="413" w:firstLineChars="147"/>
        <w:rPr>
          <w:rFonts w:ascii="宋体" w:hAnsi="宋体"/>
          <w:b/>
          <w:color w:val="auto"/>
          <w:sz w:val="28"/>
          <w:szCs w:val="28"/>
          <w:highlight w:val="none"/>
        </w:rPr>
      </w:pPr>
      <w:r>
        <w:rPr>
          <w:rFonts w:hint="eastAsia" w:ascii="宋体" w:hAnsi="宋体"/>
          <w:b/>
          <w:color w:val="auto"/>
          <w:sz w:val="28"/>
          <w:szCs w:val="28"/>
          <w:highlight w:val="none"/>
        </w:rPr>
        <w:t>附件：</w:t>
      </w:r>
    </w:p>
    <w:p w14:paraId="04E5FF8C">
      <w:pPr>
        <w:pStyle w:val="25"/>
        <w:jc w:val="center"/>
        <w:rPr>
          <w:rFonts w:hAnsi="宋体"/>
          <w:b/>
          <w:bCs/>
          <w:color w:val="auto"/>
          <w:sz w:val="32"/>
          <w:szCs w:val="32"/>
          <w:highlight w:val="none"/>
        </w:rPr>
      </w:pPr>
      <w:r>
        <w:rPr>
          <w:rFonts w:hint="eastAsia" w:hAnsi="宋体"/>
          <w:b/>
          <w:bCs/>
          <w:color w:val="auto"/>
          <w:sz w:val="32"/>
          <w:szCs w:val="32"/>
          <w:highlight w:val="none"/>
        </w:rPr>
        <w:t>残疾人福利性单位声明函（格式）</w:t>
      </w:r>
    </w:p>
    <w:p w14:paraId="06895FF3">
      <w:pPr>
        <w:spacing w:line="588" w:lineRule="exact"/>
        <w:ind w:firstLine="626"/>
        <w:rPr>
          <w:rFonts w:ascii="仿宋_GB2312" w:eastAsia="仿宋_GB2312"/>
          <w:b/>
          <w:color w:val="auto"/>
          <w:spacing w:val="6"/>
          <w:sz w:val="30"/>
          <w:szCs w:val="30"/>
          <w:highlight w:val="none"/>
        </w:rPr>
      </w:pPr>
    </w:p>
    <w:p w14:paraId="5F32A8B2">
      <w:pPr>
        <w:spacing w:line="588" w:lineRule="exact"/>
        <w:ind w:firstLine="584"/>
        <w:rPr>
          <w:rFonts w:ascii="宋体" w:hAnsi="宋体"/>
          <w:color w:val="auto"/>
          <w:spacing w:val="6"/>
          <w:sz w:val="28"/>
          <w:szCs w:val="28"/>
          <w:highlight w:val="none"/>
        </w:rPr>
      </w:pPr>
      <w:r>
        <w:rPr>
          <w:rFonts w:hint="eastAsia" w:ascii="宋体" w:hAnsi="宋体"/>
          <w:color w:val="auto"/>
          <w:spacing w:val="6"/>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57E9014">
      <w:pPr>
        <w:spacing w:line="588" w:lineRule="exact"/>
        <w:ind w:firstLine="584"/>
        <w:rPr>
          <w:rFonts w:ascii="宋体" w:hAnsi="宋体"/>
          <w:color w:val="auto"/>
          <w:spacing w:val="6"/>
          <w:sz w:val="28"/>
          <w:szCs w:val="28"/>
          <w:highlight w:val="none"/>
        </w:rPr>
      </w:pPr>
      <w:r>
        <w:rPr>
          <w:rFonts w:hint="eastAsia" w:ascii="宋体" w:hAnsi="宋体"/>
          <w:color w:val="auto"/>
          <w:spacing w:val="6"/>
          <w:sz w:val="28"/>
          <w:szCs w:val="28"/>
          <w:highlight w:val="none"/>
        </w:rPr>
        <w:t>本单位对上述声明的真实性负责。如有虚假，将依法承担相应责任。</w:t>
      </w:r>
    </w:p>
    <w:p w14:paraId="536A19D2">
      <w:pPr>
        <w:spacing w:line="588" w:lineRule="exact"/>
        <w:ind w:firstLine="624"/>
        <w:rPr>
          <w:rFonts w:ascii="宋体" w:hAnsi="宋体"/>
          <w:color w:val="auto"/>
          <w:spacing w:val="6"/>
          <w:sz w:val="30"/>
          <w:szCs w:val="30"/>
          <w:highlight w:val="none"/>
        </w:rPr>
      </w:pPr>
    </w:p>
    <w:p w14:paraId="286D5CDD">
      <w:pPr>
        <w:tabs>
          <w:tab w:val="left" w:pos="4860"/>
        </w:tabs>
        <w:spacing w:line="588" w:lineRule="exact"/>
        <w:ind w:right="1560" w:firstLine="624"/>
        <w:jc w:val="center"/>
        <w:rPr>
          <w:rFonts w:ascii="宋体" w:hAnsi="宋体"/>
          <w:color w:val="auto"/>
          <w:spacing w:val="6"/>
          <w:sz w:val="30"/>
          <w:szCs w:val="30"/>
          <w:highlight w:val="none"/>
        </w:rPr>
      </w:pPr>
      <w:r>
        <w:rPr>
          <w:rFonts w:hint="eastAsia" w:ascii="仿宋_GB2312" w:eastAsia="仿宋_GB2312"/>
          <w:color w:val="auto"/>
          <w:spacing w:val="6"/>
          <w:sz w:val="30"/>
          <w:szCs w:val="30"/>
          <w:highlight w:val="none"/>
        </w:rPr>
        <w:t xml:space="preserve">   </w:t>
      </w:r>
      <w:r>
        <w:rPr>
          <w:rFonts w:hint="eastAsia" w:ascii="宋体" w:hAnsi="宋体"/>
          <w:color w:val="auto"/>
          <w:spacing w:val="6"/>
          <w:sz w:val="30"/>
          <w:szCs w:val="30"/>
          <w:highlight w:val="none"/>
        </w:rPr>
        <w:t xml:space="preserve">  供应商电子签章：</w:t>
      </w:r>
    </w:p>
    <w:p w14:paraId="06906062">
      <w:pPr>
        <w:tabs>
          <w:tab w:val="left" w:pos="4860"/>
        </w:tabs>
        <w:spacing w:line="588" w:lineRule="exact"/>
        <w:ind w:right="1560" w:firstLine="624"/>
        <w:jc w:val="center"/>
        <w:rPr>
          <w:rFonts w:ascii="宋体" w:hAnsi="宋体"/>
          <w:color w:val="auto"/>
          <w:spacing w:val="6"/>
          <w:sz w:val="30"/>
          <w:szCs w:val="30"/>
          <w:highlight w:val="none"/>
        </w:rPr>
      </w:pPr>
      <w:r>
        <w:rPr>
          <w:rFonts w:hint="eastAsia" w:ascii="宋体" w:hAnsi="宋体"/>
          <w:color w:val="auto"/>
          <w:spacing w:val="6"/>
          <w:sz w:val="30"/>
          <w:szCs w:val="30"/>
          <w:highlight w:val="none"/>
        </w:rPr>
        <w:t xml:space="preserve">   日  期：</w:t>
      </w:r>
    </w:p>
    <w:p w14:paraId="6BCE37C3">
      <w:pPr>
        <w:spacing w:line="340" w:lineRule="exact"/>
        <w:ind w:firstLine="2160" w:firstLineChars="900"/>
        <w:rPr>
          <w:rFonts w:hAnsi="宋体"/>
          <w:color w:val="auto"/>
          <w:highlight w:val="none"/>
          <w:u w:val="single"/>
        </w:rPr>
      </w:pPr>
    </w:p>
    <w:p w14:paraId="613E1B77">
      <w:pPr>
        <w:spacing w:line="500" w:lineRule="exact"/>
        <w:ind w:firstLine="422"/>
        <w:rPr>
          <w:rFonts w:ascii="宋体" w:hAnsi="宋体" w:cs="宋体"/>
          <w:b/>
          <w:color w:val="auto"/>
          <w:kern w:val="0"/>
          <w:sz w:val="21"/>
          <w:szCs w:val="21"/>
          <w:highlight w:val="none"/>
        </w:rPr>
      </w:pPr>
    </w:p>
    <w:p w14:paraId="26B0862A">
      <w:pPr>
        <w:spacing w:line="500" w:lineRule="exact"/>
        <w:ind w:firstLine="422"/>
        <w:rPr>
          <w:rFonts w:ascii="宋体" w:hAnsi="宋体" w:cs="宋体"/>
          <w:b/>
          <w:color w:val="auto"/>
          <w:kern w:val="0"/>
          <w:sz w:val="21"/>
          <w:szCs w:val="21"/>
          <w:highlight w:val="none"/>
        </w:rPr>
      </w:pPr>
    </w:p>
    <w:p w14:paraId="5D17BC3E">
      <w:pPr>
        <w:spacing w:line="500" w:lineRule="exact"/>
        <w:ind w:firstLine="422"/>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注：中小企业在政府采购活动过程中，请根据自己的真实情况出具《中小企业声明函》或由省级以上监狱管理局、戒毒管理局（含新疆生产建设兵团）出具的属于监狱企业的证明文件或《残疾人福利性单位声明函》。采购人或采购代理机构在公告成交结果时，同时公告以上相应材料，接受社会监督。</w:t>
      </w:r>
    </w:p>
    <w:p w14:paraId="729D7F32">
      <w:pPr>
        <w:spacing w:line="340" w:lineRule="exact"/>
        <w:ind w:firstLine="0" w:firstLineChars="0"/>
        <w:rPr>
          <w:rFonts w:ascii="宋体" w:hAnsi="宋体"/>
          <w:b/>
          <w:color w:val="auto"/>
          <w:kern w:val="0"/>
          <w:sz w:val="32"/>
          <w:szCs w:val="32"/>
          <w:highlight w:val="none"/>
        </w:rPr>
      </w:pPr>
      <w:r>
        <w:rPr>
          <w:rFonts w:ascii="宋体" w:hAnsi="宋体" w:cs="宋体"/>
          <w:b/>
          <w:color w:val="auto"/>
          <w:kern w:val="0"/>
          <w:sz w:val="28"/>
          <w:szCs w:val="28"/>
          <w:highlight w:val="none"/>
        </w:rPr>
        <w:br w:type="page"/>
      </w:r>
      <w:r>
        <w:rPr>
          <w:rFonts w:hint="eastAsia" w:ascii="宋体" w:hAnsi="宋体"/>
          <w:b/>
          <w:color w:val="auto"/>
          <w:kern w:val="0"/>
          <w:sz w:val="32"/>
          <w:szCs w:val="32"/>
          <w:highlight w:val="none"/>
        </w:rPr>
        <w:t>（二）符合性响应证明材料目录</w:t>
      </w:r>
    </w:p>
    <w:p w14:paraId="1F2597DA">
      <w:pPr>
        <w:tabs>
          <w:tab w:val="left" w:pos="1305"/>
        </w:tabs>
        <w:spacing w:line="440" w:lineRule="exact"/>
        <w:ind w:firstLine="420"/>
        <w:rPr>
          <w:rFonts w:ascii="宋体" w:hAnsi="宋体"/>
          <w:color w:val="auto"/>
          <w:kern w:val="0"/>
          <w:sz w:val="21"/>
          <w:szCs w:val="21"/>
          <w:highlight w:val="none"/>
        </w:rPr>
      </w:pPr>
    </w:p>
    <w:p w14:paraId="003F5540">
      <w:pPr>
        <w:tabs>
          <w:tab w:val="left" w:pos="1305"/>
        </w:tabs>
        <w:spacing w:line="520" w:lineRule="exact"/>
        <w:ind w:firstLine="720" w:firstLineChars="300"/>
        <w:rPr>
          <w:rFonts w:ascii="宋体" w:hAnsi="宋体" w:cs="宋体"/>
          <w:b/>
          <w:color w:val="auto"/>
          <w:kern w:val="0"/>
          <w:highlight w:val="none"/>
        </w:rPr>
      </w:pPr>
      <w:r>
        <w:rPr>
          <w:rFonts w:hint="eastAsia" w:ascii="宋体" w:hAnsi="宋体" w:cs="宋体"/>
          <w:color w:val="auto"/>
          <w:kern w:val="0"/>
          <w:highlight w:val="none"/>
        </w:rPr>
        <w:t>1.磋商报价表</w:t>
      </w:r>
      <w:r>
        <w:rPr>
          <w:rFonts w:hint="eastAsia" w:ascii="宋体" w:hAnsi="宋体" w:cs="宋体"/>
          <w:b/>
          <w:color w:val="auto"/>
          <w:kern w:val="0"/>
          <w:highlight w:val="none"/>
        </w:rPr>
        <w:t>（必须提供）</w:t>
      </w:r>
    </w:p>
    <w:p w14:paraId="18B61D91">
      <w:pPr>
        <w:tabs>
          <w:tab w:val="left" w:pos="1305"/>
        </w:tabs>
        <w:spacing w:line="520" w:lineRule="exact"/>
        <w:ind w:firstLine="720" w:firstLineChars="300"/>
        <w:rPr>
          <w:rFonts w:ascii="宋体" w:hAnsi="宋体" w:cs="宋体"/>
          <w:color w:val="auto"/>
          <w:kern w:val="0"/>
          <w:highlight w:val="none"/>
        </w:rPr>
      </w:pPr>
      <w:r>
        <w:rPr>
          <w:rFonts w:hint="eastAsia" w:ascii="宋体" w:hAnsi="宋体" w:cs="宋体"/>
          <w:color w:val="auto"/>
          <w:kern w:val="0"/>
          <w:highlight w:val="none"/>
        </w:rPr>
        <w:t>2.服务内容要求及商务要求响应表</w:t>
      </w:r>
      <w:r>
        <w:rPr>
          <w:rFonts w:hint="eastAsia" w:ascii="宋体" w:hAnsi="宋体" w:cs="宋体"/>
          <w:b/>
          <w:color w:val="auto"/>
          <w:kern w:val="0"/>
          <w:highlight w:val="none"/>
        </w:rPr>
        <w:t>（必须提供）</w:t>
      </w:r>
    </w:p>
    <w:p w14:paraId="1D9908B0">
      <w:pPr>
        <w:tabs>
          <w:tab w:val="left" w:pos="1305"/>
        </w:tabs>
        <w:spacing w:line="520" w:lineRule="exact"/>
        <w:ind w:firstLine="720" w:firstLineChars="300"/>
        <w:rPr>
          <w:rFonts w:ascii="宋体" w:hAnsi="宋体" w:cs="宋体"/>
          <w:color w:val="auto"/>
          <w:kern w:val="0"/>
          <w:highlight w:val="none"/>
        </w:rPr>
      </w:pPr>
      <w:r>
        <w:rPr>
          <w:rFonts w:hint="eastAsia" w:ascii="宋体" w:hAnsi="宋体" w:cs="宋体"/>
          <w:color w:val="auto"/>
          <w:kern w:val="0"/>
          <w:highlight w:val="none"/>
        </w:rPr>
        <w:t>3“采购需求”须提供的有效证明文件</w:t>
      </w:r>
      <w:r>
        <w:rPr>
          <w:rFonts w:hint="eastAsia" w:ascii="宋体" w:hAnsi="宋体" w:cs="宋体"/>
          <w:b/>
          <w:bCs/>
          <w:color w:val="auto"/>
          <w:kern w:val="0"/>
          <w:highlight w:val="none"/>
        </w:rPr>
        <w:t>（必须提供）</w:t>
      </w:r>
    </w:p>
    <w:p w14:paraId="12EF14F3">
      <w:pPr>
        <w:spacing w:line="320" w:lineRule="exact"/>
        <w:ind w:firstLine="0" w:firstLineChars="0"/>
        <w:rPr>
          <w:rFonts w:ascii="宋体" w:hAnsi="宋体"/>
          <w:b/>
          <w:color w:val="auto"/>
          <w:kern w:val="0"/>
          <w:sz w:val="28"/>
          <w:szCs w:val="28"/>
          <w:highlight w:val="none"/>
        </w:rPr>
      </w:pPr>
    </w:p>
    <w:p w14:paraId="79035F21">
      <w:pPr>
        <w:spacing w:line="320" w:lineRule="exact"/>
        <w:ind w:firstLine="0" w:firstLineChars="0"/>
        <w:rPr>
          <w:rFonts w:ascii="宋体" w:hAnsi="宋体"/>
          <w:b/>
          <w:color w:val="auto"/>
          <w:kern w:val="0"/>
          <w:sz w:val="28"/>
          <w:szCs w:val="28"/>
          <w:highlight w:val="none"/>
        </w:rPr>
      </w:pPr>
    </w:p>
    <w:p w14:paraId="11655F51">
      <w:pPr>
        <w:spacing w:line="320" w:lineRule="exact"/>
        <w:ind w:firstLine="0" w:firstLineChars="0"/>
        <w:rPr>
          <w:rFonts w:ascii="宋体" w:hAnsi="宋体"/>
          <w:b/>
          <w:color w:val="auto"/>
          <w:kern w:val="0"/>
          <w:sz w:val="28"/>
          <w:szCs w:val="28"/>
          <w:highlight w:val="none"/>
        </w:rPr>
      </w:pPr>
    </w:p>
    <w:p w14:paraId="7906504F">
      <w:pPr>
        <w:spacing w:line="320" w:lineRule="exact"/>
        <w:ind w:firstLine="0" w:firstLineChars="0"/>
        <w:rPr>
          <w:rFonts w:ascii="宋体" w:hAnsi="宋体"/>
          <w:b/>
          <w:color w:val="auto"/>
          <w:kern w:val="0"/>
          <w:sz w:val="28"/>
          <w:szCs w:val="28"/>
          <w:highlight w:val="none"/>
        </w:rPr>
      </w:pPr>
    </w:p>
    <w:p w14:paraId="0243D526">
      <w:pPr>
        <w:spacing w:line="320" w:lineRule="exact"/>
        <w:ind w:firstLine="0" w:firstLineChars="0"/>
        <w:rPr>
          <w:rFonts w:ascii="宋体" w:hAnsi="宋体"/>
          <w:b/>
          <w:color w:val="auto"/>
          <w:kern w:val="0"/>
          <w:sz w:val="28"/>
          <w:szCs w:val="28"/>
          <w:highlight w:val="none"/>
        </w:rPr>
      </w:pPr>
    </w:p>
    <w:p w14:paraId="7F54BC63">
      <w:pPr>
        <w:spacing w:line="320" w:lineRule="exact"/>
        <w:ind w:firstLine="0" w:firstLineChars="0"/>
        <w:rPr>
          <w:rFonts w:ascii="宋体" w:hAnsi="宋体"/>
          <w:b/>
          <w:color w:val="auto"/>
          <w:kern w:val="0"/>
          <w:sz w:val="28"/>
          <w:szCs w:val="28"/>
          <w:highlight w:val="none"/>
        </w:rPr>
      </w:pPr>
    </w:p>
    <w:p w14:paraId="70CC1AE6">
      <w:pPr>
        <w:spacing w:line="320" w:lineRule="exact"/>
        <w:ind w:firstLine="0" w:firstLineChars="0"/>
        <w:rPr>
          <w:rFonts w:ascii="宋体" w:hAnsi="宋体"/>
          <w:b/>
          <w:color w:val="auto"/>
          <w:kern w:val="0"/>
          <w:sz w:val="28"/>
          <w:szCs w:val="28"/>
          <w:highlight w:val="none"/>
        </w:rPr>
      </w:pPr>
    </w:p>
    <w:p w14:paraId="6130E0EA">
      <w:pPr>
        <w:spacing w:line="320" w:lineRule="exact"/>
        <w:ind w:firstLine="0" w:firstLineChars="0"/>
        <w:rPr>
          <w:rFonts w:ascii="宋体" w:hAnsi="宋体"/>
          <w:b/>
          <w:color w:val="auto"/>
          <w:kern w:val="0"/>
          <w:sz w:val="28"/>
          <w:szCs w:val="28"/>
          <w:highlight w:val="none"/>
        </w:rPr>
      </w:pPr>
    </w:p>
    <w:p w14:paraId="2B31587C">
      <w:pPr>
        <w:spacing w:line="320" w:lineRule="exact"/>
        <w:ind w:firstLine="0" w:firstLineChars="0"/>
        <w:rPr>
          <w:rFonts w:ascii="宋体" w:hAnsi="宋体"/>
          <w:b/>
          <w:color w:val="auto"/>
          <w:kern w:val="0"/>
          <w:sz w:val="28"/>
          <w:szCs w:val="28"/>
          <w:highlight w:val="none"/>
        </w:rPr>
      </w:pPr>
    </w:p>
    <w:p w14:paraId="1F1C60F8">
      <w:pPr>
        <w:spacing w:line="320" w:lineRule="exact"/>
        <w:ind w:firstLine="0" w:firstLineChars="0"/>
        <w:rPr>
          <w:rFonts w:ascii="宋体" w:hAnsi="宋体"/>
          <w:b/>
          <w:color w:val="auto"/>
          <w:kern w:val="0"/>
          <w:sz w:val="28"/>
          <w:szCs w:val="28"/>
          <w:highlight w:val="none"/>
        </w:rPr>
      </w:pPr>
    </w:p>
    <w:p w14:paraId="1EC0CE5B">
      <w:pPr>
        <w:spacing w:line="320" w:lineRule="exact"/>
        <w:ind w:firstLine="0" w:firstLineChars="0"/>
        <w:rPr>
          <w:rFonts w:ascii="宋体" w:hAnsi="宋体"/>
          <w:b/>
          <w:color w:val="auto"/>
          <w:kern w:val="0"/>
          <w:sz w:val="28"/>
          <w:szCs w:val="28"/>
          <w:highlight w:val="none"/>
        </w:rPr>
      </w:pPr>
    </w:p>
    <w:p w14:paraId="65B93EBD">
      <w:pPr>
        <w:spacing w:line="320" w:lineRule="exact"/>
        <w:ind w:firstLine="0" w:firstLineChars="0"/>
        <w:rPr>
          <w:rFonts w:ascii="宋体" w:hAnsi="宋体"/>
          <w:b/>
          <w:color w:val="auto"/>
          <w:kern w:val="0"/>
          <w:sz w:val="28"/>
          <w:szCs w:val="28"/>
          <w:highlight w:val="none"/>
        </w:rPr>
      </w:pPr>
    </w:p>
    <w:p w14:paraId="0EA8D605">
      <w:pPr>
        <w:spacing w:line="320" w:lineRule="exact"/>
        <w:ind w:firstLine="0" w:firstLineChars="0"/>
        <w:rPr>
          <w:rFonts w:ascii="宋体" w:hAnsi="宋体"/>
          <w:b/>
          <w:color w:val="auto"/>
          <w:kern w:val="0"/>
          <w:sz w:val="28"/>
          <w:szCs w:val="28"/>
          <w:highlight w:val="none"/>
        </w:rPr>
      </w:pPr>
    </w:p>
    <w:p w14:paraId="7E272CDE">
      <w:pPr>
        <w:spacing w:line="320" w:lineRule="exact"/>
        <w:ind w:firstLine="0" w:firstLineChars="0"/>
        <w:rPr>
          <w:rFonts w:ascii="宋体" w:hAnsi="宋体"/>
          <w:b/>
          <w:color w:val="auto"/>
          <w:kern w:val="0"/>
          <w:sz w:val="28"/>
          <w:szCs w:val="28"/>
          <w:highlight w:val="none"/>
        </w:rPr>
      </w:pPr>
    </w:p>
    <w:p w14:paraId="3FF1438C">
      <w:pPr>
        <w:spacing w:line="320" w:lineRule="exact"/>
        <w:ind w:firstLine="0" w:firstLineChars="0"/>
        <w:rPr>
          <w:rFonts w:ascii="宋体" w:hAnsi="宋体"/>
          <w:b/>
          <w:color w:val="auto"/>
          <w:kern w:val="0"/>
          <w:sz w:val="28"/>
          <w:szCs w:val="28"/>
          <w:highlight w:val="none"/>
        </w:rPr>
      </w:pPr>
    </w:p>
    <w:p w14:paraId="25B9384A">
      <w:pPr>
        <w:spacing w:line="320" w:lineRule="exact"/>
        <w:ind w:firstLine="0" w:firstLineChars="0"/>
        <w:rPr>
          <w:rFonts w:ascii="宋体" w:hAnsi="宋体"/>
          <w:b/>
          <w:color w:val="auto"/>
          <w:kern w:val="0"/>
          <w:sz w:val="28"/>
          <w:szCs w:val="28"/>
          <w:highlight w:val="none"/>
        </w:rPr>
      </w:pPr>
    </w:p>
    <w:p w14:paraId="4DB12DF9">
      <w:pPr>
        <w:spacing w:line="320" w:lineRule="exact"/>
        <w:ind w:firstLine="0" w:firstLineChars="0"/>
        <w:rPr>
          <w:rFonts w:ascii="宋体" w:hAnsi="宋体"/>
          <w:b/>
          <w:color w:val="auto"/>
          <w:kern w:val="0"/>
          <w:sz w:val="28"/>
          <w:szCs w:val="28"/>
          <w:highlight w:val="none"/>
        </w:rPr>
      </w:pPr>
    </w:p>
    <w:p w14:paraId="213D810D">
      <w:pPr>
        <w:spacing w:line="320" w:lineRule="exact"/>
        <w:ind w:firstLine="0" w:firstLineChars="0"/>
        <w:rPr>
          <w:rFonts w:ascii="宋体" w:hAnsi="宋体"/>
          <w:b/>
          <w:color w:val="auto"/>
          <w:kern w:val="0"/>
          <w:sz w:val="28"/>
          <w:szCs w:val="28"/>
          <w:highlight w:val="none"/>
        </w:rPr>
      </w:pPr>
    </w:p>
    <w:p w14:paraId="4F8C9029">
      <w:pPr>
        <w:spacing w:line="320" w:lineRule="exact"/>
        <w:ind w:firstLine="0" w:firstLineChars="0"/>
        <w:rPr>
          <w:rFonts w:ascii="宋体" w:hAnsi="宋体"/>
          <w:b/>
          <w:color w:val="auto"/>
          <w:kern w:val="0"/>
          <w:sz w:val="28"/>
          <w:szCs w:val="28"/>
          <w:highlight w:val="none"/>
        </w:rPr>
      </w:pPr>
    </w:p>
    <w:p w14:paraId="5E8356D3">
      <w:pPr>
        <w:spacing w:line="320" w:lineRule="exact"/>
        <w:ind w:firstLine="0" w:firstLineChars="0"/>
        <w:rPr>
          <w:rFonts w:ascii="宋体" w:hAnsi="宋体"/>
          <w:b/>
          <w:color w:val="auto"/>
          <w:kern w:val="0"/>
          <w:sz w:val="28"/>
          <w:szCs w:val="28"/>
          <w:highlight w:val="none"/>
        </w:rPr>
      </w:pPr>
    </w:p>
    <w:p w14:paraId="6FA6C600">
      <w:pPr>
        <w:spacing w:line="320" w:lineRule="exact"/>
        <w:ind w:firstLine="0" w:firstLineChars="0"/>
        <w:rPr>
          <w:rFonts w:ascii="宋体" w:hAnsi="宋体"/>
          <w:b/>
          <w:color w:val="auto"/>
          <w:kern w:val="0"/>
          <w:sz w:val="28"/>
          <w:szCs w:val="28"/>
          <w:highlight w:val="none"/>
        </w:rPr>
      </w:pPr>
    </w:p>
    <w:p w14:paraId="6C06D6AC">
      <w:pPr>
        <w:spacing w:line="320" w:lineRule="exact"/>
        <w:ind w:firstLine="0" w:firstLineChars="0"/>
        <w:rPr>
          <w:rFonts w:ascii="宋体" w:hAnsi="宋体"/>
          <w:b/>
          <w:color w:val="auto"/>
          <w:kern w:val="0"/>
          <w:sz w:val="28"/>
          <w:szCs w:val="28"/>
          <w:highlight w:val="none"/>
        </w:rPr>
      </w:pPr>
    </w:p>
    <w:p w14:paraId="5D667B3F">
      <w:pPr>
        <w:spacing w:line="320" w:lineRule="exact"/>
        <w:ind w:firstLine="0" w:firstLineChars="0"/>
        <w:rPr>
          <w:rFonts w:ascii="宋体" w:hAnsi="宋体"/>
          <w:b/>
          <w:color w:val="auto"/>
          <w:kern w:val="0"/>
          <w:sz w:val="28"/>
          <w:szCs w:val="28"/>
          <w:highlight w:val="none"/>
        </w:rPr>
      </w:pPr>
    </w:p>
    <w:p w14:paraId="3F92F5FB">
      <w:pPr>
        <w:spacing w:line="320" w:lineRule="exact"/>
        <w:ind w:firstLine="0" w:firstLineChars="0"/>
        <w:rPr>
          <w:rFonts w:ascii="宋体" w:hAnsi="宋体"/>
          <w:b/>
          <w:color w:val="auto"/>
          <w:kern w:val="0"/>
          <w:sz w:val="28"/>
          <w:szCs w:val="28"/>
          <w:highlight w:val="none"/>
        </w:rPr>
      </w:pPr>
    </w:p>
    <w:p w14:paraId="03F36CB6">
      <w:pPr>
        <w:spacing w:line="320" w:lineRule="exact"/>
        <w:ind w:firstLine="0" w:firstLineChars="0"/>
        <w:rPr>
          <w:rFonts w:ascii="宋体" w:hAnsi="宋体"/>
          <w:b/>
          <w:color w:val="auto"/>
          <w:kern w:val="0"/>
          <w:sz w:val="28"/>
          <w:szCs w:val="28"/>
          <w:highlight w:val="none"/>
        </w:rPr>
      </w:pPr>
    </w:p>
    <w:p w14:paraId="2C9E4362">
      <w:pPr>
        <w:spacing w:line="320" w:lineRule="exact"/>
        <w:ind w:firstLine="0" w:firstLineChars="0"/>
        <w:rPr>
          <w:rFonts w:ascii="宋体" w:hAnsi="宋体"/>
          <w:b/>
          <w:color w:val="auto"/>
          <w:kern w:val="0"/>
          <w:sz w:val="28"/>
          <w:szCs w:val="28"/>
          <w:highlight w:val="none"/>
        </w:rPr>
      </w:pPr>
    </w:p>
    <w:p w14:paraId="4E8BC218">
      <w:pPr>
        <w:spacing w:line="320" w:lineRule="exact"/>
        <w:ind w:firstLine="0" w:firstLineChars="0"/>
        <w:rPr>
          <w:rFonts w:ascii="宋体" w:hAnsi="宋体"/>
          <w:b/>
          <w:color w:val="auto"/>
          <w:kern w:val="0"/>
          <w:sz w:val="28"/>
          <w:szCs w:val="28"/>
          <w:highlight w:val="none"/>
        </w:rPr>
      </w:pPr>
    </w:p>
    <w:p w14:paraId="62A1F519">
      <w:pPr>
        <w:spacing w:line="320" w:lineRule="exact"/>
        <w:ind w:firstLine="0" w:firstLineChars="0"/>
        <w:rPr>
          <w:rFonts w:ascii="宋体" w:hAnsi="宋体"/>
          <w:b/>
          <w:color w:val="auto"/>
          <w:kern w:val="0"/>
          <w:sz w:val="28"/>
          <w:szCs w:val="28"/>
          <w:highlight w:val="none"/>
        </w:rPr>
      </w:pPr>
    </w:p>
    <w:p w14:paraId="7A44ACE0">
      <w:pPr>
        <w:spacing w:line="320" w:lineRule="exact"/>
        <w:ind w:firstLine="0" w:firstLineChars="0"/>
        <w:rPr>
          <w:rFonts w:ascii="宋体" w:hAnsi="宋体"/>
          <w:b/>
          <w:color w:val="auto"/>
          <w:kern w:val="0"/>
          <w:sz w:val="28"/>
          <w:szCs w:val="28"/>
          <w:highlight w:val="none"/>
        </w:rPr>
      </w:pPr>
    </w:p>
    <w:p w14:paraId="37A903B0">
      <w:pPr>
        <w:spacing w:line="320" w:lineRule="exact"/>
        <w:ind w:firstLine="0" w:firstLineChars="0"/>
        <w:rPr>
          <w:rFonts w:ascii="宋体" w:hAnsi="宋体"/>
          <w:b/>
          <w:color w:val="auto"/>
          <w:kern w:val="0"/>
          <w:sz w:val="28"/>
          <w:szCs w:val="28"/>
          <w:highlight w:val="none"/>
        </w:rPr>
      </w:pPr>
    </w:p>
    <w:p w14:paraId="69FF4995">
      <w:pPr>
        <w:spacing w:line="320" w:lineRule="exact"/>
        <w:ind w:firstLine="0" w:firstLineChars="0"/>
        <w:rPr>
          <w:rFonts w:ascii="宋体" w:hAnsi="宋体"/>
          <w:b/>
          <w:color w:val="auto"/>
          <w:kern w:val="0"/>
          <w:sz w:val="28"/>
          <w:szCs w:val="28"/>
          <w:highlight w:val="none"/>
        </w:rPr>
      </w:pPr>
    </w:p>
    <w:p w14:paraId="01B6C062">
      <w:pPr>
        <w:pStyle w:val="18"/>
        <w:rPr>
          <w:b/>
          <w:color w:val="auto"/>
          <w:sz w:val="28"/>
          <w:szCs w:val="28"/>
          <w:highlight w:val="none"/>
        </w:rPr>
      </w:pPr>
    </w:p>
    <w:p w14:paraId="5AFF2E9D">
      <w:pPr>
        <w:pStyle w:val="18"/>
        <w:rPr>
          <w:b/>
          <w:color w:val="auto"/>
          <w:sz w:val="28"/>
          <w:szCs w:val="28"/>
          <w:highlight w:val="none"/>
        </w:rPr>
      </w:pPr>
    </w:p>
    <w:p w14:paraId="0AAC3407">
      <w:pPr>
        <w:pStyle w:val="44"/>
        <w:ind w:left="480"/>
        <w:rPr>
          <w:color w:val="auto"/>
          <w:highlight w:val="none"/>
        </w:rPr>
      </w:pPr>
    </w:p>
    <w:p w14:paraId="0B54A5BF">
      <w:pPr>
        <w:spacing w:line="320" w:lineRule="exact"/>
        <w:ind w:firstLine="0" w:firstLineChars="0"/>
        <w:rPr>
          <w:rFonts w:ascii="宋体" w:hAnsi="宋体"/>
          <w:b/>
          <w:color w:val="auto"/>
          <w:kern w:val="0"/>
          <w:sz w:val="28"/>
          <w:szCs w:val="28"/>
          <w:highlight w:val="none"/>
        </w:rPr>
      </w:pPr>
    </w:p>
    <w:p w14:paraId="49674283">
      <w:pPr>
        <w:spacing w:line="320" w:lineRule="exact"/>
        <w:ind w:firstLine="0" w:firstLineChars="0"/>
        <w:rPr>
          <w:rFonts w:ascii="宋体" w:hAnsi="宋体" w:cs="宋体"/>
          <w:b/>
          <w:color w:val="auto"/>
          <w:kern w:val="0"/>
          <w:sz w:val="28"/>
          <w:szCs w:val="28"/>
          <w:highlight w:val="none"/>
        </w:rPr>
      </w:pPr>
    </w:p>
    <w:p w14:paraId="196F894A">
      <w:pPr>
        <w:spacing w:line="320" w:lineRule="exact"/>
        <w:ind w:firstLine="0" w:firstLineChars="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1.磋商报价表（必须提供）</w:t>
      </w:r>
    </w:p>
    <w:p w14:paraId="66F28C5C">
      <w:pPr>
        <w:spacing w:line="300" w:lineRule="exact"/>
        <w:ind w:left="420" w:firstLine="0" w:firstLineChars="0"/>
        <w:jc w:val="left"/>
        <w:rPr>
          <w:rFonts w:ascii="宋体" w:hAnsi="宋体" w:cs="宋体"/>
          <w:b/>
          <w:color w:val="auto"/>
          <w:kern w:val="0"/>
          <w:sz w:val="30"/>
          <w:szCs w:val="30"/>
          <w:highlight w:val="none"/>
        </w:rPr>
      </w:pPr>
    </w:p>
    <w:p w14:paraId="01FF9345">
      <w:pPr>
        <w:spacing w:line="300" w:lineRule="exact"/>
        <w:ind w:firstLine="0" w:firstLineChars="0"/>
        <w:jc w:val="left"/>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 xml:space="preserve">附件：                                      </w:t>
      </w:r>
    </w:p>
    <w:p w14:paraId="44C17C7B">
      <w:pPr>
        <w:spacing w:line="300" w:lineRule="exact"/>
        <w:ind w:firstLine="0" w:firstLineChars="0"/>
        <w:jc w:val="center"/>
        <w:rPr>
          <w:rFonts w:ascii="宋体" w:hAnsi="宋体" w:cs="宋体"/>
          <w:b/>
          <w:color w:val="auto"/>
          <w:kern w:val="0"/>
          <w:sz w:val="32"/>
          <w:szCs w:val="20"/>
          <w:highlight w:val="none"/>
        </w:rPr>
      </w:pPr>
      <w:r>
        <w:rPr>
          <w:rFonts w:hint="eastAsia" w:ascii="宋体" w:hAnsi="宋体" w:cs="宋体"/>
          <w:b/>
          <w:color w:val="auto"/>
          <w:kern w:val="0"/>
          <w:sz w:val="32"/>
          <w:szCs w:val="20"/>
          <w:highlight w:val="none"/>
        </w:rPr>
        <w:t>磋商报价表（格式）</w:t>
      </w:r>
    </w:p>
    <w:p w14:paraId="4DD1604A">
      <w:pPr>
        <w:spacing w:line="300" w:lineRule="exact"/>
        <w:ind w:firstLine="0" w:firstLineChars="0"/>
        <w:rPr>
          <w:rFonts w:ascii="宋体" w:hAnsi="宋体" w:cs="宋体"/>
          <w:color w:val="auto"/>
          <w:sz w:val="21"/>
          <w:szCs w:val="21"/>
          <w:highlight w:val="none"/>
        </w:rPr>
      </w:pPr>
    </w:p>
    <w:p w14:paraId="7467CD0C">
      <w:pPr>
        <w:spacing w:line="3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分标</w:t>
      </w:r>
      <w:r>
        <w:rPr>
          <w:rFonts w:hint="eastAsia" w:ascii="宋体" w:hAnsi="宋体" w:cs="宋体"/>
          <w:color w:val="auto"/>
          <w:sz w:val="21"/>
          <w:szCs w:val="21"/>
          <w:highlight w:val="none"/>
          <w:u w:val="single"/>
        </w:rPr>
        <w:t xml:space="preserve">      </w:t>
      </w:r>
    </w:p>
    <w:tbl>
      <w:tblPr>
        <w:tblStyle w:val="45"/>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28"/>
        <w:gridCol w:w="850"/>
        <w:gridCol w:w="993"/>
        <w:gridCol w:w="2551"/>
      </w:tblGrid>
      <w:tr w14:paraId="5D378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928" w:type="dxa"/>
            <w:tcBorders>
              <w:top w:val="single" w:color="auto" w:sz="4" w:space="0"/>
              <w:left w:val="single" w:color="auto" w:sz="4" w:space="0"/>
              <w:bottom w:val="single" w:color="auto" w:sz="4" w:space="0"/>
              <w:right w:val="single" w:color="auto" w:sz="4" w:space="0"/>
            </w:tcBorders>
            <w:vAlign w:val="center"/>
          </w:tcPr>
          <w:p w14:paraId="4D324137">
            <w:pPr>
              <w:spacing w:line="300" w:lineRule="exact"/>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rPr>
              <w:t>采购标的名称</w:t>
            </w:r>
          </w:p>
        </w:tc>
        <w:tc>
          <w:tcPr>
            <w:tcW w:w="850" w:type="dxa"/>
            <w:tcBorders>
              <w:top w:val="single" w:color="auto" w:sz="4" w:space="0"/>
              <w:left w:val="single" w:color="auto" w:sz="4" w:space="0"/>
              <w:bottom w:val="single" w:color="auto" w:sz="4" w:space="0"/>
              <w:right w:val="single" w:color="auto" w:sz="4" w:space="0"/>
            </w:tcBorders>
            <w:vAlign w:val="center"/>
          </w:tcPr>
          <w:p w14:paraId="1BFCBE90">
            <w:pPr>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数量</w:t>
            </w:r>
          </w:p>
        </w:tc>
        <w:tc>
          <w:tcPr>
            <w:tcW w:w="993" w:type="dxa"/>
            <w:tcBorders>
              <w:top w:val="single" w:color="auto" w:sz="4" w:space="0"/>
              <w:left w:val="single" w:color="auto" w:sz="4" w:space="0"/>
              <w:bottom w:val="single" w:color="auto" w:sz="4" w:space="0"/>
              <w:right w:val="single" w:color="auto" w:sz="4" w:space="0"/>
            </w:tcBorders>
            <w:vAlign w:val="center"/>
          </w:tcPr>
          <w:p w14:paraId="4A275D26">
            <w:pPr>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单位</w:t>
            </w:r>
          </w:p>
        </w:tc>
        <w:tc>
          <w:tcPr>
            <w:tcW w:w="2551" w:type="dxa"/>
            <w:tcBorders>
              <w:top w:val="single" w:color="auto" w:sz="4" w:space="0"/>
              <w:left w:val="nil"/>
              <w:bottom w:val="single" w:color="auto" w:sz="4" w:space="0"/>
              <w:right w:val="single" w:color="auto" w:sz="4" w:space="0"/>
            </w:tcBorders>
            <w:vAlign w:val="center"/>
          </w:tcPr>
          <w:p w14:paraId="632D558B">
            <w:pPr>
              <w:spacing w:line="340" w:lineRule="exact"/>
              <w:ind w:firstLine="0" w:firstLineChars="0"/>
              <w:jc w:val="center"/>
              <w:rPr>
                <w:rFonts w:ascii="宋体" w:hAnsi="宋体" w:cs="宋体"/>
                <w:b/>
                <w:color w:val="auto"/>
                <w:sz w:val="21"/>
                <w:szCs w:val="21"/>
                <w:highlight w:val="none"/>
              </w:rPr>
            </w:pPr>
            <w:r>
              <w:rPr>
                <w:rFonts w:hint="eastAsia" w:ascii="宋体" w:hAnsi="宋体" w:cs="宋体"/>
                <w:b/>
                <w:color w:val="auto"/>
                <w:sz w:val="21"/>
                <w:szCs w:val="21"/>
                <w:highlight w:val="none"/>
              </w:rPr>
              <w:t>备注</w:t>
            </w:r>
          </w:p>
        </w:tc>
      </w:tr>
      <w:tr w14:paraId="6AB85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928" w:type="dxa"/>
            <w:tcBorders>
              <w:top w:val="single" w:color="auto" w:sz="4" w:space="0"/>
              <w:left w:val="single" w:color="auto" w:sz="4" w:space="0"/>
              <w:right w:val="single" w:color="auto" w:sz="4" w:space="0"/>
            </w:tcBorders>
            <w:vAlign w:val="center"/>
          </w:tcPr>
          <w:p w14:paraId="3751CA1D">
            <w:pPr>
              <w:spacing w:line="320" w:lineRule="exact"/>
              <w:ind w:firstLine="0" w:firstLineChars="0"/>
              <w:jc w:val="center"/>
              <w:rPr>
                <w:rFonts w:ascii="宋体" w:hAnsi="宋体" w:cs="宋体"/>
                <w:color w:val="auto"/>
                <w:kern w:val="0"/>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7C38D41">
            <w:pPr>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993" w:type="dxa"/>
            <w:tcBorders>
              <w:top w:val="single" w:color="auto" w:sz="4" w:space="0"/>
              <w:left w:val="single" w:color="auto" w:sz="4" w:space="0"/>
              <w:bottom w:val="single" w:color="auto" w:sz="4" w:space="0"/>
              <w:right w:val="single" w:color="auto" w:sz="4" w:space="0"/>
            </w:tcBorders>
            <w:vAlign w:val="center"/>
          </w:tcPr>
          <w:p w14:paraId="040EE4D6">
            <w:pPr>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项</w:t>
            </w:r>
          </w:p>
        </w:tc>
        <w:tc>
          <w:tcPr>
            <w:tcW w:w="2551" w:type="dxa"/>
            <w:tcBorders>
              <w:top w:val="nil"/>
              <w:left w:val="nil"/>
              <w:bottom w:val="single" w:color="auto" w:sz="4" w:space="0"/>
              <w:right w:val="single" w:color="auto" w:sz="4" w:space="0"/>
            </w:tcBorders>
            <w:vAlign w:val="center"/>
          </w:tcPr>
          <w:p w14:paraId="4A6DA0A3">
            <w:pPr>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tc>
      </w:tr>
      <w:tr w14:paraId="19AFF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322" w:type="dxa"/>
            <w:gridSpan w:val="4"/>
            <w:tcBorders>
              <w:top w:val="single" w:color="auto" w:sz="4" w:space="0"/>
              <w:left w:val="single" w:color="auto" w:sz="4" w:space="0"/>
              <w:right w:val="single" w:color="auto" w:sz="4" w:space="0"/>
            </w:tcBorders>
            <w:vAlign w:val="center"/>
          </w:tcPr>
          <w:p w14:paraId="3E032505">
            <w:pPr>
              <w:spacing w:line="320" w:lineRule="exact"/>
              <w:ind w:firstLine="0" w:firstLineChars="0"/>
              <w:rPr>
                <w:rFonts w:ascii="宋体" w:hAnsi="宋体" w:cs="宋体"/>
                <w:color w:val="auto"/>
                <w:sz w:val="21"/>
                <w:szCs w:val="21"/>
                <w:highlight w:val="none"/>
              </w:rPr>
            </w:pPr>
            <w:r>
              <w:rPr>
                <w:rFonts w:hint="eastAsia" w:ascii="宋体" w:hAnsi="宋体"/>
                <w:b/>
                <w:color w:val="auto"/>
                <w:kern w:val="0"/>
                <w:sz w:val="21"/>
                <w:szCs w:val="21"/>
                <w:highlight w:val="none"/>
              </w:rPr>
              <w:t>磋商报价：（大写）</w:t>
            </w:r>
            <w:r>
              <w:rPr>
                <w:rFonts w:hint="eastAsia" w:ascii="宋体" w:hAnsi="宋体"/>
                <w:b/>
                <w:color w:val="auto"/>
                <w:kern w:val="0"/>
                <w:sz w:val="21"/>
                <w:szCs w:val="21"/>
                <w:highlight w:val="none"/>
                <w:u w:val="single"/>
              </w:rPr>
              <w:t xml:space="preserve">                 </w:t>
            </w:r>
            <w:r>
              <w:rPr>
                <w:rFonts w:hint="eastAsia" w:ascii="宋体" w:hAnsi="宋体"/>
                <w:b/>
                <w:color w:val="auto"/>
                <w:kern w:val="0"/>
                <w:sz w:val="21"/>
                <w:szCs w:val="21"/>
                <w:highlight w:val="none"/>
              </w:rPr>
              <w:t>元人民币（</w:t>
            </w:r>
            <w:r>
              <w:rPr>
                <w:rFonts w:ascii="宋体" w:hAnsi="宋体"/>
                <w:b/>
                <w:color w:val="auto"/>
                <w:kern w:val="0"/>
                <w:sz w:val="21"/>
                <w:szCs w:val="21"/>
                <w:highlight w:val="none"/>
              </w:rPr>
              <w:t>¥</w:t>
            </w:r>
            <w:r>
              <w:rPr>
                <w:rFonts w:hint="eastAsia" w:ascii="宋体" w:hAnsi="宋体"/>
                <w:b/>
                <w:color w:val="auto"/>
                <w:kern w:val="0"/>
                <w:sz w:val="21"/>
                <w:szCs w:val="21"/>
                <w:highlight w:val="none"/>
                <w:u w:val="single"/>
              </w:rPr>
              <w:t xml:space="preserve">                 </w:t>
            </w:r>
            <w:r>
              <w:rPr>
                <w:rFonts w:hint="eastAsia" w:ascii="宋体" w:hAnsi="宋体"/>
                <w:b/>
                <w:color w:val="auto"/>
                <w:kern w:val="0"/>
                <w:sz w:val="21"/>
                <w:szCs w:val="21"/>
                <w:highlight w:val="none"/>
              </w:rPr>
              <w:t>）</w:t>
            </w:r>
          </w:p>
        </w:tc>
      </w:tr>
      <w:tr w14:paraId="5022C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3" w:hRule="atLeast"/>
        </w:trPr>
        <w:tc>
          <w:tcPr>
            <w:tcW w:w="9322" w:type="dxa"/>
            <w:gridSpan w:val="4"/>
            <w:tcBorders>
              <w:top w:val="single" w:color="auto" w:sz="4" w:space="0"/>
              <w:left w:val="single" w:color="auto" w:sz="4" w:space="0"/>
              <w:bottom w:val="single" w:color="auto" w:sz="4" w:space="0"/>
              <w:right w:val="single" w:color="auto" w:sz="4" w:space="0"/>
            </w:tcBorders>
            <w:vAlign w:val="center"/>
          </w:tcPr>
          <w:p w14:paraId="0FA736F3">
            <w:pPr>
              <w:adjustRightInd w:val="0"/>
              <w:snapToGrid w:val="0"/>
              <w:spacing w:line="380" w:lineRule="exact"/>
              <w:ind w:firstLine="0" w:firstLineChars="0"/>
              <w:rPr>
                <w:rFonts w:ascii="宋体" w:hAnsi="宋体" w:cs="宋体"/>
                <w:color w:val="auto"/>
                <w:sz w:val="21"/>
                <w:szCs w:val="21"/>
                <w:highlight w:val="none"/>
                <w:lang w:val="en-GB"/>
              </w:rPr>
            </w:pPr>
            <w:r>
              <w:rPr>
                <w:rFonts w:hint="eastAsia" w:ascii="宋体" w:hAnsi="宋体" w:cs="宋体"/>
                <w:color w:val="auto"/>
                <w:sz w:val="21"/>
                <w:szCs w:val="21"/>
                <w:highlight w:val="none"/>
                <w:lang w:val="en-GB"/>
              </w:rPr>
              <w:t>1.服务期限：</w:t>
            </w:r>
            <w:r>
              <w:rPr>
                <w:rFonts w:hint="eastAsia" w:ascii="宋体" w:hAnsi="宋体" w:cs="宋体"/>
                <w:b/>
                <w:bCs/>
                <w:color w:val="auto"/>
                <w:kern w:val="0"/>
                <w:sz w:val="21"/>
                <w:szCs w:val="21"/>
                <w:highlight w:val="none"/>
                <w:lang w:val="en-GB"/>
              </w:rPr>
              <w:t>1年，即：2026年1月1日至2026年12月31日。【上一年度合同期满至2025年12月31日，考虑到水站运行维护的连续性，2026年1月1日至本项目成交供应商正式进场开展工作期间的运维工作仍由上一年度成交单位负责，其间所发生费用作为本项目不可变更费用，对于2026年1月1日至本项目成交供应商接管运维工作期间的费用，本项目成交供应商须在进场开展工作服务后15日内依据采购人审核费用，按照本项目成交价比例支付给原服务单位。支付标准：[本项目成交金额÷365]×（2026年1月1日到接管日前的天数）。如本次项目成交供应商为原服务单位，则本项目合同开始日期为2026年1月1日至2026年12月31日】</w:t>
            </w:r>
          </w:p>
          <w:p w14:paraId="1CF3CD97">
            <w:pPr>
              <w:adjustRightInd w:val="0"/>
              <w:snapToGrid w:val="0"/>
              <w:spacing w:line="380" w:lineRule="exact"/>
              <w:ind w:firstLine="0" w:firstLineChars="0"/>
              <w:rPr>
                <w:rFonts w:ascii="宋体" w:hAnsi="宋体" w:cs="宋体"/>
                <w:bCs/>
                <w:color w:val="auto"/>
                <w:sz w:val="21"/>
                <w:szCs w:val="21"/>
                <w:highlight w:val="none"/>
                <w:lang w:val="en-GB"/>
              </w:rPr>
            </w:pPr>
            <w:r>
              <w:rPr>
                <w:rFonts w:hint="eastAsia" w:ascii="宋体" w:hAnsi="宋体" w:cs="宋体"/>
                <w:color w:val="auto"/>
                <w:sz w:val="21"/>
                <w:szCs w:val="21"/>
                <w:highlight w:val="none"/>
                <w:lang w:val="en-GB"/>
              </w:rPr>
              <w:t>2.服务地点：广西桂林市内采购人指定地点。</w:t>
            </w:r>
          </w:p>
        </w:tc>
      </w:tr>
      <w:tr w14:paraId="6E037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8" w:hRule="atLeast"/>
        </w:trPr>
        <w:tc>
          <w:tcPr>
            <w:tcW w:w="9322" w:type="dxa"/>
            <w:gridSpan w:val="4"/>
            <w:tcBorders>
              <w:top w:val="single" w:color="auto" w:sz="4" w:space="0"/>
              <w:left w:val="single" w:color="auto" w:sz="4" w:space="0"/>
              <w:bottom w:val="single" w:color="auto" w:sz="4" w:space="0"/>
              <w:right w:val="single" w:color="auto" w:sz="4" w:space="0"/>
            </w:tcBorders>
            <w:vAlign w:val="center"/>
          </w:tcPr>
          <w:p w14:paraId="6245E663">
            <w:pPr>
              <w:spacing w:line="3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说明：</w:t>
            </w:r>
          </w:p>
          <w:p w14:paraId="2EA43EA1">
            <w:pPr>
              <w:adjustRightInd w:val="0"/>
              <w:snapToGrid w:val="0"/>
              <w:spacing w:line="376" w:lineRule="exact"/>
              <w:ind w:firstLine="0" w:firstLineChars="0"/>
              <w:rPr>
                <w:rFonts w:ascii="宋体" w:hAnsi="宋体"/>
                <w:color w:val="auto"/>
                <w:sz w:val="21"/>
                <w:szCs w:val="21"/>
                <w:highlight w:val="none"/>
              </w:rPr>
            </w:pPr>
            <w:r>
              <w:rPr>
                <w:rFonts w:hint="eastAsia" w:ascii="宋体" w:hAnsi="宋体" w:cs="宋体"/>
                <w:b/>
                <w:bCs/>
                <w:color w:val="auto"/>
                <w:sz w:val="21"/>
                <w:szCs w:val="21"/>
                <w:highlight w:val="none"/>
              </w:rPr>
              <w:t>采购预算金额（人民币）：分标1预算人民币陆拾贰万元整（¥620000.00）；分标2预算人民币伍拾贰万元整（¥520000.00）；分标3预算人民币贰拾柒万元整（¥270000.00），供应商所竞分标报价超过相应分标采购预算金额的，响应文件按分标作无效处理。</w:t>
            </w:r>
          </w:p>
        </w:tc>
      </w:tr>
    </w:tbl>
    <w:p w14:paraId="1622B66B">
      <w:pPr>
        <w:spacing w:line="340" w:lineRule="exact"/>
        <w:ind w:firstLine="0" w:firstLineChars="0"/>
        <w:rPr>
          <w:rFonts w:ascii="宋体" w:hAnsi="宋体" w:cs="宋体"/>
          <w:color w:val="auto"/>
          <w:kern w:val="0"/>
          <w:sz w:val="21"/>
          <w:szCs w:val="21"/>
          <w:highlight w:val="none"/>
        </w:rPr>
      </w:pPr>
    </w:p>
    <w:p w14:paraId="4CBCD2DB">
      <w:pPr>
        <w:snapToGrid w:val="0"/>
        <w:spacing w:line="400" w:lineRule="exact"/>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02F1E6F1">
      <w:pPr>
        <w:spacing w:line="340" w:lineRule="exact"/>
        <w:ind w:firstLine="0" w:firstLineChars="0"/>
        <w:rPr>
          <w:rFonts w:ascii="宋体" w:hAnsi="宋体" w:cs="宋体"/>
          <w:color w:val="auto"/>
          <w:sz w:val="21"/>
          <w:szCs w:val="24"/>
          <w:highlight w:val="none"/>
        </w:rPr>
      </w:pPr>
      <w:r>
        <w:rPr>
          <w:rFonts w:hint="eastAsia" w:ascii="宋体" w:hAnsi="宋体" w:cs="宋体"/>
          <w:color w:val="auto"/>
          <w:sz w:val="21"/>
          <w:szCs w:val="24"/>
          <w:highlight w:val="none"/>
        </w:rPr>
        <w:t>法定代表人或委托代理人签字</w:t>
      </w:r>
      <w:r>
        <w:rPr>
          <w:rFonts w:hint="eastAsia" w:ascii="宋体" w:hAnsi="宋体" w:cs="宋体"/>
          <w:b/>
          <w:color w:val="auto"/>
          <w:sz w:val="21"/>
          <w:szCs w:val="21"/>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153554B0">
      <w:pPr>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39FEB311">
      <w:pPr>
        <w:spacing w:line="400" w:lineRule="exact"/>
        <w:ind w:left="480" w:leftChars="200" w:firstLine="3780" w:firstLineChars="1800"/>
        <w:rPr>
          <w:rFonts w:ascii="宋体" w:hAnsi="宋体" w:cs="宋体"/>
          <w:color w:val="auto"/>
          <w:sz w:val="21"/>
          <w:szCs w:val="21"/>
          <w:highlight w:val="none"/>
        </w:rPr>
      </w:pPr>
    </w:p>
    <w:p w14:paraId="7B285675">
      <w:pPr>
        <w:tabs>
          <w:tab w:val="left" w:pos="1305"/>
        </w:tabs>
        <w:spacing w:line="340" w:lineRule="exact"/>
        <w:ind w:firstLine="0" w:firstLineChars="0"/>
        <w:rPr>
          <w:rFonts w:ascii="宋体" w:hAnsi="宋体" w:cs="宋体"/>
          <w:bCs/>
          <w:color w:val="auto"/>
          <w:kern w:val="0"/>
          <w:sz w:val="21"/>
          <w:szCs w:val="21"/>
          <w:highlight w:val="none"/>
        </w:rPr>
      </w:pPr>
    </w:p>
    <w:p w14:paraId="5589CB0D">
      <w:pPr>
        <w:tabs>
          <w:tab w:val="left" w:pos="1305"/>
        </w:tabs>
        <w:spacing w:line="390" w:lineRule="exact"/>
        <w:ind w:firstLine="0" w:firstLineChars="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注：</w:t>
      </w:r>
    </w:p>
    <w:p w14:paraId="223F9800">
      <w:pPr>
        <w:spacing w:line="280" w:lineRule="exact"/>
        <w:ind w:firstLine="422"/>
        <w:rPr>
          <w:rFonts w:ascii="宋体" w:hAnsi="宋体" w:cs="宋体"/>
          <w:b/>
          <w:color w:val="auto"/>
          <w:sz w:val="21"/>
          <w:szCs w:val="21"/>
          <w:highlight w:val="none"/>
        </w:rPr>
      </w:pPr>
      <w:r>
        <w:rPr>
          <w:rFonts w:hint="eastAsia" w:ascii="宋体" w:hAnsi="宋体" w:cs="宋体"/>
          <w:b/>
          <w:color w:val="auto"/>
          <w:sz w:val="21"/>
          <w:szCs w:val="21"/>
          <w:highlight w:val="none"/>
        </w:rPr>
        <w:t>1.供应商必须就所竞分标“采购需求”中的全部内容作完整唯一报价，响应文件只允许有一个报价方案，有选择的或有条件的报价将不予接受。</w:t>
      </w:r>
    </w:p>
    <w:p w14:paraId="7CB70F83">
      <w:pPr>
        <w:spacing w:line="280" w:lineRule="exact"/>
        <w:ind w:firstLine="422"/>
        <w:rPr>
          <w:rFonts w:ascii="宋体" w:hAnsi="宋体" w:cs="宋体"/>
          <w:b/>
          <w:color w:val="auto"/>
          <w:sz w:val="21"/>
          <w:szCs w:val="21"/>
          <w:highlight w:val="none"/>
        </w:rPr>
      </w:pPr>
      <w:r>
        <w:rPr>
          <w:rFonts w:hint="eastAsia" w:ascii="宋体" w:hAnsi="宋体" w:cs="宋体"/>
          <w:b/>
          <w:color w:val="auto"/>
          <w:sz w:val="21"/>
          <w:szCs w:val="21"/>
          <w:highlight w:val="none"/>
        </w:rPr>
        <w:t>2.供应商应如实填写磋商报价表的各项内容，否则，响应无效。</w:t>
      </w:r>
    </w:p>
    <w:p w14:paraId="07602DD8">
      <w:pPr>
        <w:spacing w:line="280" w:lineRule="exact"/>
        <w:ind w:firstLine="422"/>
        <w:rPr>
          <w:rFonts w:ascii="宋体" w:hAnsi="宋体" w:cs="宋体"/>
          <w:b/>
          <w:color w:val="auto"/>
          <w:sz w:val="21"/>
          <w:szCs w:val="21"/>
          <w:highlight w:val="none"/>
        </w:rPr>
        <w:sectPr>
          <w:footerReference r:id="rId15" w:type="default"/>
          <w:pgSz w:w="11906" w:h="16838"/>
          <w:pgMar w:top="1440" w:right="1304" w:bottom="1440" w:left="1304" w:header="851" w:footer="992" w:gutter="0"/>
          <w:cols w:space="720" w:num="1"/>
          <w:docGrid w:linePitch="312" w:charSpace="0"/>
        </w:sectPr>
      </w:pPr>
      <w:r>
        <w:rPr>
          <w:rFonts w:hint="eastAsia" w:ascii="宋体" w:hAnsi="宋体" w:cs="宋体"/>
          <w:b/>
          <w:color w:val="auto"/>
          <w:sz w:val="21"/>
          <w:szCs w:val="21"/>
          <w:highlight w:val="none"/>
        </w:rPr>
        <w:t>3.磋商报价表由多页构成时，须由法定代表人或相应的委托代理人签字（或电子签名），并加盖供应商电子签章。</w:t>
      </w:r>
    </w:p>
    <w:p w14:paraId="39FD9327">
      <w:pPr>
        <w:spacing w:line="400" w:lineRule="exact"/>
        <w:ind w:firstLine="0" w:firstLineChars="0"/>
        <w:rPr>
          <w:rFonts w:ascii="宋体" w:hAnsi="宋体" w:cs="宋体"/>
          <w:b/>
          <w:color w:val="auto"/>
          <w:sz w:val="32"/>
          <w:szCs w:val="32"/>
          <w:highlight w:val="none"/>
        </w:rPr>
      </w:pPr>
      <w:r>
        <w:rPr>
          <w:rFonts w:hint="eastAsia" w:ascii="宋体" w:hAnsi="宋体" w:cs="宋体"/>
          <w:b/>
          <w:bCs/>
          <w:color w:val="auto"/>
          <w:sz w:val="32"/>
          <w:szCs w:val="32"/>
          <w:highlight w:val="none"/>
        </w:rPr>
        <w:t>2.服务内容要求及商务要求响应表（必须提供）</w:t>
      </w:r>
    </w:p>
    <w:p w14:paraId="500308D2">
      <w:pPr>
        <w:spacing w:line="400" w:lineRule="exact"/>
        <w:ind w:firstLine="0" w:firstLineChars="0"/>
        <w:rPr>
          <w:rFonts w:ascii="宋体" w:hAnsi="宋体" w:cs="宋体"/>
          <w:b/>
          <w:color w:val="auto"/>
          <w:szCs w:val="24"/>
          <w:highlight w:val="none"/>
        </w:rPr>
      </w:pPr>
      <w:r>
        <w:rPr>
          <w:rFonts w:hint="eastAsia" w:ascii="宋体" w:hAnsi="宋体" w:cs="宋体"/>
          <w:b/>
          <w:color w:val="auto"/>
          <w:sz w:val="30"/>
          <w:szCs w:val="30"/>
          <w:highlight w:val="none"/>
        </w:rPr>
        <w:t>附件：</w:t>
      </w:r>
    </w:p>
    <w:p w14:paraId="1F764F56">
      <w:pPr>
        <w:spacing w:line="240" w:lineRule="auto"/>
        <w:ind w:firstLine="0" w:firstLineChars="0"/>
        <w:jc w:val="center"/>
        <w:rPr>
          <w:rFonts w:ascii="宋体" w:hAnsi="宋体" w:cs="宋体"/>
          <w:b/>
          <w:bCs/>
          <w:color w:val="auto"/>
          <w:sz w:val="32"/>
          <w:szCs w:val="20"/>
          <w:highlight w:val="none"/>
        </w:rPr>
      </w:pPr>
      <w:r>
        <w:rPr>
          <w:rFonts w:hint="eastAsia" w:ascii="宋体" w:hAnsi="宋体" w:cs="宋体"/>
          <w:b/>
          <w:bCs/>
          <w:color w:val="auto"/>
          <w:sz w:val="32"/>
          <w:szCs w:val="32"/>
          <w:highlight w:val="none"/>
        </w:rPr>
        <w:t>服务内容要求及商务要求响应表</w:t>
      </w:r>
      <w:r>
        <w:rPr>
          <w:rFonts w:hint="eastAsia" w:ascii="宋体" w:hAnsi="宋体" w:cs="宋体"/>
          <w:b/>
          <w:bCs/>
          <w:color w:val="auto"/>
          <w:sz w:val="32"/>
          <w:szCs w:val="20"/>
          <w:highlight w:val="none"/>
        </w:rPr>
        <w:t>（格式）</w:t>
      </w:r>
    </w:p>
    <w:p w14:paraId="18CE5110">
      <w:pPr>
        <w:spacing w:line="240" w:lineRule="auto"/>
        <w:ind w:firstLine="0" w:firstLineChars="0"/>
        <w:rPr>
          <w:color w:val="auto"/>
          <w:sz w:val="21"/>
          <w:szCs w:val="24"/>
          <w:highlight w:val="none"/>
          <w:u w:val="single"/>
        </w:rPr>
      </w:pPr>
      <w:r>
        <w:rPr>
          <w:rFonts w:hint="eastAsia"/>
          <w:color w:val="auto"/>
          <w:sz w:val="21"/>
          <w:szCs w:val="24"/>
          <w:highlight w:val="none"/>
        </w:rPr>
        <w:t>分标</w:t>
      </w:r>
      <w:r>
        <w:rPr>
          <w:rFonts w:hint="eastAsia"/>
          <w:color w:val="auto"/>
          <w:sz w:val="21"/>
          <w:szCs w:val="24"/>
          <w:highlight w:val="none"/>
          <w:u w:val="single"/>
        </w:rPr>
        <w:t xml:space="preserve">   </w:t>
      </w:r>
    </w:p>
    <w:tbl>
      <w:tblPr>
        <w:tblStyle w:val="45"/>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983"/>
        <w:gridCol w:w="3232"/>
      </w:tblGrid>
      <w:tr w14:paraId="3CF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3143" w:type="dxa"/>
            <w:vAlign w:val="center"/>
          </w:tcPr>
          <w:p w14:paraId="3E089CD8">
            <w:pPr>
              <w:pStyle w:val="25"/>
              <w:spacing w:line="400" w:lineRule="exact"/>
              <w:jc w:val="center"/>
              <w:rPr>
                <w:rFonts w:hAnsi="宋体" w:cs="宋体"/>
                <w:color w:val="auto"/>
                <w:highlight w:val="none"/>
              </w:rPr>
            </w:pPr>
            <w:r>
              <w:rPr>
                <w:rFonts w:hint="eastAsia" w:hAnsi="宋体" w:cs="宋体"/>
                <w:color w:val="auto"/>
                <w:highlight w:val="none"/>
              </w:rPr>
              <w:t>服务项目</w:t>
            </w:r>
          </w:p>
        </w:tc>
        <w:tc>
          <w:tcPr>
            <w:tcW w:w="2983" w:type="dxa"/>
            <w:vAlign w:val="center"/>
          </w:tcPr>
          <w:p w14:paraId="6B75CFA0">
            <w:pPr>
              <w:pStyle w:val="25"/>
              <w:spacing w:line="400" w:lineRule="exact"/>
              <w:jc w:val="center"/>
              <w:rPr>
                <w:rFonts w:hAnsi="宋体" w:cs="宋体"/>
                <w:color w:val="auto"/>
                <w:highlight w:val="none"/>
              </w:rPr>
            </w:pPr>
            <w:r>
              <w:rPr>
                <w:rFonts w:hint="eastAsia" w:hAnsi="宋体" w:cs="宋体"/>
                <w:color w:val="auto"/>
                <w:highlight w:val="none"/>
              </w:rPr>
              <w:t>竞争性磋商文件要求</w:t>
            </w:r>
          </w:p>
        </w:tc>
        <w:tc>
          <w:tcPr>
            <w:tcW w:w="3232" w:type="dxa"/>
            <w:vAlign w:val="center"/>
          </w:tcPr>
          <w:p w14:paraId="21AB2011">
            <w:pPr>
              <w:pStyle w:val="25"/>
              <w:spacing w:line="340" w:lineRule="exact"/>
              <w:jc w:val="center"/>
              <w:rPr>
                <w:rFonts w:hAnsi="宋体" w:cs="宋体"/>
                <w:color w:val="auto"/>
                <w:highlight w:val="none"/>
              </w:rPr>
            </w:pPr>
            <w:r>
              <w:rPr>
                <w:rFonts w:hint="eastAsia" w:hAnsi="宋体" w:cs="宋体"/>
                <w:color w:val="auto"/>
                <w:highlight w:val="none"/>
              </w:rPr>
              <w:t>响应文件的详细响应情况（对服务内容及要求的承诺）</w:t>
            </w:r>
          </w:p>
        </w:tc>
      </w:tr>
      <w:tr w14:paraId="5FC4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3143" w:type="dxa"/>
            <w:vAlign w:val="center"/>
          </w:tcPr>
          <w:p w14:paraId="5CB4B0EB">
            <w:pPr>
              <w:spacing w:line="380" w:lineRule="exact"/>
              <w:ind w:firstLine="0" w:firstLineChars="0"/>
              <w:jc w:val="center"/>
              <w:rPr>
                <w:rFonts w:ascii="宋体" w:hAnsi="宋体" w:cs="宋体"/>
                <w:color w:val="auto"/>
                <w:kern w:val="0"/>
                <w:szCs w:val="24"/>
                <w:highlight w:val="none"/>
                <w:lang w:bidi="ar"/>
              </w:rPr>
            </w:pPr>
            <w:r>
              <w:rPr>
                <w:rFonts w:hint="eastAsia" w:hAnsi="宋体" w:cs="宋体"/>
                <w:b/>
                <w:color w:val="auto"/>
                <w:kern w:val="0"/>
                <w:szCs w:val="24"/>
                <w:highlight w:val="none"/>
              </w:rPr>
              <w:t>一、服务内容及相关要求</w:t>
            </w:r>
          </w:p>
        </w:tc>
        <w:tc>
          <w:tcPr>
            <w:tcW w:w="2983" w:type="dxa"/>
            <w:vAlign w:val="center"/>
          </w:tcPr>
          <w:p w14:paraId="1AF41E23">
            <w:pPr>
              <w:pStyle w:val="25"/>
              <w:spacing w:line="400" w:lineRule="exact"/>
              <w:rPr>
                <w:rFonts w:hAnsi="宋体" w:cs="宋体"/>
                <w:color w:val="auto"/>
                <w:szCs w:val="24"/>
                <w:highlight w:val="none"/>
              </w:rPr>
            </w:pPr>
          </w:p>
        </w:tc>
        <w:tc>
          <w:tcPr>
            <w:tcW w:w="3232" w:type="dxa"/>
            <w:vAlign w:val="center"/>
          </w:tcPr>
          <w:p w14:paraId="2234D45F">
            <w:pPr>
              <w:pStyle w:val="25"/>
              <w:spacing w:line="400" w:lineRule="exact"/>
              <w:jc w:val="center"/>
              <w:rPr>
                <w:rFonts w:hAnsi="宋体" w:cs="宋体"/>
                <w:color w:val="auto"/>
                <w:highlight w:val="none"/>
              </w:rPr>
            </w:pPr>
          </w:p>
        </w:tc>
      </w:tr>
      <w:tr w14:paraId="4CFD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jc w:val="center"/>
        </w:trPr>
        <w:tc>
          <w:tcPr>
            <w:tcW w:w="3143" w:type="dxa"/>
            <w:vAlign w:val="center"/>
          </w:tcPr>
          <w:p w14:paraId="7E765FEB">
            <w:pPr>
              <w:autoSpaceDE w:val="0"/>
              <w:autoSpaceDN w:val="0"/>
              <w:adjustRightInd w:val="0"/>
              <w:snapToGrid w:val="0"/>
              <w:spacing w:line="360" w:lineRule="exact"/>
              <w:ind w:firstLine="0" w:firstLineChars="0"/>
              <w:jc w:val="center"/>
              <w:rPr>
                <w:rFonts w:ascii="宋体" w:hAnsi="宋体" w:cs="宋体"/>
                <w:color w:val="auto"/>
                <w:szCs w:val="24"/>
                <w:highlight w:val="none"/>
              </w:rPr>
            </w:pPr>
            <w:r>
              <w:rPr>
                <w:rFonts w:hint="eastAsia" w:hAnsi="宋体" w:cs="宋体"/>
                <w:b/>
                <w:color w:val="auto"/>
                <w:kern w:val="0"/>
                <w:szCs w:val="24"/>
                <w:highlight w:val="none"/>
              </w:rPr>
              <w:t>二、商务要求</w:t>
            </w:r>
          </w:p>
        </w:tc>
        <w:tc>
          <w:tcPr>
            <w:tcW w:w="2983" w:type="dxa"/>
          </w:tcPr>
          <w:p w14:paraId="1E4AC238">
            <w:pPr>
              <w:pStyle w:val="25"/>
              <w:spacing w:line="400" w:lineRule="exact"/>
              <w:jc w:val="center"/>
              <w:rPr>
                <w:rFonts w:hAnsi="宋体" w:cs="宋体"/>
                <w:bCs/>
                <w:color w:val="auto"/>
                <w:szCs w:val="24"/>
                <w:highlight w:val="none"/>
              </w:rPr>
            </w:pPr>
          </w:p>
        </w:tc>
        <w:tc>
          <w:tcPr>
            <w:tcW w:w="3232" w:type="dxa"/>
            <w:vAlign w:val="center"/>
          </w:tcPr>
          <w:p w14:paraId="35099DF5">
            <w:pPr>
              <w:pStyle w:val="25"/>
              <w:spacing w:line="400" w:lineRule="exact"/>
              <w:jc w:val="center"/>
              <w:rPr>
                <w:rFonts w:hAnsi="宋体" w:cs="宋体"/>
                <w:bCs/>
                <w:color w:val="auto"/>
                <w:highlight w:val="none"/>
              </w:rPr>
            </w:pPr>
          </w:p>
        </w:tc>
      </w:tr>
      <w:tr w14:paraId="3DC0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143" w:type="dxa"/>
            <w:vAlign w:val="center"/>
          </w:tcPr>
          <w:p w14:paraId="393D170B">
            <w:pPr>
              <w:autoSpaceDE w:val="0"/>
              <w:autoSpaceDN w:val="0"/>
              <w:adjustRightInd w:val="0"/>
              <w:snapToGrid w:val="0"/>
              <w:spacing w:line="360" w:lineRule="exact"/>
              <w:ind w:firstLine="0" w:firstLineChars="0"/>
              <w:jc w:val="center"/>
              <w:rPr>
                <w:rFonts w:hAnsi="宋体" w:cs="宋体"/>
                <w:b/>
                <w:color w:val="auto"/>
                <w:kern w:val="0"/>
                <w:szCs w:val="24"/>
                <w:highlight w:val="none"/>
              </w:rPr>
            </w:pPr>
            <w:r>
              <w:rPr>
                <w:rFonts w:hint="eastAsia" w:hAnsi="宋体" w:cs="宋体"/>
                <w:b/>
                <w:color w:val="auto"/>
                <w:kern w:val="0"/>
                <w:szCs w:val="24"/>
                <w:highlight w:val="none"/>
              </w:rPr>
              <w:t>三、其他要求</w:t>
            </w:r>
          </w:p>
        </w:tc>
        <w:tc>
          <w:tcPr>
            <w:tcW w:w="2983" w:type="dxa"/>
          </w:tcPr>
          <w:p w14:paraId="77A9E58C">
            <w:pPr>
              <w:pStyle w:val="25"/>
              <w:spacing w:line="400" w:lineRule="exact"/>
              <w:jc w:val="center"/>
              <w:rPr>
                <w:rFonts w:hAnsi="宋体" w:cs="宋体"/>
                <w:bCs/>
                <w:color w:val="auto"/>
                <w:szCs w:val="24"/>
                <w:highlight w:val="none"/>
              </w:rPr>
            </w:pPr>
          </w:p>
        </w:tc>
        <w:tc>
          <w:tcPr>
            <w:tcW w:w="3232" w:type="dxa"/>
            <w:vAlign w:val="center"/>
          </w:tcPr>
          <w:p w14:paraId="4BD822EC">
            <w:pPr>
              <w:pStyle w:val="25"/>
              <w:spacing w:line="400" w:lineRule="exact"/>
              <w:jc w:val="center"/>
              <w:rPr>
                <w:rFonts w:hAnsi="宋体" w:cs="宋体"/>
                <w:bCs/>
                <w:color w:val="auto"/>
                <w:highlight w:val="none"/>
              </w:rPr>
            </w:pPr>
          </w:p>
        </w:tc>
      </w:tr>
    </w:tbl>
    <w:p w14:paraId="1D7B5EA6">
      <w:pPr>
        <w:snapToGrid w:val="0"/>
        <w:spacing w:line="400" w:lineRule="exact"/>
        <w:ind w:firstLine="0" w:firstLineChars="0"/>
        <w:rPr>
          <w:rFonts w:ascii="宋体" w:hAnsi="宋体" w:cs="宋体"/>
          <w:color w:val="auto"/>
          <w:sz w:val="21"/>
          <w:szCs w:val="21"/>
          <w:highlight w:val="none"/>
        </w:rPr>
      </w:pPr>
    </w:p>
    <w:p w14:paraId="20EAC911">
      <w:pPr>
        <w:snapToGrid w:val="0"/>
        <w:spacing w:line="400" w:lineRule="exact"/>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6A3064F2">
      <w:pPr>
        <w:spacing w:line="340" w:lineRule="exact"/>
        <w:ind w:firstLine="0" w:firstLineChars="0"/>
        <w:rPr>
          <w:rFonts w:ascii="宋体" w:hAnsi="宋体" w:cs="宋体"/>
          <w:color w:val="auto"/>
          <w:sz w:val="21"/>
          <w:szCs w:val="24"/>
          <w:highlight w:val="none"/>
        </w:rPr>
      </w:pPr>
      <w:r>
        <w:rPr>
          <w:rFonts w:hint="eastAsia" w:ascii="宋体" w:hAnsi="宋体" w:cs="宋体"/>
          <w:color w:val="auto"/>
          <w:sz w:val="21"/>
          <w:szCs w:val="24"/>
          <w:highlight w:val="none"/>
        </w:rPr>
        <w:t>法定代表人或委托代理人签字</w:t>
      </w:r>
      <w:r>
        <w:rPr>
          <w:rFonts w:hint="eastAsia" w:ascii="宋体" w:hAnsi="宋体" w:cs="宋体"/>
          <w:b/>
          <w:color w:val="auto"/>
          <w:sz w:val="21"/>
          <w:szCs w:val="21"/>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5D9D7499">
      <w:pPr>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7C8F05DE">
      <w:pPr>
        <w:spacing w:line="240" w:lineRule="auto"/>
        <w:ind w:firstLine="4200" w:firstLineChars="2000"/>
        <w:rPr>
          <w:rFonts w:ascii="宋体" w:hAnsi="宋体"/>
          <w:color w:val="auto"/>
          <w:sz w:val="21"/>
          <w:szCs w:val="20"/>
          <w:highlight w:val="none"/>
          <w:u w:val="single"/>
        </w:rPr>
      </w:pPr>
    </w:p>
    <w:p w14:paraId="15E11242">
      <w:pPr>
        <w:spacing w:line="240" w:lineRule="auto"/>
        <w:ind w:firstLine="0" w:firstLineChars="0"/>
        <w:jc w:val="left"/>
        <w:rPr>
          <w:rFonts w:ascii="宋体" w:hAnsi="宋体" w:cs="宋体"/>
          <w:b/>
          <w:color w:val="auto"/>
          <w:sz w:val="21"/>
          <w:szCs w:val="21"/>
          <w:highlight w:val="none"/>
        </w:rPr>
      </w:pPr>
      <w:r>
        <w:rPr>
          <w:rFonts w:hint="eastAsia" w:ascii="宋体" w:hAnsi="宋体" w:cs="宋体"/>
          <w:b/>
          <w:color w:val="auto"/>
          <w:sz w:val="21"/>
          <w:szCs w:val="21"/>
          <w:highlight w:val="none"/>
        </w:rPr>
        <w:t>注：服务内容及要求响应表须由法定代表人或相应的委托代理人签字（或电子签名），并加盖供应商电子签章。</w:t>
      </w:r>
    </w:p>
    <w:p w14:paraId="76862426">
      <w:pPr>
        <w:spacing w:line="240" w:lineRule="auto"/>
        <w:ind w:firstLine="4200" w:firstLineChars="2000"/>
        <w:rPr>
          <w:rFonts w:ascii="宋体" w:hAnsi="宋体"/>
          <w:color w:val="auto"/>
          <w:sz w:val="21"/>
          <w:szCs w:val="20"/>
          <w:highlight w:val="none"/>
          <w:u w:val="single"/>
        </w:rPr>
      </w:pPr>
    </w:p>
    <w:p w14:paraId="1325AC29">
      <w:pPr>
        <w:spacing w:line="240" w:lineRule="auto"/>
        <w:ind w:firstLine="4200" w:firstLineChars="2000"/>
        <w:rPr>
          <w:rFonts w:ascii="宋体" w:hAnsi="宋体"/>
          <w:color w:val="auto"/>
          <w:sz w:val="21"/>
          <w:szCs w:val="20"/>
          <w:highlight w:val="none"/>
          <w:u w:val="single"/>
        </w:rPr>
      </w:pPr>
    </w:p>
    <w:p w14:paraId="274A592B">
      <w:pPr>
        <w:spacing w:line="240" w:lineRule="auto"/>
        <w:ind w:firstLine="4200" w:firstLineChars="2000"/>
        <w:rPr>
          <w:rFonts w:ascii="宋体" w:hAnsi="宋体"/>
          <w:color w:val="auto"/>
          <w:sz w:val="21"/>
          <w:szCs w:val="20"/>
          <w:highlight w:val="none"/>
          <w:u w:val="single"/>
        </w:rPr>
      </w:pPr>
    </w:p>
    <w:p w14:paraId="6A4B89E8">
      <w:pPr>
        <w:spacing w:line="240" w:lineRule="auto"/>
        <w:ind w:firstLine="4200" w:firstLineChars="2000"/>
        <w:rPr>
          <w:rFonts w:ascii="宋体" w:hAnsi="宋体"/>
          <w:color w:val="auto"/>
          <w:sz w:val="21"/>
          <w:szCs w:val="20"/>
          <w:highlight w:val="none"/>
          <w:u w:val="single"/>
        </w:rPr>
      </w:pPr>
    </w:p>
    <w:p w14:paraId="6EF66777">
      <w:pPr>
        <w:spacing w:line="240" w:lineRule="auto"/>
        <w:ind w:firstLine="4200" w:firstLineChars="2000"/>
        <w:rPr>
          <w:rFonts w:ascii="宋体" w:hAnsi="宋体"/>
          <w:color w:val="auto"/>
          <w:sz w:val="21"/>
          <w:szCs w:val="20"/>
          <w:highlight w:val="none"/>
          <w:u w:val="single"/>
        </w:rPr>
      </w:pPr>
    </w:p>
    <w:p w14:paraId="7DEC266E">
      <w:pPr>
        <w:spacing w:line="240" w:lineRule="auto"/>
        <w:ind w:firstLine="4200" w:firstLineChars="2000"/>
        <w:rPr>
          <w:rFonts w:ascii="宋体" w:hAnsi="宋体"/>
          <w:color w:val="auto"/>
          <w:sz w:val="21"/>
          <w:szCs w:val="20"/>
          <w:highlight w:val="none"/>
          <w:u w:val="single"/>
        </w:rPr>
      </w:pPr>
    </w:p>
    <w:p w14:paraId="678B40DF">
      <w:pPr>
        <w:spacing w:line="240" w:lineRule="auto"/>
        <w:ind w:firstLine="4200" w:firstLineChars="2000"/>
        <w:rPr>
          <w:rFonts w:ascii="宋体" w:hAnsi="宋体"/>
          <w:color w:val="auto"/>
          <w:sz w:val="21"/>
          <w:szCs w:val="20"/>
          <w:highlight w:val="none"/>
          <w:u w:val="single"/>
        </w:rPr>
      </w:pPr>
    </w:p>
    <w:p w14:paraId="64448F0A">
      <w:pPr>
        <w:spacing w:line="240" w:lineRule="auto"/>
        <w:ind w:firstLine="4200" w:firstLineChars="2000"/>
        <w:rPr>
          <w:rFonts w:ascii="宋体" w:hAnsi="宋体"/>
          <w:color w:val="auto"/>
          <w:sz w:val="21"/>
          <w:szCs w:val="20"/>
          <w:highlight w:val="none"/>
          <w:u w:val="single"/>
        </w:rPr>
      </w:pPr>
    </w:p>
    <w:p w14:paraId="35305F48">
      <w:pPr>
        <w:spacing w:line="400" w:lineRule="exact"/>
        <w:ind w:firstLine="0" w:firstLineChars="0"/>
        <w:rPr>
          <w:rFonts w:ascii="宋体" w:hAnsi="宋体" w:cs="宋体"/>
          <w:b/>
          <w:bCs/>
          <w:color w:val="auto"/>
          <w:sz w:val="32"/>
          <w:szCs w:val="32"/>
          <w:highlight w:val="none"/>
        </w:rPr>
      </w:pPr>
      <w:r>
        <w:rPr>
          <w:rFonts w:hint="eastAsia" w:ascii="宋体" w:hAnsi="宋体" w:cs="宋体"/>
          <w:b/>
          <w:bCs/>
          <w:color w:val="auto"/>
          <w:sz w:val="32"/>
          <w:szCs w:val="32"/>
          <w:highlight w:val="none"/>
        </w:rPr>
        <w:t>3.“采购需求”须提供的有效证明文件（必须提供）</w:t>
      </w:r>
    </w:p>
    <w:p w14:paraId="1BC40F2C">
      <w:pPr>
        <w:spacing w:line="400" w:lineRule="exact"/>
        <w:ind w:firstLine="0" w:firstLineChars="0"/>
        <w:rPr>
          <w:rFonts w:ascii="宋体" w:hAnsi="宋体" w:cs="宋体"/>
          <w:b/>
          <w:bCs/>
          <w:color w:val="auto"/>
          <w:sz w:val="32"/>
          <w:szCs w:val="32"/>
          <w:highlight w:val="none"/>
        </w:rPr>
      </w:pPr>
    </w:p>
    <w:p w14:paraId="4B86BF6F">
      <w:pPr>
        <w:spacing w:line="240" w:lineRule="auto"/>
        <w:ind w:firstLine="4200" w:firstLineChars="2000"/>
        <w:rPr>
          <w:rFonts w:ascii="宋体" w:hAnsi="宋体"/>
          <w:color w:val="auto"/>
          <w:sz w:val="21"/>
          <w:szCs w:val="20"/>
          <w:highlight w:val="none"/>
          <w:u w:val="single"/>
        </w:rPr>
      </w:pPr>
    </w:p>
    <w:p w14:paraId="0B6AE4DC">
      <w:pPr>
        <w:spacing w:line="240" w:lineRule="auto"/>
        <w:ind w:firstLine="4200" w:firstLineChars="2000"/>
        <w:rPr>
          <w:rFonts w:ascii="宋体" w:hAnsi="宋体"/>
          <w:color w:val="auto"/>
          <w:sz w:val="21"/>
          <w:szCs w:val="20"/>
          <w:highlight w:val="none"/>
          <w:u w:val="single"/>
        </w:rPr>
      </w:pPr>
    </w:p>
    <w:p w14:paraId="1EDA961A">
      <w:pPr>
        <w:spacing w:line="240" w:lineRule="auto"/>
        <w:ind w:firstLine="4200" w:firstLineChars="2000"/>
        <w:rPr>
          <w:rFonts w:ascii="宋体" w:hAnsi="宋体"/>
          <w:color w:val="auto"/>
          <w:sz w:val="21"/>
          <w:szCs w:val="20"/>
          <w:highlight w:val="none"/>
          <w:u w:val="single"/>
        </w:rPr>
      </w:pPr>
    </w:p>
    <w:p w14:paraId="42BD368A">
      <w:pPr>
        <w:spacing w:line="240" w:lineRule="auto"/>
        <w:ind w:firstLine="4200" w:firstLineChars="2000"/>
        <w:rPr>
          <w:rFonts w:ascii="宋体" w:hAnsi="宋体"/>
          <w:color w:val="auto"/>
          <w:sz w:val="21"/>
          <w:szCs w:val="20"/>
          <w:highlight w:val="none"/>
          <w:u w:val="single"/>
        </w:rPr>
      </w:pPr>
    </w:p>
    <w:p w14:paraId="6FE236D4">
      <w:pPr>
        <w:spacing w:line="240" w:lineRule="auto"/>
        <w:ind w:firstLine="4200" w:firstLineChars="2000"/>
        <w:rPr>
          <w:rFonts w:ascii="宋体" w:hAnsi="宋体"/>
          <w:color w:val="auto"/>
          <w:sz w:val="21"/>
          <w:szCs w:val="20"/>
          <w:highlight w:val="none"/>
          <w:u w:val="single"/>
        </w:rPr>
      </w:pPr>
    </w:p>
    <w:p w14:paraId="545E5608">
      <w:pPr>
        <w:spacing w:line="240" w:lineRule="auto"/>
        <w:ind w:firstLine="4200" w:firstLineChars="2000"/>
        <w:rPr>
          <w:rFonts w:ascii="宋体" w:hAnsi="宋体"/>
          <w:color w:val="auto"/>
          <w:sz w:val="21"/>
          <w:szCs w:val="20"/>
          <w:highlight w:val="none"/>
          <w:u w:val="single"/>
        </w:rPr>
      </w:pPr>
    </w:p>
    <w:p w14:paraId="421743DA">
      <w:pPr>
        <w:spacing w:line="240" w:lineRule="auto"/>
        <w:ind w:firstLine="4200" w:firstLineChars="2000"/>
        <w:rPr>
          <w:rFonts w:ascii="宋体" w:hAnsi="宋体"/>
          <w:color w:val="auto"/>
          <w:sz w:val="21"/>
          <w:szCs w:val="20"/>
          <w:highlight w:val="none"/>
          <w:u w:val="single"/>
        </w:rPr>
      </w:pPr>
    </w:p>
    <w:p w14:paraId="1192DEF6">
      <w:pPr>
        <w:spacing w:line="240" w:lineRule="auto"/>
        <w:ind w:firstLine="4200" w:firstLineChars="2000"/>
        <w:rPr>
          <w:rFonts w:ascii="宋体" w:hAnsi="宋体"/>
          <w:color w:val="auto"/>
          <w:sz w:val="21"/>
          <w:szCs w:val="20"/>
          <w:highlight w:val="none"/>
          <w:u w:val="single"/>
        </w:rPr>
      </w:pPr>
    </w:p>
    <w:p w14:paraId="4A8031E6">
      <w:pPr>
        <w:spacing w:line="240" w:lineRule="auto"/>
        <w:ind w:firstLine="4200" w:firstLineChars="2000"/>
        <w:rPr>
          <w:rFonts w:ascii="宋体" w:hAnsi="宋体"/>
          <w:color w:val="auto"/>
          <w:sz w:val="21"/>
          <w:szCs w:val="20"/>
          <w:highlight w:val="none"/>
          <w:u w:val="single"/>
        </w:rPr>
      </w:pPr>
    </w:p>
    <w:p w14:paraId="330716AD">
      <w:pPr>
        <w:spacing w:line="240" w:lineRule="auto"/>
        <w:ind w:firstLine="4200" w:firstLineChars="2000"/>
        <w:rPr>
          <w:rFonts w:ascii="宋体" w:hAnsi="宋体"/>
          <w:color w:val="auto"/>
          <w:sz w:val="21"/>
          <w:szCs w:val="20"/>
          <w:highlight w:val="none"/>
          <w:u w:val="single"/>
        </w:rPr>
      </w:pPr>
    </w:p>
    <w:p w14:paraId="31FDC7AF">
      <w:pPr>
        <w:spacing w:line="240" w:lineRule="auto"/>
        <w:ind w:firstLine="4200" w:firstLineChars="2000"/>
        <w:rPr>
          <w:rFonts w:ascii="宋体" w:hAnsi="宋体"/>
          <w:color w:val="auto"/>
          <w:sz w:val="21"/>
          <w:szCs w:val="20"/>
          <w:highlight w:val="none"/>
          <w:u w:val="single"/>
        </w:rPr>
      </w:pPr>
    </w:p>
    <w:p w14:paraId="6FE2606F">
      <w:pPr>
        <w:spacing w:line="240" w:lineRule="auto"/>
        <w:ind w:firstLine="4200" w:firstLineChars="2000"/>
        <w:rPr>
          <w:rFonts w:ascii="宋体" w:hAnsi="宋体"/>
          <w:color w:val="auto"/>
          <w:sz w:val="21"/>
          <w:szCs w:val="20"/>
          <w:highlight w:val="none"/>
          <w:u w:val="single"/>
        </w:rPr>
      </w:pPr>
    </w:p>
    <w:p w14:paraId="5A9A76B0">
      <w:pPr>
        <w:spacing w:line="240" w:lineRule="auto"/>
        <w:ind w:firstLine="4200" w:firstLineChars="2000"/>
        <w:rPr>
          <w:rFonts w:ascii="宋体" w:hAnsi="宋体"/>
          <w:color w:val="auto"/>
          <w:sz w:val="21"/>
          <w:szCs w:val="20"/>
          <w:highlight w:val="none"/>
          <w:u w:val="single"/>
        </w:rPr>
      </w:pPr>
    </w:p>
    <w:p w14:paraId="72C81B38">
      <w:pPr>
        <w:spacing w:line="240" w:lineRule="auto"/>
        <w:ind w:firstLine="4200" w:firstLineChars="2000"/>
        <w:rPr>
          <w:rFonts w:ascii="宋体" w:hAnsi="宋体"/>
          <w:color w:val="auto"/>
          <w:sz w:val="21"/>
          <w:szCs w:val="20"/>
          <w:highlight w:val="none"/>
          <w:u w:val="single"/>
        </w:rPr>
      </w:pPr>
    </w:p>
    <w:p w14:paraId="1F9D2A18">
      <w:pPr>
        <w:spacing w:line="240" w:lineRule="auto"/>
        <w:ind w:left="0" w:leftChars="0" w:firstLine="0" w:firstLineChars="0"/>
        <w:rPr>
          <w:rFonts w:ascii="宋体" w:hAnsi="宋体"/>
          <w:color w:val="auto"/>
          <w:sz w:val="21"/>
          <w:szCs w:val="20"/>
          <w:highlight w:val="none"/>
          <w:u w:val="single"/>
        </w:rPr>
      </w:pPr>
    </w:p>
    <w:p w14:paraId="6B6493D0">
      <w:pPr>
        <w:spacing w:line="240" w:lineRule="auto"/>
        <w:ind w:firstLine="4200" w:firstLineChars="2000"/>
        <w:rPr>
          <w:rFonts w:ascii="宋体" w:hAnsi="宋体"/>
          <w:color w:val="auto"/>
          <w:sz w:val="21"/>
          <w:szCs w:val="20"/>
          <w:highlight w:val="none"/>
          <w:u w:val="single"/>
        </w:rPr>
      </w:pPr>
    </w:p>
    <w:p w14:paraId="0C879325">
      <w:pPr>
        <w:spacing w:line="240" w:lineRule="auto"/>
        <w:ind w:firstLine="4200" w:firstLineChars="2000"/>
        <w:rPr>
          <w:rFonts w:ascii="宋体" w:hAnsi="宋体"/>
          <w:color w:val="auto"/>
          <w:sz w:val="21"/>
          <w:szCs w:val="20"/>
          <w:highlight w:val="none"/>
          <w:u w:val="single"/>
        </w:rPr>
      </w:pPr>
    </w:p>
    <w:p w14:paraId="48249A3A">
      <w:pPr>
        <w:spacing w:line="240" w:lineRule="auto"/>
        <w:ind w:firstLine="0" w:firstLineChars="0"/>
        <w:rPr>
          <w:color w:val="auto"/>
          <w:sz w:val="21"/>
          <w:szCs w:val="24"/>
          <w:highlight w:val="none"/>
        </w:rPr>
      </w:pPr>
    </w:p>
    <w:p w14:paraId="3F3D8E38">
      <w:pPr>
        <w:numPr>
          <w:ilvl w:val="0"/>
          <w:numId w:val="5"/>
        </w:numPr>
        <w:spacing w:line="400" w:lineRule="exact"/>
        <w:ind w:firstLine="0" w:firstLineChars="0"/>
        <w:jc w:val="center"/>
        <w:rPr>
          <w:rFonts w:ascii="宋体" w:hAnsi="宋体"/>
          <w:b/>
          <w:color w:val="auto"/>
          <w:kern w:val="0"/>
          <w:sz w:val="32"/>
          <w:szCs w:val="32"/>
          <w:highlight w:val="none"/>
        </w:rPr>
      </w:pPr>
      <w:r>
        <w:rPr>
          <w:rFonts w:hint="eastAsia" w:ascii="宋体" w:hAnsi="宋体"/>
          <w:b/>
          <w:color w:val="auto"/>
          <w:kern w:val="0"/>
          <w:sz w:val="32"/>
          <w:szCs w:val="32"/>
          <w:highlight w:val="none"/>
        </w:rPr>
        <w:t>其他有效证明材料目录</w:t>
      </w:r>
    </w:p>
    <w:p w14:paraId="3785CA71">
      <w:pPr>
        <w:pStyle w:val="18"/>
        <w:rPr>
          <w:color w:val="auto"/>
          <w:highlight w:val="none"/>
        </w:rPr>
      </w:pPr>
    </w:p>
    <w:p w14:paraId="22B4318F">
      <w:pPr>
        <w:tabs>
          <w:tab w:val="left" w:pos="1305"/>
        </w:tabs>
        <w:spacing w:line="520" w:lineRule="exact"/>
        <w:ind w:firstLine="720" w:firstLineChars="300"/>
        <w:rPr>
          <w:rFonts w:ascii="宋体" w:hAnsi="宋体" w:cs="宋体"/>
          <w:color w:val="auto"/>
          <w:kern w:val="0"/>
          <w:highlight w:val="none"/>
        </w:rPr>
      </w:pPr>
      <w:r>
        <w:rPr>
          <w:rFonts w:hint="eastAsia" w:ascii="宋体" w:hAnsi="宋体" w:cs="宋体"/>
          <w:color w:val="auto"/>
          <w:kern w:val="0"/>
          <w:highlight w:val="none"/>
        </w:rPr>
        <w:t>1供应商的项目实施方案（如有，请提供）</w:t>
      </w:r>
    </w:p>
    <w:p w14:paraId="75DE12FD">
      <w:pPr>
        <w:tabs>
          <w:tab w:val="left" w:pos="1305"/>
        </w:tabs>
        <w:spacing w:line="520" w:lineRule="exact"/>
        <w:ind w:firstLine="720" w:firstLineChars="300"/>
        <w:rPr>
          <w:rFonts w:ascii="宋体" w:hAnsi="宋体" w:cs="宋体"/>
          <w:color w:val="auto"/>
          <w:kern w:val="0"/>
          <w:highlight w:val="none"/>
        </w:rPr>
      </w:pPr>
      <w:r>
        <w:rPr>
          <w:rFonts w:hint="eastAsia" w:ascii="宋体" w:hAnsi="宋体" w:cs="宋体"/>
          <w:color w:val="auto"/>
          <w:kern w:val="0"/>
          <w:highlight w:val="none"/>
        </w:rPr>
        <w:t>2.供应商的服务方案（如有，请提供）</w:t>
      </w:r>
    </w:p>
    <w:p w14:paraId="638B5E28">
      <w:pPr>
        <w:tabs>
          <w:tab w:val="left" w:pos="1305"/>
        </w:tabs>
        <w:spacing w:line="520" w:lineRule="exact"/>
        <w:ind w:firstLine="720" w:firstLineChars="300"/>
        <w:rPr>
          <w:rFonts w:ascii="宋体" w:hAnsi="宋体"/>
          <w:b/>
          <w:color w:val="auto"/>
          <w:kern w:val="0"/>
          <w:sz w:val="32"/>
          <w:szCs w:val="20"/>
          <w:highlight w:val="none"/>
        </w:rPr>
      </w:pPr>
      <w:r>
        <w:rPr>
          <w:rFonts w:hint="eastAsia" w:ascii="宋体" w:hAnsi="宋体" w:cs="宋体"/>
          <w:color w:val="auto"/>
          <w:kern w:val="0"/>
          <w:highlight w:val="none"/>
        </w:rPr>
        <w:t>3.供应商可结合本项目的评审办法视自身情况自行提交相关证明材料（如有，请提供）</w:t>
      </w:r>
      <w:r>
        <w:rPr>
          <w:rFonts w:hint="eastAsia" w:ascii="宋体" w:hAnsi="宋体"/>
          <w:b/>
          <w:color w:val="auto"/>
          <w:kern w:val="0"/>
          <w:sz w:val="32"/>
          <w:szCs w:val="20"/>
          <w:highlight w:val="none"/>
        </w:rPr>
        <w:br w:type="page"/>
      </w:r>
    </w:p>
    <w:p w14:paraId="74A8143F">
      <w:pPr>
        <w:spacing w:line="240" w:lineRule="auto"/>
        <w:ind w:firstLine="0" w:firstLineChars="0"/>
        <w:rPr>
          <w:rFonts w:ascii="宋体" w:hAnsi="宋体" w:cs="宋体"/>
          <w:b/>
          <w:color w:val="auto"/>
          <w:kern w:val="0"/>
          <w:sz w:val="32"/>
          <w:szCs w:val="20"/>
          <w:highlight w:val="none"/>
        </w:rPr>
      </w:pPr>
      <w:r>
        <w:rPr>
          <w:rFonts w:hint="eastAsia" w:ascii="宋体" w:hAnsi="宋体" w:cs="宋体"/>
          <w:b/>
          <w:color w:val="auto"/>
          <w:kern w:val="0"/>
          <w:sz w:val="32"/>
          <w:szCs w:val="20"/>
          <w:highlight w:val="none"/>
        </w:rPr>
        <w:t>1.供应商的项目实施方案（如有，请提供）</w:t>
      </w:r>
    </w:p>
    <w:p w14:paraId="6F1DAE6B">
      <w:pPr>
        <w:spacing w:line="400" w:lineRule="exact"/>
        <w:ind w:firstLine="0" w:firstLineChars="0"/>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附件：</w:t>
      </w:r>
    </w:p>
    <w:p w14:paraId="60B930AF">
      <w:pPr>
        <w:spacing w:line="240" w:lineRule="auto"/>
        <w:ind w:firstLine="472" w:firstLineChars="147"/>
        <w:jc w:val="center"/>
        <w:rPr>
          <w:rFonts w:ascii="宋体" w:hAnsi="宋体" w:cs="宋体"/>
          <w:b/>
          <w:bCs/>
          <w:color w:val="auto"/>
          <w:kern w:val="0"/>
          <w:sz w:val="32"/>
          <w:szCs w:val="20"/>
          <w:highlight w:val="none"/>
        </w:rPr>
      </w:pPr>
      <w:r>
        <w:rPr>
          <w:rFonts w:hint="eastAsia" w:ascii="宋体" w:hAnsi="宋体" w:cs="宋体"/>
          <w:b/>
          <w:bCs/>
          <w:color w:val="auto"/>
          <w:kern w:val="0"/>
          <w:sz w:val="32"/>
          <w:szCs w:val="20"/>
          <w:highlight w:val="none"/>
        </w:rPr>
        <w:t>分标</w:t>
      </w:r>
      <w:r>
        <w:rPr>
          <w:rFonts w:hint="eastAsia" w:ascii="宋体" w:hAnsi="宋体" w:cs="宋体"/>
          <w:b/>
          <w:bCs/>
          <w:color w:val="auto"/>
          <w:kern w:val="0"/>
          <w:sz w:val="32"/>
          <w:szCs w:val="20"/>
          <w:highlight w:val="none"/>
          <w:u w:val="single"/>
        </w:rPr>
        <w:t xml:space="preserve">   </w:t>
      </w:r>
      <w:r>
        <w:rPr>
          <w:rFonts w:hint="eastAsia" w:ascii="宋体" w:hAnsi="宋体" w:cs="宋体"/>
          <w:b/>
          <w:bCs/>
          <w:color w:val="auto"/>
          <w:kern w:val="0"/>
          <w:sz w:val="32"/>
          <w:szCs w:val="20"/>
          <w:highlight w:val="none"/>
        </w:rPr>
        <w:t>项目实施方案（格式）</w:t>
      </w:r>
    </w:p>
    <w:p w14:paraId="3B8DA67B">
      <w:pPr>
        <w:spacing w:line="400" w:lineRule="exact"/>
        <w:ind w:left="720" w:firstLine="0" w:firstLineChars="0"/>
        <w:rPr>
          <w:rFonts w:ascii="宋体" w:hAnsi="Courier New"/>
          <w:b/>
          <w:color w:val="auto"/>
          <w:kern w:val="0"/>
          <w:szCs w:val="24"/>
          <w:highlight w:val="none"/>
        </w:rPr>
      </w:pPr>
    </w:p>
    <w:p w14:paraId="44388EA8">
      <w:pPr>
        <w:pStyle w:val="43"/>
        <w:ind w:firstLine="210"/>
        <w:rPr>
          <w:color w:val="auto"/>
          <w:highlight w:val="none"/>
        </w:rPr>
      </w:pPr>
      <w:r>
        <w:rPr>
          <w:rFonts w:hint="eastAsia"/>
          <w:color w:val="auto"/>
          <w:highlight w:val="none"/>
          <w:lang w:val="en-US"/>
        </w:rPr>
        <w:t>……</w:t>
      </w:r>
    </w:p>
    <w:p w14:paraId="48C591EE">
      <w:pPr>
        <w:adjustRightInd w:val="0"/>
        <w:spacing w:line="380" w:lineRule="exact"/>
        <w:ind w:firstLine="420"/>
        <w:rPr>
          <w:rFonts w:ascii="宋体" w:hAnsi="宋体" w:cs="宋体"/>
          <w:color w:val="auto"/>
          <w:sz w:val="21"/>
          <w:szCs w:val="21"/>
          <w:highlight w:val="none"/>
        </w:rPr>
      </w:pPr>
    </w:p>
    <w:p w14:paraId="5E7C3B90">
      <w:pPr>
        <w:adjustRightInd w:val="0"/>
        <w:spacing w:line="380" w:lineRule="exact"/>
        <w:ind w:firstLine="480"/>
        <w:rPr>
          <w:rFonts w:ascii="宋体" w:hAnsi="宋体" w:cs="宋体"/>
          <w:color w:val="auto"/>
          <w:kern w:val="0"/>
          <w:szCs w:val="21"/>
          <w:highlight w:val="none"/>
        </w:rPr>
      </w:pPr>
    </w:p>
    <w:p w14:paraId="5F05F6ED">
      <w:pPr>
        <w:snapToGrid w:val="0"/>
        <w:spacing w:line="400" w:lineRule="exact"/>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02DEC65B">
      <w:pPr>
        <w:spacing w:line="340" w:lineRule="exact"/>
        <w:ind w:firstLine="0" w:firstLineChars="0"/>
        <w:rPr>
          <w:rFonts w:ascii="宋体" w:hAnsi="宋体" w:cs="宋体"/>
          <w:color w:val="auto"/>
          <w:sz w:val="21"/>
          <w:szCs w:val="24"/>
          <w:highlight w:val="none"/>
        </w:rPr>
      </w:pPr>
      <w:r>
        <w:rPr>
          <w:rFonts w:hint="eastAsia" w:ascii="宋体" w:hAnsi="宋体" w:cs="宋体"/>
          <w:color w:val="auto"/>
          <w:sz w:val="21"/>
          <w:szCs w:val="24"/>
          <w:highlight w:val="none"/>
        </w:rPr>
        <w:t>法定代表人或委托代理人签字</w:t>
      </w:r>
      <w:r>
        <w:rPr>
          <w:rFonts w:hint="eastAsia" w:ascii="宋体" w:hAnsi="宋体" w:cs="宋体"/>
          <w:b/>
          <w:color w:val="auto"/>
          <w:sz w:val="21"/>
          <w:szCs w:val="21"/>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376C45E2">
      <w:pPr>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4FC1CB1D">
      <w:pPr>
        <w:spacing w:line="240" w:lineRule="auto"/>
        <w:ind w:firstLine="3570" w:firstLineChars="1700"/>
        <w:rPr>
          <w:rFonts w:ascii="宋体" w:hAnsi="宋体" w:cs="宋体"/>
          <w:color w:val="auto"/>
          <w:sz w:val="21"/>
          <w:szCs w:val="20"/>
          <w:highlight w:val="none"/>
          <w:u w:val="single"/>
        </w:rPr>
      </w:pPr>
    </w:p>
    <w:p w14:paraId="589A0A79">
      <w:pPr>
        <w:spacing w:line="400" w:lineRule="exact"/>
        <w:ind w:firstLine="0" w:firstLineChars="0"/>
        <w:rPr>
          <w:rFonts w:ascii="宋体" w:hAnsi="宋体" w:cs="宋体"/>
          <w:b/>
          <w:bCs/>
          <w:color w:val="auto"/>
          <w:kern w:val="0"/>
          <w:sz w:val="32"/>
          <w:szCs w:val="32"/>
          <w:highlight w:val="none"/>
        </w:rPr>
      </w:pPr>
    </w:p>
    <w:p w14:paraId="2890B639">
      <w:pPr>
        <w:spacing w:line="240" w:lineRule="auto"/>
        <w:ind w:firstLine="0" w:firstLineChars="0"/>
        <w:rPr>
          <w:rFonts w:ascii="宋体" w:hAnsi="宋体" w:cs="宋体"/>
          <w:b/>
          <w:color w:val="auto"/>
          <w:kern w:val="0"/>
          <w:sz w:val="32"/>
          <w:szCs w:val="20"/>
          <w:highlight w:val="none"/>
        </w:rPr>
      </w:pPr>
      <w:r>
        <w:rPr>
          <w:rFonts w:hint="eastAsia" w:ascii="宋体" w:hAnsi="宋体" w:cs="宋体"/>
          <w:b/>
          <w:color w:val="auto"/>
          <w:kern w:val="0"/>
          <w:sz w:val="32"/>
          <w:szCs w:val="20"/>
          <w:highlight w:val="none"/>
        </w:rPr>
        <w:t>2.供应商的服务方案（如有，请提供）</w:t>
      </w:r>
    </w:p>
    <w:p w14:paraId="52AB829F">
      <w:pPr>
        <w:spacing w:line="400" w:lineRule="exact"/>
        <w:ind w:firstLine="0" w:firstLineChars="0"/>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附件：</w:t>
      </w:r>
    </w:p>
    <w:p w14:paraId="18BEE668">
      <w:pPr>
        <w:spacing w:line="240" w:lineRule="auto"/>
        <w:ind w:firstLine="472" w:firstLineChars="147"/>
        <w:jc w:val="center"/>
        <w:rPr>
          <w:rFonts w:ascii="宋体" w:hAnsi="宋体" w:cs="宋体"/>
          <w:b/>
          <w:bCs/>
          <w:color w:val="auto"/>
          <w:kern w:val="0"/>
          <w:sz w:val="32"/>
          <w:szCs w:val="20"/>
          <w:highlight w:val="none"/>
        </w:rPr>
      </w:pPr>
      <w:r>
        <w:rPr>
          <w:rFonts w:hint="eastAsia" w:ascii="宋体" w:hAnsi="宋体" w:cs="宋体"/>
          <w:b/>
          <w:bCs/>
          <w:color w:val="auto"/>
          <w:kern w:val="0"/>
          <w:sz w:val="32"/>
          <w:szCs w:val="20"/>
          <w:highlight w:val="none"/>
        </w:rPr>
        <w:t>分标</w:t>
      </w:r>
      <w:r>
        <w:rPr>
          <w:rFonts w:hint="eastAsia" w:ascii="宋体" w:hAnsi="宋体" w:cs="宋体"/>
          <w:b/>
          <w:bCs/>
          <w:color w:val="auto"/>
          <w:kern w:val="0"/>
          <w:sz w:val="32"/>
          <w:szCs w:val="20"/>
          <w:highlight w:val="none"/>
          <w:u w:val="single"/>
        </w:rPr>
        <w:t xml:space="preserve">   </w:t>
      </w:r>
      <w:r>
        <w:rPr>
          <w:rFonts w:hint="eastAsia" w:ascii="宋体" w:hAnsi="宋体" w:cs="宋体"/>
          <w:b/>
          <w:bCs/>
          <w:color w:val="auto"/>
          <w:kern w:val="0"/>
          <w:sz w:val="32"/>
          <w:szCs w:val="20"/>
          <w:highlight w:val="none"/>
        </w:rPr>
        <w:t>服务方案（格式）</w:t>
      </w:r>
    </w:p>
    <w:p w14:paraId="6E99D2AF">
      <w:pPr>
        <w:spacing w:line="400" w:lineRule="exact"/>
        <w:ind w:left="720" w:firstLine="0" w:firstLineChars="0"/>
        <w:rPr>
          <w:rFonts w:ascii="宋体" w:hAnsi="Courier New"/>
          <w:b/>
          <w:color w:val="auto"/>
          <w:kern w:val="0"/>
          <w:szCs w:val="24"/>
          <w:highlight w:val="none"/>
        </w:rPr>
      </w:pPr>
    </w:p>
    <w:p w14:paraId="1E34788A">
      <w:pPr>
        <w:pStyle w:val="43"/>
        <w:ind w:firstLine="210"/>
        <w:rPr>
          <w:color w:val="auto"/>
          <w:highlight w:val="none"/>
        </w:rPr>
      </w:pPr>
      <w:r>
        <w:rPr>
          <w:rFonts w:hint="eastAsia"/>
          <w:color w:val="auto"/>
          <w:highlight w:val="none"/>
          <w:lang w:val="en-US"/>
        </w:rPr>
        <w:t>……</w:t>
      </w:r>
    </w:p>
    <w:p w14:paraId="5E010E70">
      <w:pPr>
        <w:adjustRightInd w:val="0"/>
        <w:spacing w:line="380" w:lineRule="exact"/>
        <w:ind w:firstLine="420"/>
        <w:rPr>
          <w:rFonts w:ascii="宋体" w:hAnsi="宋体" w:cs="宋体"/>
          <w:color w:val="auto"/>
          <w:sz w:val="21"/>
          <w:szCs w:val="21"/>
          <w:highlight w:val="none"/>
        </w:rPr>
      </w:pPr>
    </w:p>
    <w:p w14:paraId="6993C364">
      <w:pPr>
        <w:adjustRightInd w:val="0"/>
        <w:spacing w:line="380" w:lineRule="exact"/>
        <w:ind w:firstLine="480"/>
        <w:rPr>
          <w:rFonts w:ascii="宋体" w:hAnsi="宋体" w:cs="宋体"/>
          <w:color w:val="auto"/>
          <w:kern w:val="0"/>
          <w:szCs w:val="21"/>
          <w:highlight w:val="none"/>
        </w:rPr>
      </w:pPr>
    </w:p>
    <w:p w14:paraId="64BBB1F6">
      <w:pPr>
        <w:snapToGrid w:val="0"/>
        <w:spacing w:line="400" w:lineRule="exact"/>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0FA71405">
      <w:pPr>
        <w:spacing w:line="340" w:lineRule="exact"/>
        <w:ind w:firstLine="0" w:firstLineChars="0"/>
        <w:rPr>
          <w:rFonts w:ascii="宋体" w:hAnsi="宋体" w:cs="宋体"/>
          <w:color w:val="auto"/>
          <w:sz w:val="21"/>
          <w:szCs w:val="24"/>
          <w:highlight w:val="none"/>
        </w:rPr>
      </w:pPr>
      <w:r>
        <w:rPr>
          <w:rFonts w:hint="eastAsia" w:ascii="宋体" w:hAnsi="宋体" w:cs="宋体"/>
          <w:color w:val="auto"/>
          <w:sz w:val="21"/>
          <w:szCs w:val="24"/>
          <w:highlight w:val="none"/>
        </w:rPr>
        <w:t>法定代表人或委托代理人签字</w:t>
      </w:r>
      <w:r>
        <w:rPr>
          <w:rFonts w:hint="eastAsia" w:ascii="宋体" w:hAnsi="宋体" w:cs="宋体"/>
          <w:b/>
          <w:color w:val="auto"/>
          <w:sz w:val="21"/>
          <w:szCs w:val="21"/>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17B7BBA4">
      <w:pPr>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7EA6426A">
      <w:pPr>
        <w:spacing w:line="400" w:lineRule="exact"/>
        <w:ind w:firstLine="0" w:firstLineChars="0"/>
        <w:rPr>
          <w:rFonts w:ascii="宋体" w:hAnsi="宋体" w:cs="宋体"/>
          <w:b/>
          <w:bCs/>
          <w:color w:val="auto"/>
          <w:kern w:val="0"/>
          <w:sz w:val="32"/>
          <w:szCs w:val="32"/>
          <w:highlight w:val="none"/>
        </w:rPr>
      </w:pPr>
    </w:p>
    <w:p w14:paraId="4B4ED36B">
      <w:pPr>
        <w:spacing w:line="400" w:lineRule="exact"/>
        <w:ind w:firstLine="0" w:firstLineChars="0"/>
        <w:rPr>
          <w:rFonts w:ascii="宋体" w:hAnsi="宋体" w:cs="宋体"/>
          <w:b/>
          <w:bCs/>
          <w:color w:val="auto"/>
          <w:kern w:val="0"/>
          <w:sz w:val="32"/>
          <w:szCs w:val="32"/>
          <w:highlight w:val="none"/>
        </w:rPr>
      </w:pPr>
    </w:p>
    <w:p w14:paraId="2A1193E7">
      <w:pPr>
        <w:spacing w:line="400" w:lineRule="exact"/>
        <w:ind w:firstLine="0" w:firstLineChars="0"/>
        <w:rPr>
          <w:rFonts w:ascii="宋体" w:hAnsi="宋体" w:cs="宋体"/>
          <w:b/>
          <w:bCs/>
          <w:color w:val="auto"/>
          <w:kern w:val="0"/>
          <w:sz w:val="32"/>
          <w:szCs w:val="32"/>
          <w:highlight w:val="none"/>
        </w:rPr>
      </w:pPr>
    </w:p>
    <w:p w14:paraId="7F63CB32">
      <w:pPr>
        <w:spacing w:line="400" w:lineRule="exact"/>
        <w:ind w:firstLine="0" w:firstLineChars="0"/>
        <w:rPr>
          <w:rFonts w:ascii="宋体" w:hAnsi="宋体"/>
          <w:b/>
          <w:color w:val="auto"/>
          <w:sz w:val="21"/>
          <w:szCs w:val="21"/>
          <w:highlight w:val="none"/>
        </w:rPr>
      </w:pPr>
      <w:r>
        <w:rPr>
          <w:rFonts w:hint="eastAsia" w:ascii="宋体" w:hAnsi="宋体" w:cs="宋体"/>
          <w:b/>
          <w:bCs/>
          <w:color w:val="auto"/>
          <w:kern w:val="0"/>
          <w:sz w:val="32"/>
          <w:szCs w:val="32"/>
          <w:highlight w:val="none"/>
        </w:rPr>
        <w:t>3.供应商可结合本项目的评审办法视自身情况自行提交相关证明材料（如有，请提供）</w:t>
      </w:r>
    </w:p>
    <w:sectPr>
      <w:headerReference r:id="rId18" w:type="first"/>
      <w:footerReference r:id="rId21" w:type="first"/>
      <w:headerReference r:id="rId16" w:type="default"/>
      <w:footerReference r:id="rId19" w:type="default"/>
      <w:headerReference r:id="rId17" w:type="even"/>
      <w:footerReference r:id="rId20" w:type="even"/>
      <w:pgSz w:w="11906" w:h="16838"/>
      <w:pgMar w:top="1440" w:right="1304" w:bottom="1440" w:left="1304"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A00002EF" w:usb1="420020EB" w:usb2="00000000" w:usb3="00000000" w:csb0="2000009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E3BF">
    <w:pPr>
      <w:pStyle w:val="29"/>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07C95F">
                          <w:pPr>
                            <w:pStyle w:val="29"/>
                            <w:ind w:firstLine="360"/>
                            <w:jc w:val="center"/>
                          </w:pPr>
                          <w:r>
                            <w:fldChar w:fldCharType="begin"/>
                          </w:r>
                          <w:r>
                            <w:instrText xml:space="preserve"> PAGE   \* MERGEFORMAT </w:instrText>
                          </w:r>
                          <w:r>
                            <w:fldChar w:fldCharType="separate"/>
                          </w:r>
                          <w:r>
                            <w:rPr>
                              <w:lang w:val="zh-CN"/>
                            </w:rPr>
                            <w:t>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PDUs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6T&#10;ZdanD1Bj2l3AxDS89wPmzn5AZ6Y9qGjzFwkRjKO6p4u6ckhE5Eer5WpVYUhgbL4gPnt6HiKkD9Jb&#10;ko2GRhxfUZUfP0EaU+eUXM35W21MGaFxfzkQM3tY7n3sMVtp2A0ToZ1vT8inx8k31OGiU2I+OhQ2&#10;L8lsxNnYTUauAeHdIWHh0k9GHaGmYjimwmhaqbwHf95L1tNv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7Dw1LCAQAAjgMAAA4AAAAAAAAAAQAgAAAAHgEAAGRycy9lMm9Eb2MueG1sUEsF&#10;BgAAAAAGAAYAWQEAAFIFAAAAAA==&#10;">
              <v:fill on="f" focussize="0,0"/>
              <v:stroke on="f"/>
              <v:imagedata o:title=""/>
              <o:lock v:ext="edit" aspectratio="f"/>
              <v:textbox inset="0mm,0mm,0mm,0mm" style="mso-fit-shape-to-text:t;">
                <w:txbxContent>
                  <w:p w14:paraId="6707C95F">
                    <w:pPr>
                      <w:pStyle w:val="29"/>
                      <w:ind w:firstLine="360"/>
                      <w:jc w:val="center"/>
                    </w:pPr>
                    <w:r>
                      <w:fldChar w:fldCharType="begin"/>
                    </w:r>
                    <w:r>
                      <w:instrText xml:space="preserve"> PAGE   \* MERGEFORMAT </w:instrText>
                    </w:r>
                    <w:r>
                      <w:fldChar w:fldCharType="separate"/>
                    </w:r>
                    <w:r>
                      <w:rPr>
                        <w:lang w:val="zh-CN"/>
                      </w:rPr>
                      <w:t>5</w:t>
                    </w:r>
                    <w:r>
                      <w:fldChar w:fldCharType="end"/>
                    </w:r>
                  </w:p>
                </w:txbxContent>
              </v:textbox>
            </v:shape>
          </w:pict>
        </mc:Fallback>
      </mc:AlternateContent>
    </w:r>
  </w:p>
  <w:p w14:paraId="30C5338E">
    <w:pPr>
      <w:pStyle w:val="29"/>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80FA9">
    <w:pPr>
      <w:pStyle w:val="2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09570">
    <w:pPr>
      <w:pStyle w:val="29"/>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9FB027">
                          <w:pPr>
                            <w:pStyle w:val="29"/>
                            <w:ind w:firstLine="360"/>
                            <w:rPr>
                              <w:rStyle w:val="49"/>
                            </w:rPr>
                          </w:pPr>
                          <w:r>
                            <w:fldChar w:fldCharType="begin"/>
                          </w:r>
                          <w:r>
                            <w:rPr>
                              <w:rStyle w:val="49"/>
                            </w:rPr>
                            <w:instrText xml:space="preserve">PAGE  </w:instrText>
                          </w:r>
                          <w:r>
                            <w:fldChar w:fldCharType="separate"/>
                          </w:r>
                          <w:r>
                            <w:rPr>
                              <w:rStyle w:val="49"/>
                            </w:rPr>
                            <w:t>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L4bcIBAACO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G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Wi+G3CAQAAjgMAAA4AAAAAAAAAAQAgAAAAHgEAAGRycy9lMm9Eb2MueG1sUEsF&#10;BgAAAAAGAAYAWQEAAFIFAAAAAA==&#10;">
              <v:fill on="f" focussize="0,0"/>
              <v:stroke on="f"/>
              <v:imagedata o:title=""/>
              <o:lock v:ext="edit" aspectratio="f"/>
              <v:textbox inset="0mm,0mm,0mm,0mm" style="mso-fit-shape-to-text:t;">
                <w:txbxContent>
                  <w:p w14:paraId="7C9FB027">
                    <w:pPr>
                      <w:pStyle w:val="29"/>
                      <w:ind w:firstLine="360"/>
                      <w:rPr>
                        <w:rStyle w:val="49"/>
                      </w:rPr>
                    </w:pPr>
                    <w:r>
                      <w:fldChar w:fldCharType="begin"/>
                    </w:r>
                    <w:r>
                      <w:rPr>
                        <w:rStyle w:val="49"/>
                      </w:rPr>
                      <w:instrText xml:space="preserve">PAGE  </w:instrText>
                    </w:r>
                    <w:r>
                      <w:fldChar w:fldCharType="separate"/>
                    </w:r>
                    <w:r>
                      <w:rPr>
                        <w:rStyle w:val="49"/>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32278">
    <w:pPr>
      <w:pStyle w:val="2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BBD27">
                          <w:pPr>
                            <w:pStyle w:val="29"/>
                            <w:ind w:firstLine="360"/>
                          </w:pP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aKU8EBAACO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wE2pKHLc48cuP75efvy+/vpE6&#10;6zMEaDDtPmBiGt/6EXMXP6Az0x5VtPmLhAjGUd3zVV05JiLyo3W9XlcYEhhbLojPHp6HCOmd9JZk&#10;o6URx1dU5acPkKbUJSVXc/5OG1NGaNxfDsTMHpZ7n3rMVhr340xo77sz8hlw8i11uOiUmPcOhc1L&#10;shhxMfazkWtAeHNMWLj0k1EnqLkYjqkwmlcq78Hje8l6+I2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wDaKU8EBAACOAwAADgAAAAAAAAABACAAAAAeAQAAZHJzL2Uyb0RvYy54bWxQSwUG&#10;AAAAAAYABgBZAQAAUQUAAAAA&#10;">
              <v:fill on="f" focussize="0,0"/>
              <v:stroke on="f"/>
              <v:imagedata o:title=""/>
              <o:lock v:ext="edit" aspectratio="f"/>
              <v:textbox inset="0mm,0mm,0mm,0mm" style="mso-fit-shape-to-text:t;">
                <w:txbxContent>
                  <w:p w14:paraId="5A0BBD27">
                    <w:pPr>
                      <w:pStyle w:val="29"/>
                      <w:ind w:firstLine="36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E6B08">
    <w:pPr>
      <w:pStyle w:val="29"/>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0013F4">
                          <w:pPr>
                            <w:pStyle w:val="29"/>
                            <w:ind w:firstLine="360"/>
                            <w:rPr>
                              <w:rStyle w:val="49"/>
                            </w:rPr>
                          </w:pPr>
                          <w:r>
                            <w:fldChar w:fldCharType="begin"/>
                          </w:r>
                          <w:r>
                            <w:rPr>
                              <w:rStyle w:val="49"/>
                            </w:rPr>
                            <w:instrText xml:space="preserve">PAGE  </w:instrText>
                          </w:r>
                          <w:r>
                            <w:fldChar w:fldCharType="separate"/>
                          </w:r>
                          <w:r>
                            <w:rPr>
                              <w:rStyle w:val="49"/>
                            </w:rPr>
                            <w:t>78</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7gwcIBAACO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G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wO4MHCAQAAjgMAAA4AAAAAAAAAAQAgAAAAHgEAAGRycy9lMm9Eb2MueG1sUEsF&#10;BgAAAAAGAAYAWQEAAFIFAAAAAA==&#10;">
              <v:fill on="f" focussize="0,0"/>
              <v:stroke on="f"/>
              <v:imagedata o:title=""/>
              <o:lock v:ext="edit" aspectratio="f"/>
              <v:textbox inset="0mm,0mm,0mm,0mm" style="mso-fit-shape-to-text:t;">
                <w:txbxContent>
                  <w:p w14:paraId="3E0013F4">
                    <w:pPr>
                      <w:pStyle w:val="29"/>
                      <w:ind w:firstLine="360"/>
                      <w:rPr>
                        <w:rStyle w:val="49"/>
                      </w:rPr>
                    </w:pPr>
                    <w:r>
                      <w:fldChar w:fldCharType="begin"/>
                    </w:r>
                    <w:r>
                      <w:rPr>
                        <w:rStyle w:val="49"/>
                      </w:rPr>
                      <w:instrText xml:space="preserve">PAGE  </w:instrText>
                    </w:r>
                    <w:r>
                      <w:fldChar w:fldCharType="separate"/>
                    </w:r>
                    <w:r>
                      <w:rPr>
                        <w:rStyle w:val="49"/>
                      </w:rPr>
                      <w:t>78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FB1F">
    <w:pPr>
      <w:pStyle w:val="29"/>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FFF025">
                          <w:pPr>
                            <w:pStyle w:val="29"/>
                            <w:ind w:firstLine="360"/>
                            <w:rPr>
                              <w:rStyle w:val="49"/>
                            </w:rPr>
                          </w:pPr>
                          <w:r>
                            <w:fldChar w:fldCharType="begin"/>
                          </w:r>
                          <w:r>
                            <w:rPr>
                              <w:rStyle w:val="49"/>
                            </w:rPr>
                            <w:instrText xml:space="preserve">PAGE  </w:instrText>
                          </w:r>
                          <w:r>
                            <w:fldChar w:fldCharType="separate"/>
                          </w:r>
                          <w:r>
                            <w:rPr>
                              <w:rStyle w:val="49"/>
                            </w:rPr>
                            <w:t>2</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j8+8IBAACO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nXlDhuceLnnz/Ov/6cf38n&#10;b7M+fYAa0+4DJqbhnR8wd/YDOjPtQUWbv0iIYBzVPV3UlUMiIj9aLVerCkMCY/MF8dnD8xAhvZfe&#10;kmw0NOL4iqr8+BHSmDqn5GrO32ljygiN+8eBmNnDcu9jj9lKw26YCO18e0I+PU6+oQ4XnRLzwaGw&#10;eUlmI87GbjJyDQi3h4SFSz8ZdYSaiuGYCqNppfIePL6XrIffaP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4/PvCAQAAjgMAAA4AAAAAAAAAAQAgAAAAHgEAAGRycy9lMm9Eb2MueG1sUEsF&#10;BgAAAAAGAAYAWQEAAFIFAAAAAA==&#10;">
              <v:fill on="f" focussize="0,0"/>
              <v:stroke on="f"/>
              <v:imagedata o:title=""/>
              <o:lock v:ext="edit" aspectratio="f"/>
              <v:textbox inset="0mm,0mm,0mm,0mm" style="mso-fit-shape-to-text:t;">
                <w:txbxContent>
                  <w:p w14:paraId="4EFFF025">
                    <w:pPr>
                      <w:pStyle w:val="29"/>
                      <w:ind w:firstLine="360"/>
                      <w:rPr>
                        <w:rStyle w:val="49"/>
                      </w:rPr>
                    </w:pPr>
                    <w:r>
                      <w:fldChar w:fldCharType="begin"/>
                    </w:r>
                    <w:r>
                      <w:rPr>
                        <w:rStyle w:val="49"/>
                      </w:rPr>
                      <w:instrText xml:space="preserve">PAGE  </w:instrText>
                    </w:r>
                    <w:r>
                      <w:fldChar w:fldCharType="separate"/>
                    </w:r>
                    <w:r>
                      <w:rPr>
                        <w:rStyle w:val="49"/>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2DF98">
    <w:pPr>
      <w:pStyle w:val="29"/>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F1CCAA">
                          <w:pPr>
                            <w:pStyle w:val="29"/>
                            <w:ind w:firstLine="360"/>
                            <w:jc w:val="center"/>
                          </w:pPr>
                          <w:r>
                            <w:fldChar w:fldCharType="begin"/>
                          </w:r>
                          <w:r>
                            <w:instrText xml:space="preserve"> PAGE   \* MERGEFORMAT </w:instrText>
                          </w:r>
                          <w:r>
                            <w:fldChar w:fldCharType="separate"/>
                          </w:r>
                          <w:r>
                            <w:rPr>
                              <w:lang w:val="zh-CN"/>
                            </w:rPr>
                            <w:t>73</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rX+sMIBAACO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EtbsJbShy3OPHzzx/nX3/Ov7+T&#10;66xPH6DGtPuAiWl45wfMnf2Azkx7UNHmLxIiGEd1Txd15ZCIyI9Wy9WqwpDA2HxBfPbwPERI76W3&#10;JBsNjTi+oio/foQ0ps4puZrzd9qYMkLj/nEgZvaw3PvYY7bSsBsmQjvfnpBPj5NvqMNFp8R8cChs&#10;XpLZiLOxm4xcA8LtIWHh0k9GHaGmYjimwmhaqbwHj+8l6+E3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K1/rDCAQAAjgMAAA4AAAAAAAAAAQAgAAAAHgEAAGRycy9lMm9Eb2MueG1sUEsF&#10;BgAAAAAGAAYAWQEAAFIFAAAAAA==&#10;">
              <v:fill on="f" focussize="0,0"/>
              <v:stroke on="f"/>
              <v:imagedata o:title=""/>
              <o:lock v:ext="edit" aspectratio="f"/>
              <v:textbox inset="0mm,0mm,0mm,0mm" style="mso-fit-shape-to-text:t;">
                <w:txbxContent>
                  <w:p w14:paraId="4FF1CCAA">
                    <w:pPr>
                      <w:pStyle w:val="29"/>
                      <w:ind w:firstLine="360"/>
                      <w:jc w:val="center"/>
                    </w:pPr>
                    <w:r>
                      <w:fldChar w:fldCharType="begin"/>
                    </w:r>
                    <w:r>
                      <w:instrText xml:space="preserve"> PAGE   \* MERGEFORMAT </w:instrText>
                    </w:r>
                    <w:r>
                      <w:fldChar w:fldCharType="separate"/>
                    </w:r>
                    <w:r>
                      <w:rPr>
                        <w:lang w:val="zh-CN"/>
                      </w:rPr>
                      <w:t>73</w:t>
                    </w:r>
                    <w:r>
                      <w:fldChar w:fldCharType="end"/>
                    </w:r>
                  </w:p>
                </w:txbxContent>
              </v:textbox>
            </v:shape>
          </w:pict>
        </mc:Fallback>
      </mc:AlternateContent>
    </w:r>
  </w:p>
  <w:p w14:paraId="0A4568C8">
    <w:pPr>
      <w:pStyle w:val="2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F7726">
    <w:pPr>
      <w:pStyle w:val="29"/>
      <w:ind w:firstLine="360"/>
      <w:jc w:val="center"/>
    </w:pPr>
    <w:r>
      <w:fldChar w:fldCharType="begin"/>
    </w:r>
    <w:r>
      <w:instrText xml:space="preserve"> PAGE   \* MERGEFORMAT </w:instrText>
    </w:r>
    <w:r>
      <w:fldChar w:fldCharType="separate"/>
    </w:r>
    <w:r>
      <w:rPr>
        <w:lang w:val="zh-CN"/>
      </w:rPr>
      <w:t>86</w:t>
    </w:r>
    <w:r>
      <w:fldChar w:fldCharType="end"/>
    </w:r>
  </w:p>
  <w:p w14:paraId="2DAAB663">
    <w:pPr>
      <w:pStyle w:val="18"/>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E0EDA">
    <w:pPr>
      <w:pStyle w:val="29"/>
      <w:ind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C63C21">
                          <w:pPr>
                            <w:pStyle w:val="29"/>
                            <w:ind w:firstLine="360"/>
                          </w:pPr>
                          <w:r>
                            <w:fldChar w:fldCharType="begin"/>
                          </w:r>
                          <w:r>
                            <w:instrText xml:space="preserve"> PAGE  \* MERGEFORMAT </w:instrText>
                          </w:r>
                          <w:r>
                            <w:fldChar w:fldCharType="separate"/>
                          </w:r>
                          <w:r>
                            <w:t>119</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uKhcEBAACO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LO3XGLEz///HH+9Xh++E7e&#10;Zn36ADWm3QVMTMN7P2Du7Ad0ZtqDijZ/kRDBOKp7uqgrh0REfrRarlYVhgTG5gvis6fnIUL6IL0l&#10;2WhoxPEVVfnxE6QxdU7J1Zy/1caUERr3lwMxs4fl3sces5WG3TAR2vn2hHx6nHxDHS46JeajQ2Hz&#10;ksxGnI3dZOQaEN4dEhYu/WTUEWoqhmMqjKaVynvw571kPf1G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eXuKhcEBAACOAwAADgAAAAAAAAABACAAAAAeAQAAZHJzL2Uyb0RvYy54bWxQSwUG&#10;AAAAAAYABgBZAQAAUQUAAAAA&#10;">
              <v:fill on="f" focussize="0,0"/>
              <v:stroke on="f"/>
              <v:imagedata o:title=""/>
              <o:lock v:ext="edit" aspectratio="f"/>
              <v:textbox inset="0mm,0mm,0mm,0mm" style="mso-fit-shape-to-text:t;">
                <w:txbxContent>
                  <w:p w14:paraId="2AC63C21">
                    <w:pPr>
                      <w:pStyle w:val="29"/>
                      <w:ind w:firstLine="360"/>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8FCD7">
    <w:pPr>
      <w:pStyle w:val="29"/>
      <w:ind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58EB23">
                          <w:pPr>
                            <w:pStyle w:val="29"/>
                            <w:ind w:firstLine="360"/>
                          </w:pPr>
                          <w:r>
                            <w:fldChar w:fldCharType="begin"/>
                          </w:r>
                          <w:r>
                            <w:instrText xml:space="preserve"> PAGE  \* MERGEFORMAT </w:instrText>
                          </w:r>
                          <w:r>
                            <w:fldChar w:fldCharType="separate"/>
                          </w:r>
                          <w:r>
                            <w:t>62</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PWPMEBAACO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ZyDUgvD4mLFz6yagT1FwMx1QYzSuV9+DPe8l6+I2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6ZPWPMEBAACOAwAADgAAAAAAAAABACAAAAAeAQAAZHJzL2Uyb0RvYy54bWxQSwUG&#10;AAAAAAYABgBZAQAAUQUAAAAA&#10;">
              <v:fill on="f" focussize="0,0"/>
              <v:stroke on="f"/>
              <v:imagedata o:title=""/>
              <o:lock v:ext="edit" aspectratio="f"/>
              <v:textbox inset="0mm,0mm,0mm,0mm" style="mso-fit-shape-to-text:t;">
                <w:txbxContent>
                  <w:p w14:paraId="5D58EB23">
                    <w:pPr>
                      <w:pStyle w:val="29"/>
                      <w:ind w:firstLine="36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F9AC">
    <w:pPr>
      <w:pStyle w:val="30"/>
      <w:pBdr>
        <w:bottom w:val="none" w:color="auto" w:sz="0" w:space="0"/>
      </w:pBdr>
      <w:ind w:firstLine="360"/>
    </w:pPr>
    <w: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4660900"/>
          <wp:effectExtent l="0" t="0" r="2540" b="6350"/>
          <wp:wrapNone/>
          <wp:docPr id="3"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61338">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D818">
    <w:pPr>
      <w:ind w:left="480" w:firstLine="0" w:firstLineChars="0"/>
    </w:pPr>
    <w:r>
      <w:rPr>
        <w:sz w:val="18"/>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4660900"/>
          <wp:effectExtent l="0" t="0" r="2540" b="6350"/>
          <wp:wrapNone/>
          <wp:docPr id="7"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C7CF4">
    <w:pPr>
      <w:pStyle w:val="30"/>
      <w:pBdr>
        <w:bottom w:val="none" w:color="auto" w:sz="0" w:space="0"/>
      </w:pBdr>
      <w:ind w:firstLine="360"/>
    </w:pPr>
    <w: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4660900"/>
          <wp:effectExtent l="0" t="0" r="2540" b="6350"/>
          <wp:wrapNone/>
          <wp:docPr id="6"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5840">
    <w:r>
      <w:drawing>
        <wp:anchor distT="0" distB="0" distL="114300" distR="114300" simplePos="0" relativeHeight="251670528" behindDoc="1" locked="0" layoutInCell="1" allowOverlap="1">
          <wp:simplePos x="0" y="0"/>
          <wp:positionH relativeFrom="margin">
            <wp:align>center</wp:align>
          </wp:positionH>
          <wp:positionV relativeFrom="margin">
            <wp:align>center</wp:align>
          </wp:positionV>
          <wp:extent cx="5274310" cy="4660900"/>
          <wp:effectExtent l="0" t="0" r="2540" b="6350"/>
          <wp:wrapNone/>
          <wp:docPr id="8"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FFFA8">
    <w:pPr>
      <w:pStyle w:val="3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B7CF">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1">
    <w:nsid w:val="24B26C46"/>
    <w:multiLevelType w:val="multilevel"/>
    <w:tmpl w:val="24B26C46"/>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7"/>
      <w:suff w:val="space"/>
      <w:lvlText w:val="%1.%2.%3.%4.%5.%6.%7"/>
      <w:lvlJc w:val="left"/>
      <w:pPr>
        <w:ind w:left="1296" w:hanging="1296"/>
      </w:pPr>
      <w:rPr>
        <w:rFonts w:hint="eastAsia"/>
      </w:rPr>
    </w:lvl>
    <w:lvl w:ilvl="7" w:tentative="0">
      <w:start w:val="1"/>
      <w:numFmt w:val="decimal"/>
      <w:pStyle w:val="9"/>
      <w:suff w:val="space"/>
      <w:lvlText w:val="%1.%2.%3.%4.%5.%6.%7.%8"/>
      <w:lvlJc w:val="left"/>
      <w:pPr>
        <w:ind w:left="1440" w:hanging="1440"/>
      </w:pPr>
      <w:rPr>
        <w:rFonts w:hint="eastAsia"/>
      </w:rPr>
    </w:lvl>
    <w:lvl w:ilvl="8" w:tentative="0">
      <w:start w:val="1"/>
      <w:numFmt w:val="decimal"/>
      <w:pStyle w:val="10"/>
      <w:suff w:val="space"/>
      <w:lvlText w:val="%1.%2.%3.%4.%5.%6.%7.%8.%9"/>
      <w:lvlJc w:val="left"/>
      <w:pPr>
        <w:ind w:left="1584" w:hanging="1584"/>
      </w:pPr>
      <w:rPr>
        <w:rFonts w:hint="eastAsia"/>
      </w:rPr>
    </w:lvl>
  </w:abstractNum>
  <w:abstractNum w:abstractNumId="2">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66C52A4"/>
    <w:multiLevelType w:val="singleLevel"/>
    <w:tmpl w:val="766C52A4"/>
    <w:lvl w:ilvl="0" w:tentative="0">
      <w:start w:val="3"/>
      <w:numFmt w:val="chineseCounting"/>
      <w:suff w:val="nothing"/>
      <w:lvlText w:val="（%1）"/>
      <w:lvlJc w:val="left"/>
      <w:rPr>
        <w:rFonts w:hint="eastAsia"/>
      </w:rPr>
    </w:lvl>
  </w:abstractNum>
  <w:abstractNum w:abstractNumId="4">
    <w:nsid w:val="78E2D185"/>
    <w:multiLevelType w:val="singleLevel"/>
    <w:tmpl w:val="78E2D185"/>
    <w:lvl w:ilvl="0" w:tentative="0">
      <w:start w:val="7"/>
      <w:numFmt w:val="chineseCounting"/>
      <w:suff w:val="nothing"/>
      <w:lvlText w:val="%1、"/>
      <w:lvlJc w:val="left"/>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hideSpellingErrors/>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NGMxOWE1NmJmNjE2NWUxMWZiOTdlYWFjMjI2YjIifQ=="/>
  </w:docVars>
  <w:rsids>
    <w:rsidRoot w:val="00172A27"/>
    <w:rsid w:val="000000BE"/>
    <w:rsid w:val="00001362"/>
    <w:rsid w:val="000017A7"/>
    <w:rsid w:val="000019AD"/>
    <w:rsid w:val="00001B40"/>
    <w:rsid w:val="00001F7D"/>
    <w:rsid w:val="00002098"/>
    <w:rsid w:val="00003297"/>
    <w:rsid w:val="000036D1"/>
    <w:rsid w:val="0000457E"/>
    <w:rsid w:val="000054B0"/>
    <w:rsid w:val="00006185"/>
    <w:rsid w:val="0001030D"/>
    <w:rsid w:val="00010909"/>
    <w:rsid w:val="00010E4E"/>
    <w:rsid w:val="00012D7D"/>
    <w:rsid w:val="00012D90"/>
    <w:rsid w:val="00012ED9"/>
    <w:rsid w:val="00013601"/>
    <w:rsid w:val="00013B96"/>
    <w:rsid w:val="00013D23"/>
    <w:rsid w:val="00015D9B"/>
    <w:rsid w:val="00016A50"/>
    <w:rsid w:val="00020285"/>
    <w:rsid w:val="000228F2"/>
    <w:rsid w:val="000259AD"/>
    <w:rsid w:val="00026012"/>
    <w:rsid w:val="000310B5"/>
    <w:rsid w:val="0003189C"/>
    <w:rsid w:val="000318A6"/>
    <w:rsid w:val="000339EF"/>
    <w:rsid w:val="000341DF"/>
    <w:rsid w:val="000342BC"/>
    <w:rsid w:val="00034AC0"/>
    <w:rsid w:val="00035C45"/>
    <w:rsid w:val="000369A0"/>
    <w:rsid w:val="000402E9"/>
    <w:rsid w:val="00041296"/>
    <w:rsid w:val="00041EFB"/>
    <w:rsid w:val="00043953"/>
    <w:rsid w:val="000448AE"/>
    <w:rsid w:val="00044C04"/>
    <w:rsid w:val="00045818"/>
    <w:rsid w:val="00045E4C"/>
    <w:rsid w:val="00046A8F"/>
    <w:rsid w:val="000474C6"/>
    <w:rsid w:val="000476EB"/>
    <w:rsid w:val="000506FA"/>
    <w:rsid w:val="000511C3"/>
    <w:rsid w:val="00051CFF"/>
    <w:rsid w:val="0005263D"/>
    <w:rsid w:val="00055B08"/>
    <w:rsid w:val="00057AAB"/>
    <w:rsid w:val="00060E61"/>
    <w:rsid w:val="000634F2"/>
    <w:rsid w:val="000647BB"/>
    <w:rsid w:val="00065104"/>
    <w:rsid w:val="0006637A"/>
    <w:rsid w:val="00066434"/>
    <w:rsid w:val="0006660A"/>
    <w:rsid w:val="00067A57"/>
    <w:rsid w:val="00067AFE"/>
    <w:rsid w:val="00073E6A"/>
    <w:rsid w:val="0007440B"/>
    <w:rsid w:val="00074821"/>
    <w:rsid w:val="0007550D"/>
    <w:rsid w:val="00075C43"/>
    <w:rsid w:val="00076B8D"/>
    <w:rsid w:val="00080903"/>
    <w:rsid w:val="00081049"/>
    <w:rsid w:val="00082672"/>
    <w:rsid w:val="00084FE8"/>
    <w:rsid w:val="0008698B"/>
    <w:rsid w:val="00090932"/>
    <w:rsid w:val="00091067"/>
    <w:rsid w:val="000914B2"/>
    <w:rsid w:val="00091772"/>
    <w:rsid w:val="00091861"/>
    <w:rsid w:val="000924D5"/>
    <w:rsid w:val="000929D5"/>
    <w:rsid w:val="000939AD"/>
    <w:rsid w:val="00094022"/>
    <w:rsid w:val="0009491C"/>
    <w:rsid w:val="00094A12"/>
    <w:rsid w:val="00096E39"/>
    <w:rsid w:val="00096EB3"/>
    <w:rsid w:val="000970D0"/>
    <w:rsid w:val="00097707"/>
    <w:rsid w:val="00097E2E"/>
    <w:rsid w:val="000A3586"/>
    <w:rsid w:val="000A42A5"/>
    <w:rsid w:val="000A42B1"/>
    <w:rsid w:val="000A4568"/>
    <w:rsid w:val="000A50BB"/>
    <w:rsid w:val="000A79FC"/>
    <w:rsid w:val="000B0C48"/>
    <w:rsid w:val="000B19AD"/>
    <w:rsid w:val="000B2D2A"/>
    <w:rsid w:val="000B351D"/>
    <w:rsid w:val="000B3F25"/>
    <w:rsid w:val="000B4308"/>
    <w:rsid w:val="000B4B94"/>
    <w:rsid w:val="000B60E8"/>
    <w:rsid w:val="000B6383"/>
    <w:rsid w:val="000B6491"/>
    <w:rsid w:val="000B6F97"/>
    <w:rsid w:val="000B7479"/>
    <w:rsid w:val="000C13B3"/>
    <w:rsid w:val="000C1A53"/>
    <w:rsid w:val="000C1A5B"/>
    <w:rsid w:val="000C1C38"/>
    <w:rsid w:val="000C24D0"/>
    <w:rsid w:val="000C28E5"/>
    <w:rsid w:val="000C2EDB"/>
    <w:rsid w:val="000C3F00"/>
    <w:rsid w:val="000C3FB2"/>
    <w:rsid w:val="000C6DB8"/>
    <w:rsid w:val="000C7596"/>
    <w:rsid w:val="000D00F7"/>
    <w:rsid w:val="000D013E"/>
    <w:rsid w:val="000D0791"/>
    <w:rsid w:val="000D193C"/>
    <w:rsid w:val="000D2533"/>
    <w:rsid w:val="000D6177"/>
    <w:rsid w:val="000D68C8"/>
    <w:rsid w:val="000D6EF4"/>
    <w:rsid w:val="000E08CE"/>
    <w:rsid w:val="000E15D6"/>
    <w:rsid w:val="000E4610"/>
    <w:rsid w:val="000E5137"/>
    <w:rsid w:val="000E5487"/>
    <w:rsid w:val="000E6020"/>
    <w:rsid w:val="000E6135"/>
    <w:rsid w:val="000E679F"/>
    <w:rsid w:val="000E6CE0"/>
    <w:rsid w:val="000E793B"/>
    <w:rsid w:val="000F0056"/>
    <w:rsid w:val="000F0064"/>
    <w:rsid w:val="000F14EA"/>
    <w:rsid w:val="000F28ED"/>
    <w:rsid w:val="000F2D24"/>
    <w:rsid w:val="000F3222"/>
    <w:rsid w:val="000F33B0"/>
    <w:rsid w:val="000F4FC2"/>
    <w:rsid w:val="000F6DB1"/>
    <w:rsid w:val="000F7051"/>
    <w:rsid w:val="00100537"/>
    <w:rsid w:val="0010129F"/>
    <w:rsid w:val="00103636"/>
    <w:rsid w:val="00103B2F"/>
    <w:rsid w:val="001044B6"/>
    <w:rsid w:val="00105207"/>
    <w:rsid w:val="00105D9F"/>
    <w:rsid w:val="00106520"/>
    <w:rsid w:val="00106880"/>
    <w:rsid w:val="001102DC"/>
    <w:rsid w:val="0011092F"/>
    <w:rsid w:val="00110984"/>
    <w:rsid w:val="0011151D"/>
    <w:rsid w:val="001143A2"/>
    <w:rsid w:val="00117CE5"/>
    <w:rsid w:val="001201B1"/>
    <w:rsid w:val="00120B3F"/>
    <w:rsid w:val="00120E48"/>
    <w:rsid w:val="001218A7"/>
    <w:rsid w:val="0012216C"/>
    <w:rsid w:val="001223FA"/>
    <w:rsid w:val="001234B2"/>
    <w:rsid w:val="00125E2E"/>
    <w:rsid w:val="00126CCD"/>
    <w:rsid w:val="00130A5D"/>
    <w:rsid w:val="00130DBA"/>
    <w:rsid w:val="00131A89"/>
    <w:rsid w:val="001361E5"/>
    <w:rsid w:val="00136202"/>
    <w:rsid w:val="00136309"/>
    <w:rsid w:val="001374FE"/>
    <w:rsid w:val="00137822"/>
    <w:rsid w:val="001400A2"/>
    <w:rsid w:val="00141993"/>
    <w:rsid w:val="00141ED3"/>
    <w:rsid w:val="001420A2"/>
    <w:rsid w:val="00142261"/>
    <w:rsid w:val="00142F62"/>
    <w:rsid w:val="001434AE"/>
    <w:rsid w:val="0014368A"/>
    <w:rsid w:val="00143845"/>
    <w:rsid w:val="0014399B"/>
    <w:rsid w:val="00143E61"/>
    <w:rsid w:val="00144D3E"/>
    <w:rsid w:val="00146E74"/>
    <w:rsid w:val="0014736A"/>
    <w:rsid w:val="00150C0A"/>
    <w:rsid w:val="001510F0"/>
    <w:rsid w:val="0015137F"/>
    <w:rsid w:val="00151C09"/>
    <w:rsid w:val="00152688"/>
    <w:rsid w:val="001536B8"/>
    <w:rsid w:val="0015468E"/>
    <w:rsid w:val="0015508A"/>
    <w:rsid w:val="0015514B"/>
    <w:rsid w:val="0015559E"/>
    <w:rsid w:val="00157297"/>
    <w:rsid w:val="001574E6"/>
    <w:rsid w:val="00157A13"/>
    <w:rsid w:val="00161369"/>
    <w:rsid w:val="00162016"/>
    <w:rsid w:val="00162059"/>
    <w:rsid w:val="001633EE"/>
    <w:rsid w:val="001645DB"/>
    <w:rsid w:val="00164F27"/>
    <w:rsid w:val="0016564A"/>
    <w:rsid w:val="00165A12"/>
    <w:rsid w:val="00165B24"/>
    <w:rsid w:val="001669D4"/>
    <w:rsid w:val="001670DD"/>
    <w:rsid w:val="00167948"/>
    <w:rsid w:val="00172A27"/>
    <w:rsid w:val="001736C6"/>
    <w:rsid w:val="00173FDF"/>
    <w:rsid w:val="00175B7F"/>
    <w:rsid w:val="00176238"/>
    <w:rsid w:val="00176DBF"/>
    <w:rsid w:val="00176FAD"/>
    <w:rsid w:val="00177E31"/>
    <w:rsid w:val="00180E07"/>
    <w:rsid w:val="00181C48"/>
    <w:rsid w:val="001834AD"/>
    <w:rsid w:val="00183FBD"/>
    <w:rsid w:val="0018406F"/>
    <w:rsid w:val="00184341"/>
    <w:rsid w:val="00186269"/>
    <w:rsid w:val="0018684B"/>
    <w:rsid w:val="00186883"/>
    <w:rsid w:val="0018738D"/>
    <w:rsid w:val="00187CBF"/>
    <w:rsid w:val="001903F9"/>
    <w:rsid w:val="0019309E"/>
    <w:rsid w:val="0019356E"/>
    <w:rsid w:val="00195763"/>
    <w:rsid w:val="00195904"/>
    <w:rsid w:val="00195BDE"/>
    <w:rsid w:val="00195D91"/>
    <w:rsid w:val="00196373"/>
    <w:rsid w:val="001964DE"/>
    <w:rsid w:val="001A0ADC"/>
    <w:rsid w:val="001A0C89"/>
    <w:rsid w:val="001A1876"/>
    <w:rsid w:val="001A1C75"/>
    <w:rsid w:val="001A205F"/>
    <w:rsid w:val="001A2E1E"/>
    <w:rsid w:val="001A5701"/>
    <w:rsid w:val="001A5922"/>
    <w:rsid w:val="001A6637"/>
    <w:rsid w:val="001A7268"/>
    <w:rsid w:val="001A73E5"/>
    <w:rsid w:val="001A7D0D"/>
    <w:rsid w:val="001B0216"/>
    <w:rsid w:val="001B0BE5"/>
    <w:rsid w:val="001B0FA2"/>
    <w:rsid w:val="001B1F96"/>
    <w:rsid w:val="001B2296"/>
    <w:rsid w:val="001B26AA"/>
    <w:rsid w:val="001B3894"/>
    <w:rsid w:val="001B5057"/>
    <w:rsid w:val="001B5500"/>
    <w:rsid w:val="001B61EC"/>
    <w:rsid w:val="001B6998"/>
    <w:rsid w:val="001B750B"/>
    <w:rsid w:val="001C0251"/>
    <w:rsid w:val="001C1E01"/>
    <w:rsid w:val="001C6390"/>
    <w:rsid w:val="001C74D6"/>
    <w:rsid w:val="001C77EE"/>
    <w:rsid w:val="001D054D"/>
    <w:rsid w:val="001D0B06"/>
    <w:rsid w:val="001D33FE"/>
    <w:rsid w:val="001D57A1"/>
    <w:rsid w:val="001D6B33"/>
    <w:rsid w:val="001E32A9"/>
    <w:rsid w:val="001E3EC3"/>
    <w:rsid w:val="001E4236"/>
    <w:rsid w:val="001E537F"/>
    <w:rsid w:val="001E6C39"/>
    <w:rsid w:val="001E6D30"/>
    <w:rsid w:val="001E6E3C"/>
    <w:rsid w:val="001F0B1F"/>
    <w:rsid w:val="001F1A82"/>
    <w:rsid w:val="001F1A8D"/>
    <w:rsid w:val="001F2108"/>
    <w:rsid w:val="001F3E44"/>
    <w:rsid w:val="001F41D6"/>
    <w:rsid w:val="001F5962"/>
    <w:rsid w:val="001F7235"/>
    <w:rsid w:val="001F7F55"/>
    <w:rsid w:val="002017FC"/>
    <w:rsid w:val="00202096"/>
    <w:rsid w:val="0020325C"/>
    <w:rsid w:val="002046B8"/>
    <w:rsid w:val="002051FB"/>
    <w:rsid w:val="002056E5"/>
    <w:rsid w:val="00206B6C"/>
    <w:rsid w:val="0020731A"/>
    <w:rsid w:val="00211535"/>
    <w:rsid w:val="002123FA"/>
    <w:rsid w:val="0021291F"/>
    <w:rsid w:val="00212B28"/>
    <w:rsid w:val="00213119"/>
    <w:rsid w:val="002135D5"/>
    <w:rsid w:val="0021448D"/>
    <w:rsid w:val="00215766"/>
    <w:rsid w:val="0022579E"/>
    <w:rsid w:val="0022587C"/>
    <w:rsid w:val="00226918"/>
    <w:rsid w:val="0022729B"/>
    <w:rsid w:val="00227326"/>
    <w:rsid w:val="00227C23"/>
    <w:rsid w:val="002300C9"/>
    <w:rsid w:val="00230861"/>
    <w:rsid w:val="00231AF9"/>
    <w:rsid w:val="00232281"/>
    <w:rsid w:val="00232FF3"/>
    <w:rsid w:val="002333AE"/>
    <w:rsid w:val="00233D74"/>
    <w:rsid w:val="00234189"/>
    <w:rsid w:val="00234595"/>
    <w:rsid w:val="0023471F"/>
    <w:rsid w:val="00234CF6"/>
    <w:rsid w:val="00235154"/>
    <w:rsid w:val="0023681F"/>
    <w:rsid w:val="002400B6"/>
    <w:rsid w:val="00243826"/>
    <w:rsid w:val="00243BE7"/>
    <w:rsid w:val="00244FED"/>
    <w:rsid w:val="00245173"/>
    <w:rsid w:val="00245FA9"/>
    <w:rsid w:val="0025353D"/>
    <w:rsid w:val="00253584"/>
    <w:rsid w:val="00253B27"/>
    <w:rsid w:val="0025449F"/>
    <w:rsid w:val="00254B9B"/>
    <w:rsid w:val="002564DC"/>
    <w:rsid w:val="00260C7F"/>
    <w:rsid w:val="00260F84"/>
    <w:rsid w:val="002624B6"/>
    <w:rsid w:val="00262544"/>
    <w:rsid w:val="00263C91"/>
    <w:rsid w:val="002643A0"/>
    <w:rsid w:val="00264A2E"/>
    <w:rsid w:val="00264A4E"/>
    <w:rsid w:val="00265207"/>
    <w:rsid w:val="00265707"/>
    <w:rsid w:val="00265D1D"/>
    <w:rsid w:val="00267288"/>
    <w:rsid w:val="002674DA"/>
    <w:rsid w:val="002675D4"/>
    <w:rsid w:val="00267E36"/>
    <w:rsid w:val="0027070E"/>
    <w:rsid w:val="00273A3C"/>
    <w:rsid w:val="00273AED"/>
    <w:rsid w:val="00275554"/>
    <w:rsid w:val="0027568B"/>
    <w:rsid w:val="0027701C"/>
    <w:rsid w:val="0028067B"/>
    <w:rsid w:val="00280F11"/>
    <w:rsid w:val="0028245B"/>
    <w:rsid w:val="00282858"/>
    <w:rsid w:val="00282A44"/>
    <w:rsid w:val="00282D14"/>
    <w:rsid w:val="00282DDE"/>
    <w:rsid w:val="0028473B"/>
    <w:rsid w:val="002848F9"/>
    <w:rsid w:val="00285FB3"/>
    <w:rsid w:val="002865B1"/>
    <w:rsid w:val="00287DF3"/>
    <w:rsid w:val="002909BD"/>
    <w:rsid w:val="002909EA"/>
    <w:rsid w:val="00295052"/>
    <w:rsid w:val="00296BD6"/>
    <w:rsid w:val="00296FDA"/>
    <w:rsid w:val="00297F29"/>
    <w:rsid w:val="002A01AD"/>
    <w:rsid w:val="002A0A7E"/>
    <w:rsid w:val="002A2E17"/>
    <w:rsid w:val="002A3728"/>
    <w:rsid w:val="002A3974"/>
    <w:rsid w:val="002A7239"/>
    <w:rsid w:val="002B144A"/>
    <w:rsid w:val="002B2085"/>
    <w:rsid w:val="002B41F0"/>
    <w:rsid w:val="002B543B"/>
    <w:rsid w:val="002B57EC"/>
    <w:rsid w:val="002B631B"/>
    <w:rsid w:val="002B797D"/>
    <w:rsid w:val="002B79E8"/>
    <w:rsid w:val="002B7C23"/>
    <w:rsid w:val="002B7E26"/>
    <w:rsid w:val="002C0BB0"/>
    <w:rsid w:val="002C22C5"/>
    <w:rsid w:val="002C3600"/>
    <w:rsid w:val="002C4336"/>
    <w:rsid w:val="002C5BAE"/>
    <w:rsid w:val="002C5FDD"/>
    <w:rsid w:val="002C676E"/>
    <w:rsid w:val="002C6802"/>
    <w:rsid w:val="002C6C26"/>
    <w:rsid w:val="002D4680"/>
    <w:rsid w:val="002E0200"/>
    <w:rsid w:val="002E075F"/>
    <w:rsid w:val="002E0D44"/>
    <w:rsid w:val="002E0F2D"/>
    <w:rsid w:val="002E0F8E"/>
    <w:rsid w:val="002E136C"/>
    <w:rsid w:val="002E1708"/>
    <w:rsid w:val="002E1756"/>
    <w:rsid w:val="002E2A87"/>
    <w:rsid w:val="002E33D2"/>
    <w:rsid w:val="002E3F68"/>
    <w:rsid w:val="002E42ED"/>
    <w:rsid w:val="002E456E"/>
    <w:rsid w:val="002E4674"/>
    <w:rsid w:val="002E4F2F"/>
    <w:rsid w:val="002E60DC"/>
    <w:rsid w:val="002E6272"/>
    <w:rsid w:val="002E6CB2"/>
    <w:rsid w:val="002E6DD9"/>
    <w:rsid w:val="002E7FE4"/>
    <w:rsid w:val="002F00A7"/>
    <w:rsid w:val="002F0EDF"/>
    <w:rsid w:val="002F1B42"/>
    <w:rsid w:val="002F24E1"/>
    <w:rsid w:val="002F278A"/>
    <w:rsid w:val="002F296A"/>
    <w:rsid w:val="002F3128"/>
    <w:rsid w:val="002F3F8E"/>
    <w:rsid w:val="002F4F23"/>
    <w:rsid w:val="002F71C3"/>
    <w:rsid w:val="002F74A9"/>
    <w:rsid w:val="002F7F4C"/>
    <w:rsid w:val="00300697"/>
    <w:rsid w:val="00301E10"/>
    <w:rsid w:val="00301FEC"/>
    <w:rsid w:val="0030214E"/>
    <w:rsid w:val="00303442"/>
    <w:rsid w:val="00304AEE"/>
    <w:rsid w:val="0030527A"/>
    <w:rsid w:val="00305D83"/>
    <w:rsid w:val="00306801"/>
    <w:rsid w:val="00310701"/>
    <w:rsid w:val="00310E66"/>
    <w:rsid w:val="00311CEA"/>
    <w:rsid w:val="00312642"/>
    <w:rsid w:val="00312D07"/>
    <w:rsid w:val="00313A85"/>
    <w:rsid w:val="00313BF6"/>
    <w:rsid w:val="00316B98"/>
    <w:rsid w:val="00320EB7"/>
    <w:rsid w:val="00320F55"/>
    <w:rsid w:val="003216C9"/>
    <w:rsid w:val="00322106"/>
    <w:rsid w:val="00324C5E"/>
    <w:rsid w:val="00324EEA"/>
    <w:rsid w:val="00324EF6"/>
    <w:rsid w:val="00325591"/>
    <w:rsid w:val="003257D9"/>
    <w:rsid w:val="0032693E"/>
    <w:rsid w:val="00326D83"/>
    <w:rsid w:val="003308E6"/>
    <w:rsid w:val="00330C28"/>
    <w:rsid w:val="00331B3D"/>
    <w:rsid w:val="00331C2D"/>
    <w:rsid w:val="00331CF2"/>
    <w:rsid w:val="0033203B"/>
    <w:rsid w:val="00333052"/>
    <w:rsid w:val="003363F7"/>
    <w:rsid w:val="00336AB2"/>
    <w:rsid w:val="00337B53"/>
    <w:rsid w:val="003413B7"/>
    <w:rsid w:val="0034142E"/>
    <w:rsid w:val="00341A60"/>
    <w:rsid w:val="00342883"/>
    <w:rsid w:val="00342ACA"/>
    <w:rsid w:val="003434A3"/>
    <w:rsid w:val="0034396E"/>
    <w:rsid w:val="00344EFF"/>
    <w:rsid w:val="00345D59"/>
    <w:rsid w:val="00346EF5"/>
    <w:rsid w:val="00347AD0"/>
    <w:rsid w:val="00350377"/>
    <w:rsid w:val="00350597"/>
    <w:rsid w:val="00351740"/>
    <w:rsid w:val="00352439"/>
    <w:rsid w:val="003549B3"/>
    <w:rsid w:val="00355BCE"/>
    <w:rsid w:val="00357F8B"/>
    <w:rsid w:val="0036074B"/>
    <w:rsid w:val="00361213"/>
    <w:rsid w:val="00361ED5"/>
    <w:rsid w:val="003634A0"/>
    <w:rsid w:val="0036364F"/>
    <w:rsid w:val="00365FC4"/>
    <w:rsid w:val="003675C5"/>
    <w:rsid w:val="003715C7"/>
    <w:rsid w:val="003717C4"/>
    <w:rsid w:val="00373170"/>
    <w:rsid w:val="00373DDB"/>
    <w:rsid w:val="00374E8F"/>
    <w:rsid w:val="00375E65"/>
    <w:rsid w:val="00376DA8"/>
    <w:rsid w:val="003779E8"/>
    <w:rsid w:val="00380D3B"/>
    <w:rsid w:val="003823F5"/>
    <w:rsid w:val="00382E00"/>
    <w:rsid w:val="0038347D"/>
    <w:rsid w:val="00383BA0"/>
    <w:rsid w:val="0038404B"/>
    <w:rsid w:val="0038408A"/>
    <w:rsid w:val="0038523E"/>
    <w:rsid w:val="003858B0"/>
    <w:rsid w:val="0038594B"/>
    <w:rsid w:val="00386020"/>
    <w:rsid w:val="00386067"/>
    <w:rsid w:val="00386A8F"/>
    <w:rsid w:val="00386BE2"/>
    <w:rsid w:val="003870AC"/>
    <w:rsid w:val="003873B3"/>
    <w:rsid w:val="00391401"/>
    <w:rsid w:val="00392B9A"/>
    <w:rsid w:val="00392DD3"/>
    <w:rsid w:val="003930AF"/>
    <w:rsid w:val="003936FD"/>
    <w:rsid w:val="003948D3"/>
    <w:rsid w:val="003A0880"/>
    <w:rsid w:val="003A0D0C"/>
    <w:rsid w:val="003A1852"/>
    <w:rsid w:val="003A221C"/>
    <w:rsid w:val="003A296F"/>
    <w:rsid w:val="003A2B52"/>
    <w:rsid w:val="003A348C"/>
    <w:rsid w:val="003A39B1"/>
    <w:rsid w:val="003A4904"/>
    <w:rsid w:val="003A551D"/>
    <w:rsid w:val="003A5EEF"/>
    <w:rsid w:val="003A6429"/>
    <w:rsid w:val="003A6DEE"/>
    <w:rsid w:val="003B0247"/>
    <w:rsid w:val="003B02D0"/>
    <w:rsid w:val="003B2B65"/>
    <w:rsid w:val="003B3199"/>
    <w:rsid w:val="003B329E"/>
    <w:rsid w:val="003B44D0"/>
    <w:rsid w:val="003B515F"/>
    <w:rsid w:val="003B5A19"/>
    <w:rsid w:val="003B6C06"/>
    <w:rsid w:val="003C067E"/>
    <w:rsid w:val="003C1E51"/>
    <w:rsid w:val="003C213A"/>
    <w:rsid w:val="003C4E00"/>
    <w:rsid w:val="003C675E"/>
    <w:rsid w:val="003C695B"/>
    <w:rsid w:val="003D0067"/>
    <w:rsid w:val="003D007D"/>
    <w:rsid w:val="003D06F9"/>
    <w:rsid w:val="003D2133"/>
    <w:rsid w:val="003D2617"/>
    <w:rsid w:val="003D2CED"/>
    <w:rsid w:val="003D3675"/>
    <w:rsid w:val="003D4A89"/>
    <w:rsid w:val="003D51FE"/>
    <w:rsid w:val="003D560E"/>
    <w:rsid w:val="003D6FAF"/>
    <w:rsid w:val="003E01C9"/>
    <w:rsid w:val="003E0837"/>
    <w:rsid w:val="003E16AA"/>
    <w:rsid w:val="003E212C"/>
    <w:rsid w:val="003E257E"/>
    <w:rsid w:val="003E3378"/>
    <w:rsid w:val="003E4072"/>
    <w:rsid w:val="003E46E3"/>
    <w:rsid w:val="003E4DB5"/>
    <w:rsid w:val="003E5616"/>
    <w:rsid w:val="003E6525"/>
    <w:rsid w:val="003E7AD9"/>
    <w:rsid w:val="003E7D43"/>
    <w:rsid w:val="003F007C"/>
    <w:rsid w:val="003F06BA"/>
    <w:rsid w:val="003F084B"/>
    <w:rsid w:val="003F0A78"/>
    <w:rsid w:val="003F13C3"/>
    <w:rsid w:val="003F19EA"/>
    <w:rsid w:val="003F2BCB"/>
    <w:rsid w:val="003F31FE"/>
    <w:rsid w:val="003F3B46"/>
    <w:rsid w:val="003F3C75"/>
    <w:rsid w:val="003F414E"/>
    <w:rsid w:val="003F4473"/>
    <w:rsid w:val="003F49B6"/>
    <w:rsid w:val="003F52C0"/>
    <w:rsid w:val="003F56D6"/>
    <w:rsid w:val="003F6AF1"/>
    <w:rsid w:val="003F6CAF"/>
    <w:rsid w:val="003F6D16"/>
    <w:rsid w:val="003F6FDA"/>
    <w:rsid w:val="003F744D"/>
    <w:rsid w:val="003F7D09"/>
    <w:rsid w:val="00400130"/>
    <w:rsid w:val="00400280"/>
    <w:rsid w:val="004034D4"/>
    <w:rsid w:val="00403919"/>
    <w:rsid w:val="00403975"/>
    <w:rsid w:val="00403C6A"/>
    <w:rsid w:val="00404403"/>
    <w:rsid w:val="00404F12"/>
    <w:rsid w:val="00406333"/>
    <w:rsid w:val="00406415"/>
    <w:rsid w:val="00406BB9"/>
    <w:rsid w:val="00406CC1"/>
    <w:rsid w:val="00410018"/>
    <w:rsid w:val="00410136"/>
    <w:rsid w:val="00411638"/>
    <w:rsid w:val="00411734"/>
    <w:rsid w:val="004126FB"/>
    <w:rsid w:val="004128CC"/>
    <w:rsid w:val="00412CA2"/>
    <w:rsid w:val="004142F6"/>
    <w:rsid w:val="00414936"/>
    <w:rsid w:val="004149EB"/>
    <w:rsid w:val="00416099"/>
    <w:rsid w:val="00416220"/>
    <w:rsid w:val="00416770"/>
    <w:rsid w:val="00417D32"/>
    <w:rsid w:val="0042163B"/>
    <w:rsid w:val="0042236E"/>
    <w:rsid w:val="00422394"/>
    <w:rsid w:val="00425563"/>
    <w:rsid w:val="00425EE1"/>
    <w:rsid w:val="00425F08"/>
    <w:rsid w:val="004263DD"/>
    <w:rsid w:val="00426C70"/>
    <w:rsid w:val="00430393"/>
    <w:rsid w:val="00430395"/>
    <w:rsid w:val="00430D0C"/>
    <w:rsid w:val="00431222"/>
    <w:rsid w:val="0043240A"/>
    <w:rsid w:val="0043510F"/>
    <w:rsid w:val="00435AE3"/>
    <w:rsid w:val="00436D4E"/>
    <w:rsid w:val="0044063E"/>
    <w:rsid w:val="00440E1F"/>
    <w:rsid w:val="0044136F"/>
    <w:rsid w:val="004423A7"/>
    <w:rsid w:val="00442897"/>
    <w:rsid w:val="0044314B"/>
    <w:rsid w:val="004432A0"/>
    <w:rsid w:val="004432FB"/>
    <w:rsid w:val="00443F3D"/>
    <w:rsid w:val="00444299"/>
    <w:rsid w:val="00445B9B"/>
    <w:rsid w:val="00446265"/>
    <w:rsid w:val="0044681C"/>
    <w:rsid w:val="00447C1D"/>
    <w:rsid w:val="0045091D"/>
    <w:rsid w:val="00452A16"/>
    <w:rsid w:val="0045526B"/>
    <w:rsid w:val="00456876"/>
    <w:rsid w:val="00457D9F"/>
    <w:rsid w:val="00460EC6"/>
    <w:rsid w:val="00461E9D"/>
    <w:rsid w:val="00463965"/>
    <w:rsid w:val="0046472A"/>
    <w:rsid w:val="0046569F"/>
    <w:rsid w:val="00467198"/>
    <w:rsid w:val="004672D4"/>
    <w:rsid w:val="00467859"/>
    <w:rsid w:val="00467CD3"/>
    <w:rsid w:val="004700FC"/>
    <w:rsid w:val="00473EDD"/>
    <w:rsid w:val="0047424F"/>
    <w:rsid w:val="004765EE"/>
    <w:rsid w:val="00476D48"/>
    <w:rsid w:val="00483932"/>
    <w:rsid w:val="00484767"/>
    <w:rsid w:val="004847F0"/>
    <w:rsid w:val="00484AB0"/>
    <w:rsid w:val="004855D1"/>
    <w:rsid w:val="0048623A"/>
    <w:rsid w:val="00486280"/>
    <w:rsid w:val="004911C2"/>
    <w:rsid w:val="00491D83"/>
    <w:rsid w:val="00492875"/>
    <w:rsid w:val="00492B9F"/>
    <w:rsid w:val="004930E7"/>
    <w:rsid w:val="0049342B"/>
    <w:rsid w:val="00493CB7"/>
    <w:rsid w:val="00493CFE"/>
    <w:rsid w:val="0049425E"/>
    <w:rsid w:val="00494AEB"/>
    <w:rsid w:val="00496DF0"/>
    <w:rsid w:val="004973EA"/>
    <w:rsid w:val="00497545"/>
    <w:rsid w:val="00497EFC"/>
    <w:rsid w:val="004A062D"/>
    <w:rsid w:val="004A0937"/>
    <w:rsid w:val="004A0F5D"/>
    <w:rsid w:val="004A3125"/>
    <w:rsid w:val="004A3F7D"/>
    <w:rsid w:val="004A4255"/>
    <w:rsid w:val="004A5C54"/>
    <w:rsid w:val="004A60B3"/>
    <w:rsid w:val="004A632D"/>
    <w:rsid w:val="004A680B"/>
    <w:rsid w:val="004A78E0"/>
    <w:rsid w:val="004A79B5"/>
    <w:rsid w:val="004B29D2"/>
    <w:rsid w:val="004B2E2F"/>
    <w:rsid w:val="004B2F93"/>
    <w:rsid w:val="004B381B"/>
    <w:rsid w:val="004B4591"/>
    <w:rsid w:val="004B4EAB"/>
    <w:rsid w:val="004B5022"/>
    <w:rsid w:val="004B5294"/>
    <w:rsid w:val="004B55FE"/>
    <w:rsid w:val="004B6DF3"/>
    <w:rsid w:val="004B6F6E"/>
    <w:rsid w:val="004B70B2"/>
    <w:rsid w:val="004B7678"/>
    <w:rsid w:val="004B779A"/>
    <w:rsid w:val="004C106B"/>
    <w:rsid w:val="004C3A13"/>
    <w:rsid w:val="004C3AE0"/>
    <w:rsid w:val="004C3C1F"/>
    <w:rsid w:val="004C4593"/>
    <w:rsid w:val="004C55CD"/>
    <w:rsid w:val="004C6A31"/>
    <w:rsid w:val="004C76AA"/>
    <w:rsid w:val="004C77BF"/>
    <w:rsid w:val="004D35DA"/>
    <w:rsid w:val="004D4D0D"/>
    <w:rsid w:val="004D513F"/>
    <w:rsid w:val="004D69AF"/>
    <w:rsid w:val="004D6D36"/>
    <w:rsid w:val="004D7090"/>
    <w:rsid w:val="004D7CA7"/>
    <w:rsid w:val="004E0C1A"/>
    <w:rsid w:val="004E0DB7"/>
    <w:rsid w:val="004E1149"/>
    <w:rsid w:val="004E2873"/>
    <w:rsid w:val="004E3157"/>
    <w:rsid w:val="004E4D21"/>
    <w:rsid w:val="004E4DBD"/>
    <w:rsid w:val="004E5915"/>
    <w:rsid w:val="004E5CE0"/>
    <w:rsid w:val="004E5D0D"/>
    <w:rsid w:val="004E615B"/>
    <w:rsid w:val="004E63B2"/>
    <w:rsid w:val="004E66BC"/>
    <w:rsid w:val="004E67A0"/>
    <w:rsid w:val="004E6DB4"/>
    <w:rsid w:val="004F0F8D"/>
    <w:rsid w:val="004F1C42"/>
    <w:rsid w:val="004F1E28"/>
    <w:rsid w:val="004F2437"/>
    <w:rsid w:val="004F263E"/>
    <w:rsid w:val="004F2F00"/>
    <w:rsid w:val="004F670F"/>
    <w:rsid w:val="004F7517"/>
    <w:rsid w:val="004F7BD6"/>
    <w:rsid w:val="00500473"/>
    <w:rsid w:val="00500702"/>
    <w:rsid w:val="005012D2"/>
    <w:rsid w:val="00503EA9"/>
    <w:rsid w:val="0050456B"/>
    <w:rsid w:val="00506B90"/>
    <w:rsid w:val="00507FAC"/>
    <w:rsid w:val="00510AE2"/>
    <w:rsid w:val="00511C82"/>
    <w:rsid w:val="00512065"/>
    <w:rsid w:val="005144D2"/>
    <w:rsid w:val="00514FDF"/>
    <w:rsid w:val="0051513D"/>
    <w:rsid w:val="0051649A"/>
    <w:rsid w:val="0051655D"/>
    <w:rsid w:val="005203BB"/>
    <w:rsid w:val="00520FCF"/>
    <w:rsid w:val="0052129F"/>
    <w:rsid w:val="00521385"/>
    <w:rsid w:val="005216DF"/>
    <w:rsid w:val="005218A6"/>
    <w:rsid w:val="00521F4A"/>
    <w:rsid w:val="005228F3"/>
    <w:rsid w:val="0052319D"/>
    <w:rsid w:val="005246A9"/>
    <w:rsid w:val="00524C29"/>
    <w:rsid w:val="00525BDC"/>
    <w:rsid w:val="005265F4"/>
    <w:rsid w:val="0052661B"/>
    <w:rsid w:val="0052757C"/>
    <w:rsid w:val="00527944"/>
    <w:rsid w:val="00527EEC"/>
    <w:rsid w:val="005302C9"/>
    <w:rsid w:val="0053133B"/>
    <w:rsid w:val="00531AF5"/>
    <w:rsid w:val="0053214C"/>
    <w:rsid w:val="00532DC9"/>
    <w:rsid w:val="00533C6F"/>
    <w:rsid w:val="00534770"/>
    <w:rsid w:val="00534CFB"/>
    <w:rsid w:val="0053603D"/>
    <w:rsid w:val="005363A9"/>
    <w:rsid w:val="00541585"/>
    <w:rsid w:val="005420BD"/>
    <w:rsid w:val="00542678"/>
    <w:rsid w:val="00542B01"/>
    <w:rsid w:val="00542C87"/>
    <w:rsid w:val="00543DCB"/>
    <w:rsid w:val="00543E0F"/>
    <w:rsid w:val="00544B10"/>
    <w:rsid w:val="00544CB9"/>
    <w:rsid w:val="00545037"/>
    <w:rsid w:val="0054510A"/>
    <w:rsid w:val="00545115"/>
    <w:rsid w:val="0054529E"/>
    <w:rsid w:val="00551104"/>
    <w:rsid w:val="0055148C"/>
    <w:rsid w:val="005519D7"/>
    <w:rsid w:val="005521BE"/>
    <w:rsid w:val="00553B3B"/>
    <w:rsid w:val="00553D6B"/>
    <w:rsid w:val="005549DE"/>
    <w:rsid w:val="005552CC"/>
    <w:rsid w:val="00557589"/>
    <w:rsid w:val="005578C9"/>
    <w:rsid w:val="00560866"/>
    <w:rsid w:val="00560F94"/>
    <w:rsid w:val="005618EF"/>
    <w:rsid w:val="00565603"/>
    <w:rsid w:val="00565883"/>
    <w:rsid w:val="00566059"/>
    <w:rsid w:val="00571532"/>
    <w:rsid w:val="00573CC9"/>
    <w:rsid w:val="00574119"/>
    <w:rsid w:val="00574AFA"/>
    <w:rsid w:val="00574BDC"/>
    <w:rsid w:val="00574FAC"/>
    <w:rsid w:val="0057764F"/>
    <w:rsid w:val="00577F0B"/>
    <w:rsid w:val="00577F2E"/>
    <w:rsid w:val="00580BBE"/>
    <w:rsid w:val="00581B1C"/>
    <w:rsid w:val="00581FC8"/>
    <w:rsid w:val="00582255"/>
    <w:rsid w:val="0058231A"/>
    <w:rsid w:val="00583FF2"/>
    <w:rsid w:val="00584026"/>
    <w:rsid w:val="00585122"/>
    <w:rsid w:val="0058514E"/>
    <w:rsid w:val="005869C4"/>
    <w:rsid w:val="00587C0E"/>
    <w:rsid w:val="00587DF7"/>
    <w:rsid w:val="0059056C"/>
    <w:rsid w:val="00590EBD"/>
    <w:rsid w:val="00591138"/>
    <w:rsid w:val="00591CE1"/>
    <w:rsid w:val="0059436E"/>
    <w:rsid w:val="005970A8"/>
    <w:rsid w:val="005979C2"/>
    <w:rsid w:val="005A0EF9"/>
    <w:rsid w:val="005A2D81"/>
    <w:rsid w:val="005A4576"/>
    <w:rsid w:val="005A4D38"/>
    <w:rsid w:val="005A5962"/>
    <w:rsid w:val="005A5BF0"/>
    <w:rsid w:val="005A7065"/>
    <w:rsid w:val="005A7506"/>
    <w:rsid w:val="005B022A"/>
    <w:rsid w:val="005B0ADA"/>
    <w:rsid w:val="005B0FD9"/>
    <w:rsid w:val="005B1366"/>
    <w:rsid w:val="005B1A22"/>
    <w:rsid w:val="005B1D3C"/>
    <w:rsid w:val="005B1F9C"/>
    <w:rsid w:val="005B218A"/>
    <w:rsid w:val="005B2D72"/>
    <w:rsid w:val="005B30A5"/>
    <w:rsid w:val="005B5105"/>
    <w:rsid w:val="005B5661"/>
    <w:rsid w:val="005B5D8D"/>
    <w:rsid w:val="005B5EDF"/>
    <w:rsid w:val="005C1481"/>
    <w:rsid w:val="005C1511"/>
    <w:rsid w:val="005C1E28"/>
    <w:rsid w:val="005C2DFE"/>
    <w:rsid w:val="005C3281"/>
    <w:rsid w:val="005C389C"/>
    <w:rsid w:val="005C46CF"/>
    <w:rsid w:val="005C55E4"/>
    <w:rsid w:val="005C61FD"/>
    <w:rsid w:val="005C7A41"/>
    <w:rsid w:val="005D1B19"/>
    <w:rsid w:val="005D2FDE"/>
    <w:rsid w:val="005D342E"/>
    <w:rsid w:val="005D4CBB"/>
    <w:rsid w:val="005D5069"/>
    <w:rsid w:val="005D5247"/>
    <w:rsid w:val="005D59B6"/>
    <w:rsid w:val="005D610D"/>
    <w:rsid w:val="005D6319"/>
    <w:rsid w:val="005D65AD"/>
    <w:rsid w:val="005D69B2"/>
    <w:rsid w:val="005E0FE1"/>
    <w:rsid w:val="005E3E3A"/>
    <w:rsid w:val="005E4357"/>
    <w:rsid w:val="005E4AF2"/>
    <w:rsid w:val="005E5BEF"/>
    <w:rsid w:val="005E5F5D"/>
    <w:rsid w:val="005F0714"/>
    <w:rsid w:val="005F16FA"/>
    <w:rsid w:val="005F1D03"/>
    <w:rsid w:val="005F3CA2"/>
    <w:rsid w:val="005F5858"/>
    <w:rsid w:val="005F6964"/>
    <w:rsid w:val="005F7AB7"/>
    <w:rsid w:val="00600099"/>
    <w:rsid w:val="00600985"/>
    <w:rsid w:val="006017F4"/>
    <w:rsid w:val="00601A19"/>
    <w:rsid w:val="00602061"/>
    <w:rsid w:val="00602B2C"/>
    <w:rsid w:val="0060359A"/>
    <w:rsid w:val="0060460B"/>
    <w:rsid w:val="00604ED6"/>
    <w:rsid w:val="00605851"/>
    <w:rsid w:val="00606935"/>
    <w:rsid w:val="00606A46"/>
    <w:rsid w:val="00611D0E"/>
    <w:rsid w:val="006127E7"/>
    <w:rsid w:val="00612C56"/>
    <w:rsid w:val="0061354D"/>
    <w:rsid w:val="00613BA1"/>
    <w:rsid w:val="006140C3"/>
    <w:rsid w:val="0061554F"/>
    <w:rsid w:val="00617FEF"/>
    <w:rsid w:val="00620620"/>
    <w:rsid w:val="00622211"/>
    <w:rsid w:val="006239F8"/>
    <w:rsid w:val="006244E3"/>
    <w:rsid w:val="00624CA4"/>
    <w:rsid w:val="00624F65"/>
    <w:rsid w:val="00625E3D"/>
    <w:rsid w:val="00627F6A"/>
    <w:rsid w:val="00630215"/>
    <w:rsid w:val="00630367"/>
    <w:rsid w:val="006309D5"/>
    <w:rsid w:val="00630BF0"/>
    <w:rsid w:val="00630C13"/>
    <w:rsid w:val="00631114"/>
    <w:rsid w:val="00631CA5"/>
    <w:rsid w:val="00632C6E"/>
    <w:rsid w:val="0063305E"/>
    <w:rsid w:val="00636ED8"/>
    <w:rsid w:val="006405F6"/>
    <w:rsid w:val="0064074B"/>
    <w:rsid w:val="00641C1A"/>
    <w:rsid w:val="00641E45"/>
    <w:rsid w:val="00642EAD"/>
    <w:rsid w:val="00644111"/>
    <w:rsid w:val="00644E67"/>
    <w:rsid w:val="00644FC5"/>
    <w:rsid w:val="00645EFD"/>
    <w:rsid w:val="0064602F"/>
    <w:rsid w:val="006474A9"/>
    <w:rsid w:val="00650A0A"/>
    <w:rsid w:val="00650DB2"/>
    <w:rsid w:val="00651206"/>
    <w:rsid w:val="00651BD4"/>
    <w:rsid w:val="0065221C"/>
    <w:rsid w:val="00655A2B"/>
    <w:rsid w:val="00655A86"/>
    <w:rsid w:val="00656643"/>
    <w:rsid w:val="00657457"/>
    <w:rsid w:val="00660705"/>
    <w:rsid w:val="00663BA0"/>
    <w:rsid w:val="00663E95"/>
    <w:rsid w:val="00664A72"/>
    <w:rsid w:val="00670510"/>
    <w:rsid w:val="00670CF1"/>
    <w:rsid w:val="0067126F"/>
    <w:rsid w:val="00671D13"/>
    <w:rsid w:val="00672825"/>
    <w:rsid w:val="00672E87"/>
    <w:rsid w:val="00673E10"/>
    <w:rsid w:val="00675261"/>
    <w:rsid w:val="00676279"/>
    <w:rsid w:val="00676669"/>
    <w:rsid w:val="00676796"/>
    <w:rsid w:val="00676C23"/>
    <w:rsid w:val="0067778F"/>
    <w:rsid w:val="00677ABB"/>
    <w:rsid w:val="00677B1E"/>
    <w:rsid w:val="00677FA2"/>
    <w:rsid w:val="0068105E"/>
    <w:rsid w:val="00681315"/>
    <w:rsid w:val="00683918"/>
    <w:rsid w:val="006847EF"/>
    <w:rsid w:val="0068529F"/>
    <w:rsid w:val="00686042"/>
    <w:rsid w:val="006870DD"/>
    <w:rsid w:val="00687F42"/>
    <w:rsid w:val="00690708"/>
    <w:rsid w:val="0069074B"/>
    <w:rsid w:val="00691046"/>
    <w:rsid w:val="006917F7"/>
    <w:rsid w:val="00691CE5"/>
    <w:rsid w:val="006946A3"/>
    <w:rsid w:val="00695B61"/>
    <w:rsid w:val="0069657A"/>
    <w:rsid w:val="0069779F"/>
    <w:rsid w:val="006A0487"/>
    <w:rsid w:val="006A1072"/>
    <w:rsid w:val="006A1C48"/>
    <w:rsid w:val="006A1FB1"/>
    <w:rsid w:val="006A3507"/>
    <w:rsid w:val="006A3DBC"/>
    <w:rsid w:val="006A40B2"/>
    <w:rsid w:val="006A52F7"/>
    <w:rsid w:val="006A56B8"/>
    <w:rsid w:val="006A5D33"/>
    <w:rsid w:val="006A6BAF"/>
    <w:rsid w:val="006A7EE6"/>
    <w:rsid w:val="006B0A8C"/>
    <w:rsid w:val="006B28BB"/>
    <w:rsid w:val="006B469F"/>
    <w:rsid w:val="006B4CD9"/>
    <w:rsid w:val="006B560A"/>
    <w:rsid w:val="006B5D2F"/>
    <w:rsid w:val="006B7812"/>
    <w:rsid w:val="006B7EFC"/>
    <w:rsid w:val="006C14B3"/>
    <w:rsid w:val="006C1BB0"/>
    <w:rsid w:val="006C5107"/>
    <w:rsid w:val="006C53A7"/>
    <w:rsid w:val="006C5D6B"/>
    <w:rsid w:val="006C6312"/>
    <w:rsid w:val="006C6948"/>
    <w:rsid w:val="006C6F94"/>
    <w:rsid w:val="006D004A"/>
    <w:rsid w:val="006D1774"/>
    <w:rsid w:val="006D194F"/>
    <w:rsid w:val="006D1AF8"/>
    <w:rsid w:val="006D241F"/>
    <w:rsid w:val="006D2772"/>
    <w:rsid w:val="006D311F"/>
    <w:rsid w:val="006D34CB"/>
    <w:rsid w:val="006D426B"/>
    <w:rsid w:val="006D4322"/>
    <w:rsid w:val="006D51BD"/>
    <w:rsid w:val="006D679B"/>
    <w:rsid w:val="006D6CAA"/>
    <w:rsid w:val="006D6FEB"/>
    <w:rsid w:val="006D7A25"/>
    <w:rsid w:val="006E1760"/>
    <w:rsid w:val="006E1AC5"/>
    <w:rsid w:val="006E285F"/>
    <w:rsid w:val="006E387B"/>
    <w:rsid w:val="006E4C91"/>
    <w:rsid w:val="006E549E"/>
    <w:rsid w:val="006E6029"/>
    <w:rsid w:val="006E68C5"/>
    <w:rsid w:val="006E6DDB"/>
    <w:rsid w:val="006E6EDB"/>
    <w:rsid w:val="006E70D4"/>
    <w:rsid w:val="006E7C11"/>
    <w:rsid w:val="006E7D27"/>
    <w:rsid w:val="006F060C"/>
    <w:rsid w:val="006F0DC7"/>
    <w:rsid w:val="006F1256"/>
    <w:rsid w:val="006F1595"/>
    <w:rsid w:val="006F1FA1"/>
    <w:rsid w:val="006F3045"/>
    <w:rsid w:val="006F3344"/>
    <w:rsid w:val="006F3A42"/>
    <w:rsid w:val="006F5683"/>
    <w:rsid w:val="006F5D77"/>
    <w:rsid w:val="006F6CED"/>
    <w:rsid w:val="007002BD"/>
    <w:rsid w:val="00702144"/>
    <w:rsid w:val="0070219E"/>
    <w:rsid w:val="0070236C"/>
    <w:rsid w:val="0070242B"/>
    <w:rsid w:val="00703853"/>
    <w:rsid w:val="00703858"/>
    <w:rsid w:val="007041DC"/>
    <w:rsid w:val="007047FF"/>
    <w:rsid w:val="00704A7C"/>
    <w:rsid w:val="00705104"/>
    <w:rsid w:val="00705368"/>
    <w:rsid w:val="0070540B"/>
    <w:rsid w:val="007056B4"/>
    <w:rsid w:val="0070575F"/>
    <w:rsid w:val="0070642E"/>
    <w:rsid w:val="007065D3"/>
    <w:rsid w:val="0070776B"/>
    <w:rsid w:val="007103B3"/>
    <w:rsid w:val="00710E8F"/>
    <w:rsid w:val="007122FE"/>
    <w:rsid w:val="007123A3"/>
    <w:rsid w:val="007125E6"/>
    <w:rsid w:val="007129A4"/>
    <w:rsid w:val="00712B3E"/>
    <w:rsid w:val="00712B4B"/>
    <w:rsid w:val="00713056"/>
    <w:rsid w:val="00713754"/>
    <w:rsid w:val="00714234"/>
    <w:rsid w:val="0071505B"/>
    <w:rsid w:val="00715DDD"/>
    <w:rsid w:val="007203DD"/>
    <w:rsid w:val="00721066"/>
    <w:rsid w:val="0072308F"/>
    <w:rsid w:val="00725447"/>
    <w:rsid w:val="00725642"/>
    <w:rsid w:val="0072589E"/>
    <w:rsid w:val="007269AD"/>
    <w:rsid w:val="007272B5"/>
    <w:rsid w:val="007305F0"/>
    <w:rsid w:val="00732EB4"/>
    <w:rsid w:val="00734033"/>
    <w:rsid w:val="0073417E"/>
    <w:rsid w:val="00734F88"/>
    <w:rsid w:val="00735155"/>
    <w:rsid w:val="007352E1"/>
    <w:rsid w:val="00735555"/>
    <w:rsid w:val="00735798"/>
    <w:rsid w:val="00735B17"/>
    <w:rsid w:val="00736BAF"/>
    <w:rsid w:val="00737032"/>
    <w:rsid w:val="00737BE8"/>
    <w:rsid w:val="00740B80"/>
    <w:rsid w:val="00742D4E"/>
    <w:rsid w:val="00743F20"/>
    <w:rsid w:val="007443D1"/>
    <w:rsid w:val="007452E9"/>
    <w:rsid w:val="00745B08"/>
    <w:rsid w:val="007460FC"/>
    <w:rsid w:val="0074633F"/>
    <w:rsid w:val="007469C5"/>
    <w:rsid w:val="00750C48"/>
    <w:rsid w:val="007511AC"/>
    <w:rsid w:val="00751549"/>
    <w:rsid w:val="0075188F"/>
    <w:rsid w:val="00751D4C"/>
    <w:rsid w:val="00753056"/>
    <w:rsid w:val="007534FA"/>
    <w:rsid w:val="0075383D"/>
    <w:rsid w:val="00753ED2"/>
    <w:rsid w:val="00754776"/>
    <w:rsid w:val="007547B0"/>
    <w:rsid w:val="00754F68"/>
    <w:rsid w:val="0075676D"/>
    <w:rsid w:val="00757AF4"/>
    <w:rsid w:val="0076042F"/>
    <w:rsid w:val="00760B42"/>
    <w:rsid w:val="00761208"/>
    <w:rsid w:val="0076147F"/>
    <w:rsid w:val="00762BF5"/>
    <w:rsid w:val="00762F96"/>
    <w:rsid w:val="00763324"/>
    <w:rsid w:val="00763769"/>
    <w:rsid w:val="00765E69"/>
    <w:rsid w:val="00766752"/>
    <w:rsid w:val="00766908"/>
    <w:rsid w:val="00767D8B"/>
    <w:rsid w:val="00767E68"/>
    <w:rsid w:val="0077029F"/>
    <w:rsid w:val="0077367F"/>
    <w:rsid w:val="007744F1"/>
    <w:rsid w:val="007746C0"/>
    <w:rsid w:val="00774A40"/>
    <w:rsid w:val="00775030"/>
    <w:rsid w:val="007751EF"/>
    <w:rsid w:val="007801AE"/>
    <w:rsid w:val="00780260"/>
    <w:rsid w:val="007809B2"/>
    <w:rsid w:val="00781D95"/>
    <w:rsid w:val="00781FA7"/>
    <w:rsid w:val="007836EF"/>
    <w:rsid w:val="00783C91"/>
    <w:rsid w:val="007842AB"/>
    <w:rsid w:val="00784EC0"/>
    <w:rsid w:val="00785D5F"/>
    <w:rsid w:val="00785FD3"/>
    <w:rsid w:val="007863AD"/>
    <w:rsid w:val="007865EA"/>
    <w:rsid w:val="00786C5E"/>
    <w:rsid w:val="00786F4D"/>
    <w:rsid w:val="00787E5D"/>
    <w:rsid w:val="007911E3"/>
    <w:rsid w:val="007913BD"/>
    <w:rsid w:val="007921EB"/>
    <w:rsid w:val="00792FA5"/>
    <w:rsid w:val="00793514"/>
    <w:rsid w:val="0079356E"/>
    <w:rsid w:val="0079373F"/>
    <w:rsid w:val="0079437E"/>
    <w:rsid w:val="0079444C"/>
    <w:rsid w:val="00794D42"/>
    <w:rsid w:val="00796A17"/>
    <w:rsid w:val="0079720F"/>
    <w:rsid w:val="00797311"/>
    <w:rsid w:val="007A215F"/>
    <w:rsid w:val="007A25ED"/>
    <w:rsid w:val="007A2E65"/>
    <w:rsid w:val="007A3490"/>
    <w:rsid w:val="007A37A3"/>
    <w:rsid w:val="007A422D"/>
    <w:rsid w:val="007A4367"/>
    <w:rsid w:val="007A54AF"/>
    <w:rsid w:val="007A560A"/>
    <w:rsid w:val="007A5827"/>
    <w:rsid w:val="007A7337"/>
    <w:rsid w:val="007A767F"/>
    <w:rsid w:val="007B03C0"/>
    <w:rsid w:val="007B06D9"/>
    <w:rsid w:val="007B0EE8"/>
    <w:rsid w:val="007B15FE"/>
    <w:rsid w:val="007B1DD6"/>
    <w:rsid w:val="007B31D6"/>
    <w:rsid w:val="007B36DF"/>
    <w:rsid w:val="007B56AC"/>
    <w:rsid w:val="007B78BF"/>
    <w:rsid w:val="007B7E37"/>
    <w:rsid w:val="007C0261"/>
    <w:rsid w:val="007C0803"/>
    <w:rsid w:val="007C3061"/>
    <w:rsid w:val="007C37AA"/>
    <w:rsid w:val="007C3B9E"/>
    <w:rsid w:val="007C3EE4"/>
    <w:rsid w:val="007C41DD"/>
    <w:rsid w:val="007C48FF"/>
    <w:rsid w:val="007C4A92"/>
    <w:rsid w:val="007C579C"/>
    <w:rsid w:val="007C6CAE"/>
    <w:rsid w:val="007D2F12"/>
    <w:rsid w:val="007D37B1"/>
    <w:rsid w:val="007D49CE"/>
    <w:rsid w:val="007D4BB8"/>
    <w:rsid w:val="007D4BD5"/>
    <w:rsid w:val="007D66A2"/>
    <w:rsid w:val="007D7598"/>
    <w:rsid w:val="007E35B8"/>
    <w:rsid w:val="007E37FC"/>
    <w:rsid w:val="007E43F9"/>
    <w:rsid w:val="007E4663"/>
    <w:rsid w:val="007E4DF4"/>
    <w:rsid w:val="007E57A9"/>
    <w:rsid w:val="007E5AA9"/>
    <w:rsid w:val="007E5C61"/>
    <w:rsid w:val="007E5DFA"/>
    <w:rsid w:val="007E676A"/>
    <w:rsid w:val="007F0AE7"/>
    <w:rsid w:val="007F1651"/>
    <w:rsid w:val="007F3F63"/>
    <w:rsid w:val="007F486A"/>
    <w:rsid w:val="007F4F3A"/>
    <w:rsid w:val="007F50B2"/>
    <w:rsid w:val="007F55EA"/>
    <w:rsid w:val="007F741E"/>
    <w:rsid w:val="007F7706"/>
    <w:rsid w:val="0080005F"/>
    <w:rsid w:val="008018FE"/>
    <w:rsid w:val="00803C48"/>
    <w:rsid w:val="008045AE"/>
    <w:rsid w:val="00804675"/>
    <w:rsid w:val="008048DF"/>
    <w:rsid w:val="00804C9B"/>
    <w:rsid w:val="00804D43"/>
    <w:rsid w:val="00806236"/>
    <w:rsid w:val="00806E0C"/>
    <w:rsid w:val="00810B67"/>
    <w:rsid w:val="00812B97"/>
    <w:rsid w:val="00813BA9"/>
    <w:rsid w:val="00815632"/>
    <w:rsid w:val="00816872"/>
    <w:rsid w:val="0081698F"/>
    <w:rsid w:val="00817748"/>
    <w:rsid w:val="008200CA"/>
    <w:rsid w:val="0082052A"/>
    <w:rsid w:val="0082109B"/>
    <w:rsid w:val="00821110"/>
    <w:rsid w:val="00821F16"/>
    <w:rsid w:val="008224AD"/>
    <w:rsid w:val="008241C2"/>
    <w:rsid w:val="0082429A"/>
    <w:rsid w:val="00824662"/>
    <w:rsid w:val="00824C17"/>
    <w:rsid w:val="0082543E"/>
    <w:rsid w:val="00825639"/>
    <w:rsid w:val="008262BE"/>
    <w:rsid w:val="00827212"/>
    <w:rsid w:val="00830912"/>
    <w:rsid w:val="00830C44"/>
    <w:rsid w:val="008346D1"/>
    <w:rsid w:val="0083562C"/>
    <w:rsid w:val="008358F9"/>
    <w:rsid w:val="00835CC8"/>
    <w:rsid w:val="0083620D"/>
    <w:rsid w:val="008365D7"/>
    <w:rsid w:val="008379C4"/>
    <w:rsid w:val="00840802"/>
    <w:rsid w:val="00840F53"/>
    <w:rsid w:val="00841224"/>
    <w:rsid w:val="00842C38"/>
    <w:rsid w:val="008432A5"/>
    <w:rsid w:val="00843569"/>
    <w:rsid w:val="008439D8"/>
    <w:rsid w:val="0084498E"/>
    <w:rsid w:val="00844ED2"/>
    <w:rsid w:val="008507D7"/>
    <w:rsid w:val="00851089"/>
    <w:rsid w:val="0085138F"/>
    <w:rsid w:val="008516EB"/>
    <w:rsid w:val="00852718"/>
    <w:rsid w:val="00852DEA"/>
    <w:rsid w:val="008531B7"/>
    <w:rsid w:val="008538D0"/>
    <w:rsid w:val="0085397B"/>
    <w:rsid w:val="00853A77"/>
    <w:rsid w:val="00853D4C"/>
    <w:rsid w:val="00854286"/>
    <w:rsid w:val="00854349"/>
    <w:rsid w:val="008547FF"/>
    <w:rsid w:val="00854EEF"/>
    <w:rsid w:val="00854F40"/>
    <w:rsid w:val="00855625"/>
    <w:rsid w:val="008565DC"/>
    <w:rsid w:val="008565F6"/>
    <w:rsid w:val="00856706"/>
    <w:rsid w:val="00857011"/>
    <w:rsid w:val="00857E49"/>
    <w:rsid w:val="0086327B"/>
    <w:rsid w:val="0086350C"/>
    <w:rsid w:val="008669EC"/>
    <w:rsid w:val="00867CCC"/>
    <w:rsid w:val="008720D9"/>
    <w:rsid w:val="008744EB"/>
    <w:rsid w:val="0087470E"/>
    <w:rsid w:val="00874807"/>
    <w:rsid w:val="008767E8"/>
    <w:rsid w:val="008770AB"/>
    <w:rsid w:val="008805F0"/>
    <w:rsid w:val="00881C1E"/>
    <w:rsid w:val="008830B9"/>
    <w:rsid w:val="00883129"/>
    <w:rsid w:val="00883250"/>
    <w:rsid w:val="0088339F"/>
    <w:rsid w:val="00883460"/>
    <w:rsid w:val="00883D40"/>
    <w:rsid w:val="00883FCE"/>
    <w:rsid w:val="00884F83"/>
    <w:rsid w:val="00885FDA"/>
    <w:rsid w:val="00886EE6"/>
    <w:rsid w:val="00890EE7"/>
    <w:rsid w:val="0089407C"/>
    <w:rsid w:val="0089482F"/>
    <w:rsid w:val="00894E4F"/>
    <w:rsid w:val="00894E9E"/>
    <w:rsid w:val="00895A46"/>
    <w:rsid w:val="00895F8C"/>
    <w:rsid w:val="00896224"/>
    <w:rsid w:val="008962BD"/>
    <w:rsid w:val="00896C3C"/>
    <w:rsid w:val="00896C62"/>
    <w:rsid w:val="00897289"/>
    <w:rsid w:val="0089764D"/>
    <w:rsid w:val="008A13CE"/>
    <w:rsid w:val="008A26A4"/>
    <w:rsid w:val="008A3A0D"/>
    <w:rsid w:val="008A3FB3"/>
    <w:rsid w:val="008A50D9"/>
    <w:rsid w:val="008A7010"/>
    <w:rsid w:val="008B01D3"/>
    <w:rsid w:val="008B0B15"/>
    <w:rsid w:val="008B1A44"/>
    <w:rsid w:val="008B2E22"/>
    <w:rsid w:val="008B39F2"/>
    <w:rsid w:val="008B3C89"/>
    <w:rsid w:val="008B588B"/>
    <w:rsid w:val="008B59B3"/>
    <w:rsid w:val="008B6228"/>
    <w:rsid w:val="008B6F30"/>
    <w:rsid w:val="008B75B3"/>
    <w:rsid w:val="008C04C9"/>
    <w:rsid w:val="008C0D60"/>
    <w:rsid w:val="008C0F4C"/>
    <w:rsid w:val="008C1B35"/>
    <w:rsid w:val="008C2992"/>
    <w:rsid w:val="008C351E"/>
    <w:rsid w:val="008C420E"/>
    <w:rsid w:val="008C4813"/>
    <w:rsid w:val="008C6137"/>
    <w:rsid w:val="008C679F"/>
    <w:rsid w:val="008D088E"/>
    <w:rsid w:val="008D097D"/>
    <w:rsid w:val="008D0E11"/>
    <w:rsid w:val="008D273D"/>
    <w:rsid w:val="008D336D"/>
    <w:rsid w:val="008D401F"/>
    <w:rsid w:val="008D4B72"/>
    <w:rsid w:val="008D52B1"/>
    <w:rsid w:val="008D5585"/>
    <w:rsid w:val="008D7A27"/>
    <w:rsid w:val="008D7B1D"/>
    <w:rsid w:val="008E03A0"/>
    <w:rsid w:val="008E0AD2"/>
    <w:rsid w:val="008E163A"/>
    <w:rsid w:val="008E2645"/>
    <w:rsid w:val="008E3057"/>
    <w:rsid w:val="008E3BB0"/>
    <w:rsid w:val="008E5156"/>
    <w:rsid w:val="008E654A"/>
    <w:rsid w:val="008E7715"/>
    <w:rsid w:val="008F1A61"/>
    <w:rsid w:val="008F23C2"/>
    <w:rsid w:val="008F305D"/>
    <w:rsid w:val="008F33A0"/>
    <w:rsid w:val="008F410A"/>
    <w:rsid w:val="008F4B7D"/>
    <w:rsid w:val="008F4FAD"/>
    <w:rsid w:val="008F5354"/>
    <w:rsid w:val="008F54CD"/>
    <w:rsid w:val="008F58B7"/>
    <w:rsid w:val="008F6DA7"/>
    <w:rsid w:val="008F7E8C"/>
    <w:rsid w:val="00900A26"/>
    <w:rsid w:val="0090190B"/>
    <w:rsid w:val="00902B00"/>
    <w:rsid w:val="0090367D"/>
    <w:rsid w:val="00904480"/>
    <w:rsid w:val="0090465D"/>
    <w:rsid w:val="0090478D"/>
    <w:rsid w:val="00905187"/>
    <w:rsid w:val="00905548"/>
    <w:rsid w:val="0090568B"/>
    <w:rsid w:val="009066A2"/>
    <w:rsid w:val="00907151"/>
    <w:rsid w:val="009104FF"/>
    <w:rsid w:val="009108F1"/>
    <w:rsid w:val="00911334"/>
    <w:rsid w:val="00911512"/>
    <w:rsid w:val="009120C5"/>
    <w:rsid w:val="00912B1E"/>
    <w:rsid w:val="00912E04"/>
    <w:rsid w:val="0091384A"/>
    <w:rsid w:val="009161F6"/>
    <w:rsid w:val="0091696B"/>
    <w:rsid w:val="00917B7F"/>
    <w:rsid w:val="00920D72"/>
    <w:rsid w:val="0092127E"/>
    <w:rsid w:val="009212C4"/>
    <w:rsid w:val="009214DF"/>
    <w:rsid w:val="009223E3"/>
    <w:rsid w:val="00923726"/>
    <w:rsid w:val="009237F0"/>
    <w:rsid w:val="00925749"/>
    <w:rsid w:val="00926337"/>
    <w:rsid w:val="00926C46"/>
    <w:rsid w:val="00930EEE"/>
    <w:rsid w:val="0093142A"/>
    <w:rsid w:val="009318FB"/>
    <w:rsid w:val="00934607"/>
    <w:rsid w:val="00935221"/>
    <w:rsid w:val="009352A0"/>
    <w:rsid w:val="00936AFE"/>
    <w:rsid w:val="0093700E"/>
    <w:rsid w:val="009374C1"/>
    <w:rsid w:val="009444D6"/>
    <w:rsid w:val="0094599D"/>
    <w:rsid w:val="00946ECC"/>
    <w:rsid w:val="00950729"/>
    <w:rsid w:val="00951B6D"/>
    <w:rsid w:val="009540F4"/>
    <w:rsid w:val="009543AF"/>
    <w:rsid w:val="00954ED9"/>
    <w:rsid w:val="00955173"/>
    <w:rsid w:val="00955A34"/>
    <w:rsid w:val="00956452"/>
    <w:rsid w:val="0095754A"/>
    <w:rsid w:val="00961145"/>
    <w:rsid w:val="00962CFD"/>
    <w:rsid w:val="00963B70"/>
    <w:rsid w:val="0096406F"/>
    <w:rsid w:val="009642D8"/>
    <w:rsid w:val="00965BFF"/>
    <w:rsid w:val="00965E86"/>
    <w:rsid w:val="0096646B"/>
    <w:rsid w:val="00966A44"/>
    <w:rsid w:val="00967962"/>
    <w:rsid w:val="00971536"/>
    <w:rsid w:val="009718C6"/>
    <w:rsid w:val="009720F6"/>
    <w:rsid w:val="0097324A"/>
    <w:rsid w:val="00973D3A"/>
    <w:rsid w:val="00974A46"/>
    <w:rsid w:val="009754D3"/>
    <w:rsid w:val="009756A4"/>
    <w:rsid w:val="009764DD"/>
    <w:rsid w:val="009768B3"/>
    <w:rsid w:val="00981B81"/>
    <w:rsid w:val="00982BD7"/>
    <w:rsid w:val="00983196"/>
    <w:rsid w:val="00991B93"/>
    <w:rsid w:val="00993006"/>
    <w:rsid w:val="0099341E"/>
    <w:rsid w:val="00993C3D"/>
    <w:rsid w:val="00994972"/>
    <w:rsid w:val="00994BBD"/>
    <w:rsid w:val="009954AB"/>
    <w:rsid w:val="00995925"/>
    <w:rsid w:val="00995957"/>
    <w:rsid w:val="009A00D6"/>
    <w:rsid w:val="009A016C"/>
    <w:rsid w:val="009A1948"/>
    <w:rsid w:val="009A1C38"/>
    <w:rsid w:val="009A4092"/>
    <w:rsid w:val="009A4469"/>
    <w:rsid w:val="009A48EF"/>
    <w:rsid w:val="009A521C"/>
    <w:rsid w:val="009A6741"/>
    <w:rsid w:val="009A686F"/>
    <w:rsid w:val="009B0213"/>
    <w:rsid w:val="009B13B7"/>
    <w:rsid w:val="009B152A"/>
    <w:rsid w:val="009B2180"/>
    <w:rsid w:val="009B42DC"/>
    <w:rsid w:val="009B4F1D"/>
    <w:rsid w:val="009B5811"/>
    <w:rsid w:val="009B63DF"/>
    <w:rsid w:val="009B74F5"/>
    <w:rsid w:val="009C14E0"/>
    <w:rsid w:val="009C1A01"/>
    <w:rsid w:val="009C20D2"/>
    <w:rsid w:val="009C2656"/>
    <w:rsid w:val="009C30B9"/>
    <w:rsid w:val="009C506D"/>
    <w:rsid w:val="009C5DAC"/>
    <w:rsid w:val="009C5E7A"/>
    <w:rsid w:val="009C5EDF"/>
    <w:rsid w:val="009C7297"/>
    <w:rsid w:val="009D0D94"/>
    <w:rsid w:val="009D1190"/>
    <w:rsid w:val="009D1D98"/>
    <w:rsid w:val="009D21B6"/>
    <w:rsid w:val="009D326B"/>
    <w:rsid w:val="009D34FA"/>
    <w:rsid w:val="009D3EEE"/>
    <w:rsid w:val="009D4E24"/>
    <w:rsid w:val="009D50C8"/>
    <w:rsid w:val="009D5592"/>
    <w:rsid w:val="009D5BFA"/>
    <w:rsid w:val="009D63CF"/>
    <w:rsid w:val="009D6A56"/>
    <w:rsid w:val="009D7D6D"/>
    <w:rsid w:val="009E06DC"/>
    <w:rsid w:val="009E06E4"/>
    <w:rsid w:val="009E1B2C"/>
    <w:rsid w:val="009E1D4F"/>
    <w:rsid w:val="009E1ECC"/>
    <w:rsid w:val="009E3B6D"/>
    <w:rsid w:val="009E3CB3"/>
    <w:rsid w:val="009E3D50"/>
    <w:rsid w:val="009E649B"/>
    <w:rsid w:val="009E6540"/>
    <w:rsid w:val="009E6FB1"/>
    <w:rsid w:val="009E7447"/>
    <w:rsid w:val="009E75A9"/>
    <w:rsid w:val="009F02C8"/>
    <w:rsid w:val="009F169E"/>
    <w:rsid w:val="009F1D2C"/>
    <w:rsid w:val="009F28AD"/>
    <w:rsid w:val="009F4137"/>
    <w:rsid w:val="009F4F03"/>
    <w:rsid w:val="009F5017"/>
    <w:rsid w:val="009F5C2E"/>
    <w:rsid w:val="009F5F28"/>
    <w:rsid w:val="009F7522"/>
    <w:rsid w:val="009F792B"/>
    <w:rsid w:val="00A0062C"/>
    <w:rsid w:val="00A00D54"/>
    <w:rsid w:val="00A017D7"/>
    <w:rsid w:val="00A01937"/>
    <w:rsid w:val="00A01AE7"/>
    <w:rsid w:val="00A02706"/>
    <w:rsid w:val="00A02BDB"/>
    <w:rsid w:val="00A03314"/>
    <w:rsid w:val="00A0359A"/>
    <w:rsid w:val="00A04147"/>
    <w:rsid w:val="00A044D9"/>
    <w:rsid w:val="00A056CF"/>
    <w:rsid w:val="00A05DD7"/>
    <w:rsid w:val="00A1011A"/>
    <w:rsid w:val="00A110A5"/>
    <w:rsid w:val="00A120AD"/>
    <w:rsid w:val="00A121F1"/>
    <w:rsid w:val="00A12AF9"/>
    <w:rsid w:val="00A13382"/>
    <w:rsid w:val="00A13470"/>
    <w:rsid w:val="00A1353C"/>
    <w:rsid w:val="00A13757"/>
    <w:rsid w:val="00A138BD"/>
    <w:rsid w:val="00A138D6"/>
    <w:rsid w:val="00A14434"/>
    <w:rsid w:val="00A16630"/>
    <w:rsid w:val="00A168E1"/>
    <w:rsid w:val="00A16C9B"/>
    <w:rsid w:val="00A21AA9"/>
    <w:rsid w:val="00A22910"/>
    <w:rsid w:val="00A249AD"/>
    <w:rsid w:val="00A252ED"/>
    <w:rsid w:val="00A269A5"/>
    <w:rsid w:val="00A30017"/>
    <w:rsid w:val="00A30E20"/>
    <w:rsid w:val="00A31BCC"/>
    <w:rsid w:val="00A322F4"/>
    <w:rsid w:val="00A3235D"/>
    <w:rsid w:val="00A36522"/>
    <w:rsid w:val="00A374BD"/>
    <w:rsid w:val="00A3777B"/>
    <w:rsid w:val="00A37C52"/>
    <w:rsid w:val="00A40035"/>
    <w:rsid w:val="00A40360"/>
    <w:rsid w:val="00A41679"/>
    <w:rsid w:val="00A41C10"/>
    <w:rsid w:val="00A42874"/>
    <w:rsid w:val="00A429F7"/>
    <w:rsid w:val="00A42BFE"/>
    <w:rsid w:val="00A42FA3"/>
    <w:rsid w:val="00A4382E"/>
    <w:rsid w:val="00A438BC"/>
    <w:rsid w:val="00A44B2F"/>
    <w:rsid w:val="00A461F7"/>
    <w:rsid w:val="00A473AE"/>
    <w:rsid w:val="00A47EBA"/>
    <w:rsid w:val="00A5044B"/>
    <w:rsid w:val="00A5044F"/>
    <w:rsid w:val="00A50A00"/>
    <w:rsid w:val="00A5226B"/>
    <w:rsid w:val="00A52B87"/>
    <w:rsid w:val="00A53BC3"/>
    <w:rsid w:val="00A54E58"/>
    <w:rsid w:val="00A561B9"/>
    <w:rsid w:val="00A56641"/>
    <w:rsid w:val="00A56913"/>
    <w:rsid w:val="00A57424"/>
    <w:rsid w:val="00A60059"/>
    <w:rsid w:val="00A6241A"/>
    <w:rsid w:val="00A629A9"/>
    <w:rsid w:val="00A64806"/>
    <w:rsid w:val="00A70ED1"/>
    <w:rsid w:val="00A717ED"/>
    <w:rsid w:val="00A71DC9"/>
    <w:rsid w:val="00A7211C"/>
    <w:rsid w:val="00A722A8"/>
    <w:rsid w:val="00A73EFC"/>
    <w:rsid w:val="00A777F8"/>
    <w:rsid w:val="00A805F4"/>
    <w:rsid w:val="00A80CF3"/>
    <w:rsid w:val="00A81A5E"/>
    <w:rsid w:val="00A8295B"/>
    <w:rsid w:val="00A82D48"/>
    <w:rsid w:val="00A858C4"/>
    <w:rsid w:val="00A85A40"/>
    <w:rsid w:val="00A860B5"/>
    <w:rsid w:val="00A862D0"/>
    <w:rsid w:val="00A865D4"/>
    <w:rsid w:val="00A87DF5"/>
    <w:rsid w:val="00A9007B"/>
    <w:rsid w:val="00A903ED"/>
    <w:rsid w:val="00A912F2"/>
    <w:rsid w:val="00A91878"/>
    <w:rsid w:val="00A918BD"/>
    <w:rsid w:val="00A922BB"/>
    <w:rsid w:val="00A9257C"/>
    <w:rsid w:val="00A9352B"/>
    <w:rsid w:val="00A93576"/>
    <w:rsid w:val="00A937BC"/>
    <w:rsid w:val="00A94CD5"/>
    <w:rsid w:val="00A95460"/>
    <w:rsid w:val="00A95E51"/>
    <w:rsid w:val="00A977B8"/>
    <w:rsid w:val="00AA0435"/>
    <w:rsid w:val="00AA0584"/>
    <w:rsid w:val="00AA0A41"/>
    <w:rsid w:val="00AA244E"/>
    <w:rsid w:val="00AA4663"/>
    <w:rsid w:val="00AA4864"/>
    <w:rsid w:val="00AA4AF9"/>
    <w:rsid w:val="00AA69D7"/>
    <w:rsid w:val="00AB0A07"/>
    <w:rsid w:val="00AB253C"/>
    <w:rsid w:val="00AB2C55"/>
    <w:rsid w:val="00AB378B"/>
    <w:rsid w:val="00AB4AFC"/>
    <w:rsid w:val="00AB5D8A"/>
    <w:rsid w:val="00AC008F"/>
    <w:rsid w:val="00AC05A1"/>
    <w:rsid w:val="00AC3592"/>
    <w:rsid w:val="00AC3BF1"/>
    <w:rsid w:val="00AC664F"/>
    <w:rsid w:val="00AD047F"/>
    <w:rsid w:val="00AD05EC"/>
    <w:rsid w:val="00AD0FC1"/>
    <w:rsid w:val="00AD181D"/>
    <w:rsid w:val="00AD27A3"/>
    <w:rsid w:val="00AD298B"/>
    <w:rsid w:val="00AD2B89"/>
    <w:rsid w:val="00AD315F"/>
    <w:rsid w:val="00AD3FF8"/>
    <w:rsid w:val="00AD423E"/>
    <w:rsid w:val="00AD66D0"/>
    <w:rsid w:val="00AD74EC"/>
    <w:rsid w:val="00AE1563"/>
    <w:rsid w:val="00AE1A9C"/>
    <w:rsid w:val="00AE1FBC"/>
    <w:rsid w:val="00AE3676"/>
    <w:rsid w:val="00AE38DE"/>
    <w:rsid w:val="00AE395F"/>
    <w:rsid w:val="00AE53FD"/>
    <w:rsid w:val="00AE5A9D"/>
    <w:rsid w:val="00AE5CFB"/>
    <w:rsid w:val="00AE7758"/>
    <w:rsid w:val="00AE7F75"/>
    <w:rsid w:val="00AF0BB2"/>
    <w:rsid w:val="00AF184D"/>
    <w:rsid w:val="00AF19CB"/>
    <w:rsid w:val="00AF4524"/>
    <w:rsid w:val="00AF512A"/>
    <w:rsid w:val="00AF54E3"/>
    <w:rsid w:val="00AF55EB"/>
    <w:rsid w:val="00AF6617"/>
    <w:rsid w:val="00AF6E70"/>
    <w:rsid w:val="00B0087B"/>
    <w:rsid w:val="00B00BC4"/>
    <w:rsid w:val="00B01515"/>
    <w:rsid w:val="00B01A2F"/>
    <w:rsid w:val="00B0294B"/>
    <w:rsid w:val="00B03EFC"/>
    <w:rsid w:val="00B04981"/>
    <w:rsid w:val="00B05269"/>
    <w:rsid w:val="00B057C3"/>
    <w:rsid w:val="00B05CCC"/>
    <w:rsid w:val="00B079ED"/>
    <w:rsid w:val="00B10E64"/>
    <w:rsid w:val="00B1177C"/>
    <w:rsid w:val="00B136BA"/>
    <w:rsid w:val="00B138CA"/>
    <w:rsid w:val="00B14065"/>
    <w:rsid w:val="00B14892"/>
    <w:rsid w:val="00B154F6"/>
    <w:rsid w:val="00B155CF"/>
    <w:rsid w:val="00B1566D"/>
    <w:rsid w:val="00B15D19"/>
    <w:rsid w:val="00B16115"/>
    <w:rsid w:val="00B165CC"/>
    <w:rsid w:val="00B20D00"/>
    <w:rsid w:val="00B21740"/>
    <w:rsid w:val="00B226DA"/>
    <w:rsid w:val="00B22F7F"/>
    <w:rsid w:val="00B23520"/>
    <w:rsid w:val="00B246F4"/>
    <w:rsid w:val="00B24791"/>
    <w:rsid w:val="00B250DB"/>
    <w:rsid w:val="00B25675"/>
    <w:rsid w:val="00B25EE8"/>
    <w:rsid w:val="00B26CA5"/>
    <w:rsid w:val="00B306CB"/>
    <w:rsid w:val="00B310F2"/>
    <w:rsid w:val="00B311FE"/>
    <w:rsid w:val="00B3128B"/>
    <w:rsid w:val="00B33155"/>
    <w:rsid w:val="00B3393D"/>
    <w:rsid w:val="00B34718"/>
    <w:rsid w:val="00B3491A"/>
    <w:rsid w:val="00B35795"/>
    <w:rsid w:val="00B35A87"/>
    <w:rsid w:val="00B35AC2"/>
    <w:rsid w:val="00B36B74"/>
    <w:rsid w:val="00B41426"/>
    <w:rsid w:val="00B42027"/>
    <w:rsid w:val="00B4255F"/>
    <w:rsid w:val="00B438BC"/>
    <w:rsid w:val="00B44A29"/>
    <w:rsid w:val="00B45570"/>
    <w:rsid w:val="00B455AB"/>
    <w:rsid w:val="00B45E7F"/>
    <w:rsid w:val="00B4618C"/>
    <w:rsid w:val="00B468DA"/>
    <w:rsid w:val="00B46BDC"/>
    <w:rsid w:val="00B51018"/>
    <w:rsid w:val="00B5155D"/>
    <w:rsid w:val="00B5196E"/>
    <w:rsid w:val="00B5261C"/>
    <w:rsid w:val="00B527E5"/>
    <w:rsid w:val="00B53DD8"/>
    <w:rsid w:val="00B54051"/>
    <w:rsid w:val="00B54781"/>
    <w:rsid w:val="00B55754"/>
    <w:rsid w:val="00B57C59"/>
    <w:rsid w:val="00B60457"/>
    <w:rsid w:val="00B60822"/>
    <w:rsid w:val="00B61601"/>
    <w:rsid w:val="00B62676"/>
    <w:rsid w:val="00B63670"/>
    <w:rsid w:val="00B6405F"/>
    <w:rsid w:val="00B65376"/>
    <w:rsid w:val="00B6553E"/>
    <w:rsid w:val="00B662E2"/>
    <w:rsid w:val="00B67B3C"/>
    <w:rsid w:val="00B70D46"/>
    <w:rsid w:val="00B710D7"/>
    <w:rsid w:val="00B719F8"/>
    <w:rsid w:val="00B71B15"/>
    <w:rsid w:val="00B72487"/>
    <w:rsid w:val="00B72A4F"/>
    <w:rsid w:val="00B736BA"/>
    <w:rsid w:val="00B746DD"/>
    <w:rsid w:val="00B748B1"/>
    <w:rsid w:val="00B74A0C"/>
    <w:rsid w:val="00B74D26"/>
    <w:rsid w:val="00B76697"/>
    <w:rsid w:val="00B766CB"/>
    <w:rsid w:val="00B76AA4"/>
    <w:rsid w:val="00B771EE"/>
    <w:rsid w:val="00B773EE"/>
    <w:rsid w:val="00B80D80"/>
    <w:rsid w:val="00B80D88"/>
    <w:rsid w:val="00B81086"/>
    <w:rsid w:val="00B81A82"/>
    <w:rsid w:val="00B823F5"/>
    <w:rsid w:val="00B82E0F"/>
    <w:rsid w:val="00B83353"/>
    <w:rsid w:val="00B833EB"/>
    <w:rsid w:val="00B83489"/>
    <w:rsid w:val="00B8354F"/>
    <w:rsid w:val="00B83A89"/>
    <w:rsid w:val="00B85FEA"/>
    <w:rsid w:val="00B860C4"/>
    <w:rsid w:val="00B8641E"/>
    <w:rsid w:val="00B869DA"/>
    <w:rsid w:val="00B86AD2"/>
    <w:rsid w:val="00B86C17"/>
    <w:rsid w:val="00B9088F"/>
    <w:rsid w:val="00B90901"/>
    <w:rsid w:val="00B91D83"/>
    <w:rsid w:val="00B926B7"/>
    <w:rsid w:val="00B92BA7"/>
    <w:rsid w:val="00B92D6C"/>
    <w:rsid w:val="00B94DFD"/>
    <w:rsid w:val="00B950A7"/>
    <w:rsid w:val="00BA0114"/>
    <w:rsid w:val="00BA0452"/>
    <w:rsid w:val="00BA071C"/>
    <w:rsid w:val="00BA0BB5"/>
    <w:rsid w:val="00BA0C6A"/>
    <w:rsid w:val="00BA2CDA"/>
    <w:rsid w:val="00BA321C"/>
    <w:rsid w:val="00BA4B2E"/>
    <w:rsid w:val="00BA4D03"/>
    <w:rsid w:val="00BA59C3"/>
    <w:rsid w:val="00BA644A"/>
    <w:rsid w:val="00BA6832"/>
    <w:rsid w:val="00BB0BBD"/>
    <w:rsid w:val="00BB13E2"/>
    <w:rsid w:val="00BB1B0A"/>
    <w:rsid w:val="00BB1DCB"/>
    <w:rsid w:val="00BB286A"/>
    <w:rsid w:val="00BB2D8D"/>
    <w:rsid w:val="00BB3116"/>
    <w:rsid w:val="00BB5126"/>
    <w:rsid w:val="00BB5EDC"/>
    <w:rsid w:val="00BC0F37"/>
    <w:rsid w:val="00BC152C"/>
    <w:rsid w:val="00BC23E2"/>
    <w:rsid w:val="00BC2DC4"/>
    <w:rsid w:val="00BC40A5"/>
    <w:rsid w:val="00BC438C"/>
    <w:rsid w:val="00BC51A6"/>
    <w:rsid w:val="00BC5668"/>
    <w:rsid w:val="00BC5E8D"/>
    <w:rsid w:val="00BD0F10"/>
    <w:rsid w:val="00BD21F3"/>
    <w:rsid w:val="00BD29BB"/>
    <w:rsid w:val="00BD34F2"/>
    <w:rsid w:val="00BD4993"/>
    <w:rsid w:val="00BD5081"/>
    <w:rsid w:val="00BD5AAA"/>
    <w:rsid w:val="00BD7351"/>
    <w:rsid w:val="00BD7CC1"/>
    <w:rsid w:val="00BD7D76"/>
    <w:rsid w:val="00BE0953"/>
    <w:rsid w:val="00BE0A75"/>
    <w:rsid w:val="00BE1EE1"/>
    <w:rsid w:val="00BE4D3C"/>
    <w:rsid w:val="00BE531C"/>
    <w:rsid w:val="00BE5B2A"/>
    <w:rsid w:val="00BE6A0F"/>
    <w:rsid w:val="00BE7BDD"/>
    <w:rsid w:val="00BE7EC5"/>
    <w:rsid w:val="00BE7F90"/>
    <w:rsid w:val="00BF03CE"/>
    <w:rsid w:val="00BF1E58"/>
    <w:rsid w:val="00BF4DF5"/>
    <w:rsid w:val="00BF78CD"/>
    <w:rsid w:val="00BF7B2A"/>
    <w:rsid w:val="00C011BF"/>
    <w:rsid w:val="00C01375"/>
    <w:rsid w:val="00C02105"/>
    <w:rsid w:val="00C0240A"/>
    <w:rsid w:val="00C03162"/>
    <w:rsid w:val="00C037F0"/>
    <w:rsid w:val="00C043FA"/>
    <w:rsid w:val="00C06D40"/>
    <w:rsid w:val="00C06F3B"/>
    <w:rsid w:val="00C06F97"/>
    <w:rsid w:val="00C11F8C"/>
    <w:rsid w:val="00C133B1"/>
    <w:rsid w:val="00C14E73"/>
    <w:rsid w:val="00C16617"/>
    <w:rsid w:val="00C167CC"/>
    <w:rsid w:val="00C16B15"/>
    <w:rsid w:val="00C16EBD"/>
    <w:rsid w:val="00C17D07"/>
    <w:rsid w:val="00C22996"/>
    <w:rsid w:val="00C22DB0"/>
    <w:rsid w:val="00C2317F"/>
    <w:rsid w:val="00C23245"/>
    <w:rsid w:val="00C23BC8"/>
    <w:rsid w:val="00C24F10"/>
    <w:rsid w:val="00C251BD"/>
    <w:rsid w:val="00C25297"/>
    <w:rsid w:val="00C255B3"/>
    <w:rsid w:val="00C25707"/>
    <w:rsid w:val="00C320AD"/>
    <w:rsid w:val="00C32A31"/>
    <w:rsid w:val="00C33B83"/>
    <w:rsid w:val="00C33FF4"/>
    <w:rsid w:val="00C3640C"/>
    <w:rsid w:val="00C4268B"/>
    <w:rsid w:val="00C42E85"/>
    <w:rsid w:val="00C43023"/>
    <w:rsid w:val="00C4442B"/>
    <w:rsid w:val="00C44903"/>
    <w:rsid w:val="00C45BA7"/>
    <w:rsid w:val="00C468A1"/>
    <w:rsid w:val="00C47C27"/>
    <w:rsid w:val="00C47D56"/>
    <w:rsid w:val="00C47E30"/>
    <w:rsid w:val="00C50E18"/>
    <w:rsid w:val="00C51079"/>
    <w:rsid w:val="00C526F1"/>
    <w:rsid w:val="00C52A20"/>
    <w:rsid w:val="00C52E7B"/>
    <w:rsid w:val="00C55AF9"/>
    <w:rsid w:val="00C5727E"/>
    <w:rsid w:val="00C57BD3"/>
    <w:rsid w:val="00C624BF"/>
    <w:rsid w:val="00C708B8"/>
    <w:rsid w:val="00C71C73"/>
    <w:rsid w:val="00C71DE0"/>
    <w:rsid w:val="00C7350A"/>
    <w:rsid w:val="00C7494F"/>
    <w:rsid w:val="00C74AC3"/>
    <w:rsid w:val="00C77678"/>
    <w:rsid w:val="00C8093A"/>
    <w:rsid w:val="00C80F5D"/>
    <w:rsid w:val="00C82502"/>
    <w:rsid w:val="00C85500"/>
    <w:rsid w:val="00C85B3F"/>
    <w:rsid w:val="00C861DC"/>
    <w:rsid w:val="00C86C9E"/>
    <w:rsid w:val="00C87277"/>
    <w:rsid w:val="00C87C96"/>
    <w:rsid w:val="00C90BFF"/>
    <w:rsid w:val="00C91A57"/>
    <w:rsid w:val="00C933BA"/>
    <w:rsid w:val="00C93D27"/>
    <w:rsid w:val="00C97AE9"/>
    <w:rsid w:val="00C97F9E"/>
    <w:rsid w:val="00CA00E8"/>
    <w:rsid w:val="00CA0109"/>
    <w:rsid w:val="00CA039E"/>
    <w:rsid w:val="00CA337E"/>
    <w:rsid w:val="00CA40DA"/>
    <w:rsid w:val="00CA469B"/>
    <w:rsid w:val="00CA5FAC"/>
    <w:rsid w:val="00CA67AA"/>
    <w:rsid w:val="00CA6C98"/>
    <w:rsid w:val="00CA7446"/>
    <w:rsid w:val="00CB08CF"/>
    <w:rsid w:val="00CB0B8D"/>
    <w:rsid w:val="00CB1053"/>
    <w:rsid w:val="00CB3639"/>
    <w:rsid w:val="00CB38BB"/>
    <w:rsid w:val="00CB3EAE"/>
    <w:rsid w:val="00CB41FF"/>
    <w:rsid w:val="00CB6E53"/>
    <w:rsid w:val="00CB734B"/>
    <w:rsid w:val="00CC1512"/>
    <w:rsid w:val="00CC2BF7"/>
    <w:rsid w:val="00CC3900"/>
    <w:rsid w:val="00CC3ACA"/>
    <w:rsid w:val="00CC419D"/>
    <w:rsid w:val="00CC4D0F"/>
    <w:rsid w:val="00CC5C07"/>
    <w:rsid w:val="00CC620F"/>
    <w:rsid w:val="00CC6838"/>
    <w:rsid w:val="00CC710C"/>
    <w:rsid w:val="00CC76F9"/>
    <w:rsid w:val="00CD1C18"/>
    <w:rsid w:val="00CD1C27"/>
    <w:rsid w:val="00CD2335"/>
    <w:rsid w:val="00CD32FA"/>
    <w:rsid w:val="00CD39DC"/>
    <w:rsid w:val="00CD55DC"/>
    <w:rsid w:val="00CE0D18"/>
    <w:rsid w:val="00CE15EE"/>
    <w:rsid w:val="00CE193E"/>
    <w:rsid w:val="00CE388E"/>
    <w:rsid w:val="00CE4285"/>
    <w:rsid w:val="00CE4C2F"/>
    <w:rsid w:val="00CE5775"/>
    <w:rsid w:val="00CE5815"/>
    <w:rsid w:val="00CE5992"/>
    <w:rsid w:val="00CE5DA9"/>
    <w:rsid w:val="00CE6670"/>
    <w:rsid w:val="00CE6703"/>
    <w:rsid w:val="00CE67B6"/>
    <w:rsid w:val="00CE697D"/>
    <w:rsid w:val="00CE7A80"/>
    <w:rsid w:val="00CF0331"/>
    <w:rsid w:val="00CF1F5A"/>
    <w:rsid w:val="00CF2F20"/>
    <w:rsid w:val="00CF391D"/>
    <w:rsid w:val="00CF4246"/>
    <w:rsid w:val="00CF5DE5"/>
    <w:rsid w:val="00CF6E10"/>
    <w:rsid w:val="00D00EDE"/>
    <w:rsid w:val="00D0178C"/>
    <w:rsid w:val="00D02438"/>
    <w:rsid w:val="00D02564"/>
    <w:rsid w:val="00D03A15"/>
    <w:rsid w:val="00D04246"/>
    <w:rsid w:val="00D06D50"/>
    <w:rsid w:val="00D07054"/>
    <w:rsid w:val="00D11284"/>
    <w:rsid w:val="00D11541"/>
    <w:rsid w:val="00D11B47"/>
    <w:rsid w:val="00D125E0"/>
    <w:rsid w:val="00D160F5"/>
    <w:rsid w:val="00D16992"/>
    <w:rsid w:val="00D16F64"/>
    <w:rsid w:val="00D20E73"/>
    <w:rsid w:val="00D21B73"/>
    <w:rsid w:val="00D25409"/>
    <w:rsid w:val="00D270C5"/>
    <w:rsid w:val="00D32022"/>
    <w:rsid w:val="00D3260A"/>
    <w:rsid w:val="00D3279A"/>
    <w:rsid w:val="00D33750"/>
    <w:rsid w:val="00D35DDA"/>
    <w:rsid w:val="00D37779"/>
    <w:rsid w:val="00D4005C"/>
    <w:rsid w:val="00D41AEB"/>
    <w:rsid w:val="00D427AE"/>
    <w:rsid w:val="00D44060"/>
    <w:rsid w:val="00D46766"/>
    <w:rsid w:val="00D47878"/>
    <w:rsid w:val="00D5133D"/>
    <w:rsid w:val="00D515E7"/>
    <w:rsid w:val="00D51C40"/>
    <w:rsid w:val="00D51E42"/>
    <w:rsid w:val="00D52392"/>
    <w:rsid w:val="00D52C85"/>
    <w:rsid w:val="00D52FC0"/>
    <w:rsid w:val="00D5423D"/>
    <w:rsid w:val="00D54492"/>
    <w:rsid w:val="00D54667"/>
    <w:rsid w:val="00D546DE"/>
    <w:rsid w:val="00D54F9B"/>
    <w:rsid w:val="00D5527D"/>
    <w:rsid w:val="00D55ACE"/>
    <w:rsid w:val="00D56E32"/>
    <w:rsid w:val="00D5736A"/>
    <w:rsid w:val="00D604C7"/>
    <w:rsid w:val="00D604CC"/>
    <w:rsid w:val="00D60540"/>
    <w:rsid w:val="00D60A92"/>
    <w:rsid w:val="00D63C48"/>
    <w:rsid w:val="00D6406B"/>
    <w:rsid w:val="00D647A6"/>
    <w:rsid w:val="00D64C74"/>
    <w:rsid w:val="00D656F0"/>
    <w:rsid w:val="00D66267"/>
    <w:rsid w:val="00D66A11"/>
    <w:rsid w:val="00D66C26"/>
    <w:rsid w:val="00D676FC"/>
    <w:rsid w:val="00D6774B"/>
    <w:rsid w:val="00D67979"/>
    <w:rsid w:val="00D67A4D"/>
    <w:rsid w:val="00D67C4A"/>
    <w:rsid w:val="00D71155"/>
    <w:rsid w:val="00D71636"/>
    <w:rsid w:val="00D71A49"/>
    <w:rsid w:val="00D71D83"/>
    <w:rsid w:val="00D72679"/>
    <w:rsid w:val="00D726ED"/>
    <w:rsid w:val="00D768C0"/>
    <w:rsid w:val="00D77797"/>
    <w:rsid w:val="00D8014F"/>
    <w:rsid w:val="00D80DF2"/>
    <w:rsid w:val="00D8156D"/>
    <w:rsid w:val="00D816F4"/>
    <w:rsid w:val="00D817F9"/>
    <w:rsid w:val="00D81E01"/>
    <w:rsid w:val="00D8201F"/>
    <w:rsid w:val="00D820A6"/>
    <w:rsid w:val="00D82922"/>
    <w:rsid w:val="00D84585"/>
    <w:rsid w:val="00D85226"/>
    <w:rsid w:val="00D85786"/>
    <w:rsid w:val="00D85ADB"/>
    <w:rsid w:val="00D85CF1"/>
    <w:rsid w:val="00D863CB"/>
    <w:rsid w:val="00D877DB"/>
    <w:rsid w:val="00D90001"/>
    <w:rsid w:val="00D92AC7"/>
    <w:rsid w:val="00D94EAB"/>
    <w:rsid w:val="00D96DC3"/>
    <w:rsid w:val="00D97361"/>
    <w:rsid w:val="00D973C9"/>
    <w:rsid w:val="00DA0AB9"/>
    <w:rsid w:val="00DA0F30"/>
    <w:rsid w:val="00DA11BA"/>
    <w:rsid w:val="00DA13DF"/>
    <w:rsid w:val="00DA2529"/>
    <w:rsid w:val="00DA2E83"/>
    <w:rsid w:val="00DA4ECA"/>
    <w:rsid w:val="00DA52A5"/>
    <w:rsid w:val="00DA5996"/>
    <w:rsid w:val="00DA5FD4"/>
    <w:rsid w:val="00DA67D1"/>
    <w:rsid w:val="00DB0F0C"/>
    <w:rsid w:val="00DB242C"/>
    <w:rsid w:val="00DB28B5"/>
    <w:rsid w:val="00DB2D35"/>
    <w:rsid w:val="00DB3357"/>
    <w:rsid w:val="00DB494A"/>
    <w:rsid w:val="00DB51C3"/>
    <w:rsid w:val="00DB6020"/>
    <w:rsid w:val="00DB6943"/>
    <w:rsid w:val="00DB7139"/>
    <w:rsid w:val="00DB7801"/>
    <w:rsid w:val="00DC253A"/>
    <w:rsid w:val="00DC449F"/>
    <w:rsid w:val="00DC468C"/>
    <w:rsid w:val="00DC629B"/>
    <w:rsid w:val="00DC6592"/>
    <w:rsid w:val="00DC680F"/>
    <w:rsid w:val="00DC6EC5"/>
    <w:rsid w:val="00DD0378"/>
    <w:rsid w:val="00DD0F56"/>
    <w:rsid w:val="00DD1120"/>
    <w:rsid w:val="00DD14C2"/>
    <w:rsid w:val="00DD29B0"/>
    <w:rsid w:val="00DD3AA6"/>
    <w:rsid w:val="00DD4E6D"/>
    <w:rsid w:val="00DD5090"/>
    <w:rsid w:val="00DD52A1"/>
    <w:rsid w:val="00DE09F8"/>
    <w:rsid w:val="00DE186B"/>
    <w:rsid w:val="00DE1D13"/>
    <w:rsid w:val="00DE23C1"/>
    <w:rsid w:val="00DE24F9"/>
    <w:rsid w:val="00DE26A0"/>
    <w:rsid w:val="00DE2CCF"/>
    <w:rsid w:val="00DE418A"/>
    <w:rsid w:val="00DE478A"/>
    <w:rsid w:val="00DE4955"/>
    <w:rsid w:val="00DE5BDE"/>
    <w:rsid w:val="00DE694F"/>
    <w:rsid w:val="00DF0AE9"/>
    <w:rsid w:val="00DF1D77"/>
    <w:rsid w:val="00DF1F73"/>
    <w:rsid w:val="00DF202F"/>
    <w:rsid w:val="00DF21DA"/>
    <w:rsid w:val="00DF32E2"/>
    <w:rsid w:val="00DF392D"/>
    <w:rsid w:val="00DF3958"/>
    <w:rsid w:val="00DF3A31"/>
    <w:rsid w:val="00DF5A99"/>
    <w:rsid w:val="00DF5DA1"/>
    <w:rsid w:val="00DF5EC4"/>
    <w:rsid w:val="00DF7817"/>
    <w:rsid w:val="00E011E8"/>
    <w:rsid w:val="00E02787"/>
    <w:rsid w:val="00E02BE4"/>
    <w:rsid w:val="00E03115"/>
    <w:rsid w:val="00E0376A"/>
    <w:rsid w:val="00E0503B"/>
    <w:rsid w:val="00E05546"/>
    <w:rsid w:val="00E0652C"/>
    <w:rsid w:val="00E07810"/>
    <w:rsid w:val="00E10A52"/>
    <w:rsid w:val="00E10CA8"/>
    <w:rsid w:val="00E115FB"/>
    <w:rsid w:val="00E118EA"/>
    <w:rsid w:val="00E13D9B"/>
    <w:rsid w:val="00E14523"/>
    <w:rsid w:val="00E14EB8"/>
    <w:rsid w:val="00E16751"/>
    <w:rsid w:val="00E16ADA"/>
    <w:rsid w:val="00E17556"/>
    <w:rsid w:val="00E2173A"/>
    <w:rsid w:val="00E226F4"/>
    <w:rsid w:val="00E232A0"/>
    <w:rsid w:val="00E24633"/>
    <w:rsid w:val="00E24881"/>
    <w:rsid w:val="00E2536D"/>
    <w:rsid w:val="00E25954"/>
    <w:rsid w:val="00E265AF"/>
    <w:rsid w:val="00E272BB"/>
    <w:rsid w:val="00E27C89"/>
    <w:rsid w:val="00E3088E"/>
    <w:rsid w:val="00E3147B"/>
    <w:rsid w:val="00E330E5"/>
    <w:rsid w:val="00E338D1"/>
    <w:rsid w:val="00E33B67"/>
    <w:rsid w:val="00E343A0"/>
    <w:rsid w:val="00E34AD9"/>
    <w:rsid w:val="00E34E3C"/>
    <w:rsid w:val="00E34F07"/>
    <w:rsid w:val="00E402A4"/>
    <w:rsid w:val="00E4152A"/>
    <w:rsid w:val="00E41888"/>
    <w:rsid w:val="00E4285D"/>
    <w:rsid w:val="00E44760"/>
    <w:rsid w:val="00E44FC2"/>
    <w:rsid w:val="00E50589"/>
    <w:rsid w:val="00E50A4A"/>
    <w:rsid w:val="00E533B5"/>
    <w:rsid w:val="00E533DD"/>
    <w:rsid w:val="00E54269"/>
    <w:rsid w:val="00E55C4C"/>
    <w:rsid w:val="00E57A64"/>
    <w:rsid w:val="00E61429"/>
    <w:rsid w:val="00E63DC2"/>
    <w:rsid w:val="00E6408A"/>
    <w:rsid w:val="00E640AE"/>
    <w:rsid w:val="00E640B3"/>
    <w:rsid w:val="00E6435D"/>
    <w:rsid w:val="00E64AAB"/>
    <w:rsid w:val="00E664E6"/>
    <w:rsid w:val="00E66931"/>
    <w:rsid w:val="00E66B77"/>
    <w:rsid w:val="00E67435"/>
    <w:rsid w:val="00E67640"/>
    <w:rsid w:val="00E679FF"/>
    <w:rsid w:val="00E67F3E"/>
    <w:rsid w:val="00E74F92"/>
    <w:rsid w:val="00E757FB"/>
    <w:rsid w:val="00E76037"/>
    <w:rsid w:val="00E76D78"/>
    <w:rsid w:val="00E77A67"/>
    <w:rsid w:val="00E77CC9"/>
    <w:rsid w:val="00E81C53"/>
    <w:rsid w:val="00E83902"/>
    <w:rsid w:val="00E83D84"/>
    <w:rsid w:val="00E841C4"/>
    <w:rsid w:val="00E844CF"/>
    <w:rsid w:val="00E85816"/>
    <w:rsid w:val="00E866C3"/>
    <w:rsid w:val="00E903CA"/>
    <w:rsid w:val="00E905A5"/>
    <w:rsid w:val="00E90EA4"/>
    <w:rsid w:val="00E90FF3"/>
    <w:rsid w:val="00E9136F"/>
    <w:rsid w:val="00E9291F"/>
    <w:rsid w:val="00E93740"/>
    <w:rsid w:val="00E94184"/>
    <w:rsid w:val="00E94689"/>
    <w:rsid w:val="00E9512E"/>
    <w:rsid w:val="00E95F62"/>
    <w:rsid w:val="00E96641"/>
    <w:rsid w:val="00E96B01"/>
    <w:rsid w:val="00E972FF"/>
    <w:rsid w:val="00EA0334"/>
    <w:rsid w:val="00EA1747"/>
    <w:rsid w:val="00EA23B7"/>
    <w:rsid w:val="00EA3372"/>
    <w:rsid w:val="00EA4EBA"/>
    <w:rsid w:val="00EA6BC5"/>
    <w:rsid w:val="00EA7159"/>
    <w:rsid w:val="00EB05F6"/>
    <w:rsid w:val="00EB1506"/>
    <w:rsid w:val="00EB15A3"/>
    <w:rsid w:val="00EB28D8"/>
    <w:rsid w:val="00EB31EB"/>
    <w:rsid w:val="00EB3A4A"/>
    <w:rsid w:val="00EB45DE"/>
    <w:rsid w:val="00EB4626"/>
    <w:rsid w:val="00EB5FAA"/>
    <w:rsid w:val="00EB60FB"/>
    <w:rsid w:val="00EC2D6C"/>
    <w:rsid w:val="00EC2D73"/>
    <w:rsid w:val="00EC39A6"/>
    <w:rsid w:val="00EC4A4D"/>
    <w:rsid w:val="00EC64FA"/>
    <w:rsid w:val="00EC6E97"/>
    <w:rsid w:val="00EC77DA"/>
    <w:rsid w:val="00EC7BC0"/>
    <w:rsid w:val="00ED1D15"/>
    <w:rsid w:val="00ED1ED8"/>
    <w:rsid w:val="00ED294C"/>
    <w:rsid w:val="00ED2BA6"/>
    <w:rsid w:val="00ED3012"/>
    <w:rsid w:val="00ED335B"/>
    <w:rsid w:val="00ED3EAC"/>
    <w:rsid w:val="00ED4C9F"/>
    <w:rsid w:val="00ED532F"/>
    <w:rsid w:val="00ED602F"/>
    <w:rsid w:val="00ED6A74"/>
    <w:rsid w:val="00EE17A0"/>
    <w:rsid w:val="00EE19D0"/>
    <w:rsid w:val="00EE2DE2"/>
    <w:rsid w:val="00EE37A6"/>
    <w:rsid w:val="00EE3898"/>
    <w:rsid w:val="00EE5312"/>
    <w:rsid w:val="00EE65E6"/>
    <w:rsid w:val="00EE78E9"/>
    <w:rsid w:val="00EF0234"/>
    <w:rsid w:val="00EF2559"/>
    <w:rsid w:val="00EF25B4"/>
    <w:rsid w:val="00EF27E0"/>
    <w:rsid w:val="00EF388F"/>
    <w:rsid w:val="00EF3AEC"/>
    <w:rsid w:val="00EF425C"/>
    <w:rsid w:val="00EF4ABE"/>
    <w:rsid w:val="00EF501C"/>
    <w:rsid w:val="00EF51C1"/>
    <w:rsid w:val="00EF57A3"/>
    <w:rsid w:val="00EF5A28"/>
    <w:rsid w:val="00EF5E44"/>
    <w:rsid w:val="00EF5E51"/>
    <w:rsid w:val="00EF6BE6"/>
    <w:rsid w:val="00EF6FDD"/>
    <w:rsid w:val="00EF75B8"/>
    <w:rsid w:val="00EF7702"/>
    <w:rsid w:val="00EF7EBA"/>
    <w:rsid w:val="00F02B2D"/>
    <w:rsid w:val="00F02C37"/>
    <w:rsid w:val="00F05630"/>
    <w:rsid w:val="00F06B45"/>
    <w:rsid w:val="00F06BBF"/>
    <w:rsid w:val="00F0733B"/>
    <w:rsid w:val="00F075EC"/>
    <w:rsid w:val="00F07B19"/>
    <w:rsid w:val="00F10EF5"/>
    <w:rsid w:val="00F11455"/>
    <w:rsid w:val="00F121EC"/>
    <w:rsid w:val="00F12281"/>
    <w:rsid w:val="00F12D50"/>
    <w:rsid w:val="00F12E3B"/>
    <w:rsid w:val="00F12EAB"/>
    <w:rsid w:val="00F14300"/>
    <w:rsid w:val="00F14F57"/>
    <w:rsid w:val="00F154B9"/>
    <w:rsid w:val="00F17791"/>
    <w:rsid w:val="00F1794E"/>
    <w:rsid w:val="00F20519"/>
    <w:rsid w:val="00F20F2D"/>
    <w:rsid w:val="00F210CA"/>
    <w:rsid w:val="00F22D2E"/>
    <w:rsid w:val="00F2312F"/>
    <w:rsid w:val="00F24C51"/>
    <w:rsid w:val="00F27141"/>
    <w:rsid w:val="00F279AE"/>
    <w:rsid w:val="00F27D1C"/>
    <w:rsid w:val="00F30CFF"/>
    <w:rsid w:val="00F317D8"/>
    <w:rsid w:val="00F31C06"/>
    <w:rsid w:val="00F34CCE"/>
    <w:rsid w:val="00F3560E"/>
    <w:rsid w:val="00F35BE5"/>
    <w:rsid w:val="00F372E1"/>
    <w:rsid w:val="00F374D3"/>
    <w:rsid w:val="00F37E4B"/>
    <w:rsid w:val="00F413ED"/>
    <w:rsid w:val="00F41FF6"/>
    <w:rsid w:val="00F424D9"/>
    <w:rsid w:val="00F42B90"/>
    <w:rsid w:val="00F45188"/>
    <w:rsid w:val="00F454F8"/>
    <w:rsid w:val="00F45AFE"/>
    <w:rsid w:val="00F45FC5"/>
    <w:rsid w:val="00F468DF"/>
    <w:rsid w:val="00F46987"/>
    <w:rsid w:val="00F46AB6"/>
    <w:rsid w:val="00F46E6D"/>
    <w:rsid w:val="00F46FF3"/>
    <w:rsid w:val="00F475F9"/>
    <w:rsid w:val="00F47F59"/>
    <w:rsid w:val="00F51223"/>
    <w:rsid w:val="00F51693"/>
    <w:rsid w:val="00F51C16"/>
    <w:rsid w:val="00F522C9"/>
    <w:rsid w:val="00F52354"/>
    <w:rsid w:val="00F52E82"/>
    <w:rsid w:val="00F52F32"/>
    <w:rsid w:val="00F53C12"/>
    <w:rsid w:val="00F574BE"/>
    <w:rsid w:val="00F57857"/>
    <w:rsid w:val="00F63737"/>
    <w:rsid w:val="00F63E12"/>
    <w:rsid w:val="00F64234"/>
    <w:rsid w:val="00F644C0"/>
    <w:rsid w:val="00F64EA7"/>
    <w:rsid w:val="00F64F27"/>
    <w:rsid w:val="00F65A9E"/>
    <w:rsid w:val="00F66AFA"/>
    <w:rsid w:val="00F6722E"/>
    <w:rsid w:val="00F7086F"/>
    <w:rsid w:val="00F72780"/>
    <w:rsid w:val="00F7319C"/>
    <w:rsid w:val="00F74037"/>
    <w:rsid w:val="00F74C5F"/>
    <w:rsid w:val="00F74F91"/>
    <w:rsid w:val="00F752F5"/>
    <w:rsid w:val="00F76595"/>
    <w:rsid w:val="00F76BF9"/>
    <w:rsid w:val="00F776AD"/>
    <w:rsid w:val="00F7788B"/>
    <w:rsid w:val="00F80324"/>
    <w:rsid w:val="00F80AFC"/>
    <w:rsid w:val="00F81006"/>
    <w:rsid w:val="00F8117B"/>
    <w:rsid w:val="00F815E2"/>
    <w:rsid w:val="00F81F18"/>
    <w:rsid w:val="00F8202A"/>
    <w:rsid w:val="00F83F40"/>
    <w:rsid w:val="00F8725A"/>
    <w:rsid w:val="00F906D9"/>
    <w:rsid w:val="00F95296"/>
    <w:rsid w:val="00F96B9B"/>
    <w:rsid w:val="00F97501"/>
    <w:rsid w:val="00FA2BC4"/>
    <w:rsid w:val="00FA2C0E"/>
    <w:rsid w:val="00FA4D9F"/>
    <w:rsid w:val="00FA55D8"/>
    <w:rsid w:val="00FA6F45"/>
    <w:rsid w:val="00FA76DD"/>
    <w:rsid w:val="00FA7C66"/>
    <w:rsid w:val="00FB11A9"/>
    <w:rsid w:val="00FB33BB"/>
    <w:rsid w:val="00FB3AAB"/>
    <w:rsid w:val="00FB6BCF"/>
    <w:rsid w:val="00FC1683"/>
    <w:rsid w:val="00FC22EE"/>
    <w:rsid w:val="00FC27C7"/>
    <w:rsid w:val="00FC3E1B"/>
    <w:rsid w:val="00FC433D"/>
    <w:rsid w:val="00FC5C04"/>
    <w:rsid w:val="00FC64B2"/>
    <w:rsid w:val="00FC6D5E"/>
    <w:rsid w:val="00FC6F84"/>
    <w:rsid w:val="00FC79BF"/>
    <w:rsid w:val="00FC7EEC"/>
    <w:rsid w:val="00FD1A2D"/>
    <w:rsid w:val="00FD1EC1"/>
    <w:rsid w:val="00FD1FB4"/>
    <w:rsid w:val="00FD2D95"/>
    <w:rsid w:val="00FD34CB"/>
    <w:rsid w:val="00FD3C90"/>
    <w:rsid w:val="00FD4155"/>
    <w:rsid w:val="00FD48CD"/>
    <w:rsid w:val="00FD4EA5"/>
    <w:rsid w:val="00FD5DD2"/>
    <w:rsid w:val="00FD6970"/>
    <w:rsid w:val="00FD7462"/>
    <w:rsid w:val="00FD7685"/>
    <w:rsid w:val="00FE1E05"/>
    <w:rsid w:val="00FE3D9B"/>
    <w:rsid w:val="00FE4E2B"/>
    <w:rsid w:val="00FE4EF4"/>
    <w:rsid w:val="00FE557D"/>
    <w:rsid w:val="00FE56BD"/>
    <w:rsid w:val="00FE67EC"/>
    <w:rsid w:val="00FE6A36"/>
    <w:rsid w:val="00FE7F60"/>
    <w:rsid w:val="00FF02C2"/>
    <w:rsid w:val="00FF1AC4"/>
    <w:rsid w:val="00FF318A"/>
    <w:rsid w:val="00FF504A"/>
    <w:rsid w:val="00FF54FB"/>
    <w:rsid w:val="00FF5880"/>
    <w:rsid w:val="00FF5C55"/>
    <w:rsid w:val="00FF644C"/>
    <w:rsid w:val="01022F1A"/>
    <w:rsid w:val="01032A2D"/>
    <w:rsid w:val="012810B4"/>
    <w:rsid w:val="012A067A"/>
    <w:rsid w:val="013C11E7"/>
    <w:rsid w:val="01633E9B"/>
    <w:rsid w:val="018A787B"/>
    <w:rsid w:val="01A9554C"/>
    <w:rsid w:val="01B74E3B"/>
    <w:rsid w:val="01C12BFE"/>
    <w:rsid w:val="01DF79C5"/>
    <w:rsid w:val="01E46AB5"/>
    <w:rsid w:val="01FC6879"/>
    <w:rsid w:val="02435B91"/>
    <w:rsid w:val="024C7E5E"/>
    <w:rsid w:val="0256098D"/>
    <w:rsid w:val="02EF216B"/>
    <w:rsid w:val="031419C8"/>
    <w:rsid w:val="031F5BB6"/>
    <w:rsid w:val="03571464"/>
    <w:rsid w:val="0368705F"/>
    <w:rsid w:val="03A008E5"/>
    <w:rsid w:val="04194CE4"/>
    <w:rsid w:val="0449381C"/>
    <w:rsid w:val="047E5F88"/>
    <w:rsid w:val="04A15406"/>
    <w:rsid w:val="04A93F39"/>
    <w:rsid w:val="04B32AA4"/>
    <w:rsid w:val="04BB76ED"/>
    <w:rsid w:val="051A7389"/>
    <w:rsid w:val="051C765B"/>
    <w:rsid w:val="05523F48"/>
    <w:rsid w:val="05995D47"/>
    <w:rsid w:val="05B47256"/>
    <w:rsid w:val="06AC5BCA"/>
    <w:rsid w:val="06D55E6E"/>
    <w:rsid w:val="06F479CF"/>
    <w:rsid w:val="071A00AD"/>
    <w:rsid w:val="0750431A"/>
    <w:rsid w:val="07B02A34"/>
    <w:rsid w:val="07F753DE"/>
    <w:rsid w:val="080F52CF"/>
    <w:rsid w:val="082C1FCC"/>
    <w:rsid w:val="08336052"/>
    <w:rsid w:val="083D0B68"/>
    <w:rsid w:val="084E678A"/>
    <w:rsid w:val="08682CA6"/>
    <w:rsid w:val="08F55A0C"/>
    <w:rsid w:val="09136E47"/>
    <w:rsid w:val="091958A6"/>
    <w:rsid w:val="09293C1C"/>
    <w:rsid w:val="09C556F2"/>
    <w:rsid w:val="09CB082F"/>
    <w:rsid w:val="09CC303E"/>
    <w:rsid w:val="09CC55EE"/>
    <w:rsid w:val="0A0749D6"/>
    <w:rsid w:val="0A0B3CBF"/>
    <w:rsid w:val="0A424F95"/>
    <w:rsid w:val="0A482F82"/>
    <w:rsid w:val="0A6B12BF"/>
    <w:rsid w:val="0A9D666F"/>
    <w:rsid w:val="0AB80DB3"/>
    <w:rsid w:val="0AF578C4"/>
    <w:rsid w:val="0B4E56E2"/>
    <w:rsid w:val="0B6147F1"/>
    <w:rsid w:val="0B9C7FF6"/>
    <w:rsid w:val="0BA36A04"/>
    <w:rsid w:val="0BE51A12"/>
    <w:rsid w:val="0C112E71"/>
    <w:rsid w:val="0C197F77"/>
    <w:rsid w:val="0C242E65"/>
    <w:rsid w:val="0C7A45CA"/>
    <w:rsid w:val="0C9C75E1"/>
    <w:rsid w:val="0CA912FB"/>
    <w:rsid w:val="0CDD5F03"/>
    <w:rsid w:val="0CE60497"/>
    <w:rsid w:val="0CF231B9"/>
    <w:rsid w:val="0D0B5B12"/>
    <w:rsid w:val="0D5451CA"/>
    <w:rsid w:val="0DEA60BE"/>
    <w:rsid w:val="0E294810"/>
    <w:rsid w:val="0E8E3C77"/>
    <w:rsid w:val="0EB20CD1"/>
    <w:rsid w:val="0EE87D2B"/>
    <w:rsid w:val="0EEF3211"/>
    <w:rsid w:val="0F275B9A"/>
    <w:rsid w:val="0F7F0F9B"/>
    <w:rsid w:val="0FF860F6"/>
    <w:rsid w:val="100E0CFB"/>
    <w:rsid w:val="102B751A"/>
    <w:rsid w:val="106858D1"/>
    <w:rsid w:val="109217D4"/>
    <w:rsid w:val="10A51DDA"/>
    <w:rsid w:val="10F62745"/>
    <w:rsid w:val="1110186D"/>
    <w:rsid w:val="115740F9"/>
    <w:rsid w:val="116E48C1"/>
    <w:rsid w:val="117278C5"/>
    <w:rsid w:val="117F087D"/>
    <w:rsid w:val="119A29E6"/>
    <w:rsid w:val="11AC399B"/>
    <w:rsid w:val="11B22984"/>
    <w:rsid w:val="11B81154"/>
    <w:rsid w:val="11EE2C91"/>
    <w:rsid w:val="12354D76"/>
    <w:rsid w:val="125D07AF"/>
    <w:rsid w:val="12AC42C4"/>
    <w:rsid w:val="12C14C41"/>
    <w:rsid w:val="12C32F26"/>
    <w:rsid w:val="12E110C3"/>
    <w:rsid w:val="13053004"/>
    <w:rsid w:val="130F0A42"/>
    <w:rsid w:val="13321FC3"/>
    <w:rsid w:val="135C5F14"/>
    <w:rsid w:val="13E1581F"/>
    <w:rsid w:val="146E3519"/>
    <w:rsid w:val="14AD3BD1"/>
    <w:rsid w:val="14DA49C1"/>
    <w:rsid w:val="14DE6A21"/>
    <w:rsid w:val="15211C4B"/>
    <w:rsid w:val="155C721A"/>
    <w:rsid w:val="157645D8"/>
    <w:rsid w:val="1594241D"/>
    <w:rsid w:val="15F854B1"/>
    <w:rsid w:val="169058CB"/>
    <w:rsid w:val="16AB5ABA"/>
    <w:rsid w:val="16DE0BDF"/>
    <w:rsid w:val="17176D5A"/>
    <w:rsid w:val="17545B66"/>
    <w:rsid w:val="175F0B83"/>
    <w:rsid w:val="17624FAA"/>
    <w:rsid w:val="17B615F2"/>
    <w:rsid w:val="185010A8"/>
    <w:rsid w:val="189664AC"/>
    <w:rsid w:val="189E1DAE"/>
    <w:rsid w:val="18A27235"/>
    <w:rsid w:val="18B02695"/>
    <w:rsid w:val="18BE2B86"/>
    <w:rsid w:val="194C1E40"/>
    <w:rsid w:val="19EB665F"/>
    <w:rsid w:val="1A442469"/>
    <w:rsid w:val="1A744BDA"/>
    <w:rsid w:val="1A764C8D"/>
    <w:rsid w:val="1A766755"/>
    <w:rsid w:val="1A784AD1"/>
    <w:rsid w:val="1A7E7D2D"/>
    <w:rsid w:val="1A8E38DF"/>
    <w:rsid w:val="1B0E67CD"/>
    <w:rsid w:val="1B23480E"/>
    <w:rsid w:val="1B3423FC"/>
    <w:rsid w:val="1B765023"/>
    <w:rsid w:val="1B891FB6"/>
    <w:rsid w:val="1BE51C24"/>
    <w:rsid w:val="1BF863F1"/>
    <w:rsid w:val="1BFB4181"/>
    <w:rsid w:val="1C195F35"/>
    <w:rsid w:val="1C5B4790"/>
    <w:rsid w:val="1C874A89"/>
    <w:rsid w:val="1CA93E55"/>
    <w:rsid w:val="1CB437CE"/>
    <w:rsid w:val="1CD83537"/>
    <w:rsid w:val="1D5A5455"/>
    <w:rsid w:val="1DE5718E"/>
    <w:rsid w:val="1E255D44"/>
    <w:rsid w:val="1E412110"/>
    <w:rsid w:val="1E62397F"/>
    <w:rsid w:val="1E6F1873"/>
    <w:rsid w:val="1E7B39AE"/>
    <w:rsid w:val="1ECA62B8"/>
    <w:rsid w:val="1EFA70A6"/>
    <w:rsid w:val="1F517C6F"/>
    <w:rsid w:val="1F7076AA"/>
    <w:rsid w:val="1FF66C1C"/>
    <w:rsid w:val="20934216"/>
    <w:rsid w:val="209921A7"/>
    <w:rsid w:val="20E95D13"/>
    <w:rsid w:val="21260D15"/>
    <w:rsid w:val="21521489"/>
    <w:rsid w:val="2156609B"/>
    <w:rsid w:val="21653E52"/>
    <w:rsid w:val="216655B5"/>
    <w:rsid w:val="219C484D"/>
    <w:rsid w:val="21F253F8"/>
    <w:rsid w:val="21F726B1"/>
    <w:rsid w:val="21FA2669"/>
    <w:rsid w:val="22007FFE"/>
    <w:rsid w:val="22654504"/>
    <w:rsid w:val="229909F6"/>
    <w:rsid w:val="22F559BC"/>
    <w:rsid w:val="230C50F3"/>
    <w:rsid w:val="235C04A8"/>
    <w:rsid w:val="23954BEB"/>
    <w:rsid w:val="2398708B"/>
    <w:rsid w:val="239C7197"/>
    <w:rsid w:val="23C44D8E"/>
    <w:rsid w:val="23E603BF"/>
    <w:rsid w:val="23ED370D"/>
    <w:rsid w:val="24257A2B"/>
    <w:rsid w:val="245711E5"/>
    <w:rsid w:val="245B0CD5"/>
    <w:rsid w:val="245D0E39"/>
    <w:rsid w:val="24893C26"/>
    <w:rsid w:val="24B85758"/>
    <w:rsid w:val="250749B9"/>
    <w:rsid w:val="254362A6"/>
    <w:rsid w:val="2572426C"/>
    <w:rsid w:val="258129BE"/>
    <w:rsid w:val="258E6E89"/>
    <w:rsid w:val="259928A4"/>
    <w:rsid w:val="25B91FD5"/>
    <w:rsid w:val="25C675CC"/>
    <w:rsid w:val="25CA0F37"/>
    <w:rsid w:val="25D70F30"/>
    <w:rsid w:val="25E26295"/>
    <w:rsid w:val="25EB26EF"/>
    <w:rsid w:val="25FE1577"/>
    <w:rsid w:val="26157CA0"/>
    <w:rsid w:val="26282A0E"/>
    <w:rsid w:val="26434B7C"/>
    <w:rsid w:val="26567DEE"/>
    <w:rsid w:val="26675339"/>
    <w:rsid w:val="26987705"/>
    <w:rsid w:val="26DB60FD"/>
    <w:rsid w:val="26ED7BDF"/>
    <w:rsid w:val="26EF15EF"/>
    <w:rsid w:val="27051AB1"/>
    <w:rsid w:val="27122D34"/>
    <w:rsid w:val="27565784"/>
    <w:rsid w:val="276D7E7E"/>
    <w:rsid w:val="27805123"/>
    <w:rsid w:val="27806CA5"/>
    <w:rsid w:val="279063A2"/>
    <w:rsid w:val="27EF7B00"/>
    <w:rsid w:val="27FF34BF"/>
    <w:rsid w:val="28100F69"/>
    <w:rsid w:val="283B716F"/>
    <w:rsid w:val="28B377C5"/>
    <w:rsid w:val="28CD2F54"/>
    <w:rsid w:val="290B187D"/>
    <w:rsid w:val="2926783B"/>
    <w:rsid w:val="298C1931"/>
    <w:rsid w:val="29AC6103"/>
    <w:rsid w:val="2A0B02BB"/>
    <w:rsid w:val="2A883C1F"/>
    <w:rsid w:val="2A994305"/>
    <w:rsid w:val="2AA21D18"/>
    <w:rsid w:val="2AFA03A2"/>
    <w:rsid w:val="2B2F3609"/>
    <w:rsid w:val="2B51698E"/>
    <w:rsid w:val="2B711C62"/>
    <w:rsid w:val="2BBC1F12"/>
    <w:rsid w:val="2BDC005F"/>
    <w:rsid w:val="2C17428C"/>
    <w:rsid w:val="2C236E3F"/>
    <w:rsid w:val="2C7C2E07"/>
    <w:rsid w:val="2C830D0B"/>
    <w:rsid w:val="2C8F43C6"/>
    <w:rsid w:val="2CA70AD9"/>
    <w:rsid w:val="2CBB0C41"/>
    <w:rsid w:val="2CE657FC"/>
    <w:rsid w:val="2CE868A2"/>
    <w:rsid w:val="2D283624"/>
    <w:rsid w:val="2D595FCE"/>
    <w:rsid w:val="2D786D08"/>
    <w:rsid w:val="2D8E0107"/>
    <w:rsid w:val="2DE300CF"/>
    <w:rsid w:val="2E0F48DF"/>
    <w:rsid w:val="2E13412C"/>
    <w:rsid w:val="2E720F38"/>
    <w:rsid w:val="2EA835B1"/>
    <w:rsid w:val="2EAE6B15"/>
    <w:rsid w:val="2EE44AA2"/>
    <w:rsid w:val="2F25085E"/>
    <w:rsid w:val="2F34093B"/>
    <w:rsid w:val="2F544FB7"/>
    <w:rsid w:val="2F990904"/>
    <w:rsid w:val="2F9A726B"/>
    <w:rsid w:val="2FA15742"/>
    <w:rsid w:val="2FA23C5C"/>
    <w:rsid w:val="2FB60CF9"/>
    <w:rsid w:val="2FBA51F4"/>
    <w:rsid w:val="2FE140FD"/>
    <w:rsid w:val="2FFB6E45"/>
    <w:rsid w:val="30073ABF"/>
    <w:rsid w:val="30420F9B"/>
    <w:rsid w:val="304A59F9"/>
    <w:rsid w:val="307467D9"/>
    <w:rsid w:val="3075353C"/>
    <w:rsid w:val="30AB2368"/>
    <w:rsid w:val="30E91417"/>
    <w:rsid w:val="30FC2E75"/>
    <w:rsid w:val="31280191"/>
    <w:rsid w:val="31475E5B"/>
    <w:rsid w:val="31995B99"/>
    <w:rsid w:val="31CE517A"/>
    <w:rsid w:val="31DF3D83"/>
    <w:rsid w:val="32075108"/>
    <w:rsid w:val="321C6B1B"/>
    <w:rsid w:val="3239017C"/>
    <w:rsid w:val="323E39E4"/>
    <w:rsid w:val="324F174E"/>
    <w:rsid w:val="328524F6"/>
    <w:rsid w:val="329D59F7"/>
    <w:rsid w:val="32DC564E"/>
    <w:rsid w:val="32F167C7"/>
    <w:rsid w:val="32FB0E51"/>
    <w:rsid w:val="3321382F"/>
    <w:rsid w:val="332A0A50"/>
    <w:rsid w:val="332C55E2"/>
    <w:rsid w:val="33512ED6"/>
    <w:rsid w:val="33641229"/>
    <w:rsid w:val="33B75537"/>
    <w:rsid w:val="3409157F"/>
    <w:rsid w:val="342015F4"/>
    <w:rsid w:val="34330A51"/>
    <w:rsid w:val="345A5DB1"/>
    <w:rsid w:val="34930017"/>
    <w:rsid w:val="34E65414"/>
    <w:rsid w:val="350327A1"/>
    <w:rsid w:val="353177AF"/>
    <w:rsid w:val="35573081"/>
    <w:rsid w:val="35F26FC0"/>
    <w:rsid w:val="36166AA3"/>
    <w:rsid w:val="36735C80"/>
    <w:rsid w:val="368711ED"/>
    <w:rsid w:val="36E578D5"/>
    <w:rsid w:val="36FC3260"/>
    <w:rsid w:val="370074BA"/>
    <w:rsid w:val="37243306"/>
    <w:rsid w:val="376E32CE"/>
    <w:rsid w:val="37BA31CC"/>
    <w:rsid w:val="37FE0F6C"/>
    <w:rsid w:val="38132FD6"/>
    <w:rsid w:val="38230117"/>
    <w:rsid w:val="386079B4"/>
    <w:rsid w:val="38B1308D"/>
    <w:rsid w:val="38D91DC5"/>
    <w:rsid w:val="39243851"/>
    <w:rsid w:val="394A4DFF"/>
    <w:rsid w:val="396C7089"/>
    <w:rsid w:val="39DA3EB3"/>
    <w:rsid w:val="39F92272"/>
    <w:rsid w:val="3A1B7C74"/>
    <w:rsid w:val="3A31512C"/>
    <w:rsid w:val="3A704FD8"/>
    <w:rsid w:val="3A7D77A0"/>
    <w:rsid w:val="3A9471DC"/>
    <w:rsid w:val="3B890AC6"/>
    <w:rsid w:val="3B89694A"/>
    <w:rsid w:val="3BB014AF"/>
    <w:rsid w:val="3BB371F1"/>
    <w:rsid w:val="3BBD0E9A"/>
    <w:rsid w:val="3C0B0DDB"/>
    <w:rsid w:val="3C4916DE"/>
    <w:rsid w:val="3C4C0CDA"/>
    <w:rsid w:val="3C5F0F20"/>
    <w:rsid w:val="3C8F53FD"/>
    <w:rsid w:val="3CF75ABE"/>
    <w:rsid w:val="3D241B88"/>
    <w:rsid w:val="3D6959BF"/>
    <w:rsid w:val="3D820C29"/>
    <w:rsid w:val="3E042058"/>
    <w:rsid w:val="3E316EB2"/>
    <w:rsid w:val="3E4D3A8C"/>
    <w:rsid w:val="3E612FAF"/>
    <w:rsid w:val="3E807452"/>
    <w:rsid w:val="3E855C22"/>
    <w:rsid w:val="3EA51073"/>
    <w:rsid w:val="3F0D09C6"/>
    <w:rsid w:val="3F0D7C6C"/>
    <w:rsid w:val="3F1B7B42"/>
    <w:rsid w:val="3F9F4338"/>
    <w:rsid w:val="3FB04B0B"/>
    <w:rsid w:val="3FB62EB8"/>
    <w:rsid w:val="3FC06D0E"/>
    <w:rsid w:val="3FE06EF1"/>
    <w:rsid w:val="3FF74016"/>
    <w:rsid w:val="40115BB3"/>
    <w:rsid w:val="404550EB"/>
    <w:rsid w:val="405149AF"/>
    <w:rsid w:val="40D211F8"/>
    <w:rsid w:val="40E650B7"/>
    <w:rsid w:val="41083B3B"/>
    <w:rsid w:val="412755BD"/>
    <w:rsid w:val="413B5CBF"/>
    <w:rsid w:val="41582240"/>
    <w:rsid w:val="417F6051"/>
    <w:rsid w:val="41971D93"/>
    <w:rsid w:val="41EE53C5"/>
    <w:rsid w:val="42133F79"/>
    <w:rsid w:val="422A74DF"/>
    <w:rsid w:val="428B0580"/>
    <w:rsid w:val="42A75D3D"/>
    <w:rsid w:val="43016A94"/>
    <w:rsid w:val="4319011B"/>
    <w:rsid w:val="43436EC4"/>
    <w:rsid w:val="43453E05"/>
    <w:rsid w:val="436074DD"/>
    <w:rsid w:val="43716850"/>
    <w:rsid w:val="43863E28"/>
    <w:rsid w:val="43E90031"/>
    <w:rsid w:val="43E97C54"/>
    <w:rsid w:val="44317436"/>
    <w:rsid w:val="445D5837"/>
    <w:rsid w:val="44841371"/>
    <w:rsid w:val="44C91833"/>
    <w:rsid w:val="44E93C84"/>
    <w:rsid w:val="456520C2"/>
    <w:rsid w:val="45A25069"/>
    <w:rsid w:val="45AF21FA"/>
    <w:rsid w:val="45DE0843"/>
    <w:rsid w:val="45F60406"/>
    <w:rsid w:val="4617331B"/>
    <w:rsid w:val="461E08AB"/>
    <w:rsid w:val="46893028"/>
    <w:rsid w:val="46B10C1A"/>
    <w:rsid w:val="46C118EF"/>
    <w:rsid w:val="47013160"/>
    <w:rsid w:val="471A69C9"/>
    <w:rsid w:val="473F5933"/>
    <w:rsid w:val="476D6025"/>
    <w:rsid w:val="47947ED7"/>
    <w:rsid w:val="482672CA"/>
    <w:rsid w:val="4857642C"/>
    <w:rsid w:val="486E2F6A"/>
    <w:rsid w:val="487330B4"/>
    <w:rsid w:val="48971F64"/>
    <w:rsid w:val="48B1532F"/>
    <w:rsid w:val="48B33F01"/>
    <w:rsid w:val="48E41AB5"/>
    <w:rsid w:val="494859B2"/>
    <w:rsid w:val="4985057D"/>
    <w:rsid w:val="49A07A13"/>
    <w:rsid w:val="49B54F13"/>
    <w:rsid w:val="49B750BB"/>
    <w:rsid w:val="49E83C32"/>
    <w:rsid w:val="4A27563E"/>
    <w:rsid w:val="4A320C1A"/>
    <w:rsid w:val="4A556A39"/>
    <w:rsid w:val="4A6A51F1"/>
    <w:rsid w:val="4A9471CC"/>
    <w:rsid w:val="4AA52C8C"/>
    <w:rsid w:val="4ABB6589"/>
    <w:rsid w:val="4AD4683C"/>
    <w:rsid w:val="4B1E2290"/>
    <w:rsid w:val="4B6F6C84"/>
    <w:rsid w:val="4B7317D2"/>
    <w:rsid w:val="4B7544E9"/>
    <w:rsid w:val="4B933874"/>
    <w:rsid w:val="4BA94C0A"/>
    <w:rsid w:val="4BB73A97"/>
    <w:rsid w:val="4BBA379D"/>
    <w:rsid w:val="4C2613CF"/>
    <w:rsid w:val="4CC254E6"/>
    <w:rsid w:val="4D27359B"/>
    <w:rsid w:val="4D4C2785"/>
    <w:rsid w:val="4D6E2082"/>
    <w:rsid w:val="4DA20743"/>
    <w:rsid w:val="4DF505D8"/>
    <w:rsid w:val="4DFA480C"/>
    <w:rsid w:val="4E160B5A"/>
    <w:rsid w:val="4E3A29BB"/>
    <w:rsid w:val="4E436F93"/>
    <w:rsid w:val="4E534A5B"/>
    <w:rsid w:val="4E5A52AA"/>
    <w:rsid w:val="4E930FA3"/>
    <w:rsid w:val="4E9C3B15"/>
    <w:rsid w:val="4EBF7343"/>
    <w:rsid w:val="4EC15E66"/>
    <w:rsid w:val="4ED64EB1"/>
    <w:rsid w:val="4EDB3AAB"/>
    <w:rsid w:val="4EF76AD4"/>
    <w:rsid w:val="4F53428E"/>
    <w:rsid w:val="4F7950EB"/>
    <w:rsid w:val="4FBC158B"/>
    <w:rsid w:val="4FCF7A22"/>
    <w:rsid w:val="4FDF4A36"/>
    <w:rsid w:val="506643DA"/>
    <w:rsid w:val="50677384"/>
    <w:rsid w:val="50894C1B"/>
    <w:rsid w:val="50E7376D"/>
    <w:rsid w:val="51330FBE"/>
    <w:rsid w:val="514C35D0"/>
    <w:rsid w:val="51660358"/>
    <w:rsid w:val="51823628"/>
    <w:rsid w:val="51D70113"/>
    <w:rsid w:val="51EC65FE"/>
    <w:rsid w:val="521F1D12"/>
    <w:rsid w:val="5266500A"/>
    <w:rsid w:val="527D08FB"/>
    <w:rsid w:val="527D496D"/>
    <w:rsid w:val="52A410B3"/>
    <w:rsid w:val="53053EE3"/>
    <w:rsid w:val="5318595A"/>
    <w:rsid w:val="532A5B93"/>
    <w:rsid w:val="534478A8"/>
    <w:rsid w:val="536B70CD"/>
    <w:rsid w:val="538A50B1"/>
    <w:rsid w:val="53C443B7"/>
    <w:rsid w:val="543640C4"/>
    <w:rsid w:val="546359FE"/>
    <w:rsid w:val="54B85328"/>
    <w:rsid w:val="54DC63C6"/>
    <w:rsid w:val="55406710"/>
    <w:rsid w:val="5543596A"/>
    <w:rsid w:val="556A671B"/>
    <w:rsid w:val="56085E8D"/>
    <w:rsid w:val="56114DE8"/>
    <w:rsid w:val="5695328E"/>
    <w:rsid w:val="56B948C3"/>
    <w:rsid w:val="56E46EA2"/>
    <w:rsid w:val="56E654A1"/>
    <w:rsid w:val="571758A2"/>
    <w:rsid w:val="574103A7"/>
    <w:rsid w:val="58232D44"/>
    <w:rsid w:val="58425A16"/>
    <w:rsid w:val="5886178A"/>
    <w:rsid w:val="58A23082"/>
    <w:rsid w:val="58AA2D6A"/>
    <w:rsid w:val="58D8057F"/>
    <w:rsid w:val="58F57533"/>
    <w:rsid w:val="58FA2347"/>
    <w:rsid w:val="59684C3C"/>
    <w:rsid w:val="59715A31"/>
    <w:rsid w:val="598A6D5E"/>
    <w:rsid w:val="59AA3524"/>
    <w:rsid w:val="59B90A41"/>
    <w:rsid w:val="59FB1CDC"/>
    <w:rsid w:val="5A1629CD"/>
    <w:rsid w:val="5A696F79"/>
    <w:rsid w:val="5A6A06C9"/>
    <w:rsid w:val="5A8F0385"/>
    <w:rsid w:val="5A943D31"/>
    <w:rsid w:val="5AB218B5"/>
    <w:rsid w:val="5ABD1BBE"/>
    <w:rsid w:val="5B02007D"/>
    <w:rsid w:val="5B7D3C8A"/>
    <w:rsid w:val="5BD952D6"/>
    <w:rsid w:val="5C67165B"/>
    <w:rsid w:val="5C8A1451"/>
    <w:rsid w:val="5CC33CB8"/>
    <w:rsid w:val="5CD13457"/>
    <w:rsid w:val="5D2A673A"/>
    <w:rsid w:val="5D2B0ED0"/>
    <w:rsid w:val="5D55323E"/>
    <w:rsid w:val="5D605DDA"/>
    <w:rsid w:val="5DA327BF"/>
    <w:rsid w:val="5DE16789"/>
    <w:rsid w:val="5E244D3F"/>
    <w:rsid w:val="5E475F20"/>
    <w:rsid w:val="5E487060"/>
    <w:rsid w:val="5E7D16C0"/>
    <w:rsid w:val="5E925214"/>
    <w:rsid w:val="5E9F11E3"/>
    <w:rsid w:val="5EE172F5"/>
    <w:rsid w:val="5EF977BF"/>
    <w:rsid w:val="5F1B40AA"/>
    <w:rsid w:val="5F6D42D3"/>
    <w:rsid w:val="5F7206A6"/>
    <w:rsid w:val="5FA6034F"/>
    <w:rsid w:val="5FC1264B"/>
    <w:rsid w:val="5FCA453C"/>
    <w:rsid w:val="5FE227BF"/>
    <w:rsid w:val="5FFA4CD7"/>
    <w:rsid w:val="60681AA9"/>
    <w:rsid w:val="60850EA0"/>
    <w:rsid w:val="60914033"/>
    <w:rsid w:val="60B8658C"/>
    <w:rsid w:val="60D743CE"/>
    <w:rsid w:val="60E15B0B"/>
    <w:rsid w:val="60E330DB"/>
    <w:rsid w:val="60F332A4"/>
    <w:rsid w:val="6114709C"/>
    <w:rsid w:val="611A43B1"/>
    <w:rsid w:val="61320BEB"/>
    <w:rsid w:val="613E0854"/>
    <w:rsid w:val="61EA40EF"/>
    <w:rsid w:val="62163D51"/>
    <w:rsid w:val="62572CF8"/>
    <w:rsid w:val="62615AFC"/>
    <w:rsid w:val="626219CC"/>
    <w:rsid w:val="626C47A6"/>
    <w:rsid w:val="62782477"/>
    <w:rsid w:val="62F46372"/>
    <w:rsid w:val="632E7C88"/>
    <w:rsid w:val="633775DA"/>
    <w:rsid w:val="634B15C2"/>
    <w:rsid w:val="635E721F"/>
    <w:rsid w:val="636E387A"/>
    <w:rsid w:val="638E6CCB"/>
    <w:rsid w:val="63A0122E"/>
    <w:rsid w:val="63B03563"/>
    <w:rsid w:val="63BC555B"/>
    <w:rsid w:val="63BD3EBA"/>
    <w:rsid w:val="640B5BF0"/>
    <w:rsid w:val="643B7C00"/>
    <w:rsid w:val="64686AD7"/>
    <w:rsid w:val="64901652"/>
    <w:rsid w:val="64F943AD"/>
    <w:rsid w:val="65041398"/>
    <w:rsid w:val="654D1C7D"/>
    <w:rsid w:val="655B02A3"/>
    <w:rsid w:val="656F44FB"/>
    <w:rsid w:val="660214A8"/>
    <w:rsid w:val="663A5F3D"/>
    <w:rsid w:val="663E5F01"/>
    <w:rsid w:val="66430AE1"/>
    <w:rsid w:val="666A732A"/>
    <w:rsid w:val="66976C44"/>
    <w:rsid w:val="66BB10BA"/>
    <w:rsid w:val="66BE68C6"/>
    <w:rsid w:val="6705489B"/>
    <w:rsid w:val="679D40C2"/>
    <w:rsid w:val="67CF5646"/>
    <w:rsid w:val="67D64663"/>
    <w:rsid w:val="67F0048D"/>
    <w:rsid w:val="67F4293F"/>
    <w:rsid w:val="680B72D0"/>
    <w:rsid w:val="681D7FAB"/>
    <w:rsid w:val="682A798A"/>
    <w:rsid w:val="68430937"/>
    <w:rsid w:val="68AE077C"/>
    <w:rsid w:val="68B4186F"/>
    <w:rsid w:val="68BC67E4"/>
    <w:rsid w:val="68D73C6F"/>
    <w:rsid w:val="68DE1BE7"/>
    <w:rsid w:val="691F3186"/>
    <w:rsid w:val="693358F6"/>
    <w:rsid w:val="695B38A9"/>
    <w:rsid w:val="6967621D"/>
    <w:rsid w:val="698D79E2"/>
    <w:rsid w:val="699E5F52"/>
    <w:rsid w:val="69A1521B"/>
    <w:rsid w:val="6A3D3953"/>
    <w:rsid w:val="6A5B17AD"/>
    <w:rsid w:val="6A824822"/>
    <w:rsid w:val="6AF523D3"/>
    <w:rsid w:val="6AFF6ACE"/>
    <w:rsid w:val="6B026DB1"/>
    <w:rsid w:val="6B7A3A92"/>
    <w:rsid w:val="6B8F61C1"/>
    <w:rsid w:val="6B970455"/>
    <w:rsid w:val="6BC009EB"/>
    <w:rsid w:val="6BDC1EAF"/>
    <w:rsid w:val="6C2319AA"/>
    <w:rsid w:val="6C974F09"/>
    <w:rsid w:val="6CEC0BF2"/>
    <w:rsid w:val="6CF2468B"/>
    <w:rsid w:val="6D2259A2"/>
    <w:rsid w:val="6D4C5D1C"/>
    <w:rsid w:val="6D547772"/>
    <w:rsid w:val="6D5C607D"/>
    <w:rsid w:val="6D6D5175"/>
    <w:rsid w:val="6D8D463F"/>
    <w:rsid w:val="6D9A606B"/>
    <w:rsid w:val="6DD066B6"/>
    <w:rsid w:val="6DED13D3"/>
    <w:rsid w:val="6E153270"/>
    <w:rsid w:val="6E3653D3"/>
    <w:rsid w:val="6E7A4B42"/>
    <w:rsid w:val="6E8827BD"/>
    <w:rsid w:val="6E8C1058"/>
    <w:rsid w:val="6EAB7671"/>
    <w:rsid w:val="6EF0607C"/>
    <w:rsid w:val="6F156EF1"/>
    <w:rsid w:val="6F614293"/>
    <w:rsid w:val="6F6E2E43"/>
    <w:rsid w:val="6FAA7DC7"/>
    <w:rsid w:val="6FB66B25"/>
    <w:rsid w:val="6FE446AE"/>
    <w:rsid w:val="6FE77305"/>
    <w:rsid w:val="6FF817DC"/>
    <w:rsid w:val="70087337"/>
    <w:rsid w:val="701324D7"/>
    <w:rsid w:val="70A712AA"/>
    <w:rsid w:val="70DB1960"/>
    <w:rsid w:val="711452F5"/>
    <w:rsid w:val="712E7555"/>
    <w:rsid w:val="7136363E"/>
    <w:rsid w:val="71654B20"/>
    <w:rsid w:val="717E737E"/>
    <w:rsid w:val="71900E5F"/>
    <w:rsid w:val="71931803"/>
    <w:rsid w:val="71D90A58"/>
    <w:rsid w:val="71DD4297"/>
    <w:rsid w:val="71E51A64"/>
    <w:rsid w:val="722F100B"/>
    <w:rsid w:val="72804CD0"/>
    <w:rsid w:val="72A05761"/>
    <w:rsid w:val="72C0328A"/>
    <w:rsid w:val="72D11FC9"/>
    <w:rsid w:val="72E42010"/>
    <w:rsid w:val="732455A8"/>
    <w:rsid w:val="73A11C37"/>
    <w:rsid w:val="73EB6BB4"/>
    <w:rsid w:val="7434641A"/>
    <w:rsid w:val="745A5E80"/>
    <w:rsid w:val="74B80DF9"/>
    <w:rsid w:val="74DA4AE9"/>
    <w:rsid w:val="74EA64FC"/>
    <w:rsid w:val="75091655"/>
    <w:rsid w:val="751267BF"/>
    <w:rsid w:val="75343457"/>
    <w:rsid w:val="75614FED"/>
    <w:rsid w:val="75A736C0"/>
    <w:rsid w:val="75C67851"/>
    <w:rsid w:val="75E579CC"/>
    <w:rsid w:val="76317141"/>
    <w:rsid w:val="76350845"/>
    <w:rsid w:val="767759EB"/>
    <w:rsid w:val="7695128E"/>
    <w:rsid w:val="76DF172A"/>
    <w:rsid w:val="770737D2"/>
    <w:rsid w:val="773668FF"/>
    <w:rsid w:val="778953BF"/>
    <w:rsid w:val="77B5517C"/>
    <w:rsid w:val="7814147B"/>
    <w:rsid w:val="78192FA8"/>
    <w:rsid w:val="78307C29"/>
    <w:rsid w:val="78632729"/>
    <w:rsid w:val="78634E3D"/>
    <w:rsid w:val="78B260EE"/>
    <w:rsid w:val="78C11379"/>
    <w:rsid w:val="79020895"/>
    <w:rsid w:val="795F7A95"/>
    <w:rsid w:val="79A038E7"/>
    <w:rsid w:val="79A05718"/>
    <w:rsid w:val="79B772FD"/>
    <w:rsid w:val="7A6F36CC"/>
    <w:rsid w:val="7A9C63A5"/>
    <w:rsid w:val="7AA238FF"/>
    <w:rsid w:val="7ABF362D"/>
    <w:rsid w:val="7AC34054"/>
    <w:rsid w:val="7B0E2830"/>
    <w:rsid w:val="7B3A3722"/>
    <w:rsid w:val="7B476491"/>
    <w:rsid w:val="7B764DBB"/>
    <w:rsid w:val="7B922396"/>
    <w:rsid w:val="7BBD0633"/>
    <w:rsid w:val="7BDE09E7"/>
    <w:rsid w:val="7BF83889"/>
    <w:rsid w:val="7C2B3C5E"/>
    <w:rsid w:val="7CBE50AF"/>
    <w:rsid w:val="7CC0546B"/>
    <w:rsid w:val="7CC61BD9"/>
    <w:rsid w:val="7D2E4B27"/>
    <w:rsid w:val="7D8F646F"/>
    <w:rsid w:val="7D943A85"/>
    <w:rsid w:val="7DE42994"/>
    <w:rsid w:val="7E09286B"/>
    <w:rsid w:val="7E235C52"/>
    <w:rsid w:val="7E766656"/>
    <w:rsid w:val="7ED10C1A"/>
    <w:rsid w:val="7EDD5687"/>
    <w:rsid w:val="7F0C06CC"/>
    <w:rsid w:val="7F192B90"/>
    <w:rsid w:val="7F2E1544"/>
    <w:rsid w:val="7F604567"/>
    <w:rsid w:val="7F9D05FA"/>
    <w:rsid w:val="7FAB7745"/>
    <w:rsid w:val="7FD60385"/>
    <w:rsid w:val="7FE56DB0"/>
    <w:rsid w:val="9F75A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54"/>
    <w:qFormat/>
    <w:uiPriority w:val="0"/>
    <w:pPr>
      <w:keepNext/>
      <w:keepLines/>
      <w:widowControl/>
      <w:numPr>
        <w:ilvl w:val="0"/>
        <w:numId w:val="1"/>
      </w:numPr>
      <w:ind w:firstLine="0" w:firstLineChars="0"/>
      <w:jc w:val="left"/>
      <w:outlineLvl w:val="0"/>
    </w:pPr>
    <w:rPr>
      <w:rFonts w:ascii="黑体" w:hAnsi="黑体" w:eastAsia="黑体"/>
      <w:b/>
      <w:bCs/>
      <w:kern w:val="44"/>
      <w:sz w:val="28"/>
      <w:szCs w:val="28"/>
      <w:lang w:val="zh-CN"/>
    </w:rPr>
  </w:style>
  <w:style w:type="paragraph" w:styleId="3">
    <w:name w:val="heading 2"/>
    <w:basedOn w:val="1"/>
    <w:next w:val="1"/>
    <w:link w:val="55"/>
    <w:qFormat/>
    <w:uiPriority w:val="0"/>
    <w:pPr>
      <w:keepNext/>
      <w:keepLines/>
      <w:numPr>
        <w:ilvl w:val="1"/>
        <w:numId w:val="1"/>
      </w:numPr>
      <w:ind w:firstLine="0" w:firstLineChars="0"/>
      <w:jc w:val="left"/>
      <w:outlineLvl w:val="1"/>
    </w:pPr>
    <w:rPr>
      <w:rFonts w:ascii="黑体" w:hAnsi="黑体" w:eastAsia="黑体"/>
      <w:b/>
      <w:bCs/>
      <w:szCs w:val="24"/>
      <w:lang w:val="zh-CN"/>
    </w:rPr>
  </w:style>
  <w:style w:type="paragraph" w:styleId="4">
    <w:name w:val="heading 3"/>
    <w:basedOn w:val="1"/>
    <w:next w:val="1"/>
    <w:link w:val="56"/>
    <w:qFormat/>
    <w:uiPriority w:val="0"/>
    <w:pPr>
      <w:keepNext/>
      <w:keepLines/>
      <w:numPr>
        <w:ilvl w:val="2"/>
        <w:numId w:val="1"/>
      </w:numPr>
      <w:ind w:firstLine="0" w:firstLineChars="0"/>
      <w:jc w:val="left"/>
      <w:outlineLvl w:val="2"/>
    </w:pPr>
    <w:rPr>
      <w:rFonts w:ascii="黑体" w:hAnsi="黑体" w:eastAsia="黑体"/>
      <w:b/>
      <w:bCs/>
      <w:szCs w:val="24"/>
      <w:lang w:val="zh-CN"/>
    </w:rPr>
  </w:style>
  <w:style w:type="paragraph" w:styleId="5">
    <w:name w:val="heading 4"/>
    <w:basedOn w:val="1"/>
    <w:next w:val="1"/>
    <w:link w:val="57"/>
    <w:qFormat/>
    <w:uiPriority w:val="99"/>
    <w:pPr>
      <w:keepNext/>
      <w:keepLines/>
      <w:numPr>
        <w:ilvl w:val="3"/>
        <w:numId w:val="1"/>
      </w:numPr>
      <w:ind w:firstLine="0" w:firstLineChars="0"/>
      <w:jc w:val="left"/>
      <w:outlineLvl w:val="3"/>
    </w:pPr>
    <w:rPr>
      <w:rFonts w:ascii="黑体" w:hAnsi="黑体" w:eastAsia="黑体"/>
      <w:szCs w:val="24"/>
      <w:lang w:val="zh-CN"/>
    </w:rPr>
  </w:style>
  <w:style w:type="paragraph" w:styleId="6">
    <w:name w:val="heading 5"/>
    <w:basedOn w:val="1"/>
    <w:next w:val="1"/>
    <w:link w:val="58"/>
    <w:qFormat/>
    <w:uiPriority w:val="0"/>
    <w:pPr>
      <w:keepNext/>
      <w:keepLines/>
      <w:numPr>
        <w:ilvl w:val="4"/>
        <w:numId w:val="1"/>
      </w:numPr>
      <w:ind w:firstLine="0" w:firstLineChars="0"/>
      <w:jc w:val="left"/>
      <w:outlineLvl w:val="4"/>
    </w:pPr>
    <w:rPr>
      <w:rFonts w:ascii="黑体" w:hAnsi="黑体" w:eastAsia="黑体"/>
      <w:szCs w:val="24"/>
      <w:lang w:val="zh-CN"/>
    </w:rPr>
  </w:style>
  <w:style w:type="paragraph" w:styleId="7">
    <w:name w:val="heading 6"/>
    <w:basedOn w:val="1"/>
    <w:next w:val="1"/>
    <w:link w:val="59"/>
    <w:qFormat/>
    <w:uiPriority w:val="0"/>
    <w:pPr>
      <w:keepNext/>
      <w:keepLines/>
      <w:numPr>
        <w:ilvl w:val="6"/>
        <w:numId w:val="1"/>
      </w:numPr>
      <w:ind w:firstLine="0" w:firstLineChars="0"/>
      <w:jc w:val="left"/>
      <w:outlineLvl w:val="5"/>
    </w:pPr>
    <w:rPr>
      <w:rFonts w:ascii="黑体" w:hAnsi="黑体" w:eastAsia="黑体"/>
      <w:szCs w:val="24"/>
      <w:lang w:val="zh-CN"/>
    </w:rPr>
  </w:style>
  <w:style w:type="paragraph" w:styleId="8">
    <w:name w:val="heading 7"/>
    <w:basedOn w:val="1"/>
    <w:next w:val="1"/>
    <w:link w:val="60"/>
    <w:qFormat/>
    <w:uiPriority w:val="0"/>
    <w:pPr>
      <w:keepNext/>
      <w:keepLines/>
      <w:spacing w:before="240" w:after="64" w:line="320" w:lineRule="auto"/>
      <w:ind w:firstLine="0" w:firstLineChars="0"/>
      <w:outlineLvl w:val="6"/>
    </w:pPr>
    <w:rPr>
      <w:b/>
      <w:bCs/>
      <w:szCs w:val="24"/>
    </w:rPr>
  </w:style>
  <w:style w:type="paragraph" w:styleId="9">
    <w:name w:val="heading 8"/>
    <w:basedOn w:val="1"/>
    <w:next w:val="1"/>
    <w:link w:val="61"/>
    <w:qFormat/>
    <w:uiPriority w:val="9"/>
    <w:pPr>
      <w:keepNext/>
      <w:keepLines/>
      <w:numPr>
        <w:ilvl w:val="7"/>
        <w:numId w:val="1"/>
      </w:numPr>
      <w:spacing w:before="240" w:after="64" w:line="320" w:lineRule="auto"/>
      <w:ind w:firstLine="0" w:firstLineChars="0"/>
      <w:outlineLvl w:val="7"/>
    </w:pPr>
    <w:rPr>
      <w:rFonts w:ascii="Cambria" w:hAnsi="Cambria"/>
      <w:szCs w:val="24"/>
    </w:rPr>
  </w:style>
  <w:style w:type="paragraph" w:styleId="10">
    <w:name w:val="heading 9"/>
    <w:basedOn w:val="1"/>
    <w:next w:val="1"/>
    <w:link w:val="62"/>
    <w:qFormat/>
    <w:uiPriority w:val="0"/>
    <w:pPr>
      <w:keepNext/>
      <w:keepLines/>
      <w:numPr>
        <w:ilvl w:val="8"/>
        <w:numId w:val="1"/>
      </w:numPr>
      <w:spacing w:before="240" w:after="64" w:line="320" w:lineRule="auto"/>
      <w:ind w:firstLine="0" w:firstLineChars="0"/>
      <w:outlineLvl w:val="8"/>
    </w:pPr>
    <w:rPr>
      <w:rFonts w:ascii="Cambria" w:hAnsi="Cambria"/>
      <w:sz w:val="21"/>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spacing w:line="240" w:lineRule="auto"/>
      <w:ind w:left="2940" w:firstLine="0" w:firstLineChars="0"/>
    </w:pPr>
    <w:rPr>
      <w:sz w:val="21"/>
      <w:szCs w:val="24"/>
    </w:rPr>
  </w:style>
  <w:style w:type="paragraph" w:styleId="12">
    <w:name w:val="List Number"/>
    <w:basedOn w:val="1"/>
    <w:qFormat/>
    <w:uiPriority w:val="0"/>
    <w:pPr>
      <w:widowControl/>
      <w:tabs>
        <w:tab w:val="left" w:pos="454"/>
        <w:tab w:val="left" w:pos="720"/>
        <w:tab w:val="left" w:pos="840"/>
      </w:tabs>
      <w:spacing w:afterLines="50" w:line="240" w:lineRule="auto"/>
      <w:ind w:left="454" w:hanging="284" w:firstLineChars="0"/>
      <w:jc w:val="left"/>
    </w:pPr>
    <w:rPr>
      <w:kern w:val="0"/>
      <w:szCs w:val="20"/>
    </w:rPr>
  </w:style>
  <w:style w:type="paragraph" w:styleId="13">
    <w:name w:val="Normal Indent"/>
    <w:basedOn w:val="1"/>
    <w:link w:val="63"/>
    <w:qFormat/>
    <w:uiPriority w:val="0"/>
    <w:pPr>
      <w:spacing w:line="240" w:lineRule="auto"/>
      <w:ind w:firstLine="420" w:firstLineChars="0"/>
    </w:pPr>
    <w:rPr>
      <w:sz w:val="21"/>
      <w:szCs w:val="20"/>
    </w:rPr>
  </w:style>
  <w:style w:type="paragraph" w:styleId="14">
    <w:name w:val="caption"/>
    <w:basedOn w:val="1"/>
    <w:next w:val="1"/>
    <w:qFormat/>
    <w:uiPriority w:val="0"/>
    <w:pPr>
      <w:ind w:firstLine="0" w:firstLineChars="0"/>
      <w:jc w:val="center"/>
    </w:pPr>
    <w:rPr>
      <w:rFonts w:ascii="Cambria" w:hAnsi="Cambria" w:eastAsia="黑体"/>
      <w:sz w:val="20"/>
      <w:szCs w:val="20"/>
    </w:rPr>
  </w:style>
  <w:style w:type="paragraph" w:styleId="15">
    <w:name w:val="Document Map"/>
    <w:basedOn w:val="1"/>
    <w:link w:val="64"/>
    <w:unhideWhenUsed/>
    <w:qFormat/>
    <w:uiPriority w:val="0"/>
    <w:pPr>
      <w:spacing w:line="240" w:lineRule="auto"/>
      <w:ind w:firstLine="0" w:firstLineChars="0"/>
    </w:pPr>
    <w:rPr>
      <w:rFonts w:ascii="宋体"/>
      <w:sz w:val="18"/>
      <w:szCs w:val="18"/>
    </w:rPr>
  </w:style>
  <w:style w:type="paragraph" w:styleId="16">
    <w:name w:val="annotation text"/>
    <w:basedOn w:val="1"/>
    <w:link w:val="65"/>
    <w:unhideWhenUsed/>
    <w:qFormat/>
    <w:uiPriority w:val="0"/>
    <w:pPr>
      <w:jc w:val="left"/>
    </w:pPr>
  </w:style>
  <w:style w:type="paragraph" w:styleId="17">
    <w:name w:val="Body Text 3"/>
    <w:basedOn w:val="1"/>
    <w:link w:val="66"/>
    <w:qFormat/>
    <w:uiPriority w:val="0"/>
    <w:pPr>
      <w:spacing w:line="240" w:lineRule="exact"/>
      <w:ind w:firstLine="0" w:firstLineChars="0"/>
    </w:pPr>
    <w:rPr>
      <w:rFonts w:ascii="宋体" w:hAnsi="宋体"/>
      <w:color w:val="000000"/>
      <w:sz w:val="21"/>
      <w:szCs w:val="21"/>
    </w:rPr>
  </w:style>
  <w:style w:type="paragraph" w:styleId="18">
    <w:name w:val="Body Text"/>
    <w:basedOn w:val="1"/>
    <w:link w:val="67"/>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19">
    <w:name w:val="Body Text Indent"/>
    <w:basedOn w:val="1"/>
    <w:next w:val="20"/>
    <w:link w:val="69"/>
    <w:unhideWhenUsed/>
    <w:qFormat/>
    <w:uiPriority w:val="0"/>
    <w:pPr>
      <w:spacing w:after="120" w:line="240" w:lineRule="auto"/>
      <w:ind w:left="420" w:leftChars="200" w:firstLine="0" w:firstLineChars="0"/>
    </w:pPr>
    <w:rPr>
      <w:sz w:val="21"/>
      <w:szCs w:val="24"/>
    </w:rPr>
  </w:style>
  <w:style w:type="paragraph" w:styleId="20">
    <w:name w:val="envelope return"/>
    <w:basedOn w:val="1"/>
    <w:qFormat/>
    <w:uiPriority w:val="0"/>
    <w:pPr>
      <w:snapToGrid w:val="0"/>
    </w:pPr>
    <w:rPr>
      <w:rFonts w:ascii="Arial" w:hAnsi="Arial"/>
    </w:rPr>
  </w:style>
  <w:style w:type="paragraph" w:styleId="21">
    <w:name w:val="List Number 3"/>
    <w:basedOn w:val="1"/>
    <w:qFormat/>
    <w:uiPriority w:val="0"/>
    <w:pPr>
      <w:tabs>
        <w:tab w:val="left" w:pos="1350"/>
      </w:tabs>
      <w:spacing w:line="240" w:lineRule="auto"/>
      <w:ind w:left="1350" w:hanging="720" w:firstLineChars="0"/>
    </w:pPr>
    <w:rPr>
      <w:sz w:val="21"/>
      <w:szCs w:val="24"/>
    </w:rPr>
  </w:style>
  <w:style w:type="paragraph" w:styleId="22">
    <w:name w:val="List 2"/>
    <w:basedOn w:val="1"/>
    <w:qFormat/>
    <w:uiPriority w:val="0"/>
    <w:pPr>
      <w:spacing w:line="240" w:lineRule="auto"/>
      <w:ind w:left="100" w:leftChars="200" w:hanging="200" w:hangingChars="200"/>
    </w:pPr>
    <w:rPr>
      <w:sz w:val="28"/>
      <w:szCs w:val="24"/>
    </w:rPr>
  </w:style>
  <w:style w:type="paragraph" w:styleId="23">
    <w:name w:val="Block Text"/>
    <w:basedOn w:val="1"/>
    <w:qFormat/>
    <w:uiPriority w:val="0"/>
    <w:pPr>
      <w:adjustRightInd w:val="0"/>
      <w:spacing w:line="240" w:lineRule="auto"/>
      <w:ind w:left="420" w:right="33" w:firstLine="0" w:firstLineChars="0"/>
      <w:jc w:val="left"/>
      <w:textAlignment w:val="baseline"/>
    </w:pPr>
    <w:rPr>
      <w:kern w:val="0"/>
      <w:szCs w:val="20"/>
    </w:rPr>
  </w:style>
  <w:style w:type="paragraph" w:styleId="24">
    <w:name w:val="toc 3"/>
    <w:basedOn w:val="1"/>
    <w:next w:val="1"/>
    <w:unhideWhenUsed/>
    <w:qFormat/>
    <w:uiPriority w:val="39"/>
    <w:pPr>
      <w:ind w:left="840" w:leftChars="400" w:firstLine="0" w:firstLineChars="0"/>
    </w:pPr>
    <w:rPr>
      <w:rFonts w:ascii="Calibri" w:hAnsi="Calibri"/>
    </w:rPr>
  </w:style>
  <w:style w:type="paragraph" w:styleId="25">
    <w:name w:val="Plain Text"/>
    <w:basedOn w:val="1"/>
    <w:link w:val="70"/>
    <w:qFormat/>
    <w:uiPriority w:val="0"/>
    <w:pPr>
      <w:spacing w:line="460" w:lineRule="exact"/>
      <w:ind w:firstLine="0" w:firstLineChars="0"/>
    </w:pPr>
    <w:rPr>
      <w:lang w:val="en-GB"/>
    </w:rPr>
  </w:style>
  <w:style w:type="paragraph" w:styleId="26">
    <w:name w:val="Date"/>
    <w:basedOn w:val="1"/>
    <w:next w:val="1"/>
    <w:link w:val="71"/>
    <w:unhideWhenUsed/>
    <w:qFormat/>
    <w:uiPriority w:val="0"/>
    <w:pPr>
      <w:ind w:left="100" w:leftChars="2500"/>
    </w:pPr>
  </w:style>
  <w:style w:type="paragraph" w:styleId="27">
    <w:name w:val="Body Text Indent 2"/>
    <w:basedOn w:val="1"/>
    <w:link w:val="72"/>
    <w:unhideWhenUsed/>
    <w:qFormat/>
    <w:uiPriority w:val="0"/>
    <w:pPr>
      <w:spacing w:after="120" w:line="480" w:lineRule="auto"/>
      <w:ind w:left="420" w:leftChars="200" w:firstLine="0" w:firstLineChars="0"/>
    </w:pPr>
    <w:rPr>
      <w:sz w:val="21"/>
      <w:szCs w:val="20"/>
    </w:rPr>
  </w:style>
  <w:style w:type="paragraph" w:styleId="28">
    <w:name w:val="Balloon Text"/>
    <w:basedOn w:val="1"/>
    <w:link w:val="73"/>
    <w:unhideWhenUsed/>
    <w:qFormat/>
    <w:uiPriority w:val="0"/>
    <w:pPr>
      <w:spacing w:line="240" w:lineRule="auto"/>
    </w:pPr>
    <w:rPr>
      <w:sz w:val="18"/>
      <w:szCs w:val="18"/>
    </w:rPr>
  </w:style>
  <w:style w:type="paragraph" w:styleId="29">
    <w:name w:val="footer"/>
    <w:basedOn w:val="1"/>
    <w:link w:val="74"/>
    <w:unhideWhenUsed/>
    <w:qFormat/>
    <w:uiPriority w:val="99"/>
    <w:pPr>
      <w:tabs>
        <w:tab w:val="center" w:pos="4153"/>
        <w:tab w:val="right" w:pos="8306"/>
      </w:tabs>
      <w:snapToGrid w:val="0"/>
      <w:jc w:val="left"/>
    </w:pPr>
    <w:rPr>
      <w:sz w:val="18"/>
      <w:szCs w:val="18"/>
    </w:rPr>
  </w:style>
  <w:style w:type="paragraph" w:styleId="30">
    <w:name w:val="header"/>
    <w:basedOn w:val="1"/>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ind w:firstLine="0" w:firstLineChars="0"/>
    </w:pPr>
    <w:rPr>
      <w:rFonts w:ascii="Calibri" w:hAnsi="Calibri"/>
      <w:b/>
    </w:rPr>
  </w:style>
  <w:style w:type="paragraph" w:styleId="32">
    <w:name w:val="toc 4"/>
    <w:basedOn w:val="1"/>
    <w:next w:val="1"/>
    <w:qFormat/>
    <w:uiPriority w:val="39"/>
    <w:pPr>
      <w:spacing w:line="240" w:lineRule="auto"/>
      <w:ind w:left="630" w:firstLine="0" w:firstLineChars="0"/>
      <w:jc w:val="left"/>
    </w:pPr>
    <w:rPr>
      <w:sz w:val="18"/>
      <w:szCs w:val="18"/>
    </w:rPr>
  </w:style>
  <w:style w:type="paragraph" w:styleId="33">
    <w:name w:val="List"/>
    <w:basedOn w:val="1"/>
    <w:qFormat/>
    <w:uiPriority w:val="0"/>
    <w:pPr>
      <w:spacing w:line="240" w:lineRule="auto"/>
      <w:ind w:left="200" w:hanging="200" w:hangingChars="200"/>
    </w:pPr>
    <w:rPr>
      <w:sz w:val="28"/>
      <w:szCs w:val="24"/>
    </w:rPr>
  </w:style>
  <w:style w:type="paragraph" w:styleId="34">
    <w:name w:val="List 5"/>
    <w:basedOn w:val="1"/>
    <w:qFormat/>
    <w:uiPriority w:val="0"/>
    <w:pPr>
      <w:spacing w:line="240" w:lineRule="auto"/>
      <w:ind w:left="2100" w:hanging="420" w:firstLineChars="0"/>
    </w:pPr>
    <w:rPr>
      <w:sz w:val="21"/>
      <w:szCs w:val="20"/>
    </w:rPr>
  </w:style>
  <w:style w:type="paragraph" w:styleId="35">
    <w:name w:val="Body Text Indent 3"/>
    <w:basedOn w:val="1"/>
    <w:link w:val="76"/>
    <w:unhideWhenUsed/>
    <w:qFormat/>
    <w:uiPriority w:val="0"/>
    <w:pPr>
      <w:spacing w:after="120" w:line="240" w:lineRule="auto"/>
      <w:ind w:left="420" w:leftChars="200" w:firstLine="0" w:firstLineChars="0"/>
    </w:pPr>
    <w:rPr>
      <w:sz w:val="16"/>
      <w:szCs w:val="16"/>
    </w:rPr>
  </w:style>
  <w:style w:type="paragraph" w:styleId="36">
    <w:name w:val="toc 2"/>
    <w:basedOn w:val="1"/>
    <w:next w:val="1"/>
    <w:unhideWhenUsed/>
    <w:qFormat/>
    <w:uiPriority w:val="39"/>
    <w:pPr>
      <w:ind w:left="420" w:leftChars="200" w:firstLine="0" w:firstLineChars="0"/>
    </w:pPr>
    <w:rPr>
      <w:rFonts w:ascii="Calibri" w:hAnsi="Calibri"/>
    </w:rPr>
  </w:style>
  <w:style w:type="paragraph" w:styleId="37">
    <w:name w:val="Body Text 2"/>
    <w:basedOn w:val="1"/>
    <w:link w:val="77"/>
    <w:qFormat/>
    <w:uiPriority w:val="0"/>
    <w:pPr>
      <w:spacing w:after="120" w:line="480" w:lineRule="auto"/>
      <w:ind w:firstLine="0" w:firstLineChars="0"/>
    </w:pPr>
    <w:rPr>
      <w:sz w:val="21"/>
      <w:szCs w:val="24"/>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39">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40">
    <w:name w:val="index 1"/>
    <w:basedOn w:val="1"/>
    <w:next w:val="1"/>
    <w:semiHidden/>
    <w:qFormat/>
    <w:uiPriority w:val="0"/>
    <w:pPr>
      <w:spacing w:line="400" w:lineRule="exact"/>
      <w:ind w:firstLine="420"/>
    </w:pPr>
    <w:rPr>
      <w:rFonts w:ascii="宋体" w:hAnsi="Courier New"/>
      <w:b/>
      <w:sz w:val="21"/>
      <w:szCs w:val="20"/>
    </w:rPr>
  </w:style>
  <w:style w:type="paragraph" w:styleId="41">
    <w:name w:val="Title"/>
    <w:basedOn w:val="1"/>
    <w:next w:val="1"/>
    <w:link w:val="68"/>
    <w:qFormat/>
    <w:uiPriority w:val="0"/>
    <w:pPr>
      <w:spacing w:before="240" w:after="60" w:line="240" w:lineRule="auto"/>
      <w:ind w:firstLine="0" w:firstLineChars="0"/>
      <w:jc w:val="center"/>
      <w:outlineLvl w:val="0"/>
    </w:pPr>
    <w:rPr>
      <w:rFonts w:ascii="Cambria" w:hAnsi="Cambria"/>
      <w:b/>
      <w:bCs/>
      <w:sz w:val="32"/>
      <w:szCs w:val="32"/>
    </w:rPr>
  </w:style>
  <w:style w:type="paragraph" w:styleId="42">
    <w:name w:val="annotation subject"/>
    <w:basedOn w:val="16"/>
    <w:next w:val="16"/>
    <w:link w:val="79"/>
    <w:unhideWhenUsed/>
    <w:qFormat/>
    <w:uiPriority w:val="0"/>
    <w:rPr>
      <w:b/>
      <w:bCs/>
    </w:rPr>
  </w:style>
  <w:style w:type="paragraph" w:styleId="43">
    <w:name w:val="Body Text First Indent"/>
    <w:basedOn w:val="18"/>
    <w:unhideWhenUsed/>
    <w:qFormat/>
    <w:uiPriority w:val="99"/>
    <w:pPr>
      <w:ind w:firstLine="420" w:firstLineChars="100"/>
    </w:pPr>
    <w:rPr>
      <w:rFonts w:ascii="Calibri" w:hAnsi="Calibri" w:cs="Times New Roman"/>
      <w:szCs w:val="24"/>
    </w:rPr>
  </w:style>
  <w:style w:type="paragraph" w:styleId="44">
    <w:name w:val="Body Text First Indent 2"/>
    <w:basedOn w:val="19"/>
    <w:link w:val="80"/>
    <w:unhideWhenUsed/>
    <w:qFormat/>
    <w:uiPriority w:val="0"/>
    <w:pPr>
      <w:ind w:firstLine="420" w:firstLineChars="200"/>
    </w:pPr>
  </w:style>
  <w:style w:type="table" w:styleId="46">
    <w:name w:val="Table Grid"/>
    <w:basedOn w:val="4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qFormat/>
    <w:uiPriority w:val="0"/>
  </w:style>
  <w:style w:type="character" w:styleId="50">
    <w:name w:val="FollowedHyperlink"/>
    <w:unhideWhenUsed/>
    <w:qFormat/>
    <w:uiPriority w:val="0"/>
    <w:rPr>
      <w:color w:val="800080"/>
      <w:u w:val="single"/>
    </w:rPr>
  </w:style>
  <w:style w:type="character" w:styleId="51">
    <w:name w:val="Emphasis"/>
    <w:qFormat/>
    <w:uiPriority w:val="0"/>
  </w:style>
  <w:style w:type="character" w:styleId="52">
    <w:name w:val="Hyperlink"/>
    <w:unhideWhenUsed/>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1 Char"/>
    <w:link w:val="2"/>
    <w:qFormat/>
    <w:uiPriority w:val="0"/>
    <w:rPr>
      <w:rFonts w:ascii="黑体" w:hAnsi="黑体" w:eastAsia="黑体"/>
      <w:b/>
      <w:bCs/>
      <w:kern w:val="44"/>
      <w:sz w:val="28"/>
      <w:szCs w:val="28"/>
      <w:lang w:val="zh-CN"/>
    </w:rPr>
  </w:style>
  <w:style w:type="character" w:customStyle="1" w:styleId="55">
    <w:name w:val="标题 2 Char"/>
    <w:link w:val="3"/>
    <w:qFormat/>
    <w:uiPriority w:val="0"/>
    <w:rPr>
      <w:rFonts w:ascii="黑体" w:hAnsi="黑体" w:eastAsia="黑体"/>
      <w:b/>
      <w:bCs/>
      <w:kern w:val="2"/>
      <w:sz w:val="24"/>
      <w:szCs w:val="24"/>
      <w:lang w:val="zh-CN"/>
    </w:rPr>
  </w:style>
  <w:style w:type="character" w:customStyle="1" w:styleId="56">
    <w:name w:val="标题 3 Char"/>
    <w:link w:val="4"/>
    <w:qFormat/>
    <w:uiPriority w:val="0"/>
    <w:rPr>
      <w:rFonts w:ascii="黑体" w:hAnsi="黑体" w:eastAsia="黑体"/>
      <w:b/>
      <w:bCs/>
      <w:kern w:val="2"/>
      <w:sz w:val="24"/>
      <w:szCs w:val="24"/>
      <w:lang w:val="zh-CN"/>
    </w:rPr>
  </w:style>
  <w:style w:type="character" w:customStyle="1" w:styleId="57">
    <w:name w:val="标题 4 Char"/>
    <w:link w:val="5"/>
    <w:qFormat/>
    <w:uiPriority w:val="99"/>
    <w:rPr>
      <w:rFonts w:ascii="黑体" w:hAnsi="黑体" w:eastAsia="黑体"/>
      <w:kern w:val="2"/>
      <w:sz w:val="24"/>
      <w:szCs w:val="24"/>
      <w:lang w:val="zh-CN"/>
    </w:rPr>
  </w:style>
  <w:style w:type="character" w:customStyle="1" w:styleId="58">
    <w:name w:val="标题 5 Char"/>
    <w:link w:val="6"/>
    <w:qFormat/>
    <w:uiPriority w:val="0"/>
    <w:rPr>
      <w:rFonts w:ascii="黑体" w:hAnsi="黑体" w:eastAsia="黑体"/>
      <w:kern w:val="2"/>
      <w:sz w:val="24"/>
      <w:szCs w:val="24"/>
      <w:lang w:val="zh-CN"/>
    </w:rPr>
  </w:style>
  <w:style w:type="character" w:customStyle="1" w:styleId="59">
    <w:name w:val="标题 6 Char"/>
    <w:link w:val="7"/>
    <w:qFormat/>
    <w:uiPriority w:val="0"/>
    <w:rPr>
      <w:rFonts w:ascii="黑体" w:hAnsi="黑体" w:eastAsia="黑体"/>
      <w:kern w:val="2"/>
      <w:sz w:val="24"/>
      <w:szCs w:val="24"/>
      <w:lang w:val="zh-CN"/>
    </w:rPr>
  </w:style>
  <w:style w:type="character" w:customStyle="1" w:styleId="60">
    <w:name w:val="标题 7 Char"/>
    <w:link w:val="8"/>
    <w:qFormat/>
    <w:uiPriority w:val="0"/>
    <w:rPr>
      <w:rFonts w:eastAsia="宋体"/>
      <w:b/>
      <w:bCs/>
      <w:sz w:val="24"/>
      <w:szCs w:val="24"/>
    </w:rPr>
  </w:style>
  <w:style w:type="character" w:customStyle="1" w:styleId="61">
    <w:name w:val="标题 8 Char"/>
    <w:link w:val="9"/>
    <w:qFormat/>
    <w:uiPriority w:val="9"/>
    <w:rPr>
      <w:rFonts w:ascii="Cambria" w:hAnsi="Cambria"/>
      <w:kern w:val="2"/>
      <w:sz w:val="24"/>
      <w:szCs w:val="24"/>
    </w:rPr>
  </w:style>
  <w:style w:type="character" w:customStyle="1" w:styleId="62">
    <w:name w:val="标题 9 Char"/>
    <w:link w:val="10"/>
    <w:qFormat/>
    <w:uiPriority w:val="0"/>
    <w:rPr>
      <w:rFonts w:ascii="Cambria" w:hAnsi="Cambria"/>
      <w:kern w:val="2"/>
      <w:sz w:val="21"/>
      <w:szCs w:val="21"/>
    </w:rPr>
  </w:style>
  <w:style w:type="character" w:customStyle="1" w:styleId="63">
    <w:name w:val="正文缩进 Char"/>
    <w:link w:val="13"/>
    <w:qFormat/>
    <w:locked/>
    <w:uiPriority w:val="0"/>
    <w:rPr>
      <w:rFonts w:ascii="Times New Roman" w:hAnsi="Times New Roman"/>
      <w:kern w:val="2"/>
      <w:sz w:val="21"/>
    </w:rPr>
  </w:style>
  <w:style w:type="character" w:customStyle="1" w:styleId="64">
    <w:name w:val="文档结构图 Char1"/>
    <w:link w:val="15"/>
    <w:qFormat/>
    <w:uiPriority w:val="0"/>
    <w:rPr>
      <w:rFonts w:ascii="宋体" w:hAnsi="Times New Roman"/>
      <w:kern w:val="2"/>
      <w:sz w:val="18"/>
      <w:szCs w:val="18"/>
    </w:rPr>
  </w:style>
  <w:style w:type="character" w:customStyle="1" w:styleId="65">
    <w:name w:val="批注文字 Char"/>
    <w:link w:val="16"/>
    <w:qFormat/>
    <w:uiPriority w:val="0"/>
    <w:rPr>
      <w:rFonts w:eastAsia="宋体"/>
      <w:sz w:val="24"/>
    </w:rPr>
  </w:style>
  <w:style w:type="character" w:customStyle="1" w:styleId="66">
    <w:name w:val="正文文本 3 Char"/>
    <w:link w:val="17"/>
    <w:qFormat/>
    <w:uiPriority w:val="0"/>
    <w:rPr>
      <w:rFonts w:ascii="宋体" w:hAnsi="宋体"/>
      <w:color w:val="000000"/>
      <w:kern w:val="2"/>
      <w:sz w:val="21"/>
      <w:szCs w:val="21"/>
    </w:rPr>
  </w:style>
  <w:style w:type="character" w:customStyle="1" w:styleId="67">
    <w:name w:val="正文文本 Char"/>
    <w:link w:val="18"/>
    <w:qFormat/>
    <w:uiPriority w:val="0"/>
    <w:rPr>
      <w:rFonts w:ascii="宋体" w:hAnsi="宋体" w:eastAsia="宋体" w:cs="宋体"/>
      <w:kern w:val="0"/>
      <w:szCs w:val="21"/>
      <w:lang w:val="zh-CN" w:bidi="zh-CN"/>
    </w:rPr>
  </w:style>
  <w:style w:type="character" w:customStyle="1" w:styleId="68">
    <w:name w:val="标题 Char"/>
    <w:link w:val="41"/>
    <w:qFormat/>
    <w:uiPriority w:val="0"/>
    <w:rPr>
      <w:rFonts w:ascii="Cambria" w:hAnsi="Cambria"/>
      <w:b/>
      <w:bCs/>
      <w:kern w:val="2"/>
      <w:sz w:val="32"/>
      <w:szCs w:val="32"/>
    </w:rPr>
  </w:style>
  <w:style w:type="character" w:customStyle="1" w:styleId="69">
    <w:name w:val="正文文本缩进 Char1"/>
    <w:link w:val="19"/>
    <w:qFormat/>
    <w:uiPriority w:val="0"/>
    <w:rPr>
      <w:rFonts w:ascii="Times New Roman" w:hAnsi="Times New Roman"/>
      <w:kern w:val="2"/>
      <w:sz w:val="21"/>
      <w:szCs w:val="24"/>
    </w:rPr>
  </w:style>
  <w:style w:type="character" w:customStyle="1" w:styleId="70">
    <w:name w:val="纯文本 Char"/>
    <w:link w:val="25"/>
    <w:qFormat/>
    <w:uiPriority w:val="0"/>
    <w:rPr>
      <w:rFonts w:eastAsia="宋体"/>
      <w:sz w:val="24"/>
      <w:lang w:val="en-GB"/>
    </w:rPr>
  </w:style>
  <w:style w:type="character" w:customStyle="1" w:styleId="71">
    <w:name w:val="日期 Char"/>
    <w:link w:val="26"/>
    <w:qFormat/>
    <w:uiPriority w:val="0"/>
    <w:rPr>
      <w:rFonts w:eastAsia="宋体"/>
      <w:sz w:val="24"/>
    </w:rPr>
  </w:style>
  <w:style w:type="character" w:customStyle="1" w:styleId="72">
    <w:name w:val="正文文本缩进 2 Char"/>
    <w:link w:val="27"/>
    <w:qFormat/>
    <w:uiPriority w:val="0"/>
    <w:rPr>
      <w:rFonts w:ascii="Times New Roman" w:hAnsi="Times New Roman"/>
      <w:kern w:val="2"/>
      <w:sz w:val="21"/>
    </w:rPr>
  </w:style>
  <w:style w:type="character" w:customStyle="1" w:styleId="73">
    <w:name w:val="批注框文本 Char"/>
    <w:link w:val="28"/>
    <w:qFormat/>
    <w:uiPriority w:val="0"/>
    <w:rPr>
      <w:rFonts w:eastAsia="宋体"/>
      <w:sz w:val="18"/>
      <w:szCs w:val="18"/>
    </w:rPr>
  </w:style>
  <w:style w:type="character" w:customStyle="1" w:styleId="74">
    <w:name w:val="页脚 Char"/>
    <w:link w:val="29"/>
    <w:qFormat/>
    <w:uiPriority w:val="99"/>
    <w:rPr>
      <w:sz w:val="18"/>
      <w:szCs w:val="18"/>
    </w:rPr>
  </w:style>
  <w:style w:type="character" w:customStyle="1" w:styleId="75">
    <w:name w:val="页眉 Char"/>
    <w:link w:val="30"/>
    <w:qFormat/>
    <w:uiPriority w:val="99"/>
    <w:rPr>
      <w:sz w:val="18"/>
      <w:szCs w:val="18"/>
    </w:rPr>
  </w:style>
  <w:style w:type="character" w:customStyle="1" w:styleId="76">
    <w:name w:val="正文文本缩进 3 Char"/>
    <w:link w:val="35"/>
    <w:qFormat/>
    <w:uiPriority w:val="0"/>
    <w:rPr>
      <w:rFonts w:ascii="Times New Roman" w:hAnsi="Times New Roman"/>
      <w:kern w:val="2"/>
      <w:sz w:val="16"/>
      <w:szCs w:val="16"/>
    </w:rPr>
  </w:style>
  <w:style w:type="character" w:customStyle="1" w:styleId="77">
    <w:name w:val="正文文本 2 Char"/>
    <w:link w:val="37"/>
    <w:qFormat/>
    <w:uiPriority w:val="0"/>
    <w:rPr>
      <w:rFonts w:ascii="Times New Roman" w:hAnsi="Times New Roman"/>
      <w:kern w:val="2"/>
      <w:sz w:val="21"/>
      <w:szCs w:val="24"/>
    </w:rPr>
  </w:style>
  <w:style w:type="character" w:customStyle="1" w:styleId="78">
    <w:name w:val="HTML 预设格式 Char"/>
    <w:link w:val="38"/>
    <w:qFormat/>
    <w:uiPriority w:val="0"/>
    <w:rPr>
      <w:rFonts w:ascii="宋体" w:hAnsi="宋体"/>
      <w:sz w:val="24"/>
      <w:szCs w:val="24"/>
    </w:rPr>
  </w:style>
  <w:style w:type="character" w:customStyle="1" w:styleId="79">
    <w:name w:val="批注主题 Char"/>
    <w:link w:val="42"/>
    <w:qFormat/>
    <w:uiPriority w:val="0"/>
    <w:rPr>
      <w:b/>
      <w:bCs/>
    </w:rPr>
  </w:style>
  <w:style w:type="character" w:customStyle="1" w:styleId="80">
    <w:name w:val="正文首行缩进 2 Char"/>
    <w:link w:val="44"/>
    <w:qFormat/>
    <w:uiPriority w:val="0"/>
    <w:rPr>
      <w:rFonts w:ascii="Times New Roman" w:hAnsi="Times New Roman"/>
      <w:sz w:val="21"/>
      <w:szCs w:val="24"/>
    </w:rPr>
  </w:style>
  <w:style w:type="character" w:customStyle="1" w:styleId="81">
    <w:name w:val="纯文本 Char3"/>
    <w:qFormat/>
    <w:uiPriority w:val="0"/>
    <w:rPr>
      <w:rFonts w:ascii="宋体" w:hAnsi="Courier New"/>
      <w:szCs w:val="21"/>
    </w:rPr>
  </w:style>
  <w:style w:type="character" w:customStyle="1" w:styleId="82">
    <w:name w:val="style291"/>
    <w:qFormat/>
    <w:uiPriority w:val="0"/>
    <w:rPr>
      <w:rFonts w:hint="eastAsia" w:ascii="仿宋_GB2312" w:eastAsia="仿宋_GB2312"/>
    </w:rPr>
  </w:style>
  <w:style w:type="character" w:customStyle="1" w:styleId="83">
    <w:name w:val="标题 8 Char1"/>
    <w:semiHidden/>
    <w:qFormat/>
    <w:uiPriority w:val="0"/>
    <w:rPr>
      <w:rFonts w:ascii="Cambria" w:hAnsi="Cambria" w:eastAsia="宋体" w:cs="Times New Roman"/>
      <w:kern w:val="2"/>
      <w:sz w:val="24"/>
      <w:szCs w:val="24"/>
    </w:rPr>
  </w:style>
  <w:style w:type="character" w:customStyle="1" w:styleId="84">
    <w:name w:val="表格正文 Char"/>
    <w:link w:val="85"/>
    <w:qFormat/>
    <w:locked/>
    <w:uiPriority w:val="0"/>
    <w:rPr>
      <w:szCs w:val="24"/>
    </w:rPr>
  </w:style>
  <w:style w:type="paragraph" w:customStyle="1" w:styleId="85">
    <w:name w:val="表格正文"/>
    <w:basedOn w:val="1"/>
    <w:link w:val="84"/>
    <w:qFormat/>
    <w:uiPriority w:val="0"/>
    <w:pPr>
      <w:ind w:firstLine="0" w:firstLineChars="0"/>
    </w:pPr>
    <w:rPr>
      <w:kern w:val="0"/>
      <w:sz w:val="20"/>
      <w:szCs w:val="24"/>
    </w:rPr>
  </w:style>
  <w:style w:type="character" w:customStyle="1" w:styleId="86">
    <w:name w:val="A正文小四 Char"/>
    <w:link w:val="87"/>
    <w:qFormat/>
    <w:uiPriority w:val="0"/>
    <w:rPr>
      <w:sz w:val="24"/>
      <w:szCs w:val="24"/>
    </w:rPr>
  </w:style>
  <w:style w:type="paragraph" w:customStyle="1" w:styleId="87">
    <w:name w:val="A正文小四"/>
    <w:basedOn w:val="1"/>
    <w:link w:val="86"/>
    <w:qFormat/>
    <w:uiPriority w:val="0"/>
    <w:rPr>
      <w:kern w:val="0"/>
      <w:szCs w:val="24"/>
    </w:rPr>
  </w:style>
  <w:style w:type="character" w:customStyle="1" w:styleId="88">
    <w:name w:val="标题 Char1"/>
    <w:qFormat/>
    <w:uiPriority w:val="0"/>
    <w:rPr>
      <w:rFonts w:ascii="Cambria" w:hAnsi="Cambria" w:cs="Times New Roman"/>
      <w:b/>
      <w:bCs/>
      <w:kern w:val="2"/>
      <w:sz w:val="32"/>
      <w:szCs w:val="32"/>
    </w:rPr>
  </w:style>
  <w:style w:type="character" w:customStyle="1" w:styleId="89">
    <w:name w:val="正文文本 Char1"/>
    <w:semiHidden/>
    <w:qFormat/>
    <w:locked/>
    <w:uiPriority w:val="99"/>
    <w:rPr>
      <w:kern w:val="2"/>
      <w:sz w:val="21"/>
      <w:szCs w:val="24"/>
    </w:rPr>
  </w:style>
  <w:style w:type="character" w:customStyle="1" w:styleId="90">
    <w:name w:val="t-14"/>
    <w:qFormat/>
    <w:uiPriority w:val="0"/>
  </w:style>
  <w:style w:type="character" w:customStyle="1" w:styleId="91">
    <w:name w:val="无间隔 Char"/>
    <w:link w:val="92"/>
    <w:qFormat/>
    <w:uiPriority w:val="1"/>
    <w:rPr>
      <w:kern w:val="2"/>
      <w:sz w:val="21"/>
      <w:szCs w:val="22"/>
      <w:lang w:val="en-US" w:eastAsia="zh-CN" w:bidi="ar-SA"/>
    </w:rPr>
  </w:style>
  <w:style w:type="paragraph" w:customStyle="1" w:styleId="92">
    <w:name w:val="无间隔1"/>
    <w:link w:val="9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93">
    <w:name w:val="1ji Char"/>
    <w:link w:val="94"/>
    <w:qFormat/>
    <w:uiPriority w:val="0"/>
    <w:rPr>
      <w:rFonts w:ascii="宋体" w:hAnsi="宋体"/>
      <w:b/>
      <w:bCs/>
      <w:kern w:val="44"/>
      <w:sz w:val="36"/>
      <w:szCs w:val="44"/>
    </w:rPr>
  </w:style>
  <w:style w:type="paragraph" w:customStyle="1" w:styleId="94">
    <w:name w:val="1ji"/>
    <w:basedOn w:val="2"/>
    <w:link w:val="93"/>
    <w:qFormat/>
    <w:uiPriority w:val="0"/>
    <w:pPr>
      <w:keepLines w:val="0"/>
      <w:numPr>
        <w:numId w:val="0"/>
      </w:numPr>
      <w:spacing w:line="240" w:lineRule="auto"/>
      <w:jc w:val="center"/>
    </w:pPr>
    <w:rPr>
      <w:rFonts w:ascii="宋体" w:hAnsi="宋体" w:eastAsia="宋体"/>
      <w:sz w:val="36"/>
      <w:szCs w:val="44"/>
    </w:rPr>
  </w:style>
  <w:style w:type="character" w:customStyle="1" w:styleId="95">
    <w:name w:val="ca-142"/>
    <w:qFormat/>
    <w:uiPriority w:val="0"/>
  </w:style>
  <w:style w:type="character" w:customStyle="1" w:styleId="96">
    <w:name w:val="font61"/>
    <w:qFormat/>
    <w:uiPriority w:val="0"/>
    <w:rPr>
      <w:rFonts w:hint="eastAsia" w:ascii="宋体" w:hAnsi="宋体" w:eastAsia="宋体" w:cs="宋体"/>
      <w:color w:val="000000"/>
      <w:sz w:val="18"/>
      <w:szCs w:val="18"/>
      <w:u w:val="none"/>
    </w:rPr>
  </w:style>
  <w:style w:type="character" w:customStyle="1" w:styleId="97">
    <w:name w:val="正文文本 (2)_"/>
    <w:link w:val="98"/>
    <w:qFormat/>
    <w:locked/>
    <w:uiPriority w:val="0"/>
    <w:rPr>
      <w:rFonts w:ascii="MingLiU" w:hAnsi="MingLiU" w:eastAsia="MingLiU" w:cs="MingLiU"/>
      <w:sz w:val="22"/>
      <w:shd w:val="clear" w:color="auto" w:fill="FFFFFF"/>
    </w:rPr>
  </w:style>
  <w:style w:type="paragraph" w:customStyle="1" w:styleId="98">
    <w:name w:val="正文文本 (2)5"/>
    <w:basedOn w:val="1"/>
    <w:link w:val="97"/>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99">
    <w:name w:val="标准正文 Char"/>
    <w:link w:val="100"/>
    <w:qFormat/>
    <w:locked/>
    <w:uiPriority w:val="0"/>
    <w:rPr>
      <w:rFonts w:ascii="宋体" w:hAnsi="宋体"/>
      <w:kern w:val="2"/>
      <w:sz w:val="24"/>
      <w:szCs w:val="22"/>
    </w:rPr>
  </w:style>
  <w:style w:type="paragraph" w:customStyle="1" w:styleId="100">
    <w:name w:val="标准正文"/>
    <w:basedOn w:val="1"/>
    <w:link w:val="99"/>
    <w:qFormat/>
    <w:uiPriority w:val="0"/>
    <w:pPr>
      <w:ind w:firstLine="420"/>
    </w:pPr>
    <w:rPr>
      <w:rFonts w:ascii="宋体" w:hAnsi="宋体"/>
    </w:rPr>
  </w:style>
  <w:style w:type="character" w:customStyle="1" w:styleId="101">
    <w:name w:val="*正文 Char"/>
    <w:link w:val="102"/>
    <w:qFormat/>
    <w:uiPriority w:val="0"/>
    <w:rPr>
      <w:rFonts w:ascii="仿宋_GB2312" w:eastAsia="仿宋_GB2312"/>
      <w:sz w:val="24"/>
      <w:szCs w:val="28"/>
    </w:rPr>
  </w:style>
  <w:style w:type="paragraph" w:customStyle="1" w:styleId="102">
    <w:name w:val="*正文"/>
    <w:basedOn w:val="1"/>
    <w:link w:val="101"/>
    <w:qFormat/>
    <w:uiPriority w:val="0"/>
    <w:pPr>
      <w:widowControl/>
      <w:spacing w:line="240" w:lineRule="auto"/>
      <w:jc w:val="left"/>
    </w:pPr>
    <w:rPr>
      <w:rFonts w:ascii="仿宋_GB2312" w:eastAsia="仿宋_GB2312"/>
      <w:kern w:val="0"/>
      <w:szCs w:val="28"/>
    </w:rPr>
  </w:style>
  <w:style w:type="character" w:customStyle="1" w:styleId="103">
    <w:name w:val="Char Char"/>
    <w:qFormat/>
    <w:locked/>
    <w:uiPriority w:val="0"/>
    <w:rPr>
      <w:rFonts w:ascii="宋体" w:hAnsi="宋体" w:eastAsia="宋体"/>
      <w:kern w:val="2"/>
      <w:sz w:val="21"/>
      <w:szCs w:val="24"/>
      <w:lang w:val="en-US" w:eastAsia="zh-CN" w:bidi="ar-SA"/>
    </w:rPr>
  </w:style>
  <w:style w:type="character" w:customStyle="1" w:styleId="104">
    <w:name w:val="正文文本缩进 字符1"/>
    <w:semiHidden/>
    <w:qFormat/>
    <w:uiPriority w:val="99"/>
  </w:style>
  <w:style w:type="character" w:customStyle="1" w:styleId="105">
    <w:name w:val="font51"/>
    <w:qFormat/>
    <w:uiPriority w:val="0"/>
    <w:rPr>
      <w:rFonts w:hint="eastAsia" w:ascii="宋体" w:hAnsi="宋体" w:eastAsia="宋体" w:cs="宋体"/>
      <w:color w:val="000000"/>
      <w:sz w:val="18"/>
      <w:szCs w:val="18"/>
      <w:u w:val="none"/>
    </w:rPr>
  </w:style>
  <w:style w:type="character" w:customStyle="1" w:styleId="106">
    <w:name w:val="apple-style-span"/>
    <w:qFormat/>
    <w:uiPriority w:val="0"/>
  </w:style>
  <w:style w:type="character" w:customStyle="1" w:styleId="107">
    <w:name w:val="标准正文 S字符"/>
    <w:link w:val="108"/>
    <w:qFormat/>
    <w:locked/>
    <w:uiPriority w:val="0"/>
    <w:rPr>
      <w:kern w:val="2"/>
      <w:sz w:val="24"/>
      <w:szCs w:val="24"/>
    </w:rPr>
  </w:style>
  <w:style w:type="paragraph" w:customStyle="1" w:styleId="108">
    <w:name w:val="标准正文 S"/>
    <w:basedOn w:val="1"/>
    <w:link w:val="107"/>
    <w:qFormat/>
    <w:uiPriority w:val="0"/>
    <w:pPr>
      <w:spacing w:beforeLines="50" w:afterLines="50"/>
      <w:ind w:firstLine="480" w:firstLineChars="0"/>
      <w:jc w:val="left"/>
    </w:pPr>
    <w:rPr>
      <w:szCs w:val="24"/>
    </w:rPr>
  </w:style>
  <w:style w:type="character" w:customStyle="1" w:styleId="109">
    <w:name w:val="case31"/>
    <w:qFormat/>
    <w:uiPriority w:val="0"/>
    <w:rPr>
      <w:rFonts w:hint="default"/>
      <w:sz w:val="21"/>
      <w:szCs w:val="21"/>
    </w:rPr>
  </w:style>
  <w:style w:type="character" w:customStyle="1" w:styleId="110">
    <w:name w:val="普通文字 Char Char2"/>
    <w:qFormat/>
    <w:uiPriority w:val="0"/>
    <w:rPr>
      <w:rFonts w:ascii="宋体" w:hAnsi="Courier New" w:eastAsia="宋体" w:cs="Courier New"/>
      <w:szCs w:val="21"/>
    </w:rPr>
  </w:style>
  <w:style w:type="character" w:customStyle="1" w:styleId="111">
    <w:name w:val="正文文本缩进 Char"/>
    <w:link w:val="112"/>
    <w:qFormat/>
    <w:uiPriority w:val="0"/>
    <w:rPr>
      <w:kern w:val="2"/>
      <w:sz w:val="24"/>
      <w:szCs w:val="22"/>
    </w:rPr>
  </w:style>
  <w:style w:type="paragraph" w:customStyle="1" w:styleId="112">
    <w:name w:val="正文文本缩进1"/>
    <w:basedOn w:val="1"/>
    <w:next w:val="19"/>
    <w:link w:val="111"/>
    <w:qFormat/>
    <w:uiPriority w:val="0"/>
    <w:pPr>
      <w:spacing w:after="120" w:line="240" w:lineRule="auto"/>
      <w:ind w:left="420" w:leftChars="200" w:firstLine="0" w:firstLineChars="0"/>
    </w:pPr>
  </w:style>
  <w:style w:type="character" w:customStyle="1" w:styleId="113">
    <w:name w:val="span_param1"/>
    <w:qFormat/>
    <w:uiPriority w:val="0"/>
  </w:style>
  <w:style w:type="character" w:customStyle="1" w:styleId="114">
    <w:name w:val="列出段落 Char"/>
    <w:link w:val="115"/>
    <w:qFormat/>
    <w:locked/>
    <w:uiPriority w:val="0"/>
    <w:rPr>
      <w:kern w:val="2"/>
      <w:sz w:val="21"/>
      <w:szCs w:val="24"/>
    </w:rPr>
  </w:style>
  <w:style w:type="paragraph" w:customStyle="1" w:styleId="115">
    <w:name w:val="列出段落2"/>
    <w:basedOn w:val="1"/>
    <w:link w:val="114"/>
    <w:unhideWhenUsed/>
    <w:qFormat/>
    <w:uiPriority w:val="0"/>
    <w:pPr>
      <w:spacing w:line="240" w:lineRule="auto"/>
      <w:ind w:firstLine="420"/>
    </w:pPr>
    <w:rPr>
      <w:sz w:val="21"/>
      <w:szCs w:val="24"/>
    </w:rPr>
  </w:style>
  <w:style w:type="character" w:customStyle="1" w:styleId="116">
    <w:name w:val="表格标题 Char"/>
    <w:link w:val="117"/>
    <w:qFormat/>
    <w:uiPriority w:val="0"/>
    <w:rPr>
      <w:rFonts w:ascii="Calibri" w:hAnsi="Calibri" w:eastAsia="宋体" w:cs="Times New Roman"/>
      <w:b/>
      <w:sz w:val="24"/>
      <w:lang w:val="zh-CN"/>
    </w:rPr>
  </w:style>
  <w:style w:type="paragraph" w:customStyle="1" w:styleId="117">
    <w:name w:val="表格标题"/>
    <w:basedOn w:val="118"/>
    <w:link w:val="116"/>
    <w:qFormat/>
    <w:uiPriority w:val="0"/>
    <w:pPr>
      <w:jc w:val="center"/>
    </w:pPr>
    <w:rPr>
      <w:b/>
    </w:rPr>
  </w:style>
  <w:style w:type="paragraph" w:customStyle="1" w:styleId="118">
    <w:name w:val="表格文本"/>
    <w:basedOn w:val="1"/>
    <w:link w:val="119"/>
    <w:qFormat/>
    <w:uiPriority w:val="0"/>
    <w:pPr>
      <w:spacing w:line="276" w:lineRule="auto"/>
      <w:ind w:firstLine="0" w:firstLineChars="0"/>
    </w:pPr>
    <w:rPr>
      <w:rFonts w:ascii="Calibri" w:hAnsi="Calibri"/>
      <w:kern w:val="0"/>
      <w:szCs w:val="20"/>
      <w:lang w:val="zh-CN"/>
    </w:rPr>
  </w:style>
  <w:style w:type="character" w:customStyle="1" w:styleId="119">
    <w:name w:val="表格文本 Char"/>
    <w:link w:val="118"/>
    <w:qFormat/>
    <w:uiPriority w:val="0"/>
    <w:rPr>
      <w:rFonts w:ascii="Calibri" w:hAnsi="Calibri" w:eastAsia="宋体" w:cs="Times New Roman"/>
      <w:sz w:val="24"/>
      <w:lang w:val="zh-CN"/>
    </w:rPr>
  </w:style>
  <w:style w:type="character" w:customStyle="1" w:styleId="120">
    <w:name w:val="A4"/>
    <w:qFormat/>
    <w:uiPriority w:val="0"/>
    <w:rPr>
      <w:rFonts w:ascii="新宋体" w:eastAsia="新宋体" w:cs="新宋体"/>
      <w:color w:val="000000"/>
      <w:lang w:bidi="ar-SA"/>
    </w:rPr>
  </w:style>
  <w:style w:type="character" w:customStyle="1" w:styleId="121">
    <w:name w:val="页脚 Char1"/>
    <w:qFormat/>
    <w:uiPriority w:val="0"/>
    <w:rPr>
      <w:rFonts w:eastAsia="宋体"/>
      <w:kern w:val="2"/>
      <w:sz w:val="18"/>
      <w:szCs w:val="18"/>
    </w:rPr>
  </w:style>
  <w:style w:type="character" w:customStyle="1" w:styleId="122">
    <w:name w:val="纯文本 字符"/>
    <w:semiHidden/>
    <w:qFormat/>
    <w:uiPriority w:val="99"/>
    <w:rPr>
      <w:rFonts w:ascii="宋体" w:hAnsi="Courier New" w:cs="Courier New"/>
      <w:sz w:val="24"/>
    </w:rPr>
  </w:style>
  <w:style w:type="character" w:customStyle="1" w:styleId="123">
    <w:name w:val="普通文字 Char Char5"/>
    <w:qFormat/>
    <w:uiPriority w:val="0"/>
    <w:rPr>
      <w:rFonts w:ascii="宋体" w:hAnsi="Courier New" w:eastAsia="宋体"/>
      <w:szCs w:val="21"/>
      <w:lang w:bidi="ar-SA"/>
    </w:rPr>
  </w:style>
  <w:style w:type="character" w:customStyle="1" w:styleId="124">
    <w:name w:val="正文缩进 Char1"/>
    <w:qFormat/>
    <w:locked/>
    <w:uiPriority w:val="0"/>
    <w:rPr>
      <w:rFonts w:eastAsia="宋体"/>
      <w:kern w:val="2"/>
      <w:sz w:val="21"/>
      <w:lang w:val="en-US" w:eastAsia="zh-CN" w:bidi="ar-SA"/>
    </w:rPr>
  </w:style>
  <w:style w:type="character" w:customStyle="1" w:styleId="125">
    <w:name w:val="标题 Char2"/>
    <w:qFormat/>
    <w:uiPriority w:val="10"/>
    <w:rPr>
      <w:rFonts w:ascii="Cambria" w:hAnsi="Cambria" w:cs="Times New Roman"/>
      <w:b/>
      <w:bCs/>
      <w:kern w:val="2"/>
      <w:sz w:val="32"/>
      <w:szCs w:val="32"/>
    </w:rPr>
  </w:style>
  <w:style w:type="character" w:customStyle="1" w:styleId="126">
    <w:name w:val="副章标题 Char"/>
    <w:link w:val="127"/>
    <w:qFormat/>
    <w:uiPriority w:val="0"/>
    <w:rPr>
      <w:rFonts w:hAnsi="微软雅黑"/>
      <w:b/>
      <w:color w:val="000000"/>
      <w:sz w:val="36"/>
      <w:szCs w:val="36"/>
    </w:rPr>
  </w:style>
  <w:style w:type="paragraph" w:customStyle="1" w:styleId="127">
    <w:name w:val="副章标题"/>
    <w:basedOn w:val="1"/>
    <w:link w:val="126"/>
    <w:qFormat/>
    <w:uiPriority w:val="0"/>
    <w:pPr>
      <w:spacing w:line="240" w:lineRule="auto"/>
      <w:ind w:firstLine="0" w:firstLineChars="0"/>
      <w:outlineLvl w:val="1"/>
    </w:pPr>
    <w:rPr>
      <w:rFonts w:hAnsi="微软雅黑"/>
      <w:b/>
      <w:color w:val="000000"/>
      <w:kern w:val="0"/>
      <w:sz w:val="36"/>
      <w:szCs w:val="36"/>
    </w:rPr>
  </w:style>
  <w:style w:type="character" w:customStyle="1" w:styleId="128">
    <w:name w:val="font41"/>
    <w:qFormat/>
    <w:uiPriority w:val="0"/>
    <w:rPr>
      <w:rFonts w:hint="eastAsia" w:ascii="宋体" w:hAnsi="宋体" w:eastAsia="宋体" w:cs="宋体"/>
      <w:color w:val="FF0000"/>
      <w:sz w:val="18"/>
      <w:szCs w:val="18"/>
      <w:u w:val="none"/>
    </w:rPr>
  </w:style>
  <w:style w:type="character" w:customStyle="1" w:styleId="129">
    <w:name w:val="Char Char1"/>
    <w:qFormat/>
    <w:uiPriority w:val="0"/>
    <w:rPr>
      <w:rFonts w:eastAsia="宋体"/>
      <w:kern w:val="2"/>
      <w:sz w:val="21"/>
      <w:szCs w:val="24"/>
      <w:lang w:val="en-US" w:eastAsia="zh-CN" w:bidi="ar-SA"/>
    </w:rPr>
  </w:style>
  <w:style w:type="character" w:customStyle="1" w:styleId="130">
    <w:name w:val="apple-converted-space"/>
    <w:qFormat/>
    <w:uiPriority w:val="0"/>
  </w:style>
  <w:style w:type="character" w:customStyle="1" w:styleId="131">
    <w:name w:val="font21"/>
    <w:qFormat/>
    <w:uiPriority w:val="0"/>
    <w:rPr>
      <w:rFonts w:hint="default" w:ascii="Times New Roman" w:hAnsi="Times New Roman" w:cs="Times New Roman"/>
      <w:color w:val="000000"/>
      <w:sz w:val="18"/>
      <w:szCs w:val="18"/>
      <w:u w:val="none"/>
    </w:rPr>
  </w:style>
  <w:style w:type="character" w:customStyle="1" w:styleId="132">
    <w:name w:val="正文缩进2字符 Char"/>
    <w:link w:val="133"/>
    <w:qFormat/>
    <w:locked/>
    <w:uiPriority w:val="0"/>
    <w:rPr>
      <w:kern w:val="2"/>
      <w:sz w:val="24"/>
      <w:szCs w:val="24"/>
    </w:rPr>
  </w:style>
  <w:style w:type="paragraph" w:customStyle="1" w:styleId="133">
    <w:name w:val="正文缩进2字符"/>
    <w:basedOn w:val="1"/>
    <w:next w:val="1"/>
    <w:link w:val="132"/>
    <w:qFormat/>
    <w:uiPriority w:val="0"/>
    <w:pPr>
      <w:ind w:firstLine="480"/>
    </w:pPr>
    <w:rPr>
      <w:szCs w:val="24"/>
    </w:rPr>
  </w:style>
  <w:style w:type="character" w:customStyle="1" w:styleId="134">
    <w:name w:val="纯文本 字符2"/>
    <w:qFormat/>
    <w:uiPriority w:val="0"/>
    <w:rPr>
      <w:rFonts w:ascii="宋体" w:hAnsi="Courier New" w:eastAsia="宋体" w:cs="Courier New"/>
      <w:kern w:val="2"/>
      <w:sz w:val="21"/>
      <w:szCs w:val="21"/>
      <w:lang w:val="en-US" w:eastAsia="zh-CN" w:bidi="ar-SA"/>
    </w:rPr>
  </w:style>
  <w:style w:type="character" w:customStyle="1" w:styleId="135">
    <w:name w:val="正文文本缩进 3 字符"/>
    <w:semiHidden/>
    <w:qFormat/>
    <w:uiPriority w:val="99"/>
    <w:rPr>
      <w:sz w:val="16"/>
      <w:szCs w:val="16"/>
    </w:rPr>
  </w:style>
  <w:style w:type="character" w:customStyle="1" w:styleId="136">
    <w:name w:val="文档结构图 Char"/>
    <w:link w:val="137"/>
    <w:qFormat/>
    <w:uiPriority w:val="0"/>
    <w:rPr>
      <w:rFonts w:ascii="宋体"/>
      <w:kern w:val="2"/>
      <w:sz w:val="18"/>
      <w:szCs w:val="18"/>
    </w:rPr>
  </w:style>
  <w:style w:type="paragraph" w:customStyle="1" w:styleId="137">
    <w:name w:val="文档结构图1"/>
    <w:basedOn w:val="1"/>
    <w:next w:val="15"/>
    <w:link w:val="136"/>
    <w:unhideWhenUsed/>
    <w:qFormat/>
    <w:uiPriority w:val="0"/>
    <w:pPr>
      <w:spacing w:line="240" w:lineRule="auto"/>
      <w:ind w:firstLine="0" w:firstLineChars="0"/>
    </w:pPr>
    <w:rPr>
      <w:rFonts w:ascii="宋体"/>
      <w:sz w:val="18"/>
      <w:szCs w:val="18"/>
    </w:rPr>
  </w:style>
  <w:style w:type="character" w:customStyle="1" w:styleId="138">
    <w:name w:val="fontstyle11"/>
    <w:qFormat/>
    <w:uiPriority w:val="0"/>
    <w:rPr>
      <w:rFonts w:hint="eastAsia" w:ascii="宋体" w:hAnsi="宋体" w:eastAsia="宋体"/>
      <w:color w:val="000000"/>
      <w:sz w:val="22"/>
      <w:szCs w:val="22"/>
    </w:rPr>
  </w:style>
  <w:style w:type="character" w:customStyle="1" w:styleId="139">
    <w:name w:val="标题 4 Char1"/>
    <w:semiHidden/>
    <w:qFormat/>
    <w:uiPriority w:val="0"/>
    <w:rPr>
      <w:rFonts w:ascii="Cambria" w:hAnsi="Cambria" w:eastAsia="宋体" w:cs="Times New Roman"/>
      <w:b/>
      <w:bCs/>
      <w:kern w:val="2"/>
      <w:sz w:val="28"/>
      <w:szCs w:val="28"/>
    </w:rPr>
  </w:style>
  <w:style w:type="character" w:customStyle="1" w:styleId="140">
    <w:name w:val="NormalCharacter"/>
    <w:qFormat/>
    <w:uiPriority w:val="0"/>
    <w:rPr>
      <w:rFonts w:ascii="Times New Roman" w:hAnsi="Times New Roman" w:eastAsia="华文新魏" w:cs="Times New Roman"/>
      <w:lang w:bidi="ar-SA"/>
    </w:rPr>
  </w:style>
  <w:style w:type="character" w:customStyle="1" w:styleId="141">
    <w:name w:val="纯文本 Char2"/>
    <w:qFormat/>
    <w:uiPriority w:val="0"/>
    <w:rPr>
      <w:rFonts w:ascii="宋体" w:hAnsi="Courier New" w:cs="Courier New"/>
      <w:kern w:val="2"/>
      <w:sz w:val="21"/>
      <w:szCs w:val="21"/>
    </w:rPr>
  </w:style>
  <w:style w:type="character" w:customStyle="1" w:styleId="142">
    <w:name w:val="普通文字 Char Char1 Char"/>
    <w:qFormat/>
    <w:locked/>
    <w:uiPriority w:val="0"/>
    <w:rPr>
      <w:rFonts w:ascii="宋体" w:hAnsi="Courier New" w:eastAsia="宋体" w:cs="宋体"/>
      <w:kern w:val="2"/>
      <w:sz w:val="21"/>
      <w:szCs w:val="21"/>
      <w:lang w:val="en-US" w:eastAsia="zh-CN"/>
    </w:rPr>
  </w:style>
  <w:style w:type="character" w:customStyle="1" w:styleId="143">
    <w:name w:val="062"/>
    <w:qFormat/>
    <w:uiPriority w:val="0"/>
    <w:rPr>
      <w:rFonts w:ascii="宋体" w:hAnsi="宋体"/>
      <w:b/>
      <w:bCs/>
      <w:sz w:val="32"/>
    </w:rPr>
  </w:style>
  <w:style w:type="character" w:customStyle="1" w:styleId="144">
    <w:name w:val="Char Char3"/>
    <w:qFormat/>
    <w:uiPriority w:val="0"/>
    <w:rPr>
      <w:rFonts w:ascii="宋体" w:hAnsi="Courier New" w:eastAsia="宋体"/>
      <w:kern w:val="2"/>
      <w:sz w:val="21"/>
      <w:lang w:val="en-US" w:eastAsia="zh-CN" w:bidi="ar-SA"/>
    </w:rPr>
  </w:style>
  <w:style w:type="character" w:customStyle="1" w:styleId="145">
    <w:name w:val="普通文字 Char Char3"/>
    <w:qFormat/>
    <w:uiPriority w:val="0"/>
    <w:rPr>
      <w:rFonts w:ascii="宋体" w:hAnsi="Courier New"/>
      <w:kern w:val="2"/>
      <w:sz w:val="21"/>
    </w:rPr>
  </w:style>
  <w:style w:type="character" w:customStyle="1" w:styleId="146">
    <w:name w:val="批注文字 Char1"/>
    <w:qFormat/>
    <w:uiPriority w:val="0"/>
    <w:rPr>
      <w:rFonts w:ascii="Times New Roman" w:hAnsi="Times New Roman"/>
      <w:kern w:val="2"/>
      <w:sz w:val="21"/>
      <w:szCs w:val="24"/>
    </w:rPr>
  </w:style>
  <w:style w:type="character" w:customStyle="1" w:styleId="147">
    <w:name w:val="标题 1 Char1"/>
    <w:qFormat/>
    <w:uiPriority w:val="0"/>
    <w:rPr>
      <w:b/>
      <w:bCs/>
      <w:kern w:val="44"/>
      <w:sz w:val="44"/>
      <w:szCs w:val="44"/>
    </w:rPr>
  </w:style>
  <w:style w:type="character" w:customStyle="1" w:styleId="148">
    <w:name w:val="A15"/>
    <w:qFormat/>
    <w:uiPriority w:val="0"/>
    <w:rPr>
      <w:rFonts w:ascii="Times New Roman" w:hAnsi="Times New Roman"/>
      <w:color w:val="000000"/>
      <w:sz w:val="14"/>
      <w:szCs w:val="14"/>
    </w:rPr>
  </w:style>
  <w:style w:type="character" w:customStyle="1" w:styleId="149">
    <w:name w:val="标题 9 Char1"/>
    <w:semiHidden/>
    <w:qFormat/>
    <w:uiPriority w:val="0"/>
    <w:rPr>
      <w:rFonts w:ascii="Cambria" w:hAnsi="Cambria" w:eastAsia="宋体" w:cs="Times New Roman"/>
      <w:kern w:val="2"/>
      <w:sz w:val="21"/>
      <w:szCs w:val="21"/>
    </w:rPr>
  </w:style>
  <w:style w:type="character" w:customStyle="1" w:styleId="150">
    <w:name w:val="Char Char10"/>
    <w:qFormat/>
    <w:uiPriority w:val="0"/>
    <w:rPr>
      <w:rFonts w:eastAsia="宋体"/>
      <w:kern w:val="2"/>
      <w:sz w:val="21"/>
      <w:szCs w:val="24"/>
      <w:lang w:val="en-US" w:eastAsia="zh-CN" w:bidi="ar-SA"/>
    </w:rPr>
  </w:style>
  <w:style w:type="character" w:customStyle="1" w:styleId="151">
    <w:name w:val="Char Char5"/>
    <w:qFormat/>
    <w:locked/>
    <w:uiPriority w:val="0"/>
    <w:rPr>
      <w:rFonts w:cs="Times New Roman"/>
      <w:sz w:val="21"/>
      <w:szCs w:val="21"/>
    </w:rPr>
  </w:style>
  <w:style w:type="character" w:customStyle="1" w:styleId="152">
    <w:name w:val="纯文本 Char1"/>
    <w:qFormat/>
    <w:uiPriority w:val="0"/>
    <w:rPr>
      <w:rFonts w:ascii="宋体" w:hAnsi="Courier New"/>
      <w:kern w:val="2"/>
      <w:sz w:val="21"/>
    </w:rPr>
  </w:style>
  <w:style w:type="character" w:customStyle="1" w:styleId="153">
    <w:name w:val="标书4级 Char"/>
    <w:link w:val="154"/>
    <w:qFormat/>
    <w:uiPriority w:val="0"/>
    <w:rPr>
      <w:rFonts w:ascii="宋体" w:hAnsi="宋体"/>
      <w:b/>
      <w:bCs/>
      <w:kern w:val="2"/>
      <w:sz w:val="28"/>
      <w:szCs w:val="28"/>
    </w:rPr>
  </w:style>
  <w:style w:type="paragraph" w:customStyle="1" w:styleId="154">
    <w:name w:val="标书4级"/>
    <w:basedOn w:val="5"/>
    <w:link w:val="153"/>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155">
    <w:name w:val="font71"/>
    <w:qFormat/>
    <w:uiPriority w:val="0"/>
    <w:rPr>
      <w:rFonts w:hint="eastAsia" w:ascii="宋体" w:hAnsi="宋体" w:eastAsia="宋体" w:cs="宋体"/>
      <w:color w:val="000000"/>
      <w:sz w:val="21"/>
      <w:szCs w:val="21"/>
      <w:u w:val="none"/>
    </w:rPr>
  </w:style>
  <w:style w:type="paragraph" w:customStyle="1" w:styleId="156">
    <w:name w:val="Char"/>
    <w:basedOn w:val="1"/>
    <w:qFormat/>
    <w:uiPriority w:val="0"/>
    <w:pPr>
      <w:spacing w:line="240" w:lineRule="auto"/>
      <w:ind w:firstLine="0" w:firstLineChars="0"/>
    </w:pPr>
    <w:rPr>
      <w:sz w:val="21"/>
      <w:szCs w:val="24"/>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444"/>
    <w:basedOn w:val="1"/>
    <w:qFormat/>
    <w:uiPriority w:val="0"/>
    <w:pPr>
      <w:adjustRightInd w:val="0"/>
      <w:spacing w:line="312" w:lineRule="atLeast"/>
      <w:ind w:firstLine="0" w:firstLineChars="0"/>
      <w:jc w:val="center"/>
      <w:textAlignment w:val="baseline"/>
    </w:pPr>
    <w:rPr>
      <w:b/>
      <w:kern w:val="0"/>
      <w:sz w:val="36"/>
      <w:szCs w:val="36"/>
    </w:rPr>
  </w:style>
  <w:style w:type="paragraph" w:styleId="159">
    <w:name w:val="No Spacing"/>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60">
    <w:name w:val="正文段"/>
    <w:basedOn w:val="1"/>
    <w:qFormat/>
    <w:uiPriority w:val="0"/>
    <w:pPr>
      <w:widowControl/>
      <w:snapToGrid w:val="0"/>
      <w:spacing w:afterLines="50" w:line="240" w:lineRule="auto"/>
    </w:pPr>
    <w:rPr>
      <w:kern w:val="0"/>
      <w:szCs w:val="20"/>
    </w:rPr>
  </w:style>
  <w:style w:type="paragraph" w:customStyle="1" w:styleId="161">
    <w:name w:val="列表段落1"/>
    <w:basedOn w:val="1"/>
    <w:qFormat/>
    <w:uiPriority w:val="34"/>
    <w:pPr>
      <w:spacing w:beforeLines="50" w:afterLines="50" w:line="240" w:lineRule="auto"/>
      <w:ind w:firstLine="420"/>
    </w:pPr>
  </w:style>
  <w:style w:type="paragraph" w:customStyle="1" w:styleId="162">
    <w:name w:val="TOC 标题1"/>
    <w:basedOn w:val="2"/>
    <w:next w:val="1"/>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163">
    <w:name w:val="目录 21"/>
    <w:basedOn w:val="1"/>
    <w:next w:val="1"/>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64">
    <w:name w:val="标题 81"/>
    <w:basedOn w:val="1"/>
    <w:next w:val="1"/>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65">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标题 41"/>
    <w:basedOn w:val="1"/>
    <w:next w:val="1"/>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167">
    <w:name w:val="列出段落3"/>
    <w:basedOn w:val="1"/>
    <w:unhideWhenUsed/>
    <w:qFormat/>
    <w:uiPriority w:val="99"/>
    <w:pPr>
      <w:spacing w:line="240" w:lineRule="auto"/>
      <w:ind w:firstLine="420"/>
    </w:pPr>
    <w:rPr>
      <w:sz w:val="21"/>
      <w:szCs w:val="24"/>
    </w:rPr>
  </w:style>
  <w:style w:type="paragraph" w:customStyle="1" w:styleId="168">
    <w:name w:val="表格"/>
    <w:basedOn w:val="1"/>
    <w:qFormat/>
    <w:uiPriority w:val="0"/>
    <w:pPr>
      <w:spacing w:line="400" w:lineRule="exact"/>
      <w:ind w:firstLine="0" w:firstLineChars="0"/>
    </w:pPr>
    <w:rPr>
      <w:szCs w:val="24"/>
    </w:rPr>
  </w:style>
  <w:style w:type="paragraph" w:customStyle="1" w:styleId="169">
    <w:name w:val="列出段落1"/>
    <w:basedOn w:val="1"/>
    <w:qFormat/>
    <w:uiPriority w:val="34"/>
    <w:pPr>
      <w:spacing w:line="240" w:lineRule="auto"/>
      <w:ind w:firstLine="420"/>
    </w:pPr>
    <w:rPr>
      <w:sz w:val="21"/>
      <w:szCs w:val="24"/>
    </w:rPr>
  </w:style>
  <w:style w:type="paragraph" w:customStyle="1" w:styleId="170">
    <w:name w:val="PlainText"/>
    <w:basedOn w:val="1"/>
    <w:qFormat/>
    <w:uiPriority w:val="0"/>
    <w:pPr>
      <w:spacing w:line="240" w:lineRule="auto"/>
      <w:ind w:firstLine="0" w:firstLineChars="0"/>
    </w:pPr>
    <w:rPr>
      <w:rFonts w:ascii="宋体" w:hAnsi="Courier New"/>
      <w:sz w:val="21"/>
      <w:szCs w:val="21"/>
    </w:rPr>
  </w:style>
  <w:style w:type="paragraph" w:customStyle="1" w:styleId="171">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72">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样式 标题 3 + (中文) 黑体 小四 非加粗 段前: 7.8 磅 段后: 0 磅 行距: 固定值 20 磅"/>
    <w:basedOn w:val="4"/>
    <w:qFormat/>
    <w:uiPriority w:val="0"/>
    <w:pPr>
      <w:numPr>
        <w:ilvl w:val="0"/>
        <w:numId w:val="0"/>
      </w:numPr>
      <w:spacing w:line="400" w:lineRule="exact"/>
      <w:jc w:val="both"/>
    </w:pPr>
    <w:rPr>
      <w:rFonts w:ascii="Times New Roman" w:hAnsi="Times New Roman" w:cs="宋体"/>
      <w:b w:val="0"/>
      <w:bCs w:val="0"/>
      <w:szCs w:val="20"/>
    </w:rPr>
  </w:style>
  <w:style w:type="paragraph" w:customStyle="1" w:styleId="174">
    <w:name w:val="目录 41"/>
    <w:basedOn w:val="1"/>
    <w:next w:val="1"/>
    <w:unhideWhenUsed/>
    <w:qFormat/>
    <w:uiPriority w:val="39"/>
    <w:pPr>
      <w:spacing w:line="240" w:lineRule="auto"/>
      <w:ind w:left="630" w:firstLine="0" w:firstLineChars="0"/>
      <w:jc w:val="left"/>
    </w:pPr>
    <w:rPr>
      <w:rFonts w:ascii="等线" w:hAnsi="等线" w:eastAsia="等线"/>
      <w:sz w:val="18"/>
      <w:szCs w:val="18"/>
    </w:rPr>
  </w:style>
  <w:style w:type="paragraph" w:customStyle="1" w:styleId="175">
    <w:name w:val="_Style 174"/>
    <w:basedOn w:val="2"/>
    <w:next w:val="1"/>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76">
    <w:name w:val="Char2"/>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177">
    <w:name w:val="F2"/>
    <w:basedOn w:val="1"/>
    <w:qFormat/>
    <w:uiPriority w:val="0"/>
    <w:pPr>
      <w:autoSpaceDE w:val="0"/>
      <w:autoSpaceDN w:val="0"/>
      <w:adjustRightInd w:val="0"/>
      <w:spacing w:line="240" w:lineRule="auto"/>
      <w:ind w:firstLine="601" w:firstLineChars="0"/>
      <w:textAlignment w:val="baseline"/>
    </w:pPr>
    <w:rPr>
      <w:kern w:val="0"/>
      <w:szCs w:val="20"/>
    </w:rPr>
  </w:style>
  <w:style w:type="paragraph" w:customStyle="1" w:styleId="17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9">
    <w:name w:val="标题 11"/>
    <w:basedOn w:val="1"/>
    <w:next w:val="1"/>
    <w:qFormat/>
    <w:uiPriority w:val="0"/>
    <w:pPr>
      <w:keepNext/>
      <w:keepLines/>
      <w:pageBreakBefore/>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80">
    <w:name w:val="正文首行缩进1"/>
    <w:basedOn w:val="181"/>
    <w:qFormat/>
    <w:uiPriority w:val="0"/>
    <w:pPr>
      <w:ind w:firstLine="420" w:firstLineChars="100"/>
    </w:pPr>
    <w:rPr>
      <w:rFonts w:ascii="Calibri" w:hAnsi="Calibri"/>
      <w:szCs w:val="24"/>
    </w:rPr>
  </w:style>
  <w:style w:type="paragraph" w:customStyle="1" w:styleId="181">
    <w:name w:val="正文文本1"/>
    <w:basedOn w:val="1"/>
    <w:qFormat/>
    <w:uiPriority w:val="0"/>
    <w:pPr>
      <w:spacing w:after="120"/>
    </w:pPr>
  </w:style>
  <w:style w:type="paragraph" w:customStyle="1" w:styleId="182">
    <w:name w:val="p0"/>
    <w:basedOn w:val="1"/>
    <w:qFormat/>
    <w:uiPriority w:val="0"/>
    <w:pPr>
      <w:widowControl/>
      <w:spacing w:line="240" w:lineRule="auto"/>
      <w:ind w:firstLine="0" w:firstLineChars="0"/>
    </w:pPr>
    <w:rPr>
      <w:kern w:val="0"/>
      <w:sz w:val="21"/>
      <w:szCs w:val="21"/>
    </w:rPr>
  </w:style>
  <w:style w:type="paragraph" w:customStyle="1" w:styleId="183">
    <w:name w:val="_Style 36"/>
    <w:basedOn w:val="1"/>
    <w:qFormat/>
    <w:uiPriority w:val="0"/>
    <w:pPr>
      <w:spacing w:line="240" w:lineRule="auto"/>
      <w:ind w:firstLine="0" w:firstLineChars="0"/>
    </w:pPr>
    <w:rPr>
      <w:rFonts w:ascii="Tahoma" w:hAnsi="Tahoma"/>
      <w:szCs w:val="20"/>
    </w:rPr>
  </w:style>
  <w:style w:type="paragraph" w:customStyle="1" w:styleId="184">
    <w:name w:val="样式 小四正文 + 首行缩进:  2 字符 段前: 0.5 行"/>
    <w:basedOn w:val="1"/>
    <w:qFormat/>
    <w:uiPriority w:val="0"/>
    <w:pPr>
      <w:spacing w:beforeLines="50"/>
    </w:pPr>
    <w:rPr>
      <w:rFonts w:ascii="宋体" w:hAnsi="宋体"/>
      <w:szCs w:val="20"/>
    </w:rPr>
  </w:style>
  <w:style w:type="paragraph" w:customStyle="1" w:styleId="185">
    <w:name w:val="3 级标题"/>
    <w:basedOn w:val="4"/>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86">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87">
    <w:name w:val="Char3"/>
    <w:basedOn w:val="1"/>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customStyle="1" w:styleId="188">
    <w:name w:val="1"/>
    <w:basedOn w:val="1"/>
    <w:next w:val="25"/>
    <w:qFormat/>
    <w:uiPriority w:val="0"/>
    <w:pPr>
      <w:spacing w:line="240" w:lineRule="auto"/>
      <w:ind w:firstLine="0" w:firstLineChars="0"/>
    </w:pPr>
    <w:rPr>
      <w:rFonts w:ascii="宋体" w:hAnsi="Courier New"/>
      <w:sz w:val="21"/>
      <w:szCs w:val="20"/>
    </w:rPr>
  </w:style>
  <w:style w:type="paragraph" w:customStyle="1" w:styleId="189">
    <w:name w:val="目录 11"/>
    <w:basedOn w:val="1"/>
    <w:next w:val="1"/>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190">
    <w:name w:val="2ji"/>
    <w:basedOn w:val="3"/>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191">
    <w:name w:val="标题 21"/>
    <w:basedOn w:val="1"/>
    <w:qFormat/>
    <w:uiPriority w:val="1"/>
    <w:pPr>
      <w:autoSpaceDE w:val="0"/>
      <w:autoSpaceDN w:val="0"/>
      <w:spacing w:before="77" w:line="240" w:lineRule="auto"/>
      <w:ind w:left="937" w:firstLine="0" w:firstLineChars="0"/>
      <w:jc w:val="left"/>
      <w:outlineLvl w:val="2"/>
    </w:pPr>
    <w:rPr>
      <w:rFonts w:ascii="宋体" w:hAnsi="宋体" w:cs="宋体"/>
      <w:kern w:val="0"/>
      <w:sz w:val="30"/>
      <w:szCs w:val="30"/>
      <w:lang w:eastAsia="en-US"/>
    </w:rPr>
  </w:style>
  <w:style w:type="paragraph" w:customStyle="1" w:styleId="192">
    <w:name w:val="列出段落11"/>
    <w:basedOn w:val="1"/>
    <w:qFormat/>
    <w:uiPriority w:val="0"/>
    <w:pPr>
      <w:spacing w:line="240" w:lineRule="auto"/>
      <w:ind w:firstLine="420"/>
    </w:pPr>
    <w:rPr>
      <w:sz w:val="21"/>
      <w:szCs w:val="24"/>
    </w:rPr>
  </w:style>
  <w:style w:type="paragraph" w:customStyle="1" w:styleId="193">
    <w:name w:val="修订1"/>
    <w:semiHidden/>
    <w:qFormat/>
    <w:uiPriority w:val="99"/>
    <w:rPr>
      <w:rFonts w:ascii="Times New Roman" w:hAnsi="Times New Roman" w:eastAsia="宋体" w:cs="Times New Roman"/>
      <w:kern w:val="2"/>
      <w:sz w:val="21"/>
      <w:lang w:val="en-US" w:eastAsia="zh-CN" w:bidi="ar-SA"/>
    </w:rPr>
  </w:style>
  <w:style w:type="paragraph" w:customStyle="1" w:styleId="194">
    <w:name w:val="目录 81"/>
    <w:basedOn w:val="1"/>
    <w:next w:val="1"/>
    <w:unhideWhenUsed/>
    <w:qFormat/>
    <w:uiPriority w:val="39"/>
    <w:pPr>
      <w:spacing w:line="240" w:lineRule="auto"/>
      <w:ind w:left="1470" w:firstLine="0" w:firstLineChars="0"/>
      <w:jc w:val="left"/>
    </w:pPr>
    <w:rPr>
      <w:rFonts w:ascii="等线" w:hAnsi="等线" w:eastAsia="等线"/>
      <w:sz w:val="18"/>
      <w:szCs w:val="18"/>
    </w:rPr>
  </w:style>
  <w:style w:type="paragraph" w:customStyle="1" w:styleId="195">
    <w:name w:val="Char Char16 Char Char"/>
    <w:basedOn w:val="1"/>
    <w:qFormat/>
    <w:uiPriority w:val="0"/>
    <w:pPr>
      <w:adjustRightInd w:val="0"/>
      <w:ind w:firstLine="0" w:firstLineChars="0"/>
    </w:pPr>
    <w:rPr>
      <w:sz w:val="21"/>
      <w:szCs w:val="24"/>
    </w:rPr>
  </w:style>
  <w:style w:type="paragraph" w:customStyle="1" w:styleId="196">
    <w:name w:val="标题 31"/>
    <w:basedOn w:val="1"/>
    <w:qFormat/>
    <w:uiPriority w:val="1"/>
    <w:pPr>
      <w:autoSpaceDE w:val="0"/>
      <w:autoSpaceDN w:val="0"/>
      <w:spacing w:line="240" w:lineRule="auto"/>
      <w:ind w:left="1153" w:firstLine="0" w:firstLineChars="0"/>
      <w:jc w:val="left"/>
      <w:outlineLvl w:val="3"/>
    </w:pPr>
    <w:rPr>
      <w:rFonts w:ascii="宋体" w:hAnsi="宋体" w:cs="宋体"/>
      <w:kern w:val="0"/>
      <w:sz w:val="26"/>
      <w:szCs w:val="26"/>
      <w:lang w:eastAsia="en-US"/>
    </w:rPr>
  </w:style>
  <w:style w:type="paragraph" w:customStyle="1" w:styleId="19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98">
    <w:name w:val="样式1"/>
    <w:basedOn w:val="1"/>
    <w:qFormat/>
    <w:uiPriority w:val="0"/>
    <w:pPr>
      <w:spacing w:before="120" w:after="120" w:line="300" w:lineRule="auto"/>
      <w:ind w:firstLine="0" w:firstLineChars="0"/>
    </w:pPr>
    <w:rPr>
      <w:rFonts w:ascii="宋体" w:hAnsi="宋体"/>
      <w:b/>
      <w:szCs w:val="20"/>
    </w:rPr>
  </w:style>
  <w:style w:type="paragraph" w:customStyle="1" w:styleId="199">
    <w:name w:val="正文首行缩进两字符"/>
    <w:basedOn w:val="1"/>
    <w:qFormat/>
    <w:uiPriority w:val="0"/>
    <w:rPr>
      <w:sz w:val="21"/>
      <w:szCs w:val="24"/>
    </w:rPr>
  </w:style>
  <w:style w:type="paragraph" w:customStyle="1" w:styleId="200">
    <w:name w:val="样式 Verdana 首行缩进:  0.74 厘米"/>
    <w:basedOn w:val="1"/>
    <w:qFormat/>
    <w:uiPriority w:val="0"/>
    <w:pPr>
      <w:ind w:firstLine="420" w:firstLineChars="0"/>
    </w:pPr>
    <w:rPr>
      <w:rFonts w:ascii="Verdana" w:hAnsi="Verdana"/>
      <w:szCs w:val="20"/>
    </w:rPr>
  </w:style>
  <w:style w:type="paragraph" w:customStyle="1" w:styleId="201">
    <w:name w:val="默认段落字体 Para Char Char Char Char Char Char Char Char Char1 Char Char Char Char"/>
    <w:basedOn w:val="1"/>
    <w:qFormat/>
    <w:uiPriority w:val="0"/>
    <w:pPr>
      <w:spacing w:line="240" w:lineRule="auto"/>
      <w:ind w:firstLine="0" w:firstLineChars="0"/>
    </w:pPr>
    <w:rPr>
      <w:rFonts w:ascii="Tahoma" w:hAnsi="Tahoma"/>
      <w:szCs w:val="20"/>
    </w:rPr>
  </w:style>
  <w:style w:type="paragraph" w:customStyle="1" w:styleId="202">
    <w:name w:val="ZW"/>
    <w:basedOn w:val="1"/>
    <w:qFormat/>
    <w:uiPriority w:val="0"/>
    <w:pPr>
      <w:spacing w:line="560" w:lineRule="exact"/>
      <w:ind w:firstLine="560"/>
    </w:pPr>
    <w:rPr>
      <w:rFonts w:hAnsi="宋体"/>
      <w:sz w:val="28"/>
      <w:szCs w:val="28"/>
    </w:rPr>
  </w:style>
  <w:style w:type="paragraph" w:customStyle="1" w:styleId="203">
    <w:name w:val="标题 91"/>
    <w:basedOn w:val="1"/>
    <w:next w:val="1"/>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styleId="204">
    <w:name w:val="List Paragraph"/>
    <w:basedOn w:val="1"/>
    <w:qFormat/>
    <w:uiPriority w:val="1"/>
    <w:pPr>
      <w:ind w:firstLine="420"/>
    </w:pPr>
  </w:style>
  <w:style w:type="paragraph" w:customStyle="1" w:styleId="205">
    <w:name w:val="样式 标题 2 + Times New Roman 四号 非加粗 段前: 5 磅 段后: 0 磅 行距: 固定值 20..."/>
    <w:basedOn w:val="3"/>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206">
    <w:name w:val="_Style 29"/>
    <w:basedOn w:val="1"/>
    <w:qFormat/>
    <w:uiPriority w:val="0"/>
    <w:pPr>
      <w:spacing w:line="240" w:lineRule="auto"/>
      <w:ind w:firstLine="0" w:firstLineChars="0"/>
    </w:pPr>
    <w:rPr>
      <w:rFonts w:ascii="Tahoma" w:hAnsi="Tahoma"/>
      <w:szCs w:val="20"/>
    </w:rPr>
  </w:style>
  <w:style w:type="paragraph" w:customStyle="1" w:styleId="207">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208">
    <w:name w:val="目录 61"/>
    <w:basedOn w:val="1"/>
    <w:next w:val="1"/>
    <w:unhideWhenUsed/>
    <w:qFormat/>
    <w:uiPriority w:val="39"/>
    <w:pPr>
      <w:spacing w:line="240" w:lineRule="auto"/>
      <w:ind w:left="1050" w:firstLine="0" w:firstLineChars="0"/>
      <w:jc w:val="left"/>
    </w:pPr>
    <w:rPr>
      <w:rFonts w:ascii="等线" w:hAnsi="等线" w:eastAsia="等线"/>
      <w:sz w:val="18"/>
      <w:szCs w:val="18"/>
    </w:rPr>
  </w:style>
  <w:style w:type="paragraph" w:customStyle="1" w:styleId="209">
    <w:name w:val="目录 51"/>
    <w:basedOn w:val="1"/>
    <w:next w:val="1"/>
    <w:unhideWhenUsed/>
    <w:qFormat/>
    <w:uiPriority w:val="39"/>
    <w:pPr>
      <w:spacing w:line="240" w:lineRule="auto"/>
      <w:ind w:left="840" w:firstLine="0" w:firstLineChars="0"/>
      <w:jc w:val="left"/>
    </w:pPr>
    <w:rPr>
      <w:rFonts w:ascii="等线" w:hAnsi="等线" w:eastAsia="等线"/>
      <w:sz w:val="18"/>
      <w:szCs w:val="18"/>
    </w:rPr>
  </w:style>
  <w:style w:type="paragraph" w:customStyle="1" w:styleId="2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目录 71"/>
    <w:basedOn w:val="1"/>
    <w:next w:val="1"/>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12">
    <w:name w:val="Char Char8"/>
    <w:basedOn w:val="1"/>
    <w:qFormat/>
    <w:uiPriority w:val="0"/>
    <w:pPr>
      <w:spacing w:line="240" w:lineRule="auto"/>
      <w:ind w:firstLine="0" w:firstLineChars="0"/>
    </w:pPr>
    <w:rPr>
      <w:rFonts w:ascii="Tahoma" w:hAnsi="Tahoma" w:eastAsia="Times New Roman"/>
      <w:kern w:val="0"/>
      <w:szCs w:val="20"/>
    </w:rPr>
  </w:style>
  <w:style w:type="paragraph" w:customStyle="1" w:styleId="213">
    <w:name w:val="List Paragraph1"/>
    <w:basedOn w:val="1"/>
    <w:qFormat/>
    <w:uiPriority w:val="34"/>
    <w:pPr>
      <w:spacing w:line="240" w:lineRule="auto"/>
      <w:ind w:firstLine="420"/>
    </w:pPr>
    <w:rPr>
      <w:sz w:val="21"/>
    </w:rPr>
  </w:style>
  <w:style w:type="paragraph" w:customStyle="1" w:styleId="214">
    <w:name w:val="目录 91"/>
    <w:basedOn w:val="1"/>
    <w:next w:val="1"/>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15">
    <w:name w:val="Char Char Char"/>
    <w:basedOn w:val="1"/>
    <w:qFormat/>
    <w:uiPriority w:val="0"/>
    <w:pPr>
      <w:spacing w:line="240" w:lineRule="auto"/>
      <w:ind w:firstLine="0" w:firstLineChars="0"/>
    </w:pPr>
    <w:rPr>
      <w:rFonts w:ascii="Tahoma" w:hAnsi="Tahoma"/>
      <w:szCs w:val="20"/>
    </w:rPr>
  </w:style>
  <w:style w:type="paragraph" w:customStyle="1" w:styleId="216">
    <w:name w:val="默认段落字体 Para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217">
    <w:name w:val="样式 首行缩进:  2 字符"/>
    <w:basedOn w:val="1"/>
    <w:qFormat/>
    <w:uiPriority w:val="0"/>
    <w:pPr>
      <w:spacing w:line="400" w:lineRule="exact"/>
    </w:pPr>
    <w:rPr>
      <w:rFonts w:cs="宋体"/>
      <w:szCs w:val="24"/>
    </w:rPr>
  </w:style>
  <w:style w:type="paragraph" w:customStyle="1" w:styleId="218">
    <w:name w:val="Char1"/>
    <w:basedOn w:val="1"/>
    <w:qFormat/>
    <w:uiPriority w:val="0"/>
    <w:pPr>
      <w:spacing w:line="240" w:lineRule="auto"/>
      <w:ind w:firstLine="0" w:firstLineChars="0"/>
    </w:pPr>
    <w:rPr>
      <w:sz w:val="21"/>
      <w:szCs w:val="21"/>
    </w:rPr>
  </w:style>
  <w:style w:type="paragraph" w:customStyle="1" w:styleId="219">
    <w:name w:val="目录 31"/>
    <w:basedOn w:val="1"/>
    <w:next w:val="1"/>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220">
    <w:name w:val="题注1"/>
    <w:basedOn w:val="1"/>
    <w:next w:val="1"/>
    <w:unhideWhenUsed/>
    <w:qFormat/>
    <w:uiPriority w:val="0"/>
    <w:pPr>
      <w:keepNext/>
      <w:ind w:firstLine="0" w:firstLineChars="0"/>
      <w:jc w:val="center"/>
    </w:pPr>
    <w:rPr>
      <w:rFonts w:ascii="Cambria" w:hAnsi="Cambria"/>
      <w:b/>
      <w:color w:val="000000"/>
      <w:sz w:val="21"/>
      <w:szCs w:val="20"/>
    </w:rPr>
  </w:style>
  <w:style w:type="paragraph" w:customStyle="1" w:styleId="22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22">
    <w:name w:val="Default"/>
    <w:qFormat/>
    <w:uiPriority w:val="0"/>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223">
    <w:name w:val="msolist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24">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列表段落"/>
    <w:basedOn w:val="1"/>
    <w:qFormat/>
    <w:uiPriority w:val="34"/>
    <w:pPr>
      <w:ind w:left="200" w:leftChars="200" w:right="200" w:rightChars="200" w:firstLine="420"/>
      <w:jc w:val="left"/>
    </w:pPr>
    <w:rPr>
      <w:szCs w:val="20"/>
    </w:rPr>
  </w:style>
  <w:style w:type="table" w:customStyle="1" w:styleId="226">
    <w:name w:val="网格型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网格型2"/>
    <w:basedOn w:val="45"/>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122</Pages>
  <Words>5412</Words>
  <Characters>5973</Characters>
  <Lines>728</Lines>
  <Paragraphs>205</Paragraphs>
  <TotalTime>5</TotalTime>
  <ScaleCrop>false</ScaleCrop>
  <LinksUpToDate>false</LinksUpToDate>
  <CharactersWithSpaces>6016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2022-12-12T15:38:00Z</dcterms:created>
  <dc:creator>Administrator</dc:creator>
  <cp:lastModifiedBy>wps</cp:lastModifiedBy>
  <cp:lastPrinted>2026-02-26T14:34:00Z</cp:lastPrinted>
  <dcterms:modified xsi:type="dcterms:W3CDTF">2026-03-17T07:22:25Z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7B0B28639CCB7993A361B36933694AA3_43</vt:lpwstr>
  </property>
  <property fmtid="{D5CDD505-2E9C-101B-9397-08002B2CF9AE}" pid="4" name="KSOTemplateDocerSaveRecord">
    <vt:lpwstr>eyJoZGlkIjoiNzI5OWM3OGY1NTAzMjZjNjUxMTAzMDE0ZGZiNTY1MWMiLCJ1c2VySWQiOiI4MDU1NDc2MDIifQ==</vt:lpwstr>
  </property>
</Properties>
</file>